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sz w:val="30"/>
          <w:szCs w:val="30"/>
        </w:rPr>
      </w:pPr>
      <w:bookmarkStart w:colFirst="0" w:colLast="0" w:name="_ojunafs85uzz" w:id="0"/>
      <w:bookmarkEnd w:id="0"/>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b w:val="1"/>
          <w:sz w:val="30"/>
          <w:szCs w:val="30"/>
        </w:rPr>
      </w:pPr>
      <w:bookmarkStart w:colFirst="0" w:colLast="0" w:name="_93q5forzecqd" w:id="1"/>
      <w:bookmarkEnd w:id="1"/>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b w:val="1"/>
          <w:sz w:val="30"/>
          <w:szCs w:val="30"/>
        </w:rPr>
      </w:pPr>
      <w:bookmarkStart w:colFirst="0" w:colLast="0" w:name="_jz3mg9wa4fvb" w:id="2"/>
      <w:bookmarkEnd w:id="2"/>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b w:val="1"/>
          <w:sz w:val="30"/>
          <w:szCs w:val="30"/>
        </w:rPr>
      </w:pPr>
      <w:bookmarkStart w:colFirst="0" w:colLast="0" w:name="_69z8dfmo51ky" w:id="3"/>
      <w:bookmarkEnd w:id="3"/>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b w:val="1"/>
          <w:sz w:val="30"/>
          <w:szCs w:val="30"/>
        </w:rPr>
      </w:pPr>
      <w:bookmarkStart w:colFirst="0" w:colLast="0" w:name="_71vtnd6aergr" w:id="4"/>
      <w:bookmarkEnd w:id="4"/>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b w:val="1"/>
          <w:sz w:val="30"/>
          <w:szCs w:val="30"/>
        </w:rPr>
      </w:pPr>
      <w:bookmarkStart w:colFirst="0" w:colLast="0" w:name="_bm6gfra2t2xn" w:id="5"/>
      <w:bookmarkEnd w:id="5"/>
      <w:r w:rsidDel="00000000" w:rsidR="00000000" w:rsidRPr="00000000">
        <w:rPr>
          <w:rFonts w:ascii="Times New Roman" w:cs="Times New Roman" w:eastAsia="Times New Roman" w:hAnsi="Times New Roman"/>
          <w:b w:val="1"/>
          <w:sz w:val="30"/>
          <w:szCs w:val="30"/>
          <w:rtl w:val="0"/>
        </w:rPr>
        <w:t xml:space="preserve">NAME: MUSKAN JAISWAL</w:t>
      </w:r>
    </w:p>
    <w:p w:rsidR="00000000" w:rsidDel="00000000" w:rsidP="00000000" w:rsidRDefault="00000000" w:rsidRPr="00000000" w14:paraId="00000007">
      <w:pPr>
        <w:spacing w:line="240" w:lineRule="auto"/>
        <w:rPr>
          <w:rFonts w:ascii="Times New Roman" w:cs="Times New Roman" w:eastAsia="Times New Roman" w:hAnsi="Times New Roman"/>
          <w:i w:val="1"/>
          <w:sz w:val="30"/>
          <w:szCs w:val="30"/>
        </w:rPr>
      </w:pPr>
      <w:bookmarkStart w:colFirst="0" w:colLast="0" w:name="_nru81zxi5wrd" w:id="6"/>
      <w:bookmarkEnd w:id="6"/>
      <w:r w:rsidDel="00000000" w:rsidR="00000000" w:rsidRPr="00000000">
        <w:rPr>
          <w:rFonts w:ascii="Times New Roman" w:cs="Times New Roman" w:eastAsia="Times New Roman" w:hAnsi="Times New Roman"/>
          <w:b w:val="1"/>
          <w:sz w:val="30"/>
          <w:szCs w:val="30"/>
          <w:rtl w:val="0"/>
        </w:rPr>
        <w:t xml:space="preserve">TITLE: Refugees and the New Variant of Indian Federalism: Three Comparative Case Studies Under the NDA-II Regime.</w:t>
      </w: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sz w:val="30"/>
          <w:szCs w:val="30"/>
        </w:rPr>
      </w:pPr>
      <w:bookmarkStart w:colFirst="0" w:colLast="0" w:name="_60yy9xq4om14" w:id="7"/>
      <w:bookmarkEnd w:id="7"/>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b w:val="1"/>
          <w:sz w:val="24"/>
          <w:szCs w:val="24"/>
        </w:rPr>
      </w:pPr>
      <w:bookmarkStart w:colFirst="0" w:colLast="0" w:name="_yipefotmgbzm" w:id="8"/>
      <w:bookmarkEnd w:id="8"/>
      <w:r w:rsidDel="00000000" w:rsidR="00000000" w:rsidRPr="00000000">
        <w:rPr>
          <w:rtl w:val="0"/>
        </w:rPr>
      </w:r>
    </w:p>
    <w:p w:rsidR="00000000" w:rsidDel="00000000" w:rsidP="00000000" w:rsidRDefault="00000000" w:rsidRPr="00000000" w14:paraId="0000000A">
      <w:pPr>
        <w:spacing w:line="240" w:lineRule="auto"/>
        <w:jc w:val="left"/>
        <w:rPr>
          <w:rFonts w:ascii="Times New Roman" w:cs="Times New Roman" w:eastAsia="Times New Roman" w:hAnsi="Times New Roman"/>
          <w:b w:val="1"/>
          <w:sz w:val="24"/>
          <w:szCs w:val="24"/>
        </w:rPr>
      </w:pPr>
      <w:bookmarkStart w:colFirst="0" w:colLast="0" w:name="_vhiq7nf2lyeo" w:id="9"/>
      <w:bookmarkEnd w:id="9"/>
      <w:r w:rsidDel="00000000" w:rsidR="00000000" w:rsidRPr="00000000">
        <w:rPr>
          <w:rtl w:val="0"/>
        </w:rPr>
      </w:r>
    </w:p>
    <w:p w:rsidR="00000000" w:rsidDel="00000000" w:rsidP="00000000" w:rsidRDefault="00000000" w:rsidRPr="00000000" w14:paraId="0000000B">
      <w:pPr>
        <w:spacing w:line="240" w:lineRule="auto"/>
        <w:jc w:val="left"/>
        <w:rPr>
          <w:rFonts w:ascii="Times New Roman" w:cs="Times New Roman" w:eastAsia="Times New Roman" w:hAnsi="Times New Roman"/>
          <w:b w:val="1"/>
          <w:sz w:val="24"/>
          <w:szCs w:val="24"/>
        </w:rPr>
      </w:pPr>
      <w:bookmarkStart w:colFirst="0" w:colLast="0" w:name="_s1brp86g3ldy" w:id="10"/>
      <w:bookmarkEnd w:id="10"/>
      <w:r w:rsidDel="00000000" w:rsidR="00000000" w:rsidRPr="00000000">
        <w:rPr>
          <w:rtl w:val="0"/>
        </w:rPr>
      </w:r>
    </w:p>
    <w:p w:rsidR="00000000" w:rsidDel="00000000" w:rsidP="00000000" w:rsidRDefault="00000000" w:rsidRPr="00000000" w14:paraId="0000000C">
      <w:pPr>
        <w:spacing w:line="240" w:lineRule="auto"/>
        <w:jc w:val="left"/>
        <w:rPr>
          <w:rFonts w:ascii="Times New Roman" w:cs="Times New Roman" w:eastAsia="Times New Roman" w:hAnsi="Times New Roman"/>
          <w:b w:val="1"/>
          <w:sz w:val="24"/>
          <w:szCs w:val="24"/>
        </w:rPr>
      </w:pPr>
      <w:bookmarkStart w:colFirst="0" w:colLast="0" w:name="_5td3e19yw8gl" w:id="11"/>
      <w:bookmarkEnd w:id="11"/>
      <w:r w:rsidDel="00000000" w:rsidR="00000000" w:rsidRPr="00000000">
        <w:rPr>
          <w:rtl w:val="0"/>
        </w:rPr>
      </w:r>
    </w:p>
    <w:p w:rsidR="00000000" w:rsidDel="00000000" w:rsidP="00000000" w:rsidRDefault="00000000" w:rsidRPr="00000000" w14:paraId="0000000D">
      <w:pPr>
        <w:spacing w:line="240" w:lineRule="auto"/>
        <w:jc w:val="left"/>
        <w:rPr>
          <w:rFonts w:ascii="Times New Roman" w:cs="Times New Roman" w:eastAsia="Times New Roman" w:hAnsi="Times New Roman"/>
          <w:b w:val="1"/>
          <w:sz w:val="24"/>
          <w:szCs w:val="24"/>
        </w:rPr>
      </w:pPr>
      <w:bookmarkStart w:colFirst="0" w:colLast="0" w:name="_6jg1lb04w8x" w:id="12"/>
      <w:bookmarkEnd w:id="12"/>
      <w:r w:rsidDel="00000000" w:rsidR="00000000" w:rsidRPr="00000000">
        <w:rPr>
          <w:rtl w:val="0"/>
        </w:rPr>
      </w:r>
    </w:p>
    <w:p w:rsidR="00000000" w:rsidDel="00000000" w:rsidP="00000000" w:rsidRDefault="00000000" w:rsidRPr="00000000" w14:paraId="0000000E">
      <w:pPr>
        <w:spacing w:line="240" w:lineRule="auto"/>
        <w:jc w:val="center"/>
        <w:rPr>
          <w:rFonts w:ascii="Times New Roman" w:cs="Times New Roman" w:eastAsia="Times New Roman" w:hAnsi="Times New Roman"/>
          <w:b w:val="1"/>
          <w:sz w:val="24"/>
          <w:szCs w:val="24"/>
        </w:rPr>
      </w:pPr>
      <w:bookmarkStart w:colFirst="0" w:colLast="0" w:name="_je6zi8bqps2g" w:id="13"/>
      <w:bookmarkEnd w:id="13"/>
      <w:r w:rsidDel="00000000" w:rsidR="00000000" w:rsidRPr="00000000">
        <w:rPr>
          <w:rtl w:val="0"/>
        </w:rPr>
      </w:r>
    </w:p>
    <w:p w:rsidR="00000000" w:rsidDel="00000000" w:rsidP="00000000" w:rsidRDefault="00000000" w:rsidRPr="00000000" w14:paraId="0000000F">
      <w:pPr>
        <w:spacing w:line="240" w:lineRule="auto"/>
        <w:jc w:val="center"/>
        <w:rPr>
          <w:rFonts w:ascii="Times New Roman" w:cs="Times New Roman" w:eastAsia="Times New Roman" w:hAnsi="Times New Roman"/>
          <w:b w:val="1"/>
          <w:sz w:val="24"/>
          <w:szCs w:val="24"/>
        </w:rPr>
      </w:pPr>
      <w:bookmarkStart w:colFirst="0" w:colLast="0" w:name="_s0fqvkr0jfup" w:id="14"/>
      <w:bookmarkEnd w:id="14"/>
      <w:r w:rsidDel="00000000" w:rsidR="00000000" w:rsidRPr="00000000">
        <w:rPr>
          <w:rtl w:val="0"/>
        </w:rPr>
      </w:r>
    </w:p>
    <w:p w:rsidR="00000000" w:rsidDel="00000000" w:rsidP="00000000" w:rsidRDefault="00000000" w:rsidRPr="00000000" w14:paraId="00000010">
      <w:pPr>
        <w:spacing w:line="240" w:lineRule="auto"/>
        <w:jc w:val="center"/>
        <w:rPr>
          <w:rFonts w:ascii="Times New Roman" w:cs="Times New Roman" w:eastAsia="Times New Roman" w:hAnsi="Times New Roman"/>
          <w:b w:val="1"/>
          <w:sz w:val="24"/>
          <w:szCs w:val="24"/>
        </w:rPr>
      </w:pPr>
      <w:bookmarkStart w:colFirst="0" w:colLast="0" w:name="_ne4agw6ijkb" w:id="15"/>
      <w:bookmarkEnd w:id="15"/>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b w:val="1"/>
          <w:sz w:val="24"/>
          <w:szCs w:val="24"/>
        </w:rPr>
      </w:pPr>
      <w:bookmarkStart w:colFirst="0" w:colLast="0" w:name="_hse0g1g79g5o" w:id="16"/>
      <w:bookmarkEnd w:id="16"/>
      <w:r w:rsidDel="00000000" w:rsidR="00000000" w:rsidRPr="00000000">
        <w:rPr>
          <w:rtl w:val="0"/>
        </w:rPr>
      </w:r>
    </w:p>
    <w:p w:rsidR="00000000" w:rsidDel="00000000" w:rsidP="00000000" w:rsidRDefault="00000000" w:rsidRPr="00000000" w14:paraId="00000012">
      <w:pPr>
        <w:spacing w:line="240" w:lineRule="auto"/>
        <w:jc w:val="center"/>
        <w:rPr>
          <w:rFonts w:ascii="Times New Roman" w:cs="Times New Roman" w:eastAsia="Times New Roman" w:hAnsi="Times New Roman"/>
          <w:b w:val="1"/>
          <w:sz w:val="24"/>
          <w:szCs w:val="24"/>
        </w:rPr>
      </w:pPr>
      <w:bookmarkStart w:colFirst="0" w:colLast="0" w:name="_5k8vipa0nwol" w:id="17"/>
      <w:bookmarkEnd w:id="17"/>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b w:val="1"/>
          <w:sz w:val="24"/>
          <w:szCs w:val="24"/>
        </w:rPr>
      </w:pPr>
      <w:bookmarkStart w:colFirst="0" w:colLast="0" w:name="_460j94b0sjrg" w:id="18"/>
      <w:bookmarkEnd w:id="18"/>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19">
      <w:pPr>
        <w:spacing w:line="480" w:lineRule="auto"/>
        <w:jc w:val="center"/>
        <w:rPr>
          <w:rFonts w:ascii="Merriweather" w:cs="Merriweather" w:eastAsia="Merriweather" w:hAnsi="Merriweather"/>
          <w:b w:val="1"/>
          <w:color w:val="990000"/>
          <w:sz w:val="36"/>
          <w:szCs w:val="36"/>
          <w:u w:val="single"/>
        </w:rPr>
      </w:pPr>
      <w:r w:rsidDel="00000000" w:rsidR="00000000" w:rsidRPr="00000000">
        <w:rPr>
          <w:rFonts w:ascii="Merriweather" w:cs="Merriweather" w:eastAsia="Merriweather" w:hAnsi="Merriweather"/>
          <w:b w:val="1"/>
          <w:color w:val="990000"/>
          <w:sz w:val="36"/>
          <w:szCs w:val="36"/>
          <w:u w:val="single"/>
          <w:rtl w:val="0"/>
        </w:rPr>
        <w:t xml:space="preserve">INDEX</w:t>
      </w:r>
    </w:p>
    <w:tbl>
      <w:tblPr>
        <w:tblStyle w:val="Table1"/>
        <w:tblW w:w="88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90"/>
        <w:gridCol w:w="4605"/>
        <w:gridCol w:w="2955"/>
        <w:tblGridChange w:id="0">
          <w:tblGrid>
            <w:gridCol w:w="1290"/>
            <w:gridCol w:w="4605"/>
            <w:gridCol w:w="2955"/>
          </w:tblGrid>
        </w:tblGridChange>
      </w:tblGrid>
      <w:tr>
        <w:trPr>
          <w:cantSplit w:val="0"/>
          <w:trHeight w:val="48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A">
            <w:pPr>
              <w:spacing w:after="0" w:before="240" w:line="276" w:lineRule="auto"/>
              <w:jc w:val="center"/>
              <w:rPr>
                <w:rFonts w:ascii="Times New Roman" w:cs="Times New Roman" w:eastAsia="Times New Roman" w:hAnsi="Times New Roman"/>
                <w:color w:val="990000"/>
                <w:sz w:val="30"/>
                <w:szCs w:val="30"/>
              </w:rPr>
            </w:pPr>
            <w:r w:rsidDel="00000000" w:rsidR="00000000" w:rsidRPr="00000000">
              <w:rPr>
                <w:rFonts w:ascii="Times New Roman" w:cs="Times New Roman" w:eastAsia="Times New Roman" w:hAnsi="Times New Roman"/>
                <w:color w:val="990000"/>
                <w:sz w:val="30"/>
                <w:szCs w:val="30"/>
                <w:rtl w:val="0"/>
              </w:rPr>
              <w:t xml:space="preserve"> SR NO.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B">
            <w:pPr>
              <w:spacing w:after="0" w:before="240" w:line="276" w:lineRule="auto"/>
              <w:jc w:val="center"/>
              <w:rPr>
                <w:rFonts w:ascii="Times New Roman" w:cs="Times New Roman" w:eastAsia="Times New Roman" w:hAnsi="Times New Roman"/>
                <w:color w:val="990000"/>
                <w:sz w:val="30"/>
                <w:szCs w:val="30"/>
              </w:rPr>
            </w:pPr>
            <w:r w:rsidDel="00000000" w:rsidR="00000000" w:rsidRPr="00000000">
              <w:rPr>
                <w:rFonts w:ascii="Times New Roman" w:cs="Times New Roman" w:eastAsia="Times New Roman" w:hAnsi="Times New Roman"/>
                <w:color w:val="990000"/>
                <w:sz w:val="30"/>
                <w:szCs w:val="30"/>
                <w:rtl w:val="0"/>
              </w:rPr>
              <w:t xml:space="preserve"> TOPICS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C">
            <w:pPr>
              <w:spacing w:after="0" w:before="240" w:line="276" w:lineRule="auto"/>
              <w:jc w:val="center"/>
              <w:rPr>
                <w:rFonts w:ascii="Times New Roman" w:cs="Times New Roman" w:eastAsia="Times New Roman" w:hAnsi="Times New Roman"/>
                <w:color w:val="990000"/>
                <w:sz w:val="30"/>
                <w:szCs w:val="30"/>
              </w:rPr>
            </w:pPr>
            <w:r w:rsidDel="00000000" w:rsidR="00000000" w:rsidRPr="00000000">
              <w:rPr>
                <w:rFonts w:ascii="Times New Roman" w:cs="Times New Roman" w:eastAsia="Times New Roman" w:hAnsi="Times New Roman"/>
                <w:color w:val="990000"/>
                <w:sz w:val="30"/>
                <w:szCs w:val="30"/>
                <w:rtl w:val="0"/>
              </w:rPr>
              <w:t xml:space="preserve"> PAGE NO.</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D">
            <w:pPr>
              <w:spacing w:after="0" w:before="240" w:line="276"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E">
            <w:pPr>
              <w:spacing w:after="0" w:before="240" w:line="276"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Abstract</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1F">
            <w:pPr>
              <w:spacing w:after="0" w:before="240" w:line="276"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3</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0">
            <w:pPr>
              <w:spacing w:after="0" w:before="240" w:line="276"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1">
            <w:pPr>
              <w:spacing w:after="0" w:before="240" w:line="276"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b w:val="1"/>
                <w:sz w:val="30"/>
                <w:szCs w:val="30"/>
                <w:rtl w:val="0"/>
              </w:rPr>
              <w:t xml:space="preserve"> </w:t>
            </w:r>
            <w:r w:rsidDel="00000000" w:rsidR="00000000" w:rsidRPr="00000000">
              <w:rPr>
                <w:rFonts w:ascii="Times New Roman" w:cs="Times New Roman" w:eastAsia="Times New Roman" w:hAnsi="Times New Roman"/>
                <w:sz w:val="30"/>
                <w:szCs w:val="30"/>
                <w:rtl w:val="0"/>
              </w:rPr>
              <w:t xml:space="preserve">Introduction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2">
            <w:pPr>
              <w:spacing w:after="0" w:before="240" w:line="276"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3-9</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3">
            <w:pPr>
              <w:spacing w:after="0" w:before="240" w:line="276"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4">
            <w:pPr>
              <w:spacing w:after="0" w:before="240" w:line="276"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Indian Federal System Manoeuvring Refugees: The Legal Trajectory</w:t>
            </w:r>
          </w:p>
          <w:p w:rsidR="00000000" w:rsidDel="00000000" w:rsidP="00000000" w:rsidRDefault="00000000" w:rsidRPr="00000000" w14:paraId="00000025">
            <w:pPr>
              <w:spacing w:after="0" w:before="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i.)International</w:t>
            </w:r>
          </w:p>
          <w:p w:rsidR="00000000" w:rsidDel="00000000" w:rsidP="00000000" w:rsidRDefault="00000000" w:rsidRPr="00000000" w14:paraId="00000026">
            <w:pPr>
              <w:spacing w:after="0" w:before="0" w:line="240"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ii.)National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7">
            <w:pPr>
              <w:spacing w:after="0" w:before="240" w:line="276"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9-20</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8">
            <w:pPr>
              <w:spacing w:after="0" w:before="240" w:line="276"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9">
            <w:pPr>
              <w:spacing w:after="0" w:before="240" w:line="276"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Case Selection and Methodology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A">
            <w:pPr>
              <w:spacing w:after="0" w:before="240" w:line="276"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20-21</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B">
            <w:pPr>
              <w:spacing w:after="0" w:before="240" w:line="276"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C">
            <w:pPr>
              <w:spacing w:after="0" w:before="240" w:line="276"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Assam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D">
            <w:pPr>
              <w:spacing w:after="0" w:before="240" w:line="276"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21-24</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E">
            <w:pPr>
              <w:spacing w:after="0" w:before="240" w:line="276"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2F">
            <w:pPr>
              <w:spacing w:after="0" w:before="240" w:line="276"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Mizoram</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0">
            <w:pPr>
              <w:spacing w:after="0" w:before="240" w:line="276"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24-25</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1">
            <w:pPr>
              <w:spacing w:after="0" w:before="240" w:line="276"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 7.</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2">
            <w:pPr>
              <w:spacing w:after="0" w:before="240" w:line="276"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West Bengal</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3">
            <w:pPr>
              <w:spacing w:after="0" w:before="240" w:line="276"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 25-28</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4">
            <w:pPr>
              <w:spacing w:after="0" w:before="240" w:line="276"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8.</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5">
            <w:pPr>
              <w:spacing w:after="0" w:before="240" w:line="276"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Concluding Observation</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6">
            <w:pPr>
              <w:spacing w:after="0" w:before="240" w:line="276"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28-31</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7">
            <w:pPr>
              <w:spacing w:after="0" w:before="240" w:line="276"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9.</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8">
            <w:pPr>
              <w:spacing w:after="0" w:before="240" w:line="276"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Abbreviations</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9">
            <w:pPr>
              <w:spacing w:after="0" w:before="240" w:line="276"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31-32</w:t>
            </w:r>
          </w:p>
        </w:tc>
      </w:tr>
      <w:tr>
        <w:trPr>
          <w:cantSplit w:val="0"/>
          <w:trHeight w:val="48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A">
            <w:pPr>
              <w:spacing w:after="0" w:before="240" w:line="276" w:lineRule="auto"/>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10.</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B">
            <w:pPr>
              <w:spacing w:after="0" w:before="240" w:line="276" w:lineRule="auto"/>
              <w:jc w:val="both"/>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Bibliography</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3C">
            <w:pPr>
              <w:spacing w:after="0" w:before="240" w:line="276" w:lineRule="auto"/>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32-35</w:t>
            </w:r>
          </w:p>
        </w:tc>
      </w:tr>
    </w:tbl>
    <w:p w:rsidR="00000000" w:rsidDel="00000000" w:rsidP="00000000" w:rsidRDefault="00000000" w:rsidRPr="00000000" w14:paraId="0000003D">
      <w:pPr>
        <w:spacing w:line="24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E">
      <w:pPr>
        <w:spacing w:line="240" w:lineRule="auto"/>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3F">
      <w:pPr>
        <w:spacing w:line="240" w:lineRule="auto"/>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Refugees and the New Variant of Indian Federalism: Three Comparative Case Studies Under the NDA-II Regime</w:t>
      </w:r>
    </w:p>
    <w:p w:rsidR="00000000" w:rsidDel="00000000" w:rsidP="00000000" w:rsidRDefault="00000000" w:rsidRPr="00000000" w14:paraId="00000040">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41">
      <w:pPr>
        <w:spacing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India, a Union of States and naught Federation, treats Refugees with compounded ambiguities. This paper with the help of doctrinal legal presentation, highlights how the Refugees in Indian federal jurisdiction are defined, situated and operated as a meso-identity between the Union and the States under the NDA-II regime. Being a South Asian nation, India's aversion to sign the globally recognized Magna Carta on Refugees -the United Nations Convention on Refugees (1951) and the Protocol Relating to the Status of Refugees (1967), added with the absence of a concrete National Asylum Policy provides a free discretional space where partisan based ideological oscillation decides the fate of Refugee Identity in Indian Politics. To substantiate this presupposition, the research undertakes a three bi-partisan model of descriptive comparative case analysis of Indian states- namely, Assam (ruled by the same party at the centre and state, i.e. BJP); West Bengal (ruled by the oppositional forces, i.e. BJP at the centre and AITC in the state); and Mizoram (ruled by a coalition government comprising BJP and MNF), showcases a sui generis presence of cooperative and competitive federal dialogues in Indian polity with regard to the management of Refugee Crisis. Alongside, the paper highlights on how the inclusion of dimension of religious intelligible differentia under the Citizenship (Amendment) Act, 2019, by the Union government, aggravated the federal political discourses on Citizenship, Refugees and secular-democratic intentions of the government. Further, by culminating the visible trends of neo-federal dimension, this research intends to investigate– i.) How does the absence of a National Asylum Policy on Refugees affect the behaviour of the Centre and States in treating refugees? ii.) On what parameters do Centre and the States behavioural responses converge and diverge in terms of the modes of acceptance and rejection of Refugees? iii.) To what extent does the Refugee Identity influence the discourse of nationalism and subnationalism? Does it reflect any ethnic regional variations? The paper relies on qualitative content analysis of primary data (treaties, conventions, constitution, court cases, parliamentary debates, statutes, diplomatic records, manifestos, etc), and the secondary data (media reports, journal articles, reviews, and academic books) to identify the federal dynamism on ‘Refugees’ visible along the intersecting lines of nationalism and subnationalism, setting an interactive neo-federal meso-level category in Indian polity.</w:t>
      </w:r>
    </w:p>
    <w:p w:rsidR="00000000" w:rsidDel="00000000" w:rsidP="00000000" w:rsidRDefault="00000000" w:rsidRPr="00000000" w14:paraId="00000042">
      <w:pPr>
        <w:numPr>
          <w:ilvl w:val="0"/>
          <w:numId w:val="3"/>
        </w:numP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i w:val="1"/>
          <w:sz w:val="24"/>
          <w:szCs w:val="24"/>
          <w:rtl w:val="0"/>
        </w:rPr>
        <w:t xml:space="preserve">Neo-federalism, refugees, citizenship, asylum policy, Union-States relations, partisan-based interests, nationalism, subnationalism, indian polity.</w:t>
      </w:r>
    </w:p>
    <w:p w:rsidR="00000000" w:rsidDel="00000000" w:rsidP="00000000" w:rsidRDefault="00000000" w:rsidRPr="00000000" w14:paraId="00000043">
      <w:pPr>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numPr>
          <w:ilvl w:val="0"/>
          <w:numId w:val="3"/>
        </w:numP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INTRODUCTION: </w:t>
      </w:r>
    </w:p>
    <w:p w:rsidR="00000000" w:rsidDel="00000000" w:rsidP="00000000" w:rsidRDefault="00000000" w:rsidRPr="00000000" w14:paraId="0000004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 extols its experiences of having the world’s most heterogenous and convoluted multiplex migration histories. Embarking on the journey with a grandiloquence of tryst with destiny in 1947, the countrymen pledged in unison for embracing a democratic future. Indeed, they are struggling hard to experience one. Having the third-largest international border, India is susceptible to mass influx which is very evident since the 1947, 1962, 1965, 1971, 1979, 1983, and 2012 great refuge and asylum-seeking historical moments. According to the UN High Commissioner for Refugees (UNHCR) India Factsheet, as of 31st October 2021, India is home to 43,641 registered asylum seekers, consisting of origins from Afghanistan, Bangladesh, Myanmar, Sri Lanka, Tibet and others. But, it is to be noted that India “does not maintain any data on refugees centrally”</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Nevertheless, it was not easy for India to administratively deal with such refugee crisis management sequentially, as there exists a number of impediments impacting its overall federal power dynamics. And, when it comes to the study of Federalism in Indian polity, which is a Union of States and naught Federation, it is always analysed through a traditionalist lens, where only two tropes are discussed. One is </w:t>
      </w:r>
      <w:r w:rsidDel="00000000" w:rsidR="00000000" w:rsidRPr="00000000">
        <w:rPr>
          <w:rFonts w:ascii="Times New Roman" w:cs="Times New Roman" w:eastAsia="Times New Roman" w:hAnsi="Times New Roman"/>
          <w:i w:val="1"/>
          <w:sz w:val="24"/>
          <w:szCs w:val="24"/>
          <w:rtl w:val="0"/>
        </w:rPr>
        <w:t xml:space="preserve">fiscal</w:t>
      </w:r>
      <w:r w:rsidDel="00000000" w:rsidR="00000000" w:rsidRPr="00000000">
        <w:rPr>
          <w:rFonts w:ascii="Times New Roman" w:cs="Times New Roman" w:eastAsia="Times New Roman" w:hAnsi="Times New Roman"/>
          <w:sz w:val="24"/>
          <w:szCs w:val="24"/>
          <w:rtl w:val="0"/>
        </w:rPr>
        <w:t xml:space="preserve">, and the other is </w:t>
      </w:r>
      <w:r w:rsidDel="00000000" w:rsidR="00000000" w:rsidRPr="00000000">
        <w:rPr>
          <w:rFonts w:ascii="Times New Roman" w:cs="Times New Roman" w:eastAsia="Times New Roman" w:hAnsi="Times New Roman"/>
          <w:i w:val="1"/>
          <w:sz w:val="24"/>
          <w:szCs w:val="24"/>
          <w:rtl w:val="0"/>
        </w:rPr>
        <w:t xml:space="preserve">constitutional</w:t>
      </w:r>
      <w:r w:rsidDel="00000000" w:rsidR="00000000" w:rsidRPr="00000000">
        <w:rPr>
          <w:rFonts w:ascii="Times New Roman" w:cs="Times New Roman" w:eastAsia="Times New Roman" w:hAnsi="Times New Roman"/>
          <w:sz w:val="24"/>
          <w:szCs w:val="24"/>
          <w:rtl w:val="0"/>
        </w:rPr>
        <w:t xml:space="preserve"> (Ashutosh Varshney, 2011). This paper departs from the conventional studies so far made on Indian Federalism, which tries to </w:t>
      </w:r>
      <w:r w:rsidDel="00000000" w:rsidR="00000000" w:rsidRPr="00000000">
        <w:rPr>
          <w:rFonts w:ascii="Times New Roman" w:cs="Times New Roman" w:eastAsia="Times New Roman" w:hAnsi="Times New Roman"/>
          <w:sz w:val="24"/>
          <w:szCs w:val="24"/>
          <w:rtl w:val="0"/>
        </w:rPr>
        <w:t xml:space="preserve">explicate</w:t>
      </w:r>
      <w:r w:rsidDel="00000000" w:rsidR="00000000" w:rsidRPr="00000000">
        <w:rPr>
          <w:rFonts w:ascii="Times New Roman" w:cs="Times New Roman" w:eastAsia="Times New Roman" w:hAnsi="Times New Roman"/>
          <w:sz w:val="24"/>
          <w:szCs w:val="24"/>
          <w:rtl w:val="0"/>
        </w:rPr>
        <w:t xml:space="preserve"> the emergence of the neo-federal intermediate category of ‘Refugees Identity’ in determining the Centre-States interactions in India. Though it is an interesting coincidence that neither the word ‘Refugees’ nor the word ‘Federal’ appears once in the Constitution of India. But, this paper would flash on light that the syntax or terms of anonymity does not mean its complete absence from Indian Polity.</w:t>
      </w:r>
    </w:p>
    <w:p w:rsidR="00000000" w:rsidDel="00000000" w:rsidP="00000000" w:rsidRDefault="00000000" w:rsidRPr="00000000" w14:paraId="0000004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Especially, when certain decisive legal averments and political developments in the year 2019</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Fonts w:ascii="Times New Roman" w:cs="Times New Roman" w:eastAsia="Times New Roman" w:hAnsi="Times New Roman"/>
          <w:sz w:val="24"/>
          <w:szCs w:val="24"/>
          <w:rtl w:val="0"/>
        </w:rPr>
        <w:t xml:space="preserve">, chronologically remodelled and revamped the discourses on citizenship, immigration and infiltration in the country affecting the Centre-States relations. Firstly, the results of the 17th Lok Sabha election, made BJP (led by PM Modi), the first non-INC party to retain power for a second term with full majority in Lok Sabha on its own in Indian electoral history. Here, the BJP secured 303 seats (+21 seats from 2014 General Election) out of 542 seats and the NDA</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 added 50 seats, making a total count of 353 seats. This signifies that the party not only managed to retain its support base of 2014, but also expanded its electorates both geographically and socially, which became a representative cause of influence on the policy process.</w:t>
      </w:r>
    </w:p>
    <w:p w:rsidR="00000000" w:rsidDel="00000000" w:rsidP="00000000" w:rsidRDefault="00000000" w:rsidRPr="00000000" w14:paraId="0000004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Secondly, the introduction of consequential policies and political discourses backed by the Hindutva project</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Fonts w:ascii="Times New Roman" w:cs="Times New Roman" w:eastAsia="Times New Roman" w:hAnsi="Times New Roman"/>
          <w:sz w:val="24"/>
          <w:szCs w:val="24"/>
          <w:rtl w:val="0"/>
        </w:rPr>
        <w:t xml:space="preserve"> raised the questions on secular-univeralist-democratic intentions of the GOI. A slew of legal measures, namely, i.) the Citizenship (Amendment) Act, 2019</w:t>
      </w:r>
      <w:r w:rsidDel="00000000" w:rsidR="00000000" w:rsidRPr="00000000">
        <w:rPr>
          <w:rFonts w:ascii="Times New Roman" w:cs="Times New Roman" w:eastAsia="Times New Roman" w:hAnsi="Times New Roman"/>
          <w:b w:val="1"/>
          <w:sz w:val="24"/>
          <w:szCs w:val="24"/>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became an overt-preliminary attempt by the GOI to include the clause of religious intelligible differentia, post-1947. This augmented the nationwide protests against the GOI’s authoritative policy formulation and its execution with such representative </w:t>
      </w:r>
      <w:r w:rsidDel="00000000" w:rsidR="00000000" w:rsidRPr="00000000">
        <w:rPr>
          <w:rFonts w:ascii="Times New Roman" w:cs="Times New Roman" w:eastAsia="Times New Roman" w:hAnsi="Times New Roman"/>
          <w:sz w:val="24"/>
          <w:szCs w:val="24"/>
          <w:rtl w:val="0"/>
        </w:rPr>
        <w:t xml:space="preserve">selectivism</w:t>
      </w:r>
      <w:r w:rsidDel="00000000" w:rsidR="00000000" w:rsidRPr="00000000">
        <w:rPr>
          <w:rFonts w:ascii="Times New Roman" w:cs="Times New Roman" w:eastAsia="Times New Roman" w:hAnsi="Times New Roman"/>
          <w:sz w:val="24"/>
          <w:szCs w:val="24"/>
          <w:rtl w:val="0"/>
        </w:rPr>
        <w:t xml:space="preserve"> in providing ‘faith based citizenship</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Fonts w:ascii="Times New Roman" w:cs="Times New Roman" w:eastAsia="Times New Roman" w:hAnsi="Times New Roman"/>
          <w:sz w:val="24"/>
          <w:szCs w:val="24"/>
          <w:rtl w:val="0"/>
        </w:rPr>
        <w:t xml:space="preserve">’ (Niraja Gopal Jayal, 2019) in a secular polity. In official averments, we can discern a subtle metamorphosed relocation from the postulation of the </w:t>
      </w:r>
      <w:r w:rsidDel="00000000" w:rsidR="00000000" w:rsidRPr="00000000">
        <w:rPr>
          <w:rFonts w:ascii="Times New Roman" w:cs="Times New Roman" w:eastAsia="Times New Roman" w:hAnsi="Times New Roman"/>
          <w:i w:val="1"/>
          <w:sz w:val="24"/>
          <w:szCs w:val="24"/>
          <w:rtl w:val="0"/>
        </w:rPr>
        <w:t xml:space="preserve">Jus Soli </w:t>
      </w:r>
      <w:r w:rsidDel="00000000" w:rsidR="00000000" w:rsidRPr="00000000">
        <w:rPr>
          <w:rFonts w:ascii="Times New Roman" w:cs="Times New Roman" w:eastAsia="Times New Roman" w:hAnsi="Times New Roman"/>
          <w:sz w:val="24"/>
          <w:szCs w:val="24"/>
          <w:rtl w:val="0"/>
        </w:rPr>
        <w:t xml:space="preserve">to the </w:t>
      </w:r>
      <w:r w:rsidDel="00000000" w:rsidR="00000000" w:rsidRPr="00000000">
        <w:rPr>
          <w:rFonts w:ascii="Times New Roman" w:cs="Times New Roman" w:eastAsia="Times New Roman" w:hAnsi="Times New Roman"/>
          <w:i w:val="1"/>
          <w:sz w:val="24"/>
          <w:szCs w:val="24"/>
          <w:rtl w:val="0"/>
        </w:rPr>
        <w:t xml:space="preserve">Jus Sanguinis </w:t>
      </w:r>
      <w:r w:rsidDel="00000000" w:rsidR="00000000" w:rsidRPr="00000000">
        <w:rPr>
          <w:rFonts w:ascii="Times New Roman" w:cs="Times New Roman" w:eastAsia="Times New Roman" w:hAnsi="Times New Roman"/>
          <w:sz w:val="24"/>
          <w:szCs w:val="24"/>
          <w:rtl w:val="0"/>
        </w:rPr>
        <w:t xml:space="preserve">doctrine that is </w:t>
      </w:r>
      <w:r w:rsidDel="00000000" w:rsidR="00000000" w:rsidRPr="00000000">
        <w:rPr>
          <w:rFonts w:ascii="Times New Roman" w:cs="Times New Roman" w:eastAsia="Times New Roman" w:hAnsi="Times New Roman"/>
          <w:sz w:val="24"/>
          <w:szCs w:val="24"/>
          <w:rtl w:val="0"/>
        </w:rPr>
        <w:t xml:space="preserve">—from </w:t>
      </w:r>
      <w:r w:rsidDel="00000000" w:rsidR="00000000" w:rsidRPr="00000000">
        <w:rPr>
          <w:rFonts w:ascii="Times New Roman" w:cs="Times New Roman" w:eastAsia="Times New Roman" w:hAnsi="Times New Roman"/>
          <w:i w:val="1"/>
          <w:sz w:val="24"/>
          <w:szCs w:val="24"/>
          <w:rtl w:val="0"/>
        </w:rPr>
        <w:t xml:space="preserve">‘citizenship on grounds of birth’</w:t>
      </w:r>
      <w:r w:rsidDel="00000000" w:rsidR="00000000" w:rsidRPr="00000000">
        <w:rPr>
          <w:rFonts w:ascii="Times New Roman" w:cs="Times New Roman" w:eastAsia="Times New Roman" w:hAnsi="Times New Roman"/>
          <w:sz w:val="24"/>
          <w:szCs w:val="24"/>
          <w:rtl w:val="0"/>
        </w:rPr>
        <w:t xml:space="preserve"> to the idea of providing </w:t>
      </w:r>
      <w:r w:rsidDel="00000000" w:rsidR="00000000" w:rsidRPr="00000000">
        <w:rPr>
          <w:rFonts w:ascii="Times New Roman" w:cs="Times New Roman" w:eastAsia="Times New Roman" w:hAnsi="Times New Roman"/>
          <w:i w:val="1"/>
          <w:sz w:val="24"/>
          <w:szCs w:val="24"/>
          <w:rtl w:val="0"/>
        </w:rPr>
        <w:t xml:space="preserve">‘citizenship on grounds of race and descent’,</w:t>
      </w:r>
      <w:r w:rsidDel="00000000" w:rsidR="00000000" w:rsidRPr="00000000">
        <w:rPr>
          <w:rFonts w:ascii="Times New Roman" w:cs="Times New Roman" w:eastAsia="Times New Roman" w:hAnsi="Times New Roman"/>
          <w:sz w:val="24"/>
          <w:szCs w:val="24"/>
          <w:rtl w:val="0"/>
        </w:rPr>
        <w:t xml:space="preserve"> which unfolded in the mid-1980s and reached its nadir in 2019.  ii.) The statement by Home Minister, Shri Amit Shah over the pan-India NRC exercise inside the premises of Sansad</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and public rallies</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Fonts w:ascii="Times New Roman" w:cs="Times New Roman" w:eastAsia="Times New Roman" w:hAnsi="Times New Roman"/>
          <w:sz w:val="24"/>
          <w:szCs w:val="24"/>
          <w:rtl w:val="0"/>
        </w:rPr>
        <w:t xml:space="preserve"> in 2019 that sparked huge commotion over citizens’ stakes</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As prior to this, the announcement of the final updated list of NRC on 31st August 2019, brought hopes and aspirations to about 2 million people but for 19,06,657 people, who were excluded from the total population of 3.29 crore as Assam's electorates, it brought a wave of dismay and existential crisis, as they were declared as ‘D-Voters’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Fonts w:ascii="Times New Roman" w:cs="Times New Roman" w:eastAsia="Times New Roman" w:hAnsi="Times New Roman"/>
          <w:sz w:val="24"/>
          <w:szCs w:val="24"/>
          <w:rtl w:val="0"/>
        </w:rPr>
        <w:t xml:space="preserve">. This heightened the nativist anti-foreigners political nationalist nerves in Assam before the 2021 State Legislative Assembly election</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which caused a nation-wide chaos over citizenship. He also provided the </w:t>
      </w:r>
      <w:r w:rsidDel="00000000" w:rsidR="00000000" w:rsidRPr="00000000">
        <w:rPr>
          <w:rFonts w:ascii="Times New Roman" w:cs="Times New Roman" w:eastAsia="Times New Roman" w:hAnsi="Times New Roman"/>
          <w:sz w:val="24"/>
          <w:szCs w:val="24"/>
          <w:rtl w:val="0"/>
        </w:rPr>
        <w:t xml:space="preserve">bi-partites</w:t>
      </w:r>
      <w:r w:rsidDel="00000000" w:rsidR="00000000" w:rsidRPr="00000000">
        <w:rPr>
          <w:rFonts w:ascii="Times New Roman" w:cs="Times New Roman" w:eastAsia="Times New Roman" w:hAnsi="Times New Roman"/>
          <w:sz w:val="24"/>
          <w:szCs w:val="24"/>
          <w:rtl w:val="0"/>
        </w:rPr>
        <w:t xml:space="preserve"> of ‘citizen/</w:t>
      </w:r>
      <w:r w:rsidDel="00000000" w:rsidR="00000000" w:rsidRPr="00000000">
        <w:rPr>
          <w:rFonts w:ascii="Times New Roman" w:cs="Times New Roman" w:eastAsia="Times New Roman" w:hAnsi="Times New Roman"/>
          <w:i w:val="1"/>
          <w:sz w:val="24"/>
          <w:szCs w:val="24"/>
          <w:rtl w:val="0"/>
        </w:rPr>
        <w:t xml:space="preserve">nagrik</w:t>
      </w:r>
      <w:r w:rsidDel="00000000" w:rsidR="00000000" w:rsidRPr="00000000">
        <w:rPr>
          <w:rFonts w:ascii="Times New Roman" w:cs="Times New Roman" w:eastAsia="Times New Roman" w:hAnsi="Times New Roman"/>
          <w:sz w:val="24"/>
          <w:szCs w:val="24"/>
          <w:rtl w:val="0"/>
        </w:rPr>
        <w:t xml:space="preserve">’ and ‘non-citizens’. Further, the latter category got formally mutated into a b</w:t>
      </w:r>
      <w:r w:rsidDel="00000000" w:rsidR="00000000" w:rsidRPr="00000000">
        <w:rPr>
          <w:rFonts w:ascii="Times New Roman" w:cs="Times New Roman" w:eastAsia="Times New Roman" w:hAnsi="Times New Roman"/>
          <w:sz w:val="24"/>
          <w:szCs w:val="24"/>
          <w:rtl w:val="0"/>
        </w:rPr>
        <w:t xml:space="preserve">i-partites</w:t>
      </w:r>
      <w:r w:rsidDel="00000000" w:rsidR="00000000" w:rsidRPr="00000000">
        <w:rPr>
          <w:rFonts w:ascii="Times New Roman" w:cs="Times New Roman" w:eastAsia="Times New Roman" w:hAnsi="Times New Roman"/>
          <w:sz w:val="24"/>
          <w:szCs w:val="24"/>
          <w:rtl w:val="0"/>
        </w:rPr>
        <w:t xml:space="preserve"> of identities like ‘</w:t>
      </w:r>
      <w:r w:rsidDel="00000000" w:rsidR="00000000" w:rsidRPr="00000000">
        <w:rPr>
          <w:rFonts w:ascii="Times New Roman" w:cs="Times New Roman" w:eastAsia="Times New Roman" w:hAnsi="Times New Roman"/>
          <w:i w:val="1"/>
          <w:sz w:val="24"/>
          <w:szCs w:val="24"/>
          <w:rtl w:val="0"/>
        </w:rPr>
        <w:t xml:space="preserve">refugee’ </w:t>
      </w:r>
      <w:r w:rsidDel="00000000" w:rsidR="00000000" w:rsidRPr="00000000">
        <w:rPr>
          <w:rFonts w:ascii="Times New Roman" w:cs="Times New Roman" w:eastAsia="Times New Roman" w:hAnsi="Times New Roman"/>
          <w:sz w:val="24"/>
          <w:szCs w:val="24"/>
          <w:rtl w:val="0"/>
        </w:rPr>
        <w:t xml:space="preserve">or ‘</w:t>
      </w:r>
      <w:r w:rsidDel="00000000" w:rsidR="00000000" w:rsidRPr="00000000">
        <w:rPr>
          <w:rFonts w:ascii="Times New Roman" w:cs="Times New Roman" w:eastAsia="Times New Roman" w:hAnsi="Times New Roman"/>
          <w:i w:val="1"/>
          <w:sz w:val="24"/>
          <w:szCs w:val="24"/>
          <w:rtl w:val="0"/>
        </w:rPr>
        <w:t xml:space="preserve">sharanarthi’</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illegal infiltrator’</w:t>
      </w:r>
      <w:r w:rsidDel="00000000" w:rsidR="00000000" w:rsidRPr="00000000">
        <w:rPr>
          <w:rFonts w:ascii="Times New Roman" w:cs="Times New Roman" w:eastAsia="Times New Roman" w:hAnsi="Times New Roman"/>
          <w:sz w:val="24"/>
          <w:szCs w:val="24"/>
          <w:rtl w:val="0"/>
        </w:rPr>
        <w:t xml:space="preserve"> or ‘</w:t>
      </w:r>
      <w:r w:rsidDel="00000000" w:rsidR="00000000" w:rsidRPr="00000000">
        <w:rPr>
          <w:rFonts w:ascii="Times New Roman" w:cs="Times New Roman" w:eastAsia="Times New Roman" w:hAnsi="Times New Roman"/>
          <w:i w:val="1"/>
          <w:sz w:val="24"/>
          <w:szCs w:val="24"/>
          <w:rtl w:val="0"/>
        </w:rPr>
        <w:t xml:space="preserve">avaidh</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ghuspaithiya</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 (also translated in variants of illegal migrant, intruder and infiltrator), solely predicated on gemeinschaft ethno-religious denomination: </w:t>
      </w:r>
      <w:r w:rsidDel="00000000" w:rsidR="00000000" w:rsidRPr="00000000">
        <w:rPr>
          <w:rFonts w:ascii="Times New Roman" w:cs="Times New Roman" w:eastAsia="Times New Roman" w:hAnsi="Times New Roman"/>
          <w:i w:val="1"/>
          <w:sz w:val="24"/>
          <w:szCs w:val="24"/>
          <w:rtl w:val="0"/>
        </w:rPr>
        <w:t xml:space="preserve">“I wish to make this clear. There should be no confusion among the people and no confusion in the media. There is a distinction between </w:t>
      </w:r>
      <w:r w:rsidDel="00000000" w:rsidR="00000000" w:rsidRPr="00000000">
        <w:rPr>
          <w:rFonts w:ascii="Times New Roman" w:cs="Times New Roman" w:eastAsia="Times New Roman" w:hAnsi="Times New Roman"/>
          <w:i w:val="1"/>
          <w:sz w:val="24"/>
          <w:szCs w:val="24"/>
          <w:rtl w:val="0"/>
        </w:rPr>
        <w:t xml:space="preserve">ghuspaithiye</w:t>
      </w:r>
      <w:r w:rsidDel="00000000" w:rsidR="00000000" w:rsidRPr="00000000">
        <w:rPr>
          <w:rFonts w:ascii="Times New Roman" w:cs="Times New Roman" w:eastAsia="Times New Roman" w:hAnsi="Times New Roman"/>
          <w:i w:val="1"/>
          <w:sz w:val="24"/>
          <w:szCs w:val="24"/>
          <w:rtl w:val="0"/>
        </w:rPr>
        <w:t xml:space="preserve"> and </w:t>
      </w:r>
      <w:r w:rsidDel="00000000" w:rsidR="00000000" w:rsidRPr="00000000">
        <w:rPr>
          <w:rFonts w:ascii="Times New Roman" w:cs="Times New Roman" w:eastAsia="Times New Roman" w:hAnsi="Times New Roman"/>
          <w:i w:val="1"/>
          <w:sz w:val="24"/>
          <w:szCs w:val="24"/>
          <w:rtl w:val="0"/>
        </w:rPr>
        <w:t xml:space="preserve">sharanarthis</w:t>
      </w:r>
      <w:r w:rsidDel="00000000" w:rsidR="00000000" w:rsidRPr="00000000">
        <w:rPr>
          <w:rFonts w:ascii="Times New Roman" w:cs="Times New Roman" w:eastAsia="Times New Roman" w:hAnsi="Times New Roman"/>
          <w:i w:val="1"/>
          <w:sz w:val="24"/>
          <w:szCs w:val="24"/>
          <w:rtl w:val="0"/>
        </w:rPr>
        <w:t xml:space="preserve">. Any person who leaves one country and goes to another in order to protect his dignity (</w:t>
      </w:r>
      <w:r w:rsidDel="00000000" w:rsidR="00000000" w:rsidRPr="00000000">
        <w:rPr>
          <w:rFonts w:ascii="Times New Roman" w:cs="Times New Roman" w:eastAsia="Times New Roman" w:hAnsi="Times New Roman"/>
          <w:i w:val="1"/>
          <w:sz w:val="24"/>
          <w:szCs w:val="24"/>
          <w:rtl w:val="0"/>
        </w:rPr>
        <w:t xml:space="preserve">maanyata</w:t>
      </w:r>
      <w:r w:rsidDel="00000000" w:rsidR="00000000" w:rsidRPr="00000000">
        <w:rPr>
          <w:rFonts w:ascii="Times New Roman" w:cs="Times New Roman" w:eastAsia="Times New Roman" w:hAnsi="Times New Roman"/>
          <w:i w:val="1"/>
          <w:sz w:val="24"/>
          <w:szCs w:val="24"/>
          <w:rtl w:val="0"/>
        </w:rPr>
        <w:t xml:space="preserve">), his identity (astitva), his self-respect (</w:t>
      </w:r>
      <w:r w:rsidDel="00000000" w:rsidR="00000000" w:rsidRPr="00000000">
        <w:rPr>
          <w:rFonts w:ascii="Times New Roman" w:cs="Times New Roman" w:eastAsia="Times New Roman" w:hAnsi="Times New Roman"/>
          <w:i w:val="1"/>
          <w:sz w:val="24"/>
          <w:szCs w:val="24"/>
          <w:rtl w:val="0"/>
        </w:rPr>
        <w:t xml:space="preserve">svamaan</w:t>
      </w:r>
      <w:r w:rsidDel="00000000" w:rsidR="00000000" w:rsidRPr="00000000">
        <w:rPr>
          <w:rFonts w:ascii="Times New Roman" w:cs="Times New Roman" w:eastAsia="Times New Roman" w:hAnsi="Times New Roman"/>
          <w:i w:val="1"/>
          <w:sz w:val="24"/>
          <w:szCs w:val="24"/>
          <w:rtl w:val="0"/>
        </w:rPr>
        <w:t xml:space="preserve">), his religion (</w:t>
      </w:r>
      <w:r w:rsidDel="00000000" w:rsidR="00000000" w:rsidRPr="00000000">
        <w:rPr>
          <w:rFonts w:ascii="Times New Roman" w:cs="Times New Roman" w:eastAsia="Times New Roman" w:hAnsi="Times New Roman"/>
          <w:i w:val="1"/>
          <w:sz w:val="24"/>
          <w:szCs w:val="24"/>
          <w:rtl w:val="0"/>
        </w:rPr>
        <w:t xml:space="preserve">dharm</w:t>
      </w:r>
      <w:r w:rsidDel="00000000" w:rsidR="00000000" w:rsidRPr="00000000">
        <w:rPr>
          <w:rFonts w:ascii="Times New Roman" w:cs="Times New Roman" w:eastAsia="Times New Roman" w:hAnsi="Times New Roman"/>
          <w:i w:val="1"/>
          <w:sz w:val="24"/>
          <w:szCs w:val="24"/>
          <w:rtl w:val="0"/>
        </w:rPr>
        <w:t xml:space="preserve">), he is a </w:t>
      </w:r>
      <w:r w:rsidDel="00000000" w:rsidR="00000000" w:rsidRPr="00000000">
        <w:rPr>
          <w:rFonts w:ascii="Times New Roman" w:cs="Times New Roman" w:eastAsia="Times New Roman" w:hAnsi="Times New Roman"/>
          <w:i w:val="1"/>
          <w:sz w:val="24"/>
          <w:szCs w:val="24"/>
          <w:rtl w:val="0"/>
        </w:rPr>
        <w:t xml:space="preserve">sharanarthi</w:t>
      </w:r>
      <w:r w:rsidDel="00000000" w:rsidR="00000000" w:rsidRPr="00000000">
        <w:rPr>
          <w:rFonts w:ascii="Times New Roman" w:cs="Times New Roman" w:eastAsia="Times New Roman" w:hAnsi="Times New Roman"/>
          <w:i w:val="1"/>
          <w:sz w:val="24"/>
          <w:szCs w:val="24"/>
          <w:rtl w:val="0"/>
        </w:rPr>
        <w:t xml:space="preserve">. A person who enters a country illegally for livelihood or other reasons is a </w:t>
      </w:r>
      <w:r w:rsidDel="00000000" w:rsidR="00000000" w:rsidRPr="00000000">
        <w:rPr>
          <w:rFonts w:ascii="Times New Roman" w:cs="Times New Roman" w:eastAsia="Times New Roman" w:hAnsi="Times New Roman"/>
          <w:i w:val="1"/>
          <w:sz w:val="24"/>
          <w:szCs w:val="24"/>
          <w:rtl w:val="0"/>
        </w:rPr>
        <w:t xml:space="preserve">ghuspaithiya</w:t>
      </w:r>
      <w:r w:rsidDel="00000000" w:rsidR="00000000" w:rsidRPr="00000000">
        <w:rPr>
          <w:rFonts w:ascii="Times New Roman" w:cs="Times New Roman" w:eastAsia="Times New Roman" w:hAnsi="Times New Roman"/>
          <w:i w:val="1"/>
          <w:sz w:val="24"/>
          <w:szCs w:val="24"/>
          <w:rtl w:val="0"/>
        </w:rPr>
        <w:t xml:space="preserve">. There is no confusion at all in the mind of the Bharatiya Janata Party on this matter.”</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Fonts w:ascii="Times New Roman" w:cs="Times New Roman" w:eastAsia="Times New Roman" w:hAnsi="Times New Roman"/>
          <w:sz w:val="24"/>
          <w:szCs w:val="24"/>
          <w:rtl w:val="0"/>
        </w:rPr>
        <w:t xml:space="preserve"> Even after such subtle clarifications made between these two categories of non-citizens, the approach of managing this affiliated identity remains problematic. The selective dispossession of refugee passage in this sense consists of double-edged political moves— </w:t>
      </w:r>
      <w:r w:rsidDel="00000000" w:rsidR="00000000" w:rsidRPr="00000000">
        <w:rPr>
          <w:rFonts w:ascii="Times New Roman" w:cs="Times New Roman" w:eastAsia="Times New Roman" w:hAnsi="Times New Roman"/>
          <w:i w:val="1"/>
          <w:sz w:val="24"/>
          <w:szCs w:val="24"/>
          <w:rtl w:val="0"/>
        </w:rPr>
        <w:t xml:space="preserve">‘the ousting of disfavoured groups and the simultaneous invitation to preferred groups’ </w:t>
      </w:r>
      <w:r w:rsidDel="00000000" w:rsidR="00000000" w:rsidRPr="00000000">
        <w:rPr>
          <w:rFonts w:ascii="Times New Roman" w:cs="Times New Roman" w:eastAsia="Times New Roman" w:hAnsi="Times New Roman"/>
          <w:sz w:val="24"/>
          <w:szCs w:val="24"/>
          <w:rtl w:val="0"/>
        </w:rPr>
        <w:t xml:space="preserve">(Niraja Gopal Jayal, 2019)</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feasibly impacting the state’s locale. Here, the formation of a discourse through the trio of language, ideology, and social practice (Norman Fairclough, 1989) are interrelated and can be found to impact the situational (Refugee Identity), institutional (Laws/Adjudicatory authority/Union of States), and societal (Ethnic Civic Community) level of politics (Norman Fairclough, 1995). This is somewhat similar to what our founding fathers proposed (Alladi Krishnaswami Ayyar in CAD</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Fonts w:ascii="Times New Roman" w:cs="Times New Roman" w:eastAsia="Times New Roman" w:hAnsi="Times New Roman"/>
          <w:sz w:val="24"/>
          <w:szCs w:val="24"/>
          <w:rtl w:val="0"/>
        </w:rPr>
        <w:t xml:space="preserve">) and believed in, except the religious faith. iii.) In response to the September 20, 2018, SC Order</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Fonts w:ascii="Times New Roman" w:cs="Times New Roman" w:eastAsia="Times New Roman" w:hAnsi="Times New Roman"/>
          <w:sz w:val="24"/>
          <w:szCs w:val="24"/>
          <w:rtl w:val="0"/>
        </w:rPr>
        <w:t xml:space="preserve">, on 9th January 2019, MHA framed 39 points of </w:t>
      </w:r>
      <w:r w:rsidDel="00000000" w:rsidR="00000000" w:rsidRPr="00000000">
        <w:rPr>
          <w:rFonts w:ascii="Times New Roman" w:cs="Times New Roman" w:eastAsia="Times New Roman" w:hAnsi="Times New Roman"/>
          <w:i w:val="1"/>
          <w:sz w:val="24"/>
          <w:szCs w:val="24"/>
          <w:rtl w:val="0"/>
        </w:rPr>
        <w:t xml:space="preserve">‘Model Detention Centre/ Holding Centre/ Camp Manual’</w:t>
      </w:r>
      <w:r w:rsidDel="00000000" w:rsidR="00000000" w:rsidRPr="00000000">
        <w:rPr>
          <w:rFonts w:ascii="Times New Roman" w:cs="Times New Roman" w:eastAsia="Times New Roman" w:hAnsi="Times New Roman"/>
          <w:sz w:val="24"/>
          <w:szCs w:val="24"/>
          <w:rtl w:val="0"/>
        </w:rPr>
        <w:t xml:space="preserve">, which was circulated in official capacity to all the States</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Fonts w:ascii="Times New Roman" w:cs="Times New Roman" w:eastAsia="Times New Roman" w:hAnsi="Times New Roman"/>
          <w:sz w:val="24"/>
          <w:szCs w:val="24"/>
          <w:rtl w:val="0"/>
        </w:rPr>
        <w:t xml:space="preserve"> and UTs. This entrusted the administrators of UTs [under Art.239 (1)] and States [under Art.258 (1)], the power to deport and manage the movement or presence of aliens staying illegally in the country. As per the recorded manual, now States do not require any specific approval from the Centre in terms of deciding the numbers and size or setting up of the detention centres. But, it should only be built outside the jail premises with proper conditions and amenities to maintain the standards of living in consonance with human dignity</w:t>
      </w:r>
      <w:r w:rsidDel="00000000" w:rsidR="00000000" w:rsidRPr="00000000">
        <w:rPr>
          <w:rFonts w:ascii="Times New Roman" w:cs="Times New Roman" w:eastAsia="Times New Roman" w:hAnsi="Times New Roman"/>
          <w:sz w:val="24"/>
          <w:szCs w:val="24"/>
          <w:vertAlign w:val="superscript"/>
        </w:rPr>
        <w:footnoteReference w:customMarkFollows="0" w:id="15"/>
      </w:r>
      <w:r w:rsidDel="00000000" w:rsidR="00000000" w:rsidRPr="00000000">
        <w:rPr>
          <w:rFonts w:ascii="Times New Roman" w:cs="Times New Roman" w:eastAsia="Times New Roman" w:hAnsi="Times New Roman"/>
          <w:sz w:val="24"/>
          <w:szCs w:val="24"/>
          <w:rtl w:val="0"/>
        </w:rPr>
        <w:t xml:space="preserve">. Now, it is interesting to note that how this overshadowing of responsibility</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upon States</w:t>
      </w:r>
      <w:r w:rsidDel="00000000" w:rsidR="00000000" w:rsidRPr="00000000">
        <w:rPr>
          <w:rFonts w:ascii="Times New Roman" w:cs="Times New Roman" w:eastAsia="Times New Roman" w:hAnsi="Times New Roman"/>
          <w:sz w:val="24"/>
          <w:szCs w:val="24"/>
          <w:rtl w:val="0"/>
        </w:rPr>
        <w:t xml:space="preserve"> affect the doctrine of Territorial Nexus (Art.245) and doctrine of Repugnancy (Art.254), as the Centre still continues to enjoy the same power under the Section 3 sub-section(2) clause (c) of the Foreigners Act, 1946. iv.) On 30th May 2019, the Ministry of Home Affairs (MHA) issued a notification amending some clauses of the Foreigners (Tribunals) Order, 1964,</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Fonts w:ascii="Times New Roman" w:cs="Times New Roman" w:eastAsia="Times New Roman" w:hAnsi="Times New Roman"/>
          <w:sz w:val="24"/>
          <w:szCs w:val="24"/>
          <w:rtl w:val="0"/>
        </w:rPr>
        <w:t xml:space="preserve"> which made two significant changes- a.) The new insertions in the Act converted the existing clause 3A into clause 3C, by empowering the district magistrates (DMs), as the custodian of all the official documents to handover the suspected foreigners’ case to a tribunal, based on her/his own judgement or in the case of those whose citizenship is doubtful or is under question and to those who still have not appealed to a tribunal within two months of a case registered against them. Alongside, it empowered all the State Governments and Union Territory’s administration to build tribunals to decide whether a person’s legal identification of being a citizen is true or not, or whether, to be precise, is it in consonance with the Foreigners Act, 1946. Earlier, the power to erect tribunals were only entrusted with the Centre. b.) The amendment also allows individuals to approach the Foreigner’s Tribunal. As earlier, only the state administration had the onus to move to the tribunal against a suspect, which turned the doorway more democratic. v.) From a ‘century of partitions’ to the ‘century of stateless people’ (Ranabir Samaddar, 2018) and to the massive extension of ‘disturbed zone of citizenship</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(Anupama Roy, 2010), the Centre-States interaction upon non-citizens’ access to public benefits, (i.e., Right to education, land, shelter, food, etc.) on the basis of jus sanguinis or ethnic belongingness (more communitarian in nature) became the prime focus in 2019, particularly in the states of Assam, West Bengal and Mizoram (discussed in the upcoming section). The debate over the idea of ‘unconditional hospitality</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Fonts w:ascii="Times New Roman" w:cs="Times New Roman" w:eastAsia="Times New Roman" w:hAnsi="Times New Roman"/>
          <w:sz w:val="24"/>
          <w:szCs w:val="24"/>
          <w:rtl w:val="0"/>
        </w:rPr>
        <w:t xml:space="preserve">’(Jacques Derrida, 2005) in terms of locally integrating (based on Walzerian model of liberal citizenship, 1989) or segregating (based on the Republican model of civic self-rule) the Refugee population from the state’s welfare policies became the electioneering axis.</w:t>
      </w:r>
    </w:p>
    <w:p w:rsidR="00000000" w:rsidDel="00000000" w:rsidP="00000000" w:rsidRDefault="00000000" w:rsidRPr="00000000" w14:paraId="0000004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Some highlights of 2019 politico-legal developments were just an addition to the existing antecedent gaps on Government of India’s ambiguous approach towards the Refugees. Hitherto, India dealt with the issue of refugees by applying an ambiguous and differential logic on an ‘ad hoc’ and ‘case-by-case’ basis, as it lacks a national legal framework defining and securing the refugees as a category of concern. However, it cannot be denied that there were no attempts in the past to materialise the claims for the protection of refugees in India. There were three such instances when idea for bills were proposed with zeal for national refugees’ protection (in the year 1997</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Fonts w:ascii="Times New Roman" w:cs="Times New Roman" w:eastAsia="Times New Roman" w:hAnsi="Times New Roman"/>
          <w:sz w:val="24"/>
          <w:szCs w:val="24"/>
          <w:rtl w:val="0"/>
        </w:rPr>
        <w:t xml:space="preserve">, 2006</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2015</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Fonts w:ascii="Times New Roman" w:cs="Times New Roman" w:eastAsia="Times New Roman" w:hAnsi="Times New Roman"/>
          <w:sz w:val="24"/>
          <w:szCs w:val="24"/>
          <w:rtl w:val="0"/>
        </w:rPr>
        <w:t xml:space="preserve"> respectively), but the GOI rejected these proposals citing national security concerns. Yet, the question comes as to how India, given its past complex migration historical moments, monitors these ‘Refugees’? Is there any legal definition that binds GOI to govern these unrecognised immigrants? Where do they feature in the Indian constitution and legal institutional setup of the government as a meso-level identity? Does this legal inertia of national asylum policy impact Indian federalism? How Refugees are defined in Indian polity? The following section provides a doctrinal legal presentation to answer the above posed questions.</w:t>
      </w:r>
    </w:p>
    <w:p w:rsidR="00000000" w:rsidDel="00000000" w:rsidP="00000000" w:rsidRDefault="00000000" w:rsidRPr="00000000" w14:paraId="00000049">
      <w:pPr>
        <w:numPr>
          <w:ilvl w:val="0"/>
          <w:numId w:val="7"/>
        </w:numPr>
        <w:spacing w:line="48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INDIAN FEDERAL SYSTEM MANOEUVRING REFUGEES: THE LEGAL TRAJECTORY</w:t>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 as a State-Nation and not Nation-States (Stepan, Linz and Yadav, 2011) has relied its post-colonial federal constitutional politics upon integration/convergence and not assimilation/hegemony, which got particularly strengthened with the rise of coalitional electoral politics in India since 1989. “The idea of nation-states is naturally meant </w:t>
      </w:r>
      <w:r w:rsidDel="00000000" w:rsidR="00000000" w:rsidRPr="00000000">
        <w:rPr>
          <w:rFonts w:ascii="Times New Roman" w:cs="Times New Roman" w:eastAsia="Times New Roman" w:hAnsi="Times New Roman"/>
          <w:sz w:val="24"/>
          <w:szCs w:val="24"/>
          <w:rtl w:val="0"/>
        </w:rPr>
        <w:t xml:space="preserve">to</w:t>
      </w:r>
      <w:r w:rsidDel="00000000" w:rsidR="00000000" w:rsidRPr="00000000">
        <w:rPr>
          <w:rFonts w:ascii="Times New Roman" w:cs="Times New Roman" w:eastAsia="Times New Roman" w:hAnsi="Times New Roman"/>
          <w:sz w:val="24"/>
          <w:szCs w:val="24"/>
          <w:rtl w:val="0"/>
        </w:rPr>
        <w:t xml:space="preserve"> be assimilationist and non-inclusive. Amputation of ethno-cultural variances and </w:t>
      </w:r>
      <w:r w:rsidDel="00000000" w:rsidR="00000000" w:rsidRPr="00000000">
        <w:rPr>
          <w:rFonts w:ascii="Times New Roman" w:cs="Times New Roman" w:eastAsia="Times New Roman" w:hAnsi="Times New Roman"/>
          <w:sz w:val="24"/>
          <w:szCs w:val="24"/>
          <w:rtl w:val="0"/>
        </w:rPr>
        <w:t xml:space="preserve">multiplexities</w:t>
      </w:r>
      <w:r w:rsidDel="00000000" w:rsidR="00000000" w:rsidRPr="00000000">
        <w:rPr>
          <w:rFonts w:ascii="Times New Roman" w:cs="Times New Roman" w:eastAsia="Times New Roman" w:hAnsi="Times New Roman"/>
          <w:sz w:val="24"/>
          <w:szCs w:val="24"/>
          <w:rtl w:val="0"/>
        </w:rPr>
        <w:t xml:space="preserve"> is one of the fundamentals of Nation-States. In </w:t>
      </w:r>
      <w:r w:rsidDel="00000000" w:rsidR="00000000" w:rsidRPr="00000000">
        <w:rPr>
          <w:rFonts w:ascii="Times New Roman" w:cs="Times New Roman" w:eastAsia="Times New Roman" w:hAnsi="Times New Roman"/>
          <w:sz w:val="24"/>
          <w:szCs w:val="24"/>
          <w:rtl w:val="0"/>
        </w:rPr>
        <w:t xml:space="preserve">contrary</w:t>
      </w:r>
      <w:r w:rsidDel="00000000" w:rsidR="00000000" w:rsidRPr="00000000">
        <w:rPr>
          <w:rFonts w:ascii="Times New Roman" w:cs="Times New Roman" w:eastAsia="Times New Roman" w:hAnsi="Times New Roman"/>
          <w:sz w:val="24"/>
          <w:szCs w:val="24"/>
          <w:rtl w:val="0"/>
        </w:rPr>
        <w:t xml:space="preserve">, State-Nation policies are functional at two levels: a.) creation of a sense of belonging with respect to the larger political community; b.) placement of institutional guarantees for the protection of politically vibrant variances, such as linguistics, religion and ethno-culture based sacred norms. And if it’s territorially bounded, then federalism becomes a necessary condition for the protection of such variances and diversities. And having two or more political identities is not considered subversive to the nation'' (Rudolph and Rudolph, 2010). An independent journey from 14 to 28 states, post-1947 was all about such management of ‘museum of races’ (Joseph Deniker, 1990) with territorial social diversity</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Fonts w:ascii="Times New Roman" w:cs="Times New Roman" w:eastAsia="Times New Roman" w:hAnsi="Times New Roman"/>
          <w:sz w:val="24"/>
          <w:szCs w:val="24"/>
          <w:rtl w:val="0"/>
        </w:rPr>
        <w:t xml:space="preserve"> adjustments on the basis of Language and Tribe (Nehruvian political management), which made the presence of Nationalism and Sub-nationalism in India, a stable feature of ‘holding together’ federation. Post-2014, the National Institution for Transforming India (NITI) AAYOG as a nucleus of cooperative and competitive federalism, has tried to empower the analogical metaphor of ‘salad bowl’ by attenuating the ‘melting pot’ logic with the temporal evolution, but it's just limited to the fiscal front. Whereas, the political intentions seem missing in terms of strengthening the ‘salad bowl’. This clearly exhibits the presence of the ‘melting pot’ logic active at the functional level of politics (visible in political parties and their manifestos or leader’s speeches) which is unparalleled to the existing structural ideals mentioned in the Indian Constitution.</w:t>
      </w:r>
    </w:p>
    <w:p w:rsidR="00000000" w:rsidDel="00000000" w:rsidP="00000000" w:rsidRDefault="00000000" w:rsidRPr="00000000" w14:paraId="0000004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to decipher how the Refugee Identity is defined, situated and operated in Indian polity, we first need to analyse the historicist (Foucauldian) and the neo-historicist (Derridian) available sources to understand the GOI’s approach, setting their space of compounded ambiguities between the Centre-State interaction. According to Philip Mahwood (1984), in a culturally diversified developing country like India, federalism is chosen not merely for administrative requirements but for the very survival of the nation. That is why, the framers of the Indian Constitution even avoided using the word ‘federal’ once in the document, due to the fear of further disunity and secession</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rPr>
          <w:rFonts w:ascii="Times New Roman" w:cs="Times New Roman" w:eastAsia="Times New Roman" w:hAnsi="Times New Roman"/>
          <w:sz w:val="24"/>
          <w:szCs w:val="24"/>
          <w:rtl w:val="0"/>
        </w:rPr>
        <w:t xml:space="preserve">. Dr. B.R.Ambedkar (1948) also stated the reason as to why the Drafting Committee opted for ‘Union of States</w:t>
      </w:r>
      <w:r w:rsidDel="00000000" w:rsidR="00000000" w:rsidRPr="00000000">
        <w:rPr>
          <w:rFonts w:ascii="Times New Roman" w:cs="Times New Roman" w:eastAsia="Times New Roman" w:hAnsi="Times New Roman"/>
          <w:sz w:val="24"/>
          <w:szCs w:val="24"/>
          <w:vertAlign w:val="superscript"/>
        </w:rPr>
        <w:footnoteReference w:customMarkFollows="0" w:id="25"/>
      </w:r>
      <w:r w:rsidDel="00000000" w:rsidR="00000000" w:rsidRPr="00000000">
        <w:rPr>
          <w:rFonts w:ascii="Times New Roman" w:cs="Times New Roman" w:eastAsia="Times New Roman" w:hAnsi="Times New Roman"/>
          <w:sz w:val="24"/>
          <w:szCs w:val="24"/>
          <w:rtl w:val="0"/>
        </w:rPr>
        <w:t xml:space="preserve">’ and not a fully federalised political system. He remarked that “</w:t>
      </w:r>
      <w:r w:rsidDel="00000000" w:rsidR="00000000" w:rsidRPr="00000000">
        <w:rPr>
          <w:rFonts w:ascii="Times New Roman" w:cs="Times New Roman" w:eastAsia="Times New Roman" w:hAnsi="Times New Roman"/>
          <w:i w:val="1"/>
          <w:sz w:val="24"/>
          <w:szCs w:val="24"/>
          <w:rtl w:val="0"/>
        </w:rPr>
        <w:t xml:space="preserve">the Federation was not the result of an agreement by the States to join in a Federation... the Federation not being the result of an agreement, no State has the right to secede from it. The Federation is a Union because it is indestructible. </w:t>
      </w:r>
      <w:r w:rsidDel="00000000" w:rsidR="00000000" w:rsidRPr="00000000">
        <w:rPr>
          <w:rFonts w:ascii="Times New Roman" w:cs="Times New Roman" w:eastAsia="Times New Roman" w:hAnsi="Times New Roman"/>
          <w:i w:val="1"/>
          <w:sz w:val="24"/>
          <w:szCs w:val="24"/>
          <w:rtl w:val="0"/>
        </w:rPr>
        <w:t xml:space="preserve">Though</w:t>
      </w:r>
      <w:r w:rsidDel="00000000" w:rsidR="00000000" w:rsidRPr="00000000">
        <w:rPr>
          <w:rFonts w:ascii="Times New Roman" w:cs="Times New Roman" w:eastAsia="Times New Roman" w:hAnsi="Times New Roman"/>
          <w:i w:val="1"/>
          <w:sz w:val="24"/>
          <w:szCs w:val="24"/>
          <w:rtl w:val="0"/>
        </w:rPr>
        <w:t xml:space="preserve"> the country and the people may be divided into different States for convenience of administration… the country is one integral whole, its people a single people living under a single imperium derived from a single source.” </w:t>
      </w:r>
      <w:r w:rsidDel="00000000" w:rsidR="00000000" w:rsidRPr="00000000">
        <w:rPr>
          <w:rFonts w:ascii="Times New Roman" w:cs="Times New Roman" w:eastAsia="Times New Roman" w:hAnsi="Times New Roman"/>
          <w:sz w:val="24"/>
          <w:szCs w:val="24"/>
          <w:rtl w:val="0"/>
        </w:rPr>
        <w:t xml:space="preserve">Also, while introducing the draft constitution to the Constituent Assembly, he emphasised that the constitution was federal to the extent it introduced a ‘dual polity’ in which </w:t>
      </w:r>
      <w:r w:rsidDel="00000000" w:rsidR="00000000" w:rsidRPr="00000000">
        <w:rPr>
          <w:rFonts w:ascii="Times New Roman" w:cs="Times New Roman" w:eastAsia="Times New Roman" w:hAnsi="Times New Roman"/>
          <w:i w:val="1"/>
          <w:sz w:val="24"/>
          <w:szCs w:val="24"/>
          <w:rtl w:val="0"/>
        </w:rPr>
        <w:t xml:space="preserve">“the Centre and the States each have sovereign powers exercised in fields established by the constitution. But the flexibility inherent in the Indian constitution distinguished the proposed Indian model of federalism from all that had gone before. All federal systems including the American are placed in a tight mould of federalism. No matter what the circumstances, it cannot change its form and shape. It can never be unitary. On the other hand, Draft Constitution can be both unitary as well as federal according to the requirements of time and circumstances” </w:t>
      </w:r>
      <w:r w:rsidDel="00000000" w:rsidR="00000000" w:rsidRPr="00000000">
        <w:rPr>
          <w:rFonts w:ascii="Times New Roman" w:cs="Times New Roman" w:eastAsia="Times New Roman" w:hAnsi="Times New Roman"/>
          <w:sz w:val="24"/>
          <w:szCs w:val="24"/>
          <w:rtl w:val="0"/>
        </w:rPr>
        <w:t xml:space="preserve">(Ambedkar, 1948). This means that in the normal circumstances, the constitution can work as a federal system. But in times of emergency, it is artificed in such a manner, as though it was a centralised and unitary system. Such a magnificence of systemic metamorphosis of constitutional prowess is itself an exemplar that no federation possesses till date. This power of systemic conversion is the key distinction between the Federation proposed in the Draft Constitution, and the rest of the global Federations in existence (Louise Tillin, 2019). The Constituent Assembly had contrived a prototypical feature which enabled the Union with prudence to act fast with relatively few checks in instances where internal or external crises threatened peace and stability. The constitution also designed a model of strong interdependence between the Union and the state governments, which aimed to impel both the levels of government to work in unity for the resolution of matters of national importance. So here, we can say that the word ‘federal’ was intentionally avoided by the Constituent Assembly. But since 1994, it has been legally recognised as part of the constitution’s Basic Structure Doctrine (BSD) which cannot be amended. Federalism was recognised as part of the ‘basic structure’ by the Supreme Court in </w:t>
      </w:r>
      <w:r w:rsidDel="00000000" w:rsidR="00000000" w:rsidRPr="00000000">
        <w:rPr>
          <w:rFonts w:ascii="Times New Roman" w:cs="Times New Roman" w:eastAsia="Times New Roman" w:hAnsi="Times New Roman"/>
          <w:i w:val="1"/>
          <w:sz w:val="24"/>
          <w:szCs w:val="24"/>
          <w:rtl w:val="0"/>
        </w:rPr>
        <w:t xml:space="preserve">SR Bommai v. Union of India, (1994)</w:t>
      </w:r>
      <w:r w:rsidDel="00000000" w:rsidR="00000000" w:rsidRPr="00000000">
        <w:rPr>
          <w:rFonts w:ascii="Times New Roman" w:cs="Times New Roman" w:eastAsia="Times New Roman" w:hAnsi="Times New Roman"/>
          <w:sz w:val="24"/>
          <w:szCs w:val="24"/>
          <w:rtl w:val="0"/>
        </w:rPr>
        <w:t xml:space="preserve">, and</w:t>
      </w:r>
      <w:r w:rsidDel="00000000" w:rsidR="00000000" w:rsidRPr="00000000">
        <w:rPr>
          <w:rFonts w:ascii="Times New Roman" w:cs="Times New Roman" w:eastAsia="Times New Roman" w:hAnsi="Times New Roman"/>
          <w:i w:val="1"/>
          <w:sz w:val="24"/>
          <w:szCs w:val="24"/>
          <w:rtl w:val="0"/>
        </w:rPr>
        <w:t xml:space="preserve"> Kuldip Nayar v. Union of India, (2006)</w:t>
      </w:r>
      <w:r w:rsidDel="00000000" w:rsidR="00000000" w:rsidRPr="00000000">
        <w:rPr>
          <w:rFonts w:ascii="Times New Roman" w:cs="Times New Roman" w:eastAsia="Times New Roman" w:hAnsi="Times New Roman"/>
          <w:sz w:val="24"/>
          <w:szCs w:val="24"/>
          <w:rtl w:val="0"/>
        </w:rPr>
        <w:t xml:space="preserve">. But as the Chief Justice said in the Kuldip Nayar ruling, </w:t>
      </w:r>
      <w:r w:rsidDel="00000000" w:rsidR="00000000" w:rsidRPr="00000000">
        <w:rPr>
          <w:rFonts w:ascii="Times New Roman" w:cs="Times New Roman" w:eastAsia="Times New Roman" w:hAnsi="Times New Roman"/>
          <w:i w:val="1"/>
          <w:sz w:val="24"/>
          <w:szCs w:val="24"/>
          <w:rtl w:val="0"/>
        </w:rPr>
        <w:t xml:space="preserve">‘the federal principle is dominant in our Constitution and that principle is one of its basic features……. it is also equally true that federalism under the Indian Constitution leans in favour of a strong Centre’</w:t>
      </w:r>
      <w:r w:rsidDel="00000000" w:rsidR="00000000" w:rsidRPr="00000000">
        <w:rPr>
          <w:rFonts w:ascii="Times New Roman" w:cs="Times New Roman" w:eastAsia="Times New Roman" w:hAnsi="Times New Roman"/>
          <w:sz w:val="24"/>
          <w:szCs w:val="24"/>
          <w:rtl w:val="0"/>
        </w:rPr>
        <w:t xml:space="preserve">. This depicts that India is open to varied interpretations on deciding its nature of federalism, be it on any domain (fiscal, constitutional, immigration, etc.), it will continue to remain an example of asymmetrical federation. Therefore, to situate the location of Refugees in Indian Federal setup, we need to decode the strategies that India adopted in dealing with Refugee Crisis Management in the past.</w:t>
      </w:r>
    </w:p>
    <w:p w:rsidR="00000000" w:rsidDel="00000000" w:rsidP="00000000" w:rsidRDefault="00000000" w:rsidRPr="00000000" w14:paraId="0000004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 legally manages Refugees with a two pronged strategy: at the (i.) </w:t>
      </w:r>
      <w:r w:rsidDel="00000000" w:rsidR="00000000" w:rsidRPr="00000000">
        <w:rPr>
          <w:rFonts w:ascii="Times New Roman" w:cs="Times New Roman" w:eastAsia="Times New Roman" w:hAnsi="Times New Roman"/>
          <w:i w:val="1"/>
          <w:sz w:val="24"/>
          <w:szCs w:val="24"/>
          <w:rtl w:val="0"/>
        </w:rPr>
        <w:t xml:space="preserve">inter-national level</w:t>
      </w:r>
      <w:r w:rsidDel="00000000" w:rsidR="00000000" w:rsidRPr="00000000">
        <w:rPr>
          <w:rFonts w:ascii="Times New Roman" w:cs="Times New Roman" w:eastAsia="Times New Roman" w:hAnsi="Times New Roman"/>
          <w:sz w:val="24"/>
          <w:szCs w:val="24"/>
          <w:rtl w:val="0"/>
        </w:rPr>
        <w:t xml:space="preserve">, and the (ii.) </w:t>
      </w:r>
      <w:r w:rsidDel="00000000" w:rsidR="00000000" w:rsidRPr="00000000">
        <w:rPr>
          <w:rFonts w:ascii="Times New Roman" w:cs="Times New Roman" w:eastAsia="Times New Roman" w:hAnsi="Times New Roman"/>
          <w:i w:val="1"/>
          <w:sz w:val="24"/>
          <w:szCs w:val="24"/>
          <w:rtl w:val="0"/>
        </w:rPr>
        <w:t xml:space="preserve">national level.</w:t>
      </w:r>
      <w:r w:rsidDel="00000000" w:rsidR="00000000" w:rsidRPr="00000000">
        <w:rPr>
          <w:rFonts w:ascii="Times New Roman" w:cs="Times New Roman" w:eastAsia="Times New Roman" w:hAnsi="Times New Roman"/>
          <w:sz w:val="24"/>
          <w:szCs w:val="24"/>
          <w:rtl w:val="0"/>
        </w:rPr>
        <w:t xml:space="preserve"> It's little critical to decipher its strategy at the</w:t>
      </w:r>
      <w:r w:rsidDel="00000000" w:rsidR="00000000" w:rsidRPr="00000000">
        <w:rPr>
          <w:rFonts w:ascii="Times New Roman" w:cs="Times New Roman" w:eastAsia="Times New Roman" w:hAnsi="Times New Roman"/>
          <w:i w:val="1"/>
          <w:sz w:val="24"/>
          <w:szCs w:val="24"/>
          <w:rtl w:val="0"/>
        </w:rPr>
        <w:t xml:space="preserve"> inter-national level</w:t>
      </w:r>
      <w:r w:rsidDel="00000000" w:rsidR="00000000" w:rsidRPr="00000000">
        <w:rPr>
          <w:rFonts w:ascii="Times New Roman" w:cs="Times New Roman" w:eastAsia="Times New Roman" w:hAnsi="Times New Roman"/>
          <w:sz w:val="24"/>
          <w:szCs w:val="24"/>
          <w:rtl w:val="0"/>
        </w:rPr>
        <w:t xml:space="preserve">, as India refused to sign the UN Convention on Refugees (1951)</w:t>
      </w:r>
      <w:r w:rsidDel="00000000" w:rsidR="00000000" w:rsidRPr="00000000">
        <w:rPr>
          <w:rFonts w:ascii="Times New Roman" w:cs="Times New Roman" w:eastAsia="Times New Roman" w:hAnsi="Times New Roman"/>
          <w:sz w:val="24"/>
          <w:szCs w:val="24"/>
          <w:vertAlign w:val="superscript"/>
        </w:rPr>
        <w:footnoteReference w:customMarkFollows="0" w:id="26"/>
      </w:r>
      <w:r w:rsidDel="00000000" w:rsidR="00000000" w:rsidRPr="00000000">
        <w:rPr>
          <w:rFonts w:ascii="Times New Roman" w:cs="Times New Roman" w:eastAsia="Times New Roman" w:hAnsi="Times New Roman"/>
          <w:sz w:val="24"/>
          <w:szCs w:val="24"/>
          <w:rtl w:val="0"/>
        </w:rPr>
        <w:t xml:space="preserve"> and Protocol Relating to the Status of Refugees (1967), which are the two most considered global legal documents on refugees, available in the aftermath of World War-II. The possible reasons as to why India averted its accession, can be well cited by Myron Weiner's remark that </w:t>
      </w:r>
      <w:r w:rsidDel="00000000" w:rsidR="00000000" w:rsidRPr="00000000">
        <w:rPr>
          <w:rFonts w:ascii="Times New Roman" w:cs="Times New Roman" w:eastAsia="Times New Roman" w:hAnsi="Times New Roman"/>
          <w:i w:val="1"/>
          <w:sz w:val="24"/>
          <w:szCs w:val="24"/>
          <w:rtl w:val="0"/>
        </w:rPr>
        <w:t xml:space="preserve">"borders in the South Asian region are highly permeable and that each South Asian state lacks the political, administrative or military capacity to enforce rules with regard to population entry. That the cross border movements of people in South Asia are known to affect political stability, international relations and internal security."</w:t>
      </w:r>
      <w:r w:rsidDel="00000000" w:rsidR="00000000" w:rsidRPr="00000000">
        <w:rPr>
          <w:rFonts w:ascii="Times New Roman" w:cs="Times New Roman" w:eastAsia="Times New Roman" w:hAnsi="Times New Roman"/>
          <w:sz w:val="24"/>
          <w:szCs w:val="24"/>
          <w:rtl w:val="0"/>
        </w:rPr>
        <w:t xml:space="preserve"> Additionally, South Asia's unstable geopolitics, volatile ethnicity, poverty and resource crunch are the most pressing postcolonial challenges, particularly, for the 'Union of States' like India to handle, making her vulnerable to fulfil the minimum standard of living to the refugees and especially when it is struggling hard to ensure one to its citizens. The 1971 exodus can be the best example to explain this aversion, when New Delhi had expectations from the core world to refund/aid a major part of the expenses that was incurred to look after the cholera-stricken refugee population along its eastern borders, particularly Bengal. The then permanent Indian representative at the UN, Samar Kumar Sen, requested for international aid. Subsequently, in May 1971, Sadruddin Aga Khan, the UN High Commissioner for Refugees (UNHCR), replied that it would be unrealistic to expect the UN to bear the full responsibility of financial burden. Nonetheless, an assistance of US$70 million grant-in-aid was provided with a condition (made jointly by the then UN Secretary General U Thant and Aga Khan) that the UNHCR would act as the ‘focal point' for the coordination of all UN assistance (by applying Art.35 of the Convention). This intended absence of pure aid commitment to the Indian government, tied with Sadruddin Aga Khan's visit to East Pakistan on the request of General Yahya Khan turned Indira Gandhi cynical of the UN’s neutral attitude in the operation. Hence, Indian stance towards the Global Refugee Regime (GRR) became more sceptical due to the reflections of political realities of the Cold War conditions. </w:t>
      </w:r>
      <w:r w:rsidDel="00000000" w:rsidR="00000000" w:rsidRPr="00000000">
        <w:rPr>
          <w:rFonts w:ascii="Times New Roman" w:cs="Times New Roman" w:eastAsia="Times New Roman" w:hAnsi="Times New Roman"/>
          <w:sz w:val="24"/>
          <w:szCs w:val="24"/>
          <w:rtl w:val="0"/>
        </w:rPr>
        <w:t xml:space="preserve">As Pakistan</w:t>
      </w:r>
      <w:r w:rsidDel="00000000" w:rsidR="00000000" w:rsidRPr="00000000">
        <w:rPr>
          <w:rFonts w:ascii="Times New Roman" w:cs="Times New Roman" w:eastAsia="Times New Roman" w:hAnsi="Times New Roman"/>
          <w:sz w:val="24"/>
          <w:szCs w:val="24"/>
          <w:rtl w:val="0"/>
        </w:rPr>
        <w:t xml:space="preserve">, until 1973 held SEATO membership and had an effective liaison with the USA after the signing of 1971 Indo-Soviet Friendship Treaty. However, since 1981 UNHCR has been operating with its offices in New Delhi and Chennai within its private capacities and a limited mandate under the nodal ministries of Ministry of External Affairs, Ministry of Home Affairs and NITI Aayog. Till date, there are no official reasons given by the GOI for this scepticism rather they ascribe to reasons that are generally inferred to its locale and adhere by the commonly observed political behaviour of South Asian countries (except Afghanistan) that defer as a consenting signatory owing to the euro-centric nature of the Convention, and also consider migration as a matter of bilateral subject discarding the intervention of any international monitoring all together. Though, India is a signatory to the following international conventions which filter its take on humanitarian commitments made for Refugees, namely - Convention on the reduction of statelessness Territorial Asylum (1967); Universal Declaration of Human Rights (UDHR, 1948); International Convention on Civil and Political Rights (ICCPR, 1979); Convention on the Elimination of All Forms of Racial Discrimination (CERD, 1969); Convention on Elimination of all Discrimination Against Women (CEDAW, 1981); UN Convention against Torture (1984); UN Convention on the Rights of the Child (1989) and Bangkok Principles (1966). These conventions envisage the jus cogen of </w:t>
      </w:r>
      <w:r w:rsidDel="00000000" w:rsidR="00000000" w:rsidRPr="00000000">
        <w:rPr>
          <w:rFonts w:ascii="Times New Roman" w:cs="Times New Roman" w:eastAsia="Times New Roman" w:hAnsi="Times New Roman"/>
          <w:i w:val="1"/>
          <w:sz w:val="24"/>
          <w:szCs w:val="24"/>
          <w:rtl w:val="0"/>
        </w:rPr>
        <w:t xml:space="preserve">non-refoulement</w:t>
      </w:r>
      <w:r w:rsidDel="00000000" w:rsidR="00000000" w:rsidRPr="00000000">
        <w:rPr>
          <w:rFonts w:ascii="Times New Roman" w:cs="Times New Roman" w:eastAsia="Times New Roman" w:hAnsi="Times New Roman"/>
          <w:i w:val="1"/>
          <w:sz w:val="24"/>
          <w:szCs w:val="24"/>
          <w:vertAlign w:val="superscript"/>
        </w:rPr>
        <w:footnoteReference w:customMarkFollows="0" w:id="27"/>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admissible, and also composites legal provisions relating to repatriation, right to compensation, granting asylum and the minimum standard of treatment in the state of asylum. Among these conventions, some pertinent provisions under UDHR [Art.13 (Right to freedom of Movement), Art.14 (Right to Seek and Enjoy Asylum), Art.15 (Right to Nationality)]; ICCPR [Art.12 (Freedom to leave any country including the person's own), Art.13 (Prohibition of expulsion of aliens except by due process of law)]; UN Convention on the Rights of the Child [Art.2 A (States must secure the rights of every child within its territorial jurisdiction without any discrimination); Art.3 (In all actions concerning the children, best interest of the child must be a prior concern); Art.24 (Right to Health), Art.28 (Right to Education), Art.37 (Juvenile Justice)] and more recently, India became a signatory to the </w:t>
      </w:r>
      <w:r w:rsidDel="00000000" w:rsidR="00000000" w:rsidRPr="00000000">
        <w:rPr>
          <w:rFonts w:ascii="Times New Roman" w:cs="Times New Roman" w:eastAsia="Times New Roman" w:hAnsi="Times New Roman"/>
          <w:i w:val="1"/>
          <w:sz w:val="24"/>
          <w:szCs w:val="24"/>
          <w:rtl w:val="0"/>
        </w:rPr>
        <w:t xml:space="preserve">New York Declaration for Refugees and Migrants</w:t>
      </w:r>
      <w:r w:rsidDel="00000000" w:rsidR="00000000" w:rsidRPr="00000000">
        <w:rPr>
          <w:rFonts w:ascii="Times New Roman" w:cs="Times New Roman" w:eastAsia="Times New Roman" w:hAnsi="Times New Roman"/>
          <w:sz w:val="24"/>
          <w:szCs w:val="24"/>
          <w:rtl w:val="0"/>
        </w:rPr>
        <w:t xml:space="preserve"> (2016), setting the stage for new equitable responsibility for the </w:t>
      </w:r>
      <w:r w:rsidDel="00000000" w:rsidR="00000000" w:rsidRPr="00000000">
        <w:rPr>
          <w:rFonts w:ascii="Times New Roman" w:cs="Times New Roman" w:eastAsia="Times New Roman" w:hAnsi="Times New Roman"/>
          <w:i w:val="1"/>
          <w:sz w:val="24"/>
          <w:szCs w:val="24"/>
          <w:rtl w:val="0"/>
        </w:rPr>
        <w:t xml:space="preserve">Global Compact on Refugees</w:t>
      </w:r>
      <w:r w:rsidDel="00000000" w:rsidR="00000000" w:rsidRPr="00000000">
        <w:rPr>
          <w:rFonts w:ascii="Times New Roman" w:cs="Times New Roman" w:eastAsia="Times New Roman" w:hAnsi="Times New Roman"/>
          <w:sz w:val="24"/>
          <w:szCs w:val="24"/>
          <w:rtl w:val="0"/>
        </w:rPr>
        <w:t xml:space="preserve"> (GCR) which forms the base of general inferences drawn upon India's socially cohesive international commitments. But the question still remains whether these commitments are aligned with grounded practicalities of Indian federal politics or do these commitments overlap with the powers/duties enumerated under the 7th schedule</w:t>
      </w:r>
      <w:r w:rsidDel="00000000" w:rsidR="00000000" w:rsidRPr="00000000">
        <w:rPr>
          <w:rFonts w:ascii="Times New Roman" w:cs="Times New Roman" w:eastAsia="Times New Roman" w:hAnsi="Times New Roman"/>
          <w:sz w:val="24"/>
          <w:szCs w:val="24"/>
          <w:vertAlign w:val="superscript"/>
        </w:rPr>
        <w:footnoteReference w:customMarkFollows="0" w:id="28"/>
      </w:r>
      <w:r w:rsidDel="00000000" w:rsidR="00000000" w:rsidRPr="00000000">
        <w:rPr>
          <w:rFonts w:ascii="Times New Roman" w:cs="Times New Roman" w:eastAsia="Times New Roman" w:hAnsi="Times New Roman"/>
          <w:sz w:val="24"/>
          <w:szCs w:val="24"/>
          <w:rtl w:val="0"/>
        </w:rPr>
        <w:t xml:space="preserve"> of the Indian Constitution ? These questions can only be answered after analysing the available domestic governing provisions for foreign nationals. </w:t>
      </w:r>
    </w:p>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 the</w:t>
      </w:r>
      <w:r w:rsidDel="00000000" w:rsidR="00000000" w:rsidRPr="00000000">
        <w:rPr>
          <w:rFonts w:ascii="Times New Roman" w:cs="Times New Roman" w:eastAsia="Times New Roman" w:hAnsi="Times New Roman"/>
          <w:i w:val="1"/>
          <w:sz w:val="24"/>
          <w:szCs w:val="24"/>
          <w:rtl w:val="0"/>
        </w:rPr>
        <w:t xml:space="preserve"> national level,</w:t>
      </w:r>
      <w:r w:rsidDel="00000000" w:rsidR="00000000" w:rsidRPr="00000000">
        <w:rPr>
          <w:rFonts w:ascii="Times New Roman" w:cs="Times New Roman" w:eastAsia="Times New Roman" w:hAnsi="Times New Roman"/>
          <w:sz w:val="24"/>
          <w:szCs w:val="24"/>
          <w:rtl w:val="0"/>
        </w:rPr>
        <w:t xml:space="preserve"> despite India's rich history in welcoming refugees and harbouring the idealist ancient moral code of ‘Vasudhaiva Kutumbakam’, any refugee who enters India is termed as a 'Foreign National'. Hence, there is no legal </w:t>
      </w:r>
      <w:r w:rsidDel="00000000" w:rsidR="00000000" w:rsidRPr="00000000">
        <w:rPr>
          <w:rFonts w:ascii="Times New Roman" w:cs="Times New Roman" w:eastAsia="Times New Roman" w:hAnsi="Times New Roman"/>
          <w:sz w:val="24"/>
          <w:szCs w:val="24"/>
          <w:rtl w:val="0"/>
        </w:rPr>
        <w:t xml:space="preserve">proviso</w:t>
      </w:r>
      <w:r w:rsidDel="00000000" w:rsidR="00000000" w:rsidRPr="00000000">
        <w:rPr>
          <w:rFonts w:ascii="Times New Roman" w:cs="Times New Roman" w:eastAsia="Times New Roman" w:hAnsi="Times New Roman"/>
          <w:sz w:val="24"/>
          <w:szCs w:val="24"/>
          <w:rtl w:val="0"/>
        </w:rPr>
        <w:t xml:space="preserve"> to regulate the identity, entry, rights and rehabilitation of refugees separately. Therefore, all the foreigners/aliens are governed by the legislative acts, such as the </w:t>
      </w:r>
      <w:r w:rsidDel="00000000" w:rsidR="00000000" w:rsidRPr="00000000">
        <w:rPr>
          <w:rFonts w:ascii="Times New Roman" w:cs="Times New Roman" w:eastAsia="Times New Roman" w:hAnsi="Times New Roman"/>
          <w:i w:val="1"/>
          <w:sz w:val="24"/>
          <w:szCs w:val="24"/>
          <w:rtl w:val="0"/>
        </w:rPr>
        <w:t xml:space="preserve">The Foreigners Act </w:t>
      </w:r>
      <w:r w:rsidDel="00000000" w:rsidR="00000000" w:rsidRPr="00000000">
        <w:rPr>
          <w:rFonts w:ascii="Times New Roman" w:cs="Times New Roman" w:eastAsia="Times New Roman" w:hAnsi="Times New Roman"/>
          <w:sz w:val="24"/>
          <w:szCs w:val="24"/>
          <w:rtl w:val="0"/>
        </w:rPr>
        <w:t xml:space="preserve">(1946), </w:t>
      </w:r>
      <w:r w:rsidDel="00000000" w:rsidR="00000000" w:rsidRPr="00000000">
        <w:rPr>
          <w:rFonts w:ascii="Times New Roman" w:cs="Times New Roman" w:eastAsia="Times New Roman" w:hAnsi="Times New Roman"/>
          <w:i w:val="1"/>
          <w:sz w:val="24"/>
          <w:szCs w:val="24"/>
          <w:rtl w:val="0"/>
        </w:rPr>
        <w:t xml:space="preserve">The Registration of Foreigners Act </w:t>
      </w:r>
      <w:r w:rsidDel="00000000" w:rsidR="00000000" w:rsidRPr="00000000">
        <w:rPr>
          <w:rFonts w:ascii="Times New Roman" w:cs="Times New Roman" w:eastAsia="Times New Roman" w:hAnsi="Times New Roman"/>
          <w:sz w:val="24"/>
          <w:szCs w:val="24"/>
          <w:rtl w:val="0"/>
        </w:rPr>
        <w:t xml:space="preserve">(1939), </w:t>
      </w:r>
      <w:r w:rsidDel="00000000" w:rsidR="00000000" w:rsidRPr="00000000">
        <w:rPr>
          <w:rFonts w:ascii="Times New Roman" w:cs="Times New Roman" w:eastAsia="Times New Roman" w:hAnsi="Times New Roman"/>
          <w:i w:val="1"/>
          <w:sz w:val="24"/>
          <w:szCs w:val="24"/>
          <w:rtl w:val="0"/>
        </w:rPr>
        <w:t xml:space="preserve">The Passport (Entry into India) Act</w:t>
      </w:r>
      <w:r w:rsidDel="00000000" w:rsidR="00000000" w:rsidRPr="00000000">
        <w:rPr>
          <w:rFonts w:ascii="Times New Roman" w:cs="Times New Roman" w:eastAsia="Times New Roman" w:hAnsi="Times New Roman"/>
          <w:sz w:val="24"/>
          <w:szCs w:val="24"/>
          <w:rtl w:val="0"/>
        </w:rPr>
        <w:t xml:space="preserve"> (1920), </w:t>
      </w:r>
      <w:r w:rsidDel="00000000" w:rsidR="00000000" w:rsidRPr="00000000">
        <w:rPr>
          <w:rFonts w:ascii="Times New Roman" w:cs="Times New Roman" w:eastAsia="Times New Roman" w:hAnsi="Times New Roman"/>
          <w:i w:val="1"/>
          <w:sz w:val="24"/>
          <w:szCs w:val="24"/>
          <w:rtl w:val="0"/>
        </w:rPr>
        <w:t xml:space="preserve">The Citizenship Act </w:t>
      </w:r>
      <w:r w:rsidDel="00000000" w:rsidR="00000000" w:rsidRPr="00000000">
        <w:rPr>
          <w:rFonts w:ascii="Times New Roman" w:cs="Times New Roman" w:eastAsia="Times New Roman" w:hAnsi="Times New Roman"/>
          <w:sz w:val="24"/>
          <w:szCs w:val="24"/>
          <w:rtl w:val="0"/>
        </w:rPr>
        <w:t xml:space="preserve">(1955) and rules made thereunder. This paves a leeway for confusion to exist among the common masses, as people tend to misunderstand the differences between </w:t>
      </w:r>
      <w:r w:rsidDel="00000000" w:rsidR="00000000" w:rsidRPr="00000000">
        <w:rPr>
          <w:rFonts w:ascii="Times New Roman" w:cs="Times New Roman" w:eastAsia="Times New Roman" w:hAnsi="Times New Roman"/>
          <w:i w:val="1"/>
          <w:sz w:val="24"/>
          <w:szCs w:val="24"/>
          <w:rtl w:val="0"/>
        </w:rPr>
        <w:t xml:space="preserve">'refugees'</w:t>
      </w:r>
      <w:r w:rsidDel="00000000" w:rsidR="00000000" w:rsidRPr="00000000">
        <w:rPr>
          <w:rFonts w:ascii="Times New Roman" w:cs="Times New Roman" w:eastAsia="Times New Roman" w:hAnsi="Times New Roman"/>
          <w:sz w:val="24"/>
          <w:szCs w:val="24"/>
          <w:rtl w:val="0"/>
        </w:rPr>
        <w:t xml:space="preserve"> and various '</w:t>
      </w:r>
      <w:r w:rsidDel="00000000" w:rsidR="00000000" w:rsidRPr="00000000">
        <w:rPr>
          <w:rFonts w:ascii="Times New Roman" w:cs="Times New Roman" w:eastAsia="Times New Roman" w:hAnsi="Times New Roman"/>
          <w:i w:val="1"/>
          <w:sz w:val="24"/>
          <w:szCs w:val="24"/>
          <w:rtl w:val="0"/>
        </w:rPr>
        <w:t xml:space="preserve">other categories of foreigners'</w:t>
      </w:r>
      <w:r w:rsidDel="00000000" w:rsidR="00000000" w:rsidRPr="00000000">
        <w:rPr>
          <w:rFonts w:ascii="Times New Roman" w:cs="Times New Roman" w:eastAsia="Times New Roman" w:hAnsi="Times New Roman"/>
          <w:sz w:val="24"/>
          <w:szCs w:val="24"/>
          <w:rtl w:val="0"/>
        </w:rPr>
        <w:t xml:space="preserve">. Though, there are 4 well defined (generally perceived) categories of ‘Foreigners’ who are different from 'Refugees' in their definitional aspect. The categorizations include: a.)Temporary residents, Tourists and Travellers; b.)Illegal Economic Migrants; c.)Criminal, Spies, Infiltrators, Militants, etc; d.)IDPs. According to a reply made by the MoS for Home Affairs, Shri Nityanand Rai to the questions posed in Rajya Sabha, on the maintenance of refugee data, he stated that "</w:t>
      </w:r>
      <w:r w:rsidDel="00000000" w:rsidR="00000000" w:rsidRPr="00000000">
        <w:rPr>
          <w:rFonts w:ascii="Times New Roman" w:cs="Times New Roman" w:eastAsia="Times New Roman" w:hAnsi="Times New Roman"/>
          <w:i w:val="1"/>
          <w:sz w:val="24"/>
          <w:szCs w:val="24"/>
          <w:rtl w:val="0"/>
        </w:rPr>
        <w:t xml:space="preserve">since such foreign nationals enter into the country without valid travel documents in a surreptitious and clandestine manner, data relating to foreign nationals residing in India claiming to be refugees, asylum seekers and Stateless Persons is not maintained centrally</w:t>
      </w:r>
      <w:r w:rsidDel="00000000" w:rsidR="00000000" w:rsidRPr="00000000">
        <w:rPr>
          <w:rFonts w:ascii="Times New Roman" w:cs="Times New Roman" w:eastAsia="Times New Roman" w:hAnsi="Times New Roman"/>
          <w:sz w:val="24"/>
          <w:szCs w:val="24"/>
          <w:rtl w:val="0"/>
        </w:rPr>
        <w:t xml:space="preserve">". This clearly shows that there are spaces of ambiguities left intentionally on the part of the government. But, this space of ambiguity, from time to time has been filled by the Indian Judiciary in its various judgements, where we see an interplay of Human Rights laws and International Refugee laws. The fundamental rights under Art.14</w:t>
      </w:r>
      <w:r w:rsidDel="00000000" w:rsidR="00000000" w:rsidRPr="00000000">
        <w:rPr>
          <w:rFonts w:ascii="Times New Roman" w:cs="Times New Roman" w:eastAsia="Times New Roman" w:hAnsi="Times New Roman"/>
          <w:sz w:val="24"/>
          <w:szCs w:val="24"/>
          <w:vertAlign w:val="superscript"/>
        </w:rPr>
        <w:footnoteReference w:customMarkFollows="0" w:id="29"/>
      </w:r>
      <w:r w:rsidDel="00000000" w:rsidR="00000000" w:rsidRPr="00000000">
        <w:rPr>
          <w:rFonts w:ascii="Times New Roman" w:cs="Times New Roman" w:eastAsia="Times New Roman" w:hAnsi="Times New Roman"/>
          <w:sz w:val="24"/>
          <w:szCs w:val="24"/>
          <w:rtl w:val="0"/>
        </w:rPr>
        <w:t xml:space="preserve">, 21</w:t>
      </w:r>
      <w:r w:rsidDel="00000000" w:rsidR="00000000" w:rsidRPr="00000000">
        <w:rPr>
          <w:rFonts w:ascii="Times New Roman" w:cs="Times New Roman" w:eastAsia="Times New Roman" w:hAnsi="Times New Roman"/>
          <w:sz w:val="24"/>
          <w:szCs w:val="24"/>
          <w:vertAlign w:val="superscript"/>
        </w:rPr>
        <w:footnoteReference w:customMarkFollows="0" w:id="30"/>
      </w:r>
      <w:r w:rsidDel="00000000" w:rsidR="00000000" w:rsidRPr="00000000">
        <w:rPr>
          <w:rFonts w:ascii="Times New Roman" w:cs="Times New Roman" w:eastAsia="Times New Roman" w:hAnsi="Times New Roman"/>
          <w:sz w:val="24"/>
          <w:szCs w:val="24"/>
          <w:rtl w:val="0"/>
        </w:rPr>
        <w:t xml:space="preserve">, 22</w:t>
      </w:r>
      <w:r w:rsidDel="00000000" w:rsidR="00000000" w:rsidRPr="00000000">
        <w:rPr>
          <w:rFonts w:ascii="Times New Roman" w:cs="Times New Roman" w:eastAsia="Times New Roman" w:hAnsi="Times New Roman"/>
          <w:sz w:val="24"/>
          <w:szCs w:val="24"/>
          <w:vertAlign w:val="superscript"/>
        </w:rPr>
        <w:footnoteReference w:customMarkFollows="0" w:id="31"/>
      </w:r>
      <w:r w:rsidDel="00000000" w:rsidR="00000000" w:rsidRPr="00000000">
        <w:rPr>
          <w:rFonts w:ascii="Times New Roman" w:cs="Times New Roman" w:eastAsia="Times New Roman" w:hAnsi="Times New Roman"/>
          <w:sz w:val="24"/>
          <w:szCs w:val="24"/>
          <w:rtl w:val="0"/>
        </w:rPr>
        <w:t xml:space="preserve">, 25-28</w:t>
      </w:r>
      <w:r w:rsidDel="00000000" w:rsidR="00000000" w:rsidRPr="00000000">
        <w:rPr>
          <w:rFonts w:ascii="Times New Roman" w:cs="Times New Roman" w:eastAsia="Times New Roman" w:hAnsi="Times New Roman"/>
          <w:sz w:val="24"/>
          <w:szCs w:val="24"/>
          <w:vertAlign w:val="superscript"/>
        </w:rPr>
        <w:footnoteReference w:customMarkFollows="0" w:id="32"/>
      </w:r>
      <w:r w:rsidDel="00000000" w:rsidR="00000000" w:rsidRPr="00000000">
        <w:rPr>
          <w:rFonts w:ascii="Times New Roman" w:cs="Times New Roman" w:eastAsia="Times New Roman" w:hAnsi="Times New Roman"/>
          <w:sz w:val="24"/>
          <w:szCs w:val="24"/>
          <w:rtl w:val="0"/>
        </w:rPr>
        <w:t xml:space="preserve">, 32 and 226</w:t>
      </w:r>
      <w:r w:rsidDel="00000000" w:rsidR="00000000" w:rsidRPr="00000000">
        <w:rPr>
          <w:rFonts w:ascii="Times New Roman" w:cs="Times New Roman" w:eastAsia="Times New Roman" w:hAnsi="Times New Roman"/>
          <w:sz w:val="24"/>
          <w:szCs w:val="24"/>
          <w:vertAlign w:val="superscript"/>
        </w:rPr>
        <w:footnoteReference w:customMarkFollows="0" w:id="33"/>
      </w:r>
      <w:r w:rsidDel="00000000" w:rsidR="00000000" w:rsidRPr="00000000">
        <w:rPr>
          <w:rFonts w:ascii="Times New Roman" w:cs="Times New Roman" w:eastAsia="Times New Roman" w:hAnsi="Times New Roman"/>
          <w:sz w:val="24"/>
          <w:szCs w:val="24"/>
          <w:rtl w:val="0"/>
        </w:rPr>
        <w:t xml:space="preserve"> of the Constitution have been used by the refugees from time to time. As well, their cases have been dealt in accordance with the procedures established by the law. So, let us take a few cases as cardinal principles to substantiate the prominence of verdicts upholding non-citizens' fundamental rights of life, liberty and dignity. In the landmark </w:t>
      </w:r>
      <w:r w:rsidDel="00000000" w:rsidR="00000000" w:rsidRPr="00000000">
        <w:rPr>
          <w:rFonts w:ascii="Times New Roman" w:cs="Times New Roman" w:eastAsia="Times New Roman" w:hAnsi="Times New Roman"/>
          <w:sz w:val="24"/>
          <w:szCs w:val="24"/>
          <w:rtl w:val="0"/>
        </w:rPr>
        <w:t xml:space="preserve">judgements</w:t>
      </w:r>
      <w:r w:rsidDel="00000000" w:rsidR="00000000" w:rsidRPr="00000000">
        <w:rPr>
          <w:rFonts w:ascii="Times New Roman" w:cs="Times New Roman" w:eastAsia="Times New Roman" w:hAnsi="Times New Roman"/>
          <w:sz w:val="24"/>
          <w:szCs w:val="24"/>
          <w:rtl w:val="0"/>
        </w:rPr>
        <w:t xml:space="preserve"> of the following cases:- (I.)</w:t>
      </w:r>
      <w:r w:rsidDel="00000000" w:rsidR="00000000" w:rsidRPr="00000000">
        <w:rPr>
          <w:rFonts w:ascii="Times New Roman" w:cs="Times New Roman" w:eastAsia="Times New Roman" w:hAnsi="Times New Roman"/>
          <w:i w:val="1"/>
          <w:sz w:val="24"/>
          <w:szCs w:val="24"/>
          <w:rtl w:val="0"/>
        </w:rPr>
        <w:t xml:space="preserve">Ktaer Abbas Habib Al Qutaifi Vs. Union of India</w:t>
      </w:r>
      <w:r w:rsidDel="00000000" w:rsidR="00000000" w:rsidRPr="00000000">
        <w:rPr>
          <w:rFonts w:ascii="Times New Roman" w:cs="Times New Roman" w:eastAsia="Times New Roman" w:hAnsi="Times New Roman"/>
          <w:sz w:val="24"/>
          <w:szCs w:val="24"/>
          <w:rtl w:val="0"/>
        </w:rPr>
        <w:t xml:space="preserve"> (1999), the Gujarat HC upheld the principle of non-refoulement under the wide umbrella of Art.21 binding. </w:t>
      </w:r>
    </w:p>
    <w:p w:rsidR="00000000" w:rsidDel="00000000" w:rsidP="00000000" w:rsidRDefault="00000000" w:rsidRPr="00000000" w14:paraId="0000004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w:t>
      </w:r>
      <w:r w:rsidDel="00000000" w:rsidR="00000000" w:rsidRPr="00000000">
        <w:rPr>
          <w:rFonts w:ascii="Times New Roman" w:cs="Times New Roman" w:eastAsia="Times New Roman" w:hAnsi="Times New Roman"/>
          <w:i w:val="1"/>
          <w:sz w:val="24"/>
          <w:szCs w:val="24"/>
          <w:rtl w:val="0"/>
        </w:rPr>
        <w:t xml:space="preserve">State of Arunachal Pradesh Vs. Khudiram Chakma</w:t>
      </w:r>
      <w:r w:rsidDel="00000000" w:rsidR="00000000" w:rsidRPr="00000000">
        <w:rPr>
          <w:rFonts w:ascii="Times New Roman" w:cs="Times New Roman" w:eastAsia="Times New Roman" w:hAnsi="Times New Roman"/>
          <w:sz w:val="24"/>
          <w:szCs w:val="24"/>
          <w:rtl w:val="0"/>
        </w:rPr>
        <w:t xml:space="preserve"> (1994), the SC stayed deportation of Chakmas and upheld that the state has to ensure their protection of life and liberty. </w:t>
      </w:r>
    </w:p>
    <w:p w:rsidR="00000000" w:rsidDel="00000000" w:rsidP="00000000" w:rsidRDefault="00000000" w:rsidRPr="00000000" w14:paraId="0000004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w:t>
      </w:r>
      <w:r w:rsidDel="00000000" w:rsidR="00000000" w:rsidRPr="00000000">
        <w:rPr>
          <w:rFonts w:ascii="Times New Roman" w:cs="Times New Roman" w:eastAsia="Times New Roman" w:hAnsi="Times New Roman"/>
          <w:i w:val="1"/>
          <w:sz w:val="24"/>
          <w:szCs w:val="24"/>
          <w:rtl w:val="0"/>
        </w:rPr>
        <w:t xml:space="preserve">Malavika Karlekar Vs. Union of India </w:t>
      </w:r>
      <w:r w:rsidDel="00000000" w:rsidR="00000000" w:rsidRPr="00000000">
        <w:rPr>
          <w:rFonts w:ascii="Times New Roman" w:cs="Times New Roman" w:eastAsia="Times New Roman" w:hAnsi="Times New Roman"/>
          <w:sz w:val="24"/>
          <w:szCs w:val="24"/>
          <w:rtl w:val="0"/>
        </w:rPr>
        <w:t xml:space="preserve">(1992), the SC stayed the deportation of 21 Burmese nationals from the Andaman Islands, pending their refugee status determination by UNHCR.</w:t>
      </w:r>
    </w:p>
    <w:p w:rsidR="00000000" w:rsidDel="00000000" w:rsidP="00000000" w:rsidRDefault="00000000" w:rsidRPr="00000000" w14:paraId="0000005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w:t>
      </w:r>
      <w:r w:rsidDel="00000000" w:rsidR="00000000" w:rsidRPr="00000000">
        <w:rPr>
          <w:rFonts w:ascii="Times New Roman" w:cs="Times New Roman" w:eastAsia="Times New Roman" w:hAnsi="Times New Roman"/>
          <w:i w:val="1"/>
          <w:sz w:val="24"/>
          <w:szCs w:val="24"/>
          <w:rtl w:val="0"/>
        </w:rPr>
        <w:t xml:space="preserve">Majid Ahmed Abdul Majeed Mohd. Jad Al-Hak Vs. Union of India </w:t>
      </w:r>
      <w:r w:rsidDel="00000000" w:rsidR="00000000" w:rsidRPr="00000000">
        <w:rPr>
          <w:rFonts w:ascii="Times New Roman" w:cs="Times New Roman" w:eastAsia="Times New Roman" w:hAnsi="Times New Roman"/>
          <w:sz w:val="24"/>
          <w:szCs w:val="24"/>
          <w:rtl w:val="0"/>
        </w:rPr>
        <w:t xml:space="preserve">(1997), the Delhi HC upheld that food and medical care should be provided to detainees as they are the bare minimum essentials for survival.</w:t>
      </w:r>
    </w:p>
    <w:p w:rsidR="00000000" w:rsidDel="00000000" w:rsidP="00000000" w:rsidRDefault="00000000" w:rsidRPr="00000000" w14:paraId="0000005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 The SC bench of Justices D.Y. Chandrachud and A.S. Bopanna in response to a </w:t>
      </w:r>
      <w:r w:rsidDel="00000000" w:rsidR="00000000" w:rsidRPr="00000000">
        <w:rPr>
          <w:rFonts w:ascii="Times New Roman" w:cs="Times New Roman" w:eastAsia="Times New Roman" w:hAnsi="Times New Roman"/>
          <w:i w:val="1"/>
          <w:sz w:val="24"/>
          <w:szCs w:val="24"/>
          <w:rtl w:val="0"/>
        </w:rPr>
        <w:t xml:space="preserve">PIL filed by Fazal Abdali </w:t>
      </w:r>
      <w:r w:rsidDel="00000000" w:rsidR="00000000" w:rsidRPr="00000000">
        <w:rPr>
          <w:rFonts w:ascii="Times New Roman" w:cs="Times New Roman" w:eastAsia="Times New Roman" w:hAnsi="Times New Roman"/>
          <w:sz w:val="24"/>
          <w:szCs w:val="24"/>
          <w:rtl w:val="0"/>
        </w:rPr>
        <w:t xml:space="preserve">(2020), issued a notice to the Union and several States seeking a response on ensuring 'Right to food' to Refugees and asylum-seekers. </w:t>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Thus, deducing from these instances, we can observe that the Indian Judiciary has opted for a</w:t>
      </w:r>
      <w:r w:rsidDel="00000000" w:rsidR="00000000" w:rsidRPr="00000000">
        <w:rPr>
          <w:rFonts w:ascii="Times New Roman" w:cs="Times New Roman" w:eastAsia="Times New Roman" w:hAnsi="Times New Roman"/>
          <w:sz w:val="24"/>
          <w:szCs w:val="24"/>
          <w:rtl w:val="0"/>
        </w:rPr>
        <w:t xml:space="preserve"> balanced liberal </w:t>
      </w:r>
      <w:r w:rsidDel="00000000" w:rsidR="00000000" w:rsidRPr="00000000">
        <w:rPr>
          <w:rFonts w:ascii="Times New Roman" w:cs="Times New Roman" w:eastAsia="Times New Roman" w:hAnsi="Times New Roman"/>
          <w:sz w:val="24"/>
          <w:szCs w:val="24"/>
          <w:rtl w:val="0"/>
        </w:rPr>
        <w:t xml:space="preserve">stance on most of the cases concerning the refugees, in absence of any specific national policy on asylum, either by mitigating the punishment or ordering the release on solicitous and compassionate grounds. But again, these took a turn (based on republican model of citizenship), after 8th April 2021, when the Hon’ble Supreme Court of India (SC) issued an order allowing the deportation of Rohingyas citing "</w:t>
      </w:r>
      <w:r w:rsidDel="00000000" w:rsidR="00000000" w:rsidRPr="00000000">
        <w:rPr>
          <w:rFonts w:ascii="Times New Roman" w:cs="Times New Roman" w:eastAsia="Times New Roman" w:hAnsi="Times New Roman"/>
          <w:i w:val="1"/>
          <w:sz w:val="24"/>
          <w:szCs w:val="24"/>
          <w:rtl w:val="0"/>
        </w:rPr>
        <w:t xml:space="preserve">rights guaranteed under Articles 14 [Equality before the law] and 21 [Protection against deprivation of Personal liberty] may be available to non-citizens, [but] the fundamental right to reside and settle in this country is available only to citizens</w:t>
      </w:r>
      <w:r w:rsidDel="00000000" w:rsidR="00000000" w:rsidRPr="00000000">
        <w:rPr>
          <w:rFonts w:ascii="Times New Roman" w:cs="Times New Roman" w:eastAsia="Times New Roman" w:hAnsi="Times New Roman"/>
          <w:sz w:val="24"/>
          <w:szCs w:val="24"/>
          <w:rtl w:val="0"/>
        </w:rPr>
        <w:t xml:space="preserve">". Former Chief Justice of India, Sharad Arvind Bobde also referenced "</w:t>
      </w:r>
      <w:r w:rsidDel="00000000" w:rsidR="00000000" w:rsidRPr="00000000">
        <w:rPr>
          <w:rFonts w:ascii="Times New Roman" w:cs="Times New Roman" w:eastAsia="Times New Roman" w:hAnsi="Times New Roman"/>
          <w:i w:val="1"/>
          <w:sz w:val="24"/>
          <w:szCs w:val="24"/>
          <w:rtl w:val="0"/>
        </w:rPr>
        <w:t xml:space="preserve">national security ramifications"</w:t>
      </w:r>
      <w:r w:rsidDel="00000000" w:rsidR="00000000" w:rsidRPr="00000000">
        <w:rPr>
          <w:rFonts w:ascii="Times New Roman" w:cs="Times New Roman" w:eastAsia="Times New Roman" w:hAnsi="Times New Roman"/>
          <w:sz w:val="24"/>
          <w:szCs w:val="24"/>
          <w:rtl w:val="0"/>
        </w:rPr>
        <w:t xml:space="preserve"> and said that "</w:t>
      </w:r>
      <w:r w:rsidDel="00000000" w:rsidR="00000000" w:rsidRPr="00000000">
        <w:rPr>
          <w:rFonts w:ascii="Times New Roman" w:cs="Times New Roman" w:eastAsia="Times New Roman" w:hAnsi="Times New Roman"/>
          <w:i w:val="1"/>
          <w:sz w:val="24"/>
          <w:szCs w:val="24"/>
          <w:rtl w:val="0"/>
        </w:rPr>
        <w:t xml:space="preserve">India is not a signatory either to the United Nations Convention on the Status of Refugees 1951 or to the Protocol of the year 1967, so the principle of non-refoulement is inapplicable"</w:t>
      </w:r>
      <w:r w:rsidDel="00000000" w:rsidR="00000000" w:rsidRPr="00000000">
        <w:rPr>
          <w:rFonts w:ascii="Times New Roman" w:cs="Times New Roman" w:eastAsia="Times New Roman" w:hAnsi="Times New Roman"/>
          <w:sz w:val="24"/>
          <w:szCs w:val="24"/>
          <w:rtl w:val="0"/>
        </w:rPr>
        <w:t xml:space="preserve">. This SC judgement passed in</w:t>
      </w:r>
      <w:r w:rsidDel="00000000" w:rsidR="00000000" w:rsidRPr="00000000">
        <w:rPr>
          <w:rFonts w:ascii="Times New Roman" w:cs="Times New Roman" w:eastAsia="Times New Roman" w:hAnsi="Times New Roman"/>
          <w:i w:val="1"/>
          <w:sz w:val="24"/>
          <w:szCs w:val="24"/>
          <w:rtl w:val="0"/>
        </w:rPr>
        <w:t xml:space="preserve"> Mohammad Salimullah Vs. Union of India </w:t>
      </w:r>
      <w:r w:rsidDel="00000000" w:rsidR="00000000" w:rsidRPr="00000000">
        <w:rPr>
          <w:rFonts w:ascii="Times New Roman" w:cs="Times New Roman" w:eastAsia="Times New Roman" w:hAnsi="Times New Roman"/>
          <w:sz w:val="24"/>
          <w:szCs w:val="24"/>
          <w:rtl w:val="0"/>
        </w:rPr>
        <w:t xml:space="preserve">(2017)</w:t>
      </w:r>
      <w:r w:rsidDel="00000000" w:rsidR="00000000" w:rsidRPr="00000000">
        <w:rPr>
          <w:rFonts w:ascii="Times New Roman" w:cs="Times New Roman" w:eastAsia="Times New Roman" w:hAnsi="Times New Roman"/>
          <w:sz w:val="24"/>
          <w:szCs w:val="24"/>
          <w:rtl w:val="0"/>
        </w:rPr>
        <w:t xml:space="preserve"> case sounds contradictory to the earlier judgements (of </w:t>
      </w:r>
      <w:r w:rsidDel="00000000" w:rsidR="00000000" w:rsidRPr="00000000">
        <w:rPr>
          <w:rFonts w:ascii="Times New Roman" w:cs="Times New Roman" w:eastAsia="Times New Roman" w:hAnsi="Times New Roman"/>
          <w:i w:val="1"/>
          <w:sz w:val="24"/>
          <w:szCs w:val="24"/>
          <w:rtl w:val="0"/>
        </w:rPr>
        <w:t xml:space="preserve">Malavika Karlekar Vs. Union of India/ NHRC Vs. State of Arunachal Pradesh/ N.D. Pancholi Vs. State of Punjab/ Khudiram Chakma Vs. State of Arunachal Pradesh</w:t>
      </w:r>
      <w:r w:rsidDel="00000000" w:rsidR="00000000" w:rsidRPr="00000000">
        <w:rPr>
          <w:rFonts w:ascii="Times New Roman" w:cs="Times New Roman" w:eastAsia="Times New Roman" w:hAnsi="Times New Roman"/>
          <w:sz w:val="24"/>
          <w:szCs w:val="24"/>
          <w:rtl w:val="0"/>
        </w:rPr>
        <w:t xml:space="preserve">) made on deportation. This jurisprudential development highlights a shift from its past generosity of providing relief to refugees to a more security centred outlook. Along with this, there are instances when discriminatory attitudes between refugees of different nationalities is applied when it comes to their treatment under the legal protective measures. For example in exceptional cases like the Tibetan refugees, who have the right to residence and have also been granted lands/pattas to build their own villages but others like Chakmas and Sri Lankans are kept in detention centres where their freedom of movement is restricted within the boundaries of the centre or camp. These pictorials clearly demonstrate the existence of variances of ideologically inclusive-exclusive attitudes and fallacies or loopholes in legal liberal sensitivity towards immigrants (in matters of detention, medical aid, women and child safety, work permits, freedoms, non-refoulement, timely filing of charge-sheet by the prosecution to enable beseeching guilty, security against re-arrest on release from detention, etc.), that needs a proper policy intervention to avoid discrimination and pay heed to the global commitments. </w:t>
      </w:r>
    </w:p>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 it’s easily comprehensible that India’s form of federalism has sometimes been held up as a diminished version of the ‘real thing’. From the time the constitution was crafted, observers described it as a ‘quasi-federal’ system (Kenneth C. Wheare, 1949) because of the weak protections it appeared to </w:t>
      </w:r>
      <w:r w:rsidDel="00000000" w:rsidR="00000000" w:rsidRPr="00000000">
        <w:rPr>
          <w:rFonts w:ascii="Times New Roman" w:cs="Times New Roman" w:eastAsia="Times New Roman" w:hAnsi="Times New Roman"/>
          <w:sz w:val="24"/>
          <w:szCs w:val="24"/>
          <w:rtl w:val="0"/>
        </w:rPr>
        <w:t xml:space="preserve">offer to the</w:t>
      </w:r>
      <w:r w:rsidDel="00000000" w:rsidR="00000000" w:rsidRPr="00000000">
        <w:rPr>
          <w:rFonts w:ascii="Times New Roman" w:cs="Times New Roman" w:eastAsia="Times New Roman" w:hAnsi="Times New Roman"/>
          <w:sz w:val="24"/>
          <w:szCs w:val="24"/>
          <w:rtl w:val="0"/>
        </w:rPr>
        <w:t xml:space="preserve"> autonomy of states compared to other federal systems in terms of deciding policies on border related subjects. India stands out from other classic federal systems such as the United States of America (USA) that were forged after formerly independent territories pooled their sovereignty and designed a model of ‘coming together’ federation that would protect their autonomy. There have been multiple instances over time, in which India’s central government has, in more and less egregious ways, compromised the autonomy of states. It’s a centralised model with a strong degree of interdependence between the Union and the state governments. But it has a permissive approach towards constitutional amendment providing flexibility to tackle issues, especially those concerning the accommodation of diversity or security of borders that could prove much more intractable in a more rigidly interlocked federal system. Over time, India has also become more genuinely ‘federal’ due to the political and economic change. In the early decades, the over supremacy of the INC party nationally and across states helped to unite the Indian Union together. The greatest tensions between the Union and the state governments emerged in the subsequent period during which the ‘Congress system’ (Rajni Kothari) was challenged. Centre-state relations, and calls for greater regional autonomy, formed part of the platform around which opposition to Indira Gandhi’s leadership coalesced in the 1970s and 1980s. In 1983, Sarkaria Commission was formed to study the hyped federal tensions between the Centre and States. The ensuing parallel processes of economic liberalisation and political regionalisation from the late 1980s increased the centrality and autonomy of states in political and economic life. The involvement of regional parties alongside national parties in coalition governments at the Centre from the 1990s also enhanced the extent to which regional voices were represented in the central government. (Yadav and Suhas Palshikar, 2003). This brought the regionalisation</w:t>
      </w:r>
      <w:r w:rsidDel="00000000" w:rsidR="00000000" w:rsidRPr="00000000">
        <w:rPr>
          <w:rFonts w:ascii="Times New Roman" w:cs="Times New Roman" w:eastAsia="Times New Roman" w:hAnsi="Times New Roman"/>
          <w:sz w:val="24"/>
          <w:szCs w:val="24"/>
          <w:vertAlign w:val="superscript"/>
        </w:rPr>
        <w:footnoteReference w:customMarkFollows="0" w:id="34"/>
      </w:r>
      <w:r w:rsidDel="00000000" w:rsidR="00000000" w:rsidRPr="00000000">
        <w:rPr>
          <w:rFonts w:ascii="Times New Roman" w:cs="Times New Roman" w:eastAsia="Times New Roman" w:hAnsi="Times New Roman"/>
          <w:sz w:val="24"/>
          <w:szCs w:val="24"/>
          <w:rtl w:val="0"/>
        </w:rPr>
        <w:t xml:space="preserve"> of existing all-Indian political metanarratives or discourses, as here the regional political fronts </w:t>
      </w:r>
      <w:r w:rsidDel="00000000" w:rsidR="00000000" w:rsidRPr="00000000">
        <w:rPr>
          <w:rFonts w:ascii="Times New Roman" w:cs="Times New Roman" w:eastAsia="Times New Roman" w:hAnsi="Times New Roman"/>
          <w:sz w:val="24"/>
          <w:szCs w:val="24"/>
          <w:rtl w:val="0"/>
        </w:rPr>
        <w:t xml:space="preserve">got chance</w:t>
      </w:r>
      <w:r w:rsidDel="00000000" w:rsidR="00000000" w:rsidRPr="00000000">
        <w:rPr>
          <w:rFonts w:ascii="Times New Roman" w:cs="Times New Roman" w:eastAsia="Times New Roman" w:hAnsi="Times New Roman"/>
          <w:sz w:val="24"/>
          <w:szCs w:val="24"/>
          <w:rtl w:val="0"/>
        </w:rPr>
        <w:t xml:space="preserve"> to represent the coalition government between 1999 and 2014.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regional parties preferentially favoured either by joining the UPA or the NDA national coalitional coterie to grab more </w:t>
      </w:r>
      <w:r w:rsidDel="00000000" w:rsidR="00000000" w:rsidRPr="00000000">
        <w:rPr>
          <w:rFonts w:ascii="Times New Roman" w:cs="Times New Roman" w:eastAsia="Times New Roman" w:hAnsi="Times New Roman"/>
          <w:sz w:val="24"/>
          <w:szCs w:val="24"/>
          <w:rtl w:val="0"/>
        </w:rPr>
        <w:t xml:space="preserve">fructuous</w:t>
      </w:r>
      <w:r w:rsidDel="00000000" w:rsidR="00000000" w:rsidRPr="00000000">
        <w:rPr>
          <w:rFonts w:ascii="Times New Roman" w:cs="Times New Roman" w:eastAsia="Times New Roman" w:hAnsi="Times New Roman"/>
          <w:sz w:val="24"/>
          <w:szCs w:val="24"/>
          <w:rtl w:val="0"/>
        </w:rPr>
        <w:t xml:space="preserve"> political representation and better access to the resources of power, reducing the regional confrontationist approach (Ambar Kumar Ghosh, 2020). Since 2014, when BJP came to power with the developmental narrative of ‘</w:t>
      </w:r>
      <w:r w:rsidDel="00000000" w:rsidR="00000000" w:rsidRPr="00000000">
        <w:rPr>
          <w:rFonts w:ascii="Times New Roman" w:cs="Times New Roman" w:eastAsia="Times New Roman" w:hAnsi="Times New Roman"/>
          <w:sz w:val="24"/>
          <w:szCs w:val="24"/>
          <w:rtl w:val="0"/>
        </w:rPr>
        <w:t xml:space="preserve">Sabka Saath, Sabka Vikas aur Sabka Vishwas with Sabka </w:t>
      </w:r>
      <w:r w:rsidDel="00000000" w:rsidR="00000000" w:rsidRPr="00000000">
        <w:rPr>
          <w:rFonts w:ascii="Times New Roman" w:cs="Times New Roman" w:eastAsia="Times New Roman" w:hAnsi="Times New Roman"/>
          <w:sz w:val="24"/>
          <w:szCs w:val="24"/>
          <w:rtl w:val="0"/>
        </w:rPr>
        <w:t xml:space="preserve">Prayaas</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it promised a vision to fill the void of expectations caused due to the frustration of UPA and INC’s corruption and policy failures on prioritising state’s development and autonomy. On October 2014, GOI preconized the formation of a novel States Division under the Ministry of External Affairs which will be managed by a Sr. Officer equal to the rank of Joint Secretary, this initiative was viewed as a departure from the earlier “Delhi-centric”</w:t>
      </w:r>
      <w:r w:rsidDel="00000000" w:rsidR="00000000" w:rsidRPr="00000000">
        <w:rPr>
          <w:rFonts w:ascii="Times New Roman" w:cs="Times New Roman" w:eastAsia="Times New Roman" w:hAnsi="Times New Roman"/>
          <w:sz w:val="24"/>
          <w:szCs w:val="24"/>
          <w:vertAlign w:val="superscript"/>
        </w:rPr>
        <w:footnoteReference w:customMarkFollows="0" w:id="35"/>
      </w:r>
      <w:r w:rsidDel="00000000" w:rsidR="00000000" w:rsidRPr="00000000">
        <w:rPr>
          <w:rFonts w:ascii="Times New Roman" w:cs="Times New Roman" w:eastAsia="Times New Roman" w:hAnsi="Times New Roman"/>
          <w:sz w:val="24"/>
          <w:szCs w:val="24"/>
          <w:rtl w:val="0"/>
        </w:rPr>
        <w:t xml:space="preserve"> attitude of the Union, which allowed the states to become a stakeholder in major foreign policy decisions. It was modelled “</w:t>
      </w:r>
      <w:r w:rsidDel="00000000" w:rsidR="00000000" w:rsidRPr="00000000">
        <w:rPr>
          <w:rFonts w:ascii="Times New Roman" w:cs="Times New Roman" w:eastAsia="Times New Roman" w:hAnsi="Times New Roman"/>
          <w:i w:val="1"/>
          <w:sz w:val="24"/>
          <w:szCs w:val="24"/>
          <w:rtl w:val="0"/>
        </w:rPr>
        <w:t xml:space="preserve">to coordinate the facilitation of efforts between the Mission/Post(s) and State/Union Territories Governments as well as foreign diplomatic and trade missions in India,”</w:t>
      </w:r>
      <w:r w:rsidDel="00000000" w:rsidR="00000000" w:rsidRPr="00000000">
        <w:rPr>
          <w:rFonts w:ascii="Times New Roman" w:cs="Times New Roman" w:eastAsia="Times New Roman" w:hAnsi="Times New Roman"/>
          <w:sz w:val="24"/>
          <w:szCs w:val="24"/>
          <w:vertAlign w:val="superscript"/>
        </w:rPr>
        <w:footnoteReference w:customMarkFollows="0" w:id="36"/>
      </w:r>
      <w:r w:rsidDel="00000000" w:rsidR="00000000" w:rsidRPr="00000000">
        <w:rPr>
          <w:rFonts w:ascii="Times New Roman" w:cs="Times New Roman" w:eastAsia="Times New Roman" w:hAnsi="Times New Roman"/>
          <w:sz w:val="24"/>
          <w:szCs w:val="24"/>
          <w:rtl w:val="0"/>
        </w:rPr>
        <w:t xml:space="preserve"> such novel division signifies the unparalleled avatar of New Delhi in recognizing state’s significance in the country’s foreign policy cycle,</w:t>
      </w:r>
      <w:r w:rsidDel="00000000" w:rsidR="00000000" w:rsidRPr="00000000">
        <w:rPr>
          <w:rFonts w:ascii="Times New Roman" w:cs="Times New Roman" w:eastAsia="Times New Roman" w:hAnsi="Times New Roman"/>
          <w:sz w:val="24"/>
          <w:szCs w:val="24"/>
          <w:vertAlign w:val="superscript"/>
        </w:rPr>
        <w:footnoteReference w:customMarkFollows="0" w:id="37"/>
      </w:r>
      <w:r w:rsidDel="00000000" w:rsidR="00000000" w:rsidRPr="00000000">
        <w:rPr>
          <w:rFonts w:ascii="Times New Roman" w:cs="Times New Roman" w:eastAsia="Times New Roman" w:hAnsi="Times New Roman"/>
          <w:sz w:val="24"/>
          <w:szCs w:val="24"/>
          <w:rtl w:val="0"/>
        </w:rPr>
        <w:t xml:space="preserve"> empowering the cooperative federal tendencies. The </w:t>
      </w:r>
      <w:r w:rsidDel="00000000" w:rsidR="00000000" w:rsidRPr="00000000">
        <w:rPr>
          <w:rFonts w:ascii="Times New Roman" w:cs="Times New Roman" w:eastAsia="Times New Roman" w:hAnsi="Times New Roman"/>
          <w:sz w:val="24"/>
          <w:szCs w:val="24"/>
          <w:rtl w:val="0"/>
        </w:rPr>
        <w:t xml:space="preserve">NDA</w:t>
      </w:r>
      <w:r w:rsidDel="00000000" w:rsidR="00000000" w:rsidRPr="00000000">
        <w:rPr>
          <w:rFonts w:ascii="Times New Roman" w:cs="Times New Roman" w:eastAsia="Times New Roman" w:hAnsi="Times New Roman"/>
          <w:sz w:val="24"/>
          <w:szCs w:val="24"/>
          <w:rtl w:val="0"/>
        </w:rPr>
        <w:t xml:space="preserve"> even expanded its political wings in the north-east region, by forming a non-INC parties political coalition, NEDA on 24th May, 2016. This shows that even after securing the majority, BJP’s reliance seems consistent over its political engineering on the basis of cooperative and competitive federalism (based on convergences and divergences), whether its in power (Assam and Mizoram) or opposition (West Bengal) in the state. As the current rule is coalition based NDA at the Union. This political engineering depicts a unique strategy of applied Modinomics in the formation of government because it is a ‘coalition of choice’ rather than one of necessity, since the BJP itself has Lok Sabha majority seats</w:t>
      </w:r>
      <w:r w:rsidDel="00000000" w:rsidR="00000000" w:rsidRPr="00000000">
        <w:rPr>
          <w:rFonts w:ascii="Times New Roman" w:cs="Times New Roman" w:eastAsia="Times New Roman" w:hAnsi="Times New Roman"/>
          <w:sz w:val="24"/>
          <w:szCs w:val="24"/>
          <w:vertAlign w:val="superscript"/>
        </w:rPr>
        <w:footnoteReference w:customMarkFollows="0" w:id="38"/>
      </w:r>
      <w:r w:rsidDel="00000000" w:rsidR="00000000" w:rsidRPr="00000000">
        <w:rPr>
          <w:rFonts w:ascii="Times New Roman" w:cs="Times New Roman" w:eastAsia="Times New Roman" w:hAnsi="Times New Roman"/>
          <w:sz w:val="24"/>
          <w:szCs w:val="24"/>
          <w:rtl w:val="0"/>
        </w:rPr>
        <w:t xml:space="preserve">. This has set a new trend of sub-nationalism and paradiplomacy, flourished through the notion of ‘expressive federalism’ (Ambar Ghosh, 2020) within the sphere of nationalism, where we see many regional political fronts bargaining</w:t>
      </w:r>
      <w:r w:rsidDel="00000000" w:rsidR="00000000" w:rsidRPr="00000000">
        <w:rPr>
          <w:rFonts w:ascii="Times New Roman" w:cs="Times New Roman" w:eastAsia="Times New Roman" w:hAnsi="Times New Roman"/>
          <w:sz w:val="24"/>
          <w:szCs w:val="24"/>
          <w:vertAlign w:val="superscript"/>
        </w:rPr>
        <w:footnoteReference w:customMarkFollows="0" w:id="39"/>
      </w:r>
      <w:r w:rsidDel="00000000" w:rsidR="00000000" w:rsidRPr="00000000">
        <w:rPr>
          <w:rFonts w:ascii="Times New Roman" w:cs="Times New Roman" w:eastAsia="Times New Roman" w:hAnsi="Times New Roman"/>
          <w:sz w:val="24"/>
          <w:szCs w:val="24"/>
          <w:rtl w:val="0"/>
        </w:rPr>
        <w:t xml:space="preserve"> with the centralised Union government for their fulfilment of local demands and welfare policies based on Social Cost-Benefit Analysis (SCBA) mechanism. Therefore, it also becomes clear that India has defined its own constitutional practice of federalism rather than following the earlier blueprints. </w:t>
      </w:r>
    </w:p>
    <w:p w:rsidR="00000000" w:rsidDel="00000000" w:rsidP="00000000" w:rsidRDefault="00000000" w:rsidRPr="00000000" w14:paraId="00000054">
      <w:pPr>
        <w:numPr>
          <w:ilvl w:val="0"/>
          <w:numId w:val="6"/>
        </w:numPr>
        <w:spacing w:line="48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CASE SELECTION AND METHODOLOGY</w:t>
      </w:r>
    </w:p>
    <w:p w:rsidR="00000000" w:rsidDel="00000000" w:rsidP="00000000" w:rsidRDefault="00000000" w:rsidRPr="00000000" w14:paraId="0000005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w:t>
      </w:r>
      <w:r w:rsidDel="00000000" w:rsidR="00000000" w:rsidRPr="00000000">
        <w:rPr>
          <w:rFonts w:ascii="Times New Roman" w:cs="Times New Roman" w:eastAsia="Times New Roman" w:hAnsi="Times New Roman"/>
          <w:sz w:val="24"/>
          <w:szCs w:val="24"/>
          <w:rtl w:val="0"/>
        </w:rPr>
        <w:t xml:space="preserve"> research undertakes a three bi-partisan model of descriptive comparative case analysis of Indian states- namely, Assam (ruled by the uni-party at the centre and state, i.e. BJP); West Bengal (ruled by the oppositional forces, i.e. BJP at the centre and AITC in the state); and Mizoram (ruled by a coalition government comprising BJP and MNF), showcasing a sui generis presence of cooperative and competitive federal dialogues under the NDA-II regime, on the basis of partisan based ideological oscillations, in terms of deciding the fate of Refugees as a meso-identity in Indian polity. It is also pertinent to mention that these three states along with the foreign countries (from where the problem of interlopers and Refugees have developed) were once territorially unified</w:t>
      </w:r>
      <w:r w:rsidDel="00000000" w:rsidR="00000000" w:rsidRPr="00000000">
        <w:rPr>
          <w:rFonts w:ascii="Times New Roman" w:cs="Times New Roman" w:eastAsia="Times New Roman" w:hAnsi="Times New Roman"/>
          <w:sz w:val="24"/>
          <w:szCs w:val="24"/>
          <w:vertAlign w:val="superscript"/>
        </w:rPr>
        <w:footnoteReference w:customMarkFollows="0" w:id="40"/>
      </w:r>
      <w:r w:rsidDel="00000000" w:rsidR="00000000" w:rsidRPr="00000000">
        <w:rPr>
          <w:rFonts w:ascii="Times New Roman" w:cs="Times New Roman" w:eastAsia="Times New Roman" w:hAnsi="Times New Roman"/>
          <w:sz w:val="24"/>
          <w:szCs w:val="24"/>
          <w:rtl w:val="0"/>
        </w:rPr>
        <w:t xml:space="preserve"> under the British administration</w:t>
      </w:r>
      <w:r w:rsidDel="00000000" w:rsidR="00000000" w:rsidRPr="00000000">
        <w:rPr>
          <w:rFonts w:ascii="Times New Roman" w:cs="Times New Roman" w:eastAsia="Times New Roman" w:hAnsi="Times New Roman"/>
          <w:sz w:val="24"/>
          <w:szCs w:val="24"/>
          <w:vertAlign w:val="superscript"/>
        </w:rPr>
        <w:footnoteReference w:customMarkFollows="0" w:id="41"/>
      </w:r>
      <w:r w:rsidDel="00000000" w:rsidR="00000000" w:rsidRPr="00000000">
        <w:rPr>
          <w:rFonts w:ascii="Times New Roman" w:cs="Times New Roman" w:eastAsia="Times New Roman" w:hAnsi="Times New Roman"/>
          <w:sz w:val="24"/>
          <w:szCs w:val="24"/>
          <w:rtl w:val="0"/>
        </w:rPr>
        <w:t xml:space="preserve">. This signifies that this selection of cartographical space will provide the research, the adequate opportunity to study the Refugees as an intermediate or meso-level identity in Indian polity shaping its federal trajectories. To answer the research queries, the paper employs the logical inference strategies of Retroduction</w:t>
      </w:r>
      <w:r w:rsidDel="00000000" w:rsidR="00000000" w:rsidRPr="00000000">
        <w:rPr>
          <w:rFonts w:ascii="Times New Roman" w:cs="Times New Roman" w:eastAsia="Times New Roman" w:hAnsi="Times New Roman"/>
          <w:sz w:val="24"/>
          <w:szCs w:val="24"/>
          <w:vertAlign w:val="superscript"/>
        </w:rPr>
        <w:footnoteReference w:customMarkFollows="0" w:id="42"/>
      </w:r>
      <w:r w:rsidDel="00000000" w:rsidR="00000000" w:rsidRPr="00000000">
        <w:rPr>
          <w:rFonts w:ascii="Times New Roman" w:cs="Times New Roman" w:eastAsia="Times New Roman" w:hAnsi="Times New Roman"/>
          <w:sz w:val="24"/>
          <w:szCs w:val="24"/>
          <w:rtl w:val="0"/>
        </w:rPr>
        <w:t xml:space="preserve"> (which provides an implication of deliberately leading backward to an earlier date and make out something factually operative as of that date for analysis) and Abduction</w:t>
      </w:r>
      <w:r w:rsidDel="00000000" w:rsidR="00000000" w:rsidRPr="00000000">
        <w:rPr>
          <w:rFonts w:ascii="Times New Roman" w:cs="Times New Roman" w:eastAsia="Times New Roman" w:hAnsi="Times New Roman"/>
          <w:sz w:val="24"/>
          <w:szCs w:val="24"/>
          <w:vertAlign w:val="superscript"/>
        </w:rPr>
        <w:footnoteReference w:customMarkFollows="0" w:id="43"/>
      </w:r>
      <w:r w:rsidDel="00000000" w:rsidR="00000000" w:rsidRPr="00000000">
        <w:rPr>
          <w:rFonts w:ascii="Times New Roman" w:cs="Times New Roman" w:eastAsia="Times New Roman" w:hAnsi="Times New Roman"/>
          <w:sz w:val="24"/>
          <w:szCs w:val="24"/>
          <w:rtl w:val="0"/>
        </w:rPr>
        <w:t xml:space="preserve"> (which provides the research to respond to the research gap by leading away from the conventional studies made so far on federalism and supply to the literature on neo-federalism through the exploration of ‘Refugees’ as a meso-identity). There are certain limitations of this research as well - i.)Temporal reason: the case studies only highlights the occurrences happened under the NDA-II regime (post-2019), taking few sources from pre-2019 timeline to substantiate the hypothesis made thereunder. ii.)Categorical reason: the case studies takes up selective communities of refugees</w:t>
      </w:r>
      <w:r w:rsidDel="00000000" w:rsidR="00000000" w:rsidRPr="00000000">
        <w:rPr>
          <w:rFonts w:ascii="Times New Roman" w:cs="Times New Roman" w:eastAsia="Times New Roman" w:hAnsi="Times New Roman"/>
          <w:sz w:val="24"/>
          <w:szCs w:val="24"/>
          <w:vertAlign w:val="superscript"/>
        </w:rPr>
        <w:footnoteReference w:customMarkFollows="0" w:id="44"/>
      </w:r>
      <w:r w:rsidDel="00000000" w:rsidR="00000000" w:rsidRPr="00000000">
        <w:rPr>
          <w:rFonts w:ascii="Times New Roman" w:cs="Times New Roman" w:eastAsia="Times New Roman" w:hAnsi="Times New Roman"/>
          <w:sz w:val="24"/>
          <w:szCs w:val="24"/>
          <w:rtl w:val="0"/>
        </w:rPr>
        <w:t xml:space="preserve"> in terms of understanding the Centre-State interaction and their approach regarding the acceptance and rejection of Refugees. iii.)Language barrier, particularly in dealing with the case of Mizoram, as the public records, especially the website of Directorate of Information and Public Relations (DIPR, Government of Mizoram), which provides intricate current administrative details on Chin Refugees are written in Mizo language.</w:t>
      </w:r>
    </w:p>
    <w:p w:rsidR="00000000" w:rsidDel="00000000" w:rsidP="00000000" w:rsidRDefault="00000000" w:rsidRPr="00000000" w14:paraId="00000056">
      <w:pPr>
        <w:numPr>
          <w:ilvl w:val="0"/>
          <w:numId w:val="4"/>
        </w:numPr>
        <w:spacing w:line="48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ASSAM </w:t>
      </w:r>
    </w:p>
    <w:p w:rsidR="00000000" w:rsidDel="00000000" w:rsidP="00000000" w:rsidRDefault="00000000" w:rsidRPr="00000000" w14:paraId="0000005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Indian State-nation challenges from the northeast region, particularly Assam emerged out of the same protracted colonial sovereignty and national identity legacies, which is a manifestation of ‘</w:t>
      </w:r>
      <w:r w:rsidDel="00000000" w:rsidR="00000000" w:rsidRPr="00000000">
        <w:rPr>
          <w:rFonts w:ascii="Times New Roman" w:cs="Times New Roman" w:eastAsia="Times New Roman" w:hAnsi="Times New Roman"/>
          <w:i w:val="1"/>
          <w:sz w:val="24"/>
          <w:szCs w:val="24"/>
          <w:rtl w:val="0"/>
        </w:rPr>
        <w:t xml:space="preserve">colonial constitutionalism</w:t>
      </w:r>
      <w:r w:rsidDel="00000000" w:rsidR="00000000" w:rsidRPr="00000000">
        <w:rPr>
          <w:rFonts w:ascii="Times New Roman" w:cs="Times New Roman" w:eastAsia="Times New Roman" w:hAnsi="Times New Roman"/>
          <w:sz w:val="24"/>
          <w:szCs w:val="24"/>
          <w:rtl w:val="0"/>
        </w:rPr>
        <w:t xml:space="preserve">’ (Sanjay Baruah, 2010) sustained by the Centre</w:t>
      </w:r>
      <w:r w:rsidDel="00000000" w:rsidR="00000000" w:rsidRPr="00000000">
        <w:rPr>
          <w:rFonts w:ascii="Times New Roman" w:cs="Times New Roman" w:eastAsia="Times New Roman" w:hAnsi="Times New Roman"/>
          <w:sz w:val="24"/>
          <w:szCs w:val="24"/>
          <w:vertAlign w:val="superscript"/>
        </w:rPr>
        <w:footnoteReference w:customMarkFollows="0" w:id="45"/>
      </w:r>
      <w:r w:rsidDel="00000000" w:rsidR="00000000" w:rsidRPr="00000000">
        <w:rPr>
          <w:rFonts w:ascii="Times New Roman" w:cs="Times New Roman" w:eastAsia="Times New Roman" w:hAnsi="Times New Roman"/>
          <w:sz w:val="24"/>
          <w:szCs w:val="24"/>
          <w:rtl w:val="0"/>
        </w:rPr>
        <w:t xml:space="preserve">. Identity politics and multiple shades of nationalism (be it political or ethnic), has been very decisive for the survival of Assamese Nationalism till today. Historically, Assamese nationalism is eminently an ethnic nationalism, (Plamenatz, 1976) which is affixed by same language and inheritance, predating to the civic nationalism, sembled post-formation of independent India as a territorial political community. However, the intensity at which Assamese nationalism ignited so strongly in the 1980s that it surpassed all the previous independence movement’s commotion</w:t>
      </w:r>
      <w:r w:rsidDel="00000000" w:rsidR="00000000" w:rsidRPr="00000000">
        <w:rPr>
          <w:rFonts w:ascii="Times New Roman" w:cs="Times New Roman" w:eastAsia="Times New Roman" w:hAnsi="Times New Roman"/>
          <w:sz w:val="24"/>
          <w:szCs w:val="24"/>
          <w:vertAlign w:val="superscript"/>
        </w:rPr>
        <w:footnoteReference w:customMarkFollows="0" w:id="46"/>
      </w:r>
      <w:r w:rsidDel="00000000" w:rsidR="00000000" w:rsidRPr="00000000">
        <w:rPr>
          <w:rFonts w:ascii="Times New Roman" w:cs="Times New Roman" w:eastAsia="Times New Roman" w:hAnsi="Times New Roman"/>
          <w:sz w:val="24"/>
          <w:szCs w:val="24"/>
          <w:rtl w:val="0"/>
        </w:rPr>
        <w:t xml:space="preserve">, this violent indigenous </w:t>
      </w:r>
      <w:r w:rsidDel="00000000" w:rsidR="00000000" w:rsidRPr="00000000">
        <w:rPr>
          <w:rFonts w:ascii="Times New Roman" w:cs="Times New Roman" w:eastAsia="Times New Roman" w:hAnsi="Times New Roman"/>
          <w:sz w:val="24"/>
          <w:szCs w:val="24"/>
          <w:rtl w:val="0"/>
        </w:rPr>
        <w:t xml:space="preserve">jaagriti</w:t>
      </w:r>
      <w:r w:rsidDel="00000000" w:rsidR="00000000" w:rsidRPr="00000000">
        <w:rPr>
          <w:rFonts w:ascii="Times New Roman" w:cs="Times New Roman" w:eastAsia="Times New Roman" w:hAnsi="Times New Roman"/>
          <w:sz w:val="24"/>
          <w:szCs w:val="24"/>
          <w:rtl w:val="0"/>
        </w:rPr>
        <w:t xml:space="preserve"> or consciousness of identity in Assam, consequently brought the IMDT Act (1983) and Assam Accord (1986) to pacify the nativist demands to control the immigration of Bangladeshi and Nepali infiltrators by the Union. There have been various chains of temporal ideological events which politically victimised and incessantly targeted the Refugees, be it Nellie massacre or Assam Movement</w:t>
      </w:r>
      <w:r w:rsidDel="00000000" w:rsidR="00000000" w:rsidRPr="00000000">
        <w:rPr>
          <w:rFonts w:ascii="Times New Roman" w:cs="Times New Roman" w:eastAsia="Times New Roman" w:hAnsi="Times New Roman"/>
          <w:sz w:val="24"/>
          <w:szCs w:val="24"/>
          <w:vertAlign w:val="superscript"/>
        </w:rPr>
        <w:footnoteReference w:customMarkFollows="0" w:id="47"/>
      </w:r>
      <w:r w:rsidDel="00000000" w:rsidR="00000000" w:rsidRPr="00000000">
        <w:rPr>
          <w:rFonts w:ascii="Times New Roman" w:cs="Times New Roman" w:eastAsia="Times New Roman" w:hAnsi="Times New Roman"/>
          <w:sz w:val="24"/>
          <w:szCs w:val="24"/>
          <w:rtl w:val="0"/>
        </w:rPr>
        <w:t xml:space="preserve"> brawling over land related economic rights, language, ethno-cultural and social rights and also upon the protection of Assam's resources, heritage and biodiversity sparking the discourses of citizenship and subnationalism. </w:t>
      </w:r>
    </w:p>
    <w:p w:rsidR="00000000" w:rsidDel="00000000" w:rsidP="00000000" w:rsidRDefault="00000000" w:rsidRPr="00000000" w14:paraId="0000005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t>
      </w:r>
      <w:r w:rsidDel="00000000" w:rsidR="00000000" w:rsidRPr="00000000">
        <w:rPr>
          <w:rFonts w:ascii="Times New Roman" w:cs="Times New Roman" w:eastAsia="Times New Roman" w:hAnsi="Times New Roman"/>
          <w:i w:val="1"/>
          <w:sz w:val="24"/>
          <w:szCs w:val="24"/>
          <w:rtl w:val="0"/>
        </w:rPr>
        <w:t xml:space="preserve">Citizenship (Amendment) Act, 2019 </w:t>
      </w:r>
      <w:r w:rsidDel="00000000" w:rsidR="00000000" w:rsidRPr="00000000">
        <w:rPr>
          <w:rFonts w:ascii="Times New Roman" w:cs="Times New Roman" w:eastAsia="Times New Roman" w:hAnsi="Times New Roman"/>
          <w:sz w:val="24"/>
          <w:szCs w:val="24"/>
          <w:rtl w:val="0"/>
        </w:rPr>
        <w:t xml:space="preserve">was one such attempt by the Union government that gave rise to the academic dialectics on how 'religion' can convert the idealistic constitutional principles through the realistic functional intrusion of dominant discourses, by using the instrument of 'Representative Democracy' through the mechanism of policy intervention. This applied legislative 'intelligible differentia' on the basis of religion in the Act, demonstrated the contradictory tones to that of the NRC</w:t>
      </w:r>
      <w:r w:rsidDel="00000000" w:rsidR="00000000" w:rsidRPr="00000000">
        <w:rPr>
          <w:rFonts w:ascii="Times New Roman" w:cs="Times New Roman" w:eastAsia="Times New Roman" w:hAnsi="Times New Roman"/>
          <w:sz w:val="24"/>
          <w:szCs w:val="24"/>
          <w:vertAlign w:val="superscript"/>
        </w:rPr>
        <w:footnoteReference w:customMarkFollows="0" w:id="48"/>
      </w:r>
      <w:r w:rsidDel="00000000" w:rsidR="00000000" w:rsidRPr="00000000">
        <w:rPr>
          <w:rFonts w:ascii="Times New Roman" w:cs="Times New Roman" w:eastAsia="Times New Roman" w:hAnsi="Times New Roman"/>
          <w:sz w:val="24"/>
          <w:szCs w:val="24"/>
          <w:rtl w:val="0"/>
        </w:rPr>
        <w:t xml:space="preserve">, which was flagged in Assam by the BJP (State Cadre). Assam became the first state to oppose the CAA, particularly due to the Act's provisions of allowing the 6 communities</w:t>
      </w:r>
      <w:r w:rsidDel="00000000" w:rsidR="00000000" w:rsidRPr="00000000">
        <w:rPr>
          <w:rFonts w:ascii="Times New Roman" w:cs="Times New Roman" w:eastAsia="Times New Roman" w:hAnsi="Times New Roman"/>
          <w:sz w:val="24"/>
          <w:szCs w:val="24"/>
          <w:vertAlign w:val="superscript"/>
        </w:rPr>
        <w:footnoteReference w:customMarkFollows="0" w:id="49"/>
      </w:r>
      <w:r w:rsidDel="00000000" w:rsidR="00000000" w:rsidRPr="00000000">
        <w:rPr>
          <w:rFonts w:ascii="Times New Roman" w:cs="Times New Roman" w:eastAsia="Times New Roman" w:hAnsi="Times New Roman"/>
          <w:sz w:val="24"/>
          <w:szCs w:val="24"/>
          <w:rtl w:val="0"/>
        </w:rPr>
        <w:t xml:space="preserve"> a safe haven in the country who entered on or predates 31st December, 2014 (including the Bangladeshi Hindus who stand exempted from any criminal charges made under the </w:t>
      </w:r>
      <w:r w:rsidDel="00000000" w:rsidR="00000000" w:rsidRPr="00000000">
        <w:rPr>
          <w:rFonts w:ascii="Times New Roman" w:cs="Times New Roman" w:eastAsia="Times New Roman" w:hAnsi="Times New Roman"/>
          <w:i w:val="1"/>
          <w:sz w:val="24"/>
          <w:szCs w:val="24"/>
          <w:rtl w:val="0"/>
        </w:rPr>
        <w:t xml:space="preserve">Foreigners Act, 1946</w:t>
      </w:r>
      <w:r w:rsidDel="00000000" w:rsidR="00000000" w:rsidRPr="00000000">
        <w:rPr>
          <w:rFonts w:ascii="Times New Roman" w:cs="Times New Roman" w:eastAsia="Times New Roman" w:hAnsi="Times New Roman"/>
          <w:sz w:val="24"/>
          <w:szCs w:val="24"/>
          <w:rtl w:val="0"/>
        </w:rPr>
        <w:t xml:space="preserve"> and the </w:t>
      </w:r>
      <w:r w:rsidDel="00000000" w:rsidR="00000000" w:rsidRPr="00000000">
        <w:rPr>
          <w:rFonts w:ascii="Times New Roman" w:cs="Times New Roman" w:eastAsia="Times New Roman" w:hAnsi="Times New Roman"/>
          <w:i w:val="1"/>
          <w:sz w:val="24"/>
          <w:szCs w:val="24"/>
          <w:rtl w:val="0"/>
        </w:rPr>
        <w:t xml:space="preserve">Passport Act, 1920 </w:t>
      </w:r>
      <w:r w:rsidDel="00000000" w:rsidR="00000000" w:rsidRPr="00000000">
        <w:rPr>
          <w:rFonts w:ascii="Times New Roman" w:cs="Times New Roman" w:eastAsia="Times New Roman" w:hAnsi="Times New Roman"/>
          <w:sz w:val="24"/>
          <w:szCs w:val="24"/>
          <w:rtl w:val="0"/>
        </w:rPr>
        <w:t xml:space="preserve">after 2019) and promised granting citizenship to members of these communities. Thus, the Union's promise of Assam Accord remained unfulfilled. Though, an observation can be made, as the State government viewed this Act as a sign of inclusive strategy of GOI, but the regional aspirations for grabbing power contrasted. As mentioned in the 'Sankalp Patra' (2021 Assam BJP's manifesto), correction of NRC was among the top 10 enlisted commitments where it eschewed citing any aspect related to the execution of the contentious CAA and Clause 6 of the Assam Accord</w:t>
      </w:r>
      <w:r w:rsidDel="00000000" w:rsidR="00000000" w:rsidRPr="00000000">
        <w:rPr>
          <w:rFonts w:ascii="Times New Roman" w:cs="Times New Roman" w:eastAsia="Times New Roman" w:hAnsi="Times New Roman"/>
          <w:sz w:val="24"/>
          <w:szCs w:val="24"/>
          <w:vertAlign w:val="superscript"/>
        </w:rPr>
        <w:footnoteReference w:customMarkFollows="0" w:id="50"/>
      </w:r>
      <w:r w:rsidDel="00000000" w:rsidR="00000000" w:rsidRPr="00000000">
        <w:rPr>
          <w:rFonts w:ascii="Times New Roman" w:cs="Times New Roman" w:eastAsia="Times New Roman" w:hAnsi="Times New Roman"/>
          <w:sz w:val="24"/>
          <w:szCs w:val="24"/>
          <w:rtl w:val="0"/>
        </w:rPr>
        <w:t xml:space="preserve">. But, during the 2021 Vidhan Sabha election campaigning, BJP seemed sceptical in proving the NRC's failure (CAA changed the year criteria for illegal immigrants from 1971 to 2014). On the one hand, BJP's President J.P.Nadda commenting on INC's promise of non-conformism to CAA implementation in the state, he said that "by voting in Assam, state legislation cannot change the central legislation" and on the other hand replying to a question on the implementation of Clause 6, he said “it is under process and we are committed to it”. The analysis of this case is pretty subtle because the Union and the State, both are ruled by the same party but the stand differs at the Union and State level. Here, the allegiance of State to fulfil the promised indigenous regional claims/demands (case of sub-nationalism</w:t>
      </w:r>
      <w:r w:rsidDel="00000000" w:rsidR="00000000" w:rsidRPr="00000000">
        <w:rPr>
          <w:rFonts w:ascii="Times New Roman" w:cs="Times New Roman" w:eastAsia="Times New Roman" w:hAnsi="Times New Roman"/>
          <w:sz w:val="24"/>
          <w:szCs w:val="24"/>
          <w:vertAlign w:val="superscript"/>
        </w:rPr>
        <w:footnoteReference w:customMarkFollows="0" w:id="51"/>
      </w:r>
      <w:r w:rsidDel="00000000" w:rsidR="00000000" w:rsidRPr="00000000">
        <w:rPr>
          <w:rFonts w:ascii="Times New Roman" w:cs="Times New Roman" w:eastAsia="Times New Roman" w:hAnsi="Times New Roman"/>
          <w:sz w:val="24"/>
          <w:szCs w:val="24"/>
          <w:rtl w:val="0"/>
        </w:rPr>
        <w:t xml:space="preserve"> in total opposition to Refugees claims) and Centre's commitment towards implementing CAA (case of nationalism, though selective but pro-Refugees) reflected a sui generis explanation of cooperative and competitive federal tendencies. Significantly, the balance of Assamese nationalism was skillfully maintained by the Union in this case through the insertion of exceptions</w:t>
      </w:r>
      <w:r w:rsidDel="00000000" w:rsidR="00000000" w:rsidRPr="00000000">
        <w:rPr>
          <w:rFonts w:ascii="Times New Roman" w:cs="Times New Roman" w:eastAsia="Times New Roman" w:hAnsi="Times New Roman"/>
          <w:sz w:val="24"/>
          <w:szCs w:val="24"/>
          <w:vertAlign w:val="superscript"/>
        </w:rPr>
        <w:footnoteReference w:customMarkFollows="0" w:id="52"/>
      </w:r>
      <w:r w:rsidDel="00000000" w:rsidR="00000000" w:rsidRPr="00000000">
        <w:rPr>
          <w:rFonts w:ascii="Times New Roman" w:cs="Times New Roman" w:eastAsia="Times New Roman" w:hAnsi="Times New Roman"/>
          <w:sz w:val="24"/>
          <w:szCs w:val="24"/>
          <w:rtl w:val="0"/>
        </w:rPr>
        <w:t xml:space="preserve"> in the CAA, which not only displayed the ideological cooperation of BJP at the state and the centre, but also the presence of competition where the Centre emphasised on giving political identity to the Refugees (with religious exception) and the State seemed sceptical in terms of outwardly supporting the Union’s stance.</w:t>
      </w:r>
    </w:p>
    <w:p w:rsidR="00000000" w:rsidDel="00000000" w:rsidP="00000000" w:rsidRDefault="00000000" w:rsidRPr="00000000" w14:paraId="00000059">
      <w:pPr>
        <w:numPr>
          <w:ilvl w:val="0"/>
          <w:numId w:val="4"/>
        </w:numPr>
        <w:spacing w:line="48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MIZORAM</w:t>
      </w:r>
    </w:p>
    <w:p w:rsidR="00000000" w:rsidDel="00000000" w:rsidP="00000000" w:rsidRDefault="00000000" w:rsidRPr="00000000" w14:paraId="0000005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case of Mizoram, has a different ethnic story of refugee acceptance from Myanmar that shares a 510 km border (having a Free Movement Regime</w:t>
      </w:r>
      <w:r w:rsidDel="00000000" w:rsidR="00000000" w:rsidRPr="00000000">
        <w:rPr>
          <w:rFonts w:ascii="Times New Roman" w:cs="Times New Roman" w:eastAsia="Times New Roman" w:hAnsi="Times New Roman"/>
          <w:sz w:val="24"/>
          <w:szCs w:val="24"/>
          <w:vertAlign w:val="superscript"/>
        </w:rPr>
        <w:footnoteReference w:customMarkFollows="0" w:id="53"/>
      </w:r>
      <w:r w:rsidDel="00000000" w:rsidR="00000000" w:rsidRPr="00000000">
        <w:rPr>
          <w:rFonts w:ascii="Times New Roman" w:cs="Times New Roman" w:eastAsia="Times New Roman" w:hAnsi="Times New Roman"/>
          <w:sz w:val="24"/>
          <w:szCs w:val="24"/>
          <w:rtl w:val="0"/>
        </w:rPr>
        <w:t xml:space="preserve"> established) with it. The Chin refugees are recognized as ethnic minority group, who are fleeing Myanmar for over 4 decades to run away from the perpetual HRs violation committed by the Tatmadaw</w:t>
      </w:r>
      <w:r w:rsidDel="00000000" w:rsidR="00000000" w:rsidRPr="00000000">
        <w:rPr>
          <w:rFonts w:ascii="Times New Roman" w:cs="Times New Roman" w:eastAsia="Times New Roman" w:hAnsi="Times New Roman"/>
          <w:sz w:val="24"/>
          <w:szCs w:val="24"/>
          <w:vertAlign w:val="superscript"/>
        </w:rPr>
        <w:footnoteReference w:customMarkFollows="0" w:id="54"/>
      </w:r>
      <w:r w:rsidDel="00000000" w:rsidR="00000000" w:rsidRPr="00000000">
        <w:rPr>
          <w:rFonts w:ascii="Times New Roman" w:cs="Times New Roman" w:eastAsia="Times New Roman" w:hAnsi="Times New Roman"/>
          <w:sz w:val="24"/>
          <w:szCs w:val="24"/>
          <w:rtl w:val="0"/>
        </w:rPr>
        <w:t xml:space="preserve"> and also the natural calamity</w:t>
      </w:r>
      <w:r w:rsidDel="00000000" w:rsidR="00000000" w:rsidRPr="00000000">
        <w:rPr>
          <w:rFonts w:ascii="Times New Roman" w:cs="Times New Roman" w:eastAsia="Times New Roman" w:hAnsi="Times New Roman"/>
          <w:sz w:val="24"/>
          <w:szCs w:val="24"/>
          <w:vertAlign w:val="superscript"/>
        </w:rPr>
        <w:footnoteReference w:customMarkFollows="0" w:id="55"/>
      </w:r>
      <w:r w:rsidDel="00000000" w:rsidR="00000000" w:rsidRPr="00000000">
        <w:rPr>
          <w:rFonts w:ascii="Times New Roman" w:cs="Times New Roman" w:eastAsia="Times New Roman" w:hAnsi="Times New Roman"/>
          <w:sz w:val="24"/>
          <w:szCs w:val="24"/>
          <w:rtl w:val="0"/>
        </w:rPr>
        <w:t xml:space="preserve">, since the 1988 uprising in Myanmar. From February 1, 2021 coup d'ètat again began in Myanmar, which led to unrest between the Tatmadaw and the Armed Civilian groups. Following which, on 10th March, the North Eastern Division of the MHA issued a letter ordering the Chief Secretaries of 4 north-eastern states and the Director General of Assam Rifles. Directing them to strictly vigil the borders and not allow any refugee influx from Myanmar or provide shelter to displaced and also ordered to deport them back to their borders. It is to be noted here that Mizoram is ruled by Mizo National Front (which is an ally of BJP and NEDA). In sharp contrast to the notification, Mizoram CM Zoramthanga exclaimed this debacle in Myanmar as a "</w:t>
      </w:r>
      <w:r w:rsidDel="00000000" w:rsidR="00000000" w:rsidRPr="00000000">
        <w:rPr>
          <w:rFonts w:ascii="Times New Roman" w:cs="Times New Roman" w:eastAsia="Times New Roman" w:hAnsi="Times New Roman"/>
          <w:i w:val="1"/>
          <w:sz w:val="24"/>
          <w:szCs w:val="24"/>
          <w:rtl w:val="0"/>
        </w:rPr>
        <w:t xml:space="preserve">human catastrophe of gigantic proportions”</w:t>
      </w:r>
      <w:r w:rsidDel="00000000" w:rsidR="00000000" w:rsidRPr="00000000">
        <w:rPr>
          <w:rFonts w:ascii="Times New Roman" w:cs="Times New Roman" w:eastAsia="Times New Roman" w:hAnsi="Times New Roman"/>
          <w:sz w:val="24"/>
          <w:szCs w:val="24"/>
          <w:rtl w:val="0"/>
        </w:rPr>
        <w:t xml:space="preserve">. Following the situation, he wrote a letter to PM Modi, where he urged that India cannot afford to turn “blind eye to this humanitarian crisis” in its backyard. And especially to the Chin community (one of the 135 recognized ethnicities in Myanmar, in contrast to Rohingyas who are merely treated as an 'associate citizens'), who share cultural affinity with the Mizos. Here, the State government went against the SC ruling and the Union directives by giving shelter to the refugees and also provided them with the hospitable services (including education, medical care, shelter, food, ID cards, etc.) by arranging funds from the local NGOs and Churches. In December 2021, after meeting with the PM for assistance, Chief Minister Zoramthanga said that </w:t>
      </w:r>
      <w:r w:rsidDel="00000000" w:rsidR="00000000" w:rsidRPr="00000000">
        <w:rPr>
          <w:rFonts w:ascii="Times New Roman" w:cs="Times New Roman" w:eastAsia="Times New Roman" w:hAnsi="Times New Roman"/>
          <w:i w:val="1"/>
          <w:sz w:val="24"/>
          <w:szCs w:val="24"/>
          <w:rtl w:val="0"/>
        </w:rPr>
        <w:t xml:space="preserve">"he had been assured that the Centre was going to draw up a plan to assist the refugees"</w:t>
      </w:r>
      <w:r w:rsidDel="00000000" w:rsidR="00000000" w:rsidRPr="00000000">
        <w:rPr>
          <w:rFonts w:ascii="Times New Roman" w:cs="Times New Roman" w:eastAsia="Times New Roman" w:hAnsi="Times New Roman"/>
          <w:sz w:val="24"/>
          <w:szCs w:val="24"/>
          <w:rtl w:val="0"/>
        </w:rPr>
        <w:t xml:space="preserve"> also </w:t>
      </w:r>
      <w:r w:rsidDel="00000000" w:rsidR="00000000" w:rsidRPr="00000000">
        <w:rPr>
          <w:rFonts w:ascii="Times New Roman" w:cs="Times New Roman" w:eastAsia="Times New Roman" w:hAnsi="Times New Roman"/>
          <w:i w:val="1"/>
          <w:sz w:val="24"/>
          <w:szCs w:val="24"/>
          <w:rtl w:val="0"/>
        </w:rPr>
        <w:t xml:space="preserve">"the Centre is willing to help but it cannot directly help the Myanmar refugees because India is not a signatory to the UN Refugee Convention of 1951 and its 1967 Protocol”</w:t>
      </w:r>
      <w:r w:rsidDel="00000000" w:rsidR="00000000" w:rsidRPr="00000000">
        <w:rPr>
          <w:rFonts w:ascii="Times New Roman" w:cs="Times New Roman" w:eastAsia="Times New Roman" w:hAnsi="Times New Roman"/>
          <w:sz w:val="24"/>
          <w:szCs w:val="24"/>
          <w:rtl w:val="0"/>
        </w:rPr>
        <w:t xml:space="preserve">. Here, the cooperative and competitive tendencies are clearly visible in terms of handling the refugees. As State's inclusive allegiance to the customary law of non-refoulement and local governance responsibility (case of subnationalism and nationalism) stands contrary to the Union's non-allegiance to international commitments (consideration of case as a securitized affair).</w:t>
      </w:r>
    </w:p>
    <w:p w:rsidR="00000000" w:rsidDel="00000000" w:rsidP="00000000" w:rsidRDefault="00000000" w:rsidRPr="00000000" w14:paraId="0000005B">
      <w:pPr>
        <w:numPr>
          <w:ilvl w:val="0"/>
          <w:numId w:val="4"/>
        </w:numPr>
        <w:spacing w:line="48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WEST BENGAL</w:t>
      </w:r>
    </w:p>
    <w:p w:rsidR="00000000" w:rsidDel="00000000" w:rsidP="00000000" w:rsidRDefault="00000000" w:rsidRPr="00000000" w14:paraId="0000005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generally know that Bengal went through the ‘mapmaker’s scalpel twice’, one in 1905 and the other in 1947. But, it actually happened thrice, that’s in 1971. Once Bengal, counted as an economically prosperous region which had numerous pull factors of migration. But again, the same Bengal later when got divided, developed push factors</w:t>
      </w:r>
      <w:r w:rsidDel="00000000" w:rsidR="00000000" w:rsidRPr="00000000">
        <w:rPr>
          <w:rFonts w:ascii="Times New Roman" w:cs="Times New Roman" w:eastAsia="Times New Roman" w:hAnsi="Times New Roman"/>
          <w:sz w:val="24"/>
          <w:szCs w:val="24"/>
          <w:vertAlign w:val="superscript"/>
        </w:rPr>
        <w:footnoteReference w:customMarkFollows="0" w:id="56"/>
      </w:r>
      <w:r w:rsidDel="00000000" w:rsidR="00000000" w:rsidRPr="00000000">
        <w:rPr>
          <w:rFonts w:ascii="Times New Roman" w:cs="Times New Roman" w:eastAsia="Times New Roman" w:hAnsi="Times New Roman"/>
          <w:sz w:val="24"/>
          <w:szCs w:val="24"/>
          <w:rtl w:val="0"/>
        </w:rPr>
        <w:t xml:space="preserve"> as well. Matua, a weaker Hindu religious sect</w:t>
      </w:r>
      <w:r w:rsidDel="00000000" w:rsidR="00000000" w:rsidRPr="00000000">
        <w:rPr>
          <w:rFonts w:ascii="Times New Roman" w:cs="Times New Roman" w:eastAsia="Times New Roman" w:hAnsi="Times New Roman"/>
          <w:sz w:val="24"/>
          <w:szCs w:val="24"/>
          <w:vertAlign w:val="superscript"/>
        </w:rPr>
        <w:footnoteReference w:customMarkFollows="0" w:id="57"/>
      </w:r>
      <w:r w:rsidDel="00000000" w:rsidR="00000000" w:rsidRPr="00000000">
        <w:rPr>
          <w:rFonts w:ascii="Times New Roman" w:cs="Times New Roman" w:eastAsia="Times New Roman" w:hAnsi="Times New Roman"/>
          <w:sz w:val="24"/>
          <w:szCs w:val="24"/>
          <w:rtl w:val="0"/>
        </w:rPr>
        <w:t xml:space="preserve">, which migrated to India during the partition and after the 1971 Bangladesh creation, they settled in border districts of West Bengal. Many of them have acquisitioned Indian citizenship but a considerable size has not been accorded the same. Matua is one such community (along with Gorkhas of Darjeeling, Rajbanshis and Adivasis of north Bengal, muslim minorities, etc.), who forms the major host of caste based community assertion in West Bengal’s politics, making caste a significant determinant during elections (Praskanva Sinharay, 2014). Be it 2019 Lok Sabha elections or 2021 Vidhan Sabha election, Matua community is a perfect example of a meso-identity between the Centre and the State setting the neo-federal dialogues. Dr. Manosanto Biswas</w:t>
      </w:r>
      <w:r w:rsidDel="00000000" w:rsidR="00000000" w:rsidRPr="00000000">
        <w:rPr>
          <w:rFonts w:ascii="Times New Roman" w:cs="Times New Roman" w:eastAsia="Times New Roman" w:hAnsi="Times New Roman"/>
          <w:sz w:val="24"/>
          <w:szCs w:val="24"/>
          <w:vertAlign w:val="superscript"/>
        </w:rPr>
        <w:footnoteReference w:customMarkFollows="0" w:id="58"/>
      </w:r>
      <w:r w:rsidDel="00000000" w:rsidR="00000000" w:rsidRPr="00000000">
        <w:rPr>
          <w:rFonts w:ascii="Times New Roman" w:cs="Times New Roman" w:eastAsia="Times New Roman" w:hAnsi="Times New Roman"/>
          <w:sz w:val="24"/>
          <w:szCs w:val="24"/>
          <w:rtl w:val="0"/>
        </w:rPr>
        <w:t xml:space="preserve"> explained the reasons why the Matuas gravitated towards the BJP in 2019- i.) Hinduism, as they have been oppressed by the Muslims in Bangladesh; ii.) CAA, 2019 which guarantees them to lift their interloper tag; iii.) CM Mamta Banerjee’s critical responses towards CAA implementation on grounds of religion. But, the same Matuas became displeased with the BJP in 2019 and 2021 elections due to these reasons- i.) BJP’s poor promised service delivery of implementing CAA, 2019; ii.) AITC’s assurance of providing legal pattas or land rights to all the tribal communities, including the Matuas (which also acted as a counter to Centre’s decision to enforce NRC). Here, the role of ‘Boro Ma</w:t>
      </w:r>
      <w:r w:rsidDel="00000000" w:rsidR="00000000" w:rsidRPr="00000000">
        <w:rPr>
          <w:rFonts w:ascii="Times New Roman" w:cs="Times New Roman" w:eastAsia="Times New Roman" w:hAnsi="Times New Roman"/>
          <w:sz w:val="24"/>
          <w:szCs w:val="24"/>
          <w:vertAlign w:val="superscript"/>
        </w:rPr>
        <w:footnoteReference w:customMarkFollows="0" w:id="59"/>
      </w:r>
      <w:r w:rsidDel="00000000" w:rsidR="00000000" w:rsidRPr="00000000">
        <w:rPr>
          <w:rFonts w:ascii="Times New Roman" w:cs="Times New Roman" w:eastAsia="Times New Roman" w:hAnsi="Times New Roman"/>
          <w:sz w:val="24"/>
          <w:szCs w:val="24"/>
          <w:rtl w:val="0"/>
        </w:rPr>
        <w:t xml:space="preserve">’ is pertinent to mention, as she was an eminent figure between the two leaders (PM Modi and CM Mamta) of the parties. One promised Citizenship and the other promised to ensure legal pattas. In 1977, the community approached the governments (both the Centre and State) but they were disillusioned and denied any help from the left government in terms of citizenship and land rights. In 2009, CM Mamta Banerjee came close to the community, and Boro Ma made her the chief patron of ‘Matua Mahasabha’. In 2011, the state government also provided grant-in-aid for the welfare of the community. In 2018, CM Mamta met Boro Ma and announced the creation of a Welfare Board for the community. In 2019, Boro Ma’s death divided the community</w:t>
      </w:r>
      <w:r w:rsidDel="00000000" w:rsidR="00000000" w:rsidRPr="00000000">
        <w:rPr>
          <w:rFonts w:ascii="Times New Roman" w:cs="Times New Roman" w:eastAsia="Times New Roman" w:hAnsi="Times New Roman"/>
          <w:sz w:val="24"/>
          <w:szCs w:val="24"/>
          <w:vertAlign w:val="superscript"/>
        </w:rPr>
        <w:footnoteReference w:customMarkFollows="0" w:id="60"/>
      </w:r>
      <w:r w:rsidDel="00000000" w:rsidR="00000000" w:rsidRPr="00000000">
        <w:rPr>
          <w:rFonts w:ascii="Times New Roman" w:cs="Times New Roman" w:eastAsia="Times New Roman" w:hAnsi="Times New Roman"/>
          <w:sz w:val="24"/>
          <w:szCs w:val="24"/>
          <w:rtl w:val="0"/>
        </w:rPr>
        <w:t xml:space="preserve"> on party’s lines, that is BJP (promising citizenship) and AITC (promising pattas). Shantanu Thakur, chairman of All India Matua Mahasangha, and a Lok Sabha MP (BJP), expressed his dejection over the Union’s delay in implementing the CAA and the BJP’s State leadership on ignoring the Matua representative in the state committee earlier. After the 2-year gap of ‘Matua Dharma Maha Mela’, in 2022, the event was organised which was virtually addressed by PM Modi and attended by around 20 lakh devotees. The arrangement of the congregation was supported by both. The </w:t>
      </w:r>
      <w:r w:rsidDel="00000000" w:rsidR="00000000" w:rsidRPr="00000000">
        <w:rPr>
          <w:rFonts w:ascii="Times New Roman" w:cs="Times New Roman" w:eastAsia="Times New Roman" w:hAnsi="Times New Roman"/>
          <w:sz w:val="24"/>
          <w:szCs w:val="24"/>
          <w:rtl w:val="0"/>
        </w:rPr>
        <w:t xml:space="preserve">AITC’s</w:t>
      </w:r>
      <w:r w:rsidDel="00000000" w:rsidR="00000000" w:rsidRPr="00000000">
        <w:rPr>
          <w:rFonts w:ascii="Times New Roman" w:cs="Times New Roman" w:eastAsia="Times New Roman" w:hAnsi="Times New Roman"/>
          <w:sz w:val="24"/>
          <w:szCs w:val="24"/>
          <w:rtl w:val="0"/>
        </w:rPr>
        <w:t xml:space="preserve"> local leadership (Shri </w:t>
      </w:r>
      <w:r w:rsidDel="00000000" w:rsidR="00000000" w:rsidRPr="00000000">
        <w:rPr>
          <w:rFonts w:ascii="Times New Roman" w:cs="Times New Roman" w:eastAsia="Times New Roman" w:hAnsi="Times New Roman"/>
          <w:sz w:val="24"/>
          <w:szCs w:val="24"/>
          <w:rtl w:val="0"/>
        </w:rPr>
        <w:t xml:space="preserve">Mamtabala</w:t>
      </w:r>
      <w:r w:rsidDel="00000000" w:rsidR="00000000" w:rsidRPr="00000000">
        <w:rPr>
          <w:rFonts w:ascii="Times New Roman" w:cs="Times New Roman" w:eastAsia="Times New Roman" w:hAnsi="Times New Roman"/>
          <w:sz w:val="24"/>
          <w:szCs w:val="24"/>
          <w:rtl w:val="0"/>
        </w:rPr>
        <w:t xml:space="preserve"> Thakur) helped in terms of providing the nod for organising such a big gathering despite pandemic, and the BJP’s national leadership arranged for 15 special trains and a ship to ferry devotees from the Andamans. The ideological differences and rivalry in terms of political party interests at the intra-community level among the Matuas were opaque. This case portrays that Matuas are active gravitators, as they are strong enough to politically mobilise the political parties both at the Centre and the State. Also, in 2019, the West Bengal government approved the building of 2 detention camps</w:t>
      </w:r>
      <w:r w:rsidDel="00000000" w:rsidR="00000000" w:rsidRPr="00000000">
        <w:rPr>
          <w:rFonts w:ascii="Times New Roman" w:cs="Times New Roman" w:eastAsia="Times New Roman" w:hAnsi="Times New Roman"/>
          <w:sz w:val="24"/>
          <w:szCs w:val="24"/>
          <w:vertAlign w:val="superscript"/>
        </w:rPr>
        <w:footnoteReference w:customMarkFollows="0" w:id="61"/>
      </w:r>
      <w:r w:rsidDel="00000000" w:rsidR="00000000" w:rsidRPr="00000000">
        <w:rPr>
          <w:rFonts w:ascii="Times New Roman" w:cs="Times New Roman" w:eastAsia="Times New Roman" w:hAnsi="Times New Roman"/>
          <w:sz w:val="24"/>
          <w:szCs w:val="24"/>
          <w:rtl w:val="0"/>
        </w:rPr>
        <w:t xml:space="preserve"> on the lines of the MHA’s 11 page Manual. Politically, the Chief Minister herself has been a staunch critic of implementing detention centres in her state, but the government officially confirmed to build these 2 camps. Though, the state government later clarified that it was the SC directives and not the Union’s commands, which it has complied to and it has no relations with NRC in reality. Here, the case of opposition parties cooperating and competing on selective fronts highlights the development of neo-federal tendencies while operating Refugees as a meso-level identity.</w:t>
      </w:r>
    </w:p>
    <w:p w:rsidR="00000000" w:rsidDel="00000000" w:rsidP="00000000" w:rsidRDefault="00000000" w:rsidRPr="00000000" w14:paraId="0000005D">
      <w:pPr>
        <w:numPr>
          <w:ilvl w:val="0"/>
          <w:numId w:val="1"/>
        </w:numPr>
        <w:spacing w:line="48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CONCLUDING OBSERVATIONS </w:t>
      </w:r>
    </w:p>
    <w:p w:rsidR="00000000" w:rsidDel="00000000" w:rsidP="00000000" w:rsidRDefault="00000000" w:rsidRPr="00000000" w14:paraId="0000005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 being both a post-colonial State-Nation (focusing on multiple imagined communities) as well as a Nation-State (focusing on one imagined community), has evolved and is still evolving through the different stages of community development. And, this evolution of the idea of Indian community’s adjustment and readjustment includes the Gemeinschaft (representing the pre-modern communitarian view); Gesellschaft (signifying the positivist, modern, liberal individualist view); and the unique category of Nationalism (highlighting neutrality with amalgamated version of both of the above stated stances in variance). So, the Indian community was redefined with time, alongside certain definitive boundaries were set, as the colonial manoeuvrability had its roots in the European model of functioning</w:t>
      </w:r>
      <w:r w:rsidDel="00000000" w:rsidR="00000000" w:rsidRPr="00000000">
        <w:rPr>
          <w:rFonts w:ascii="Times New Roman" w:cs="Times New Roman" w:eastAsia="Times New Roman" w:hAnsi="Times New Roman"/>
          <w:sz w:val="24"/>
          <w:szCs w:val="24"/>
          <w:vertAlign w:val="superscript"/>
        </w:rPr>
        <w:footnoteReference w:customMarkFollows="0" w:id="62"/>
      </w:r>
      <w:r w:rsidDel="00000000" w:rsidR="00000000" w:rsidRPr="00000000">
        <w:rPr>
          <w:rFonts w:ascii="Times New Roman" w:cs="Times New Roman" w:eastAsia="Times New Roman" w:hAnsi="Times New Roman"/>
          <w:sz w:val="24"/>
          <w:szCs w:val="24"/>
          <w:rtl w:val="0"/>
        </w:rPr>
        <w:t xml:space="preserve">(Partha Chatterjee, 2011). This model was applied in the oriental set-up with a differential logic which was liberal for the sake of name, as instead of creating a society of  ‘homo </w:t>
      </w:r>
      <w:r w:rsidDel="00000000" w:rsidR="00000000" w:rsidRPr="00000000">
        <w:rPr>
          <w:rFonts w:ascii="Times New Roman" w:cs="Times New Roman" w:eastAsia="Times New Roman" w:hAnsi="Times New Roman"/>
          <w:sz w:val="24"/>
          <w:szCs w:val="24"/>
          <w:rtl w:val="0"/>
        </w:rPr>
        <w:t xml:space="preserve">equalis</w:t>
      </w:r>
      <w:r w:rsidDel="00000000" w:rsidR="00000000" w:rsidRPr="00000000">
        <w:rPr>
          <w:rFonts w:ascii="Times New Roman" w:cs="Times New Roman" w:eastAsia="Times New Roman" w:hAnsi="Times New Roman"/>
          <w:sz w:val="24"/>
          <w:szCs w:val="24"/>
          <w:rtl w:val="0"/>
        </w:rPr>
        <w:t xml:space="preserve">’, it created ‘homo hierarchicus’ based on cartographic and ethnic borders, which impacted the authority holder’s decision-making process involving the Refugees at various levels. Sequentially, it ignited the determinants of ethnic regional variations, alongside, it also gave wayouts to the genesis of the discourse of nationalism and subnationalism embracing identity politics. </w:t>
      </w:r>
    </w:p>
    <w:p w:rsidR="00000000" w:rsidDel="00000000" w:rsidP="00000000" w:rsidRDefault="00000000" w:rsidRPr="00000000" w14:paraId="0000005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development of Indian Federalism on partisan based ideological oscillations allowed a discretional space to the Centre and the States to rely on ethnicities at the functional level rather than any fixed structural constitutional provisions (i.e, having a national asylum policy to define Refugees), where the idea of subnationalism found its path to flourish in the Indian polity (in terms of viewing and managing the Refugees). Today, we see that the focus of government has transitioned from the constitutional provision of Jus Soli (citizenship by birth) to the Jus Sanguinis (citizenship by descent) principle - which can be explained by the idea of ‘Jus Doni’, which is defined in the legal lexicon as ‘Citizenship by investment’</w:t>
      </w:r>
      <w:r w:rsidDel="00000000" w:rsidR="00000000" w:rsidRPr="00000000">
        <w:rPr>
          <w:rFonts w:ascii="Times New Roman" w:cs="Times New Roman" w:eastAsia="Times New Roman" w:hAnsi="Times New Roman"/>
          <w:sz w:val="24"/>
          <w:szCs w:val="24"/>
          <w:vertAlign w:val="superscript"/>
        </w:rPr>
        <w:footnoteReference w:customMarkFollows="0" w:id="63"/>
      </w:r>
      <w:r w:rsidDel="00000000" w:rsidR="00000000" w:rsidRPr="00000000">
        <w:rPr>
          <w:rFonts w:ascii="Times New Roman" w:cs="Times New Roman" w:eastAsia="Times New Roman" w:hAnsi="Times New Roman"/>
          <w:sz w:val="24"/>
          <w:szCs w:val="24"/>
          <w:rtl w:val="0"/>
        </w:rPr>
        <w:t xml:space="preserve">, though it has been referred for the emerging globalising market and neoliberal based tenets in migration. But, this idea has been uniquely and systematically employed by the distinct political parties and has also been extended to the sphere of electoral mobilisation and ideological manipulation of Refugee communities. At the operational level, the nature of Refugees can be categorised under the two heads: as they are either </w:t>
      </w:r>
      <w:r w:rsidDel="00000000" w:rsidR="00000000" w:rsidRPr="00000000">
        <w:rPr>
          <w:rFonts w:ascii="Times New Roman" w:cs="Times New Roman" w:eastAsia="Times New Roman" w:hAnsi="Times New Roman"/>
          <w:i w:val="1"/>
          <w:sz w:val="24"/>
          <w:szCs w:val="24"/>
          <w:rtl w:val="0"/>
        </w:rPr>
        <w:t xml:space="preserve">strong/active/ influential </w:t>
      </w:r>
      <w:r w:rsidDel="00000000" w:rsidR="00000000" w:rsidRPr="00000000">
        <w:rPr>
          <w:rFonts w:ascii="Times New Roman" w:cs="Times New Roman" w:eastAsia="Times New Roman" w:hAnsi="Times New Roman"/>
          <w:sz w:val="24"/>
          <w:szCs w:val="24"/>
          <w:rtl w:val="0"/>
        </w:rPr>
        <w:t xml:space="preserve">or </w:t>
      </w:r>
      <w:r w:rsidDel="00000000" w:rsidR="00000000" w:rsidRPr="00000000">
        <w:rPr>
          <w:rFonts w:ascii="Times New Roman" w:cs="Times New Roman" w:eastAsia="Times New Roman" w:hAnsi="Times New Roman"/>
          <w:i w:val="1"/>
          <w:sz w:val="24"/>
          <w:szCs w:val="24"/>
          <w:rtl w:val="0"/>
        </w:rPr>
        <w:t xml:space="preserve">weak/passive/ineffectual</w:t>
      </w:r>
      <w:r w:rsidDel="00000000" w:rsidR="00000000" w:rsidRPr="00000000">
        <w:rPr>
          <w:rFonts w:ascii="Times New Roman" w:cs="Times New Roman" w:eastAsia="Times New Roman" w:hAnsi="Times New Roman"/>
          <w:sz w:val="24"/>
          <w:szCs w:val="24"/>
          <w:rtl w:val="0"/>
        </w:rPr>
        <w:t xml:space="preserve"> in terms of mobilising the political parties in their support, at the Union and at the State level. For example, some communities are influential at both the levels (i.e, Matuas in the state of West Bengal); and some communities are influential at one level (i.e, Chins in the state of Mizoram). Some Refugee communities like NRC are exceptional because they already have citizenship but they are termed as doubtful. It is to be noted that they are constitutionally powerful as they are being supported by the constitutional bodies like the Supreme Court, Election Commission of India, NHRC, etc. where the Union and the State, even being sceptical, had to listen to their demands. The binaries among these categories through interest based ideological-electoral investments seems significantly evident, especially post-2019.</w:t>
      </w:r>
    </w:p>
    <w:p w:rsidR="00000000" w:rsidDel="00000000" w:rsidP="00000000" w:rsidRDefault="00000000" w:rsidRPr="00000000" w14:paraId="0000006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Thus, from the above three case studies, we can </w:t>
      </w:r>
      <w:r w:rsidDel="00000000" w:rsidR="00000000" w:rsidRPr="00000000">
        <w:rPr>
          <w:rFonts w:ascii="Times New Roman" w:cs="Times New Roman" w:eastAsia="Times New Roman" w:hAnsi="Times New Roman"/>
          <w:sz w:val="24"/>
          <w:szCs w:val="24"/>
          <w:rtl w:val="0"/>
        </w:rPr>
        <w:t xml:space="preserve">explicate</w:t>
      </w:r>
      <w:r w:rsidDel="00000000" w:rsidR="00000000" w:rsidRPr="00000000">
        <w:rPr>
          <w:rFonts w:ascii="Times New Roman" w:cs="Times New Roman" w:eastAsia="Times New Roman" w:hAnsi="Times New Roman"/>
          <w:sz w:val="24"/>
          <w:szCs w:val="24"/>
          <w:rtl w:val="0"/>
        </w:rPr>
        <w:t xml:space="preserve"> the classification of political party’s notion of recognizing the Refugees into two models of Citizenship, a.) Republican</w:t>
      </w:r>
      <w:r w:rsidDel="00000000" w:rsidR="00000000" w:rsidRPr="00000000">
        <w:rPr>
          <w:rFonts w:ascii="Times New Roman" w:cs="Times New Roman" w:eastAsia="Times New Roman" w:hAnsi="Times New Roman"/>
          <w:sz w:val="24"/>
          <w:szCs w:val="24"/>
          <w:vertAlign w:val="superscript"/>
        </w:rPr>
        <w:footnoteReference w:customMarkFollows="0" w:id="64"/>
      </w:r>
      <w:r w:rsidDel="00000000" w:rsidR="00000000" w:rsidRPr="00000000">
        <w:rPr>
          <w:rFonts w:ascii="Times New Roman" w:cs="Times New Roman" w:eastAsia="Times New Roman" w:hAnsi="Times New Roman"/>
          <w:sz w:val="24"/>
          <w:szCs w:val="24"/>
          <w:rtl w:val="0"/>
        </w:rPr>
        <w:t xml:space="preserve">, b.) Liberal</w:t>
      </w:r>
      <w:r w:rsidDel="00000000" w:rsidR="00000000" w:rsidRPr="00000000">
        <w:rPr>
          <w:rFonts w:ascii="Times New Roman" w:cs="Times New Roman" w:eastAsia="Times New Roman" w:hAnsi="Times New Roman"/>
          <w:sz w:val="24"/>
          <w:szCs w:val="24"/>
          <w:vertAlign w:val="superscript"/>
        </w:rPr>
        <w:footnoteReference w:customMarkFollows="0" w:id="65"/>
      </w:r>
      <w:r w:rsidDel="00000000" w:rsidR="00000000" w:rsidRPr="00000000">
        <w:rPr>
          <w:rFonts w:ascii="Times New Roman" w:cs="Times New Roman" w:eastAsia="Times New Roman" w:hAnsi="Times New Roman"/>
          <w:sz w:val="24"/>
          <w:szCs w:val="24"/>
          <w:rtl w:val="0"/>
        </w:rPr>
        <w:t xml:space="preserve">. Though here, the granting of citizenship rights remains with the Centre but the States are responsible to manage the local populace (including the refugees) through welfare oriented policies (particularly public service delivery and welfare funds). Also, these selected case studies have reflections of certain legal doctrines like </w:t>
      </w:r>
      <w:r w:rsidDel="00000000" w:rsidR="00000000" w:rsidRPr="00000000">
        <w:rPr>
          <w:rFonts w:ascii="Times New Roman" w:cs="Times New Roman" w:eastAsia="Times New Roman" w:hAnsi="Times New Roman"/>
          <w:i w:val="1"/>
          <w:sz w:val="24"/>
          <w:szCs w:val="24"/>
          <w:rtl w:val="0"/>
        </w:rPr>
        <w:t xml:space="preserve">Territorial Nexus, Pith and Substance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Colorable Legislation </w:t>
      </w:r>
      <w:r w:rsidDel="00000000" w:rsidR="00000000" w:rsidRPr="00000000">
        <w:rPr>
          <w:rFonts w:ascii="Times New Roman" w:cs="Times New Roman" w:eastAsia="Times New Roman" w:hAnsi="Times New Roman"/>
          <w:sz w:val="24"/>
          <w:szCs w:val="24"/>
          <w:rtl w:val="0"/>
        </w:rPr>
        <w:t xml:space="preserve">an</w:t>
      </w:r>
      <w:r w:rsidDel="00000000" w:rsidR="00000000" w:rsidRPr="00000000">
        <w:rPr>
          <w:rFonts w:ascii="Times New Roman" w:cs="Times New Roman" w:eastAsia="Times New Roman" w:hAnsi="Times New Roman"/>
          <w:i w:val="1"/>
          <w:sz w:val="24"/>
          <w:szCs w:val="24"/>
          <w:rtl w:val="0"/>
        </w:rPr>
        <w:t xml:space="preserve">d Repugnancy, </w:t>
      </w:r>
      <w:r w:rsidDel="00000000" w:rsidR="00000000" w:rsidRPr="00000000">
        <w:rPr>
          <w:rFonts w:ascii="Times New Roman" w:cs="Times New Roman" w:eastAsia="Times New Roman" w:hAnsi="Times New Roman"/>
          <w:sz w:val="24"/>
          <w:szCs w:val="24"/>
          <w:rtl w:val="0"/>
        </w:rPr>
        <w:t xml:space="preserve">which in future is going to make this issue a securitized federal geo-political affair beyond the study of different variants of nationalism and ethnicity</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As the existing profusion of dealings with regard to the Refugee management is witnessing a policy tension, as it has levelled up and entered in the state of active federal political discussions. Here, it becomes difficult to categorise the Union and the States in a water-tight compartments, as the absence of a national asylum policy, allows them to adopt either Republican or Liberal model in terms of viewing or managing the Refugee identity. </w:t>
      </w:r>
      <w:r w:rsidDel="00000000" w:rsidR="00000000" w:rsidRPr="00000000">
        <w:rPr>
          <w:rtl w:val="0"/>
        </w:rPr>
      </w:r>
    </w:p>
    <w:tbl>
      <w:tblPr>
        <w:tblStyle w:val="Table2"/>
        <w:tblW w:w="949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2385"/>
        <w:gridCol w:w="2025"/>
        <w:gridCol w:w="3060"/>
        <w:tblGridChange w:id="0">
          <w:tblGrid>
            <w:gridCol w:w="2025"/>
            <w:gridCol w:w="2385"/>
            <w:gridCol w:w="2025"/>
            <w:gridCol w:w="3060"/>
          </w:tblGrid>
        </w:tblGridChange>
      </w:tblGrid>
      <w:tr>
        <w:trPr>
          <w:cantSplit w:val="0"/>
          <w:trHeight w:val="96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 PARTY</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(Ruled by BJP)</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OPPOSITION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(Ruled by AITC)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COALITION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(Ruled by MNF and NEDA)</w:t>
            </w:r>
          </w:p>
        </w:tc>
      </w:tr>
      <w:tr>
        <w:trPr>
          <w:cantSplit w:val="0"/>
          <w:trHeight w:val="81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Preferences on borders followed by the: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ASSAM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WEST BENGAL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MIZORAM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 (conditions applied)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Closed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Closed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Open</w:t>
            </w:r>
          </w:p>
        </w:tc>
      </w:tr>
    </w:tbl>
    <w:p w:rsidR="00000000" w:rsidDel="00000000" w:rsidP="00000000" w:rsidRDefault="00000000" w:rsidRPr="00000000" w14:paraId="00000074">
      <w:pPr>
        <w:pStyle w:val="Subtitle"/>
        <w:spacing w:line="480" w:lineRule="auto"/>
        <w:rPr>
          <w:rFonts w:ascii="Times New Roman" w:cs="Times New Roman" w:eastAsia="Times New Roman" w:hAnsi="Times New Roman"/>
          <w:i w:val="0"/>
          <w:color w:val="980000"/>
          <w:sz w:val="24"/>
          <w:szCs w:val="24"/>
        </w:rPr>
      </w:pPr>
      <w:bookmarkStart w:colFirst="0" w:colLast="0" w:name="_67cgbm76654l" w:id="19"/>
      <w:bookmarkEnd w:id="19"/>
      <w:r w:rsidDel="00000000" w:rsidR="00000000" w:rsidRPr="00000000">
        <w:rPr>
          <w:rFonts w:ascii="Times New Roman" w:cs="Times New Roman" w:eastAsia="Times New Roman" w:hAnsi="Times New Roman"/>
          <w:i w:val="0"/>
          <w:color w:val="980000"/>
          <w:sz w:val="24"/>
          <w:szCs w:val="24"/>
          <w:rtl w:val="0"/>
        </w:rPr>
        <w:t xml:space="preserve">Fig: The Preferences of the Union and States based on political party’s ideological oscillation on border under the NDA-II Regime (only selective communities)</w:t>
      </w:r>
    </w:p>
    <w:p w:rsidR="00000000" w:rsidDel="00000000" w:rsidP="00000000" w:rsidRDefault="00000000" w:rsidRPr="00000000" w14:paraId="0000007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above prolegomena of understanding the GOI's legal approach of dealing with refugees on an ad hoc and case-by-case basis at two levels has provided neo-federalism (as a new dimension of Indian Federalism) to set in a new definition of competitive and cooperative federalism. Furthermore, it can be observed that there exists a shift of the commitments from the idealistic ancient moral codes of past universalism to the exercise of the hard core realistic electoral and ideological manipulative politics of interests investments with functional variants of nationalism (i.e, subnationalism and internationalism) especially under the NDA-II regime. </w:t>
      </w:r>
      <w:r w:rsidDel="00000000" w:rsidR="00000000" w:rsidRPr="00000000">
        <w:rPr>
          <w:rFonts w:ascii="Times New Roman" w:cs="Times New Roman" w:eastAsia="Times New Roman" w:hAnsi="Times New Roman"/>
          <w:sz w:val="24"/>
          <w:szCs w:val="24"/>
          <w:rtl w:val="0"/>
        </w:rPr>
        <w:t xml:space="preserve">As, GOI’s</w:t>
      </w:r>
      <w:r w:rsidDel="00000000" w:rsidR="00000000" w:rsidRPr="00000000">
        <w:rPr>
          <w:rFonts w:ascii="Times New Roman" w:cs="Times New Roman" w:eastAsia="Times New Roman" w:hAnsi="Times New Roman"/>
          <w:sz w:val="24"/>
          <w:szCs w:val="24"/>
          <w:rtl w:val="0"/>
        </w:rPr>
        <w:t xml:space="preserve"> focus under the NDA-II, remains the intra-refugee crisis management and securitization (for example, Bru-Reang historic agreement in 2020; NEDA; Development; Border Infra-Security and others) rather than the inter-refugee crisis management (which involves the foreigners). Thence, the legal inertia of national asylum policy is propitiously backing GOI’s case-by-case application of flexi-approach, as it is able to balance the trio of: Internationalism, Nationalism and Subnationalism on a spatio-temporal basis, by employing the ideological-ethnic preferences, political interests and attitudes. Hitherto, neither the Centre nor the stand of States are constant due to its difference on lines of not just ideological partisan based interests (be it uni-party, coalitional or opposition rule), but it also has intra-party variations determining cooperative and competitive federal dialogues. Though, for the sustenance of a true democratic future, India exigently needs a formal policy intervention to avoid such further neglection, discrimination and ambiguous treatment of 'Refugee' identity. Last but not the least, Indian federalism can set an example, by constitutionally defining the Refugees. This will not only erase the floating confusion, commotion and ambiguities over its related and imposed intersectional identities like </w:t>
      </w:r>
      <w:r w:rsidDel="00000000" w:rsidR="00000000" w:rsidRPr="00000000">
        <w:rPr>
          <w:rFonts w:ascii="Times New Roman" w:cs="Times New Roman" w:eastAsia="Times New Roman" w:hAnsi="Times New Roman"/>
          <w:sz w:val="24"/>
          <w:szCs w:val="24"/>
          <w:rtl w:val="0"/>
        </w:rPr>
        <w:t xml:space="preserve">Avaidha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Ghuspaithiya</w:t>
      </w:r>
      <w:r w:rsidDel="00000000" w:rsidR="00000000" w:rsidRPr="00000000">
        <w:rPr>
          <w:rFonts w:ascii="Times New Roman" w:cs="Times New Roman" w:eastAsia="Times New Roman" w:hAnsi="Times New Roman"/>
          <w:sz w:val="24"/>
          <w:szCs w:val="24"/>
          <w:rtl w:val="0"/>
        </w:rPr>
        <w:t xml:space="preserve">/ IDPs/ Militant/ Spies, etc. but it will also embrace ‘Politics of Hope’ by restricting the real borders of ‘Politics of Despair’.</w:t>
      </w:r>
    </w:p>
    <w:p w:rsidR="00000000" w:rsidDel="00000000" w:rsidP="00000000" w:rsidRDefault="00000000" w:rsidRPr="00000000" w14:paraId="00000076">
      <w:pPr>
        <w:numPr>
          <w:ilvl w:val="0"/>
          <w:numId w:val="5"/>
        </w:numP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ABBREVIATIONS:-</w:t>
      </w:r>
    </w:p>
    <w:p w:rsidR="00000000" w:rsidDel="00000000" w:rsidP="00000000" w:rsidRDefault="00000000" w:rsidRPr="00000000" w14:paraId="00000077">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GOI: Government of India.</w:t>
      </w:r>
    </w:p>
    <w:p w:rsidR="00000000" w:rsidDel="00000000" w:rsidP="00000000" w:rsidRDefault="00000000" w:rsidRPr="00000000" w14:paraId="00000078">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 Supreme Court.</w:t>
      </w:r>
    </w:p>
    <w:p w:rsidR="00000000" w:rsidDel="00000000" w:rsidP="00000000" w:rsidRDefault="00000000" w:rsidRPr="00000000" w14:paraId="00000079">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NDA: National Democratic Alliance.</w:t>
      </w:r>
    </w:p>
    <w:p w:rsidR="00000000" w:rsidDel="00000000" w:rsidP="00000000" w:rsidRDefault="00000000" w:rsidRPr="00000000" w14:paraId="0000007A">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NEDA: North-East Democratic Alliance.</w:t>
      </w:r>
    </w:p>
    <w:p w:rsidR="00000000" w:rsidDel="00000000" w:rsidP="00000000" w:rsidRDefault="00000000" w:rsidRPr="00000000" w14:paraId="0000007B">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UPA: United Progressive Alliance. </w:t>
      </w:r>
    </w:p>
    <w:p w:rsidR="00000000" w:rsidDel="00000000" w:rsidP="00000000" w:rsidRDefault="00000000" w:rsidRPr="00000000" w14:paraId="0000007C">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MHA: Ministry of Home Affairs.</w:t>
      </w:r>
    </w:p>
    <w:p w:rsidR="00000000" w:rsidDel="00000000" w:rsidP="00000000" w:rsidRDefault="00000000" w:rsidRPr="00000000" w14:paraId="0000007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 Ministry of External Affairs.</w:t>
      </w:r>
    </w:p>
    <w:p w:rsidR="00000000" w:rsidDel="00000000" w:rsidP="00000000" w:rsidRDefault="00000000" w:rsidRPr="00000000" w14:paraId="0000007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NRC: National Registers of Citizenship.</w:t>
      </w:r>
    </w:p>
    <w:p w:rsidR="00000000" w:rsidDel="00000000" w:rsidP="00000000" w:rsidRDefault="00000000" w:rsidRPr="00000000" w14:paraId="0000007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CAA: Citizenship (Amendment) Act.</w:t>
      </w:r>
    </w:p>
    <w:p w:rsidR="00000000" w:rsidDel="00000000" w:rsidP="00000000" w:rsidRDefault="00000000" w:rsidRPr="00000000" w14:paraId="000000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BJP: Bharatiya Janata Party.</w:t>
      </w:r>
    </w:p>
    <w:p w:rsidR="00000000" w:rsidDel="00000000" w:rsidP="00000000" w:rsidRDefault="00000000" w:rsidRPr="00000000" w14:paraId="0000008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MNF: Mizo National Front.</w:t>
      </w:r>
    </w:p>
    <w:p w:rsidR="00000000" w:rsidDel="00000000" w:rsidP="00000000" w:rsidRDefault="00000000" w:rsidRPr="00000000" w14:paraId="0000008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AITC: All India Trinamool Congress.</w:t>
      </w:r>
    </w:p>
    <w:p w:rsidR="00000000" w:rsidDel="00000000" w:rsidP="00000000" w:rsidRDefault="00000000" w:rsidRPr="00000000" w14:paraId="0000008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 Indian National Congress.</w:t>
      </w:r>
    </w:p>
    <w:p w:rsidR="00000000" w:rsidDel="00000000" w:rsidP="00000000" w:rsidRDefault="00000000" w:rsidRPr="00000000" w14:paraId="0000008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PM: Prime Minister.</w:t>
      </w:r>
    </w:p>
    <w:p w:rsidR="00000000" w:rsidDel="00000000" w:rsidP="00000000" w:rsidRDefault="00000000" w:rsidRPr="00000000" w14:paraId="0000008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CM: Chief Minister.</w:t>
      </w:r>
    </w:p>
    <w:p w:rsidR="00000000" w:rsidDel="00000000" w:rsidP="00000000" w:rsidRDefault="00000000" w:rsidRPr="00000000" w14:paraId="0000008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MP: Member of Parliament.</w:t>
      </w:r>
    </w:p>
    <w:p w:rsidR="00000000" w:rsidDel="00000000" w:rsidP="00000000" w:rsidRDefault="00000000" w:rsidRPr="00000000" w14:paraId="0000008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 Union Territory.</w:t>
      </w:r>
    </w:p>
    <w:p w:rsidR="00000000" w:rsidDel="00000000" w:rsidP="00000000" w:rsidRDefault="00000000" w:rsidRPr="00000000" w14:paraId="000000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 United Nations.</w:t>
      </w:r>
    </w:p>
    <w:p w:rsidR="00000000" w:rsidDel="00000000" w:rsidP="00000000" w:rsidRDefault="00000000" w:rsidRPr="00000000" w14:paraId="0000008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UNHCR: United Nations High Commissioner of Refugees.</w:t>
      </w:r>
    </w:p>
    <w:p w:rsidR="00000000" w:rsidDel="00000000" w:rsidP="00000000" w:rsidRDefault="00000000" w:rsidRPr="00000000" w14:paraId="0000008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NHCR: National Human Rights Commission.</w:t>
      </w:r>
    </w:p>
    <w:p w:rsidR="00000000" w:rsidDel="00000000" w:rsidP="00000000" w:rsidRDefault="00000000" w:rsidRPr="00000000" w14:paraId="0000008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SEATO: Southeast Asia Treaty Organisation.</w:t>
      </w:r>
    </w:p>
    <w:p w:rsidR="00000000" w:rsidDel="00000000" w:rsidP="00000000" w:rsidRDefault="00000000" w:rsidRPr="00000000" w14:paraId="0000008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CAD: Constituent Assembly Debates.</w:t>
      </w:r>
    </w:p>
    <w:p w:rsidR="00000000" w:rsidDel="00000000" w:rsidP="00000000" w:rsidRDefault="00000000" w:rsidRPr="00000000" w14:paraId="0000008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NITI: National Institution for Transforming India.</w:t>
      </w:r>
    </w:p>
    <w:p w:rsidR="00000000" w:rsidDel="00000000" w:rsidP="00000000" w:rsidRDefault="00000000" w:rsidRPr="00000000" w14:paraId="0000008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IDP: Internally Displaced Persons.</w:t>
      </w:r>
    </w:p>
    <w:p w:rsidR="00000000" w:rsidDel="00000000" w:rsidP="00000000" w:rsidRDefault="00000000" w:rsidRPr="00000000" w14:paraId="0000008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IMDT: Illegal Migrants (Determination by Tribunals).</w:t>
      </w:r>
    </w:p>
    <w:p w:rsidR="00000000" w:rsidDel="00000000" w:rsidP="00000000" w:rsidRDefault="00000000" w:rsidRPr="00000000" w14:paraId="0000009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numPr>
          <w:ilvl w:val="0"/>
          <w:numId w:val="2"/>
        </w:numPr>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BIBLIOGRAPHY:-</w:t>
      </w:r>
    </w:p>
    <w:p w:rsidR="00000000" w:rsidDel="00000000" w:rsidP="00000000" w:rsidRDefault="00000000" w:rsidRPr="00000000" w14:paraId="00000092">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Books, Journals, Articles, Online Sources</w:t>
      </w:r>
    </w:p>
    <w:p w:rsidR="00000000" w:rsidDel="00000000" w:rsidP="00000000" w:rsidRDefault="00000000" w:rsidRPr="00000000" w14:paraId="0000009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Weiner, Myron. “Rejected Peoples and Unwanted Migrants in South Asia,” In Economic and Political Weekly (1993).</w:t>
      </w:r>
    </w:p>
    <w:p w:rsidR="00000000" w:rsidDel="00000000" w:rsidP="00000000" w:rsidRDefault="00000000" w:rsidRPr="00000000" w14:paraId="0000009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Weiner, Myron. “Security, Stability and International Migration,” (Draft of a paper in preparation for Publication December 1990).</w:t>
      </w:r>
    </w:p>
    <w:p w:rsidR="00000000" w:rsidDel="00000000" w:rsidP="00000000" w:rsidRDefault="00000000" w:rsidRPr="00000000" w14:paraId="0000009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Acharya, Bhairav. “The law, policy and practice of refugee protection in India,” In ResearchGate.</w:t>
      </w:r>
    </w:p>
    <w:p w:rsidR="00000000" w:rsidDel="00000000" w:rsidP="00000000" w:rsidRDefault="00000000" w:rsidRPr="00000000" w14:paraId="0000009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Acharya, Bhairav. “The Future of Asylum in India: Four Principles to Appraise Recent Legislative Proposals” (2016).</w:t>
      </w:r>
    </w:p>
    <w:p w:rsidR="00000000" w:rsidDel="00000000" w:rsidP="00000000" w:rsidRDefault="00000000" w:rsidRPr="00000000" w14:paraId="0000009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Patel, Bimal. “The State Practice of India and the Development of International Law: Dynamic Interplay between Foreign Policy and Jurisprudence,” (Published in 2016).</w:t>
      </w:r>
    </w:p>
    <w:p w:rsidR="00000000" w:rsidDel="00000000" w:rsidP="00000000" w:rsidRDefault="00000000" w:rsidRPr="00000000" w14:paraId="000000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Chimni, B.S. “Status of Refugees in India: Strategic Ambiguity (Chapter 11),” In Samaddar Ranabir Ed. Refugees and the State: Practices of Asylum and Care in India, 1947-2000 (2003 SAGE Publication).</w:t>
      </w:r>
    </w:p>
    <w:p w:rsidR="00000000" w:rsidDel="00000000" w:rsidP="00000000" w:rsidRDefault="00000000" w:rsidRPr="00000000" w14:paraId="0000009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Burch, Elias. “The Perils and Possibilities of Refugee Federalism,” American University Law Review (2017).</w:t>
      </w:r>
    </w:p>
    <w:p w:rsidR="00000000" w:rsidDel="00000000" w:rsidP="00000000" w:rsidRDefault="00000000" w:rsidRPr="00000000" w14:paraId="0000009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Bhagwati, P.N. “Presidential Address”, Refugees in the SAARC Region: Building a Legal Framework (1997).</w:t>
      </w:r>
    </w:p>
    <w:p w:rsidR="00000000" w:rsidDel="00000000" w:rsidP="00000000" w:rsidRDefault="00000000" w:rsidRPr="00000000" w14:paraId="0000009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Tharoor, Shashi. “The Asylum Bill” (2015).</w:t>
      </w:r>
    </w:p>
    <w:p w:rsidR="00000000" w:rsidDel="00000000" w:rsidP="00000000" w:rsidRDefault="00000000" w:rsidRPr="00000000" w14:paraId="0000009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Basu, Durga Das. “Introduction to the Constitution of India,” (2015, 22nd edition).</w:t>
      </w:r>
    </w:p>
    <w:p w:rsidR="00000000" w:rsidDel="00000000" w:rsidP="00000000" w:rsidRDefault="00000000" w:rsidRPr="00000000" w14:paraId="0000009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Ghosh, Ambar Kumar. “The Paradox of ‘Centralised Federalism’: An Analysis of the Challenges to India’s Federal Design,” ORF Occasional Paper No. 272, (2020).</w:t>
      </w:r>
    </w:p>
    <w:p w:rsidR="00000000" w:rsidDel="00000000" w:rsidP="00000000" w:rsidRDefault="00000000" w:rsidRPr="00000000" w14:paraId="0000009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Varshney, Ashutosh. “How has Indian Federalism done?”, (2010 and 2013 SAGE pub).</w:t>
      </w:r>
    </w:p>
    <w:p w:rsidR="00000000" w:rsidDel="00000000" w:rsidP="00000000" w:rsidRDefault="00000000" w:rsidRPr="00000000" w14:paraId="0000009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Deniker, Joseph. “The Races of Man: An Outline of Anthropology and Ethnography” (1990).</w:t>
      </w:r>
    </w:p>
    <w:p w:rsidR="00000000" w:rsidDel="00000000" w:rsidP="00000000" w:rsidRDefault="00000000" w:rsidRPr="00000000" w14:paraId="000000A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Oommen, T. K. “FOREIGNERS, REFUGEES AND OUTSIDERS IN THE INDIAN CONTEXT.” Sociological Bulletin, vol. 31, no. 1, Indian Sociological Society, 1982, pp. 41–64, http://www.jstor.org/stable/23619721.</w:t>
      </w:r>
    </w:p>
    <w:p w:rsidR="00000000" w:rsidDel="00000000" w:rsidP="00000000" w:rsidRDefault="00000000" w:rsidRPr="00000000" w14:paraId="000000A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 UNHCR India Factsheet (October, 2021).</w:t>
      </w:r>
    </w:p>
    <w:p w:rsidR="00000000" w:rsidDel="00000000" w:rsidP="00000000" w:rsidRDefault="00000000" w:rsidRPr="00000000" w14:paraId="000000A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 https://www.unhcr.org › protectPDF States Parties to the 1951 Convention relating to the Status of Refugees and the 1967 Protocol.</w:t>
      </w:r>
    </w:p>
    <w:p w:rsidR="00000000" w:rsidDel="00000000" w:rsidP="00000000" w:rsidRDefault="00000000" w:rsidRPr="00000000" w14:paraId="000000A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 India’s Refugee Policy (Faculty of Law) (</w:t>
      </w:r>
      <w:hyperlink r:id="rId8">
        <w:r w:rsidDel="00000000" w:rsidR="00000000" w:rsidRPr="00000000">
          <w:rPr>
            <w:rFonts w:ascii="Times New Roman" w:cs="Times New Roman" w:eastAsia="Times New Roman" w:hAnsi="Times New Roman"/>
            <w:color w:val="1155cc"/>
            <w:sz w:val="24"/>
            <w:szCs w:val="24"/>
            <w:u w:val="single"/>
            <w:rtl w:val="0"/>
          </w:rPr>
          <w:t xml:space="preserve">https://www.indianbarassociation.org/indias-refugee-policy/#</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18.Varshney, Aushutosh. https://www.journalofdemocracy.or g/articles/book-review -discovering-the-state-nation/</w:t>
      </w:r>
    </w:p>
    <w:p w:rsidR="00000000" w:rsidDel="00000000" w:rsidP="00000000" w:rsidRDefault="00000000" w:rsidRPr="00000000" w14:paraId="000000A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Why India is home to millions of refugees but doesn’t have a policy for them (the print.in)</w:t>
      </w:r>
    </w:p>
    <w:p w:rsidR="00000000" w:rsidDel="00000000" w:rsidP="00000000" w:rsidRDefault="00000000" w:rsidRPr="00000000" w14:paraId="000000A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Article: Emigration, Immigration, and Diaspora Rel.. |migrationpolicy.org</w:t>
      </w:r>
    </w:p>
    <w:p w:rsidR="00000000" w:rsidDel="00000000" w:rsidP="00000000" w:rsidRDefault="00000000" w:rsidRPr="00000000" w14:paraId="000000A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21.https://in.one.un.org/who-we-are/unhcr-india/</w:t>
      </w:r>
    </w:p>
    <w:p w:rsidR="00000000" w:rsidDel="00000000" w:rsidP="00000000" w:rsidRDefault="00000000" w:rsidRPr="00000000" w14:paraId="000000A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https://www.unhcr.org/4cd96e919.pdf</w:t>
      </w:r>
    </w:p>
    <w:p w:rsidR="00000000" w:rsidDel="00000000" w:rsidP="00000000" w:rsidRDefault="00000000" w:rsidRPr="00000000" w14:paraId="000000A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Why India Did Not Sign the 1951 Refugee Convention - HG.org</w:t>
      </w:r>
    </w:p>
    <w:p w:rsidR="00000000" w:rsidDel="00000000" w:rsidP="00000000" w:rsidRDefault="00000000" w:rsidRPr="00000000" w14:paraId="000000A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24.https://www.unhcr.org/en-in/publications/books/5e3174c54/global-compact-on-refugees-indian-perspectives-and-experiences.html</w:t>
      </w:r>
    </w:p>
    <w:p w:rsidR="00000000" w:rsidDel="00000000" w:rsidP="00000000" w:rsidRDefault="00000000" w:rsidRPr="00000000" w14:paraId="000000A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Insights Mind maps (insightsonindia.com)</w:t>
      </w:r>
    </w:p>
    <w:p w:rsidR="00000000" w:rsidDel="00000000" w:rsidP="00000000" w:rsidRDefault="00000000" w:rsidRPr="00000000" w14:paraId="000000A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26.https://rli.blogs.sas.ac.uk/2021/05/06/india-is-chipping-away-at-its-past-generosity-towards-refugees/</w:t>
      </w:r>
    </w:p>
    <w:p w:rsidR="00000000" w:rsidDel="00000000" w:rsidP="00000000" w:rsidRDefault="00000000" w:rsidRPr="00000000" w14:paraId="000000A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hyperlink r:id="rId9">
        <w:r w:rsidDel="00000000" w:rsidR="00000000" w:rsidRPr="00000000">
          <w:rPr>
            <w:rFonts w:ascii="Times New Roman" w:cs="Times New Roman" w:eastAsia="Times New Roman" w:hAnsi="Times New Roman"/>
            <w:color w:val="1155cc"/>
            <w:sz w:val="24"/>
            <w:szCs w:val="24"/>
            <w:u w:val="single"/>
            <w:rtl w:val="0"/>
          </w:rPr>
          <w:t xml:space="preserve">https://prsindia.org/billtrack/the-citizenship-amendment-bill-2019</w:t>
        </w:r>
      </w:hyperlink>
      <w:r w:rsidDel="00000000" w:rsidR="00000000" w:rsidRPr="00000000">
        <w:rPr>
          <w:rFonts w:ascii="Times New Roman" w:cs="Times New Roman" w:eastAsia="Times New Roman" w:hAnsi="Times New Roman"/>
          <w:sz w:val="24"/>
          <w:szCs w:val="24"/>
          <w:rtl w:val="0"/>
        </w:rPr>
        <w:t xml:space="preserve"> and https://egazette.nic.in › pdf_THE CITIZENSHIP (AMENDMENT) ACT, 2019 NO. 47 OF 2019.</w:t>
      </w:r>
      <w:r w:rsidDel="00000000" w:rsidR="00000000" w:rsidRPr="00000000">
        <w:rPr>
          <w:rtl w:val="0"/>
        </w:rPr>
      </w:r>
    </w:p>
    <w:p w:rsidR="00000000" w:rsidDel="00000000" w:rsidP="00000000" w:rsidRDefault="00000000" w:rsidRPr="00000000" w14:paraId="000000A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hyperlink r:id="rId10">
        <w:r w:rsidDel="00000000" w:rsidR="00000000" w:rsidRPr="00000000">
          <w:rPr>
            <w:rFonts w:ascii="Times New Roman" w:cs="Times New Roman" w:eastAsia="Times New Roman" w:hAnsi="Times New Roman"/>
            <w:color w:val="1155cc"/>
            <w:sz w:val="24"/>
            <w:szCs w:val="24"/>
            <w:u w:val="single"/>
            <w:rtl w:val="0"/>
          </w:rPr>
          <w:t xml:space="preserve">https://www.mha.gov.in/MHA1/Par2017/pdfs/par2021-pdfs/rs-03022021/213.pdf</w:t>
        </w:r>
      </w:hyperlink>
      <w:r w:rsidDel="00000000" w:rsidR="00000000" w:rsidRPr="00000000">
        <w:rPr>
          <w:rtl w:val="0"/>
        </w:rPr>
      </w:r>
    </w:p>
    <w:p w:rsidR="00000000" w:rsidDel="00000000" w:rsidP="00000000" w:rsidRDefault="00000000" w:rsidRPr="00000000" w14:paraId="000000A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29.https://frontline.thehindu.com/the-nation/unmasking-hindutva-looking-back-on-dismantling-global-hindutva-online-conference-september-2021/article36628499.ece</w:t>
      </w:r>
    </w:p>
    <w:p w:rsidR="00000000" w:rsidDel="00000000" w:rsidP="00000000" w:rsidRDefault="00000000" w:rsidRPr="00000000" w14:paraId="000000B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hyperlink r:id="rId11">
        <w:r w:rsidDel="00000000" w:rsidR="00000000" w:rsidRPr="00000000">
          <w:rPr>
            <w:rFonts w:ascii="Times New Roman" w:cs="Times New Roman" w:eastAsia="Times New Roman" w:hAnsi="Times New Roman"/>
            <w:color w:val="1155cc"/>
            <w:sz w:val="24"/>
            <w:szCs w:val="24"/>
            <w:u w:val="single"/>
            <w:rtl w:val="0"/>
          </w:rPr>
          <w:t xml:space="preserve">https://www.legalserviceindia.com/legal/article-4616-refugee-law-the-constitution-perspective.html</w:t>
        </w:r>
      </w:hyperlink>
      <w:r w:rsidDel="00000000" w:rsidR="00000000" w:rsidRPr="00000000">
        <w:rPr>
          <w:rtl w:val="0"/>
        </w:rPr>
      </w:r>
    </w:p>
    <w:p w:rsidR="00000000" w:rsidDel="00000000" w:rsidP="00000000" w:rsidRDefault="00000000" w:rsidRPr="00000000" w14:paraId="000000B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hyperlink r:id="rId12">
        <w:r w:rsidDel="00000000" w:rsidR="00000000" w:rsidRPr="00000000">
          <w:rPr>
            <w:rFonts w:ascii="Times New Roman" w:cs="Times New Roman" w:eastAsia="Times New Roman" w:hAnsi="Times New Roman"/>
            <w:color w:val="1155cc"/>
            <w:sz w:val="24"/>
            <w:szCs w:val="24"/>
            <w:u w:val="single"/>
            <w:rtl w:val="0"/>
          </w:rPr>
          <w:t xml:space="preserve">https://thewire.in/government/foreigners-tribunals-order-mha-changes</w:t>
        </w:r>
      </w:hyperlink>
      <w:r w:rsidDel="00000000" w:rsidR="00000000" w:rsidRPr="00000000">
        <w:rPr>
          <w:rtl w:val="0"/>
        </w:rPr>
      </w:r>
    </w:p>
    <w:p w:rsidR="00000000" w:rsidDel="00000000" w:rsidP="00000000" w:rsidRDefault="00000000" w:rsidRPr="00000000" w14:paraId="000000B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hyperlink r:id="rId13">
        <w:r w:rsidDel="00000000" w:rsidR="00000000" w:rsidRPr="00000000">
          <w:rPr>
            <w:rFonts w:ascii="Times New Roman" w:cs="Times New Roman" w:eastAsia="Times New Roman" w:hAnsi="Times New Roman"/>
            <w:color w:val="1155cc"/>
            <w:sz w:val="24"/>
            <w:szCs w:val="24"/>
            <w:u w:val="single"/>
            <w:rtl w:val="0"/>
          </w:rPr>
          <w:t xml:space="preserve">https://www.news18.com/lok-sabha-elections-2019/alliance-wise-tally-live-results/</w:t>
        </w:r>
      </w:hyperlink>
      <w:r w:rsidDel="00000000" w:rsidR="00000000" w:rsidRPr="00000000">
        <w:rPr>
          <w:rtl w:val="0"/>
        </w:rPr>
      </w:r>
    </w:p>
    <w:p w:rsidR="00000000" w:rsidDel="00000000" w:rsidP="00000000" w:rsidRDefault="00000000" w:rsidRPr="00000000" w14:paraId="000000B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33.https://www.thehindu.com/news/national/what-are-the-guidelines-on-migrant-camps/article28809023.ece</w:t>
      </w:r>
    </w:p>
    <w:p w:rsidR="00000000" w:rsidDel="00000000" w:rsidP="00000000" w:rsidRDefault="00000000" w:rsidRPr="00000000" w14:paraId="000000B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34.https://economictimes.indiatimes.com/news/elections/assembly-elections/assam/corrected-nrc-to-protect-genuine-citizens-nadda/articleshow/81648806.cms?from=mdr</w:t>
      </w:r>
    </w:p>
    <w:p w:rsidR="00000000" w:rsidDel="00000000" w:rsidP="00000000" w:rsidRDefault="00000000" w:rsidRPr="00000000" w14:paraId="000000B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35.https://theprint.in/politics/caa-will-be-implemented-in-time-in-assam-says-jp-nadda/627034/</w:t>
      </w:r>
    </w:p>
    <w:p w:rsidR="00000000" w:rsidDel="00000000" w:rsidP="00000000" w:rsidRDefault="00000000" w:rsidRPr="00000000" w14:paraId="000000B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36.https://lifestyle.livemint.com/news/talking-point/why-mizoram-is-giving-shelter-to-refugees-fleeing-myanmar-111617128690291.html</w:t>
      </w:r>
    </w:p>
    <w:p w:rsidR="00000000" w:rsidDel="00000000" w:rsidP="00000000" w:rsidRDefault="00000000" w:rsidRPr="00000000" w14:paraId="000000B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37.https://www.thehindu.com/news/international/for-rohingyas-there-is-no-place-called-home/article19620567.ece</w:t>
      </w:r>
    </w:p>
    <w:p w:rsidR="00000000" w:rsidDel="00000000" w:rsidP="00000000" w:rsidRDefault="00000000" w:rsidRPr="00000000" w14:paraId="000000B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38.https://indianexpress.com/article/north-east-india/escaping-junta-more-myanmar-refugees-cross-over-into-mizoram-7736109/</w:t>
      </w:r>
    </w:p>
    <w:p w:rsidR="00000000" w:rsidDel="00000000" w:rsidP="00000000" w:rsidRDefault="00000000" w:rsidRPr="00000000" w14:paraId="000000B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hyperlink r:id="rId14">
        <w:r w:rsidDel="00000000" w:rsidR="00000000" w:rsidRPr="00000000">
          <w:rPr>
            <w:rFonts w:ascii="Times New Roman" w:cs="Times New Roman" w:eastAsia="Times New Roman" w:hAnsi="Times New Roman"/>
            <w:color w:val="1155cc"/>
            <w:sz w:val="24"/>
            <w:szCs w:val="24"/>
            <w:u w:val="single"/>
            <w:rtl w:val="0"/>
          </w:rPr>
          <w:t xml:space="preserve">https://nhrc.nic.in/media/press-release/nhrc-online-open-forum-unanimously-pitches-national-law-end-adhocism</w:t>
        </w:r>
      </w:hyperlink>
      <w:r w:rsidDel="00000000" w:rsidR="00000000" w:rsidRPr="00000000">
        <w:rPr>
          <w:rtl w:val="0"/>
        </w:rPr>
      </w:r>
    </w:p>
    <w:p w:rsidR="00000000" w:rsidDel="00000000" w:rsidP="00000000" w:rsidRDefault="00000000" w:rsidRPr="00000000" w14:paraId="000000B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hyperlink r:id="rId15">
        <w:r w:rsidDel="00000000" w:rsidR="00000000" w:rsidRPr="00000000">
          <w:rPr>
            <w:rFonts w:ascii="Times New Roman" w:cs="Times New Roman" w:eastAsia="Times New Roman" w:hAnsi="Times New Roman"/>
            <w:color w:val="1155cc"/>
            <w:sz w:val="24"/>
            <w:szCs w:val="24"/>
            <w:u w:val="single"/>
            <w:rtl w:val="0"/>
          </w:rPr>
          <w:t xml:space="preserve">https://www.epw.in/journal/2008/09/notes/india-needs-refugee-law.html</w:t>
        </w:r>
      </w:hyperlink>
      <w:r w:rsidDel="00000000" w:rsidR="00000000" w:rsidRPr="00000000">
        <w:rPr>
          <w:rtl w:val="0"/>
        </w:rPr>
      </w:r>
    </w:p>
    <w:p w:rsidR="00000000" w:rsidDel="00000000" w:rsidP="00000000" w:rsidRDefault="00000000" w:rsidRPr="00000000" w14:paraId="000000B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hyperlink r:id="rId16">
        <w:r w:rsidDel="00000000" w:rsidR="00000000" w:rsidRPr="00000000">
          <w:rPr>
            <w:rFonts w:ascii="Times New Roman" w:cs="Times New Roman" w:eastAsia="Times New Roman" w:hAnsi="Times New Roman"/>
            <w:color w:val="1155cc"/>
            <w:sz w:val="24"/>
            <w:szCs w:val="24"/>
            <w:u w:val="single"/>
            <w:rtl w:val="0"/>
          </w:rPr>
          <w:t xml:space="preserve">https://www.indiatoday.in/india/story/assam-final-nrc-list-out-over-19-lakh-people-excluded-1593769-2019-08-31</w:t>
        </w:r>
      </w:hyperlink>
      <w:r w:rsidDel="00000000" w:rsidR="00000000" w:rsidRPr="00000000">
        <w:rPr>
          <w:rtl w:val="0"/>
        </w:rPr>
      </w:r>
    </w:p>
    <w:p w:rsidR="00000000" w:rsidDel="00000000" w:rsidP="00000000" w:rsidRDefault="00000000" w:rsidRPr="00000000" w14:paraId="000000BC">
      <w:pPr>
        <w:spacing w:line="240" w:lineRule="auto"/>
        <w:rPr>
          <w:sz w:val="20"/>
          <w:szCs w:val="20"/>
        </w:rPr>
      </w:pPr>
      <w:r w:rsidDel="00000000" w:rsidR="00000000" w:rsidRPr="00000000">
        <w:rPr>
          <w:rFonts w:ascii="Times New Roman" w:cs="Times New Roman" w:eastAsia="Times New Roman" w:hAnsi="Times New Roman"/>
          <w:sz w:val="24"/>
          <w:szCs w:val="24"/>
          <w:rtl w:val="0"/>
        </w:rPr>
        <w:t xml:space="preserve">42.eci.gov.in - (press release) - </w:t>
      </w:r>
      <w:hyperlink r:id="rId17">
        <w:r w:rsidDel="00000000" w:rsidR="00000000" w:rsidRPr="00000000">
          <w:rPr>
            <w:rFonts w:ascii="Times New Roman" w:cs="Times New Roman" w:eastAsia="Times New Roman" w:hAnsi="Times New Roman"/>
            <w:color w:val="1155cc"/>
            <w:sz w:val="24"/>
            <w:szCs w:val="24"/>
            <w:u w:val="single"/>
            <w:rtl w:val="0"/>
          </w:rPr>
          <w:t xml:space="preserve">https://www.news18.com/news/politics/assam-voters-excluded-nrc-assam-assembly-election-commission-sunil-arora-3318008.html</w:t>
        </w:r>
      </w:hyperlink>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w:t>
      </w:r>
      <w:hyperlink r:id="rId18">
        <w:r w:rsidDel="00000000" w:rsidR="00000000" w:rsidRPr="00000000">
          <w:rPr>
            <w:rFonts w:ascii="Times New Roman" w:cs="Times New Roman" w:eastAsia="Times New Roman" w:hAnsi="Times New Roman"/>
            <w:color w:val="1155cc"/>
            <w:sz w:val="24"/>
            <w:szCs w:val="24"/>
            <w:u w:val="single"/>
            <w:rtl w:val="0"/>
          </w:rPr>
          <w:t xml:space="preserve">https://www.mea.gov.in/lok-sabha.htm?dtl/26812/question+no2970+new+division+for+centre state+relations</w:t>
        </w:r>
      </w:hyperlink>
      <w:r w:rsidDel="00000000" w:rsidR="00000000" w:rsidRPr="00000000">
        <w:rPr>
          <w:rtl w:val="0"/>
        </w:rPr>
      </w:r>
    </w:p>
    <w:p w:rsidR="00000000" w:rsidDel="00000000" w:rsidP="00000000" w:rsidRDefault="00000000" w:rsidRPr="00000000" w14:paraId="000000B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44.Hazarika, Sanjoy (2000), Rites of Passage: Border Crossings, Imagined Homelands, </w:t>
      </w:r>
    </w:p>
    <w:p w:rsidR="00000000" w:rsidDel="00000000" w:rsidP="00000000" w:rsidRDefault="00000000" w:rsidRPr="00000000" w14:paraId="000000B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India’s East and Bangladesh, Penguin Books, New Delhi. </w:t>
      </w:r>
    </w:p>
    <w:p w:rsidR="00000000" w:rsidDel="00000000" w:rsidP="00000000" w:rsidRDefault="00000000" w:rsidRPr="00000000" w14:paraId="000000C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45.Pramanik, Bimal (2006), “Illegal migration from Bangladesh: A case study of </w:t>
      </w:r>
    </w:p>
    <w:p w:rsidR="00000000" w:rsidDel="00000000" w:rsidP="00000000" w:rsidRDefault="00000000" w:rsidRPr="00000000" w14:paraId="000000C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Bangladesh” in B.B. Kumar (ed), Illegal Migration from Bangladesh, Astha </w:t>
      </w:r>
    </w:p>
    <w:p w:rsidR="00000000" w:rsidDel="00000000" w:rsidP="00000000" w:rsidRDefault="00000000" w:rsidRPr="00000000" w14:paraId="000000C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Bharati, Delhi. Pp. 137-147.</w:t>
      </w:r>
      <w:r w:rsidDel="00000000" w:rsidR="00000000" w:rsidRPr="00000000">
        <w:rPr>
          <w:rtl w:val="0"/>
        </w:rPr>
      </w:r>
    </w:p>
    <w:p w:rsidR="00000000" w:rsidDel="00000000" w:rsidP="00000000" w:rsidRDefault="00000000" w:rsidRPr="00000000" w14:paraId="000000C3">
      <w:pPr>
        <w:spacing w:line="480" w:lineRule="auto"/>
        <w:rPr>
          <w:rFonts w:ascii="Times New Roman" w:cs="Times New Roman" w:eastAsia="Times New Roman" w:hAnsi="Times New Roman"/>
          <w:color w:val="333333"/>
          <w:sz w:val="24"/>
          <w:szCs w:val="24"/>
        </w:rPr>
      </w:pPr>
      <w:r w:rsidDel="00000000" w:rsidR="00000000" w:rsidRPr="00000000">
        <w:rPr>
          <w:rFonts w:ascii="Times New Roman" w:cs="Times New Roman" w:eastAsia="Times New Roman" w:hAnsi="Times New Roman"/>
          <w:color w:val="333333"/>
          <w:sz w:val="24"/>
          <w:szCs w:val="24"/>
          <w:rtl w:val="0"/>
        </w:rPr>
        <w:t xml:space="preserve">46.</w:t>
      </w:r>
      <w:hyperlink r:id="rId19">
        <w:r w:rsidDel="00000000" w:rsidR="00000000" w:rsidRPr="00000000">
          <w:rPr>
            <w:rFonts w:ascii="Times New Roman" w:cs="Times New Roman" w:eastAsia="Times New Roman" w:hAnsi="Times New Roman"/>
            <w:color w:val="1155cc"/>
            <w:sz w:val="24"/>
            <w:szCs w:val="24"/>
            <w:u w:val="single"/>
            <w:rtl w:val="0"/>
          </w:rPr>
          <w:t xml:space="preserve">https://www.thehindu.com/news/national/no-centralised-data-on-detention-centres-says-mha-in-rs/article38402593.ece/amp/</w:t>
        </w:r>
      </w:hyperlink>
      <w:r w:rsidDel="00000000" w:rsidR="00000000" w:rsidRPr="00000000">
        <w:rPr>
          <w:rtl w:val="0"/>
        </w:rPr>
      </w:r>
    </w:p>
    <w:p w:rsidR="00000000" w:rsidDel="00000000" w:rsidP="00000000" w:rsidRDefault="00000000" w:rsidRPr="00000000" w14:paraId="000000C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rtl w:val="0"/>
        </w:rPr>
        <w:t xml:space="preserve">47.</w:t>
      </w:r>
      <w:hyperlink r:id="rId20">
        <w:r w:rsidDel="00000000" w:rsidR="00000000" w:rsidRPr="00000000">
          <w:rPr>
            <w:rFonts w:ascii="Times New Roman" w:cs="Times New Roman" w:eastAsia="Times New Roman" w:hAnsi="Times New Roman"/>
            <w:color w:val="1155cc"/>
            <w:sz w:val="24"/>
            <w:szCs w:val="24"/>
            <w:u w:val="single"/>
            <w:rtl w:val="0"/>
          </w:rPr>
          <w:t xml:space="preserve">https://indianexpress.com/article/explained/this-word-means-matua-community-5567348/</w:t>
        </w:r>
      </w:hyperlink>
      <w:r w:rsidDel="00000000" w:rsidR="00000000" w:rsidRPr="00000000">
        <w:rPr>
          <w:rtl w:val="0"/>
        </w:rPr>
      </w:r>
    </w:p>
    <w:p w:rsidR="00000000" w:rsidDel="00000000" w:rsidP="00000000" w:rsidRDefault="00000000" w:rsidRPr="00000000" w14:paraId="000000C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48</w:t>
      </w:r>
      <w:r w:rsidDel="00000000" w:rsidR="00000000" w:rsidRPr="00000000">
        <w:rPr>
          <w:rFonts w:ascii="Times New Roman" w:cs="Times New Roman" w:eastAsia="Times New Roman" w:hAnsi="Times New Roman"/>
          <w:b w:val="1"/>
          <w:sz w:val="24"/>
          <w:szCs w:val="24"/>
          <w:rtl w:val="0"/>
        </w:rPr>
        <w:t xml:space="preserve">.</w:t>
      </w:r>
      <w:hyperlink r:id="rId21">
        <w:r w:rsidDel="00000000" w:rsidR="00000000" w:rsidRPr="00000000">
          <w:rPr>
            <w:rFonts w:ascii="Times New Roman" w:cs="Times New Roman" w:eastAsia="Times New Roman" w:hAnsi="Times New Roman"/>
            <w:color w:val="1155cc"/>
            <w:sz w:val="24"/>
            <w:szCs w:val="24"/>
            <w:u w:val="single"/>
            <w:rtl w:val="0"/>
          </w:rPr>
          <w:t xml:space="preserve">https://indianexpress.com/article/explained/explained-who-was-harichand-thakur-matua-7844238/</w:t>
        </w:r>
      </w:hyperlink>
      <w:r w:rsidDel="00000000" w:rsidR="00000000" w:rsidRPr="00000000">
        <w:rPr>
          <w:rtl w:val="0"/>
        </w:rPr>
      </w:r>
    </w:p>
    <w:p w:rsidR="00000000" w:rsidDel="00000000" w:rsidP="00000000" w:rsidRDefault="00000000" w:rsidRPr="00000000" w14:paraId="000000C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49</w:t>
      </w:r>
      <w:r w:rsidDel="00000000" w:rsidR="00000000" w:rsidRPr="00000000">
        <w:rPr>
          <w:rFonts w:ascii="Times New Roman" w:cs="Times New Roman" w:eastAsia="Times New Roman" w:hAnsi="Times New Roman"/>
          <w:b w:val="1"/>
          <w:sz w:val="24"/>
          <w:szCs w:val="24"/>
          <w:rtl w:val="0"/>
        </w:rPr>
        <w:t xml:space="preserve">.</w:t>
      </w:r>
      <w:hyperlink r:id="rId22">
        <w:r w:rsidDel="00000000" w:rsidR="00000000" w:rsidRPr="00000000">
          <w:rPr>
            <w:rFonts w:ascii="Times New Roman" w:cs="Times New Roman" w:eastAsia="Times New Roman" w:hAnsi="Times New Roman"/>
            <w:color w:val="1155cc"/>
            <w:sz w:val="24"/>
            <w:szCs w:val="24"/>
            <w:u w:val="single"/>
            <w:rtl w:val="0"/>
          </w:rPr>
          <w:t xml:space="preserve">https://www.telegraphindia.com/west-bengal/bjps-matua-face-shows-clout-calls-pm-tmc-leader/cid/1858063</w:t>
        </w:r>
      </w:hyperlink>
      <w:r w:rsidDel="00000000" w:rsidR="00000000" w:rsidRPr="00000000">
        <w:rPr>
          <w:rtl w:val="0"/>
        </w:rPr>
      </w:r>
    </w:p>
    <w:p w:rsidR="00000000" w:rsidDel="00000000" w:rsidP="00000000" w:rsidRDefault="00000000" w:rsidRPr="00000000" w14:paraId="000000C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50</w:t>
      </w:r>
      <w:r w:rsidDel="00000000" w:rsidR="00000000" w:rsidRPr="00000000">
        <w:rPr>
          <w:rFonts w:ascii="Times New Roman" w:cs="Times New Roman" w:eastAsia="Times New Roman" w:hAnsi="Times New Roman"/>
          <w:b w:val="1"/>
          <w:sz w:val="24"/>
          <w:szCs w:val="24"/>
          <w:rtl w:val="0"/>
        </w:rPr>
        <w:t xml:space="preserve">.</w:t>
      </w:r>
      <w:hyperlink r:id="rId23">
        <w:r w:rsidDel="00000000" w:rsidR="00000000" w:rsidRPr="00000000">
          <w:rPr>
            <w:rFonts w:ascii="Times New Roman" w:cs="Times New Roman" w:eastAsia="Times New Roman" w:hAnsi="Times New Roman"/>
            <w:color w:val="1155cc"/>
            <w:sz w:val="24"/>
            <w:szCs w:val="24"/>
            <w:u w:val="single"/>
            <w:rtl w:val="0"/>
          </w:rPr>
          <w:t xml:space="preserve">https://www.indiatimes.com/amp/explainers/news/matua-community-in-west-bengal-559733.html</w:t>
        </w:r>
      </w:hyperlink>
      <w:r w:rsidDel="00000000" w:rsidR="00000000" w:rsidRPr="00000000">
        <w:rPr>
          <w:rtl w:val="0"/>
        </w:rPr>
      </w:r>
    </w:p>
    <w:p w:rsidR="00000000" w:rsidDel="00000000" w:rsidP="00000000" w:rsidRDefault="00000000" w:rsidRPr="00000000" w14:paraId="000000C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51.https://m.economictimes.com/news/politics-and-nation/bengal-gave-nod-for-2-detention-camps-on-mha-model-now-mamata-says-no/articleshow/73002609.cms</w:t>
      </w:r>
    </w:p>
    <w:p w:rsidR="00000000" w:rsidDel="00000000" w:rsidP="00000000" w:rsidRDefault="00000000" w:rsidRPr="00000000" w14:paraId="000000C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52.Kannabiran, Kalpana (2020), “The Shifting Sands of Citizenship: Dispossessions, Constitutional Ruptures and Borderlands.” (SAGE pub).</w:t>
      </w:r>
    </w:p>
    <w:p w:rsidR="00000000" w:rsidDel="00000000" w:rsidP="00000000" w:rsidRDefault="00000000" w:rsidRPr="00000000" w14:paraId="000000C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53.Sinharay, Praskanva (2016). “Dalit Question in the Upcoming West Bengal Assembly Elections”. (EPW).</w:t>
      </w:r>
    </w:p>
    <w:p w:rsidR="00000000" w:rsidDel="00000000" w:rsidP="00000000" w:rsidRDefault="00000000" w:rsidRPr="00000000" w14:paraId="000000C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54.Sinharay, Praskanva (2014). “The Caste Question: West Bengal’s Election Story.” (EPW).</w:t>
      </w:r>
    </w:p>
    <w:p w:rsidR="00000000" w:rsidDel="00000000" w:rsidP="00000000" w:rsidRDefault="00000000" w:rsidRPr="00000000" w14:paraId="000000C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55.Tillin, Louise (2019). "Oxford India Short Introductions: Indian Federalism." (OUP).</w:t>
      </w:r>
      <w:r w:rsidDel="00000000" w:rsidR="00000000" w:rsidRPr="00000000">
        <w:rPr>
          <w:rtl w:val="0"/>
        </w:rPr>
      </w:r>
    </w:p>
    <w:sectPr>
      <w:headerReference r:id="rId24" w:type="default"/>
      <w:footerReference r:id="rId25" w:type="default"/>
      <w:footerReference r:id="rId26"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6">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7">
    <w:pPr>
      <w:jc w:val="right"/>
      <w:rPr/>
    </w:pPr>
    <w:r w:rsidDel="00000000" w:rsidR="00000000" w:rsidRPr="00000000">
      <w:rPr>
        <w:rFonts w:ascii="Times New Roman" w:cs="Times New Roman" w:eastAsia="Times New Roman" w:hAnsi="Times New Roman"/>
        <w:b w:val="1"/>
        <w:sz w:val="30"/>
        <w:szCs w:val="3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7">
    <w:p w:rsidR="00000000" w:rsidDel="00000000" w:rsidP="00000000" w:rsidRDefault="00000000" w:rsidRPr="00000000" w14:paraId="000000C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It was enacted by the Union through the employability of powers granted under Section 3 of the Foreigners Act, 1946. Through the order, issued by the MHA on 23rd of September, 1964, it had a countrywide jurisdiction but it was just intended for the state of Assam for all practical purposes.</w:t>
      </w:r>
    </w:p>
  </w:footnote>
  <w:footnote w:id="13">
    <w:p w:rsidR="00000000" w:rsidDel="00000000" w:rsidP="00000000" w:rsidRDefault="00000000" w:rsidRPr="00000000" w14:paraId="000000C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SC, in response to a Public Interest Litigation filed by Human Rights activist, Harsh Mander (based on NHRC Report)  against the plight of Assam’s detention Centres, passed an order in 2018, directing the Union government to expedite the process of formulating a detention manual.</w:t>
      </w:r>
    </w:p>
  </w:footnote>
  <w:footnote w:id="14">
    <w:p w:rsidR="00000000" w:rsidDel="00000000" w:rsidP="00000000" w:rsidRDefault="00000000" w:rsidRPr="00000000" w14:paraId="000000C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Under the provisions of Section 3 sub-section (2) clause (e) of the Foreigners Act, 1946, the Union had an all encompassing authority to control the movement of foreigners in India. But now, the power seems divided between the Union and the States. </w:t>
      </w:r>
    </w:p>
  </w:footnote>
  <w:footnote w:id="6">
    <w:p w:rsidR="00000000" w:rsidDel="00000000" w:rsidP="00000000" w:rsidRDefault="00000000" w:rsidRPr="00000000" w14:paraId="000000D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In response to a query of INC leader Syed Nasir Hussain in Rajyasabha, on 20th November, 2019, Shah confirmed about nationwide NRC exercise while differentiating it with the CAA.</w:t>
      </w:r>
    </w:p>
  </w:footnote>
  <w:footnote w:id="8">
    <w:p w:rsidR="00000000" w:rsidDel="00000000" w:rsidP="00000000" w:rsidRDefault="00000000" w:rsidRPr="00000000" w14:paraId="000000D1">
      <w:pPr>
        <w:spacing w:after="0"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Former Union Minister, Palaniappan Chidambaram in the book launch event, “Rethinking India”, the first of 14 volumes of </w:t>
      </w:r>
      <w:r w:rsidDel="00000000" w:rsidR="00000000" w:rsidRPr="00000000">
        <w:rPr>
          <w:i w:val="1"/>
          <w:sz w:val="20"/>
          <w:szCs w:val="20"/>
          <w:rtl w:val="0"/>
        </w:rPr>
        <w:t xml:space="preserve">Samruddha Bharat Foundation</w:t>
      </w:r>
      <w:r w:rsidDel="00000000" w:rsidR="00000000" w:rsidRPr="00000000">
        <w:rPr>
          <w:sz w:val="20"/>
          <w:szCs w:val="20"/>
          <w:rtl w:val="0"/>
        </w:rPr>
        <w:t xml:space="preserve">, proposed the idea of Constitutional Citizenship at stake, where he highlighted that </w:t>
      </w:r>
      <w:r w:rsidDel="00000000" w:rsidR="00000000" w:rsidRPr="00000000">
        <w:rPr>
          <w:i w:val="1"/>
          <w:sz w:val="20"/>
          <w:szCs w:val="20"/>
          <w:rtl w:val="0"/>
        </w:rPr>
        <w:t xml:space="preserve">‘’Citizenship is no longer a theoretical concept but has become a political project behind which the state has put its might. As the founding fathers of the Indian republic had built the idea of citizenship based on the Constitution rather than based on language, race, religion, territory and culture.’’</w:t>
      </w:r>
    </w:p>
  </w:footnote>
  <w:footnote w:id="7">
    <w:p w:rsidR="00000000" w:rsidDel="00000000" w:rsidP="00000000" w:rsidRDefault="00000000" w:rsidRPr="00000000" w14:paraId="000000D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Explicitly at a rally in Jharkhand’s Chakradharpur on 2nd December, 2019, he said that “we will selectively throw out all infiltrators and this task will be undertaken by the BJP before 2024”, setting a deadline for the said process.</w:t>
      </w:r>
    </w:p>
  </w:footnote>
  <w:footnote w:id="0">
    <w:p w:rsidR="00000000" w:rsidDel="00000000" w:rsidP="00000000" w:rsidRDefault="00000000" w:rsidRPr="00000000" w14:paraId="000000D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Shri Nityanand Rai (MoS in the MHA) replied to the question posed in Rajya Sabha (number 213, on 3rd February, 2021) raised by the MPs of UBT (MP formerly Shiv Sena), Smt. Priyanka Chaturvedi and INC’s Smt. Phulo Devi Netam under the title of data on refugees.</w:t>
      </w:r>
    </w:p>
  </w:footnote>
  <w:footnote w:id="4">
    <w:p w:rsidR="00000000" w:rsidDel="00000000" w:rsidP="00000000" w:rsidRDefault="00000000" w:rsidRPr="00000000" w14:paraId="000000D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Particularly, the amendment of Section 2, Sub-section (1), in Clause (b). Exceptions are made to the Sixth Schedule and the areas included under the ‘</w:t>
      </w:r>
      <w:r w:rsidDel="00000000" w:rsidR="00000000" w:rsidRPr="00000000">
        <w:rPr>
          <w:i w:val="1"/>
          <w:sz w:val="20"/>
          <w:szCs w:val="20"/>
          <w:rtl w:val="0"/>
        </w:rPr>
        <w:t xml:space="preserve">Inner Line Permit’</w:t>
      </w:r>
      <w:r w:rsidDel="00000000" w:rsidR="00000000" w:rsidRPr="00000000">
        <w:rPr>
          <w:sz w:val="20"/>
          <w:szCs w:val="20"/>
          <w:rtl w:val="0"/>
        </w:rPr>
        <w:t xml:space="preserve"> (ILP) </w:t>
      </w:r>
      <w:r w:rsidDel="00000000" w:rsidR="00000000" w:rsidRPr="00000000">
        <w:rPr>
          <w:sz w:val="20"/>
          <w:szCs w:val="20"/>
          <w:rtl w:val="0"/>
        </w:rPr>
        <w:t xml:space="preserve">notified under the Bengal Eastern Frontier Regulation (BEFR), 1873. </w:t>
      </w:r>
    </w:p>
  </w:footnote>
  <w:footnote w:id="9">
    <w:p w:rsidR="00000000" w:rsidDel="00000000" w:rsidP="00000000" w:rsidRDefault="00000000" w:rsidRPr="00000000" w14:paraId="000000D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list of Doubtful Voters 1.9 m people was released out of 33 m people, who failed to prove their Indian nationality prior to March 24, 1971 (analogous to Assam Accord). The updation process of the register</w:t>
      </w:r>
    </w:p>
    <w:p w:rsidR="00000000" w:rsidDel="00000000" w:rsidP="00000000" w:rsidRDefault="00000000" w:rsidRPr="00000000" w14:paraId="000000D6">
      <w:pPr>
        <w:spacing w:after="0" w:line="240" w:lineRule="auto"/>
        <w:rPr>
          <w:sz w:val="20"/>
          <w:szCs w:val="20"/>
        </w:rPr>
      </w:pPr>
      <w:r w:rsidDel="00000000" w:rsidR="00000000" w:rsidRPr="00000000">
        <w:rPr>
          <w:sz w:val="20"/>
          <w:szCs w:val="20"/>
          <w:rtl w:val="0"/>
        </w:rPr>
        <w:t xml:space="preserve">functionally commenced following the SC order of 2013.</w:t>
      </w:r>
    </w:p>
  </w:footnote>
  <w:footnote w:id="16">
    <w:p w:rsidR="00000000" w:rsidDel="00000000" w:rsidP="00000000" w:rsidRDefault="00000000" w:rsidRPr="00000000" w14:paraId="000000D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The 2018 SC Order on PIL filed by Harsh Mander directed the Union government to accelerate the formulation process of the detention manual. Though, it must be mentioned that the State governments on an intermittent basis (in the year 2009, 2012, 2014 and 2018) have been instructed to build detention centres. </w:t>
      </w:r>
    </w:p>
  </w:footnote>
  <w:footnote w:id="15">
    <w:p w:rsidR="00000000" w:rsidDel="00000000" w:rsidP="00000000" w:rsidRDefault="00000000" w:rsidRPr="00000000" w14:paraId="000000D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manual listed out somewhat similar earlier records of few proceedings in the petition related to the detention centres of Assam in the</w:t>
      </w:r>
      <w:r w:rsidDel="00000000" w:rsidR="00000000" w:rsidRPr="00000000">
        <w:rPr>
          <w:i w:val="1"/>
          <w:sz w:val="20"/>
          <w:szCs w:val="20"/>
          <w:rtl w:val="0"/>
        </w:rPr>
        <w:t xml:space="preserve"> ‘In Re - Inhuman Conditions in 1398 Prisons’, </w:t>
      </w:r>
      <w:r w:rsidDel="00000000" w:rsidR="00000000" w:rsidRPr="00000000">
        <w:rPr>
          <w:sz w:val="20"/>
          <w:szCs w:val="20"/>
          <w:rtl w:val="0"/>
        </w:rPr>
        <w:t xml:space="preserve">which highlighted the 4 issues: problem of </w:t>
      </w:r>
      <w:r w:rsidDel="00000000" w:rsidR="00000000" w:rsidRPr="00000000">
        <w:rPr>
          <w:sz w:val="20"/>
          <w:szCs w:val="20"/>
          <w:rtl w:val="0"/>
        </w:rPr>
        <w:t xml:space="preserve">over-crowding</w:t>
      </w:r>
      <w:r w:rsidDel="00000000" w:rsidR="00000000" w:rsidRPr="00000000">
        <w:rPr>
          <w:sz w:val="20"/>
          <w:szCs w:val="20"/>
          <w:rtl w:val="0"/>
        </w:rPr>
        <w:t xml:space="preserve"> in prisons; unnatural circumstantial deaths of prisoners; gross managerial inadequacies related to the training and number of staff members</w:t>
      </w:r>
      <w:r w:rsidDel="00000000" w:rsidR="00000000" w:rsidRPr="00000000">
        <w:rPr>
          <w:i w:val="1"/>
          <w:sz w:val="20"/>
          <w:szCs w:val="20"/>
          <w:rtl w:val="0"/>
        </w:rPr>
        <w:t xml:space="preserve">.</w:t>
      </w:r>
      <w:r w:rsidDel="00000000" w:rsidR="00000000" w:rsidRPr="00000000">
        <w:rPr>
          <w:sz w:val="20"/>
          <w:szCs w:val="20"/>
          <w:rtl w:val="0"/>
        </w:rPr>
        <w:t xml:space="preserve"> </w:t>
      </w:r>
    </w:p>
  </w:footnote>
  <w:footnote w:id="2">
    <w:p w:rsidR="00000000" w:rsidDel="00000000" w:rsidP="00000000" w:rsidRDefault="00000000" w:rsidRPr="00000000" w14:paraId="000000D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Also the regional coalitional variant of NDA, North East Democratic Alliance (NEDA) formed on 24th May, 2016, against the INC strengthened the NDA’s potential in managing the critical North-Eastern border related issues.</w:t>
      </w:r>
    </w:p>
  </w:footnote>
  <w:footnote w:id="20">
    <w:p w:rsidR="00000000" w:rsidDel="00000000" w:rsidP="00000000" w:rsidRDefault="00000000" w:rsidRPr="00000000" w14:paraId="000000D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An archetypical ‘Model Refugee Policy’ (1997) in post-colonial Indian history was drafted under the stewardship of Justice P. N. Bhagwati, the former Chief Justice of India, but it failed and was not enacted. </w:t>
      </w:r>
    </w:p>
  </w:footnote>
  <w:footnote w:id="21">
    <w:p w:rsidR="00000000" w:rsidDel="00000000" w:rsidP="00000000" w:rsidRDefault="00000000" w:rsidRPr="00000000" w14:paraId="000000D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‘Refugees and Asylum Seekers (Protection) Bill’, (2006), Public Interest Legal Support and Research Centre (PILSRC). </w:t>
      </w:r>
    </w:p>
  </w:footnote>
  <w:footnote w:id="22">
    <w:p w:rsidR="00000000" w:rsidDel="00000000" w:rsidP="00000000" w:rsidRDefault="00000000" w:rsidRPr="00000000" w14:paraId="000000D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Shashi Tharoor tabled ‘The Asylum Bill, 2015’.</w:t>
      </w:r>
    </w:p>
    <w:p w:rsidR="00000000" w:rsidDel="00000000" w:rsidP="00000000" w:rsidRDefault="00000000" w:rsidRPr="00000000" w14:paraId="000000DD">
      <w:pPr>
        <w:spacing w:after="0" w:line="240" w:lineRule="auto"/>
        <w:rPr>
          <w:sz w:val="20"/>
          <w:szCs w:val="20"/>
        </w:rPr>
      </w:pPr>
      <w:r w:rsidDel="00000000" w:rsidR="00000000" w:rsidRPr="00000000">
        <w:rPr>
          <w:rtl w:val="0"/>
        </w:rPr>
      </w:r>
    </w:p>
    <w:p w:rsidR="00000000" w:rsidDel="00000000" w:rsidP="00000000" w:rsidRDefault="00000000" w:rsidRPr="00000000" w14:paraId="000000DE">
      <w:pPr>
        <w:spacing w:after="0" w:line="240" w:lineRule="auto"/>
        <w:rPr>
          <w:sz w:val="20"/>
          <w:szCs w:val="20"/>
        </w:rPr>
      </w:pPr>
      <w:r w:rsidDel="00000000" w:rsidR="00000000" w:rsidRPr="00000000">
        <w:rPr>
          <w:rtl w:val="0"/>
        </w:rPr>
      </w:r>
    </w:p>
  </w:footnote>
  <w:footnote w:id="11">
    <w:p w:rsidR="00000000" w:rsidDel="00000000" w:rsidP="00000000" w:rsidRDefault="00000000" w:rsidRPr="00000000" w14:paraId="000000D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Amit Shah’s Press Conference on the NRC, 31st July, 2018.</w:t>
      </w:r>
    </w:p>
  </w:footnote>
  <w:footnote w:id="12">
    <w:p w:rsidR="00000000" w:rsidDel="00000000" w:rsidP="00000000" w:rsidRDefault="00000000" w:rsidRPr="00000000" w14:paraId="000000E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While </w:t>
      </w:r>
      <w:r w:rsidDel="00000000" w:rsidR="00000000" w:rsidRPr="00000000">
        <w:rPr>
          <w:sz w:val="20"/>
          <w:szCs w:val="20"/>
          <w:rtl w:val="0"/>
        </w:rPr>
        <w:t xml:space="preserve">discussing on citizenship</w:t>
      </w:r>
      <w:r w:rsidDel="00000000" w:rsidR="00000000" w:rsidRPr="00000000">
        <w:rPr>
          <w:sz w:val="20"/>
          <w:szCs w:val="20"/>
          <w:rtl w:val="0"/>
        </w:rPr>
        <w:t xml:space="preserve">, he drew the attention of the house to the legal theory of two principles of citizenship: Jus sanguinis (blood and race) and Jus soli (grounds of birth). The suggestion of the Advisory committee was to adopt the Jus soli principle, which was also advocated by the first Home Minister Shri. Sardar Vallabhbhai Patel. He cautioned members (in reference to South African diasporic struggle against racial discrimination) that we should not take a narrow view of the subject and introduce racial phraseology in the Constitution of India. He remarked that “it is important to remember that the provision about citizenship will be scrutinised all over the world.”</w:t>
      </w:r>
    </w:p>
  </w:footnote>
  <w:footnote w:id="19">
    <w:p w:rsidR="00000000" w:rsidDel="00000000" w:rsidP="00000000" w:rsidRDefault="00000000" w:rsidRPr="00000000" w14:paraId="000000E1">
      <w:pPr>
        <w:spacing w:after="0"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It is a moral imperative which refers to the acceptance and embracing of the stranger without condition or question. His idea can be equated with the ancient Indian moral code of </w:t>
      </w:r>
      <w:r w:rsidDel="00000000" w:rsidR="00000000" w:rsidRPr="00000000">
        <w:rPr>
          <w:i w:val="1"/>
          <w:sz w:val="20"/>
          <w:szCs w:val="20"/>
          <w:rtl w:val="0"/>
        </w:rPr>
        <w:t xml:space="preserve">“ayam</w:t>
      </w:r>
    </w:p>
    <w:p w:rsidR="00000000" w:rsidDel="00000000" w:rsidP="00000000" w:rsidRDefault="00000000" w:rsidRPr="00000000" w14:paraId="000000E2">
      <w:pPr>
        <w:spacing w:after="0" w:line="240" w:lineRule="auto"/>
        <w:rPr>
          <w:i w:val="1"/>
          <w:sz w:val="20"/>
          <w:szCs w:val="20"/>
        </w:rPr>
      </w:pPr>
      <w:r w:rsidDel="00000000" w:rsidR="00000000" w:rsidRPr="00000000">
        <w:rPr>
          <w:i w:val="1"/>
          <w:sz w:val="20"/>
          <w:szCs w:val="20"/>
          <w:rtl w:val="0"/>
        </w:rPr>
        <w:t xml:space="preserve">nijah paro veti ganana laghu chetasam, udaracharitanam tu vasudhaiva</w:t>
      </w:r>
    </w:p>
    <w:p w:rsidR="00000000" w:rsidDel="00000000" w:rsidP="00000000" w:rsidRDefault="00000000" w:rsidRPr="00000000" w14:paraId="000000E3">
      <w:pPr>
        <w:spacing w:after="0" w:line="240" w:lineRule="auto"/>
        <w:rPr>
          <w:sz w:val="20"/>
          <w:szCs w:val="20"/>
        </w:rPr>
      </w:pPr>
      <w:r w:rsidDel="00000000" w:rsidR="00000000" w:rsidRPr="00000000">
        <w:rPr>
          <w:i w:val="1"/>
          <w:sz w:val="20"/>
          <w:szCs w:val="20"/>
          <w:rtl w:val="0"/>
        </w:rPr>
        <w:t xml:space="preserve">Kutumbakam”. </w:t>
      </w:r>
      <w:r w:rsidDel="00000000" w:rsidR="00000000" w:rsidRPr="00000000">
        <w:rPr>
          <w:sz w:val="20"/>
          <w:szCs w:val="20"/>
          <w:rtl w:val="0"/>
        </w:rPr>
        <w:t xml:space="preserve">Though, it is practically impossible to follow such an idea of moral universality in the current global border regime.</w:t>
      </w:r>
    </w:p>
  </w:footnote>
  <w:footnote w:id="10">
    <w:p w:rsidR="00000000" w:rsidDel="00000000" w:rsidP="00000000" w:rsidRDefault="00000000" w:rsidRPr="00000000" w14:paraId="000000E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Later, on 20th January 2021, the then Chief Election Commissioner, Mr. Sunil Arora clarified that those who were excluded from the 2019 NRC list, can cast their votes in 2021 Assam State Legislative Assembly Election. In support to his argument, he cited that the MHA notification published on 29th August, 2019 clarifies the exclusion of a person’s name from the National Register of Citizens does not amount to his/her declaration as a foreigner.</w:t>
      </w:r>
    </w:p>
  </w:footnote>
  <w:footnote w:id="24">
    <w:p w:rsidR="00000000" w:rsidDel="00000000" w:rsidP="00000000" w:rsidRDefault="00000000" w:rsidRPr="00000000" w14:paraId="000000E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The partition between India and Pakistan (1947) on the grounds of religion..    </w:t>
      </w:r>
    </w:p>
  </w:footnote>
  <w:footnote w:id="25">
    <w:p w:rsidR="00000000" w:rsidDel="00000000" w:rsidP="00000000" w:rsidRDefault="00000000" w:rsidRPr="00000000" w14:paraId="000000E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Article 1 of the Indian Constitution. </w:t>
      </w:r>
    </w:p>
  </w:footnote>
  <w:footnote w:id="23">
    <w:p w:rsidR="00000000" w:rsidDel="00000000" w:rsidP="00000000" w:rsidRDefault="00000000" w:rsidRPr="00000000" w14:paraId="000000E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‘Federalism is never non-territorial as the federal units are always cartographically organised’ (Arend Lijphart, 1977)</w:t>
      </w:r>
    </w:p>
  </w:footnote>
  <w:footnote w:id="28">
    <w:p w:rsidR="00000000" w:rsidDel="00000000" w:rsidP="00000000" w:rsidRDefault="00000000" w:rsidRPr="00000000" w14:paraId="000000E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Article 246 deals with the allocation of power between the Union and the States through Lists.</w:t>
      </w:r>
    </w:p>
  </w:footnote>
  <w:footnote w:id="26">
    <w:p w:rsidR="00000000" w:rsidDel="00000000" w:rsidP="00000000" w:rsidRDefault="00000000" w:rsidRPr="00000000" w14:paraId="000000E9">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Defines Refugee as a “</w:t>
      </w:r>
      <w:r w:rsidDel="00000000" w:rsidR="00000000" w:rsidRPr="00000000">
        <w:rPr>
          <w:i w:val="1"/>
          <w:sz w:val="20"/>
          <w:szCs w:val="20"/>
          <w:rtl w:val="0"/>
        </w:rPr>
        <w:t xml:space="preserve">person </w:t>
      </w:r>
      <w:r w:rsidDel="00000000" w:rsidR="00000000" w:rsidRPr="00000000">
        <w:rPr>
          <w:i w:val="1"/>
          <w:sz w:val="20"/>
          <w:szCs w:val="20"/>
          <w:rtl w:val="0"/>
        </w:rPr>
        <w:t xml:space="preserve">who is outside his or her country of nationality or habitual residence; has a well-founded fear of being persecuted because of his or her race, religion, nationality, membership of a particular social group or political opinion; and is unable or unwilling to avail him— or herself of the protection of that country, or to return there, for fear of persecution.</w:t>
      </w:r>
      <w:r w:rsidDel="00000000" w:rsidR="00000000" w:rsidRPr="00000000">
        <w:rPr>
          <w:sz w:val="20"/>
          <w:szCs w:val="20"/>
          <w:rtl w:val="0"/>
        </w:rPr>
        <w:t xml:space="preserve">”</w:t>
      </w:r>
      <w:r w:rsidDel="00000000" w:rsidR="00000000" w:rsidRPr="00000000">
        <w:rPr>
          <w:sz w:val="16"/>
          <w:szCs w:val="16"/>
          <w:rtl w:val="0"/>
        </w:rPr>
        <w:t xml:space="preserve"> </w:t>
      </w:r>
    </w:p>
  </w:footnote>
  <w:footnote w:id="34">
    <w:p w:rsidR="00000000" w:rsidDel="00000000" w:rsidP="00000000" w:rsidRDefault="00000000" w:rsidRPr="00000000" w14:paraId="000000E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Signifies presence of political ‘decentralisation’ and ‘federalisation’ at the regional level  influencing the legal constitutional political discourse at the national level. </w:t>
      </w:r>
    </w:p>
  </w:footnote>
  <w:footnote w:id="35">
    <w:p w:rsidR="00000000" w:rsidDel="00000000" w:rsidP="00000000" w:rsidRDefault="00000000" w:rsidRPr="00000000" w14:paraId="000000E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Happymon Jacob in his work,</w:t>
      </w:r>
      <w:r w:rsidDel="00000000" w:rsidR="00000000" w:rsidRPr="00000000">
        <w:rPr>
          <w:sz w:val="20"/>
          <w:szCs w:val="20"/>
          <w:rtl w:val="0"/>
        </w:rPr>
        <w:t xml:space="preserve"> ‘Putting the Periphery at the Centre: Indian States’ Role in Foreign Policy’,</w:t>
      </w:r>
      <w:r w:rsidDel="00000000" w:rsidR="00000000" w:rsidRPr="00000000">
        <w:rPr>
          <w:sz w:val="20"/>
          <w:szCs w:val="20"/>
          <w:rtl w:val="0"/>
        </w:rPr>
        <w:t xml:space="preserve"> 2016.</w:t>
      </w:r>
    </w:p>
  </w:footnote>
  <w:footnote w:id="36">
    <w:p w:rsidR="00000000" w:rsidDel="00000000" w:rsidP="00000000" w:rsidRDefault="00000000" w:rsidRPr="00000000" w14:paraId="000000E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MEA’s replies to the questions inquired in the Lok Sabha in 2014, November for the above stated aim of the new division. i.) MEA, Question Number: 687 (SEPARATE DIVISION FOR CENTRE-STATE RELATIONS), 26th November, 2014. ii.) MEA, Question number: 2970 (New division of Centre-State Relations), on 11th May, 2016.</w:t>
      </w:r>
    </w:p>
  </w:footnote>
  <w:footnote w:id="37">
    <w:p w:rsidR="00000000" w:rsidDel="00000000" w:rsidP="00000000" w:rsidRDefault="00000000" w:rsidRPr="00000000" w14:paraId="000000E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foreign policy insinuates foreign economic ties, national security and strategic international policy engagements.</w:t>
      </w:r>
    </w:p>
  </w:footnote>
  <w:footnote w:id="39">
    <w:p w:rsidR="00000000" w:rsidDel="00000000" w:rsidP="00000000" w:rsidRDefault="00000000" w:rsidRPr="00000000" w14:paraId="000000E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Indian federalism has been compared with the idea of </w:t>
      </w:r>
      <w:r w:rsidDel="00000000" w:rsidR="00000000" w:rsidRPr="00000000">
        <w:rPr>
          <w:i w:val="1"/>
          <w:sz w:val="20"/>
          <w:szCs w:val="20"/>
          <w:rtl w:val="0"/>
        </w:rPr>
        <w:t xml:space="preserve">‘bargaining federalism’ </w:t>
      </w:r>
      <w:r w:rsidDel="00000000" w:rsidR="00000000" w:rsidRPr="00000000">
        <w:rPr>
          <w:sz w:val="20"/>
          <w:szCs w:val="20"/>
          <w:rtl w:val="0"/>
        </w:rPr>
        <w:t xml:space="preserve">by Morris Jones. In his work,</w:t>
      </w:r>
      <w:r w:rsidDel="00000000" w:rsidR="00000000" w:rsidRPr="00000000">
        <w:rPr>
          <w:i w:val="1"/>
          <w:sz w:val="20"/>
          <w:szCs w:val="20"/>
          <w:rtl w:val="0"/>
        </w:rPr>
        <w:t xml:space="preserve"> The Government and Politics of India </w:t>
      </w:r>
      <w:r w:rsidDel="00000000" w:rsidR="00000000" w:rsidRPr="00000000">
        <w:rPr>
          <w:sz w:val="20"/>
          <w:szCs w:val="20"/>
          <w:rtl w:val="0"/>
        </w:rPr>
        <w:t xml:space="preserve">(1971, 3rd edition). </w:t>
      </w:r>
    </w:p>
  </w:footnote>
  <w:footnote w:id="38">
    <w:p w:rsidR="00000000" w:rsidDel="00000000" w:rsidP="00000000" w:rsidRDefault="00000000" w:rsidRPr="00000000" w14:paraId="000000E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Happymon Jacob, </w:t>
      </w:r>
      <w:r w:rsidDel="00000000" w:rsidR="00000000" w:rsidRPr="00000000">
        <w:rPr>
          <w:i w:val="1"/>
          <w:sz w:val="20"/>
          <w:szCs w:val="20"/>
          <w:rtl w:val="0"/>
        </w:rPr>
        <w:t xml:space="preserve">loc. cit.</w:t>
      </w:r>
      <w:r w:rsidDel="00000000" w:rsidR="00000000" w:rsidRPr="00000000">
        <w:rPr>
          <w:rtl w:val="0"/>
        </w:rPr>
      </w:r>
    </w:p>
  </w:footnote>
  <w:footnote w:id="41">
    <w:p w:rsidR="00000000" w:rsidDel="00000000" w:rsidP="00000000" w:rsidRDefault="00000000" w:rsidRPr="00000000" w14:paraId="000000F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1874, Assam was divided from the province of Bengal and was named as the </w:t>
      </w:r>
      <w:r w:rsidDel="00000000" w:rsidR="00000000" w:rsidRPr="00000000">
        <w:rPr>
          <w:i w:val="1"/>
          <w:sz w:val="20"/>
          <w:szCs w:val="20"/>
          <w:rtl w:val="0"/>
        </w:rPr>
        <w:t xml:space="preserve">‘North-East Frontier’ (NER)</w:t>
      </w:r>
      <w:r w:rsidDel="00000000" w:rsidR="00000000" w:rsidRPr="00000000">
        <w:rPr>
          <w:sz w:val="20"/>
          <w:szCs w:val="20"/>
          <w:rtl w:val="0"/>
        </w:rPr>
        <w:t xml:space="preserve"> non regulated province till 1905 and was integrated as the new province of East Bengal, then finally in 1912, it was bifurcated from the Eastern Bengal and became a Province under the British Administration. Similarly, Burma (presently Myanmar) was separated with the GOI Act (1935, came into effect from 1937) from India. Likewise, on 15th August, 1947 with the creation of Pakistan, the part of Eastern Bengal was partitioned as East Pakistan, which later in 1971 became an independent country, Bangladesh.</w:t>
      </w:r>
    </w:p>
  </w:footnote>
  <w:footnote w:id="40">
    <w:p w:rsidR="00000000" w:rsidDel="00000000" w:rsidP="00000000" w:rsidRDefault="00000000" w:rsidRPr="00000000" w14:paraId="000000F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State of Mizoram was once the part </w:t>
      </w:r>
      <w:r w:rsidDel="00000000" w:rsidR="00000000" w:rsidRPr="00000000">
        <w:rPr>
          <w:sz w:val="20"/>
          <w:szCs w:val="20"/>
          <w:rtl w:val="0"/>
        </w:rPr>
        <w:t xml:space="preserve">of the Greater</w:t>
      </w:r>
      <w:r w:rsidDel="00000000" w:rsidR="00000000" w:rsidRPr="00000000">
        <w:rPr>
          <w:sz w:val="20"/>
          <w:szCs w:val="20"/>
          <w:rtl w:val="0"/>
        </w:rPr>
        <w:t xml:space="preserve"> Assam, in 1972, GOI carved out MIzoram as a UT, which later gained statehood on 20th Feb, 1987. </w:t>
      </w:r>
    </w:p>
  </w:footnote>
  <w:footnote w:id="42">
    <w:p w:rsidR="00000000" w:rsidDel="00000000" w:rsidP="00000000" w:rsidRDefault="00000000" w:rsidRPr="00000000" w14:paraId="000000F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Peirce, 1908 Essay. The word is a derivation of latin words with a combination of prefix “retro” (means going backward) and suffix “ductive” (means to lead).  </w:t>
      </w:r>
    </w:p>
  </w:footnote>
  <w:footnote w:id="43">
    <w:p w:rsidR="00000000" w:rsidDel="00000000" w:rsidP="00000000" w:rsidRDefault="00000000" w:rsidRPr="00000000" w14:paraId="000000F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Meaning of latin derivations: prefix “ab” (away from) and suffix “duction” or “ducere” (to lead). </w:t>
      </w:r>
    </w:p>
  </w:footnote>
  <w:footnote w:id="45">
    <w:p w:rsidR="00000000" w:rsidDel="00000000" w:rsidP="00000000" w:rsidRDefault="00000000" w:rsidRPr="00000000" w14:paraId="000000F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Dilip Gogoi’s</w:t>
      </w:r>
      <w:r w:rsidDel="00000000" w:rsidR="00000000" w:rsidRPr="00000000">
        <w:rPr>
          <w:sz w:val="20"/>
          <w:szCs w:val="20"/>
          <w:rtl w:val="0"/>
        </w:rPr>
        <w:t xml:space="preserve"> Unheeded Hinterland: Identity and Sovereignty in Northeast India</w:t>
      </w:r>
      <w:r w:rsidDel="00000000" w:rsidR="00000000" w:rsidRPr="00000000">
        <w:rPr>
          <w:i w:val="1"/>
          <w:sz w:val="20"/>
          <w:szCs w:val="20"/>
          <w:rtl w:val="0"/>
        </w:rPr>
        <w:t xml:space="preserve"> (2016, Routledge Ed.)</w:t>
      </w:r>
      <w:r w:rsidDel="00000000" w:rsidR="00000000" w:rsidRPr="00000000">
        <w:rPr>
          <w:sz w:val="20"/>
          <w:szCs w:val="20"/>
          <w:rtl w:val="0"/>
        </w:rPr>
        <w:t xml:space="preserve">.</w:t>
      </w:r>
    </w:p>
  </w:footnote>
  <w:footnote w:id="48">
    <w:p w:rsidR="00000000" w:rsidDel="00000000" w:rsidP="00000000" w:rsidRDefault="00000000" w:rsidRPr="00000000" w14:paraId="000000F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National Register of Citizens (NRC) of Assam enlists the proof of Indian nationals living in Assam. This Citizens’ Register aims at identifying foreign nationals in the state that borders Bangladesh. Also, it has timely upgraded it to weed out illegal Bangladeshi and neighbouring immigrants.</w:t>
      </w:r>
    </w:p>
  </w:footnote>
  <w:footnote w:id="49">
    <w:p w:rsidR="00000000" w:rsidDel="00000000" w:rsidP="00000000" w:rsidRDefault="00000000" w:rsidRPr="00000000" w14:paraId="000000F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six non-muslim communities, namely, the Hindus, Sikhs, Buddhists, Jains, Parsis and Christians.</w:t>
      </w:r>
    </w:p>
  </w:footnote>
  <w:footnote w:id="51">
    <w:p w:rsidR="00000000" w:rsidDel="00000000" w:rsidP="00000000" w:rsidRDefault="00000000" w:rsidRPr="00000000" w14:paraId="000000F7">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Sanjib Baruah’s India Against Itself, (1999).</w:t>
      </w:r>
    </w:p>
  </w:footnote>
  <w:footnote w:id="52">
    <w:p w:rsidR="00000000" w:rsidDel="00000000" w:rsidP="00000000" w:rsidRDefault="00000000" w:rsidRPr="00000000" w14:paraId="000000F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Section 6B, sub-section 4, which implies that "</w:t>
      </w:r>
      <w:r w:rsidDel="00000000" w:rsidR="00000000" w:rsidRPr="00000000">
        <w:rPr>
          <w:i w:val="1"/>
          <w:sz w:val="20"/>
          <w:szCs w:val="20"/>
          <w:rtl w:val="0"/>
        </w:rPr>
        <w:t xml:space="preserve">Nothing in this section shall apply to tribal area of Assam, Meghalaya, Mizoram or Tripura as included in the Sixth Schedule to the Constitution and the area covered under ‘The Inner Line’ notified under the Bengal Eastern Frontier Regulation, 1873</w:t>
      </w:r>
      <w:r w:rsidDel="00000000" w:rsidR="00000000" w:rsidRPr="00000000">
        <w:rPr>
          <w:sz w:val="20"/>
          <w:szCs w:val="20"/>
          <w:rtl w:val="0"/>
        </w:rPr>
        <w:t xml:space="preserve">”. This included the three tribal areas of the North Cachar Hills District, the Karbi Anglong District, the Bodoland Territorial Areas District of Assam.</w:t>
      </w:r>
    </w:p>
  </w:footnote>
  <w:footnote w:id="50">
    <w:p w:rsidR="00000000" w:rsidDel="00000000" w:rsidP="00000000" w:rsidRDefault="00000000" w:rsidRPr="00000000" w14:paraId="000000F9">
      <w:pPr>
        <w:spacing w:after="0"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It specifies that “</w:t>
      </w:r>
      <w:r w:rsidDel="00000000" w:rsidR="00000000" w:rsidRPr="00000000">
        <w:rPr>
          <w:i w:val="1"/>
          <w:sz w:val="20"/>
          <w:szCs w:val="20"/>
          <w:rtl w:val="0"/>
        </w:rPr>
        <w:t xml:space="preserve">constitutional, legislative, and administrative safeguards, as may be appropriate, shall be provided to protect, preserve, and promote the cultural, social, linguistic identity and heritage of the Assamese people”.</w:t>
      </w:r>
    </w:p>
  </w:footnote>
  <w:footnote w:id="44">
    <w:p w:rsidR="00000000" w:rsidDel="00000000" w:rsidP="00000000" w:rsidRDefault="00000000" w:rsidRPr="00000000" w14:paraId="000000FA">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Assam:NRC Refugees; Mizoram:Chin Community; West Bengal:Matuas as Namashudras.</w:t>
      </w:r>
    </w:p>
  </w:footnote>
  <w:footnote w:id="53">
    <w:p w:rsidR="00000000" w:rsidDel="00000000" w:rsidP="00000000" w:rsidRDefault="00000000" w:rsidRPr="00000000" w14:paraId="000000F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FMR allows exemptions to the living tribal populace to travel 16 km across the border/boundary without any visa restrictions. </w:t>
      </w:r>
    </w:p>
  </w:footnote>
  <w:footnote w:id="54">
    <w:p w:rsidR="00000000" w:rsidDel="00000000" w:rsidP="00000000" w:rsidRDefault="00000000" w:rsidRPr="00000000" w14:paraId="000000F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Burmese army.</w:t>
      </w:r>
    </w:p>
  </w:footnote>
  <w:footnote w:id="55">
    <w:p w:rsidR="00000000" w:rsidDel="00000000" w:rsidP="00000000" w:rsidRDefault="00000000" w:rsidRPr="00000000" w14:paraId="000000FD">
      <w:pPr>
        <w:spacing w:after="0"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The Refugee International Field Report, 2009 stated that “</w:t>
      </w:r>
      <w:r w:rsidDel="00000000" w:rsidR="00000000" w:rsidRPr="00000000">
        <w:rPr>
          <w:i w:val="1"/>
          <w:sz w:val="20"/>
          <w:szCs w:val="20"/>
          <w:rtl w:val="0"/>
        </w:rPr>
        <w:t xml:space="preserve">In 2007, Chin state faced a widespread famine due to the flowering of bamboo forests, which occurs every fifty years, and the resulting plagues of rats that eat the bamboo fruit and any other crops in their path. Also the crops were expropriated by the Burmese Army.”</w:t>
      </w:r>
    </w:p>
  </w:footnote>
  <w:footnote w:id="56">
    <w:p w:rsidR="00000000" w:rsidDel="00000000" w:rsidP="00000000" w:rsidRDefault="00000000" w:rsidRPr="00000000" w14:paraId="000000F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Hazarika’s (2000) study highlighted the primary cause of push factors present in the ecosystem like land, hunger, population pressure and natural environmental factors in Bangladesh. Whereas, Pramanik (2006) identified the political and religious reasons as the primary push factors existing in the region of Bangladesh.</w:t>
      </w:r>
    </w:p>
  </w:footnote>
  <w:footnote w:id="57">
    <w:p w:rsidR="00000000" w:rsidDel="00000000" w:rsidP="00000000" w:rsidRDefault="00000000" w:rsidRPr="00000000" w14:paraId="000000FF">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They are Namashudras who are counted as a Scheduled Caste. A detailed explanation was given by </w:t>
      </w:r>
      <w:r w:rsidDel="00000000" w:rsidR="00000000" w:rsidRPr="00000000">
        <w:rPr>
          <w:i w:val="1"/>
          <w:sz w:val="20"/>
          <w:szCs w:val="20"/>
          <w:rtl w:val="0"/>
        </w:rPr>
        <w:t xml:space="preserve">Dr. Manosanta Biswas,</w:t>
      </w:r>
      <w:r w:rsidDel="00000000" w:rsidR="00000000" w:rsidRPr="00000000">
        <w:rPr>
          <w:sz w:val="20"/>
          <w:szCs w:val="20"/>
          <w:rtl w:val="0"/>
        </w:rPr>
        <w:t xml:space="preserve"> assistant professor of history at </w:t>
      </w:r>
      <w:r w:rsidDel="00000000" w:rsidR="00000000" w:rsidRPr="00000000">
        <w:rPr>
          <w:i w:val="1"/>
          <w:sz w:val="20"/>
          <w:szCs w:val="20"/>
          <w:rtl w:val="0"/>
        </w:rPr>
        <w:t xml:space="preserve">Netaji Subhas Open University</w:t>
      </w:r>
      <w:r w:rsidDel="00000000" w:rsidR="00000000" w:rsidRPr="00000000">
        <w:rPr>
          <w:sz w:val="20"/>
          <w:szCs w:val="20"/>
          <w:rtl w:val="0"/>
        </w:rPr>
        <w:t xml:space="preserve"> in Kolkata, was quoted as saying in an interview with News18.com that, </w:t>
      </w:r>
      <w:r w:rsidDel="00000000" w:rsidR="00000000" w:rsidRPr="00000000">
        <w:rPr>
          <w:i w:val="1"/>
          <w:sz w:val="20"/>
          <w:szCs w:val="20"/>
          <w:rtl w:val="0"/>
        </w:rPr>
        <w:t xml:space="preserve">“In an undivided Bengal, the Namasudras, commonly known as ‘Chandalas’, were outside the old Chaturvarna system of Hindu society. The Varnashram Dharma or caste system in Bengal was unique. Unlike the rest of India, Hindu society in Bengal was divided as Brahmin and Shudra segments.</w:t>
      </w:r>
      <w:r w:rsidDel="00000000" w:rsidR="00000000" w:rsidRPr="00000000">
        <w:rPr>
          <w:sz w:val="20"/>
          <w:szCs w:val="20"/>
          <w:rtl w:val="0"/>
        </w:rPr>
        <w:t xml:space="preserve">"</w:t>
      </w:r>
      <w:r w:rsidDel="00000000" w:rsidR="00000000" w:rsidRPr="00000000">
        <w:rPr>
          <w:rtl w:val="0"/>
        </w:rPr>
      </w:r>
    </w:p>
  </w:footnote>
  <w:footnote w:id="59">
    <w:p w:rsidR="00000000" w:rsidDel="00000000" w:rsidP="00000000" w:rsidRDefault="00000000" w:rsidRPr="00000000" w14:paraId="0000010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Binapani Devi (1920-2019), arrived in India in 1947 with her husband Pramatha Ranjan Thakur, and set up a town in the North 24 Parganas region, named Thakurnagar, where majority of the Matuas reside in West Bengal. </w:t>
      </w:r>
    </w:p>
  </w:footnote>
  <w:footnote w:id="58">
    <w:p w:rsidR="00000000" w:rsidDel="00000000" w:rsidP="00000000" w:rsidRDefault="00000000" w:rsidRPr="00000000" w14:paraId="00000101">
      <w:pPr>
        <w:spacing w:line="48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60">
    <w:p w:rsidR="00000000" w:rsidDel="00000000" w:rsidP="00000000" w:rsidRDefault="00000000" w:rsidRPr="00000000" w14:paraId="0000010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 the family members became affiliates of these two parties.</w:t>
      </w:r>
    </w:p>
  </w:footnote>
  <w:footnote w:id="64">
    <w:p w:rsidR="00000000" w:rsidDel="00000000" w:rsidP="00000000" w:rsidRDefault="00000000" w:rsidRPr="00000000" w14:paraId="0000010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Based on the idea of civic self rule emphasising the political agency. The fundamental idea of the </w:t>
      </w:r>
      <w:r w:rsidDel="00000000" w:rsidR="00000000" w:rsidRPr="00000000">
        <w:rPr>
          <w:i w:val="1"/>
          <w:sz w:val="20"/>
          <w:szCs w:val="20"/>
          <w:rtl w:val="0"/>
        </w:rPr>
        <w:t xml:space="preserve">Republican</w:t>
      </w:r>
      <w:r w:rsidDel="00000000" w:rsidR="00000000" w:rsidRPr="00000000">
        <w:rPr>
          <w:sz w:val="20"/>
          <w:szCs w:val="20"/>
          <w:rtl w:val="0"/>
        </w:rPr>
        <w:t xml:space="preserve"> model is evident in the classical institutions and practices like the rotation of offices through voting, underpinning Aristotle’s characterization of the citizen as a political being. Showcasing one’s potential of ruling and being ruled in turn (based on the idea of discretionary exclusion and minimal accommodation of cultural diversity). </w:t>
      </w:r>
    </w:p>
  </w:footnote>
  <w:footnote w:id="65">
    <w:p w:rsidR="00000000" w:rsidDel="00000000" w:rsidP="00000000" w:rsidRDefault="00000000" w:rsidRPr="00000000" w14:paraId="0000010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It is more Walzerian (1989), which focuses on legal identity rather than political status. It defines the membership of an individual in a community of apportioned common laws, which cannot or can be parallel to the territorial community. It's more universally inclusive compared to the Republican model.  </w:t>
      </w:r>
    </w:p>
  </w:footnote>
  <w:footnote w:id="63">
    <w:p w:rsidR="00000000" w:rsidDel="00000000" w:rsidP="00000000" w:rsidRDefault="00000000" w:rsidRPr="00000000" w14:paraId="0000010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See, ‘The Acquisition of Citizenship by Investment’ by Christaian H. Kalin (Pub: Brill Nijhoff, 2019)</w:t>
      </w:r>
    </w:p>
  </w:footnote>
  <w:footnote w:id="18">
    <w:p w:rsidR="00000000" w:rsidDel="00000000" w:rsidP="00000000" w:rsidRDefault="00000000" w:rsidRPr="00000000" w14:paraId="0000010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See, Mapping Citizenship in India (2010) by Anupama Roy.</w:t>
      </w:r>
    </w:p>
  </w:footnote>
  <w:footnote w:id="5">
    <w:p w:rsidR="00000000" w:rsidDel="00000000" w:rsidP="00000000" w:rsidRDefault="00000000" w:rsidRPr="00000000" w14:paraId="00000109">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https://www.theindiaforum.in/article/faith-criterion-citizenship.</w:t>
      </w:r>
      <w:r w:rsidDel="00000000" w:rsidR="00000000" w:rsidRPr="00000000">
        <w:rPr>
          <w:rtl w:val="0"/>
        </w:rPr>
      </w:r>
    </w:p>
  </w:footnote>
  <w:footnote w:id="3">
    <w:p w:rsidR="00000000" w:rsidDel="00000000" w:rsidP="00000000" w:rsidRDefault="00000000" w:rsidRPr="00000000" w14:paraId="0000010A">
      <w:pPr>
        <w:spacing w:after="0"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Historian Gyan Prakash characterised Hindutva as “</w:t>
      </w:r>
      <w:r w:rsidDel="00000000" w:rsidR="00000000" w:rsidRPr="00000000">
        <w:rPr>
          <w:i w:val="1"/>
          <w:sz w:val="20"/>
          <w:szCs w:val="20"/>
          <w:rtl w:val="0"/>
        </w:rPr>
        <w:t xml:space="preserve">the de-facto ideology of the ruling regime in India” </w:t>
      </w:r>
      <w:r w:rsidDel="00000000" w:rsidR="00000000" w:rsidRPr="00000000">
        <w:rPr>
          <w:sz w:val="20"/>
          <w:szCs w:val="20"/>
          <w:rtl w:val="0"/>
        </w:rPr>
        <w:t xml:space="preserve">that </w:t>
      </w:r>
      <w:r w:rsidDel="00000000" w:rsidR="00000000" w:rsidRPr="00000000">
        <w:rPr>
          <w:i w:val="1"/>
          <w:sz w:val="20"/>
          <w:szCs w:val="20"/>
          <w:rtl w:val="0"/>
        </w:rPr>
        <w:t xml:space="preserve">“seeks to alter the constitutional order”. </w:t>
      </w:r>
    </w:p>
  </w:footnote>
  <w:footnote w:id="61">
    <w:p w:rsidR="00000000" w:rsidDel="00000000" w:rsidP="00000000" w:rsidRDefault="00000000" w:rsidRPr="00000000" w14:paraId="0000010B">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 New Town (Kolkata) and (ii.) Bongaon (North 24 Parganas) for convicted foreign nationals awaiting deportation. </w:t>
      </w:r>
    </w:p>
  </w:footnote>
  <w:footnote w:id="27">
    <w:p w:rsidR="00000000" w:rsidDel="00000000" w:rsidP="00000000" w:rsidRDefault="00000000" w:rsidRPr="00000000" w14:paraId="0000010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Idea of forcible returning of refugees to their first departing point from the country they illegally entered. </w:t>
      </w:r>
    </w:p>
  </w:footnote>
  <w:footnote w:id="29">
    <w:p w:rsidR="00000000" w:rsidDel="00000000" w:rsidP="00000000" w:rsidRDefault="00000000" w:rsidRPr="00000000" w14:paraId="0000010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Right emphasising the idea of equality before law.</w:t>
      </w:r>
    </w:p>
  </w:footnote>
  <w:footnote w:id="30">
    <w:p w:rsidR="00000000" w:rsidDel="00000000" w:rsidP="00000000" w:rsidRDefault="00000000" w:rsidRPr="00000000" w14:paraId="0000010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Protecting life and personal liberty.</w:t>
      </w:r>
    </w:p>
  </w:footnote>
  <w:footnote w:id="31">
    <w:p w:rsidR="00000000" w:rsidDel="00000000" w:rsidP="00000000" w:rsidRDefault="00000000" w:rsidRPr="00000000" w14:paraId="0000011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Protection against arrest and detention.</w:t>
      </w:r>
    </w:p>
  </w:footnote>
  <w:footnote w:id="32">
    <w:p w:rsidR="00000000" w:rsidDel="00000000" w:rsidP="00000000" w:rsidRDefault="00000000" w:rsidRPr="00000000" w14:paraId="00000111">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Rights covered under the ambit of freedom of religion.</w:t>
      </w:r>
    </w:p>
  </w:footnote>
  <w:footnote w:id="33">
    <w:p w:rsidR="00000000" w:rsidDel="00000000" w:rsidP="00000000" w:rsidRDefault="00000000" w:rsidRPr="00000000" w14:paraId="00000112">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Powers entailed by the SC (national) and HC (local) to issue writs in their territorial jurisdictional prudence.</w:t>
      </w:r>
    </w:p>
  </w:footnote>
  <w:footnote w:id="47">
    <w:p w:rsidR="00000000" w:rsidDel="00000000" w:rsidP="00000000" w:rsidRDefault="00000000" w:rsidRPr="00000000" w14:paraId="0000011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movement showcased a prototype regionalism which not only aimed at driving out foreigners but also encroachers of various states from Assam. Subnationalized sloganeerings like </w:t>
      </w:r>
      <w:r w:rsidDel="00000000" w:rsidR="00000000" w:rsidRPr="00000000">
        <w:rPr>
          <w:i w:val="1"/>
          <w:sz w:val="20"/>
          <w:szCs w:val="20"/>
          <w:rtl w:val="0"/>
        </w:rPr>
        <w:t xml:space="preserve">‘’Ali, coolie, </w:t>
      </w:r>
      <w:r w:rsidDel="00000000" w:rsidR="00000000" w:rsidRPr="00000000">
        <w:rPr>
          <w:i w:val="1"/>
          <w:sz w:val="20"/>
          <w:szCs w:val="20"/>
          <w:rtl w:val="0"/>
        </w:rPr>
        <w:t xml:space="preserve">Bongali</w:t>
      </w:r>
      <w:r w:rsidDel="00000000" w:rsidR="00000000" w:rsidRPr="00000000">
        <w:rPr>
          <w:i w:val="1"/>
          <w:sz w:val="20"/>
          <w:szCs w:val="20"/>
          <w:rtl w:val="0"/>
        </w:rPr>
        <w:t xml:space="preserve">, Naak-sepeta Nepali’’</w:t>
      </w:r>
      <w:r w:rsidDel="00000000" w:rsidR="00000000" w:rsidRPr="00000000">
        <w:rPr>
          <w:sz w:val="20"/>
          <w:szCs w:val="20"/>
          <w:rtl w:val="0"/>
        </w:rPr>
        <w:t xml:space="preserve"> are evident of the event’s magnitude.</w:t>
      </w:r>
      <w:r w:rsidDel="00000000" w:rsidR="00000000" w:rsidRPr="00000000">
        <w:rPr>
          <w:rtl w:val="0"/>
        </w:rPr>
      </w:r>
    </w:p>
  </w:footnote>
  <w:footnote w:id="46">
    <w:p w:rsidR="00000000" w:rsidDel="00000000" w:rsidP="00000000" w:rsidRDefault="00000000" w:rsidRPr="00000000" w14:paraId="0000011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As T.K.Oommen (1982) cites that there is a difference between Assamese ‘’Nationalism” (which is a movement against the foreign nationals after 1947, currently active in the State’s politics) and Assamese “Chauvinism” (which was the movement against the fellow national’s mobilisation from other parts of India, namely, North Bengali Hindu migrants, Punjabi and Mero or Marwari businessmen. Though, it has become opaque and dormant at the functional level of politics at present).</w:t>
      </w:r>
    </w:p>
  </w:footnote>
  <w:footnote w:id="1">
    <w:p w:rsidR="00000000" w:rsidDel="00000000" w:rsidP="00000000" w:rsidRDefault="00000000" w:rsidRPr="00000000" w14:paraId="0000011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A landmark year defining neo-parameters for Refugees and Indian Federalism.</w:t>
      </w:r>
    </w:p>
  </w:footnote>
  <w:footnote w:id="62">
    <w:p w:rsidR="00000000" w:rsidDel="00000000" w:rsidP="00000000" w:rsidRDefault="00000000" w:rsidRPr="00000000" w14:paraId="00000116">
      <w:pPr>
        <w:spacing w:after="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Work titled as the - </w:t>
      </w:r>
      <w:r w:rsidDel="00000000" w:rsidR="00000000" w:rsidRPr="00000000">
        <w:rPr>
          <w:sz w:val="20"/>
          <w:szCs w:val="20"/>
          <w:rtl w:val="0"/>
        </w:rPr>
        <w:t xml:space="preserve">Lineages of Political Society: Studies in Postcolonial Democracy.</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_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dianexpress.com/article/explained/this-word-means-matua-community-5567348/" TargetMode="External"/><Relationship Id="rId22" Type="http://schemas.openxmlformats.org/officeDocument/2006/relationships/hyperlink" Target="https://www.telegraphindia.com/west-bengal/bjps-matua-face-shows-clout-calls-pm-tmc-leader/cid/1858063" TargetMode="External"/><Relationship Id="rId21" Type="http://schemas.openxmlformats.org/officeDocument/2006/relationships/hyperlink" Target="https://indianexpress.com/article/explained/explained-who-was-harichand-thakur-matua-7844238/" TargetMode="External"/><Relationship Id="rId24" Type="http://schemas.openxmlformats.org/officeDocument/2006/relationships/header" Target="header1.xml"/><Relationship Id="rId23" Type="http://schemas.openxmlformats.org/officeDocument/2006/relationships/hyperlink" Target="https://www.indiatimes.com/amp/explainers/news/matua-community-in-west-bengal-559733.htm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prsindia.org/billtrack/the-citizenship-amendment-bill-2019" TargetMode="External"/><Relationship Id="rId26" Type="http://schemas.openxmlformats.org/officeDocument/2006/relationships/footer" Target="footer1.xml"/><Relationship Id="rId25"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www.indianbarassociation.org/indias-refugee-policy/#" TargetMode="External"/><Relationship Id="rId11" Type="http://schemas.openxmlformats.org/officeDocument/2006/relationships/hyperlink" Target="https://www.legalserviceindia.com/legal/article-4616-refugee-law-the-constitution-perspective.html" TargetMode="External"/><Relationship Id="rId10" Type="http://schemas.openxmlformats.org/officeDocument/2006/relationships/hyperlink" Target="https://www.mha.gov.in/MHA1/Par2017/pdfs/par2021-pdfs/rs-03022021/213.pdf" TargetMode="External"/><Relationship Id="rId13" Type="http://schemas.openxmlformats.org/officeDocument/2006/relationships/hyperlink" Target="https://www.news18.com/lok-sabha-elections-2019/alliance-wise-tally-live-results/" TargetMode="External"/><Relationship Id="rId12" Type="http://schemas.openxmlformats.org/officeDocument/2006/relationships/hyperlink" Target="https://thewire.in/government/foreigners-tribunals-order-mha-changes" TargetMode="External"/><Relationship Id="rId15" Type="http://schemas.openxmlformats.org/officeDocument/2006/relationships/hyperlink" Target="https://www.epw.in/journal/2008/09/notes/india-needs-refugee-law.html" TargetMode="External"/><Relationship Id="rId14" Type="http://schemas.openxmlformats.org/officeDocument/2006/relationships/hyperlink" Target="https://nhrc.nic.in/media/press-release/nhrc-online-open-forum-unanimously-pitches-national-law-end-adhocism" TargetMode="External"/><Relationship Id="rId17" Type="http://schemas.openxmlformats.org/officeDocument/2006/relationships/hyperlink" Target="https://www.news18.com/news/politics/assam-voters-excluded-nrc-assam-assembly-election-commission-sunil-arora-3318008.html" TargetMode="External"/><Relationship Id="rId16" Type="http://schemas.openxmlformats.org/officeDocument/2006/relationships/hyperlink" Target="https://www.indiatoday.in/india/story/assam-final-nrc-list-out-over-19-lakh-people-excluded-1593769-2019-08-31" TargetMode="External"/><Relationship Id="rId19" Type="http://schemas.openxmlformats.org/officeDocument/2006/relationships/hyperlink" Target="https://www.thehindu.com/news/national/no-centralised-data-on-detention-centres-says-mha-in-rs/article38402593.ece/amp/" TargetMode="External"/><Relationship Id="rId18" Type="http://schemas.openxmlformats.org/officeDocument/2006/relationships/hyperlink" Target="https://www.mea.gov.in/lok-sabha.htm?dtl/26812/question+no2970+new+division+for+centrestate+relation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MLA" SelectedStyle="/MLASeventhEditionOfficeOnline.xsl" Version="7">
  <b:Source>
    <b:Tag>source1</b:Tag>
    <b:Year>2020</b:Year>
    <b:SourceType>JournalArticle</b:SourceType>
    <b:Title>The Shifting Sands of Citizenship: Dispossessions, Constitutional Ruptures and Borderlands.</b:Title>
    <b:JournalName>The Shifting Sands of Citizenship: Dispossessions, Constitutional Ruptures and Borderlands.</b:JournalName>
    <b:Gdcea>{"AccessedType":"Website"}</b:Gdcea>
    <b:Author>
      <b:Author>
        <b:Corporate>SAGE</b:Corporate>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