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88997" w14:textId="0F0C3D19" w:rsidR="000744C1" w:rsidRPr="00AE2C4F" w:rsidRDefault="000744C1" w:rsidP="00AE2C4F">
      <w:pPr>
        <w:jc w:val="center"/>
        <w:rPr>
          <w:rFonts w:cs="Times New Roman"/>
          <w:b/>
          <w:bCs/>
          <w:color w:val="000000"/>
          <w:sz w:val="28"/>
          <w:szCs w:val="28"/>
          <w:shd w:val="clear" w:color="auto" w:fill="FFFFFF"/>
          <w:lang w:val="en-US"/>
        </w:rPr>
      </w:pPr>
      <w:r w:rsidRPr="00AE2C4F">
        <w:rPr>
          <w:rFonts w:cs="Times New Roman"/>
          <w:b/>
          <w:bCs/>
          <w:color w:val="000000"/>
          <w:sz w:val="28"/>
          <w:szCs w:val="28"/>
          <w:shd w:val="clear" w:color="auto" w:fill="FFFFFF"/>
          <w:lang w:val="en-US"/>
        </w:rPr>
        <w:t>Production, Trade, and Future Prospects of Organic Agriculture in India</w:t>
      </w:r>
    </w:p>
    <w:p w14:paraId="63909124" w14:textId="36992F81" w:rsidR="00AE2C4F" w:rsidRDefault="00AE2C4F" w:rsidP="00AE2C4F">
      <w:pPr>
        <w:jc w:val="center"/>
        <w:rPr>
          <w:rFonts w:cs="Times New Roman"/>
          <w:bCs/>
          <w:color w:val="000000"/>
          <w:szCs w:val="24"/>
          <w:shd w:val="clear" w:color="auto" w:fill="FFFFFF"/>
          <w:vertAlign w:val="superscript"/>
          <w:lang w:val="en-US"/>
        </w:rPr>
      </w:pPr>
      <w:r w:rsidRPr="00AE2C4F">
        <w:rPr>
          <w:rFonts w:cs="Times New Roman"/>
          <w:bCs/>
          <w:color w:val="000000"/>
          <w:szCs w:val="24"/>
          <w:shd w:val="clear" w:color="auto" w:fill="FFFFFF"/>
          <w:lang w:val="en-US"/>
        </w:rPr>
        <w:t>Kiran Kumara T. M</w:t>
      </w:r>
      <w:r w:rsidR="00993B9F">
        <w:rPr>
          <w:rFonts w:cs="Times New Roman"/>
          <w:bCs/>
          <w:color w:val="000000"/>
          <w:szCs w:val="24"/>
          <w:shd w:val="clear" w:color="auto" w:fill="FFFFFF"/>
          <w:vertAlign w:val="superscript"/>
          <w:lang w:val="en-US"/>
        </w:rPr>
        <w:t>1</w:t>
      </w:r>
      <w:r w:rsidRPr="00AE2C4F">
        <w:rPr>
          <w:rFonts w:cs="Times New Roman"/>
          <w:bCs/>
          <w:color w:val="000000"/>
          <w:szCs w:val="24"/>
          <w:shd w:val="clear" w:color="auto" w:fill="FFFFFF"/>
          <w:lang w:val="en-US"/>
        </w:rPr>
        <w:t xml:space="preserve">., </w:t>
      </w:r>
      <w:proofErr w:type="spellStart"/>
      <w:r w:rsidRPr="00AE2C4F">
        <w:rPr>
          <w:rFonts w:cs="Times New Roman"/>
          <w:bCs/>
          <w:color w:val="000000"/>
          <w:szCs w:val="24"/>
          <w:shd w:val="clear" w:color="auto" w:fill="FFFFFF"/>
          <w:lang w:val="en-US"/>
        </w:rPr>
        <w:t>Chikkathimme</w:t>
      </w:r>
      <w:proofErr w:type="spellEnd"/>
      <w:r w:rsidRPr="00AE2C4F">
        <w:rPr>
          <w:rFonts w:cs="Times New Roman"/>
          <w:bCs/>
          <w:color w:val="000000"/>
          <w:szCs w:val="24"/>
          <w:shd w:val="clear" w:color="auto" w:fill="FFFFFF"/>
          <w:lang w:val="en-US"/>
        </w:rPr>
        <w:t xml:space="preserve"> Gowda</w:t>
      </w:r>
      <w:r w:rsidR="004E2C3E">
        <w:rPr>
          <w:rFonts w:cs="Times New Roman"/>
          <w:bCs/>
          <w:color w:val="000000"/>
          <w:szCs w:val="24"/>
          <w:shd w:val="clear" w:color="auto" w:fill="FFFFFF"/>
          <w:lang w:val="en-US"/>
        </w:rPr>
        <w:t xml:space="preserve"> H. R</w:t>
      </w:r>
      <w:r w:rsidR="00993B9F">
        <w:rPr>
          <w:rFonts w:cs="Times New Roman"/>
          <w:bCs/>
          <w:color w:val="000000"/>
          <w:szCs w:val="24"/>
          <w:shd w:val="clear" w:color="auto" w:fill="FFFFFF"/>
          <w:vertAlign w:val="superscript"/>
          <w:lang w:val="en-US"/>
        </w:rPr>
        <w:t>2</w:t>
      </w:r>
      <w:r w:rsidR="004E2C3E">
        <w:rPr>
          <w:rFonts w:cs="Times New Roman"/>
          <w:bCs/>
          <w:color w:val="000000"/>
          <w:szCs w:val="24"/>
          <w:shd w:val="clear" w:color="auto" w:fill="FFFFFF"/>
          <w:lang w:val="en-US"/>
        </w:rPr>
        <w:t>.,</w:t>
      </w:r>
      <w:r w:rsidRPr="00AE2C4F">
        <w:rPr>
          <w:rFonts w:cs="Times New Roman"/>
          <w:bCs/>
          <w:color w:val="000000"/>
          <w:szCs w:val="24"/>
          <w:shd w:val="clear" w:color="auto" w:fill="FFFFFF"/>
          <w:lang w:val="en-US"/>
        </w:rPr>
        <w:t xml:space="preserve"> </w:t>
      </w:r>
      <w:proofErr w:type="spellStart"/>
      <w:r w:rsidRPr="00AE2C4F">
        <w:rPr>
          <w:rFonts w:cs="Times New Roman"/>
          <w:bCs/>
          <w:color w:val="000000"/>
          <w:szCs w:val="24"/>
          <w:shd w:val="clear" w:color="auto" w:fill="FFFFFF"/>
          <w:lang w:val="en-US"/>
        </w:rPr>
        <w:t>Raghavendra</w:t>
      </w:r>
      <w:proofErr w:type="spellEnd"/>
      <w:r w:rsidRPr="00AE2C4F">
        <w:rPr>
          <w:rFonts w:cs="Times New Roman"/>
          <w:bCs/>
          <w:color w:val="000000"/>
          <w:szCs w:val="24"/>
          <w:shd w:val="clear" w:color="auto" w:fill="FFFFFF"/>
          <w:lang w:val="en-US"/>
        </w:rPr>
        <w:t xml:space="preserve"> </w:t>
      </w:r>
      <w:r w:rsidR="004E2C3E" w:rsidRPr="00AE2C4F">
        <w:rPr>
          <w:rFonts w:cs="Times New Roman"/>
          <w:bCs/>
          <w:color w:val="000000"/>
          <w:szCs w:val="24"/>
          <w:shd w:val="clear" w:color="auto" w:fill="FFFFFF"/>
          <w:lang w:val="en-US"/>
        </w:rPr>
        <w:t>K. J</w:t>
      </w:r>
      <w:r w:rsidR="00993B9F">
        <w:rPr>
          <w:rFonts w:cs="Times New Roman"/>
          <w:bCs/>
          <w:color w:val="000000"/>
          <w:szCs w:val="24"/>
          <w:shd w:val="clear" w:color="auto" w:fill="FFFFFF"/>
          <w:vertAlign w:val="superscript"/>
          <w:lang w:val="en-US"/>
        </w:rPr>
        <w:t>3</w:t>
      </w:r>
      <w:r w:rsidRPr="00AE2C4F">
        <w:rPr>
          <w:rFonts w:cs="Times New Roman"/>
          <w:bCs/>
          <w:color w:val="000000"/>
          <w:szCs w:val="24"/>
          <w:shd w:val="clear" w:color="auto" w:fill="FFFFFF"/>
          <w:lang w:val="en-US"/>
        </w:rPr>
        <w:t>.</w:t>
      </w:r>
      <w:r w:rsidR="004E2C3E">
        <w:rPr>
          <w:rFonts w:cs="Times New Roman"/>
          <w:bCs/>
          <w:color w:val="000000"/>
          <w:szCs w:val="24"/>
          <w:shd w:val="clear" w:color="auto" w:fill="FFFFFF"/>
          <w:lang w:val="en-US"/>
        </w:rPr>
        <w:t>,</w:t>
      </w:r>
      <w:r w:rsidRPr="00AE2C4F">
        <w:rPr>
          <w:rFonts w:cs="Times New Roman"/>
          <w:bCs/>
          <w:color w:val="000000"/>
          <w:szCs w:val="24"/>
          <w:shd w:val="clear" w:color="auto" w:fill="FFFFFF"/>
          <w:lang w:val="en-US"/>
        </w:rPr>
        <w:t xml:space="preserve"> </w:t>
      </w:r>
      <w:proofErr w:type="spellStart"/>
      <w:r w:rsidRPr="00AE2C4F">
        <w:rPr>
          <w:rFonts w:cs="Times New Roman"/>
          <w:bCs/>
          <w:color w:val="000000"/>
          <w:szCs w:val="24"/>
          <w:shd w:val="clear" w:color="auto" w:fill="FFFFFF"/>
          <w:lang w:val="en-US"/>
        </w:rPr>
        <w:t>Ankita</w:t>
      </w:r>
      <w:proofErr w:type="spellEnd"/>
      <w:r w:rsidRPr="00AE2C4F">
        <w:rPr>
          <w:rFonts w:cs="Times New Roman"/>
          <w:bCs/>
          <w:color w:val="000000"/>
          <w:szCs w:val="24"/>
          <w:shd w:val="clear" w:color="auto" w:fill="FFFFFF"/>
          <w:lang w:val="en-US"/>
        </w:rPr>
        <w:t xml:space="preserve"> Kandpal</w:t>
      </w:r>
      <w:r w:rsidR="00993B9F">
        <w:rPr>
          <w:rFonts w:cs="Times New Roman"/>
          <w:bCs/>
          <w:color w:val="000000"/>
          <w:szCs w:val="24"/>
          <w:shd w:val="clear" w:color="auto" w:fill="FFFFFF"/>
          <w:vertAlign w:val="superscript"/>
          <w:lang w:val="en-US"/>
        </w:rPr>
        <w:t>1</w:t>
      </w:r>
      <w:r w:rsidRPr="00AE2C4F">
        <w:rPr>
          <w:rFonts w:cs="Times New Roman"/>
          <w:bCs/>
          <w:color w:val="000000"/>
          <w:szCs w:val="24"/>
          <w:shd w:val="clear" w:color="auto" w:fill="FFFFFF"/>
          <w:lang w:val="en-US"/>
        </w:rPr>
        <w:t>,</w:t>
      </w:r>
      <w:r w:rsidR="00DB1D30" w:rsidRPr="00DB1D30">
        <w:t xml:space="preserve"> </w:t>
      </w:r>
      <w:proofErr w:type="spellStart"/>
      <w:r w:rsidR="00DB1D30" w:rsidRPr="00DB1D30">
        <w:rPr>
          <w:rFonts w:cs="Times New Roman"/>
          <w:bCs/>
          <w:color w:val="000000"/>
          <w:szCs w:val="24"/>
          <w:shd w:val="clear" w:color="auto" w:fill="FFFFFF"/>
          <w:lang w:val="en-US"/>
        </w:rPr>
        <w:t>Amrutha</w:t>
      </w:r>
      <w:proofErr w:type="spellEnd"/>
      <w:r w:rsidR="00DB1D30" w:rsidRPr="00DB1D30">
        <w:rPr>
          <w:rFonts w:cs="Times New Roman"/>
          <w:bCs/>
          <w:color w:val="000000"/>
          <w:szCs w:val="24"/>
          <w:shd w:val="clear" w:color="auto" w:fill="FFFFFF"/>
          <w:lang w:val="en-US"/>
        </w:rPr>
        <w:t xml:space="preserve"> T</w:t>
      </w:r>
      <w:bookmarkStart w:id="0" w:name="_GoBack"/>
      <w:bookmarkEnd w:id="0"/>
      <w:r w:rsidR="00993B9F">
        <w:rPr>
          <w:rFonts w:cs="Times New Roman"/>
          <w:bCs/>
          <w:color w:val="000000"/>
          <w:szCs w:val="24"/>
          <w:shd w:val="clear" w:color="auto" w:fill="FFFFFF"/>
          <w:vertAlign w:val="superscript"/>
          <w:lang w:val="en-US"/>
        </w:rPr>
        <w:t>4</w:t>
      </w:r>
      <w:r w:rsidR="00DB1D30" w:rsidRPr="00DB1D30">
        <w:rPr>
          <w:rFonts w:cs="Times New Roman"/>
          <w:bCs/>
          <w:color w:val="000000"/>
          <w:szCs w:val="24"/>
          <w:shd w:val="clear" w:color="auto" w:fill="FFFFFF"/>
          <w:lang w:val="en-US"/>
        </w:rPr>
        <w:t>,</w:t>
      </w:r>
      <w:r w:rsidR="00DB1D30">
        <w:rPr>
          <w:rFonts w:cs="Times New Roman"/>
          <w:bCs/>
          <w:color w:val="000000"/>
          <w:szCs w:val="24"/>
          <w:shd w:val="clear" w:color="auto" w:fill="FFFFFF"/>
          <w:lang w:val="en-US"/>
        </w:rPr>
        <w:t xml:space="preserve"> and</w:t>
      </w:r>
      <w:r w:rsidR="0016767F">
        <w:rPr>
          <w:rFonts w:cs="Times New Roman"/>
          <w:bCs/>
          <w:color w:val="000000"/>
          <w:szCs w:val="24"/>
          <w:shd w:val="clear" w:color="auto" w:fill="FFFFFF"/>
          <w:lang w:val="en-US"/>
        </w:rPr>
        <w:t xml:space="preserve"> </w:t>
      </w:r>
      <w:proofErr w:type="spellStart"/>
      <w:r w:rsidR="0016767F">
        <w:rPr>
          <w:rFonts w:cs="Times New Roman"/>
          <w:bCs/>
          <w:color w:val="000000"/>
          <w:szCs w:val="24"/>
          <w:shd w:val="clear" w:color="auto" w:fill="FFFFFF"/>
          <w:lang w:val="en-US"/>
        </w:rPr>
        <w:t>Bipin</w:t>
      </w:r>
      <w:proofErr w:type="spellEnd"/>
      <w:r w:rsidR="0016767F">
        <w:rPr>
          <w:rFonts w:cs="Times New Roman"/>
          <w:bCs/>
          <w:color w:val="000000"/>
          <w:szCs w:val="24"/>
          <w:shd w:val="clear" w:color="auto" w:fill="FFFFFF"/>
          <w:lang w:val="en-US"/>
        </w:rPr>
        <w:t xml:space="preserve"> Kumar</w:t>
      </w:r>
      <w:r w:rsidR="00993B9F">
        <w:rPr>
          <w:rFonts w:cs="Times New Roman"/>
          <w:bCs/>
          <w:color w:val="000000"/>
          <w:szCs w:val="24"/>
          <w:shd w:val="clear" w:color="auto" w:fill="FFFFFF"/>
          <w:vertAlign w:val="superscript"/>
          <w:lang w:val="en-US"/>
        </w:rPr>
        <w:t>5</w:t>
      </w:r>
    </w:p>
    <w:p w14:paraId="393BC0F9" w14:textId="1A74C2E2" w:rsidR="00993B9F" w:rsidRDefault="0019466A" w:rsidP="0019466A">
      <w:pPr>
        <w:spacing w:after="0"/>
        <w:rPr>
          <w:rFonts w:cs="Times New Roman"/>
          <w:bCs/>
          <w:color w:val="000000"/>
          <w:sz w:val="20"/>
          <w:szCs w:val="20"/>
          <w:shd w:val="clear" w:color="auto" w:fill="FFFFFF"/>
          <w:lang w:val="en-US"/>
        </w:rPr>
      </w:pPr>
      <w:r>
        <w:rPr>
          <w:rFonts w:cs="Times New Roman"/>
          <w:bCs/>
          <w:color w:val="000000"/>
          <w:sz w:val="20"/>
          <w:szCs w:val="20"/>
          <w:shd w:val="clear" w:color="auto" w:fill="FFFFFF"/>
          <w:vertAlign w:val="superscript"/>
          <w:lang w:val="en-US"/>
        </w:rPr>
        <w:t>1</w:t>
      </w:r>
      <w:r w:rsidR="00993B9F" w:rsidRPr="00993B9F">
        <w:rPr>
          <w:rFonts w:cs="Times New Roman"/>
          <w:bCs/>
          <w:color w:val="000000"/>
          <w:sz w:val="20"/>
          <w:szCs w:val="20"/>
          <w:shd w:val="clear" w:color="auto" w:fill="FFFFFF"/>
          <w:lang w:val="en-US"/>
        </w:rPr>
        <w:t>ICAR-National Institute of Agricultural Economics and Policy Research</w:t>
      </w:r>
      <w:r>
        <w:rPr>
          <w:rFonts w:cs="Times New Roman"/>
          <w:bCs/>
          <w:color w:val="000000"/>
          <w:sz w:val="20"/>
          <w:szCs w:val="20"/>
          <w:shd w:val="clear" w:color="auto" w:fill="FFFFFF"/>
          <w:lang w:val="en-US"/>
        </w:rPr>
        <w:t>(NIAP)</w:t>
      </w:r>
      <w:r w:rsidR="00993B9F" w:rsidRPr="00993B9F">
        <w:rPr>
          <w:rFonts w:cs="Times New Roman"/>
          <w:bCs/>
          <w:color w:val="000000"/>
          <w:sz w:val="20"/>
          <w:szCs w:val="20"/>
          <w:shd w:val="clear" w:color="auto" w:fill="FFFFFF"/>
          <w:lang w:val="en-US"/>
        </w:rPr>
        <w:t>, New Delhi, India, -110012</w:t>
      </w:r>
    </w:p>
    <w:p w14:paraId="2BC8887E" w14:textId="002B870E" w:rsidR="00993B9F" w:rsidRDefault="00993B9F" w:rsidP="0019466A">
      <w:pPr>
        <w:spacing w:after="0"/>
        <w:rPr>
          <w:rFonts w:cs="Times New Roman"/>
          <w:bCs/>
          <w:color w:val="000000"/>
          <w:sz w:val="20"/>
          <w:szCs w:val="20"/>
          <w:shd w:val="clear" w:color="auto" w:fill="FFFFFF"/>
          <w:lang w:val="en-US"/>
        </w:rPr>
      </w:pPr>
      <w:r w:rsidRPr="0019466A">
        <w:rPr>
          <w:rFonts w:cs="Times New Roman"/>
          <w:bCs/>
          <w:color w:val="000000"/>
          <w:sz w:val="20"/>
          <w:szCs w:val="20"/>
          <w:shd w:val="clear" w:color="auto" w:fill="FFFFFF"/>
          <w:vertAlign w:val="superscript"/>
          <w:lang w:val="en-US"/>
        </w:rPr>
        <w:t>2</w:t>
      </w:r>
      <w:r w:rsidR="0019466A" w:rsidRPr="0019466A">
        <w:rPr>
          <w:rFonts w:cs="Times New Roman"/>
          <w:bCs/>
          <w:color w:val="000000"/>
          <w:sz w:val="20"/>
          <w:szCs w:val="20"/>
          <w:shd w:val="clear" w:color="auto" w:fill="FFFFFF"/>
          <w:lang w:val="en-US"/>
        </w:rPr>
        <w:t>ICAR-R</w:t>
      </w:r>
      <w:r w:rsidR="0019466A">
        <w:rPr>
          <w:rFonts w:cs="Times New Roman"/>
          <w:bCs/>
          <w:color w:val="000000"/>
          <w:sz w:val="20"/>
          <w:szCs w:val="20"/>
          <w:shd w:val="clear" w:color="auto" w:fill="FFFFFF"/>
          <w:lang w:val="en-US"/>
        </w:rPr>
        <w:t xml:space="preserve">esearch Complex for NEH Region, </w:t>
      </w:r>
      <w:proofErr w:type="spellStart"/>
      <w:r w:rsidR="0019466A" w:rsidRPr="0019466A">
        <w:rPr>
          <w:rFonts w:cs="Times New Roman"/>
          <w:bCs/>
          <w:color w:val="000000"/>
          <w:sz w:val="20"/>
          <w:szCs w:val="20"/>
          <w:shd w:val="clear" w:color="auto" w:fill="FFFFFF"/>
          <w:lang w:val="en-US"/>
        </w:rPr>
        <w:t>Umiam</w:t>
      </w:r>
      <w:proofErr w:type="spellEnd"/>
      <w:r w:rsidR="0019466A" w:rsidRPr="0019466A">
        <w:rPr>
          <w:rFonts w:cs="Times New Roman"/>
          <w:bCs/>
          <w:color w:val="000000"/>
          <w:sz w:val="20"/>
          <w:szCs w:val="20"/>
          <w:shd w:val="clear" w:color="auto" w:fill="FFFFFF"/>
          <w:lang w:val="en-US"/>
        </w:rPr>
        <w:t>, Meghalaya</w:t>
      </w:r>
      <w:r w:rsidR="0019466A">
        <w:rPr>
          <w:rFonts w:cs="Times New Roman"/>
          <w:bCs/>
          <w:color w:val="000000"/>
          <w:sz w:val="20"/>
          <w:szCs w:val="20"/>
          <w:shd w:val="clear" w:color="auto" w:fill="FFFFFF"/>
          <w:lang w:val="en-US"/>
        </w:rPr>
        <w:t>, India-</w:t>
      </w:r>
      <w:r w:rsidR="0019466A" w:rsidRPr="0019466A">
        <w:t xml:space="preserve"> </w:t>
      </w:r>
      <w:r w:rsidR="0019466A" w:rsidRPr="0019466A">
        <w:rPr>
          <w:rFonts w:cs="Times New Roman"/>
          <w:bCs/>
          <w:color w:val="000000"/>
          <w:sz w:val="20"/>
          <w:szCs w:val="20"/>
          <w:shd w:val="clear" w:color="auto" w:fill="FFFFFF"/>
          <w:lang w:val="en-US"/>
        </w:rPr>
        <w:t>793103</w:t>
      </w:r>
    </w:p>
    <w:p w14:paraId="3A9131A9" w14:textId="1F4A6679" w:rsidR="0019466A" w:rsidRDefault="0019466A" w:rsidP="0019466A">
      <w:pPr>
        <w:spacing w:after="0"/>
        <w:rPr>
          <w:rFonts w:cs="Times New Roman"/>
          <w:bCs/>
          <w:color w:val="000000"/>
          <w:sz w:val="20"/>
          <w:szCs w:val="20"/>
          <w:shd w:val="clear" w:color="auto" w:fill="FFFFFF"/>
          <w:lang w:val="en-US"/>
        </w:rPr>
      </w:pPr>
      <w:r w:rsidRPr="0019466A">
        <w:rPr>
          <w:rFonts w:cs="Times New Roman"/>
          <w:bCs/>
          <w:color w:val="000000"/>
          <w:sz w:val="20"/>
          <w:szCs w:val="20"/>
          <w:shd w:val="clear" w:color="auto" w:fill="FFFFFF"/>
          <w:vertAlign w:val="superscript"/>
          <w:lang w:val="en-US"/>
        </w:rPr>
        <w:t>3</w:t>
      </w:r>
      <w:r w:rsidRPr="0019466A">
        <w:rPr>
          <w:rFonts w:cs="Times New Roman"/>
          <w:bCs/>
          <w:color w:val="000000"/>
          <w:sz w:val="20"/>
          <w:szCs w:val="20"/>
          <w:shd w:val="clear" w:color="auto" w:fill="FFFFFF"/>
          <w:lang w:val="en-US"/>
        </w:rPr>
        <w:t>ICAR- Indian Instit</w:t>
      </w:r>
      <w:r>
        <w:rPr>
          <w:rFonts w:cs="Times New Roman"/>
          <w:bCs/>
          <w:color w:val="000000"/>
          <w:sz w:val="20"/>
          <w:szCs w:val="20"/>
          <w:shd w:val="clear" w:color="auto" w:fill="FFFFFF"/>
          <w:lang w:val="en-US"/>
        </w:rPr>
        <w:t xml:space="preserve">ute of Farming Systems Research(IIFSR), </w:t>
      </w:r>
      <w:proofErr w:type="spellStart"/>
      <w:r w:rsidRPr="0019466A">
        <w:rPr>
          <w:rFonts w:cs="Times New Roman"/>
          <w:bCs/>
          <w:color w:val="000000"/>
          <w:sz w:val="20"/>
          <w:szCs w:val="20"/>
          <w:shd w:val="clear" w:color="auto" w:fill="FFFFFF"/>
          <w:lang w:val="en-US"/>
        </w:rPr>
        <w:t>Modipuram</w:t>
      </w:r>
      <w:proofErr w:type="spellEnd"/>
      <w:r w:rsidRPr="0019466A">
        <w:rPr>
          <w:rFonts w:cs="Times New Roman"/>
          <w:bCs/>
          <w:color w:val="000000"/>
          <w:sz w:val="20"/>
          <w:szCs w:val="20"/>
          <w:shd w:val="clear" w:color="auto" w:fill="FFFFFF"/>
          <w:lang w:val="en-US"/>
        </w:rPr>
        <w:t>, Meerut</w:t>
      </w:r>
      <w:r>
        <w:rPr>
          <w:rFonts w:cs="Times New Roman"/>
          <w:bCs/>
          <w:color w:val="000000"/>
          <w:sz w:val="20"/>
          <w:szCs w:val="20"/>
          <w:shd w:val="clear" w:color="auto" w:fill="FFFFFF"/>
          <w:lang w:val="en-US"/>
        </w:rPr>
        <w:t xml:space="preserve">, India </w:t>
      </w:r>
      <w:r w:rsidRPr="0019466A">
        <w:rPr>
          <w:rFonts w:cs="Times New Roman"/>
          <w:bCs/>
          <w:color w:val="000000"/>
          <w:sz w:val="20"/>
          <w:szCs w:val="20"/>
          <w:shd w:val="clear" w:color="auto" w:fill="FFFFFF"/>
          <w:lang w:val="en-US"/>
        </w:rPr>
        <w:t>-250110</w:t>
      </w:r>
    </w:p>
    <w:p w14:paraId="592A4BEB" w14:textId="424C8DCD" w:rsidR="0019466A" w:rsidRDefault="0019466A" w:rsidP="0019466A">
      <w:pPr>
        <w:spacing w:after="0"/>
        <w:rPr>
          <w:rFonts w:cs="Times New Roman"/>
          <w:bCs/>
          <w:color w:val="000000"/>
          <w:sz w:val="20"/>
          <w:szCs w:val="20"/>
          <w:shd w:val="clear" w:color="auto" w:fill="FFFFFF"/>
          <w:lang w:val="en-US"/>
        </w:rPr>
      </w:pPr>
      <w:r w:rsidRPr="0019466A">
        <w:rPr>
          <w:rFonts w:cs="Times New Roman"/>
          <w:bCs/>
          <w:color w:val="000000"/>
          <w:sz w:val="20"/>
          <w:szCs w:val="20"/>
          <w:shd w:val="clear" w:color="auto" w:fill="FFFFFF"/>
          <w:vertAlign w:val="superscript"/>
          <w:lang w:val="en-US"/>
        </w:rPr>
        <w:t>4</w:t>
      </w:r>
      <w:r w:rsidRPr="0019466A">
        <w:rPr>
          <w:rFonts w:cs="Times New Roman"/>
          <w:bCs/>
          <w:color w:val="000000"/>
          <w:sz w:val="20"/>
          <w:szCs w:val="20"/>
          <w:shd w:val="clear" w:color="auto" w:fill="FFFFFF"/>
          <w:lang w:val="en-US"/>
        </w:rPr>
        <w:t>ICAR-Agricultural Technology Application Research Institute</w:t>
      </w:r>
      <w:r>
        <w:rPr>
          <w:rFonts w:cs="Times New Roman"/>
          <w:bCs/>
          <w:color w:val="000000"/>
          <w:sz w:val="20"/>
          <w:szCs w:val="20"/>
          <w:shd w:val="clear" w:color="auto" w:fill="FFFFFF"/>
          <w:lang w:val="en-US"/>
        </w:rPr>
        <w:t>(ATARI),</w:t>
      </w:r>
      <w:r w:rsidRPr="0019466A">
        <w:rPr>
          <w:rFonts w:cs="Times New Roman"/>
          <w:bCs/>
          <w:color w:val="000000"/>
          <w:sz w:val="20"/>
          <w:szCs w:val="20"/>
          <w:shd w:val="clear" w:color="auto" w:fill="FFFFFF"/>
          <w:lang w:val="en-US"/>
        </w:rPr>
        <w:t xml:space="preserve"> </w:t>
      </w:r>
      <w:proofErr w:type="spellStart"/>
      <w:r w:rsidRPr="0019466A">
        <w:rPr>
          <w:rFonts w:cs="Times New Roman"/>
          <w:bCs/>
          <w:color w:val="000000"/>
          <w:sz w:val="20"/>
          <w:szCs w:val="20"/>
          <w:shd w:val="clear" w:color="auto" w:fill="FFFFFF"/>
          <w:lang w:val="en-US"/>
        </w:rPr>
        <w:t>Umiam</w:t>
      </w:r>
      <w:proofErr w:type="spellEnd"/>
      <w:r w:rsidRPr="0019466A">
        <w:rPr>
          <w:rFonts w:cs="Times New Roman"/>
          <w:bCs/>
          <w:color w:val="000000"/>
          <w:sz w:val="20"/>
          <w:szCs w:val="20"/>
          <w:shd w:val="clear" w:color="auto" w:fill="FFFFFF"/>
          <w:lang w:val="en-US"/>
        </w:rPr>
        <w:t>, Meghalaya</w:t>
      </w:r>
      <w:r>
        <w:rPr>
          <w:rFonts w:cs="Times New Roman"/>
          <w:bCs/>
          <w:color w:val="000000"/>
          <w:sz w:val="20"/>
          <w:szCs w:val="20"/>
          <w:shd w:val="clear" w:color="auto" w:fill="FFFFFF"/>
          <w:lang w:val="en-US"/>
        </w:rPr>
        <w:t>, India</w:t>
      </w:r>
      <w:r>
        <w:rPr>
          <w:rFonts w:cs="Times New Roman"/>
          <w:bCs/>
          <w:color w:val="000000"/>
          <w:sz w:val="20"/>
          <w:szCs w:val="20"/>
          <w:shd w:val="clear" w:color="auto" w:fill="FFFFFF"/>
          <w:lang w:val="en-US"/>
        </w:rPr>
        <w:t>-</w:t>
      </w:r>
      <w:r w:rsidRPr="0019466A">
        <w:rPr>
          <w:rFonts w:cs="Times New Roman"/>
          <w:bCs/>
          <w:color w:val="000000"/>
          <w:sz w:val="20"/>
          <w:szCs w:val="20"/>
          <w:shd w:val="clear" w:color="auto" w:fill="FFFFFF"/>
          <w:lang w:val="en-US"/>
        </w:rPr>
        <w:t>793103</w:t>
      </w:r>
    </w:p>
    <w:p w14:paraId="64C076BD" w14:textId="19425179" w:rsidR="0019466A" w:rsidRPr="00993B9F" w:rsidRDefault="0019466A" w:rsidP="0019466A">
      <w:pPr>
        <w:spacing w:after="0"/>
        <w:rPr>
          <w:rFonts w:cs="Times New Roman"/>
          <w:bCs/>
          <w:color w:val="000000"/>
          <w:sz w:val="20"/>
          <w:szCs w:val="20"/>
          <w:shd w:val="clear" w:color="auto" w:fill="FFFFFF"/>
          <w:lang w:val="en-US"/>
        </w:rPr>
      </w:pPr>
      <w:r w:rsidRPr="0019466A">
        <w:rPr>
          <w:rFonts w:cs="Times New Roman"/>
          <w:bCs/>
          <w:color w:val="000000"/>
          <w:sz w:val="20"/>
          <w:szCs w:val="20"/>
          <w:shd w:val="clear" w:color="auto" w:fill="FFFFFF"/>
          <w:vertAlign w:val="superscript"/>
          <w:lang w:val="en-US"/>
        </w:rPr>
        <w:t>5</w:t>
      </w:r>
      <w:r>
        <w:rPr>
          <w:rFonts w:cs="Times New Roman"/>
          <w:bCs/>
          <w:color w:val="000000"/>
          <w:sz w:val="20"/>
          <w:szCs w:val="20"/>
          <w:shd w:val="clear" w:color="auto" w:fill="FFFFFF"/>
          <w:lang w:val="en-US"/>
        </w:rPr>
        <w:t>ICAR-Indian Agricultural Research Institute(IARI), New Delhi, India-110012</w:t>
      </w:r>
    </w:p>
    <w:p w14:paraId="453EDDA8" w14:textId="62AE8BB2" w:rsidR="000744C1" w:rsidRDefault="000744C1" w:rsidP="000744C1">
      <w:pPr>
        <w:jc w:val="center"/>
        <w:rPr>
          <w:rFonts w:cs="Times New Roman"/>
          <w:b/>
          <w:bCs/>
          <w:color w:val="000000"/>
          <w:szCs w:val="24"/>
          <w:shd w:val="clear" w:color="auto" w:fill="FFFFFF"/>
          <w:lang w:val="en-US"/>
        </w:rPr>
      </w:pPr>
      <w:r>
        <w:rPr>
          <w:rFonts w:cs="Times New Roman"/>
          <w:b/>
          <w:bCs/>
          <w:color w:val="000000"/>
          <w:szCs w:val="24"/>
          <w:shd w:val="clear" w:color="auto" w:fill="FFFFFF"/>
          <w:lang w:val="en-US"/>
        </w:rPr>
        <w:t>Abstract</w:t>
      </w:r>
    </w:p>
    <w:p w14:paraId="23F8558A" w14:textId="753AB47A" w:rsidR="002B3D82" w:rsidRDefault="00D366CD" w:rsidP="002B3D82">
      <w:pPr>
        <w:spacing w:line="360" w:lineRule="auto"/>
        <w:jc w:val="both"/>
        <w:rPr>
          <w:rFonts w:cs="Times New Roman"/>
          <w:szCs w:val="24"/>
        </w:rPr>
      </w:pPr>
      <w:r w:rsidRPr="00D366CD">
        <w:rPr>
          <w:rFonts w:cs="Times New Roman"/>
          <w:szCs w:val="24"/>
        </w:rPr>
        <w:t>Organic agriculture is an eco-friendly sustainable agricultural production system that enhances multiple ecosystem services.</w:t>
      </w:r>
      <w:r>
        <w:rPr>
          <w:rFonts w:cs="Times New Roman"/>
          <w:szCs w:val="24"/>
        </w:rPr>
        <w:t xml:space="preserve"> </w:t>
      </w:r>
      <w:r w:rsidR="000744C1" w:rsidRPr="001D207F">
        <w:rPr>
          <w:rFonts w:cs="Times New Roman"/>
          <w:szCs w:val="24"/>
        </w:rPr>
        <w:t xml:space="preserve">Globally, India is the fourth largest country in terms of area under </w:t>
      </w:r>
      <w:r w:rsidR="000744C1">
        <w:rPr>
          <w:rFonts w:cs="Times New Roman"/>
          <w:szCs w:val="24"/>
        </w:rPr>
        <w:t>o</w:t>
      </w:r>
      <w:r w:rsidR="000744C1" w:rsidRPr="001D207F">
        <w:rPr>
          <w:rFonts w:cs="Times New Roman"/>
          <w:szCs w:val="24"/>
        </w:rPr>
        <w:t xml:space="preserve">rganic agricultural land. </w:t>
      </w:r>
      <w:r w:rsidR="00936288">
        <w:rPr>
          <w:rFonts w:cs="Times New Roman"/>
          <w:szCs w:val="24"/>
        </w:rPr>
        <w:t xml:space="preserve">This chapter </w:t>
      </w:r>
      <w:proofErr w:type="spellStart"/>
      <w:r w:rsidR="00936288" w:rsidRPr="00936288">
        <w:rPr>
          <w:rFonts w:cs="Times New Roman"/>
          <w:szCs w:val="24"/>
        </w:rPr>
        <w:t>analyzes</w:t>
      </w:r>
      <w:proofErr w:type="spellEnd"/>
      <w:r w:rsidR="00936288">
        <w:rPr>
          <w:rFonts w:cs="Times New Roman"/>
          <w:szCs w:val="24"/>
        </w:rPr>
        <w:t xml:space="preserve"> the t</w:t>
      </w:r>
      <w:r w:rsidR="00652D0F">
        <w:rPr>
          <w:rFonts w:cs="Times New Roman"/>
          <w:szCs w:val="24"/>
        </w:rPr>
        <w:t>rends in</w:t>
      </w:r>
      <w:r w:rsidR="000744C1" w:rsidRPr="00D366CD">
        <w:rPr>
          <w:rFonts w:cs="Times New Roman"/>
          <w:szCs w:val="24"/>
        </w:rPr>
        <w:t xml:space="preserve"> area, production, and trade scenario of organic agriculture</w:t>
      </w:r>
      <w:r w:rsidR="00652D0F" w:rsidRPr="00D366CD">
        <w:rPr>
          <w:rFonts w:cs="Times New Roman"/>
          <w:szCs w:val="24"/>
        </w:rPr>
        <w:t xml:space="preserve"> </w:t>
      </w:r>
      <w:r w:rsidR="00936288" w:rsidRPr="00D366CD">
        <w:rPr>
          <w:rFonts w:cs="Times New Roman"/>
          <w:szCs w:val="24"/>
        </w:rPr>
        <w:t>in India</w:t>
      </w:r>
      <w:r w:rsidR="002B1719" w:rsidRPr="00D366CD">
        <w:rPr>
          <w:rFonts w:cs="Times New Roman"/>
          <w:szCs w:val="24"/>
        </w:rPr>
        <w:t>.</w:t>
      </w:r>
      <w:r w:rsidR="002B3D82" w:rsidRPr="00D366CD">
        <w:rPr>
          <w:rFonts w:cs="Times New Roman"/>
          <w:szCs w:val="24"/>
        </w:rPr>
        <w:t xml:space="preserve"> Global scenario and </w:t>
      </w:r>
      <w:r w:rsidR="00911E4A">
        <w:rPr>
          <w:rFonts w:cs="Times New Roman"/>
          <w:szCs w:val="24"/>
        </w:rPr>
        <w:t>i</w:t>
      </w:r>
      <w:r w:rsidR="00DB3119" w:rsidRPr="00D366CD">
        <w:rPr>
          <w:rFonts w:cs="Times New Roman"/>
          <w:szCs w:val="24"/>
        </w:rPr>
        <w:t xml:space="preserve">ntercountry comparison has been attempted to </w:t>
      </w:r>
      <w:r w:rsidR="002B1719" w:rsidRPr="00D366CD">
        <w:rPr>
          <w:rFonts w:cs="Times New Roman"/>
          <w:szCs w:val="24"/>
        </w:rPr>
        <w:t>capture the</w:t>
      </w:r>
      <w:r w:rsidR="00DB3119" w:rsidRPr="00D366CD">
        <w:rPr>
          <w:rFonts w:cs="Times New Roman"/>
          <w:szCs w:val="24"/>
        </w:rPr>
        <w:t xml:space="preserve"> </w:t>
      </w:r>
      <w:r w:rsidR="002B3D82" w:rsidRPr="00D366CD">
        <w:rPr>
          <w:rFonts w:cs="Times New Roman"/>
          <w:szCs w:val="24"/>
        </w:rPr>
        <w:t>organic agriculture</w:t>
      </w:r>
      <w:r w:rsidR="002B3D82">
        <w:t xml:space="preserve"> </w:t>
      </w:r>
      <w:r w:rsidR="00DB3119">
        <w:t xml:space="preserve">contribution </w:t>
      </w:r>
      <w:r w:rsidR="002B3D82">
        <w:t xml:space="preserve">to </w:t>
      </w:r>
      <w:r w:rsidR="00936288">
        <w:t xml:space="preserve">both </w:t>
      </w:r>
      <w:r w:rsidR="00DB3119">
        <w:t xml:space="preserve">global and national food security. </w:t>
      </w:r>
      <w:r w:rsidR="002B3D82">
        <w:t>Further</w:t>
      </w:r>
      <w:r w:rsidR="00936288">
        <w:t>more</w:t>
      </w:r>
      <w:r w:rsidR="002B3D82">
        <w:t>, regional disparity, key challenges</w:t>
      </w:r>
      <w:r w:rsidR="00BD2752">
        <w:t>,</w:t>
      </w:r>
      <w:r w:rsidR="002B3D82">
        <w:t xml:space="preserve"> and future prospects</w:t>
      </w:r>
      <w:r w:rsidR="002908CC">
        <w:t xml:space="preserve"> of organic agriculture</w:t>
      </w:r>
      <w:r w:rsidR="002B3D82">
        <w:t xml:space="preserve"> were also briefed.</w:t>
      </w:r>
      <w:r w:rsidR="002B3D82" w:rsidRPr="002B3D82">
        <w:rPr>
          <w:rFonts w:cs="Times New Roman"/>
          <w:szCs w:val="24"/>
        </w:rPr>
        <w:t xml:space="preserve"> </w:t>
      </w:r>
      <w:r w:rsidR="002B3D82" w:rsidRPr="001D207F">
        <w:rPr>
          <w:rFonts w:cs="Times New Roman"/>
          <w:szCs w:val="24"/>
        </w:rPr>
        <w:t xml:space="preserve">The chapter concludes with possible strategies to strengthen organic agriculture to address climate change and </w:t>
      </w:r>
      <w:r w:rsidR="00BD2752">
        <w:rPr>
          <w:rFonts w:cs="Times New Roman"/>
          <w:szCs w:val="24"/>
        </w:rPr>
        <w:t>ensure</w:t>
      </w:r>
      <w:r w:rsidR="002B3D82" w:rsidRPr="001D207F">
        <w:rPr>
          <w:rFonts w:cs="Times New Roman"/>
          <w:szCs w:val="24"/>
        </w:rPr>
        <w:t xml:space="preserve"> </w:t>
      </w:r>
      <w:r w:rsidR="00BD2752">
        <w:rPr>
          <w:rFonts w:cs="Times New Roman"/>
          <w:szCs w:val="24"/>
        </w:rPr>
        <w:t xml:space="preserve">the </w:t>
      </w:r>
      <w:r w:rsidR="002B3D82" w:rsidRPr="001D207F">
        <w:rPr>
          <w:rFonts w:cs="Times New Roman"/>
          <w:szCs w:val="24"/>
        </w:rPr>
        <w:t>food security of the nation</w:t>
      </w:r>
      <w:r w:rsidR="002908CC">
        <w:rPr>
          <w:rFonts w:cs="Times New Roman"/>
          <w:szCs w:val="24"/>
        </w:rPr>
        <w:t>.</w:t>
      </w:r>
    </w:p>
    <w:p w14:paraId="1C4F351F" w14:textId="6EB31ACF" w:rsidR="000744C1" w:rsidRDefault="002B3D82" w:rsidP="002B3D82">
      <w:pPr>
        <w:spacing w:line="360" w:lineRule="auto"/>
        <w:jc w:val="both"/>
        <w:rPr>
          <w:rFonts w:cs="Times New Roman"/>
          <w:szCs w:val="24"/>
          <w:lang w:val="en-US"/>
        </w:rPr>
      </w:pPr>
      <w:r>
        <w:t xml:space="preserve">  </w:t>
      </w:r>
      <w:r w:rsidR="00DB3119">
        <w:t xml:space="preserve">  </w:t>
      </w:r>
      <w:r w:rsidR="000744C1" w:rsidRPr="00C33A3A">
        <w:rPr>
          <w:rFonts w:cs="Times New Roman"/>
          <w:i/>
          <w:szCs w:val="24"/>
          <w:lang w:val="en-US"/>
        </w:rPr>
        <w:t>Keywords;</w:t>
      </w:r>
      <w:r w:rsidR="000744C1">
        <w:rPr>
          <w:rFonts w:cs="Times New Roman"/>
          <w:szCs w:val="24"/>
          <w:lang w:val="en-US"/>
        </w:rPr>
        <w:t xml:space="preserve"> organic agriculture, production, trade, trends, India</w:t>
      </w:r>
    </w:p>
    <w:p w14:paraId="2D267B3B" w14:textId="6FF2A65F" w:rsidR="000744C1" w:rsidRDefault="007005EA" w:rsidP="000744C1">
      <w:pPr>
        <w:rPr>
          <w:rFonts w:cs="Times New Roman"/>
          <w:b/>
          <w:szCs w:val="24"/>
        </w:rPr>
      </w:pPr>
      <w:r>
        <w:rPr>
          <w:rFonts w:cs="Times New Roman"/>
          <w:b/>
          <w:szCs w:val="24"/>
        </w:rPr>
        <w:t xml:space="preserve">1. </w:t>
      </w:r>
      <w:r w:rsidR="000744C1">
        <w:rPr>
          <w:rFonts w:cs="Times New Roman"/>
          <w:b/>
          <w:szCs w:val="24"/>
        </w:rPr>
        <w:t>Introduction</w:t>
      </w:r>
    </w:p>
    <w:p w14:paraId="25312300" w14:textId="2410D8F0" w:rsidR="009731C5" w:rsidRPr="009731C5" w:rsidRDefault="004B3361" w:rsidP="009731C5">
      <w:pPr>
        <w:spacing w:line="360" w:lineRule="auto"/>
        <w:ind w:firstLine="720"/>
        <w:jc w:val="both"/>
        <w:rPr>
          <w:rFonts w:cs="Times New Roman"/>
          <w:szCs w:val="24"/>
        </w:rPr>
      </w:pPr>
      <w:r>
        <w:rPr>
          <w:rFonts w:cs="Times New Roman"/>
          <w:szCs w:val="24"/>
        </w:rPr>
        <w:t xml:space="preserve">The </w:t>
      </w:r>
      <w:r w:rsidR="00BD2752">
        <w:rPr>
          <w:rFonts w:cs="Times New Roman"/>
          <w:szCs w:val="24"/>
        </w:rPr>
        <w:t>increasing</w:t>
      </w:r>
      <w:r>
        <w:rPr>
          <w:rFonts w:cs="Times New Roman"/>
          <w:szCs w:val="24"/>
        </w:rPr>
        <w:t xml:space="preserve"> awareness and demand for quality food have </w:t>
      </w:r>
      <w:r w:rsidR="00E752AF">
        <w:rPr>
          <w:rFonts w:cs="Times New Roman"/>
          <w:szCs w:val="24"/>
        </w:rPr>
        <w:t>transformed</w:t>
      </w:r>
      <w:r>
        <w:rPr>
          <w:rFonts w:cs="Times New Roman"/>
          <w:szCs w:val="24"/>
        </w:rPr>
        <w:t xml:space="preserve"> agriculture into a more dynamic sector in the recent past.</w:t>
      </w:r>
      <w:r w:rsidR="00490E6F">
        <w:rPr>
          <w:rFonts w:cs="Times New Roman"/>
          <w:szCs w:val="24"/>
        </w:rPr>
        <w:t xml:space="preserve"> </w:t>
      </w:r>
      <w:r w:rsidR="00BD2752">
        <w:rPr>
          <w:rFonts w:cs="Times New Roman"/>
          <w:szCs w:val="24"/>
        </w:rPr>
        <w:t xml:space="preserve"> </w:t>
      </w:r>
      <w:r w:rsidR="00490E6F">
        <w:rPr>
          <w:rFonts w:cs="Times New Roman"/>
          <w:szCs w:val="24"/>
        </w:rPr>
        <w:t xml:space="preserve">However, agriculture </w:t>
      </w:r>
      <w:r w:rsidR="00BD2752">
        <w:rPr>
          <w:rFonts w:cs="Times New Roman"/>
          <w:szCs w:val="24"/>
        </w:rPr>
        <w:t>is currently facing two critical challenges of</w:t>
      </w:r>
      <w:r w:rsidR="00490E6F">
        <w:rPr>
          <w:rFonts w:cs="Times New Roman"/>
          <w:szCs w:val="24"/>
        </w:rPr>
        <w:t xml:space="preserve"> </w:t>
      </w:r>
      <w:r w:rsidR="00F97EFF" w:rsidRPr="00490E6F">
        <w:rPr>
          <w:rFonts w:cs="Times New Roman"/>
          <w:szCs w:val="24"/>
        </w:rPr>
        <w:t xml:space="preserve">maintaining and enhancing </w:t>
      </w:r>
      <w:r w:rsidR="00BD2752">
        <w:rPr>
          <w:rFonts w:cs="Times New Roman"/>
          <w:szCs w:val="24"/>
        </w:rPr>
        <w:t xml:space="preserve">the </w:t>
      </w:r>
      <w:r w:rsidR="00F97EFF" w:rsidRPr="00490E6F">
        <w:rPr>
          <w:rFonts w:cs="Times New Roman"/>
          <w:szCs w:val="24"/>
        </w:rPr>
        <w:t xml:space="preserve">productivity of agricultural systems </w:t>
      </w:r>
      <w:r w:rsidR="00BD2752">
        <w:rPr>
          <w:rFonts w:cs="Times New Roman"/>
          <w:szCs w:val="24"/>
        </w:rPr>
        <w:t>while</w:t>
      </w:r>
      <w:r w:rsidR="00F97EFF" w:rsidRPr="00490E6F">
        <w:rPr>
          <w:rFonts w:cs="Times New Roman"/>
          <w:szCs w:val="24"/>
        </w:rPr>
        <w:t xml:space="preserve"> sustaining natural resources</w:t>
      </w:r>
      <w:r w:rsidR="00F97EFF">
        <w:rPr>
          <w:rFonts w:cs="Times New Roman"/>
          <w:szCs w:val="24"/>
        </w:rPr>
        <w:t xml:space="preserve"> </w:t>
      </w:r>
      <w:r w:rsidR="00BD2752">
        <w:rPr>
          <w:rFonts w:cs="Times New Roman"/>
          <w:szCs w:val="24"/>
        </w:rPr>
        <w:t>(</w:t>
      </w:r>
      <w:r w:rsidR="00BD2752">
        <w:t>FAO, 2017).</w:t>
      </w:r>
      <w:r w:rsidR="00BD2752">
        <w:rPr>
          <w:rFonts w:cs="Times New Roman"/>
          <w:szCs w:val="24"/>
        </w:rPr>
        <w:t xml:space="preserve"> </w:t>
      </w:r>
      <w:r w:rsidR="0050591B">
        <w:rPr>
          <w:rFonts w:cs="Times New Roman"/>
          <w:szCs w:val="24"/>
        </w:rPr>
        <w:t>Although m</w:t>
      </w:r>
      <w:r w:rsidR="00490E6F">
        <w:rPr>
          <w:rFonts w:cs="Times New Roman"/>
          <w:szCs w:val="24"/>
        </w:rPr>
        <w:t xml:space="preserve">odern agricultural practices </w:t>
      </w:r>
      <w:r w:rsidR="0050591B">
        <w:rPr>
          <w:rFonts w:cs="Times New Roman"/>
          <w:szCs w:val="24"/>
        </w:rPr>
        <w:t xml:space="preserve">significantly </w:t>
      </w:r>
      <w:r w:rsidR="00BD2752">
        <w:rPr>
          <w:rFonts w:cs="Times New Roman"/>
          <w:szCs w:val="24"/>
        </w:rPr>
        <w:t>contributed</w:t>
      </w:r>
      <w:r w:rsidR="0050591B">
        <w:rPr>
          <w:rFonts w:cs="Times New Roman"/>
          <w:szCs w:val="24"/>
        </w:rPr>
        <w:t xml:space="preserve"> to </w:t>
      </w:r>
      <w:r w:rsidR="00490E6F">
        <w:rPr>
          <w:rFonts w:cs="Times New Roman"/>
          <w:szCs w:val="24"/>
        </w:rPr>
        <w:t>food security</w:t>
      </w:r>
      <w:r w:rsidR="00BD2752">
        <w:rPr>
          <w:rFonts w:cs="Times New Roman"/>
          <w:szCs w:val="24"/>
        </w:rPr>
        <w:t>, they have</w:t>
      </w:r>
      <w:r w:rsidR="00490E6F">
        <w:rPr>
          <w:rFonts w:cs="Times New Roman"/>
          <w:szCs w:val="24"/>
        </w:rPr>
        <w:t xml:space="preserve"> </w:t>
      </w:r>
      <w:r w:rsidR="00BD2752">
        <w:rPr>
          <w:rFonts w:cs="Times New Roman"/>
          <w:szCs w:val="24"/>
        </w:rPr>
        <w:t>also resulted in</w:t>
      </w:r>
      <w:r w:rsidR="00F97EFF">
        <w:rPr>
          <w:rFonts w:cs="Times New Roman"/>
          <w:szCs w:val="24"/>
        </w:rPr>
        <w:t xml:space="preserve"> higher social and ecological externalities</w:t>
      </w:r>
      <w:r w:rsidR="00BD2752">
        <w:rPr>
          <w:rFonts w:cs="Times New Roman"/>
          <w:szCs w:val="24"/>
        </w:rPr>
        <w:t xml:space="preserve"> </w:t>
      </w:r>
      <w:r w:rsidR="00BD2752">
        <w:t>(</w:t>
      </w:r>
      <w:r w:rsidR="00BD2752" w:rsidRPr="001F6F3E">
        <w:rPr>
          <w:rFonts w:cs="Times New Roman"/>
          <w:szCs w:val="24"/>
        </w:rPr>
        <w:t>Hazell</w:t>
      </w:r>
      <w:r w:rsidR="00BD2752">
        <w:rPr>
          <w:rFonts w:cs="Times New Roman"/>
          <w:szCs w:val="24"/>
        </w:rPr>
        <w:t xml:space="preserve"> and Wood, 2008)</w:t>
      </w:r>
      <w:r w:rsidR="00F97EFF">
        <w:t>.</w:t>
      </w:r>
      <w:r w:rsidR="00F97EFF">
        <w:rPr>
          <w:rFonts w:cs="Times New Roman"/>
          <w:szCs w:val="24"/>
        </w:rPr>
        <w:t xml:space="preserve"> </w:t>
      </w:r>
      <w:r w:rsidR="00BD2752">
        <w:rPr>
          <w:rFonts w:cs="Times New Roman"/>
          <w:szCs w:val="24"/>
        </w:rPr>
        <w:t xml:space="preserve"> </w:t>
      </w:r>
      <w:r w:rsidR="00E427B1">
        <w:rPr>
          <w:rFonts w:cs="Times New Roman"/>
          <w:szCs w:val="24"/>
        </w:rPr>
        <w:t xml:space="preserve">The irrational use of chemical inputs </w:t>
      </w:r>
      <w:r w:rsidR="00BD2752">
        <w:rPr>
          <w:rFonts w:cs="Times New Roman"/>
          <w:szCs w:val="24"/>
        </w:rPr>
        <w:t xml:space="preserve">has led </w:t>
      </w:r>
      <w:r w:rsidR="00E427B1">
        <w:rPr>
          <w:rFonts w:cs="Times New Roman"/>
          <w:szCs w:val="24"/>
        </w:rPr>
        <w:t xml:space="preserve">to the degradation of natural resources, higher emission of greenhouse gases, water scarcity, and </w:t>
      </w:r>
      <w:r w:rsidR="00E427B1" w:rsidRPr="00E427B1">
        <w:rPr>
          <w:rFonts w:cs="Times New Roman"/>
          <w:szCs w:val="24"/>
        </w:rPr>
        <w:t xml:space="preserve">deterioration </w:t>
      </w:r>
      <w:r w:rsidR="00E427B1">
        <w:rPr>
          <w:rFonts w:cs="Times New Roman"/>
          <w:szCs w:val="24"/>
        </w:rPr>
        <w:t xml:space="preserve">of soil </w:t>
      </w:r>
      <w:r w:rsidR="00B54F14">
        <w:rPr>
          <w:rFonts w:cs="Times New Roman"/>
          <w:szCs w:val="24"/>
        </w:rPr>
        <w:t xml:space="preserve">health </w:t>
      </w:r>
      <w:r w:rsidR="00BD2752">
        <w:rPr>
          <w:rFonts w:cs="Times New Roman"/>
          <w:szCs w:val="24"/>
        </w:rPr>
        <w:t>(</w:t>
      </w:r>
      <w:proofErr w:type="spellStart"/>
      <w:r w:rsidR="00BD2752">
        <w:t>Godfray</w:t>
      </w:r>
      <w:proofErr w:type="spellEnd"/>
      <w:r w:rsidR="00BD2752">
        <w:rPr>
          <w:rFonts w:cs="Times New Roman"/>
          <w:szCs w:val="24"/>
        </w:rPr>
        <w:t xml:space="preserve"> </w:t>
      </w:r>
      <w:r w:rsidR="00A44DED">
        <w:rPr>
          <w:rFonts w:cs="Times New Roman"/>
          <w:szCs w:val="24"/>
        </w:rPr>
        <w:t xml:space="preserve">and </w:t>
      </w:r>
      <w:r w:rsidR="00A44DED">
        <w:t>Garnett</w:t>
      </w:r>
      <w:r w:rsidR="00A44DED">
        <w:rPr>
          <w:rFonts w:cs="Times New Roman"/>
          <w:szCs w:val="24"/>
        </w:rPr>
        <w:t xml:space="preserve"> </w:t>
      </w:r>
      <w:r w:rsidR="00BD2752">
        <w:rPr>
          <w:rFonts w:cs="Times New Roman"/>
          <w:szCs w:val="24"/>
        </w:rPr>
        <w:t xml:space="preserve">2014; </w:t>
      </w:r>
      <w:r w:rsidR="00A44DED">
        <w:t>Foley et al. 2011</w:t>
      </w:r>
      <w:r w:rsidR="00BD2752">
        <w:t>;</w:t>
      </w:r>
      <w:r w:rsidR="004B5C81">
        <w:t xml:space="preserve"> Kumara et al. 2020</w:t>
      </w:r>
      <w:r w:rsidR="00911E4A">
        <w:t>;</w:t>
      </w:r>
      <w:r w:rsidR="00911E4A" w:rsidRPr="00911E4A">
        <w:t xml:space="preserve"> </w:t>
      </w:r>
      <w:r w:rsidR="00911E4A">
        <w:t>Kumara et al. 2023)</w:t>
      </w:r>
      <w:r w:rsidR="00B54F14">
        <w:rPr>
          <w:rFonts w:cs="Times New Roman"/>
          <w:szCs w:val="24"/>
        </w:rPr>
        <w:t>.</w:t>
      </w:r>
      <w:r w:rsidR="009731C5">
        <w:rPr>
          <w:rFonts w:cs="Times New Roman"/>
          <w:szCs w:val="24"/>
        </w:rPr>
        <w:t xml:space="preserve"> </w:t>
      </w:r>
      <w:r w:rsidR="00E427B1">
        <w:rPr>
          <w:rFonts w:cs="Times New Roman"/>
          <w:szCs w:val="24"/>
        </w:rPr>
        <w:t xml:space="preserve">These factors together with </w:t>
      </w:r>
      <w:r w:rsidR="009829E5">
        <w:rPr>
          <w:rFonts w:cs="Times New Roman"/>
          <w:szCs w:val="24"/>
        </w:rPr>
        <w:t xml:space="preserve">the </w:t>
      </w:r>
      <w:r w:rsidR="009731C5">
        <w:rPr>
          <w:rFonts w:cs="Times New Roman"/>
          <w:szCs w:val="24"/>
        </w:rPr>
        <w:t xml:space="preserve">impacts of </w:t>
      </w:r>
      <w:r w:rsidR="00E427B1">
        <w:rPr>
          <w:rFonts w:cs="Times New Roman"/>
          <w:szCs w:val="24"/>
        </w:rPr>
        <w:t xml:space="preserve">climate </w:t>
      </w:r>
      <w:r w:rsidR="009731C5">
        <w:rPr>
          <w:rFonts w:cs="Times New Roman"/>
          <w:szCs w:val="24"/>
        </w:rPr>
        <w:t xml:space="preserve">change </w:t>
      </w:r>
      <w:r w:rsidR="00AE14CC">
        <w:rPr>
          <w:rFonts w:cs="Times New Roman"/>
          <w:szCs w:val="24"/>
        </w:rPr>
        <w:t>make</w:t>
      </w:r>
      <w:r w:rsidR="009731C5">
        <w:rPr>
          <w:rFonts w:cs="Times New Roman"/>
          <w:szCs w:val="24"/>
        </w:rPr>
        <w:t xml:space="preserve"> </w:t>
      </w:r>
      <w:r w:rsidR="00AE14CC">
        <w:rPr>
          <w:rFonts w:cs="Times New Roman"/>
          <w:szCs w:val="24"/>
        </w:rPr>
        <w:t xml:space="preserve">it </w:t>
      </w:r>
      <w:r w:rsidR="00E427B1">
        <w:rPr>
          <w:rFonts w:cs="Times New Roman"/>
          <w:szCs w:val="24"/>
        </w:rPr>
        <w:t xml:space="preserve">further difficult to achieve </w:t>
      </w:r>
      <w:r w:rsidR="00E427B1">
        <w:t>sustainable food production</w:t>
      </w:r>
      <w:r w:rsidR="00E427B1">
        <w:rPr>
          <w:rFonts w:cs="Times New Roman"/>
          <w:szCs w:val="24"/>
        </w:rPr>
        <w:t xml:space="preserve"> systems.</w:t>
      </w:r>
      <w:r w:rsidR="009731C5">
        <w:rPr>
          <w:rFonts w:cs="Times New Roman"/>
          <w:szCs w:val="24"/>
        </w:rPr>
        <w:t xml:space="preserve"> </w:t>
      </w:r>
      <w:r w:rsidR="00E427B1">
        <w:rPr>
          <w:rFonts w:cs="Times New Roman"/>
          <w:szCs w:val="24"/>
        </w:rPr>
        <w:t xml:space="preserve">Therefore, </w:t>
      </w:r>
      <w:r w:rsidR="00BA0091">
        <w:rPr>
          <w:rFonts w:cs="Times New Roman"/>
          <w:szCs w:val="24"/>
        </w:rPr>
        <w:t>innovative and ‘</w:t>
      </w:r>
      <w:r w:rsidR="00BA0091">
        <w:t xml:space="preserve">holistic’ farming system approaches </w:t>
      </w:r>
      <w:r w:rsidR="009731C5">
        <w:t>are crucial</w:t>
      </w:r>
      <w:r w:rsidR="00BA0091">
        <w:t xml:space="preserve"> to protect the environment while </w:t>
      </w:r>
      <w:r w:rsidR="009731C5" w:rsidRPr="00BD2752">
        <w:rPr>
          <w:szCs w:val="24"/>
          <w:shd w:val="clear" w:color="auto" w:fill="FFFFFF"/>
        </w:rPr>
        <w:t>simultaneously</w:t>
      </w:r>
      <w:r w:rsidR="009731C5">
        <w:t xml:space="preserve"> </w:t>
      </w:r>
      <w:r w:rsidR="00BA0091">
        <w:t xml:space="preserve">increasing productivity. </w:t>
      </w:r>
    </w:p>
    <w:p w14:paraId="73CED060" w14:textId="0169C1C5" w:rsidR="00855CD7" w:rsidRPr="00D11234" w:rsidRDefault="00DF21B3" w:rsidP="00D11234">
      <w:pPr>
        <w:spacing w:line="360" w:lineRule="auto"/>
        <w:ind w:firstLine="720"/>
        <w:jc w:val="both"/>
        <w:rPr>
          <w:szCs w:val="24"/>
        </w:rPr>
      </w:pPr>
      <w:r w:rsidRPr="004B3361">
        <w:rPr>
          <w:szCs w:val="24"/>
        </w:rPr>
        <w:t>Organic F</w:t>
      </w:r>
      <w:r w:rsidR="00160267" w:rsidRPr="004B3361">
        <w:rPr>
          <w:szCs w:val="24"/>
        </w:rPr>
        <w:t xml:space="preserve">arming </w:t>
      </w:r>
      <w:r w:rsidRPr="004B3361">
        <w:rPr>
          <w:szCs w:val="24"/>
        </w:rPr>
        <w:t xml:space="preserve">is widely recognized as </w:t>
      </w:r>
      <w:r w:rsidRPr="009731C5">
        <w:rPr>
          <w:szCs w:val="24"/>
        </w:rPr>
        <w:t>a sustainable production system that supports the environment and enhances ecosystem services</w:t>
      </w:r>
      <w:r w:rsidRPr="004B3361">
        <w:rPr>
          <w:szCs w:val="24"/>
        </w:rPr>
        <w:t xml:space="preserve">. </w:t>
      </w:r>
      <w:r w:rsidR="00BA0091">
        <w:rPr>
          <w:szCs w:val="24"/>
        </w:rPr>
        <w:t>These</w:t>
      </w:r>
      <w:r w:rsidRPr="004B3361">
        <w:rPr>
          <w:szCs w:val="24"/>
        </w:rPr>
        <w:t xml:space="preserve"> </w:t>
      </w:r>
      <w:r w:rsidR="009731C5">
        <w:rPr>
          <w:szCs w:val="24"/>
        </w:rPr>
        <w:t xml:space="preserve">farming </w:t>
      </w:r>
      <w:r w:rsidRPr="004B3361">
        <w:rPr>
          <w:szCs w:val="24"/>
        </w:rPr>
        <w:t xml:space="preserve">systems are formulated </w:t>
      </w:r>
      <w:r w:rsidR="009731C5">
        <w:rPr>
          <w:szCs w:val="24"/>
        </w:rPr>
        <w:t>to increase</w:t>
      </w:r>
      <w:r w:rsidRPr="004B3361">
        <w:rPr>
          <w:szCs w:val="24"/>
        </w:rPr>
        <w:t xml:space="preserve"> food </w:t>
      </w:r>
      <w:r w:rsidR="00BA0091">
        <w:rPr>
          <w:szCs w:val="24"/>
        </w:rPr>
        <w:t>production</w:t>
      </w:r>
      <w:r w:rsidRPr="004B3361">
        <w:rPr>
          <w:szCs w:val="24"/>
        </w:rPr>
        <w:t xml:space="preserve"> without </w:t>
      </w:r>
      <w:r w:rsidR="009731C5">
        <w:rPr>
          <w:szCs w:val="24"/>
          <w:shd w:val="clear" w:color="auto" w:fill="FFFFFF"/>
        </w:rPr>
        <w:t>disturbing</w:t>
      </w:r>
      <w:r w:rsidRPr="004B3361">
        <w:rPr>
          <w:szCs w:val="24"/>
        </w:rPr>
        <w:t xml:space="preserve"> </w:t>
      </w:r>
      <w:r w:rsidR="009731C5">
        <w:rPr>
          <w:szCs w:val="24"/>
        </w:rPr>
        <w:t xml:space="preserve">the </w:t>
      </w:r>
      <w:proofErr w:type="spellStart"/>
      <w:r w:rsidR="009731C5">
        <w:rPr>
          <w:szCs w:val="24"/>
        </w:rPr>
        <w:t>agroecological</w:t>
      </w:r>
      <w:proofErr w:type="spellEnd"/>
      <w:r w:rsidRPr="004B3361">
        <w:rPr>
          <w:szCs w:val="24"/>
        </w:rPr>
        <w:t xml:space="preserve"> balance.</w:t>
      </w:r>
      <w:r w:rsidR="001C3D06" w:rsidRPr="004B3361">
        <w:rPr>
          <w:szCs w:val="24"/>
        </w:rPr>
        <w:t xml:space="preserve"> </w:t>
      </w:r>
      <w:r w:rsidR="00D11234">
        <w:rPr>
          <w:szCs w:val="24"/>
        </w:rPr>
        <w:t xml:space="preserve"> </w:t>
      </w:r>
      <w:r w:rsidR="001C3D06" w:rsidRPr="004B3361">
        <w:rPr>
          <w:szCs w:val="24"/>
        </w:rPr>
        <w:t>Food and</w:t>
      </w:r>
      <w:r w:rsidR="00D11234">
        <w:rPr>
          <w:szCs w:val="24"/>
        </w:rPr>
        <w:t xml:space="preserve"> Agricultural </w:t>
      </w:r>
      <w:r w:rsidR="00D11234">
        <w:rPr>
          <w:szCs w:val="24"/>
        </w:rPr>
        <w:lastRenderedPageBreak/>
        <w:t>Organization (FAO</w:t>
      </w:r>
      <w:r w:rsidR="001C3D06" w:rsidRPr="004B3361">
        <w:rPr>
          <w:szCs w:val="24"/>
        </w:rPr>
        <w:t>)</w:t>
      </w:r>
      <w:r w:rsidR="004B3361">
        <w:rPr>
          <w:szCs w:val="24"/>
        </w:rPr>
        <w:t xml:space="preserve"> defined </w:t>
      </w:r>
      <w:r w:rsidR="004B3361" w:rsidRPr="004B3361">
        <w:rPr>
          <w:szCs w:val="24"/>
        </w:rPr>
        <w:t>Organic</w:t>
      </w:r>
      <w:r w:rsidR="004B3361">
        <w:rPr>
          <w:szCs w:val="24"/>
        </w:rPr>
        <w:t xml:space="preserve"> agriculture </w:t>
      </w:r>
      <w:r w:rsidR="004B3361" w:rsidRPr="004B3361">
        <w:rPr>
          <w:szCs w:val="24"/>
        </w:rPr>
        <w:t>as a</w:t>
      </w:r>
      <w:r w:rsidR="00276DA2" w:rsidRPr="004B3361">
        <w:rPr>
          <w:i/>
          <w:szCs w:val="24"/>
        </w:rPr>
        <w:t xml:space="preserve"> </w:t>
      </w:r>
      <w:r w:rsidR="004B3361" w:rsidRPr="00B54F14">
        <w:rPr>
          <w:szCs w:val="24"/>
        </w:rPr>
        <w:t>‘</w:t>
      </w:r>
      <w:r w:rsidR="00276DA2" w:rsidRPr="00B54F14">
        <w:rPr>
          <w:szCs w:val="24"/>
        </w:rPr>
        <w:t xml:space="preserve">holistic production management system which promotes and enhances agro-ecosystem health, including biodiversity, biological cycles, and soil biological </w:t>
      </w:r>
      <w:r w:rsidR="00B54F14">
        <w:rPr>
          <w:szCs w:val="24"/>
        </w:rPr>
        <w:t>activity</w:t>
      </w:r>
      <w:r w:rsidR="00A00661">
        <w:rPr>
          <w:szCs w:val="24"/>
        </w:rPr>
        <w:t xml:space="preserve"> </w:t>
      </w:r>
      <w:r w:rsidR="00D11234">
        <w:rPr>
          <w:szCs w:val="24"/>
        </w:rPr>
        <w:t>(</w:t>
      </w:r>
      <w:r w:rsidR="00D11234">
        <w:t>FAO</w:t>
      </w:r>
      <w:r w:rsidR="00D11234">
        <w:rPr>
          <w:rFonts w:cs="Times New Roman"/>
          <w:szCs w:val="24"/>
        </w:rPr>
        <w:t>, 1999)</w:t>
      </w:r>
      <w:r w:rsidR="00276DA2" w:rsidRPr="004B3361">
        <w:rPr>
          <w:szCs w:val="24"/>
        </w:rPr>
        <w:t>.</w:t>
      </w:r>
      <w:r w:rsidR="00B54F14">
        <w:rPr>
          <w:szCs w:val="24"/>
        </w:rPr>
        <w:t xml:space="preserve"> </w:t>
      </w:r>
      <w:r w:rsidR="00D11234">
        <w:rPr>
          <w:szCs w:val="24"/>
        </w:rPr>
        <w:t xml:space="preserve"> </w:t>
      </w:r>
      <w:r w:rsidR="00D11234">
        <w:rPr>
          <w:szCs w:val="24"/>
          <w:shd w:val="clear" w:color="auto" w:fill="FFFFFF"/>
        </w:rPr>
        <w:t>Similarly,</w:t>
      </w:r>
      <w:r w:rsidR="004B3361" w:rsidRPr="004B3361">
        <w:rPr>
          <w:i/>
          <w:szCs w:val="24"/>
        </w:rPr>
        <w:t xml:space="preserve"> </w:t>
      </w:r>
      <w:r w:rsidR="00D11234" w:rsidRPr="00D11234">
        <w:rPr>
          <w:szCs w:val="24"/>
        </w:rPr>
        <w:t>the</w:t>
      </w:r>
      <w:r w:rsidR="00D11234">
        <w:rPr>
          <w:i/>
          <w:szCs w:val="24"/>
        </w:rPr>
        <w:t xml:space="preserve"> </w:t>
      </w:r>
      <w:r w:rsidR="00276DA2" w:rsidRPr="004B3361">
        <w:rPr>
          <w:szCs w:val="24"/>
          <w:shd w:val="clear" w:color="auto" w:fill="FFFFFF"/>
        </w:rPr>
        <w:t xml:space="preserve">International </w:t>
      </w:r>
      <w:r w:rsidR="004B3361" w:rsidRPr="004B3361">
        <w:rPr>
          <w:szCs w:val="24"/>
          <w:shd w:val="clear" w:color="auto" w:fill="FFFFFF"/>
        </w:rPr>
        <w:t>Federation of</w:t>
      </w:r>
      <w:r w:rsidR="00276DA2" w:rsidRPr="004B3361">
        <w:rPr>
          <w:szCs w:val="24"/>
          <w:shd w:val="clear" w:color="auto" w:fill="FFFFFF"/>
        </w:rPr>
        <w:t xml:space="preserve"> Organic Agriculture Movements (IFOAM)</w:t>
      </w:r>
      <w:r w:rsidR="004B3361" w:rsidRPr="004B3361">
        <w:rPr>
          <w:szCs w:val="24"/>
          <w:shd w:val="clear" w:color="auto" w:fill="FFFFFF"/>
        </w:rPr>
        <w:t xml:space="preserve"> defined organic agriculture as a ‘production system that sustains the health of soils, ecosystems</w:t>
      </w:r>
      <w:r w:rsidR="004B3361">
        <w:rPr>
          <w:szCs w:val="24"/>
          <w:shd w:val="clear" w:color="auto" w:fill="FFFFFF"/>
        </w:rPr>
        <w:t>,</w:t>
      </w:r>
      <w:r w:rsidR="004B3361" w:rsidRPr="004B3361">
        <w:rPr>
          <w:szCs w:val="24"/>
          <w:shd w:val="clear" w:color="auto" w:fill="FFFFFF"/>
        </w:rPr>
        <w:t xml:space="preserve"> and people’.</w:t>
      </w:r>
      <w:r w:rsidR="00203D56">
        <w:rPr>
          <w:szCs w:val="24"/>
          <w:shd w:val="clear" w:color="auto" w:fill="FFFFFF"/>
        </w:rPr>
        <w:t xml:space="preserve"> A plethora of empirical </w:t>
      </w:r>
      <w:r w:rsidR="00D11234">
        <w:rPr>
          <w:szCs w:val="24"/>
          <w:shd w:val="clear" w:color="auto" w:fill="FFFFFF"/>
        </w:rPr>
        <w:t>evidence</w:t>
      </w:r>
      <w:r w:rsidR="00203D56">
        <w:rPr>
          <w:szCs w:val="24"/>
          <w:shd w:val="clear" w:color="auto" w:fill="FFFFFF"/>
        </w:rPr>
        <w:t xml:space="preserve"> highlighted the various economic and environmental advantages of organic agriculture over chemical </w:t>
      </w:r>
      <w:r w:rsidR="00957865">
        <w:rPr>
          <w:szCs w:val="24"/>
          <w:shd w:val="clear" w:color="auto" w:fill="FFFFFF"/>
        </w:rPr>
        <w:t xml:space="preserve">farming </w:t>
      </w:r>
      <w:r w:rsidR="00D11234">
        <w:rPr>
          <w:szCs w:val="24"/>
          <w:shd w:val="clear" w:color="auto" w:fill="FFFFFF"/>
        </w:rPr>
        <w:t>(</w:t>
      </w:r>
      <w:r w:rsidR="00D11234" w:rsidRPr="001F6F3E">
        <w:rPr>
          <w:rFonts w:cs="Times New Roman"/>
          <w:szCs w:val="24"/>
        </w:rPr>
        <w:t>Kumara</w:t>
      </w:r>
      <w:r w:rsidR="00D11234">
        <w:rPr>
          <w:rFonts w:cs="Times New Roman"/>
          <w:szCs w:val="24"/>
        </w:rPr>
        <w:t xml:space="preserve"> et al. 2015)</w:t>
      </w:r>
      <w:r w:rsidR="00203D56">
        <w:rPr>
          <w:szCs w:val="24"/>
          <w:shd w:val="clear" w:color="auto" w:fill="FFFFFF"/>
        </w:rPr>
        <w:t xml:space="preserve">.   </w:t>
      </w:r>
      <w:r w:rsidR="008E6F8D">
        <w:rPr>
          <w:szCs w:val="24"/>
          <w:shd w:val="clear" w:color="auto" w:fill="FFFFFF"/>
        </w:rPr>
        <w:t xml:space="preserve"> </w:t>
      </w:r>
    </w:p>
    <w:p w14:paraId="3108B5DD" w14:textId="31A67142" w:rsidR="00A22F65" w:rsidRDefault="00382A3E" w:rsidP="00A22F65">
      <w:pPr>
        <w:spacing w:line="360" w:lineRule="auto"/>
        <w:ind w:firstLine="720"/>
        <w:jc w:val="both"/>
      </w:pPr>
      <w:r>
        <w:rPr>
          <w:szCs w:val="24"/>
          <w:shd w:val="clear" w:color="auto" w:fill="FFFFFF"/>
        </w:rPr>
        <w:t>India has achieved</w:t>
      </w:r>
      <w:r w:rsidR="003D2B84">
        <w:rPr>
          <w:szCs w:val="24"/>
          <w:shd w:val="clear" w:color="auto" w:fill="FFFFFF"/>
        </w:rPr>
        <w:t xml:space="preserve"> remarkable growth in food production </w:t>
      </w:r>
      <w:r w:rsidR="009829E5">
        <w:rPr>
          <w:szCs w:val="24"/>
          <w:shd w:val="clear" w:color="auto" w:fill="FFFFFF"/>
        </w:rPr>
        <w:t>through the</w:t>
      </w:r>
      <w:r w:rsidR="003D2B84">
        <w:rPr>
          <w:szCs w:val="24"/>
          <w:shd w:val="clear" w:color="auto" w:fill="FFFFFF"/>
        </w:rPr>
        <w:t xml:space="preserve"> adoption of green revolution technologies. The </w:t>
      </w:r>
      <w:r w:rsidR="00957D9B">
        <w:rPr>
          <w:szCs w:val="24"/>
          <w:shd w:val="clear" w:color="auto" w:fill="FFFFFF"/>
        </w:rPr>
        <w:t>food grain</w:t>
      </w:r>
      <w:r w:rsidR="003D2B84">
        <w:rPr>
          <w:szCs w:val="24"/>
          <w:shd w:val="clear" w:color="auto" w:fill="FFFFFF"/>
        </w:rPr>
        <w:t xml:space="preserve"> production of the country has increased by</w:t>
      </w:r>
      <w:r w:rsidR="00957D9B">
        <w:rPr>
          <w:szCs w:val="24"/>
          <w:shd w:val="clear" w:color="auto" w:fill="FFFFFF"/>
        </w:rPr>
        <w:t xml:space="preserve"> more than</w:t>
      </w:r>
      <w:r w:rsidR="003D2B84">
        <w:rPr>
          <w:szCs w:val="24"/>
          <w:shd w:val="clear" w:color="auto" w:fill="FFFFFF"/>
        </w:rPr>
        <w:t xml:space="preserve"> six-fold</w:t>
      </w:r>
      <w:r w:rsidR="00957D9B">
        <w:rPr>
          <w:szCs w:val="24"/>
          <w:shd w:val="clear" w:color="auto" w:fill="FFFFFF"/>
        </w:rPr>
        <w:t xml:space="preserve"> to 315 million tonnes compared to the pre-green revolution era</w:t>
      </w:r>
      <w:r w:rsidR="00F86BF5" w:rsidRPr="00F86BF5">
        <w:t xml:space="preserve"> </w:t>
      </w:r>
      <w:r w:rsidR="00F86BF5">
        <w:t>(PIB</w:t>
      </w:r>
      <w:r w:rsidR="00F17534">
        <w:t>, 2022)</w:t>
      </w:r>
      <w:r w:rsidR="00957D9B">
        <w:t xml:space="preserve">. </w:t>
      </w:r>
      <w:r w:rsidR="003722CE">
        <w:t xml:space="preserve">The increase in agricultural productivity was mainly attributed use of external inputs </w:t>
      </w:r>
      <w:r w:rsidR="00F17534">
        <w:t xml:space="preserve">such as </w:t>
      </w:r>
      <w:r w:rsidR="003722CE">
        <w:t xml:space="preserve">fertilizers, pesticides, irrigation, and farm machinery </w:t>
      </w:r>
      <w:r w:rsidR="00A22F65">
        <w:t>(</w:t>
      </w:r>
      <w:r w:rsidR="00E149D3">
        <w:t>Chowdhury</w:t>
      </w:r>
      <w:r w:rsidR="00A22F65">
        <w:t xml:space="preserve"> et al. 2013)</w:t>
      </w:r>
      <w:r w:rsidR="00A22F65">
        <w:rPr>
          <w:rFonts w:cs="Times New Roman"/>
          <w:szCs w:val="24"/>
        </w:rPr>
        <w:t xml:space="preserve">. </w:t>
      </w:r>
      <w:r w:rsidR="002B037C">
        <w:t xml:space="preserve">However, </w:t>
      </w:r>
      <w:r w:rsidR="00A22F65">
        <w:t xml:space="preserve">the </w:t>
      </w:r>
      <w:r w:rsidR="002B037C">
        <w:t xml:space="preserve">indiscriminate use of chemical inputs over the year </w:t>
      </w:r>
      <w:r w:rsidR="00A22F65">
        <w:t>resulted in adverse</w:t>
      </w:r>
      <w:r w:rsidR="002B037C">
        <w:t xml:space="preserve"> health and environmental </w:t>
      </w:r>
      <w:r w:rsidR="00526678">
        <w:t xml:space="preserve">related </w:t>
      </w:r>
      <w:r w:rsidR="00A22F65">
        <w:t xml:space="preserve">problems. </w:t>
      </w:r>
      <w:r w:rsidR="002B037C">
        <w:t>The productivity</w:t>
      </w:r>
      <w:r w:rsidR="00526678">
        <w:t xml:space="preserve"> of major cropping crops such as rice and wheat has declined and or reached the plateau. In addition, the negative impact of climate change further aggravated the situation and create more </w:t>
      </w:r>
      <w:r w:rsidR="00A22F65">
        <w:t>challenges</w:t>
      </w:r>
      <w:r w:rsidR="00526678">
        <w:t xml:space="preserve"> for </w:t>
      </w:r>
      <w:r w:rsidR="00A22F65">
        <w:t xml:space="preserve">the creation of a </w:t>
      </w:r>
      <w:r w:rsidR="00526678">
        <w:t xml:space="preserve">sustainable agricultural production system. </w:t>
      </w:r>
    </w:p>
    <w:p w14:paraId="66F20FE7" w14:textId="541154B7" w:rsidR="00EC5094" w:rsidRDefault="00526678" w:rsidP="003F08D4">
      <w:pPr>
        <w:spacing w:line="360" w:lineRule="auto"/>
        <w:ind w:firstLine="720"/>
        <w:jc w:val="both"/>
      </w:pPr>
      <w:r>
        <w:t>In India, Organic agriculture is not a new concept</w:t>
      </w:r>
      <w:r w:rsidR="00A22F65">
        <w:t>;</w:t>
      </w:r>
      <w:r>
        <w:t xml:space="preserve"> it has been adopted by farming communities since ancient times as a part of traditional farming.</w:t>
      </w:r>
      <w:r w:rsidR="00855CD7">
        <w:t xml:space="preserve"> Realizing the contribution of organic agriculture to ecosystem services and the growing demand </w:t>
      </w:r>
      <w:r w:rsidR="002D2EF0">
        <w:t xml:space="preserve">for </w:t>
      </w:r>
      <w:r w:rsidR="00855CD7">
        <w:t xml:space="preserve">organic products, </w:t>
      </w:r>
      <w:r w:rsidR="00850078">
        <w:t xml:space="preserve">the </w:t>
      </w:r>
      <w:r w:rsidR="00855CD7">
        <w:t xml:space="preserve">Government of India </w:t>
      </w:r>
      <w:r w:rsidR="00850078">
        <w:t xml:space="preserve">had taken several initiatives </w:t>
      </w:r>
      <w:r w:rsidR="002D2EF0">
        <w:t>to promote and</w:t>
      </w:r>
      <w:r w:rsidR="00850078">
        <w:t xml:space="preserve"> upscaling of organic farming practices. A dedicated </w:t>
      </w:r>
      <w:r w:rsidR="00850078" w:rsidRPr="00850078">
        <w:t>National Centre for Organic and Natural Farming</w:t>
      </w:r>
      <w:r w:rsidR="00850078">
        <w:t xml:space="preserve"> was established in the year 2004 to facilitate</w:t>
      </w:r>
      <w:r w:rsidR="00850078" w:rsidRPr="00850078">
        <w:t xml:space="preserve"> </w:t>
      </w:r>
      <w:r w:rsidR="00850078">
        <w:t xml:space="preserve">policy formulation and support various </w:t>
      </w:r>
      <w:r w:rsidR="001406C8">
        <w:t>programs</w:t>
      </w:r>
      <w:r w:rsidR="00850078" w:rsidRPr="00850078">
        <w:t xml:space="preserve"> related to organic farming systems.</w:t>
      </w:r>
      <w:r w:rsidR="00850078">
        <w:t xml:space="preserve"> </w:t>
      </w:r>
    </w:p>
    <w:p w14:paraId="7B29169D" w14:textId="2FC7FCF8" w:rsidR="00692FD2" w:rsidRDefault="007005EA" w:rsidP="00692FD2">
      <w:pPr>
        <w:rPr>
          <w:rFonts w:cs="Times New Roman"/>
          <w:b/>
          <w:bCs/>
        </w:rPr>
      </w:pPr>
      <w:r>
        <w:rPr>
          <w:rFonts w:cs="Times New Roman"/>
          <w:b/>
          <w:bCs/>
        </w:rPr>
        <w:t xml:space="preserve">2. </w:t>
      </w:r>
      <w:r w:rsidR="00692FD2">
        <w:rPr>
          <w:rFonts w:cs="Times New Roman"/>
          <w:b/>
          <w:bCs/>
        </w:rPr>
        <w:t xml:space="preserve">Current status of </w:t>
      </w:r>
      <w:r w:rsidR="009F4B0A">
        <w:rPr>
          <w:rFonts w:cs="Times New Roman"/>
          <w:b/>
          <w:bCs/>
        </w:rPr>
        <w:t>Organic A</w:t>
      </w:r>
      <w:r w:rsidR="00692FD2">
        <w:rPr>
          <w:rFonts w:cs="Times New Roman"/>
          <w:b/>
          <w:bCs/>
        </w:rPr>
        <w:t>griculture in India</w:t>
      </w:r>
    </w:p>
    <w:p w14:paraId="4E825077" w14:textId="26F6396D" w:rsidR="006C5651" w:rsidRDefault="00692FD2" w:rsidP="006C5651">
      <w:pPr>
        <w:spacing w:line="360" w:lineRule="auto"/>
        <w:ind w:firstLine="720"/>
        <w:jc w:val="both"/>
        <w:rPr>
          <w:rFonts w:cs="Times New Roman"/>
          <w:lang w:val="en-GB"/>
        </w:rPr>
      </w:pPr>
      <w:r>
        <w:rPr>
          <w:rFonts w:cs="Times New Roman"/>
          <w:lang w:val="en-GB"/>
        </w:rPr>
        <w:t xml:space="preserve">Data on </w:t>
      </w:r>
      <w:r w:rsidR="00FB369A">
        <w:rPr>
          <w:rFonts w:cs="Times New Roman"/>
          <w:lang w:val="en-GB"/>
        </w:rPr>
        <w:t xml:space="preserve">the </w:t>
      </w:r>
      <w:r>
        <w:rPr>
          <w:rFonts w:cs="Times New Roman"/>
          <w:lang w:val="en-GB"/>
        </w:rPr>
        <w:t>area, production</w:t>
      </w:r>
      <w:r w:rsidR="00F22E05">
        <w:rPr>
          <w:rFonts w:cs="Times New Roman"/>
          <w:lang w:val="en-GB"/>
        </w:rPr>
        <w:t>,</w:t>
      </w:r>
      <w:r>
        <w:rPr>
          <w:rFonts w:cs="Times New Roman"/>
          <w:lang w:val="en-GB"/>
        </w:rPr>
        <w:t xml:space="preserve"> and productivity of organic </w:t>
      </w:r>
      <w:r w:rsidR="00FB369A">
        <w:rPr>
          <w:rFonts w:cs="Times New Roman"/>
          <w:lang w:val="en-GB"/>
        </w:rPr>
        <w:t>farming</w:t>
      </w:r>
      <w:r>
        <w:rPr>
          <w:rFonts w:cs="Times New Roman"/>
          <w:lang w:val="en-GB"/>
        </w:rPr>
        <w:t xml:space="preserve"> were collected from the </w:t>
      </w:r>
      <w:r w:rsidR="007005EA" w:rsidRPr="007005EA">
        <w:rPr>
          <w:rFonts w:cs="Times New Roman"/>
          <w:lang w:val="en-GB"/>
        </w:rPr>
        <w:t xml:space="preserve">Agricultural and Processed Food Products Export Development Authority </w:t>
      </w:r>
      <w:r w:rsidR="007005EA">
        <w:rPr>
          <w:rFonts w:cs="Times New Roman"/>
          <w:lang w:val="en-GB"/>
        </w:rPr>
        <w:t>(</w:t>
      </w:r>
      <w:r>
        <w:rPr>
          <w:rFonts w:cs="Times New Roman"/>
          <w:lang w:val="en-GB"/>
        </w:rPr>
        <w:t>APEDA</w:t>
      </w:r>
      <w:r w:rsidR="007005EA">
        <w:rPr>
          <w:rFonts w:cs="Times New Roman"/>
          <w:lang w:val="en-GB"/>
        </w:rPr>
        <w:t>)</w:t>
      </w:r>
      <w:r>
        <w:rPr>
          <w:rFonts w:cs="Times New Roman"/>
          <w:lang w:val="en-GB"/>
        </w:rPr>
        <w:t xml:space="preserve"> for </w:t>
      </w:r>
      <w:r w:rsidR="00FB369A">
        <w:rPr>
          <w:rFonts w:cs="Times New Roman"/>
          <w:lang w:val="en-GB"/>
        </w:rPr>
        <w:t xml:space="preserve">the period 2012 to 2020, with a focus on </w:t>
      </w:r>
      <w:r>
        <w:rPr>
          <w:rFonts w:cs="Times New Roman"/>
          <w:lang w:val="en-GB"/>
        </w:rPr>
        <w:t xml:space="preserve">drawing policy </w:t>
      </w:r>
      <w:r w:rsidR="00FB369A">
        <w:rPr>
          <w:rFonts w:cs="Times New Roman"/>
          <w:lang w:val="en-GB"/>
        </w:rPr>
        <w:t>inferences</w:t>
      </w:r>
      <w:r>
        <w:rPr>
          <w:rFonts w:cs="Times New Roman"/>
          <w:lang w:val="en-GB"/>
        </w:rPr>
        <w:t xml:space="preserve">. </w:t>
      </w:r>
      <w:r w:rsidR="00FB369A">
        <w:rPr>
          <w:rFonts w:cs="Times New Roman"/>
          <w:lang w:val="en-GB"/>
        </w:rPr>
        <w:t xml:space="preserve"> </w:t>
      </w:r>
      <w:r w:rsidR="00FB369A" w:rsidRPr="00F22E05">
        <w:rPr>
          <w:rFonts w:cs="Times New Roman"/>
          <w:lang w:val="en-GB"/>
        </w:rPr>
        <w:t xml:space="preserve">At the national level, the total acreage of organic production has shown a significant </w:t>
      </w:r>
      <w:r w:rsidR="00FB369A">
        <w:rPr>
          <w:rFonts w:cs="Times New Roman"/>
          <w:lang w:val="en-GB"/>
        </w:rPr>
        <w:t>increase, rising from 5.04 lakh ha</w:t>
      </w:r>
      <w:r w:rsidR="00FB369A" w:rsidRPr="00F22E05">
        <w:rPr>
          <w:rFonts w:cs="Times New Roman"/>
          <w:lang w:val="en-GB"/>
        </w:rPr>
        <w:t xml:space="preserve"> during </w:t>
      </w:r>
      <w:r w:rsidR="00FB369A">
        <w:rPr>
          <w:rFonts w:cs="Times New Roman"/>
          <w:lang w:val="en-GB"/>
        </w:rPr>
        <w:t xml:space="preserve">TE </w:t>
      </w:r>
      <w:r w:rsidR="00FB369A" w:rsidRPr="00F22E05">
        <w:rPr>
          <w:rFonts w:cs="Times New Roman"/>
          <w:lang w:val="en-GB"/>
        </w:rPr>
        <w:t>2012-13 to 26.58</w:t>
      </w:r>
      <w:r w:rsidR="00FB369A">
        <w:rPr>
          <w:rFonts w:cs="Times New Roman"/>
          <w:lang w:val="en-GB"/>
        </w:rPr>
        <w:t xml:space="preserve"> lakh ha during TE</w:t>
      </w:r>
      <w:r w:rsidR="00FB369A" w:rsidRPr="00F22E05">
        <w:rPr>
          <w:rFonts w:cs="Times New Roman"/>
          <w:lang w:val="en-GB"/>
        </w:rPr>
        <w:t>2020</w:t>
      </w:r>
      <w:r w:rsidR="00FB369A">
        <w:rPr>
          <w:rFonts w:cs="Times New Roman"/>
          <w:lang w:val="en-GB"/>
        </w:rPr>
        <w:t>-21</w:t>
      </w:r>
      <w:r w:rsidR="00755738">
        <w:rPr>
          <w:rFonts w:cs="Times New Roman"/>
          <w:lang w:val="en-GB"/>
        </w:rPr>
        <w:t xml:space="preserve"> (Fig.</w:t>
      </w:r>
      <w:r w:rsidR="00FB369A" w:rsidRPr="00F22E05">
        <w:rPr>
          <w:rFonts w:cs="Times New Roman"/>
          <w:lang w:val="en-GB"/>
        </w:rPr>
        <w:t xml:space="preserve"> 1).</w:t>
      </w:r>
      <w:r w:rsidR="005F03E3">
        <w:rPr>
          <w:rFonts w:cs="Times New Roman"/>
          <w:lang w:val="en-GB"/>
        </w:rPr>
        <w:t xml:space="preserve"> </w:t>
      </w:r>
      <w:r>
        <w:rPr>
          <w:rFonts w:cs="Times New Roman"/>
          <w:lang w:val="en-GB"/>
        </w:rPr>
        <w:t xml:space="preserve">This increase in acreage </w:t>
      </w:r>
      <w:r w:rsidR="00FB369A">
        <w:rPr>
          <w:rFonts w:cs="Times New Roman"/>
          <w:lang w:val="en-GB"/>
        </w:rPr>
        <w:t>under</w:t>
      </w:r>
      <w:r>
        <w:rPr>
          <w:rFonts w:cs="Times New Roman"/>
          <w:lang w:val="en-GB"/>
        </w:rPr>
        <w:t xml:space="preserve"> organic</w:t>
      </w:r>
      <w:r w:rsidR="00FB369A">
        <w:rPr>
          <w:rFonts w:cs="Times New Roman"/>
          <w:lang w:val="en-GB"/>
        </w:rPr>
        <w:t xml:space="preserve"> farming</w:t>
      </w:r>
      <w:r>
        <w:rPr>
          <w:rFonts w:cs="Times New Roman"/>
          <w:lang w:val="en-GB"/>
        </w:rPr>
        <w:t xml:space="preserve"> </w:t>
      </w:r>
      <w:r w:rsidR="005F03E3">
        <w:rPr>
          <w:rFonts w:cs="Times New Roman"/>
          <w:lang w:val="en-GB"/>
        </w:rPr>
        <w:t xml:space="preserve">corresponds to a </w:t>
      </w:r>
      <w:r w:rsidR="005F03E3" w:rsidRPr="00F22E05">
        <w:rPr>
          <w:rFonts w:cs="Times New Roman"/>
          <w:lang w:val="en-GB"/>
        </w:rPr>
        <w:t>substantia</w:t>
      </w:r>
      <w:r w:rsidR="005F03E3">
        <w:rPr>
          <w:rFonts w:cs="Times New Roman"/>
          <w:lang w:val="en-GB"/>
        </w:rPr>
        <w:t xml:space="preserve">l annual increase of 20.77% </w:t>
      </w:r>
      <w:r>
        <w:rPr>
          <w:rFonts w:cs="Times New Roman"/>
          <w:lang w:val="en-GB"/>
        </w:rPr>
        <w:t xml:space="preserve">annual growth, which is statistically significant. A similar trend </w:t>
      </w:r>
      <w:r w:rsidR="00755738">
        <w:rPr>
          <w:rFonts w:cs="Times New Roman"/>
          <w:lang w:val="en-GB"/>
        </w:rPr>
        <w:t>is</w:t>
      </w:r>
      <w:r>
        <w:rPr>
          <w:rFonts w:cs="Times New Roman"/>
          <w:lang w:val="en-GB"/>
        </w:rPr>
        <w:t xml:space="preserve"> observed in </w:t>
      </w:r>
      <w:r w:rsidR="00755738">
        <w:rPr>
          <w:rFonts w:cs="Times New Roman"/>
          <w:lang w:val="en-GB"/>
        </w:rPr>
        <w:t xml:space="preserve">production, </w:t>
      </w:r>
      <w:r w:rsidR="00755738" w:rsidRPr="00F22E05">
        <w:rPr>
          <w:rFonts w:cs="Times New Roman"/>
          <w:lang w:val="en-GB"/>
        </w:rPr>
        <w:t xml:space="preserve">which has experienced </w:t>
      </w:r>
      <w:r>
        <w:rPr>
          <w:rFonts w:cs="Times New Roman"/>
          <w:lang w:val="en-GB"/>
        </w:rPr>
        <w:t xml:space="preserve">an </w:t>
      </w:r>
      <w:r>
        <w:rPr>
          <w:rFonts w:cs="Times New Roman"/>
          <w:lang w:val="en-GB"/>
        </w:rPr>
        <w:lastRenderedPageBreak/>
        <w:t xml:space="preserve">annual growth rate of 14.59 </w:t>
      </w:r>
      <w:r w:rsidR="00755738">
        <w:rPr>
          <w:rFonts w:cs="Times New Roman"/>
          <w:lang w:val="en-GB"/>
        </w:rPr>
        <w:t>%</w:t>
      </w:r>
      <w:r>
        <w:rPr>
          <w:rFonts w:cs="Times New Roman"/>
          <w:lang w:val="en-GB"/>
        </w:rPr>
        <w:t xml:space="preserve">. </w:t>
      </w:r>
      <w:r w:rsidR="006C5651">
        <w:rPr>
          <w:rFonts w:cs="Times New Roman"/>
          <w:lang w:val="en-GB"/>
        </w:rPr>
        <w:t>However,</w:t>
      </w:r>
      <w:r>
        <w:rPr>
          <w:rFonts w:cs="Times New Roman"/>
          <w:lang w:val="en-GB"/>
        </w:rPr>
        <w:t xml:space="preserve"> </w:t>
      </w:r>
      <w:r w:rsidR="006C5651">
        <w:rPr>
          <w:rFonts w:cs="Times New Roman"/>
          <w:lang w:val="en-GB"/>
        </w:rPr>
        <w:t xml:space="preserve">the </w:t>
      </w:r>
      <w:r>
        <w:rPr>
          <w:rFonts w:cs="Times New Roman"/>
          <w:lang w:val="en-GB"/>
        </w:rPr>
        <w:t xml:space="preserve">productivity </w:t>
      </w:r>
      <w:r w:rsidR="006C5651">
        <w:rPr>
          <w:rFonts w:cs="Times New Roman"/>
          <w:lang w:val="en-GB"/>
        </w:rPr>
        <w:t xml:space="preserve">of organic farming </w:t>
      </w:r>
      <w:r w:rsidR="006C5651" w:rsidRPr="00F22E05">
        <w:rPr>
          <w:rFonts w:cs="Times New Roman"/>
          <w:lang w:val="en-GB"/>
        </w:rPr>
        <w:t xml:space="preserve">initially showed a declining trend </w:t>
      </w:r>
      <w:r>
        <w:rPr>
          <w:rFonts w:cs="Times New Roman"/>
          <w:lang w:val="en-GB"/>
        </w:rPr>
        <w:t xml:space="preserve">up to the period </w:t>
      </w:r>
      <w:r w:rsidR="006C5651">
        <w:rPr>
          <w:rFonts w:cs="Times New Roman"/>
          <w:lang w:val="en-GB"/>
        </w:rPr>
        <w:t>TE</w:t>
      </w:r>
      <w:r w:rsidR="006C5651" w:rsidRPr="00F22E05">
        <w:rPr>
          <w:rFonts w:cs="Times New Roman"/>
          <w:lang w:val="en-GB"/>
        </w:rPr>
        <w:t>2016-17</w:t>
      </w:r>
      <w:r>
        <w:rPr>
          <w:rFonts w:cs="Times New Roman"/>
          <w:lang w:val="en-GB"/>
        </w:rPr>
        <w:t xml:space="preserve">. Whereas in </w:t>
      </w:r>
      <w:r w:rsidR="006C5651">
        <w:rPr>
          <w:rFonts w:cs="Times New Roman"/>
          <w:lang w:val="en-GB"/>
        </w:rPr>
        <w:t xml:space="preserve">the </w:t>
      </w:r>
      <w:r>
        <w:rPr>
          <w:rFonts w:cs="Times New Roman"/>
          <w:lang w:val="en-GB"/>
        </w:rPr>
        <w:t xml:space="preserve">later stage, the yield </w:t>
      </w:r>
      <w:r w:rsidR="006C5651">
        <w:rPr>
          <w:rFonts w:cs="Times New Roman"/>
          <w:lang w:val="en-GB"/>
        </w:rPr>
        <w:t>has slightly improved</w:t>
      </w:r>
      <w:r>
        <w:rPr>
          <w:rFonts w:cs="Times New Roman"/>
          <w:lang w:val="en-GB"/>
        </w:rPr>
        <w:t>. Overall, the productivity has de</w:t>
      </w:r>
      <w:r w:rsidR="006C5651">
        <w:rPr>
          <w:rFonts w:cs="Times New Roman"/>
          <w:lang w:val="en-GB"/>
        </w:rPr>
        <w:t>clined from 2.36 t/ha during TE</w:t>
      </w:r>
      <w:r>
        <w:rPr>
          <w:rFonts w:cs="Times New Roman"/>
          <w:lang w:val="en-GB"/>
        </w:rPr>
        <w:t xml:space="preserve">2012-13 to 1.31 t/ha </w:t>
      </w:r>
      <w:r w:rsidR="006C5651">
        <w:rPr>
          <w:rFonts w:cs="Times New Roman"/>
          <w:lang w:val="en-GB"/>
        </w:rPr>
        <w:t>in</w:t>
      </w:r>
      <w:r>
        <w:rPr>
          <w:rFonts w:cs="Times New Roman"/>
          <w:lang w:val="en-GB"/>
        </w:rPr>
        <w:t xml:space="preserve"> </w:t>
      </w:r>
      <w:r w:rsidR="006C5651">
        <w:rPr>
          <w:rFonts w:cs="Times New Roman"/>
          <w:lang w:val="en-GB"/>
        </w:rPr>
        <w:t>TE</w:t>
      </w:r>
      <w:r>
        <w:rPr>
          <w:rFonts w:cs="Times New Roman"/>
          <w:lang w:val="en-GB"/>
        </w:rPr>
        <w:t xml:space="preserve">2020-21 </w:t>
      </w:r>
      <w:r w:rsidR="007005EA" w:rsidRPr="007005EA">
        <w:rPr>
          <w:rFonts w:cs="Times New Roman"/>
          <w:lang w:val="en-GB"/>
        </w:rPr>
        <w:t>(Fig</w:t>
      </w:r>
      <w:r w:rsidR="006C5651">
        <w:rPr>
          <w:rFonts w:cs="Times New Roman"/>
          <w:lang w:val="en-GB"/>
        </w:rPr>
        <w:t xml:space="preserve">. </w:t>
      </w:r>
      <w:r w:rsidR="007005EA" w:rsidRPr="007005EA">
        <w:rPr>
          <w:rFonts w:cs="Times New Roman"/>
          <w:lang w:val="en-GB"/>
        </w:rPr>
        <w:t xml:space="preserve">1).  </w:t>
      </w:r>
    </w:p>
    <w:p w14:paraId="72556D68" w14:textId="0B437058" w:rsidR="00692FD2" w:rsidRDefault="00692FD2" w:rsidP="003F08D4">
      <w:pPr>
        <w:spacing w:line="360" w:lineRule="auto"/>
        <w:ind w:firstLine="720"/>
        <w:jc w:val="both"/>
        <w:rPr>
          <w:rFonts w:cs="Times New Roman"/>
          <w:lang w:val="en-GB"/>
        </w:rPr>
      </w:pPr>
      <w:r>
        <w:rPr>
          <w:rFonts w:cs="Times New Roman"/>
          <w:lang w:val="en-GB"/>
        </w:rPr>
        <w:t xml:space="preserve">The notable increase in organic area and production is </w:t>
      </w:r>
      <w:r w:rsidR="006C5651">
        <w:rPr>
          <w:rFonts w:cs="Times New Roman"/>
          <w:lang w:val="en-GB"/>
        </w:rPr>
        <w:t>attributed to</w:t>
      </w:r>
      <w:r>
        <w:rPr>
          <w:rFonts w:cs="Times New Roman"/>
          <w:lang w:val="en-GB"/>
        </w:rPr>
        <w:t xml:space="preserve"> various initiatives taken by the </w:t>
      </w:r>
      <w:r w:rsidR="006C5651">
        <w:rPr>
          <w:rFonts w:cs="Times New Roman"/>
          <w:lang w:val="en-GB"/>
        </w:rPr>
        <w:t>G</w:t>
      </w:r>
      <w:r>
        <w:rPr>
          <w:rFonts w:cs="Times New Roman"/>
          <w:lang w:val="en-GB"/>
        </w:rPr>
        <w:t>overnment</w:t>
      </w:r>
      <w:r w:rsidR="006C5651">
        <w:rPr>
          <w:rFonts w:cs="Times New Roman"/>
          <w:lang w:val="en-GB"/>
        </w:rPr>
        <w:t xml:space="preserve"> of India, primarily </w:t>
      </w:r>
      <w:r>
        <w:rPr>
          <w:rFonts w:cs="Times New Roman"/>
          <w:lang w:val="en-GB"/>
        </w:rPr>
        <w:t>‘</w:t>
      </w:r>
      <w:proofErr w:type="spellStart"/>
      <w:r>
        <w:rPr>
          <w:rFonts w:cs="Times New Roman"/>
          <w:lang w:val="en-GB"/>
        </w:rPr>
        <w:t>Paramparagat</w:t>
      </w:r>
      <w:proofErr w:type="spellEnd"/>
      <w:r>
        <w:rPr>
          <w:rFonts w:cs="Times New Roman"/>
          <w:lang w:val="en-GB"/>
        </w:rPr>
        <w:t xml:space="preserve"> </w:t>
      </w:r>
      <w:proofErr w:type="spellStart"/>
      <w:r>
        <w:rPr>
          <w:rFonts w:cs="Times New Roman"/>
          <w:lang w:val="en-GB"/>
        </w:rPr>
        <w:t>Krishi</w:t>
      </w:r>
      <w:proofErr w:type="spellEnd"/>
      <w:r>
        <w:rPr>
          <w:rFonts w:cs="Times New Roman"/>
          <w:lang w:val="en-GB"/>
        </w:rPr>
        <w:t xml:space="preserve"> </w:t>
      </w:r>
      <w:proofErr w:type="spellStart"/>
      <w:r>
        <w:rPr>
          <w:rFonts w:cs="Times New Roman"/>
          <w:lang w:val="en-GB"/>
        </w:rPr>
        <w:t>Vikas</w:t>
      </w:r>
      <w:proofErr w:type="spellEnd"/>
      <w:r>
        <w:rPr>
          <w:rFonts w:cs="Times New Roman"/>
          <w:lang w:val="en-GB"/>
        </w:rPr>
        <w:t xml:space="preserve"> Yojana’ (PKVY) scheme </w:t>
      </w:r>
      <w:r w:rsidR="006C5651">
        <w:rPr>
          <w:rFonts w:cs="Times New Roman"/>
          <w:lang w:val="en-GB"/>
        </w:rPr>
        <w:t xml:space="preserve">which </w:t>
      </w:r>
      <w:r>
        <w:rPr>
          <w:rFonts w:cs="Times New Roman"/>
          <w:lang w:val="en-GB"/>
        </w:rPr>
        <w:t xml:space="preserve">was </w:t>
      </w:r>
      <w:r w:rsidR="006C5651">
        <w:rPr>
          <w:rFonts w:cs="Times New Roman"/>
          <w:lang w:val="en-GB"/>
        </w:rPr>
        <w:t>implemented</w:t>
      </w:r>
      <w:r>
        <w:rPr>
          <w:rFonts w:cs="Times New Roman"/>
          <w:lang w:val="en-GB"/>
        </w:rPr>
        <w:t xml:space="preserve"> </w:t>
      </w:r>
      <w:r w:rsidR="006C5651">
        <w:rPr>
          <w:rFonts w:cs="Times New Roman"/>
          <w:lang w:val="en-GB"/>
        </w:rPr>
        <w:t xml:space="preserve">in </w:t>
      </w:r>
      <w:r>
        <w:rPr>
          <w:rFonts w:cs="Times New Roman"/>
          <w:lang w:val="en-GB"/>
        </w:rPr>
        <w:t>2015. The objective of the scheme is to provide support and promote organic production, certification</w:t>
      </w:r>
      <w:r w:rsidR="006C5651">
        <w:rPr>
          <w:rFonts w:cs="Times New Roman"/>
          <w:lang w:val="en-GB"/>
        </w:rPr>
        <w:t>,</w:t>
      </w:r>
      <w:r>
        <w:rPr>
          <w:rFonts w:cs="Times New Roman"/>
          <w:lang w:val="en-GB"/>
        </w:rPr>
        <w:t xml:space="preserve"> marketing,</w:t>
      </w:r>
      <w:r w:rsidR="006C5651">
        <w:rPr>
          <w:rFonts w:cs="Times New Roman"/>
          <w:lang w:val="en-GB"/>
        </w:rPr>
        <w:t xml:space="preserve"> and</w:t>
      </w:r>
      <w:r>
        <w:rPr>
          <w:rFonts w:cs="Times New Roman"/>
          <w:lang w:val="en-GB"/>
        </w:rPr>
        <w:t xml:space="preserve"> post-harvest management</w:t>
      </w:r>
      <w:r w:rsidR="006C5651">
        <w:rPr>
          <w:rFonts w:cs="Times New Roman"/>
          <w:lang w:val="en-GB"/>
        </w:rPr>
        <w:t xml:space="preserve">, </w:t>
      </w:r>
      <w:r w:rsidR="00AE14CC">
        <w:rPr>
          <w:rFonts w:cs="Times New Roman"/>
          <w:lang w:val="en-GB"/>
        </w:rPr>
        <w:t>encouraging</w:t>
      </w:r>
      <w:r>
        <w:rPr>
          <w:rFonts w:cs="Times New Roman"/>
          <w:lang w:val="en-GB"/>
        </w:rPr>
        <w:t xml:space="preserve"> farmers to adopt organic agriculture practices. </w:t>
      </w:r>
      <w:r w:rsidR="006C5651">
        <w:rPr>
          <w:rFonts w:cs="Times New Roman"/>
          <w:lang w:val="en-GB"/>
        </w:rPr>
        <w:t>T</w:t>
      </w:r>
      <w:r>
        <w:rPr>
          <w:rFonts w:cs="Times New Roman"/>
          <w:lang w:val="en-GB"/>
        </w:rPr>
        <w:t xml:space="preserve">he positive impact of the </w:t>
      </w:r>
      <w:r w:rsidR="006C5651">
        <w:rPr>
          <w:rFonts w:cs="Times New Roman"/>
          <w:lang w:val="en-GB"/>
        </w:rPr>
        <w:t xml:space="preserve">program is evident </w:t>
      </w:r>
      <w:r>
        <w:rPr>
          <w:rFonts w:cs="Times New Roman"/>
          <w:lang w:val="en-GB"/>
        </w:rPr>
        <w:t xml:space="preserve">in </w:t>
      </w:r>
      <w:r w:rsidR="006C5651">
        <w:rPr>
          <w:rFonts w:cs="Times New Roman"/>
          <w:lang w:val="en-GB"/>
        </w:rPr>
        <w:t xml:space="preserve">the </w:t>
      </w:r>
      <w:r>
        <w:rPr>
          <w:rFonts w:cs="Times New Roman"/>
          <w:lang w:val="en-GB"/>
        </w:rPr>
        <w:t xml:space="preserve">increase in area and production. </w:t>
      </w:r>
      <w:r w:rsidR="006C5651" w:rsidRPr="00F22E05">
        <w:rPr>
          <w:rFonts w:cs="Times New Roman"/>
          <w:lang w:val="en-GB"/>
        </w:rPr>
        <w:t>Notably,</w:t>
      </w:r>
      <w:r w:rsidR="006C5651">
        <w:rPr>
          <w:rFonts w:cs="Times New Roman"/>
          <w:lang w:val="en-GB"/>
        </w:rPr>
        <w:t xml:space="preserve"> t</w:t>
      </w:r>
      <w:r>
        <w:rPr>
          <w:rFonts w:cs="Times New Roman"/>
          <w:lang w:val="en-GB"/>
        </w:rPr>
        <w:t xml:space="preserve">he scheme has </w:t>
      </w:r>
      <w:r w:rsidR="00AE14CC">
        <w:rPr>
          <w:rFonts w:cs="Times New Roman"/>
          <w:lang w:val="en-GB"/>
        </w:rPr>
        <w:t xml:space="preserve">a </w:t>
      </w:r>
      <w:r>
        <w:rPr>
          <w:rFonts w:cs="Times New Roman"/>
          <w:lang w:val="en-GB"/>
        </w:rPr>
        <w:t>remarkable effect on organic production</w:t>
      </w:r>
      <w:r w:rsidR="006C5651">
        <w:rPr>
          <w:rFonts w:cs="Times New Roman"/>
          <w:lang w:val="en-GB"/>
        </w:rPr>
        <w:t>,</w:t>
      </w:r>
      <w:r>
        <w:rPr>
          <w:rFonts w:cs="Times New Roman"/>
          <w:lang w:val="en-GB"/>
        </w:rPr>
        <w:t xml:space="preserve"> </w:t>
      </w:r>
      <w:r w:rsidR="006C5651" w:rsidRPr="00F22E05">
        <w:rPr>
          <w:rFonts w:cs="Times New Roman"/>
          <w:lang w:val="en-GB"/>
        </w:rPr>
        <w:t xml:space="preserve">as indicated by the exponential growth in production </w:t>
      </w:r>
      <w:r w:rsidR="00AE3D46">
        <w:rPr>
          <w:rFonts w:cs="Times New Roman"/>
          <w:lang w:val="en-GB"/>
        </w:rPr>
        <w:t>(22.89 lakh tonnes</w:t>
      </w:r>
      <w:r>
        <w:rPr>
          <w:rFonts w:cs="Times New Roman"/>
          <w:lang w:val="en-GB"/>
        </w:rPr>
        <w:t xml:space="preserve">) during </w:t>
      </w:r>
      <w:r w:rsidR="00AE3D46">
        <w:rPr>
          <w:rFonts w:cs="Times New Roman"/>
          <w:lang w:val="en-GB"/>
        </w:rPr>
        <w:t>the period from TE</w:t>
      </w:r>
      <w:r>
        <w:rPr>
          <w:rFonts w:cs="Times New Roman"/>
          <w:lang w:val="en-GB"/>
        </w:rPr>
        <w:t xml:space="preserve">2016-17 to </w:t>
      </w:r>
      <w:r w:rsidR="00AE3D46">
        <w:rPr>
          <w:rFonts w:cs="Times New Roman"/>
          <w:lang w:val="en-GB"/>
        </w:rPr>
        <w:t>TE</w:t>
      </w:r>
      <w:r>
        <w:rPr>
          <w:rFonts w:cs="Times New Roman"/>
          <w:lang w:val="en-GB"/>
        </w:rPr>
        <w:t xml:space="preserve">2020-21 period </w:t>
      </w:r>
      <w:r w:rsidR="00BA4CC1" w:rsidRPr="007005EA">
        <w:rPr>
          <w:rFonts w:cs="Times New Roman"/>
          <w:lang w:val="en-GB"/>
        </w:rPr>
        <w:t>(</w:t>
      </w:r>
      <w:r w:rsidR="00AE3D46">
        <w:rPr>
          <w:rFonts w:cs="Times New Roman"/>
          <w:lang w:val="en-GB"/>
        </w:rPr>
        <w:t xml:space="preserve">Fig. </w:t>
      </w:r>
      <w:r w:rsidR="00BA4CC1" w:rsidRPr="007005EA">
        <w:rPr>
          <w:rFonts w:cs="Times New Roman"/>
          <w:lang w:val="en-GB"/>
        </w:rPr>
        <w:t xml:space="preserve">1).  </w:t>
      </w:r>
    </w:p>
    <w:p w14:paraId="34EF9895" w14:textId="4A15C368" w:rsidR="00AE3D46" w:rsidRDefault="00AE3D46" w:rsidP="00692FD2">
      <w:pPr>
        <w:jc w:val="center"/>
        <w:rPr>
          <w14:textOutline w14:w="9525" w14:cap="rnd" w14:cmpd="sng" w14:algn="ctr">
            <w14:solidFill>
              <w14:schemeClr w14:val="tx1"/>
            </w14:solidFill>
            <w14:prstDash w14:val="solid"/>
            <w14:bevel/>
          </w14:textOutline>
        </w:rPr>
      </w:pPr>
      <w:r>
        <w:rPr>
          <w:noProof/>
          <w:lang w:eastAsia="en-IN"/>
        </w:rPr>
        <w:drawing>
          <wp:inline distT="0" distB="0" distL="0" distR="0" wp14:anchorId="3FF639BC" wp14:editId="1B65196B">
            <wp:extent cx="5524500" cy="22764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DC83BC6" w14:textId="796A992A" w:rsidR="00AE3D46" w:rsidRDefault="00E12CF4" w:rsidP="00692FD2">
      <w:pPr>
        <w:jc w:val="center"/>
        <w:rPr>
          <w14:textOutline w14:w="9525" w14:cap="rnd" w14:cmpd="sng" w14:algn="ctr">
            <w14:solidFill>
              <w14:schemeClr w14:val="tx1"/>
            </w14:solidFill>
            <w14:prstDash w14:val="solid"/>
            <w14:bevel/>
          </w14:textOutline>
        </w:rPr>
      </w:pPr>
      <w:r>
        <w:rPr>
          <w:noProof/>
          <w:lang w:eastAsia="en-IN"/>
        </w:rPr>
        <w:drawing>
          <wp:inline distT="0" distB="0" distL="0" distR="0" wp14:anchorId="0982D66C" wp14:editId="5C72C957">
            <wp:extent cx="5610225" cy="2563495"/>
            <wp:effectExtent l="0" t="0" r="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E67DD4" w14:textId="77777777" w:rsidR="00AE3D46" w:rsidRPr="002908CC" w:rsidRDefault="00AE3D46" w:rsidP="00692FD2">
      <w:pPr>
        <w:jc w:val="center"/>
        <w:rPr>
          <w14:textOutline w14:w="9525" w14:cap="rnd" w14:cmpd="sng" w14:algn="ctr">
            <w14:solidFill>
              <w14:schemeClr w14:val="tx1"/>
            </w14:solidFill>
            <w14:prstDash w14:val="solid"/>
            <w14:bevel/>
          </w14:textOutline>
        </w:rPr>
      </w:pPr>
    </w:p>
    <w:p w14:paraId="5C66897B" w14:textId="0FD60D8F" w:rsidR="00692FD2" w:rsidRDefault="00692FD2" w:rsidP="00692FD2">
      <w:pPr>
        <w:jc w:val="center"/>
      </w:pPr>
    </w:p>
    <w:p w14:paraId="64B52712" w14:textId="77777777" w:rsidR="00692FD2" w:rsidRDefault="00692FD2" w:rsidP="00692FD2">
      <w:pPr>
        <w:jc w:val="center"/>
      </w:pPr>
      <w:r>
        <w:rPr>
          <w:noProof/>
          <w:lang w:eastAsia="en-IN"/>
        </w:rPr>
        <w:drawing>
          <wp:inline distT="0" distB="0" distL="0" distR="0" wp14:anchorId="4941E860" wp14:editId="41B4388F">
            <wp:extent cx="5114925" cy="250507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4A8D341" w14:textId="32AEF0B7" w:rsidR="00692FD2" w:rsidRPr="004C7C98" w:rsidRDefault="00692FD2" w:rsidP="00692FD2">
      <w:pPr>
        <w:jc w:val="center"/>
        <w:rPr>
          <w:bCs/>
        </w:rPr>
      </w:pPr>
      <w:r w:rsidRPr="004C7C98">
        <w:rPr>
          <w:bCs/>
        </w:rPr>
        <w:t>Fig</w:t>
      </w:r>
      <w:r w:rsidR="00AE3D46">
        <w:rPr>
          <w:bCs/>
        </w:rPr>
        <w:t xml:space="preserve"> </w:t>
      </w:r>
      <w:r w:rsidRPr="004C7C98">
        <w:rPr>
          <w:bCs/>
        </w:rPr>
        <w:t>1</w:t>
      </w:r>
      <w:r w:rsidR="007005EA">
        <w:rPr>
          <w:bCs/>
        </w:rPr>
        <w:t>.</w:t>
      </w:r>
      <w:r w:rsidRPr="004C7C98">
        <w:rPr>
          <w:bCs/>
        </w:rPr>
        <w:t xml:space="preserve"> Trends in area, production</w:t>
      </w:r>
      <w:r w:rsidR="004C7C98" w:rsidRPr="004C7C98">
        <w:rPr>
          <w:bCs/>
        </w:rPr>
        <w:t>,</w:t>
      </w:r>
      <w:r w:rsidRPr="004C7C98">
        <w:rPr>
          <w:bCs/>
        </w:rPr>
        <w:t xml:space="preserve"> and </w:t>
      </w:r>
      <w:r w:rsidR="00003AC2">
        <w:rPr>
          <w:bCs/>
        </w:rPr>
        <w:t>yield</w:t>
      </w:r>
      <w:r w:rsidRPr="004C7C98">
        <w:rPr>
          <w:bCs/>
        </w:rPr>
        <w:t xml:space="preserve"> of organic agriculture in India</w:t>
      </w:r>
    </w:p>
    <w:p w14:paraId="2BBD25CD" w14:textId="09E650DB" w:rsidR="00692FD2" w:rsidRDefault="00BA4CC1" w:rsidP="00692FD2">
      <w:pPr>
        <w:spacing w:line="360" w:lineRule="auto"/>
        <w:rPr>
          <w:rFonts w:cs="Times New Roman"/>
          <w:b/>
          <w:bCs/>
        </w:rPr>
      </w:pPr>
      <w:r>
        <w:rPr>
          <w:rFonts w:cs="Times New Roman"/>
          <w:b/>
          <w:bCs/>
        </w:rPr>
        <w:t xml:space="preserve">2. </w:t>
      </w:r>
      <w:r w:rsidR="00692FD2">
        <w:rPr>
          <w:rFonts w:cs="Times New Roman"/>
          <w:b/>
          <w:bCs/>
        </w:rPr>
        <w:t>Regional status of organic agriculture in India</w:t>
      </w:r>
    </w:p>
    <w:p w14:paraId="17CE2FFF" w14:textId="64D7202F" w:rsidR="004E0CE9" w:rsidRDefault="004E0CE9" w:rsidP="00003AC2">
      <w:pPr>
        <w:spacing w:line="360" w:lineRule="auto"/>
        <w:jc w:val="both"/>
        <w:rPr>
          <w:rFonts w:cs="Times New Roman"/>
          <w:lang w:val="en-GB"/>
        </w:rPr>
      </w:pPr>
      <w:r>
        <w:rPr>
          <w:rFonts w:cs="Times New Roman"/>
          <w:lang w:val="en-GB"/>
        </w:rPr>
        <w:t>The analysis of region-wise</w:t>
      </w:r>
      <w:r w:rsidR="00003AC2">
        <w:rPr>
          <w:rFonts w:cs="Times New Roman"/>
          <w:lang w:val="en-GB"/>
        </w:rPr>
        <w:t xml:space="preserve"> area and production of organic agriculture </w:t>
      </w:r>
      <w:r w:rsidR="00F75204">
        <w:rPr>
          <w:rFonts w:cs="Times New Roman"/>
          <w:lang w:val="en-GB"/>
        </w:rPr>
        <w:t>provides</w:t>
      </w:r>
      <w:r w:rsidR="00003AC2">
        <w:rPr>
          <w:rFonts w:cs="Times New Roman"/>
          <w:lang w:val="en-GB"/>
        </w:rPr>
        <w:t xml:space="preserve"> </w:t>
      </w:r>
      <w:r>
        <w:rPr>
          <w:rFonts w:cs="Times New Roman"/>
          <w:lang w:val="en-GB"/>
        </w:rPr>
        <w:t>a</w:t>
      </w:r>
      <w:r w:rsidR="00003AC2">
        <w:rPr>
          <w:rFonts w:cs="Times New Roman"/>
          <w:lang w:val="en-GB"/>
        </w:rPr>
        <w:t xml:space="preserve"> clear understanding of the concentration of organic farming.</w:t>
      </w:r>
      <w:r>
        <w:rPr>
          <w:rFonts w:cs="Times New Roman"/>
          <w:lang w:val="en-GB"/>
        </w:rPr>
        <w:t xml:space="preserve"> </w:t>
      </w:r>
      <w:r w:rsidR="00003AC2">
        <w:rPr>
          <w:rFonts w:cs="Times New Roman"/>
          <w:lang w:val="en-GB"/>
        </w:rPr>
        <w:t xml:space="preserve">During TE2020-21, among six regions, central region of India accounts for </w:t>
      </w:r>
      <w:r w:rsidR="00F75204">
        <w:rPr>
          <w:rFonts w:cs="Times New Roman"/>
          <w:lang w:val="en-GB"/>
        </w:rPr>
        <w:t xml:space="preserve">the </w:t>
      </w:r>
      <w:r w:rsidR="00003AC2">
        <w:rPr>
          <w:rFonts w:cs="Times New Roman"/>
          <w:lang w:val="en-GB"/>
        </w:rPr>
        <w:t>maximum acreage (38.3</w:t>
      </w:r>
      <w:r>
        <w:rPr>
          <w:rFonts w:cs="Times New Roman"/>
          <w:lang w:val="en-GB"/>
        </w:rPr>
        <w:t xml:space="preserve">3 %) under organic agriculture. It was </w:t>
      </w:r>
      <w:r w:rsidR="00003AC2">
        <w:rPr>
          <w:rFonts w:cs="Times New Roman"/>
          <w:lang w:val="en-GB"/>
        </w:rPr>
        <w:t xml:space="preserve">followed by west region (30.20 %), south region (8.86 %), </w:t>
      </w:r>
      <w:r w:rsidR="00F75204">
        <w:rPr>
          <w:rFonts w:cs="Times New Roman"/>
          <w:lang w:val="en-GB"/>
        </w:rPr>
        <w:t>northeast</w:t>
      </w:r>
      <w:r w:rsidR="00003AC2">
        <w:rPr>
          <w:rFonts w:cs="Times New Roman"/>
          <w:lang w:val="en-GB"/>
        </w:rPr>
        <w:t xml:space="preserve"> region (8.75 %), north region (7.30</w:t>
      </w:r>
      <w:r>
        <w:rPr>
          <w:rFonts w:cs="Times New Roman"/>
          <w:lang w:val="en-GB"/>
        </w:rPr>
        <w:t xml:space="preserve"> %)</w:t>
      </w:r>
      <w:r w:rsidR="00F75204">
        <w:rPr>
          <w:rFonts w:cs="Times New Roman"/>
          <w:lang w:val="en-GB"/>
        </w:rPr>
        <w:t>,</w:t>
      </w:r>
      <w:r>
        <w:rPr>
          <w:rFonts w:cs="Times New Roman"/>
          <w:lang w:val="en-GB"/>
        </w:rPr>
        <w:t xml:space="preserve"> and eastern region of India</w:t>
      </w:r>
      <w:r w:rsidR="00003AC2">
        <w:rPr>
          <w:rFonts w:cs="Times New Roman"/>
          <w:lang w:val="en-GB"/>
        </w:rPr>
        <w:t xml:space="preserve"> (</w:t>
      </w:r>
      <w:r>
        <w:rPr>
          <w:bCs/>
        </w:rPr>
        <w:t xml:space="preserve">Fig 2.). </w:t>
      </w:r>
      <w:r w:rsidR="00003AC2">
        <w:rPr>
          <w:rFonts w:cs="Times New Roman"/>
          <w:lang w:val="en-GB"/>
        </w:rPr>
        <w:t xml:space="preserve">The highest increase in acreage growth under organic agriculture was observed in </w:t>
      </w:r>
      <w:r w:rsidR="00F75204">
        <w:rPr>
          <w:rFonts w:cs="Times New Roman"/>
          <w:lang w:val="en-GB"/>
        </w:rPr>
        <w:t>the central region (24.82%</w:t>
      </w:r>
      <w:r w:rsidR="00003AC2">
        <w:rPr>
          <w:rFonts w:cs="Times New Roman"/>
          <w:lang w:val="en-GB"/>
        </w:rPr>
        <w:t xml:space="preserve">) followed by </w:t>
      </w:r>
      <w:r w:rsidR="00F75204">
        <w:rPr>
          <w:rFonts w:cs="Times New Roman"/>
          <w:lang w:val="en-GB"/>
        </w:rPr>
        <w:t xml:space="preserve">the </w:t>
      </w:r>
      <w:r w:rsidR="00003AC2">
        <w:rPr>
          <w:rFonts w:cs="Times New Roman"/>
          <w:lang w:val="en-GB"/>
        </w:rPr>
        <w:t xml:space="preserve">west (21.31 %), south (19.62 %), east (18.79 %), </w:t>
      </w:r>
      <w:r w:rsidR="00F75204">
        <w:rPr>
          <w:rFonts w:cs="Times New Roman"/>
          <w:lang w:val="en-GB"/>
        </w:rPr>
        <w:t>northeast</w:t>
      </w:r>
      <w:r w:rsidR="00003AC2">
        <w:rPr>
          <w:rFonts w:cs="Times New Roman"/>
          <w:lang w:val="en-GB"/>
        </w:rPr>
        <w:t xml:space="preserve"> (18.61 %) and northern region (10.52 %). A similar trend was observed in </w:t>
      </w:r>
      <w:r w:rsidR="00AE14CC">
        <w:rPr>
          <w:rFonts w:cs="Times New Roman"/>
          <w:lang w:val="en-GB"/>
        </w:rPr>
        <w:t>region-</w:t>
      </w:r>
      <w:proofErr w:type="spellStart"/>
      <w:r w:rsidR="00AE14CC">
        <w:rPr>
          <w:rFonts w:cs="Times New Roman"/>
          <w:lang w:val="en-GB"/>
        </w:rPr>
        <w:t>wise</w:t>
      </w:r>
      <w:proofErr w:type="spellEnd"/>
      <w:r w:rsidR="00003AC2">
        <w:rPr>
          <w:rFonts w:cs="Times New Roman"/>
          <w:lang w:val="en-GB"/>
        </w:rPr>
        <w:t xml:space="preserve"> distribution of organic </w:t>
      </w:r>
      <w:r w:rsidR="00AE14CC">
        <w:rPr>
          <w:rFonts w:cs="Times New Roman"/>
          <w:lang w:val="en-GB"/>
        </w:rPr>
        <w:t>crop</w:t>
      </w:r>
      <w:r w:rsidR="00003AC2">
        <w:rPr>
          <w:rFonts w:cs="Times New Roman"/>
          <w:lang w:val="en-GB"/>
        </w:rPr>
        <w:t xml:space="preserve"> production across the various regions of India. </w:t>
      </w:r>
      <w:r>
        <w:rPr>
          <w:rFonts w:cs="Times New Roman"/>
          <w:lang w:val="en-GB"/>
        </w:rPr>
        <w:t>T</w:t>
      </w:r>
      <w:r w:rsidR="00003AC2">
        <w:rPr>
          <w:rFonts w:cs="Times New Roman"/>
          <w:lang w:val="en-GB"/>
        </w:rPr>
        <w:t xml:space="preserve">he highest growth in organic production was observed in </w:t>
      </w:r>
      <w:r w:rsidR="00AE14CC">
        <w:rPr>
          <w:rFonts w:cs="Times New Roman"/>
          <w:lang w:val="en-GB"/>
        </w:rPr>
        <w:t>the northeast</w:t>
      </w:r>
      <w:r w:rsidR="00003AC2">
        <w:rPr>
          <w:rFonts w:cs="Times New Roman"/>
          <w:lang w:val="en-GB"/>
        </w:rPr>
        <w:t xml:space="preserve"> region of about 28.89 </w:t>
      </w:r>
      <w:r>
        <w:rPr>
          <w:rFonts w:cs="Times New Roman"/>
          <w:lang w:val="en-GB"/>
        </w:rPr>
        <w:t xml:space="preserve">% </w:t>
      </w:r>
      <w:r w:rsidR="00003AC2">
        <w:rPr>
          <w:rFonts w:cs="Times New Roman"/>
          <w:lang w:val="en-GB"/>
        </w:rPr>
        <w:t xml:space="preserve">followed by </w:t>
      </w:r>
      <w:r w:rsidR="00AE14CC">
        <w:rPr>
          <w:rFonts w:cs="Times New Roman"/>
          <w:lang w:val="en-GB"/>
        </w:rPr>
        <w:t xml:space="preserve">the </w:t>
      </w:r>
      <w:r w:rsidR="00003AC2">
        <w:rPr>
          <w:rFonts w:cs="Times New Roman"/>
          <w:lang w:val="en-GB"/>
        </w:rPr>
        <w:t>northern part (18.14 %), east (17.63 %), west (17.57 %)</w:t>
      </w:r>
      <w:r w:rsidR="00AE14CC">
        <w:rPr>
          <w:rFonts w:cs="Times New Roman"/>
          <w:lang w:val="en-GB"/>
        </w:rPr>
        <w:t>,</w:t>
      </w:r>
      <w:r w:rsidR="00003AC2">
        <w:rPr>
          <w:rFonts w:cs="Times New Roman"/>
          <w:lang w:val="en-GB"/>
        </w:rPr>
        <w:t xml:space="preserve"> and central region (17.46 %)</w:t>
      </w:r>
      <w:r>
        <w:rPr>
          <w:rFonts w:cs="Times New Roman"/>
          <w:lang w:val="en-GB"/>
        </w:rPr>
        <w:t>.</w:t>
      </w:r>
      <w:r w:rsidR="00003AC2">
        <w:rPr>
          <w:rFonts w:cs="Times New Roman"/>
          <w:lang w:val="en-GB"/>
        </w:rPr>
        <w:t xml:space="preserve"> </w:t>
      </w:r>
      <w:r>
        <w:rPr>
          <w:rFonts w:cs="Times New Roman"/>
          <w:lang w:val="en-GB"/>
        </w:rPr>
        <w:t xml:space="preserve">Surprisingly, </w:t>
      </w:r>
      <w:r w:rsidR="00003AC2">
        <w:rPr>
          <w:rFonts w:cs="Times New Roman"/>
          <w:lang w:val="en-GB"/>
        </w:rPr>
        <w:t xml:space="preserve">organic production in </w:t>
      </w:r>
      <w:r w:rsidR="00F75204">
        <w:rPr>
          <w:rFonts w:cs="Times New Roman"/>
          <w:lang w:val="en-GB"/>
        </w:rPr>
        <w:t xml:space="preserve">the </w:t>
      </w:r>
      <w:r w:rsidR="00003AC2">
        <w:rPr>
          <w:rFonts w:cs="Times New Roman"/>
          <w:lang w:val="en-GB"/>
        </w:rPr>
        <w:t xml:space="preserve">southern region </w:t>
      </w:r>
      <w:r w:rsidR="00F75204">
        <w:rPr>
          <w:rFonts w:cs="Times New Roman"/>
          <w:lang w:val="en-GB"/>
        </w:rPr>
        <w:t xml:space="preserve">is declined by 0.33% </w:t>
      </w:r>
      <w:r w:rsidR="00003AC2">
        <w:rPr>
          <w:rFonts w:cs="Times New Roman"/>
          <w:lang w:val="en-GB"/>
        </w:rPr>
        <w:t xml:space="preserve">over the reporting period. </w:t>
      </w:r>
    </w:p>
    <w:p w14:paraId="3C8D7CAE" w14:textId="4267A026" w:rsidR="00003AC2" w:rsidRDefault="00003AC2" w:rsidP="00003AC2">
      <w:pPr>
        <w:spacing w:line="360" w:lineRule="auto"/>
        <w:jc w:val="both"/>
        <w:rPr>
          <w:rFonts w:cs="Times New Roman"/>
          <w:lang w:val="en-GB"/>
        </w:rPr>
      </w:pPr>
      <w:r>
        <w:rPr>
          <w:rFonts w:cs="Times New Roman"/>
          <w:lang w:val="en-GB"/>
        </w:rPr>
        <w:t>The promising change in the organic agriculture scenario</w:t>
      </w:r>
      <w:r w:rsidR="004E0CE9">
        <w:rPr>
          <w:rFonts w:cs="Times New Roman"/>
          <w:lang w:val="en-GB"/>
        </w:rPr>
        <w:t>,</w:t>
      </w:r>
      <w:r>
        <w:rPr>
          <w:rFonts w:cs="Times New Roman"/>
          <w:lang w:val="en-GB"/>
        </w:rPr>
        <w:t xml:space="preserve"> especially in North East Region mainly because of </w:t>
      </w:r>
      <w:r w:rsidR="00AE14CC">
        <w:rPr>
          <w:rFonts w:cs="Times New Roman"/>
          <w:lang w:val="en-GB"/>
        </w:rPr>
        <w:t xml:space="preserve">the </w:t>
      </w:r>
      <w:r>
        <w:rPr>
          <w:rFonts w:cs="Times New Roman"/>
          <w:lang w:val="en-GB"/>
        </w:rPr>
        <w:t>programme Mission Organic Value Chain Development in North East Region</w:t>
      </w:r>
      <w:r w:rsidR="004E0CE9" w:rsidRPr="004E0CE9">
        <w:rPr>
          <w:rFonts w:cs="Times New Roman"/>
          <w:lang w:val="en-GB"/>
        </w:rPr>
        <w:t xml:space="preserve"> </w:t>
      </w:r>
      <w:r w:rsidR="004E0CE9">
        <w:rPr>
          <w:rFonts w:cs="Times New Roman"/>
          <w:lang w:val="en-GB"/>
        </w:rPr>
        <w:t>(MOVCD-NER). Under this program, f</w:t>
      </w:r>
      <w:r>
        <w:rPr>
          <w:rFonts w:cs="Times New Roman"/>
          <w:lang w:val="en-GB"/>
        </w:rPr>
        <w:t xml:space="preserve">armers are encouraged with </w:t>
      </w:r>
      <w:r w:rsidR="00AE14CC">
        <w:rPr>
          <w:rFonts w:cs="Times New Roman"/>
          <w:lang w:val="en-GB"/>
        </w:rPr>
        <w:t xml:space="preserve">the </w:t>
      </w:r>
      <w:r>
        <w:rPr>
          <w:rFonts w:cs="Times New Roman"/>
          <w:lang w:val="en-GB"/>
        </w:rPr>
        <w:t xml:space="preserve">financial assistance of Rs.32500/ ha/ 3 years </w:t>
      </w:r>
      <w:r w:rsidR="004E0CE9">
        <w:rPr>
          <w:rFonts w:cs="Times New Roman"/>
          <w:lang w:val="en-GB"/>
        </w:rPr>
        <w:t>to support</w:t>
      </w:r>
      <w:r>
        <w:rPr>
          <w:rFonts w:cs="Times New Roman"/>
          <w:lang w:val="en-GB"/>
        </w:rPr>
        <w:t xml:space="preserve"> organic agriculture.</w:t>
      </w:r>
    </w:p>
    <w:p w14:paraId="1260045D" w14:textId="77777777" w:rsidR="00692FD2" w:rsidRDefault="00692FD2" w:rsidP="00692FD2">
      <w:pPr>
        <w:jc w:val="center"/>
      </w:pPr>
      <w:r>
        <w:rPr>
          <w:noProof/>
          <w:lang w:eastAsia="en-IN"/>
        </w:rPr>
        <w:lastRenderedPageBreak/>
        <w:drawing>
          <wp:inline distT="0" distB="0" distL="0" distR="0" wp14:anchorId="46B99299" wp14:editId="73474181">
            <wp:extent cx="5514975" cy="270700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9423ED" w14:textId="77777777" w:rsidR="00692FD2" w:rsidRDefault="00692FD2" w:rsidP="00692FD2">
      <w:pPr>
        <w:jc w:val="center"/>
      </w:pPr>
      <w:r>
        <w:rPr>
          <w:noProof/>
          <w:lang w:eastAsia="en-IN"/>
        </w:rPr>
        <w:drawing>
          <wp:inline distT="0" distB="0" distL="0" distR="0" wp14:anchorId="3BDC481D" wp14:editId="6CE8F354">
            <wp:extent cx="5772150" cy="276669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330128" w14:textId="36365B48" w:rsidR="00692FD2" w:rsidRPr="00BA4CC1" w:rsidRDefault="00BA4CC1" w:rsidP="00692FD2">
      <w:pPr>
        <w:jc w:val="center"/>
        <w:rPr>
          <w:bCs/>
        </w:rPr>
      </w:pPr>
      <w:r>
        <w:rPr>
          <w:bCs/>
        </w:rPr>
        <w:t>Fig</w:t>
      </w:r>
      <w:r w:rsidR="000837F1">
        <w:rPr>
          <w:bCs/>
        </w:rPr>
        <w:t xml:space="preserve"> </w:t>
      </w:r>
      <w:r>
        <w:rPr>
          <w:bCs/>
        </w:rPr>
        <w:t xml:space="preserve">2. </w:t>
      </w:r>
      <w:r w:rsidR="00692FD2" w:rsidRPr="00BA4CC1">
        <w:rPr>
          <w:bCs/>
        </w:rPr>
        <w:t xml:space="preserve">Regional </w:t>
      </w:r>
      <w:r w:rsidR="00D61623">
        <w:rPr>
          <w:bCs/>
        </w:rPr>
        <w:t>trends in area and production of Organic A</w:t>
      </w:r>
      <w:r w:rsidR="00692FD2" w:rsidRPr="00BA4CC1">
        <w:rPr>
          <w:bCs/>
        </w:rPr>
        <w:t>griculture</w:t>
      </w:r>
    </w:p>
    <w:p w14:paraId="30D7FA2D" w14:textId="762E6394" w:rsidR="00692FD2" w:rsidRDefault="00BA4CC1" w:rsidP="00692FD2">
      <w:pPr>
        <w:rPr>
          <w:b/>
          <w:bCs/>
        </w:rPr>
      </w:pPr>
      <w:r>
        <w:rPr>
          <w:b/>
          <w:bCs/>
        </w:rPr>
        <w:t xml:space="preserve">3. </w:t>
      </w:r>
      <w:r w:rsidR="00692FD2">
        <w:rPr>
          <w:b/>
          <w:bCs/>
        </w:rPr>
        <w:t>Regional Disparity of organic agriculture in India</w:t>
      </w:r>
    </w:p>
    <w:p w14:paraId="4DD11CCB" w14:textId="0BB761F7" w:rsidR="00BB7DCB" w:rsidRPr="00BB7DCB" w:rsidRDefault="00542C42" w:rsidP="00BB7DCB">
      <w:pPr>
        <w:spacing w:line="360" w:lineRule="auto"/>
        <w:jc w:val="both"/>
        <w:rPr>
          <w:rFonts w:cs="Times New Roman"/>
          <w:lang w:val="en-GB"/>
        </w:rPr>
      </w:pPr>
      <w:r w:rsidRPr="00542C42">
        <w:rPr>
          <w:rFonts w:cs="Times New Roman"/>
          <w:lang w:val="en-GB"/>
        </w:rPr>
        <w:t xml:space="preserve">The state-wise status of organic agriculture </w:t>
      </w:r>
      <w:r>
        <w:rPr>
          <w:rFonts w:cs="Times New Roman"/>
          <w:lang w:val="en-GB"/>
        </w:rPr>
        <w:t xml:space="preserve">is </w:t>
      </w:r>
      <w:r w:rsidRPr="00542C42">
        <w:rPr>
          <w:rFonts w:cs="Times New Roman"/>
          <w:lang w:val="en-GB"/>
        </w:rPr>
        <w:t>presented in Table 1</w:t>
      </w:r>
      <w:r>
        <w:rPr>
          <w:rFonts w:cs="Times New Roman"/>
          <w:lang w:val="en-GB"/>
        </w:rPr>
        <w:t xml:space="preserve">. It is clear that </w:t>
      </w:r>
      <w:r w:rsidR="00692FD2">
        <w:rPr>
          <w:rFonts w:cs="Times New Roman"/>
          <w:lang w:val="en-GB"/>
        </w:rPr>
        <w:t>Madhya Pradesh holds the maximum area</w:t>
      </w:r>
      <w:r>
        <w:rPr>
          <w:rFonts w:cs="Times New Roman"/>
          <w:lang w:val="en-GB"/>
        </w:rPr>
        <w:t xml:space="preserve"> of 8.62 lakh ha (32 % of total area)</w:t>
      </w:r>
      <w:r w:rsidR="00692FD2">
        <w:rPr>
          <w:rFonts w:cs="Times New Roman"/>
          <w:lang w:val="en-GB"/>
        </w:rPr>
        <w:t xml:space="preserve"> under organic agriculture during TE 2020-21 followed by Maharashtra (3.01 lakh ha), Rajasthan (2.70 lakh ha</w:t>
      </w:r>
      <w:r>
        <w:rPr>
          <w:rFonts w:cs="Times New Roman"/>
          <w:lang w:val="en-GB"/>
        </w:rPr>
        <w:t>), Gujarat (1.12 lakh ha) and Odisha (0.92 lakh ha</w:t>
      </w:r>
      <w:r w:rsidR="00692FD2">
        <w:rPr>
          <w:rFonts w:cs="Times New Roman"/>
          <w:lang w:val="en-GB"/>
        </w:rPr>
        <w:t xml:space="preserve">) are the major top five states having maximum area under organic agriculture. </w:t>
      </w:r>
      <w:r w:rsidR="009A7964">
        <w:rPr>
          <w:rFonts w:cs="Times New Roman"/>
          <w:lang w:val="en-GB"/>
        </w:rPr>
        <w:t xml:space="preserve">However, the </w:t>
      </w:r>
      <w:r w:rsidR="00692FD2">
        <w:rPr>
          <w:rFonts w:cs="Times New Roman"/>
          <w:lang w:val="en-GB"/>
        </w:rPr>
        <w:t>percentage change in</w:t>
      </w:r>
      <w:r w:rsidR="009A7964">
        <w:rPr>
          <w:rFonts w:cs="Times New Roman"/>
          <w:lang w:val="en-GB"/>
        </w:rPr>
        <w:t xml:space="preserve"> area under agriculture from TE2012 to TE</w:t>
      </w:r>
      <w:r w:rsidR="00692FD2">
        <w:rPr>
          <w:rFonts w:cs="Times New Roman"/>
          <w:lang w:val="en-GB"/>
        </w:rPr>
        <w:t>2020 was highest in n</w:t>
      </w:r>
      <w:r w:rsidR="009A7964">
        <w:rPr>
          <w:rFonts w:cs="Times New Roman"/>
          <w:lang w:val="en-GB"/>
        </w:rPr>
        <w:t>orth-</w:t>
      </w:r>
      <w:r w:rsidR="00692FD2">
        <w:rPr>
          <w:rFonts w:cs="Times New Roman"/>
          <w:lang w:val="en-GB"/>
        </w:rPr>
        <w:t xml:space="preserve">eastern states such as Manipur (17,273 %), Meghalaya (3090 %), Tripura (1942 %), Mizoram (1447 %) and Arunachal Pradesh (727 %). </w:t>
      </w:r>
      <w:r w:rsidR="009A7964">
        <w:rPr>
          <w:rFonts w:cs="Times New Roman"/>
          <w:lang w:val="en-GB"/>
        </w:rPr>
        <w:t>Although</w:t>
      </w:r>
      <w:r w:rsidR="00692FD2">
        <w:rPr>
          <w:rFonts w:cs="Times New Roman"/>
          <w:lang w:val="en-GB"/>
        </w:rPr>
        <w:t xml:space="preserve"> the area under organic agriculture is low but the rapid increas</w:t>
      </w:r>
      <w:r w:rsidR="009A7964">
        <w:rPr>
          <w:rFonts w:cs="Times New Roman"/>
          <w:lang w:val="en-GB"/>
        </w:rPr>
        <w:t>e in acreage from TE2012 to TE</w:t>
      </w:r>
      <w:r w:rsidR="00692FD2">
        <w:rPr>
          <w:rFonts w:cs="Times New Roman"/>
          <w:lang w:val="en-GB"/>
        </w:rPr>
        <w:t xml:space="preserve">2020 was significantly highest in these states. A similar trend was observed in growth in </w:t>
      </w:r>
      <w:r w:rsidR="009A7964">
        <w:rPr>
          <w:rFonts w:cs="Times New Roman"/>
          <w:lang w:val="en-GB"/>
        </w:rPr>
        <w:t xml:space="preserve">the </w:t>
      </w:r>
      <w:r w:rsidR="00692FD2">
        <w:rPr>
          <w:rFonts w:cs="Times New Roman"/>
          <w:lang w:val="en-GB"/>
        </w:rPr>
        <w:t xml:space="preserve">acreage of organic agriculture, the maximum growth in </w:t>
      </w:r>
      <w:r w:rsidR="009A7964">
        <w:rPr>
          <w:rFonts w:cs="Times New Roman"/>
          <w:lang w:val="en-GB"/>
        </w:rPr>
        <w:t xml:space="preserve">the </w:t>
      </w:r>
      <w:r w:rsidR="00692FD2">
        <w:rPr>
          <w:rFonts w:cs="Times New Roman"/>
          <w:lang w:val="en-GB"/>
        </w:rPr>
        <w:t xml:space="preserve">area was observed in Manipur </w:t>
      </w:r>
      <w:r w:rsidR="00692FD2">
        <w:rPr>
          <w:rFonts w:cs="Times New Roman"/>
          <w:lang w:val="en-GB"/>
        </w:rPr>
        <w:lastRenderedPageBreak/>
        <w:t xml:space="preserve">(142.20 %), Meghalaya (79.91 %), Arunachal Pradesh (74.45 %), Jharkhand (68.63 %) and Tripura (64.22 %) </w:t>
      </w:r>
      <w:r w:rsidR="00692FD2" w:rsidRPr="00BA4CC1">
        <w:rPr>
          <w:rFonts w:cs="Times New Roman"/>
          <w:lang w:val="en-GB"/>
        </w:rPr>
        <w:t>(Table 1</w:t>
      </w:r>
      <w:r w:rsidR="009A7964">
        <w:rPr>
          <w:rFonts w:cs="Times New Roman"/>
          <w:lang w:val="en-GB"/>
        </w:rPr>
        <w:t>).</w:t>
      </w:r>
    </w:p>
    <w:p w14:paraId="2602E7A8" w14:textId="219783CC" w:rsidR="00692FD2" w:rsidRPr="00BA4CC1" w:rsidRDefault="00BA4CC1" w:rsidP="00BA4CC1">
      <w:pPr>
        <w:spacing w:after="0" w:line="360" w:lineRule="auto"/>
        <w:rPr>
          <w:rFonts w:cs="Times New Roman"/>
          <w:bCs/>
        </w:rPr>
      </w:pPr>
      <w:r w:rsidRPr="00BA4CC1">
        <w:rPr>
          <w:rFonts w:cs="Times New Roman"/>
          <w:bCs/>
          <w:lang w:val="en-GB"/>
        </w:rPr>
        <w:t>Table 1.</w:t>
      </w:r>
      <w:r w:rsidR="00692FD2" w:rsidRPr="00BA4CC1">
        <w:rPr>
          <w:rFonts w:cs="Times New Roman"/>
          <w:bCs/>
          <w:lang w:val="en-GB"/>
        </w:rPr>
        <w:t xml:space="preserve"> </w:t>
      </w:r>
      <w:r w:rsidR="00BB7DCB">
        <w:rPr>
          <w:rFonts w:cs="Times New Roman"/>
          <w:bCs/>
        </w:rPr>
        <w:t>States-wise</w:t>
      </w:r>
      <w:r w:rsidR="00692FD2" w:rsidRPr="00BA4CC1">
        <w:rPr>
          <w:rFonts w:cs="Times New Roman"/>
          <w:bCs/>
        </w:rPr>
        <w:t xml:space="preserve"> acreage scenario of organic agriculture</w:t>
      </w:r>
    </w:p>
    <w:tbl>
      <w:tblPr>
        <w:tblW w:w="5000" w:type="pct"/>
        <w:tblBorders>
          <w:top w:val="single" w:sz="4" w:space="0" w:color="auto"/>
          <w:bottom w:val="single" w:sz="4" w:space="0" w:color="auto"/>
        </w:tblBorders>
        <w:tblLayout w:type="fixed"/>
        <w:tblCellMar>
          <w:top w:w="28" w:type="dxa"/>
          <w:bottom w:w="28" w:type="dxa"/>
        </w:tblCellMar>
        <w:tblLook w:val="04A0" w:firstRow="1" w:lastRow="0" w:firstColumn="1" w:lastColumn="0" w:noHBand="0" w:noVBand="1"/>
      </w:tblPr>
      <w:tblGrid>
        <w:gridCol w:w="2113"/>
        <w:gridCol w:w="1737"/>
        <w:gridCol w:w="1681"/>
        <w:gridCol w:w="1785"/>
        <w:gridCol w:w="1710"/>
      </w:tblGrid>
      <w:tr w:rsidR="00692FD2" w14:paraId="52F56180" w14:textId="77777777" w:rsidTr="00A0529D">
        <w:trPr>
          <w:trHeight w:val="289"/>
        </w:trPr>
        <w:tc>
          <w:tcPr>
            <w:tcW w:w="1171" w:type="pct"/>
            <w:tcBorders>
              <w:top w:val="single" w:sz="4" w:space="0" w:color="auto"/>
              <w:bottom w:val="single" w:sz="4" w:space="0" w:color="auto"/>
            </w:tcBorders>
            <w:shd w:val="clear" w:color="auto" w:fill="auto"/>
            <w:noWrap/>
            <w:vAlign w:val="bottom"/>
          </w:tcPr>
          <w:p w14:paraId="587DCE47" w14:textId="77777777" w:rsidR="00692FD2" w:rsidRDefault="00692FD2" w:rsidP="006C1721">
            <w:pPr>
              <w:spacing w:after="0" w:line="240" w:lineRule="auto"/>
              <w:rPr>
                <w:rFonts w:eastAsia="Times New Roman" w:cs="Times New Roman"/>
                <w:color w:val="000000"/>
                <w:szCs w:val="24"/>
              </w:rPr>
            </w:pPr>
            <w:r>
              <w:rPr>
                <w:rFonts w:eastAsia="Times New Roman" w:cs="Times New Roman"/>
                <w:color w:val="000000"/>
                <w:szCs w:val="24"/>
              </w:rPr>
              <w:t>State</w:t>
            </w:r>
          </w:p>
        </w:tc>
        <w:tc>
          <w:tcPr>
            <w:tcW w:w="962" w:type="pct"/>
            <w:tcBorders>
              <w:top w:val="single" w:sz="4" w:space="0" w:color="auto"/>
              <w:bottom w:val="single" w:sz="4" w:space="0" w:color="auto"/>
            </w:tcBorders>
            <w:shd w:val="clear" w:color="auto" w:fill="auto"/>
            <w:noWrap/>
            <w:vAlign w:val="center"/>
          </w:tcPr>
          <w:p w14:paraId="6D5F671C" w14:textId="3C75BB11" w:rsidR="00692FD2" w:rsidRDefault="00692FD2" w:rsidP="00A0529D">
            <w:pPr>
              <w:spacing w:after="0" w:line="240" w:lineRule="auto"/>
              <w:jc w:val="center"/>
              <w:rPr>
                <w:rFonts w:eastAsia="Times New Roman" w:cs="Times New Roman"/>
                <w:color w:val="000000"/>
                <w:szCs w:val="24"/>
              </w:rPr>
            </w:pPr>
            <w:r>
              <w:rPr>
                <w:rFonts w:eastAsia="Times New Roman" w:cs="Times New Roman"/>
                <w:color w:val="000000"/>
                <w:szCs w:val="24"/>
              </w:rPr>
              <w:t>TE2014-15</w:t>
            </w:r>
          </w:p>
        </w:tc>
        <w:tc>
          <w:tcPr>
            <w:tcW w:w="931" w:type="pct"/>
            <w:tcBorders>
              <w:top w:val="single" w:sz="4" w:space="0" w:color="auto"/>
              <w:bottom w:val="single" w:sz="4" w:space="0" w:color="auto"/>
            </w:tcBorders>
            <w:shd w:val="clear" w:color="auto" w:fill="auto"/>
            <w:noWrap/>
            <w:vAlign w:val="center"/>
          </w:tcPr>
          <w:p w14:paraId="00039DE7" w14:textId="20961425" w:rsidR="00692FD2" w:rsidRDefault="00692FD2" w:rsidP="00A0529D">
            <w:pPr>
              <w:spacing w:after="0" w:line="240" w:lineRule="auto"/>
              <w:jc w:val="center"/>
              <w:rPr>
                <w:rFonts w:eastAsia="Times New Roman" w:cs="Times New Roman"/>
                <w:color w:val="000000"/>
                <w:szCs w:val="24"/>
              </w:rPr>
            </w:pPr>
            <w:r>
              <w:rPr>
                <w:rFonts w:eastAsia="Times New Roman" w:cs="Times New Roman"/>
                <w:color w:val="000000"/>
                <w:szCs w:val="24"/>
              </w:rPr>
              <w:t>TE2020-21</w:t>
            </w:r>
          </w:p>
        </w:tc>
        <w:tc>
          <w:tcPr>
            <w:tcW w:w="989" w:type="pct"/>
            <w:tcBorders>
              <w:top w:val="single" w:sz="4" w:space="0" w:color="auto"/>
              <w:bottom w:val="single" w:sz="4" w:space="0" w:color="auto"/>
            </w:tcBorders>
            <w:shd w:val="clear" w:color="auto" w:fill="auto"/>
            <w:noWrap/>
            <w:vAlign w:val="center"/>
          </w:tcPr>
          <w:p w14:paraId="25CD5CCB" w14:textId="4F948CCA" w:rsidR="00692FD2" w:rsidRDefault="00692FD2" w:rsidP="00A0529D">
            <w:pPr>
              <w:spacing w:after="0" w:line="240" w:lineRule="auto"/>
              <w:jc w:val="center"/>
              <w:rPr>
                <w:rFonts w:eastAsia="Times New Roman" w:cs="Times New Roman"/>
                <w:color w:val="000000"/>
                <w:szCs w:val="24"/>
              </w:rPr>
            </w:pPr>
            <w:r>
              <w:rPr>
                <w:rFonts w:eastAsia="Times New Roman" w:cs="Times New Roman"/>
                <w:color w:val="000000"/>
                <w:szCs w:val="24"/>
              </w:rPr>
              <w:t xml:space="preserve">% Change </w:t>
            </w:r>
          </w:p>
        </w:tc>
        <w:tc>
          <w:tcPr>
            <w:tcW w:w="947" w:type="pct"/>
            <w:tcBorders>
              <w:top w:val="single" w:sz="4" w:space="0" w:color="auto"/>
              <w:bottom w:val="single" w:sz="4" w:space="0" w:color="auto"/>
            </w:tcBorders>
            <w:shd w:val="clear" w:color="auto" w:fill="auto"/>
            <w:noWrap/>
            <w:vAlign w:val="center"/>
          </w:tcPr>
          <w:p w14:paraId="526DA23A" w14:textId="77777777" w:rsidR="00692FD2" w:rsidRDefault="00692FD2" w:rsidP="00A0529D">
            <w:pPr>
              <w:spacing w:after="0" w:line="240" w:lineRule="auto"/>
              <w:jc w:val="center"/>
              <w:rPr>
                <w:rFonts w:eastAsia="Times New Roman" w:cs="Times New Roman"/>
                <w:color w:val="000000"/>
                <w:szCs w:val="24"/>
              </w:rPr>
            </w:pPr>
            <w:r>
              <w:rPr>
                <w:rFonts w:eastAsia="Times New Roman" w:cs="Times New Roman"/>
                <w:color w:val="000000"/>
                <w:szCs w:val="24"/>
              </w:rPr>
              <w:t>Growth</w:t>
            </w:r>
          </w:p>
        </w:tc>
      </w:tr>
      <w:tr w:rsidR="00692FD2" w14:paraId="3C70EA85" w14:textId="77777777" w:rsidTr="00A0529D">
        <w:trPr>
          <w:trHeight w:val="303"/>
        </w:trPr>
        <w:tc>
          <w:tcPr>
            <w:tcW w:w="1171" w:type="pct"/>
            <w:tcBorders>
              <w:top w:val="single" w:sz="4" w:space="0" w:color="auto"/>
            </w:tcBorders>
            <w:shd w:val="clear" w:color="auto" w:fill="auto"/>
            <w:noWrap/>
            <w:vAlign w:val="center"/>
          </w:tcPr>
          <w:p w14:paraId="2AAA462A"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Madhya Pradesh</w:t>
            </w:r>
          </w:p>
        </w:tc>
        <w:tc>
          <w:tcPr>
            <w:tcW w:w="962" w:type="pct"/>
            <w:tcBorders>
              <w:top w:val="single" w:sz="4" w:space="0" w:color="auto"/>
            </w:tcBorders>
            <w:shd w:val="clear" w:color="auto" w:fill="auto"/>
            <w:noWrap/>
            <w:vAlign w:val="center"/>
          </w:tcPr>
          <w:p w14:paraId="61528ADA" w14:textId="388F9BCB"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2.582</w:t>
            </w:r>
          </w:p>
        </w:tc>
        <w:tc>
          <w:tcPr>
            <w:tcW w:w="931" w:type="pct"/>
            <w:tcBorders>
              <w:top w:val="single" w:sz="4" w:space="0" w:color="auto"/>
            </w:tcBorders>
            <w:shd w:val="clear" w:color="auto" w:fill="auto"/>
            <w:noWrap/>
            <w:vAlign w:val="center"/>
          </w:tcPr>
          <w:p w14:paraId="36A5C5FB" w14:textId="7858981B"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8.623</w:t>
            </w:r>
          </w:p>
        </w:tc>
        <w:tc>
          <w:tcPr>
            <w:tcW w:w="989" w:type="pct"/>
            <w:tcBorders>
              <w:top w:val="single" w:sz="4" w:space="0" w:color="auto"/>
            </w:tcBorders>
            <w:shd w:val="clear" w:color="auto" w:fill="auto"/>
            <w:noWrap/>
            <w:vAlign w:val="center"/>
          </w:tcPr>
          <w:p w14:paraId="10A90088"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234</w:t>
            </w:r>
          </w:p>
        </w:tc>
        <w:tc>
          <w:tcPr>
            <w:tcW w:w="947" w:type="pct"/>
            <w:tcBorders>
              <w:top w:val="single" w:sz="4" w:space="0" w:color="auto"/>
            </w:tcBorders>
            <w:shd w:val="clear" w:color="auto" w:fill="auto"/>
            <w:noWrap/>
            <w:vAlign w:val="center"/>
          </w:tcPr>
          <w:p w14:paraId="3E862CC9"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24.6</w:t>
            </w:r>
          </w:p>
        </w:tc>
      </w:tr>
      <w:tr w:rsidR="00692FD2" w14:paraId="06EA1C6C" w14:textId="77777777" w:rsidTr="00A0529D">
        <w:trPr>
          <w:trHeight w:val="289"/>
        </w:trPr>
        <w:tc>
          <w:tcPr>
            <w:tcW w:w="1171" w:type="pct"/>
            <w:shd w:val="clear" w:color="auto" w:fill="auto"/>
            <w:noWrap/>
            <w:vAlign w:val="bottom"/>
          </w:tcPr>
          <w:p w14:paraId="52E1BF71"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Maharashtra</w:t>
            </w:r>
          </w:p>
        </w:tc>
        <w:tc>
          <w:tcPr>
            <w:tcW w:w="962" w:type="pct"/>
            <w:shd w:val="clear" w:color="auto" w:fill="auto"/>
            <w:noWrap/>
            <w:vAlign w:val="center"/>
          </w:tcPr>
          <w:p w14:paraId="397A24B3" w14:textId="79D02A1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0.955</w:t>
            </w:r>
          </w:p>
        </w:tc>
        <w:tc>
          <w:tcPr>
            <w:tcW w:w="931" w:type="pct"/>
            <w:shd w:val="clear" w:color="auto" w:fill="auto"/>
            <w:noWrap/>
            <w:vAlign w:val="center"/>
          </w:tcPr>
          <w:p w14:paraId="1DDEA7EB" w14:textId="41EB659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3.017</w:t>
            </w:r>
          </w:p>
        </w:tc>
        <w:tc>
          <w:tcPr>
            <w:tcW w:w="989" w:type="pct"/>
            <w:shd w:val="clear" w:color="auto" w:fill="auto"/>
            <w:noWrap/>
            <w:vAlign w:val="center"/>
          </w:tcPr>
          <w:p w14:paraId="01DCA164"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216</w:t>
            </w:r>
          </w:p>
        </w:tc>
        <w:tc>
          <w:tcPr>
            <w:tcW w:w="947" w:type="pct"/>
            <w:shd w:val="clear" w:color="auto" w:fill="auto"/>
            <w:noWrap/>
            <w:vAlign w:val="center"/>
          </w:tcPr>
          <w:p w14:paraId="08282397"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21.91</w:t>
            </w:r>
          </w:p>
        </w:tc>
      </w:tr>
      <w:tr w:rsidR="00692FD2" w14:paraId="398654B4" w14:textId="77777777" w:rsidTr="00A0529D">
        <w:trPr>
          <w:trHeight w:val="289"/>
        </w:trPr>
        <w:tc>
          <w:tcPr>
            <w:tcW w:w="1171" w:type="pct"/>
            <w:shd w:val="clear" w:color="auto" w:fill="auto"/>
            <w:noWrap/>
            <w:vAlign w:val="bottom"/>
          </w:tcPr>
          <w:p w14:paraId="5E51070E"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Rajasthan</w:t>
            </w:r>
          </w:p>
        </w:tc>
        <w:tc>
          <w:tcPr>
            <w:tcW w:w="962" w:type="pct"/>
            <w:shd w:val="clear" w:color="auto" w:fill="auto"/>
            <w:noWrap/>
            <w:vAlign w:val="center"/>
          </w:tcPr>
          <w:p w14:paraId="65889EFF" w14:textId="7EA4EC0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0.706</w:t>
            </w:r>
          </w:p>
        </w:tc>
        <w:tc>
          <w:tcPr>
            <w:tcW w:w="931" w:type="pct"/>
            <w:shd w:val="clear" w:color="auto" w:fill="auto"/>
            <w:noWrap/>
            <w:vAlign w:val="center"/>
          </w:tcPr>
          <w:p w14:paraId="454879B3" w14:textId="17FECB4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2.701</w:t>
            </w:r>
          </w:p>
        </w:tc>
        <w:tc>
          <w:tcPr>
            <w:tcW w:w="989" w:type="pct"/>
            <w:shd w:val="clear" w:color="auto" w:fill="auto"/>
            <w:noWrap/>
            <w:vAlign w:val="center"/>
          </w:tcPr>
          <w:p w14:paraId="0871926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282</w:t>
            </w:r>
          </w:p>
        </w:tc>
        <w:tc>
          <w:tcPr>
            <w:tcW w:w="947" w:type="pct"/>
            <w:shd w:val="clear" w:color="auto" w:fill="auto"/>
            <w:noWrap/>
            <w:vAlign w:val="center"/>
          </w:tcPr>
          <w:p w14:paraId="080B6DF7"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27.12</w:t>
            </w:r>
          </w:p>
        </w:tc>
      </w:tr>
      <w:tr w:rsidR="00692FD2" w14:paraId="2ECE46E5" w14:textId="77777777" w:rsidTr="00A0529D">
        <w:trPr>
          <w:trHeight w:val="289"/>
        </w:trPr>
        <w:tc>
          <w:tcPr>
            <w:tcW w:w="1171" w:type="pct"/>
            <w:shd w:val="clear" w:color="auto" w:fill="auto"/>
            <w:noWrap/>
            <w:vAlign w:val="bottom"/>
          </w:tcPr>
          <w:p w14:paraId="716C4B2A"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Sikkim</w:t>
            </w:r>
          </w:p>
        </w:tc>
        <w:tc>
          <w:tcPr>
            <w:tcW w:w="962" w:type="pct"/>
            <w:shd w:val="clear" w:color="auto" w:fill="auto"/>
            <w:noWrap/>
            <w:vAlign w:val="center"/>
          </w:tcPr>
          <w:p w14:paraId="628C78ED" w14:textId="24C8AE9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0.601</w:t>
            </w:r>
          </w:p>
        </w:tc>
        <w:tc>
          <w:tcPr>
            <w:tcW w:w="931" w:type="pct"/>
            <w:shd w:val="clear" w:color="auto" w:fill="auto"/>
            <w:noWrap/>
            <w:vAlign w:val="center"/>
          </w:tcPr>
          <w:p w14:paraId="420800E0" w14:textId="41DDD9BA"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0.757</w:t>
            </w:r>
          </w:p>
        </w:tc>
        <w:tc>
          <w:tcPr>
            <w:tcW w:w="989" w:type="pct"/>
            <w:shd w:val="clear" w:color="auto" w:fill="auto"/>
            <w:noWrap/>
            <w:vAlign w:val="center"/>
          </w:tcPr>
          <w:p w14:paraId="481676FA"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26</w:t>
            </w:r>
          </w:p>
        </w:tc>
        <w:tc>
          <w:tcPr>
            <w:tcW w:w="947" w:type="pct"/>
            <w:shd w:val="clear" w:color="auto" w:fill="auto"/>
            <w:noWrap/>
            <w:vAlign w:val="center"/>
          </w:tcPr>
          <w:p w14:paraId="20DF3A5A"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4.95</w:t>
            </w:r>
          </w:p>
        </w:tc>
      </w:tr>
      <w:tr w:rsidR="00692FD2" w14:paraId="0EB2885A" w14:textId="77777777" w:rsidTr="00A0529D">
        <w:trPr>
          <w:trHeight w:val="289"/>
        </w:trPr>
        <w:tc>
          <w:tcPr>
            <w:tcW w:w="1171" w:type="pct"/>
            <w:shd w:val="clear" w:color="auto" w:fill="auto"/>
            <w:noWrap/>
            <w:vAlign w:val="bottom"/>
          </w:tcPr>
          <w:p w14:paraId="3A827B82"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Odisha</w:t>
            </w:r>
          </w:p>
        </w:tc>
        <w:tc>
          <w:tcPr>
            <w:tcW w:w="962" w:type="pct"/>
            <w:shd w:val="clear" w:color="auto" w:fill="auto"/>
            <w:noWrap/>
            <w:vAlign w:val="center"/>
          </w:tcPr>
          <w:p w14:paraId="3AC90C88" w14:textId="76F6815E"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0.498</w:t>
            </w:r>
          </w:p>
        </w:tc>
        <w:tc>
          <w:tcPr>
            <w:tcW w:w="931" w:type="pct"/>
            <w:shd w:val="clear" w:color="auto" w:fill="auto"/>
            <w:noWrap/>
            <w:vAlign w:val="center"/>
          </w:tcPr>
          <w:p w14:paraId="4DF2A33C" w14:textId="69CDFA51"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0.922</w:t>
            </w:r>
          </w:p>
        </w:tc>
        <w:tc>
          <w:tcPr>
            <w:tcW w:w="989" w:type="pct"/>
            <w:shd w:val="clear" w:color="auto" w:fill="auto"/>
            <w:noWrap/>
            <w:vAlign w:val="center"/>
          </w:tcPr>
          <w:p w14:paraId="706D08D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85</w:t>
            </w:r>
          </w:p>
        </w:tc>
        <w:tc>
          <w:tcPr>
            <w:tcW w:w="947" w:type="pct"/>
            <w:shd w:val="clear" w:color="auto" w:fill="auto"/>
            <w:noWrap/>
            <w:vAlign w:val="center"/>
          </w:tcPr>
          <w:p w14:paraId="21F9FED9"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15.5</w:t>
            </w:r>
          </w:p>
        </w:tc>
      </w:tr>
      <w:tr w:rsidR="00692FD2" w14:paraId="251572DD" w14:textId="77777777" w:rsidTr="00A0529D">
        <w:trPr>
          <w:trHeight w:val="289"/>
        </w:trPr>
        <w:tc>
          <w:tcPr>
            <w:tcW w:w="1171" w:type="pct"/>
            <w:shd w:val="clear" w:color="auto" w:fill="auto"/>
            <w:noWrap/>
            <w:vAlign w:val="bottom"/>
          </w:tcPr>
          <w:p w14:paraId="72259D0A"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Gujarat</w:t>
            </w:r>
          </w:p>
        </w:tc>
        <w:tc>
          <w:tcPr>
            <w:tcW w:w="962" w:type="pct"/>
            <w:shd w:val="clear" w:color="auto" w:fill="auto"/>
            <w:noWrap/>
            <w:vAlign w:val="center"/>
          </w:tcPr>
          <w:p w14:paraId="28067940" w14:textId="1E08E958"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0.472</w:t>
            </w:r>
          </w:p>
        </w:tc>
        <w:tc>
          <w:tcPr>
            <w:tcW w:w="931" w:type="pct"/>
            <w:shd w:val="clear" w:color="auto" w:fill="auto"/>
            <w:noWrap/>
            <w:vAlign w:val="center"/>
          </w:tcPr>
          <w:p w14:paraId="1B666664" w14:textId="56EC885E"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1.123</w:t>
            </w:r>
          </w:p>
        </w:tc>
        <w:tc>
          <w:tcPr>
            <w:tcW w:w="989" w:type="pct"/>
            <w:shd w:val="clear" w:color="auto" w:fill="auto"/>
            <w:noWrap/>
            <w:vAlign w:val="center"/>
          </w:tcPr>
          <w:p w14:paraId="4272D183"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138</w:t>
            </w:r>
          </w:p>
        </w:tc>
        <w:tc>
          <w:tcPr>
            <w:tcW w:w="947" w:type="pct"/>
            <w:shd w:val="clear" w:color="auto" w:fill="auto"/>
            <w:noWrap/>
            <w:vAlign w:val="center"/>
          </w:tcPr>
          <w:p w14:paraId="49DC577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14.65</w:t>
            </w:r>
          </w:p>
        </w:tc>
      </w:tr>
      <w:tr w:rsidR="00692FD2" w14:paraId="7E6807CE" w14:textId="77777777" w:rsidTr="00A0529D">
        <w:trPr>
          <w:trHeight w:val="289"/>
        </w:trPr>
        <w:tc>
          <w:tcPr>
            <w:tcW w:w="1171" w:type="pct"/>
            <w:shd w:val="clear" w:color="auto" w:fill="auto"/>
            <w:noWrap/>
            <w:vAlign w:val="bottom"/>
          </w:tcPr>
          <w:p w14:paraId="42E445F4"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Uttar Pradesh</w:t>
            </w:r>
          </w:p>
        </w:tc>
        <w:tc>
          <w:tcPr>
            <w:tcW w:w="962" w:type="pct"/>
            <w:shd w:val="clear" w:color="auto" w:fill="auto"/>
            <w:noWrap/>
            <w:vAlign w:val="center"/>
          </w:tcPr>
          <w:p w14:paraId="4A5C67EC" w14:textId="4B386F37"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0.438</w:t>
            </w:r>
          </w:p>
        </w:tc>
        <w:tc>
          <w:tcPr>
            <w:tcW w:w="931" w:type="pct"/>
            <w:shd w:val="clear" w:color="auto" w:fill="auto"/>
            <w:noWrap/>
            <w:vAlign w:val="center"/>
          </w:tcPr>
          <w:p w14:paraId="560BB11C" w14:textId="4F0F6E7E"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0.637</w:t>
            </w:r>
          </w:p>
        </w:tc>
        <w:tc>
          <w:tcPr>
            <w:tcW w:w="989" w:type="pct"/>
            <w:shd w:val="clear" w:color="auto" w:fill="auto"/>
            <w:noWrap/>
            <w:vAlign w:val="center"/>
          </w:tcPr>
          <w:p w14:paraId="199659F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45</w:t>
            </w:r>
          </w:p>
        </w:tc>
        <w:tc>
          <w:tcPr>
            <w:tcW w:w="947" w:type="pct"/>
            <w:shd w:val="clear" w:color="auto" w:fill="auto"/>
            <w:noWrap/>
            <w:vAlign w:val="center"/>
          </w:tcPr>
          <w:p w14:paraId="3806F81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6.91</w:t>
            </w:r>
          </w:p>
        </w:tc>
      </w:tr>
      <w:tr w:rsidR="00692FD2" w14:paraId="76631A40" w14:textId="77777777" w:rsidTr="00A0529D">
        <w:trPr>
          <w:trHeight w:val="289"/>
        </w:trPr>
        <w:tc>
          <w:tcPr>
            <w:tcW w:w="1171" w:type="pct"/>
            <w:shd w:val="clear" w:color="auto" w:fill="auto"/>
            <w:noWrap/>
            <w:vAlign w:val="bottom"/>
          </w:tcPr>
          <w:p w14:paraId="7800634B"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Karnataka</w:t>
            </w:r>
          </w:p>
        </w:tc>
        <w:tc>
          <w:tcPr>
            <w:tcW w:w="962" w:type="pct"/>
            <w:shd w:val="clear" w:color="auto" w:fill="auto"/>
            <w:noWrap/>
            <w:vAlign w:val="center"/>
          </w:tcPr>
          <w:p w14:paraId="41EE1F05" w14:textId="1E0EA5A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0.368</w:t>
            </w:r>
          </w:p>
        </w:tc>
        <w:tc>
          <w:tcPr>
            <w:tcW w:w="931" w:type="pct"/>
            <w:shd w:val="clear" w:color="auto" w:fill="auto"/>
            <w:noWrap/>
            <w:vAlign w:val="center"/>
          </w:tcPr>
          <w:p w14:paraId="6728D682" w14:textId="32F4BA6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0.864</w:t>
            </w:r>
          </w:p>
        </w:tc>
        <w:tc>
          <w:tcPr>
            <w:tcW w:w="989" w:type="pct"/>
            <w:shd w:val="clear" w:color="auto" w:fill="auto"/>
            <w:noWrap/>
            <w:vAlign w:val="center"/>
          </w:tcPr>
          <w:p w14:paraId="24BA354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135</w:t>
            </w:r>
          </w:p>
        </w:tc>
        <w:tc>
          <w:tcPr>
            <w:tcW w:w="947" w:type="pct"/>
            <w:shd w:val="clear" w:color="auto" w:fill="auto"/>
            <w:noWrap/>
            <w:vAlign w:val="center"/>
          </w:tcPr>
          <w:p w14:paraId="169BE9C0"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15.72</w:t>
            </w:r>
          </w:p>
        </w:tc>
      </w:tr>
      <w:tr w:rsidR="00692FD2" w14:paraId="3B872B18" w14:textId="77777777" w:rsidTr="00A0529D">
        <w:trPr>
          <w:trHeight w:val="289"/>
        </w:trPr>
        <w:tc>
          <w:tcPr>
            <w:tcW w:w="1171" w:type="pct"/>
            <w:shd w:val="clear" w:color="auto" w:fill="auto"/>
            <w:noWrap/>
            <w:vAlign w:val="bottom"/>
          </w:tcPr>
          <w:p w14:paraId="52F30F98"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Uttarakhand</w:t>
            </w:r>
          </w:p>
        </w:tc>
        <w:tc>
          <w:tcPr>
            <w:tcW w:w="962" w:type="pct"/>
            <w:shd w:val="clear" w:color="auto" w:fill="auto"/>
            <w:noWrap/>
            <w:vAlign w:val="center"/>
          </w:tcPr>
          <w:p w14:paraId="51AA2E48" w14:textId="719FBBA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0.274</w:t>
            </w:r>
          </w:p>
        </w:tc>
        <w:tc>
          <w:tcPr>
            <w:tcW w:w="931" w:type="pct"/>
            <w:shd w:val="clear" w:color="auto" w:fill="auto"/>
            <w:noWrap/>
            <w:vAlign w:val="center"/>
          </w:tcPr>
          <w:p w14:paraId="08BE67DC" w14:textId="17EE3B3A"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0.512</w:t>
            </w:r>
          </w:p>
        </w:tc>
        <w:tc>
          <w:tcPr>
            <w:tcW w:w="989" w:type="pct"/>
            <w:shd w:val="clear" w:color="auto" w:fill="auto"/>
            <w:noWrap/>
            <w:vAlign w:val="center"/>
          </w:tcPr>
          <w:p w14:paraId="0BA32563"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87</w:t>
            </w:r>
          </w:p>
        </w:tc>
        <w:tc>
          <w:tcPr>
            <w:tcW w:w="947" w:type="pct"/>
            <w:shd w:val="clear" w:color="auto" w:fill="auto"/>
            <w:noWrap/>
            <w:vAlign w:val="center"/>
          </w:tcPr>
          <w:p w14:paraId="0CDDFED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12.14</w:t>
            </w:r>
          </w:p>
        </w:tc>
      </w:tr>
      <w:tr w:rsidR="00692FD2" w14:paraId="631845EB" w14:textId="77777777" w:rsidTr="00A0529D">
        <w:trPr>
          <w:trHeight w:val="289"/>
        </w:trPr>
        <w:tc>
          <w:tcPr>
            <w:tcW w:w="1171" w:type="pct"/>
            <w:shd w:val="clear" w:color="auto" w:fill="auto"/>
            <w:noWrap/>
            <w:vAlign w:val="bottom"/>
          </w:tcPr>
          <w:p w14:paraId="4B8D0425"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Kerala</w:t>
            </w:r>
          </w:p>
        </w:tc>
        <w:tc>
          <w:tcPr>
            <w:tcW w:w="962" w:type="pct"/>
            <w:shd w:val="clear" w:color="auto" w:fill="auto"/>
            <w:noWrap/>
            <w:vAlign w:val="center"/>
          </w:tcPr>
          <w:p w14:paraId="7BE4E3C4" w14:textId="2962DFD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0.162</w:t>
            </w:r>
          </w:p>
        </w:tc>
        <w:tc>
          <w:tcPr>
            <w:tcW w:w="931" w:type="pct"/>
            <w:shd w:val="clear" w:color="auto" w:fill="auto"/>
            <w:noWrap/>
            <w:vAlign w:val="center"/>
          </w:tcPr>
          <w:p w14:paraId="1702DEBA" w14:textId="5131DE5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0.418</w:t>
            </w:r>
          </w:p>
        </w:tc>
        <w:tc>
          <w:tcPr>
            <w:tcW w:w="989" w:type="pct"/>
            <w:shd w:val="clear" w:color="auto" w:fill="auto"/>
            <w:noWrap/>
            <w:vAlign w:val="center"/>
          </w:tcPr>
          <w:p w14:paraId="6427373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158</w:t>
            </w:r>
          </w:p>
        </w:tc>
        <w:tc>
          <w:tcPr>
            <w:tcW w:w="947" w:type="pct"/>
            <w:shd w:val="clear" w:color="auto" w:fill="auto"/>
            <w:noWrap/>
            <w:vAlign w:val="center"/>
          </w:tcPr>
          <w:p w14:paraId="4F7F5622"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18.33</w:t>
            </w:r>
          </w:p>
        </w:tc>
      </w:tr>
      <w:tr w:rsidR="00692FD2" w14:paraId="035119C6" w14:textId="77777777" w:rsidTr="00A0529D">
        <w:trPr>
          <w:trHeight w:val="289"/>
        </w:trPr>
        <w:tc>
          <w:tcPr>
            <w:tcW w:w="1171" w:type="pct"/>
            <w:shd w:val="clear" w:color="auto" w:fill="auto"/>
            <w:noWrap/>
            <w:vAlign w:val="bottom"/>
          </w:tcPr>
          <w:p w14:paraId="353F33F8"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Andhra Pradesh</w:t>
            </w:r>
          </w:p>
        </w:tc>
        <w:tc>
          <w:tcPr>
            <w:tcW w:w="962" w:type="pct"/>
            <w:shd w:val="clear" w:color="auto" w:fill="auto"/>
            <w:noWrap/>
            <w:vAlign w:val="center"/>
          </w:tcPr>
          <w:p w14:paraId="54B984A3" w14:textId="012AD7DE"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0.129</w:t>
            </w:r>
          </w:p>
        </w:tc>
        <w:tc>
          <w:tcPr>
            <w:tcW w:w="931" w:type="pct"/>
            <w:shd w:val="clear" w:color="auto" w:fill="auto"/>
            <w:noWrap/>
            <w:vAlign w:val="center"/>
          </w:tcPr>
          <w:p w14:paraId="6C224F5B" w14:textId="63A81E9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0.355</w:t>
            </w:r>
          </w:p>
        </w:tc>
        <w:tc>
          <w:tcPr>
            <w:tcW w:w="989" w:type="pct"/>
            <w:shd w:val="clear" w:color="auto" w:fill="auto"/>
            <w:noWrap/>
            <w:vAlign w:val="center"/>
          </w:tcPr>
          <w:p w14:paraId="7B4B56B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175</w:t>
            </w:r>
          </w:p>
        </w:tc>
        <w:tc>
          <w:tcPr>
            <w:tcW w:w="947" w:type="pct"/>
            <w:shd w:val="clear" w:color="auto" w:fill="auto"/>
            <w:noWrap/>
            <w:vAlign w:val="center"/>
          </w:tcPr>
          <w:p w14:paraId="144A5950"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22.22</w:t>
            </w:r>
          </w:p>
        </w:tc>
      </w:tr>
      <w:tr w:rsidR="00692FD2" w14:paraId="70558AAC" w14:textId="77777777" w:rsidTr="00A0529D">
        <w:trPr>
          <w:trHeight w:val="289"/>
        </w:trPr>
        <w:tc>
          <w:tcPr>
            <w:tcW w:w="1171" w:type="pct"/>
            <w:shd w:val="clear" w:color="auto" w:fill="auto"/>
            <w:noWrap/>
            <w:vAlign w:val="bottom"/>
          </w:tcPr>
          <w:p w14:paraId="59566DE3"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Goa</w:t>
            </w:r>
          </w:p>
        </w:tc>
        <w:tc>
          <w:tcPr>
            <w:tcW w:w="962" w:type="pct"/>
            <w:shd w:val="clear" w:color="auto" w:fill="auto"/>
            <w:noWrap/>
            <w:vAlign w:val="center"/>
          </w:tcPr>
          <w:p w14:paraId="63C276B4" w14:textId="43AA508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0.123</w:t>
            </w:r>
          </w:p>
        </w:tc>
        <w:tc>
          <w:tcPr>
            <w:tcW w:w="931" w:type="pct"/>
            <w:shd w:val="clear" w:color="auto" w:fill="auto"/>
            <w:noWrap/>
            <w:vAlign w:val="center"/>
          </w:tcPr>
          <w:p w14:paraId="3650D50C" w14:textId="77DF85BB"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0.128</w:t>
            </w:r>
          </w:p>
        </w:tc>
        <w:tc>
          <w:tcPr>
            <w:tcW w:w="989" w:type="pct"/>
            <w:shd w:val="clear" w:color="auto" w:fill="auto"/>
            <w:noWrap/>
            <w:vAlign w:val="center"/>
          </w:tcPr>
          <w:p w14:paraId="5609F849"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w:t>
            </w:r>
          </w:p>
        </w:tc>
        <w:tc>
          <w:tcPr>
            <w:tcW w:w="947" w:type="pct"/>
            <w:shd w:val="clear" w:color="auto" w:fill="auto"/>
            <w:noWrap/>
            <w:vAlign w:val="center"/>
          </w:tcPr>
          <w:p w14:paraId="5786FAE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1.53</w:t>
            </w:r>
          </w:p>
        </w:tc>
      </w:tr>
      <w:tr w:rsidR="00692FD2" w14:paraId="449468F8" w14:textId="77777777" w:rsidTr="00A0529D">
        <w:trPr>
          <w:trHeight w:val="289"/>
        </w:trPr>
        <w:tc>
          <w:tcPr>
            <w:tcW w:w="1171" w:type="pct"/>
            <w:shd w:val="clear" w:color="auto" w:fill="auto"/>
            <w:noWrap/>
            <w:vAlign w:val="bottom"/>
          </w:tcPr>
          <w:p w14:paraId="1CB5DF40"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Jammu &amp; Kashmir</w:t>
            </w:r>
          </w:p>
        </w:tc>
        <w:tc>
          <w:tcPr>
            <w:tcW w:w="962" w:type="pct"/>
            <w:shd w:val="clear" w:color="auto" w:fill="auto"/>
            <w:noWrap/>
            <w:vAlign w:val="center"/>
          </w:tcPr>
          <w:p w14:paraId="084249FC" w14:textId="551A567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0.121</w:t>
            </w:r>
          </w:p>
        </w:tc>
        <w:tc>
          <w:tcPr>
            <w:tcW w:w="931" w:type="pct"/>
            <w:shd w:val="clear" w:color="auto" w:fill="auto"/>
            <w:noWrap/>
            <w:vAlign w:val="center"/>
          </w:tcPr>
          <w:p w14:paraId="721CF0B5" w14:textId="6E73CCB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0.289</w:t>
            </w:r>
          </w:p>
        </w:tc>
        <w:tc>
          <w:tcPr>
            <w:tcW w:w="989" w:type="pct"/>
            <w:shd w:val="clear" w:color="auto" w:fill="auto"/>
            <w:noWrap/>
            <w:vAlign w:val="center"/>
          </w:tcPr>
          <w:p w14:paraId="5B4B3761"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139</w:t>
            </w:r>
          </w:p>
        </w:tc>
        <w:tc>
          <w:tcPr>
            <w:tcW w:w="947" w:type="pct"/>
            <w:shd w:val="clear" w:color="auto" w:fill="auto"/>
            <w:noWrap/>
            <w:vAlign w:val="center"/>
          </w:tcPr>
          <w:p w14:paraId="6F98662B"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19.73</w:t>
            </w:r>
          </w:p>
        </w:tc>
      </w:tr>
      <w:tr w:rsidR="00692FD2" w14:paraId="6E27F471" w14:textId="77777777" w:rsidTr="00A0529D">
        <w:trPr>
          <w:trHeight w:val="300"/>
        </w:trPr>
        <w:tc>
          <w:tcPr>
            <w:tcW w:w="1171" w:type="pct"/>
            <w:shd w:val="clear" w:color="auto" w:fill="auto"/>
            <w:noWrap/>
            <w:vAlign w:val="bottom"/>
          </w:tcPr>
          <w:p w14:paraId="0C8BDAEC"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Jharkhand</w:t>
            </w:r>
          </w:p>
        </w:tc>
        <w:tc>
          <w:tcPr>
            <w:tcW w:w="962" w:type="pct"/>
            <w:shd w:val="clear" w:color="auto" w:fill="auto"/>
            <w:noWrap/>
            <w:vAlign w:val="center"/>
          </w:tcPr>
          <w:p w14:paraId="6C5A47A1" w14:textId="6B80D51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0.086</w:t>
            </w:r>
          </w:p>
        </w:tc>
        <w:tc>
          <w:tcPr>
            <w:tcW w:w="931" w:type="pct"/>
            <w:shd w:val="clear" w:color="auto" w:fill="auto"/>
            <w:noWrap/>
            <w:vAlign w:val="center"/>
          </w:tcPr>
          <w:p w14:paraId="5E7AD8A8" w14:textId="487B496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0.345</w:t>
            </w:r>
          </w:p>
        </w:tc>
        <w:tc>
          <w:tcPr>
            <w:tcW w:w="989" w:type="pct"/>
            <w:shd w:val="clear" w:color="auto" w:fill="auto"/>
            <w:noWrap/>
            <w:vAlign w:val="center"/>
          </w:tcPr>
          <w:p w14:paraId="29D697E6"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302</w:t>
            </w:r>
          </w:p>
        </w:tc>
        <w:tc>
          <w:tcPr>
            <w:tcW w:w="947" w:type="pct"/>
            <w:shd w:val="clear" w:color="auto" w:fill="auto"/>
            <w:noWrap/>
            <w:vAlign w:val="center"/>
          </w:tcPr>
          <w:p w14:paraId="288E177E"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68.63</w:t>
            </w:r>
          </w:p>
        </w:tc>
      </w:tr>
      <w:tr w:rsidR="00692FD2" w14:paraId="0888E98A" w14:textId="77777777" w:rsidTr="00A0529D">
        <w:trPr>
          <w:trHeight w:val="300"/>
        </w:trPr>
        <w:tc>
          <w:tcPr>
            <w:tcW w:w="1171" w:type="pct"/>
            <w:shd w:val="clear" w:color="auto" w:fill="auto"/>
            <w:noWrap/>
            <w:vAlign w:val="bottom"/>
          </w:tcPr>
          <w:p w14:paraId="0DD991AF"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Assam</w:t>
            </w:r>
          </w:p>
        </w:tc>
        <w:tc>
          <w:tcPr>
            <w:tcW w:w="962" w:type="pct"/>
            <w:shd w:val="clear" w:color="auto" w:fill="auto"/>
            <w:noWrap/>
            <w:vAlign w:val="center"/>
          </w:tcPr>
          <w:p w14:paraId="6EB69926" w14:textId="3CBB552C"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0.071</w:t>
            </w:r>
          </w:p>
        </w:tc>
        <w:tc>
          <w:tcPr>
            <w:tcW w:w="931" w:type="pct"/>
            <w:shd w:val="clear" w:color="auto" w:fill="auto"/>
            <w:noWrap/>
            <w:vAlign w:val="center"/>
          </w:tcPr>
          <w:p w14:paraId="6E1E37F2" w14:textId="79BF5CA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0.340</w:t>
            </w:r>
          </w:p>
        </w:tc>
        <w:tc>
          <w:tcPr>
            <w:tcW w:w="989" w:type="pct"/>
            <w:shd w:val="clear" w:color="auto" w:fill="auto"/>
            <w:noWrap/>
            <w:vAlign w:val="center"/>
          </w:tcPr>
          <w:p w14:paraId="1855238C"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377</w:t>
            </w:r>
          </w:p>
        </w:tc>
        <w:tc>
          <w:tcPr>
            <w:tcW w:w="947" w:type="pct"/>
            <w:shd w:val="clear" w:color="auto" w:fill="auto"/>
            <w:noWrap/>
            <w:vAlign w:val="center"/>
          </w:tcPr>
          <w:p w14:paraId="1541633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35.76</w:t>
            </w:r>
          </w:p>
        </w:tc>
      </w:tr>
      <w:tr w:rsidR="00692FD2" w14:paraId="01E1DD5C" w14:textId="77777777" w:rsidTr="00A0529D">
        <w:trPr>
          <w:trHeight w:val="300"/>
        </w:trPr>
        <w:tc>
          <w:tcPr>
            <w:tcW w:w="1171" w:type="pct"/>
            <w:shd w:val="clear" w:color="auto" w:fill="auto"/>
            <w:noWrap/>
            <w:vAlign w:val="bottom"/>
          </w:tcPr>
          <w:p w14:paraId="07740676"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West Bengal</w:t>
            </w:r>
          </w:p>
        </w:tc>
        <w:tc>
          <w:tcPr>
            <w:tcW w:w="962" w:type="pct"/>
            <w:shd w:val="clear" w:color="auto" w:fill="auto"/>
            <w:noWrap/>
            <w:vAlign w:val="center"/>
          </w:tcPr>
          <w:p w14:paraId="0928A09B" w14:textId="3D51C96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0.065</w:t>
            </w:r>
          </w:p>
        </w:tc>
        <w:tc>
          <w:tcPr>
            <w:tcW w:w="931" w:type="pct"/>
            <w:shd w:val="clear" w:color="auto" w:fill="auto"/>
            <w:noWrap/>
            <w:vAlign w:val="center"/>
          </w:tcPr>
          <w:p w14:paraId="76A61593" w14:textId="05A78B4C"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0.063</w:t>
            </w:r>
          </w:p>
        </w:tc>
        <w:tc>
          <w:tcPr>
            <w:tcW w:w="989" w:type="pct"/>
            <w:shd w:val="clear" w:color="auto" w:fill="auto"/>
            <w:noWrap/>
            <w:vAlign w:val="center"/>
          </w:tcPr>
          <w:p w14:paraId="5C969C3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w:t>
            </w:r>
          </w:p>
        </w:tc>
        <w:tc>
          <w:tcPr>
            <w:tcW w:w="947" w:type="pct"/>
            <w:shd w:val="clear" w:color="auto" w:fill="auto"/>
            <w:noWrap/>
            <w:vAlign w:val="center"/>
          </w:tcPr>
          <w:p w14:paraId="18F4C979"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11.81</w:t>
            </w:r>
          </w:p>
        </w:tc>
      </w:tr>
      <w:tr w:rsidR="00692FD2" w14:paraId="5D40D54A" w14:textId="77777777" w:rsidTr="00A0529D">
        <w:trPr>
          <w:trHeight w:val="300"/>
        </w:trPr>
        <w:tc>
          <w:tcPr>
            <w:tcW w:w="1171" w:type="pct"/>
            <w:shd w:val="clear" w:color="auto" w:fill="auto"/>
            <w:noWrap/>
            <w:vAlign w:val="bottom"/>
          </w:tcPr>
          <w:p w14:paraId="50F5C0F4"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Himachal Pradesh</w:t>
            </w:r>
          </w:p>
        </w:tc>
        <w:tc>
          <w:tcPr>
            <w:tcW w:w="962" w:type="pct"/>
            <w:shd w:val="clear" w:color="auto" w:fill="auto"/>
            <w:noWrap/>
            <w:vAlign w:val="center"/>
          </w:tcPr>
          <w:p w14:paraId="7EF822C3" w14:textId="07979C28"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0.062</w:t>
            </w:r>
          </w:p>
        </w:tc>
        <w:tc>
          <w:tcPr>
            <w:tcW w:w="931" w:type="pct"/>
            <w:shd w:val="clear" w:color="auto" w:fill="auto"/>
            <w:noWrap/>
            <w:vAlign w:val="center"/>
          </w:tcPr>
          <w:p w14:paraId="105A86AF" w14:textId="5E4E713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0.123</w:t>
            </w:r>
          </w:p>
        </w:tc>
        <w:tc>
          <w:tcPr>
            <w:tcW w:w="989" w:type="pct"/>
            <w:shd w:val="clear" w:color="auto" w:fill="auto"/>
            <w:noWrap/>
            <w:vAlign w:val="center"/>
          </w:tcPr>
          <w:p w14:paraId="7BED9427"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98</w:t>
            </w:r>
          </w:p>
        </w:tc>
        <w:tc>
          <w:tcPr>
            <w:tcW w:w="947" w:type="pct"/>
            <w:shd w:val="clear" w:color="auto" w:fill="auto"/>
            <w:noWrap/>
            <w:vAlign w:val="center"/>
          </w:tcPr>
          <w:p w14:paraId="64599F4A"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13.96</w:t>
            </w:r>
          </w:p>
        </w:tc>
      </w:tr>
      <w:tr w:rsidR="00692FD2" w14:paraId="0A4FF6BA" w14:textId="77777777" w:rsidTr="00A0529D">
        <w:trPr>
          <w:trHeight w:val="300"/>
        </w:trPr>
        <w:tc>
          <w:tcPr>
            <w:tcW w:w="1171" w:type="pct"/>
            <w:shd w:val="clear" w:color="auto" w:fill="auto"/>
            <w:noWrap/>
            <w:vAlign w:val="bottom"/>
          </w:tcPr>
          <w:p w14:paraId="1B4357F2"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Tamil Nadu</w:t>
            </w:r>
          </w:p>
        </w:tc>
        <w:tc>
          <w:tcPr>
            <w:tcW w:w="962" w:type="pct"/>
            <w:shd w:val="clear" w:color="auto" w:fill="auto"/>
            <w:noWrap/>
            <w:vAlign w:val="center"/>
          </w:tcPr>
          <w:p w14:paraId="01918D26" w14:textId="0259234C"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0.062</w:t>
            </w:r>
          </w:p>
        </w:tc>
        <w:tc>
          <w:tcPr>
            <w:tcW w:w="931" w:type="pct"/>
            <w:shd w:val="clear" w:color="auto" w:fill="auto"/>
            <w:noWrap/>
            <w:vAlign w:val="center"/>
          </w:tcPr>
          <w:p w14:paraId="47E0A10D" w14:textId="30ABBA7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0.267</w:t>
            </w:r>
          </w:p>
        </w:tc>
        <w:tc>
          <w:tcPr>
            <w:tcW w:w="989" w:type="pct"/>
            <w:shd w:val="clear" w:color="auto" w:fill="auto"/>
            <w:noWrap/>
            <w:vAlign w:val="center"/>
          </w:tcPr>
          <w:p w14:paraId="0F8F5D0C"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329</w:t>
            </w:r>
          </w:p>
        </w:tc>
        <w:tc>
          <w:tcPr>
            <w:tcW w:w="947" w:type="pct"/>
            <w:shd w:val="clear" w:color="auto" w:fill="auto"/>
            <w:noWrap/>
            <w:vAlign w:val="center"/>
          </w:tcPr>
          <w:p w14:paraId="09F154D4"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32.02</w:t>
            </w:r>
          </w:p>
        </w:tc>
      </w:tr>
      <w:tr w:rsidR="00692FD2" w14:paraId="3B0144A8" w14:textId="77777777" w:rsidTr="00A0529D">
        <w:trPr>
          <w:trHeight w:val="300"/>
        </w:trPr>
        <w:tc>
          <w:tcPr>
            <w:tcW w:w="1171" w:type="pct"/>
            <w:shd w:val="clear" w:color="auto" w:fill="auto"/>
            <w:noWrap/>
            <w:vAlign w:val="bottom"/>
          </w:tcPr>
          <w:p w14:paraId="38B8E967"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Haryana</w:t>
            </w:r>
          </w:p>
        </w:tc>
        <w:tc>
          <w:tcPr>
            <w:tcW w:w="962" w:type="pct"/>
            <w:shd w:val="clear" w:color="auto" w:fill="auto"/>
            <w:noWrap/>
            <w:vAlign w:val="center"/>
          </w:tcPr>
          <w:p w14:paraId="28DEF839" w14:textId="471CD58D"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0.060</w:t>
            </w:r>
          </w:p>
        </w:tc>
        <w:tc>
          <w:tcPr>
            <w:tcW w:w="931" w:type="pct"/>
            <w:shd w:val="clear" w:color="auto" w:fill="auto"/>
            <w:noWrap/>
            <w:vAlign w:val="center"/>
          </w:tcPr>
          <w:p w14:paraId="0CE57A74" w14:textId="383951CC"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0.057</w:t>
            </w:r>
          </w:p>
        </w:tc>
        <w:tc>
          <w:tcPr>
            <w:tcW w:w="989" w:type="pct"/>
            <w:shd w:val="clear" w:color="auto" w:fill="auto"/>
            <w:noWrap/>
            <w:vAlign w:val="center"/>
          </w:tcPr>
          <w:p w14:paraId="5A975C27"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6</w:t>
            </w:r>
          </w:p>
        </w:tc>
        <w:tc>
          <w:tcPr>
            <w:tcW w:w="947" w:type="pct"/>
            <w:shd w:val="clear" w:color="auto" w:fill="auto"/>
            <w:noWrap/>
            <w:vAlign w:val="center"/>
          </w:tcPr>
          <w:p w14:paraId="7BB71DDB"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-0.33</w:t>
            </w:r>
          </w:p>
        </w:tc>
      </w:tr>
      <w:tr w:rsidR="00692FD2" w14:paraId="3F18E7B9" w14:textId="77777777" w:rsidTr="00A0529D">
        <w:trPr>
          <w:trHeight w:val="300"/>
        </w:trPr>
        <w:tc>
          <w:tcPr>
            <w:tcW w:w="1171" w:type="pct"/>
            <w:shd w:val="clear" w:color="auto" w:fill="auto"/>
            <w:noWrap/>
            <w:vAlign w:val="bottom"/>
          </w:tcPr>
          <w:p w14:paraId="3AB3C2AA"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Nagaland</w:t>
            </w:r>
          </w:p>
        </w:tc>
        <w:tc>
          <w:tcPr>
            <w:tcW w:w="962" w:type="pct"/>
            <w:shd w:val="clear" w:color="auto" w:fill="auto"/>
            <w:noWrap/>
            <w:vAlign w:val="center"/>
          </w:tcPr>
          <w:p w14:paraId="1D3FC13C" w14:textId="0A03D53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0.055</w:t>
            </w:r>
          </w:p>
        </w:tc>
        <w:tc>
          <w:tcPr>
            <w:tcW w:w="931" w:type="pct"/>
            <w:shd w:val="clear" w:color="auto" w:fill="auto"/>
            <w:noWrap/>
            <w:vAlign w:val="center"/>
          </w:tcPr>
          <w:p w14:paraId="31E4ED98" w14:textId="5016FA6A"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0.124</w:t>
            </w:r>
          </w:p>
        </w:tc>
        <w:tc>
          <w:tcPr>
            <w:tcW w:w="989" w:type="pct"/>
            <w:shd w:val="clear" w:color="auto" w:fill="auto"/>
            <w:noWrap/>
            <w:vAlign w:val="center"/>
          </w:tcPr>
          <w:p w14:paraId="367BAF0B"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127</w:t>
            </w:r>
          </w:p>
        </w:tc>
        <w:tc>
          <w:tcPr>
            <w:tcW w:w="947" w:type="pct"/>
            <w:shd w:val="clear" w:color="auto" w:fill="auto"/>
            <w:noWrap/>
            <w:vAlign w:val="center"/>
          </w:tcPr>
          <w:p w14:paraId="41F71622"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17.88</w:t>
            </w:r>
          </w:p>
        </w:tc>
      </w:tr>
      <w:tr w:rsidR="00692FD2" w14:paraId="19B67BA8" w14:textId="77777777" w:rsidTr="00A0529D">
        <w:trPr>
          <w:trHeight w:val="300"/>
        </w:trPr>
        <w:tc>
          <w:tcPr>
            <w:tcW w:w="1171" w:type="pct"/>
            <w:shd w:val="clear" w:color="auto" w:fill="auto"/>
            <w:noWrap/>
            <w:vAlign w:val="bottom"/>
          </w:tcPr>
          <w:p w14:paraId="397E8816"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Chhattisgarh</w:t>
            </w:r>
          </w:p>
        </w:tc>
        <w:tc>
          <w:tcPr>
            <w:tcW w:w="962" w:type="pct"/>
            <w:shd w:val="clear" w:color="auto" w:fill="auto"/>
            <w:noWrap/>
            <w:vAlign w:val="center"/>
          </w:tcPr>
          <w:p w14:paraId="463792B4" w14:textId="1C919C2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0.037</w:t>
            </w:r>
          </w:p>
        </w:tc>
        <w:tc>
          <w:tcPr>
            <w:tcW w:w="931" w:type="pct"/>
            <w:shd w:val="clear" w:color="auto" w:fill="auto"/>
            <w:noWrap/>
            <w:vAlign w:val="center"/>
          </w:tcPr>
          <w:p w14:paraId="5D03CDA5" w14:textId="191FA63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0.223</w:t>
            </w:r>
          </w:p>
        </w:tc>
        <w:tc>
          <w:tcPr>
            <w:tcW w:w="989" w:type="pct"/>
            <w:shd w:val="clear" w:color="auto" w:fill="auto"/>
            <w:noWrap/>
            <w:vAlign w:val="center"/>
          </w:tcPr>
          <w:p w14:paraId="75F50D01"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499</w:t>
            </w:r>
          </w:p>
        </w:tc>
        <w:tc>
          <w:tcPr>
            <w:tcW w:w="947" w:type="pct"/>
            <w:shd w:val="clear" w:color="auto" w:fill="auto"/>
            <w:noWrap/>
            <w:vAlign w:val="center"/>
          </w:tcPr>
          <w:p w14:paraId="5500C5F0"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36.38</w:t>
            </w:r>
          </w:p>
        </w:tc>
      </w:tr>
      <w:tr w:rsidR="00692FD2" w14:paraId="4DA3FFC1" w14:textId="77777777" w:rsidTr="00A0529D">
        <w:trPr>
          <w:trHeight w:val="300"/>
        </w:trPr>
        <w:tc>
          <w:tcPr>
            <w:tcW w:w="1171" w:type="pct"/>
            <w:shd w:val="clear" w:color="auto" w:fill="auto"/>
            <w:noWrap/>
            <w:vAlign w:val="bottom"/>
          </w:tcPr>
          <w:p w14:paraId="08B28BFD"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Bihar</w:t>
            </w:r>
          </w:p>
        </w:tc>
        <w:tc>
          <w:tcPr>
            <w:tcW w:w="962" w:type="pct"/>
            <w:shd w:val="clear" w:color="auto" w:fill="auto"/>
            <w:noWrap/>
            <w:vAlign w:val="center"/>
          </w:tcPr>
          <w:p w14:paraId="44B125FA" w14:textId="6E3821A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0.033</w:t>
            </w:r>
          </w:p>
        </w:tc>
        <w:tc>
          <w:tcPr>
            <w:tcW w:w="931" w:type="pct"/>
            <w:shd w:val="clear" w:color="auto" w:fill="auto"/>
            <w:noWrap/>
            <w:vAlign w:val="center"/>
          </w:tcPr>
          <w:p w14:paraId="5B0AC315" w14:textId="7A6F30A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0.187</w:t>
            </w:r>
          </w:p>
        </w:tc>
        <w:tc>
          <w:tcPr>
            <w:tcW w:w="989" w:type="pct"/>
            <w:shd w:val="clear" w:color="auto" w:fill="auto"/>
            <w:noWrap/>
            <w:vAlign w:val="center"/>
          </w:tcPr>
          <w:p w14:paraId="46EADF9C"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474</w:t>
            </w:r>
          </w:p>
        </w:tc>
        <w:tc>
          <w:tcPr>
            <w:tcW w:w="947" w:type="pct"/>
            <w:shd w:val="clear" w:color="auto" w:fill="auto"/>
            <w:noWrap/>
            <w:vAlign w:val="center"/>
          </w:tcPr>
          <w:p w14:paraId="3B913B7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46.29</w:t>
            </w:r>
          </w:p>
        </w:tc>
      </w:tr>
      <w:tr w:rsidR="00692FD2" w14:paraId="60AE693A" w14:textId="77777777" w:rsidTr="00A0529D">
        <w:trPr>
          <w:trHeight w:val="300"/>
        </w:trPr>
        <w:tc>
          <w:tcPr>
            <w:tcW w:w="1171" w:type="pct"/>
            <w:shd w:val="clear" w:color="auto" w:fill="auto"/>
            <w:noWrap/>
            <w:vAlign w:val="bottom"/>
          </w:tcPr>
          <w:p w14:paraId="279764AF"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Punjab</w:t>
            </w:r>
          </w:p>
        </w:tc>
        <w:tc>
          <w:tcPr>
            <w:tcW w:w="962" w:type="pct"/>
            <w:shd w:val="clear" w:color="auto" w:fill="auto"/>
            <w:noWrap/>
            <w:vAlign w:val="center"/>
          </w:tcPr>
          <w:p w14:paraId="75FE51AE" w14:textId="16AA204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0.019</w:t>
            </w:r>
          </w:p>
        </w:tc>
        <w:tc>
          <w:tcPr>
            <w:tcW w:w="931" w:type="pct"/>
            <w:shd w:val="clear" w:color="auto" w:fill="auto"/>
            <w:noWrap/>
            <w:vAlign w:val="center"/>
          </w:tcPr>
          <w:p w14:paraId="389084AF" w14:textId="17A4304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0.067</w:t>
            </w:r>
          </w:p>
        </w:tc>
        <w:tc>
          <w:tcPr>
            <w:tcW w:w="989" w:type="pct"/>
            <w:shd w:val="clear" w:color="auto" w:fill="auto"/>
            <w:noWrap/>
            <w:vAlign w:val="center"/>
          </w:tcPr>
          <w:p w14:paraId="1B3F0CD0"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243</w:t>
            </w:r>
          </w:p>
        </w:tc>
        <w:tc>
          <w:tcPr>
            <w:tcW w:w="947" w:type="pct"/>
            <w:shd w:val="clear" w:color="auto" w:fill="auto"/>
            <w:noWrap/>
            <w:vAlign w:val="center"/>
          </w:tcPr>
          <w:p w14:paraId="5CDB35DE"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16.21</w:t>
            </w:r>
          </w:p>
        </w:tc>
      </w:tr>
      <w:tr w:rsidR="00692FD2" w14:paraId="02EA7F89" w14:textId="77777777" w:rsidTr="00A0529D">
        <w:trPr>
          <w:trHeight w:val="300"/>
        </w:trPr>
        <w:tc>
          <w:tcPr>
            <w:tcW w:w="1171" w:type="pct"/>
            <w:shd w:val="clear" w:color="auto" w:fill="auto"/>
            <w:noWrap/>
            <w:vAlign w:val="bottom"/>
          </w:tcPr>
          <w:p w14:paraId="1E07BF46"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Meghalaya</w:t>
            </w:r>
          </w:p>
        </w:tc>
        <w:tc>
          <w:tcPr>
            <w:tcW w:w="962" w:type="pct"/>
            <w:shd w:val="clear" w:color="auto" w:fill="auto"/>
            <w:noWrap/>
            <w:vAlign w:val="center"/>
          </w:tcPr>
          <w:p w14:paraId="2A4194CE" w14:textId="10DC3B3B"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0.014</w:t>
            </w:r>
          </w:p>
        </w:tc>
        <w:tc>
          <w:tcPr>
            <w:tcW w:w="931" w:type="pct"/>
            <w:shd w:val="clear" w:color="auto" w:fill="auto"/>
            <w:noWrap/>
            <w:vAlign w:val="center"/>
          </w:tcPr>
          <w:p w14:paraId="30F67B67" w14:textId="6BD9057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0.441</w:t>
            </w:r>
          </w:p>
        </w:tc>
        <w:tc>
          <w:tcPr>
            <w:tcW w:w="989" w:type="pct"/>
            <w:shd w:val="clear" w:color="auto" w:fill="auto"/>
            <w:noWrap/>
            <w:vAlign w:val="center"/>
          </w:tcPr>
          <w:p w14:paraId="7AE8ECB7"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3,090</w:t>
            </w:r>
          </w:p>
        </w:tc>
        <w:tc>
          <w:tcPr>
            <w:tcW w:w="947" w:type="pct"/>
            <w:shd w:val="clear" w:color="auto" w:fill="auto"/>
            <w:noWrap/>
            <w:vAlign w:val="center"/>
          </w:tcPr>
          <w:p w14:paraId="54CE2190"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79.91</w:t>
            </w:r>
          </w:p>
        </w:tc>
      </w:tr>
      <w:tr w:rsidR="00692FD2" w14:paraId="659A8751" w14:textId="77777777" w:rsidTr="00A0529D">
        <w:trPr>
          <w:trHeight w:val="300"/>
        </w:trPr>
        <w:tc>
          <w:tcPr>
            <w:tcW w:w="1171" w:type="pct"/>
            <w:shd w:val="clear" w:color="auto" w:fill="auto"/>
            <w:noWrap/>
            <w:vAlign w:val="bottom"/>
          </w:tcPr>
          <w:p w14:paraId="792B65A9"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Arunachal Pradesh</w:t>
            </w:r>
          </w:p>
        </w:tc>
        <w:tc>
          <w:tcPr>
            <w:tcW w:w="962" w:type="pct"/>
            <w:shd w:val="clear" w:color="auto" w:fill="auto"/>
            <w:noWrap/>
            <w:vAlign w:val="center"/>
          </w:tcPr>
          <w:p w14:paraId="10E7FBC3" w14:textId="7FB2DD6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0.013</w:t>
            </w:r>
          </w:p>
        </w:tc>
        <w:tc>
          <w:tcPr>
            <w:tcW w:w="931" w:type="pct"/>
            <w:shd w:val="clear" w:color="auto" w:fill="auto"/>
            <w:noWrap/>
            <w:vAlign w:val="center"/>
          </w:tcPr>
          <w:p w14:paraId="2EB21985" w14:textId="0BE47CFB"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0.110</w:t>
            </w:r>
          </w:p>
        </w:tc>
        <w:tc>
          <w:tcPr>
            <w:tcW w:w="989" w:type="pct"/>
            <w:shd w:val="clear" w:color="auto" w:fill="auto"/>
            <w:noWrap/>
            <w:vAlign w:val="center"/>
          </w:tcPr>
          <w:p w14:paraId="0189C73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727</w:t>
            </w:r>
          </w:p>
        </w:tc>
        <w:tc>
          <w:tcPr>
            <w:tcW w:w="947" w:type="pct"/>
            <w:shd w:val="clear" w:color="auto" w:fill="auto"/>
            <w:noWrap/>
            <w:vAlign w:val="center"/>
          </w:tcPr>
          <w:p w14:paraId="1DABDF19"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74.45</w:t>
            </w:r>
          </w:p>
        </w:tc>
      </w:tr>
      <w:tr w:rsidR="00692FD2" w14:paraId="0427C20D" w14:textId="77777777" w:rsidTr="00A0529D">
        <w:trPr>
          <w:trHeight w:val="300"/>
        </w:trPr>
        <w:tc>
          <w:tcPr>
            <w:tcW w:w="1171" w:type="pct"/>
            <w:shd w:val="clear" w:color="auto" w:fill="auto"/>
            <w:noWrap/>
            <w:vAlign w:val="bottom"/>
          </w:tcPr>
          <w:p w14:paraId="74460D78"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Telangana</w:t>
            </w:r>
          </w:p>
        </w:tc>
        <w:tc>
          <w:tcPr>
            <w:tcW w:w="962" w:type="pct"/>
            <w:shd w:val="clear" w:color="auto" w:fill="auto"/>
            <w:noWrap/>
            <w:vAlign w:val="center"/>
          </w:tcPr>
          <w:p w14:paraId="3E7FB16D" w14:textId="579B647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0.010</w:t>
            </w:r>
          </w:p>
        </w:tc>
        <w:tc>
          <w:tcPr>
            <w:tcW w:w="931" w:type="pct"/>
            <w:shd w:val="clear" w:color="auto" w:fill="auto"/>
            <w:noWrap/>
            <w:vAlign w:val="center"/>
          </w:tcPr>
          <w:p w14:paraId="43C66DC0" w14:textId="7F69839D"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0.081</w:t>
            </w:r>
          </w:p>
        </w:tc>
        <w:tc>
          <w:tcPr>
            <w:tcW w:w="989" w:type="pct"/>
            <w:shd w:val="clear" w:color="auto" w:fill="auto"/>
            <w:noWrap/>
            <w:vAlign w:val="center"/>
          </w:tcPr>
          <w:p w14:paraId="2E6D3FB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739</w:t>
            </w:r>
          </w:p>
        </w:tc>
        <w:tc>
          <w:tcPr>
            <w:tcW w:w="947" w:type="pct"/>
            <w:shd w:val="clear" w:color="auto" w:fill="auto"/>
            <w:noWrap/>
            <w:vAlign w:val="center"/>
          </w:tcPr>
          <w:p w14:paraId="3031DE3E"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7.95</w:t>
            </w:r>
          </w:p>
        </w:tc>
      </w:tr>
      <w:tr w:rsidR="00692FD2" w14:paraId="36B97413" w14:textId="77777777" w:rsidTr="00A0529D">
        <w:trPr>
          <w:trHeight w:val="300"/>
        </w:trPr>
        <w:tc>
          <w:tcPr>
            <w:tcW w:w="1171" w:type="pct"/>
            <w:shd w:val="clear" w:color="auto" w:fill="auto"/>
            <w:noWrap/>
            <w:vAlign w:val="bottom"/>
          </w:tcPr>
          <w:p w14:paraId="044C11D1"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Mizoram</w:t>
            </w:r>
          </w:p>
        </w:tc>
        <w:tc>
          <w:tcPr>
            <w:tcW w:w="962" w:type="pct"/>
            <w:shd w:val="clear" w:color="auto" w:fill="auto"/>
            <w:noWrap/>
            <w:vAlign w:val="center"/>
          </w:tcPr>
          <w:p w14:paraId="75542F07" w14:textId="0DEB173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0.006</w:t>
            </w:r>
          </w:p>
        </w:tc>
        <w:tc>
          <w:tcPr>
            <w:tcW w:w="931" w:type="pct"/>
            <w:shd w:val="clear" w:color="auto" w:fill="auto"/>
            <w:noWrap/>
            <w:vAlign w:val="center"/>
          </w:tcPr>
          <w:p w14:paraId="399D10E9" w14:textId="0EE5A811"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0.100</w:t>
            </w:r>
          </w:p>
        </w:tc>
        <w:tc>
          <w:tcPr>
            <w:tcW w:w="989" w:type="pct"/>
            <w:shd w:val="clear" w:color="auto" w:fill="auto"/>
            <w:noWrap/>
            <w:vAlign w:val="center"/>
          </w:tcPr>
          <w:p w14:paraId="599E8DB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1,447</w:t>
            </w:r>
          </w:p>
        </w:tc>
        <w:tc>
          <w:tcPr>
            <w:tcW w:w="947" w:type="pct"/>
            <w:shd w:val="clear" w:color="auto" w:fill="auto"/>
            <w:noWrap/>
            <w:vAlign w:val="center"/>
          </w:tcPr>
          <w:p w14:paraId="32B0765C"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45.7</w:t>
            </w:r>
          </w:p>
        </w:tc>
      </w:tr>
      <w:tr w:rsidR="00692FD2" w14:paraId="2A81FCC1" w14:textId="77777777" w:rsidTr="00A0529D">
        <w:trPr>
          <w:trHeight w:val="300"/>
        </w:trPr>
        <w:tc>
          <w:tcPr>
            <w:tcW w:w="1171" w:type="pct"/>
            <w:shd w:val="clear" w:color="auto" w:fill="auto"/>
            <w:noWrap/>
            <w:vAlign w:val="bottom"/>
          </w:tcPr>
          <w:p w14:paraId="03A6CFC7"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Tripura</w:t>
            </w:r>
          </w:p>
        </w:tc>
        <w:tc>
          <w:tcPr>
            <w:tcW w:w="962" w:type="pct"/>
            <w:shd w:val="clear" w:color="auto" w:fill="auto"/>
            <w:noWrap/>
            <w:vAlign w:val="center"/>
          </w:tcPr>
          <w:p w14:paraId="317DB4B9" w14:textId="1B6D51EB"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0.002</w:t>
            </w:r>
          </w:p>
        </w:tc>
        <w:tc>
          <w:tcPr>
            <w:tcW w:w="931" w:type="pct"/>
            <w:shd w:val="clear" w:color="auto" w:fill="auto"/>
            <w:noWrap/>
            <w:vAlign w:val="center"/>
          </w:tcPr>
          <w:p w14:paraId="3E8AF639" w14:textId="4BEC719F"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0.042</w:t>
            </w:r>
          </w:p>
        </w:tc>
        <w:tc>
          <w:tcPr>
            <w:tcW w:w="989" w:type="pct"/>
            <w:shd w:val="clear" w:color="auto" w:fill="auto"/>
            <w:noWrap/>
            <w:vAlign w:val="center"/>
          </w:tcPr>
          <w:p w14:paraId="7414BA73"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1,942</w:t>
            </w:r>
          </w:p>
        </w:tc>
        <w:tc>
          <w:tcPr>
            <w:tcW w:w="947" w:type="pct"/>
            <w:shd w:val="clear" w:color="auto" w:fill="auto"/>
            <w:noWrap/>
            <w:vAlign w:val="center"/>
          </w:tcPr>
          <w:p w14:paraId="5A41D47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64.22</w:t>
            </w:r>
          </w:p>
        </w:tc>
      </w:tr>
      <w:tr w:rsidR="00692FD2" w14:paraId="38E3CC9E" w14:textId="77777777" w:rsidTr="00A0529D">
        <w:trPr>
          <w:trHeight w:val="277"/>
        </w:trPr>
        <w:tc>
          <w:tcPr>
            <w:tcW w:w="1171" w:type="pct"/>
            <w:tcBorders>
              <w:bottom w:val="single" w:sz="4" w:space="0" w:color="auto"/>
            </w:tcBorders>
            <w:shd w:val="clear" w:color="auto" w:fill="auto"/>
            <w:noWrap/>
            <w:vAlign w:val="bottom"/>
          </w:tcPr>
          <w:p w14:paraId="57CA522D"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Manipur</w:t>
            </w:r>
          </w:p>
        </w:tc>
        <w:tc>
          <w:tcPr>
            <w:tcW w:w="962" w:type="pct"/>
            <w:tcBorders>
              <w:bottom w:val="single" w:sz="4" w:space="0" w:color="auto"/>
            </w:tcBorders>
            <w:shd w:val="clear" w:color="auto" w:fill="auto"/>
            <w:noWrap/>
            <w:vAlign w:val="center"/>
          </w:tcPr>
          <w:p w14:paraId="07BF6EEE" w14:textId="48CFC50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0.001</w:t>
            </w:r>
          </w:p>
        </w:tc>
        <w:tc>
          <w:tcPr>
            <w:tcW w:w="931" w:type="pct"/>
            <w:tcBorders>
              <w:bottom w:val="single" w:sz="4" w:space="0" w:color="auto"/>
            </w:tcBorders>
            <w:shd w:val="clear" w:color="auto" w:fill="auto"/>
            <w:noWrap/>
            <w:vAlign w:val="center"/>
          </w:tcPr>
          <w:p w14:paraId="560F471F" w14:textId="65C605A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0.104</w:t>
            </w:r>
          </w:p>
        </w:tc>
        <w:tc>
          <w:tcPr>
            <w:tcW w:w="989" w:type="pct"/>
            <w:tcBorders>
              <w:bottom w:val="single" w:sz="4" w:space="0" w:color="auto"/>
            </w:tcBorders>
            <w:shd w:val="clear" w:color="auto" w:fill="auto"/>
            <w:noWrap/>
            <w:vAlign w:val="center"/>
          </w:tcPr>
          <w:p w14:paraId="232865FA"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17,273</w:t>
            </w:r>
          </w:p>
        </w:tc>
        <w:tc>
          <w:tcPr>
            <w:tcW w:w="947" w:type="pct"/>
            <w:tcBorders>
              <w:bottom w:val="single" w:sz="4" w:space="0" w:color="auto"/>
            </w:tcBorders>
            <w:shd w:val="clear" w:color="auto" w:fill="auto"/>
            <w:noWrap/>
            <w:vAlign w:val="center"/>
          </w:tcPr>
          <w:p w14:paraId="5FDCE902"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142.2</w:t>
            </w:r>
          </w:p>
        </w:tc>
      </w:tr>
      <w:tr w:rsidR="00692FD2" w14:paraId="357C0F5A" w14:textId="77777777" w:rsidTr="00A0529D">
        <w:trPr>
          <w:trHeight w:val="300"/>
        </w:trPr>
        <w:tc>
          <w:tcPr>
            <w:tcW w:w="1171" w:type="pct"/>
            <w:tcBorders>
              <w:top w:val="single" w:sz="4" w:space="0" w:color="auto"/>
              <w:bottom w:val="single" w:sz="4" w:space="0" w:color="auto"/>
            </w:tcBorders>
            <w:shd w:val="clear" w:color="auto" w:fill="auto"/>
            <w:noWrap/>
            <w:vAlign w:val="bottom"/>
          </w:tcPr>
          <w:p w14:paraId="162D898A" w14:textId="77777777" w:rsidR="00692FD2" w:rsidRPr="00A0529D" w:rsidRDefault="00692FD2" w:rsidP="006C1721">
            <w:pPr>
              <w:spacing w:after="0" w:line="240" w:lineRule="auto"/>
              <w:rPr>
                <w:rFonts w:eastAsia="Times New Roman" w:cs="Times New Roman"/>
                <w:bCs/>
                <w:color w:val="000000"/>
                <w:szCs w:val="24"/>
              </w:rPr>
            </w:pPr>
            <w:r w:rsidRPr="00A0529D">
              <w:rPr>
                <w:rFonts w:eastAsia="Times New Roman" w:cs="Times New Roman"/>
                <w:bCs/>
                <w:color w:val="000000"/>
                <w:szCs w:val="24"/>
              </w:rPr>
              <w:t>Total</w:t>
            </w:r>
          </w:p>
        </w:tc>
        <w:tc>
          <w:tcPr>
            <w:tcW w:w="962" w:type="pct"/>
            <w:tcBorders>
              <w:top w:val="single" w:sz="4" w:space="0" w:color="auto"/>
              <w:bottom w:val="single" w:sz="4" w:space="0" w:color="auto"/>
            </w:tcBorders>
            <w:shd w:val="clear" w:color="auto" w:fill="auto"/>
            <w:noWrap/>
            <w:vAlign w:val="center"/>
          </w:tcPr>
          <w:p w14:paraId="6C023930" w14:textId="78D34096" w:rsidR="00692FD2" w:rsidRPr="00A0529D" w:rsidRDefault="00692FD2" w:rsidP="00A0529D">
            <w:pPr>
              <w:spacing w:after="0"/>
              <w:jc w:val="center"/>
              <w:textAlignment w:val="center"/>
              <w:rPr>
                <w:rFonts w:eastAsia="Times New Roman" w:cs="Times New Roman"/>
                <w:bCs/>
                <w:color w:val="000000"/>
                <w:szCs w:val="24"/>
              </w:rPr>
            </w:pPr>
            <w:r w:rsidRPr="00A0529D">
              <w:rPr>
                <w:rFonts w:eastAsia="SimSun" w:cs="Times New Roman"/>
                <w:bCs/>
                <w:color w:val="000000"/>
                <w:szCs w:val="24"/>
                <w:lang w:eastAsia="zh-CN" w:bidi="ar"/>
              </w:rPr>
              <w:t>8.038</w:t>
            </w:r>
          </w:p>
        </w:tc>
        <w:tc>
          <w:tcPr>
            <w:tcW w:w="931" w:type="pct"/>
            <w:tcBorders>
              <w:top w:val="single" w:sz="4" w:space="0" w:color="auto"/>
              <w:bottom w:val="single" w:sz="4" w:space="0" w:color="auto"/>
            </w:tcBorders>
            <w:shd w:val="clear" w:color="auto" w:fill="auto"/>
            <w:noWrap/>
            <w:vAlign w:val="center"/>
          </w:tcPr>
          <w:p w14:paraId="2C58E046" w14:textId="5B61BCCB" w:rsidR="00692FD2" w:rsidRPr="00A0529D" w:rsidRDefault="00692FD2" w:rsidP="00A0529D">
            <w:pPr>
              <w:spacing w:after="0"/>
              <w:jc w:val="center"/>
              <w:textAlignment w:val="center"/>
              <w:rPr>
                <w:rFonts w:eastAsia="Times New Roman" w:cs="Times New Roman"/>
                <w:bCs/>
                <w:color w:val="000000"/>
                <w:szCs w:val="24"/>
              </w:rPr>
            </w:pPr>
            <w:r w:rsidRPr="00A0529D">
              <w:rPr>
                <w:rFonts w:eastAsia="SimSun" w:cs="Times New Roman"/>
                <w:bCs/>
                <w:color w:val="000000"/>
                <w:szCs w:val="24"/>
                <w:lang w:eastAsia="zh-CN" w:bidi="ar"/>
              </w:rPr>
              <w:t>23.080</w:t>
            </w:r>
          </w:p>
        </w:tc>
        <w:tc>
          <w:tcPr>
            <w:tcW w:w="989" w:type="pct"/>
            <w:tcBorders>
              <w:top w:val="single" w:sz="4" w:space="0" w:color="auto"/>
              <w:bottom w:val="single" w:sz="4" w:space="0" w:color="auto"/>
            </w:tcBorders>
            <w:shd w:val="clear" w:color="auto" w:fill="auto"/>
            <w:noWrap/>
            <w:vAlign w:val="center"/>
          </w:tcPr>
          <w:p w14:paraId="68A09E64" w14:textId="77777777" w:rsidR="00692FD2" w:rsidRPr="00A0529D" w:rsidRDefault="00692FD2" w:rsidP="00A0529D">
            <w:pPr>
              <w:spacing w:after="0" w:line="240" w:lineRule="auto"/>
              <w:jc w:val="center"/>
              <w:rPr>
                <w:rFonts w:eastAsia="Times New Roman" w:cs="Times New Roman"/>
                <w:bCs/>
                <w:color w:val="000000"/>
                <w:szCs w:val="24"/>
              </w:rPr>
            </w:pPr>
            <w:r w:rsidRPr="00A0529D">
              <w:rPr>
                <w:rFonts w:eastAsia="Times New Roman" w:cs="Times New Roman"/>
                <w:bCs/>
                <w:color w:val="000000"/>
                <w:szCs w:val="24"/>
              </w:rPr>
              <w:t>187</w:t>
            </w:r>
          </w:p>
        </w:tc>
        <w:tc>
          <w:tcPr>
            <w:tcW w:w="947" w:type="pct"/>
            <w:tcBorders>
              <w:top w:val="single" w:sz="4" w:space="0" w:color="auto"/>
              <w:bottom w:val="single" w:sz="4" w:space="0" w:color="auto"/>
            </w:tcBorders>
            <w:shd w:val="clear" w:color="auto" w:fill="auto"/>
            <w:noWrap/>
            <w:vAlign w:val="center"/>
          </w:tcPr>
          <w:p w14:paraId="74E94EAC" w14:textId="77777777" w:rsidR="00692FD2" w:rsidRPr="00A0529D" w:rsidRDefault="00692FD2" w:rsidP="00A0529D">
            <w:pPr>
              <w:spacing w:after="0" w:line="240" w:lineRule="auto"/>
              <w:jc w:val="center"/>
              <w:rPr>
                <w:rFonts w:eastAsia="Times New Roman" w:cs="Times New Roman"/>
                <w:bCs/>
                <w:color w:val="000000"/>
                <w:szCs w:val="24"/>
              </w:rPr>
            </w:pPr>
            <w:r w:rsidRPr="00A0529D">
              <w:rPr>
                <w:rFonts w:eastAsia="Times New Roman" w:cs="Times New Roman"/>
                <w:bCs/>
                <w:color w:val="000000"/>
                <w:szCs w:val="24"/>
              </w:rPr>
              <w:t>20.77</w:t>
            </w:r>
          </w:p>
        </w:tc>
      </w:tr>
    </w:tbl>
    <w:p w14:paraId="7365B4B4" w14:textId="77777777" w:rsidR="00692FD2" w:rsidRDefault="00692FD2" w:rsidP="00692FD2">
      <w:pPr>
        <w:jc w:val="both"/>
        <w:rPr>
          <w:lang w:val="en-GB"/>
        </w:rPr>
      </w:pPr>
    </w:p>
    <w:p w14:paraId="550862D8" w14:textId="77777777" w:rsidR="009A7964" w:rsidRDefault="009A7964" w:rsidP="00BA4CC1">
      <w:pPr>
        <w:spacing w:before="240" w:after="0" w:line="360" w:lineRule="auto"/>
        <w:jc w:val="both"/>
        <w:rPr>
          <w:rFonts w:cs="Times New Roman"/>
          <w:bCs/>
          <w:lang w:val="en-GB"/>
        </w:rPr>
      </w:pPr>
    </w:p>
    <w:p w14:paraId="43F5A6C8" w14:textId="52328D5D" w:rsidR="00CC2A98" w:rsidRDefault="00A82351" w:rsidP="00CC2A98">
      <w:pPr>
        <w:spacing w:after="0" w:line="360" w:lineRule="auto"/>
        <w:jc w:val="both"/>
        <w:rPr>
          <w:rFonts w:cs="Times New Roman"/>
          <w:lang w:val="en-GB"/>
        </w:rPr>
      </w:pPr>
      <w:r>
        <w:rPr>
          <w:rFonts w:cs="Times New Roman"/>
          <w:lang w:val="en-GB"/>
        </w:rPr>
        <w:lastRenderedPageBreak/>
        <w:t xml:space="preserve">The major producer of organic products in India is presented in </w:t>
      </w:r>
      <w:r w:rsidRPr="00BA4CC1">
        <w:rPr>
          <w:rFonts w:cs="Times New Roman"/>
          <w:lang w:val="en-GB"/>
        </w:rPr>
        <w:t>Table 2.</w:t>
      </w:r>
      <w:r w:rsidR="0077467B">
        <w:rPr>
          <w:rFonts w:cs="Times New Roman"/>
          <w:lang w:val="en-GB"/>
        </w:rPr>
        <w:t xml:space="preserve"> Madhya Pradesh dominates in terms of both area and production</w:t>
      </w:r>
      <w:r>
        <w:rPr>
          <w:rFonts w:cs="Times New Roman"/>
          <w:lang w:val="en-GB"/>
        </w:rPr>
        <w:t xml:space="preserve">. </w:t>
      </w:r>
      <w:r w:rsidR="0077467B">
        <w:rPr>
          <w:rFonts w:cs="Times New Roman"/>
          <w:lang w:val="en-GB"/>
        </w:rPr>
        <w:t xml:space="preserve">During </w:t>
      </w:r>
      <w:r w:rsidR="0077467B" w:rsidRPr="00420CC1">
        <w:rPr>
          <w:rFonts w:cs="Times New Roman"/>
          <w:lang w:val="en-GB"/>
        </w:rPr>
        <w:t>TE 2020-21</w:t>
      </w:r>
      <w:r w:rsidR="0077467B">
        <w:rPr>
          <w:rFonts w:cs="Times New Roman"/>
          <w:lang w:val="en-GB"/>
        </w:rPr>
        <w:t xml:space="preserve">, the state produced </w:t>
      </w:r>
      <w:r>
        <w:rPr>
          <w:rFonts w:cs="Times New Roman"/>
          <w:lang w:val="en-GB"/>
        </w:rPr>
        <w:t>10.</w:t>
      </w:r>
      <w:r w:rsidR="0077467B">
        <w:rPr>
          <w:rFonts w:cs="Times New Roman"/>
          <w:lang w:val="en-GB"/>
        </w:rPr>
        <w:t xml:space="preserve">4 lakh tons of organic products, </w:t>
      </w:r>
      <w:r>
        <w:rPr>
          <w:rFonts w:cs="Times New Roman"/>
          <w:lang w:val="en-GB"/>
        </w:rPr>
        <w:t xml:space="preserve">which is around 35.42 % of </w:t>
      </w:r>
      <w:r w:rsidR="0077467B">
        <w:rPr>
          <w:rFonts w:cs="Times New Roman"/>
          <w:lang w:val="en-GB"/>
        </w:rPr>
        <w:t>the total national production</w:t>
      </w:r>
      <w:r>
        <w:rPr>
          <w:rFonts w:cs="Times New Roman"/>
          <w:lang w:val="en-GB"/>
        </w:rPr>
        <w:t>.</w:t>
      </w:r>
      <w:r w:rsidR="0077467B">
        <w:rPr>
          <w:rFonts w:cs="Times New Roman"/>
          <w:lang w:val="en-GB"/>
        </w:rPr>
        <w:t xml:space="preserve"> F</w:t>
      </w:r>
      <w:r>
        <w:rPr>
          <w:rFonts w:cs="Times New Roman"/>
          <w:lang w:val="en-GB"/>
        </w:rPr>
        <w:t>ollowed by Maharashtra (8.47 lakh tons) and Karnataka (2.82 lakh tons).</w:t>
      </w:r>
      <w:r w:rsidR="00F75204">
        <w:rPr>
          <w:rFonts w:cs="Times New Roman"/>
          <w:lang w:val="en-GB"/>
        </w:rPr>
        <w:t xml:space="preserve"> </w:t>
      </w:r>
      <w:r w:rsidR="0077467B">
        <w:rPr>
          <w:rFonts w:cs="Times New Roman"/>
          <w:lang w:val="en-GB"/>
        </w:rPr>
        <w:t>T</w:t>
      </w:r>
      <w:r>
        <w:rPr>
          <w:rFonts w:cs="Times New Roman"/>
          <w:lang w:val="en-GB"/>
        </w:rPr>
        <w:t xml:space="preserve">he top 15 organic producing states </w:t>
      </w:r>
      <w:r w:rsidR="00AE14CC">
        <w:rPr>
          <w:rFonts w:cs="Times New Roman"/>
          <w:lang w:val="en-GB"/>
        </w:rPr>
        <w:t>account</w:t>
      </w:r>
      <w:r>
        <w:rPr>
          <w:rFonts w:cs="Times New Roman"/>
          <w:lang w:val="en-GB"/>
        </w:rPr>
        <w:t xml:space="preserve"> for 99.16 % of organic </w:t>
      </w:r>
      <w:r w:rsidR="00F75204">
        <w:rPr>
          <w:rFonts w:cs="Times New Roman"/>
          <w:lang w:val="en-GB"/>
        </w:rPr>
        <w:t>production</w:t>
      </w:r>
      <w:r>
        <w:rPr>
          <w:rFonts w:cs="Times New Roman"/>
          <w:lang w:val="en-GB"/>
        </w:rPr>
        <w:t xml:space="preserve"> in India</w:t>
      </w:r>
      <w:r w:rsidR="0077467B">
        <w:rPr>
          <w:rFonts w:cs="Times New Roman"/>
          <w:lang w:val="en-GB"/>
        </w:rPr>
        <w:t xml:space="preserve"> (Table</w:t>
      </w:r>
      <w:r w:rsidR="00F75204">
        <w:rPr>
          <w:rFonts w:cs="Times New Roman"/>
          <w:lang w:val="en-GB"/>
        </w:rPr>
        <w:t xml:space="preserve"> 2).</w:t>
      </w:r>
      <w:r w:rsidR="00CC2A98">
        <w:rPr>
          <w:rFonts w:cs="Times New Roman"/>
          <w:lang w:val="en-GB"/>
        </w:rPr>
        <w:t xml:space="preserve"> Overall, I</w:t>
      </w:r>
      <w:r w:rsidR="00F75204">
        <w:rPr>
          <w:rFonts w:cs="Times New Roman"/>
          <w:lang w:val="en-GB"/>
        </w:rPr>
        <w:t>ndia</w:t>
      </w:r>
      <w:r>
        <w:rPr>
          <w:rFonts w:cs="Times New Roman"/>
          <w:lang w:val="en-GB"/>
        </w:rPr>
        <w:t xml:space="preserve"> </w:t>
      </w:r>
      <w:r w:rsidR="00F75204">
        <w:rPr>
          <w:rFonts w:cs="Times New Roman"/>
          <w:lang w:val="en-GB"/>
        </w:rPr>
        <w:t>witnessed remarkable growth in organic production</w:t>
      </w:r>
      <w:r>
        <w:rPr>
          <w:rFonts w:cs="Times New Roman"/>
          <w:lang w:val="en-GB"/>
        </w:rPr>
        <w:t xml:space="preserve">, </w:t>
      </w:r>
      <w:r w:rsidR="00F75204">
        <w:rPr>
          <w:rFonts w:cs="Times New Roman"/>
          <w:lang w:val="en-GB"/>
        </w:rPr>
        <w:t xml:space="preserve">more than </w:t>
      </w:r>
      <w:r w:rsidR="00AE14CC">
        <w:rPr>
          <w:rFonts w:cs="Times New Roman"/>
          <w:lang w:val="en-GB"/>
        </w:rPr>
        <w:t>doubling</w:t>
      </w:r>
      <w:r w:rsidR="00F75204">
        <w:rPr>
          <w:rFonts w:cs="Times New Roman"/>
          <w:lang w:val="en-GB"/>
        </w:rPr>
        <w:t xml:space="preserve"> </w:t>
      </w:r>
      <w:r>
        <w:rPr>
          <w:rFonts w:cs="Times New Roman"/>
          <w:lang w:val="en-GB"/>
        </w:rPr>
        <w:t xml:space="preserve">from 12.18 lakh tons during TE 2014-15 to 29.29 lakh tons during TE 2020-21 which corresponds to an absolute increase of 17.12 lakh tons (140.44 %). </w:t>
      </w:r>
      <w:r w:rsidR="00CC2A98">
        <w:rPr>
          <w:rFonts w:cs="Times New Roman"/>
          <w:lang w:val="en-GB"/>
        </w:rPr>
        <w:t xml:space="preserve"> </w:t>
      </w:r>
      <w:r w:rsidR="00CC2A98" w:rsidRPr="00420CC1">
        <w:rPr>
          <w:rFonts w:cs="Times New Roman"/>
          <w:lang w:val="en-GB"/>
        </w:rPr>
        <w:t>Notably, Himachal Pradesh and Telangana experienced extraordinary growth rates of 4745% and 4133%, respectively, between TE 2014-15 and TE 2020-21.</w:t>
      </w:r>
      <w:r w:rsidR="00CC2A98">
        <w:rPr>
          <w:rFonts w:cs="Times New Roman"/>
          <w:lang w:val="en-GB"/>
        </w:rPr>
        <w:t xml:space="preserve"> </w:t>
      </w:r>
      <w:r w:rsidR="00CC2A98" w:rsidRPr="00420CC1">
        <w:rPr>
          <w:rFonts w:cs="Times New Roman"/>
          <w:lang w:val="en-GB"/>
        </w:rPr>
        <w:t>With few exceptions, almost all states exhibited positive</w:t>
      </w:r>
      <w:r w:rsidR="00CC2A98">
        <w:rPr>
          <w:rFonts w:cs="Times New Roman"/>
          <w:lang w:val="en-GB"/>
        </w:rPr>
        <w:t xml:space="preserve"> growth in organic production. </w:t>
      </w:r>
      <w:r w:rsidR="00CC2A98" w:rsidRPr="00420CC1">
        <w:rPr>
          <w:rFonts w:cs="Times New Roman"/>
          <w:lang w:val="en-GB"/>
        </w:rPr>
        <w:t xml:space="preserve">Himachal Pradesh stood out with the highest increase of 93.36%, followed by </w:t>
      </w:r>
      <w:r w:rsidR="00AE14CC" w:rsidRPr="00420CC1">
        <w:rPr>
          <w:rFonts w:cs="Times New Roman"/>
          <w:lang w:val="en-GB"/>
        </w:rPr>
        <w:t>Chhattisgarh</w:t>
      </w:r>
      <w:r w:rsidR="00CC2A98" w:rsidRPr="00420CC1">
        <w:rPr>
          <w:rFonts w:cs="Times New Roman"/>
          <w:lang w:val="en-GB"/>
        </w:rPr>
        <w:t xml:space="preserve"> with 51.68% and Telangana with 51.60%. Conversely, Punjab experienced the greatest decline of -11.98% from TE 2014-15 to TE 2020-21</w:t>
      </w:r>
      <w:r w:rsidR="00CC2A98">
        <w:rPr>
          <w:rFonts w:cs="Times New Roman"/>
          <w:lang w:val="en-GB"/>
        </w:rPr>
        <w:t xml:space="preserve"> (Table 2)</w:t>
      </w:r>
      <w:r w:rsidR="00CC2A98" w:rsidRPr="00420CC1">
        <w:rPr>
          <w:rFonts w:cs="Times New Roman"/>
          <w:lang w:val="en-GB"/>
        </w:rPr>
        <w:t>.</w:t>
      </w:r>
    </w:p>
    <w:p w14:paraId="1FD24265" w14:textId="3DC4D2FC" w:rsidR="00692FD2" w:rsidRPr="00BA4CC1" w:rsidRDefault="00BA4CC1" w:rsidP="00875155">
      <w:pPr>
        <w:spacing w:after="0" w:line="360" w:lineRule="auto"/>
        <w:jc w:val="both"/>
        <w:rPr>
          <w:rFonts w:cs="Times New Roman"/>
          <w:lang w:val="en-GB"/>
        </w:rPr>
      </w:pPr>
      <w:r w:rsidRPr="00BA4CC1">
        <w:rPr>
          <w:rFonts w:cs="Times New Roman"/>
          <w:bCs/>
          <w:lang w:val="en-GB"/>
        </w:rPr>
        <w:t xml:space="preserve">Table 2. </w:t>
      </w:r>
      <w:r w:rsidRPr="00BA4CC1">
        <w:rPr>
          <w:rFonts w:cs="Times New Roman"/>
          <w:bCs/>
        </w:rPr>
        <w:t>States-</w:t>
      </w:r>
      <w:r w:rsidR="00692FD2" w:rsidRPr="00BA4CC1">
        <w:rPr>
          <w:rFonts w:cs="Times New Roman"/>
          <w:bCs/>
        </w:rPr>
        <w:t>wise production scenario of organic agriculture</w:t>
      </w:r>
    </w:p>
    <w:tbl>
      <w:tblPr>
        <w:tblW w:w="5000" w:type="pct"/>
        <w:tblBorders>
          <w:top w:val="single" w:sz="4" w:space="0" w:color="auto"/>
          <w:bottom w:val="single" w:sz="4" w:space="0" w:color="auto"/>
        </w:tblBorders>
        <w:tblLook w:val="04A0" w:firstRow="1" w:lastRow="0" w:firstColumn="1" w:lastColumn="0" w:noHBand="0" w:noVBand="1"/>
      </w:tblPr>
      <w:tblGrid>
        <w:gridCol w:w="2712"/>
        <w:gridCol w:w="1609"/>
        <w:gridCol w:w="1609"/>
        <w:gridCol w:w="1549"/>
        <w:gridCol w:w="1547"/>
      </w:tblGrid>
      <w:tr w:rsidR="00692FD2" w14:paraId="6CF53405" w14:textId="77777777" w:rsidTr="00875155">
        <w:trPr>
          <w:trHeight w:val="289"/>
        </w:trPr>
        <w:tc>
          <w:tcPr>
            <w:tcW w:w="1507" w:type="pct"/>
            <w:tcBorders>
              <w:top w:val="single" w:sz="4" w:space="0" w:color="auto"/>
              <w:bottom w:val="single" w:sz="4" w:space="0" w:color="auto"/>
            </w:tcBorders>
            <w:shd w:val="clear" w:color="auto" w:fill="auto"/>
            <w:noWrap/>
            <w:vAlign w:val="bottom"/>
          </w:tcPr>
          <w:p w14:paraId="6049F0D6" w14:textId="77777777" w:rsidR="00692FD2" w:rsidRDefault="00692FD2" w:rsidP="006C1721">
            <w:pPr>
              <w:spacing w:after="0" w:line="240" w:lineRule="auto"/>
              <w:rPr>
                <w:rFonts w:eastAsia="Times New Roman" w:cs="Times New Roman"/>
                <w:color w:val="000000"/>
                <w:szCs w:val="24"/>
              </w:rPr>
            </w:pPr>
            <w:r>
              <w:rPr>
                <w:rFonts w:eastAsia="Times New Roman" w:cs="Times New Roman"/>
                <w:color w:val="000000"/>
                <w:szCs w:val="24"/>
              </w:rPr>
              <w:t>State</w:t>
            </w:r>
          </w:p>
        </w:tc>
        <w:tc>
          <w:tcPr>
            <w:tcW w:w="890" w:type="pct"/>
            <w:tcBorders>
              <w:top w:val="single" w:sz="4" w:space="0" w:color="auto"/>
              <w:bottom w:val="single" w:sz="4" w:space="0" w:color="auto"/>
            </w:tcBorders>
            <w:shd w:val="clear" w:color="auto" w:fill="auto"/>
            <w:noWrap/>
            <w:vAlign w:val="center"/>
          </w:tcPr>
          <w:p w14:paraId="0FA91AE9" w14:textId="77777777" w:rsidR="00692FD2" w:rsidRDefault="00692FD2" w:rsidP="00A0529D">
            <w:pPr>
              <w:spacing w:after="0" w:line="240" w:lineRule="auto"/>
              <w:jc w:val="center"/>
              <w:rPr>
                <w:rFonts w:eastAsia="Times New Roman" w:cs="Times New Roman"/>
                <w:color w:val="000000"/>
                <w:szCs w:val="24"/>
              </w:rPr>
            </w:pPr>
            <w:r>
              <w:rPr>
                <w:rFonts w:eastAsia="Times New Roman" w:cs="Times New Roman"/>
                <w:color w:val="000000"/>
                <w:szCs w:val="24"/>
                <w:lang w:val="en-GB"/>
              </w:rPr>
              <w:t xml:space="preserve">TE </w:t>
            </w:r>
            <w:r>
              <w:rPr>
                <w:rFonts w:eastAsia="Times New Roman" w:cs="Times New Roman"/>
                <w:color w:val="000000"/>
                <w:szCs w:val="24"/>
              </w:rPr>
              <w:t>2014-15</w:t>
            </w:r>
          </w:p>
        </w:tc>
        <w:tc>
          <w:tcPr>
            <w:tcW w:w="890" w:type="pct"/>
            <w:tcBorders>
              <w:top w:val="single" w:sz="4" w:space="0" w:color="auto"/>
              <w:bottom w:val="single" w:sz="4" w:space="0" w:color="auto"/>
            </w:tcBorders>
            <w:shd w:val="clear" w:color="auto" w:fill="auto"/>
            <w:noWrap/>
            <w:vAlign w:val="center"/>
          </w:tcPr>
          <w:p w14:paraId="657A15F6" w14:textId="77777777" w:rsidR="00692FD2" w:rsidRDefault="00692FD2" w:rsidP="00A0529D">
            <w:pPr>
              <w:spacing w:after="0" w:line="240" w:lineRule="auto"/>
              <w:jc w:val="center"/>
              <w:rPr>
                <w:rFonts w:eastAsia="Times New Roman" w:cs="Times New Roman"/>
                <w:color w:val="000000"/>
                <w:szCs w:val="24"/>
              </w:rPr>
            </w:pPr>
            <w:r>
              <w:rPr>
                <w:rFonts w:eastAsia="Times New Roman" w:cs="Times New Roman"/>
                <w:color w:val="000000"/>
                <w:szCs w:val="24"/>
                <w:lang w:val="en-GB"/>
              </w:rPr>
              <w:t xml:space="preserve">TE </w:t>
            </w:r>
            <w:r>
              <w:rPr>
                <w:rFonts w:eastAsia="Times New Roman" w:cs="Times New Roman"/>
                <w:color w:val="000000"/>
                <w:szCs w:val="24"/>
              </w:rPr>
              <w:t>2020-21</w:t>
            </w:r>
          </w:p>
        </w:tc>
        <w:tc>
          <w:tcPr>
            <w:tcW w:w="857" w:type="pct"/>
            <w:tcBorders>
              <w:top w:val="single" w:sz="4" w:space="0" w:color="auto"/>
              <w:bottom w:val="single" w:sz="4" w:space="0" w:color="auto"/>
            </w:tcBorders>
            <w:shd w:val="clear" w:color="auto" w:fill="auto"/>
            <w:noWrap/>
            <w:vAlign w:val="center"/>
          </w:tcPr>
          <w:p w14:paraId="17A97CD9" w14:textId="77777777" w:rsidR="00692FD2" w:rsidRDefault="00692FD2" w:rsidP="00A0529D">
            <w:pPr>
              <w:spacing w:after="0" w:line="240" w:lineRule="auto"/>
              <w:jc w:val="center"/>
              <w:rPr>
                <w:rFonts w:eastAsia="Times New Roman" w:cs="Times New Roman"/>
                <w:color w:val="000000"/>
                <w:szCs w:val="24"/>
              </w:rPr>
            </w:pPr>
            <w:r>
              <w:rPr>
                <w:rFonts w:eastAsia="Times New Roman" w:cs="Times New Roman"/>
                <w:color w:val="000000"/>
                <w:szCs w:val="24"/>
              </w:rPr>
              <w:t>% Change</w:t>
            </w:r>
          </w:p>
        </w:tc>
        <w:tc>
          <w:tcPr>
            <w:tcW w:w="856" w:type="pct"/>
            <w:tcBorders>
              <w:top w:val="single" w:sz="4" w:space="0" w:color="auto"/>
              <w:bottom w:val="single" w:sz="4" w:space="0" w:color="auto"/>
            </w:tcBorders>
            <w:shd w:val="clear" w:color="auto" w:fill="auto"/>
            <w:noWrap/>
            <w:vAlign w:val="center"/>
          </w:tcPr>
          <w:p w14:paraId="5C275BAF" w14:textId="77777777" w:rsidR="00692FD2" w:rsidRDefault="00692FD2" w:rsidP="00A0529D">
            <w:pPr>
              <w:spacing w:after="0" w:line="240" w:lineRule="auto"/>
              <w:jc w:val="center"/>
              <w:rPr>
                <w:rFonts w:eastAsia="Times New Roman" w:cs="Times New Roman"/>
                <w:color w:val="000000"/>
                <w:szCs w:val="24"/>
              </w:rPr>
            </w:pPr>
            <w:r>
              <w:rPr>
                <w:rFonts w:eastAsia="Times New Roman" w:cs="Times New Roman"/>
                <w:color w:val="000000"/>
                <w:szCs w:val="24"/>
              </w:rPr>
              <w:t>Growth</w:t>
            </w:r>
          </w:p>
        </w:tc>
      </w:tr>
      <w:tr w:rsidR="00692FD2" w14:paraId="5778C043" w14:textId="77777777" w:rsidTr="00875155">
        <w:trPr>
          <w:trHeight w:val="289"/>
        </w:trPr>
        <w:tc>
          <w:tcPr>
            <w:tcW w:w="2886" w:type="dxa"/>
            <w:tcBorders>
              <w:top w:val="single" w:sz="4" w:space="0" w:color="auto"/>
            </w:tcBorders>
            <w:shd w:val="clear" w:color="auto" w:fill="auto"/>
            <w:noWrap/>
            <w:vAlign w:val="bottom"/>
          </w:tcPr>
          <w:p w14:paraId="15D98FCA"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Madhya Pradesh</w:t>
            </w:r>
          </w:p>
        </w:tc>
        <w:tc>
          <w:tcPr>
            <w:tcW w:w="1705" w:type="dxa"/>
            <w:tcBorders>
              <w:top w:val="single" w:sz="4" w:space="0" w:color="auto"/>
            </w:tcBorders>
            <w:shd w:val="clear" w:color="auto" w:fill="auto"/>
            <w:noWrap/>
            <w:vAlign w:val="center"/>
          </w:tcPr>
          <w:p w14:paraId="566E087B" w14:textId="018C417B"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3.815</w:t>
            </w:r>
          </w:p>
        </w:tc>
        <w:tc>
          <w:tcPr>
            <w:tcW w:w="1705" w:type="dxa"/>
            <w:tcBorders>
              <w:top w:val="single" w:sz="4" w:space="0" w:color="auto"/>
            </w:tcBorders>
            <w:shd w:val="clear" w:color="auto" w:fill="auto"/>
            <w:noWrap/>
            <w:vAlign w:val="center"/>
          </w:tcPr>
          <w:p w14:paraId="56483731" w14:textId="7CB8CB2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10.372</w:t>
            </w:r>
          </w:p>
        </w:tc>
        <w:tc>
          <w:tcPr>
            <w:tcW w:w="1641" w:type="dxa"/>
            <w:tcBorders>
              <w:top w:val="single" w:sz="4" w:space="0" w:color="auto"/>
            </w:tcBorders>
            <w:shd w:val="clear" w:color="auto" w:fill="auto"/>
            <w:noWrap/>
            <w:vAlign w:val="center"/>
          </w:tcPr>
          <w:p w14:paraId="2B7A2AD8"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171.88</w:t>
            </w:r>
          </w:p>
        </w:tc>
        <w:tc>
          <w:tcPr>
            <w:tcW w:w="1639" w:type="dxa"/>
            <w:tcBorders>
              <w:top w:val="single" w:sz="4" w:space="0" w:color="auto"/>
            </w:tcBorders>
            <w:shd w:val="clear" w:color="auto" w:fill="auto"/>
            <w:noWrap/>
            <w:vAlign w:val="center"/>
          </w:tcPr>
          <w:p w14:paraId="08CA645C"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17.29</w:t>
            </w:r>
          </w:p>
        </w:tc>
      </w:tr>
      <w:tr w:rsidR="00692FD2" w14:paraId="50668033" w14:textId="77777777" w:rsidTr="00875155">
        <w:trPr>
          <w:trHeight w:val="289"/>
        </w:trPr>
        <w:tc>
          <w:tcPr>
            <w:tcW w:w="2886" w:type="dxa"/>
            <w:shd w:val="clear" w:color="auto" w:fill="auto"/>
            <w:noWrap/>
            <w:vAlign w:val="bottom"/>
          </w:tcPr>
          <w:p w14:paraId="4E74B5F0"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Maharashtra</w:t>
            </w:r>
          </w:p>
        </w:tc>
        <w:tc>
          <w:tcPr>
            <w:tcW w:w="1705" w:type="dxa"/>
            <w:shd w:val="clear" w:color="auto" w:fill="auto"/>
            <w:noWrap/>
            <w:vAlign w:val="center"/>
          </w:tcPr>
          <w:p w14:paraId="6E748BBB" w14:textId="585644E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2.616</w:t>
            </w:r>
          </w:p>
        </w:tc>
        <w:tc>
          <w:tcPr>
            <w:tcW w:w="1705" w:type="dxa"/>
            <w:shd w:val="clear" w:color="auto" w:fill="auto"/>
            <w:noWrap/>
            <w:vAlign w:val="center"/>
          </w:tcPr>
          <w:p w14:paraId="08217315" w14:textId="009D231D"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8.472</w:t>
            </w:r>
          </w:p>
        </w:tc>
        <w:tc>
          <w:tcPr>
            <w:tcW w:w="1641" w:type="dxa"/>
            <w:shd w:val="clear" w:color="auto" w:fill="auto"/>
            <w:noWrap/>
            <w:vAlign w:val="center"/>
          </w:tcPr>
          <w:p w14:paraId="0648A0B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223.91</w:t>
            </w:r>
          </w:p>
        </w:tc>
        <w:tc>
          <w:tcPr>
            <w:tcW w:w="1639" w:type="dxa"/>
            <w:shd w:val="clear" w:color="auto" w:fill="auto"/>
            <w:noWrap/>
            <w:vAlign w:val="center"/>
          </w:tcPr>
          <w:p w14:paraId="2B49FC73"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18.83</w:t>
            </w:r>
          </w:p>
        </w:tc>
      </w:tr>
      <w:tr w:rsidR="00692FD2" w14:paraId="5A1B4BA8" w14:textId="77777777" w:rsidTr="00875155">
        <w:trPr>
          <w:trHeight w:val="289"/>
        </w:trPr>
        <w:tc>
          <w:tcPr>
            <w:tcW w:w="2886" w:type="dxa"/>
            <w:shd w:val="clear" w:color="auto" w:fill="auto"/>
            <w:noWrap/>
            <w:vAlign w:val="bottom"/>
          </w:tcPr>
          <w:p w14:paraId="0750F5C1"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Karnataka</w:t>
            </w:r>
          </w:p>
        </w:tc>
        <w:tc>
          <w:tcPr>
            <w:tcW w:w="1705" w:type="dxa"/>
            <w:shd w:val="clear" w:color="auto" w:fill="auto"/>
            <w:noWrap/>
            <w:vAlign w:val="center"/>
          </w:tcPr>
          <w:p w14:paraId="47F09CB1" w14:textId="2758CBEE"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2.785</w:t>
            </w:r>
          </w:p>
        </w:tc>
        <w:tc>
          <w:tcPr>
            <w:tcW w:w="1705" w:type="dxa"/>
            <w:shd w:val="clear" w:color="auto" w:fill="auto"/>
            <w:noWrap/>
            <w:vAlign w:val="center"/>
          </w:tcPr>
          <w:p w14:paraId="74B81940" w14:textId="14942C6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2.817</w:t>
            </w:r>
          </w:p>
        </w:tc>
        <w:tc>
          <w:tcPr>
            <w:tcW w:w="1641" w:type="dxa"/>
            <w:shd w:val="clear" w:color="auto" w:fill="auto"/>
            <w:noWrap/>
            <w:vAlign w:val="center"/>
          </w:tcPr>
          <w:p w14:paraId="55AD9C1E"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1.16</w:t>
            </w:r>
          </w:p>
        </w:tc>
        <w:tc>
          <w:tcPr>
            <w:tcW w:w="1639" w:type="dxa"/>
            <w:shd w:val="clear" w:color="auto" w:fill="auto"/>
            <w:noWrap/>
            <w:vAlign w:val="center"/>
          </w:tcPr>
          <w:p w14:paraId="004B0C16"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-2.94</w:t>
            </w:r>
          </w:p>
        </w:tc>
      </w:tr>
      <w:tr w:rsidR="00692FD2" w14:paraId="4CF6071C" w14:textId="77777777" w:rsidTr="00875155">
        <w:trPr>
          <w:trHeight w:val="289"/>
        </w:trPr>
        <w:tc>
          <w:tcPr>
            <w:tcW w:w="2886" w:type="dxa"/>
            <w:shd w:val="clear" w:color="auto" w:fill="auto"/>
            <w:noWrap/>
            <w:vAlign w:val="bottom"/>
          </w:tcPr>
          <w:p w14:paraId="6432578E"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Rajasthan</w:t>
            </w:r>
          </w:p>
        </w:tc>
        <w:tc>
          <w:tcPr>
            <w:tcW w:w="1705" w:type="dxa"/>
            <w:shd w:val="clear" w:color="auto" w:fill="auto"/>
            <w:noWrap/>
            <w:vAlign w:val="center"/>
          </w:tcPr>
          <w:p w14:paraId="7A55BD8C" w14:textId="137725B9"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0.679</w:t>
            </w:r>
          </w:p>
        </w:tc>
        <w:tc>
          <w:tcPr>
            <w:tcW w:w="1705" w:type="dxa"/>
            <w:shd w:val="clear" w:color="auto" w:fill="auto"/>
            <w:noWrap/>
            <w:vAlign w:val="center"/>
          </w:tcPr>
          <w:p w14:paraId="46559154" w14:textId="5CEEE6EF"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1.867</w:t>
            </w:r>
          </w:p>
        </w:tc>
        <w:tc>
          <w:tcPr>
            <w:tcW w:w="1641" w:type="dxa"/>
            <w:shd w:val="clear" w:color="auto" w:fill="auto"/>
            <w:noWrap/>
            <w:vAlign w:val="center"/>
          </w:tcPr>
          <w:p w14:paraId="5BB52BE4"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175.17</w:t>
            </w:r>
          </w:p>
        </w:tc>
        <w:tc>
          <w:tcPr>
            <w:tcW w:w="1639" w:type="dxa"/>
            <w:shd w:val="clear" w:color="auto" w:fill="auto"/>
            <w:noWrap/>
            <w:vAlign w:val="center"/>
          </w:tcPr>
          <w:p w14:paraId="5061A4A4"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17.58</w:t>
            </w:r>
          </w:p>
        </w:tc>
      </w:tr>
      <w:tr w:rsidR="00692FD2" w14:paraId="1BC02770" w14:textId="77777777" w:rsidTr="00875155">
        <w:trPr>
          <w:trHeight w:val="289"/>
        </w:trPr>
        <w:tc>
          <w:tcPr>
            <w:tcW w:w="2886" w:type="dxa"/>
            <w:shd w:val="clear" w:color="auto" w:fill="auto"/>
            <w:noWrap/>
            <w:vAlign w:val="bottom"/>
          </w:tcPr>
          <w:p w14:paraId="157BADB8"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Uttar Pradesh</w:t>
            </w:r>
          </w:p>
        </w:tc>
        <w:tc>
          <w:tcPr>
            <w:tcW w:w="1705" w:type="dxa"/>
            <w:shd w:val="clear" w:color="auto" w:fill="auto"/>
            <w:noWrap/>
            <w:vAlign w:val="center"/>
          </w:tcPr>
          <w:p w14:paraId="44C41893" w14:textId="541E544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0.512</w:t>
            </w:r>
          </w:p>
        </w:tc>
        <w:tc>
          <w:tcPr>
            <w:tcW w:w="1705" w:type="dxa"/>
            <w:shd w:val="clear" w:color="auto" w:fill="auto"/>
            <w:noWrap/>
            <w:vAlign w:val="center"/>
          </w:tcPr>
          <w:p w14:paraId="31EFAA1A" w14:textId="2A93E3BD"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1.548</w:t>
            </w:r>
          </w:p>
        </w:tc>
        <w:tc>
          <w:tcPr>
            <w:tcW w:w="1641" w:type="dxa"/>
            <w:shd w:val="clear" w:color="auto" w:fill="auto"/>
            <w:noWrap/>
            <w:vAlign w:val="center"/>
          </w:tcPr>
          <w:p w14:paraId="525D7419"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202.51</w:t>
            </w:r>
          </w:p>
        </w:tc>
        <w:tc>
          <w:tcPr>
            <w:tcW w:w="1639" w:type="dxa"/>
            <w:shd w:val="clear" w:color="auto" w:fill="auto"/>
            <w:noWrap/>
            <w:vAlign w:val="center"/>
          </w:tcPr>
          <w:p w14:paraId="663BB5F3"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19.97</w:t>
            </w:r>
          </w:p>
        </w:tc>
      </w:tr>
      <w:tr w:rsidR="00692FD2" w14:paraId="29748ECA" w14:textId="77777777" w:rsidTr="00875155">
        <w:trPr>
          <w:trHeight w:val="289"/>
        </w:trPr>
        <w:tc>
          <w:tcPr>
            <w:tcW w:w="2886" w:type="dxa"/>
            <w:shd w:val="clear" w:color="auto" w:fill="auto"/>
            <w:noWrap/>
            <w:vAlign w:val="bottom"/>
          </w:tcPr>
          <w:p w14:paraId="35B5A657"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Odisha</w:t>
            </w:r>
          </w:p>
        </w:tc>
        <w:tc>
          <w:tcPr>
            <w:tcW w:w="1705" w:type="dxa"/>
            <w:shd w:val="clear" w:color="auto" w:fill="auto"/>
            <w:noWrap/>
            <w:vAlign w:val="center"/>
          </w:tcPr>
          <w:p w14:paraId="14BB295B" w14:textId="06948921"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0.370</w:t>
            </w:r>
          </w:p>
        </w:tc>
        <w:tc>
          <w:tcPr>
            <w:tcW w:w="1705" w:type="dxa"/>
            <w:shd w:val="clear" w:color="auto" w:fill="auto"/>
            <w:noWrap/>
            <w:vAlign w:val="center"/>
          </w:tcPr>
          <w:p w14:paraId="6B2E420D" w14:textId="0B5D64B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1.161</w:t>
            </w:r>
          </w:p>
        </w:tc>
        <w:tc>
          <w:tcPr>
            <w:tcW w:w="1641" w:type="dxa"/>
            <w:shd w:val="clear" w:color="auto" w:fill="auto"/>
            <w:noWrap/>
            <w:vAlign w:val="center"/>
          </w:tcPr>
          <w:p w14:paraId="68A8DD30"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213.66</w:t>
            </w:r>
          </w:p>
        </w:tc>
        <w:tc>
          <w:tcPr>
            <w:tcW w:w="1639" w:type="dxa"/>
            <w:shd w:val="clear" w:color="auto" w:fill="auto"/>
            <w:noWrap/>
            <w:vAlign w:val="center"/>
          </w:tcPr>
          <w:p w14:paraId="313A6D01"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19.81</w:t>
            </w:r>
          </w:p>
        </w:tc>
      </w:tr>
      <w:tr w:rsidR="00692FD2" w14:paraId="2F088943" w14:textId="77777777" w:rsidTr="00875155">
        <w:trPr>
          <w:trHeight w:val="289"/>
        </w:trPr>
        <w:tc>
          <w:tcPr>
            <w:tcW w:w="2886" w:type="dxa"/>
            <w:shd w:val="clear" w:color="auto" w:fill="auto"/>
            <w:noWrap/>
            <w:vAlign w:val="bottom"/>
          </w:tcPr>
          <w:p w14:paraId="7796A389"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Gujarat</w:t>
            </w:r>
          </w:p>
        </w:tc>
        <w:tc>
          <w:tcPr>
            <w:tcW w:w="1705" w:type="dxa"/>
            <w:shd w:val="clear" w:color="auto" w:fill="auto"/>
            <w:noWrap/>
            <w:vAlign w:val="center"/>
          </w:tcPr>
          <w:p w14:paraId="690CBBE6" w14:textId="18ECD2DD"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0.516</w:t>
            </w:r>
          </w:p>
        </w:tc>
        <w:tc>
          <w:tcPr>
            <w:tcW w:w="1705" w:type="dxa"/>
            <w:shd w:val="clear" w:color="auto" w:fill="auto"/>
            <w:noWrap/>
            <w:vAlign w:val="center"/>
          </w:tcPr>
          <w:p w14:paraId="28914D95" w14:textId="506225BA"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0.848</w:t>
            </w:r>
          </w:p>
        </w:tc>
        <w:tc>
          <w:tcPr>
            <w:tcW w:w="1641" w:type="dxa"/>
            <w:shd w:val="clear" w:color="auto" w:fill="auto"/>
            <w:noWrap/>
            <w:vAlign w:val="center"/>
          </w:tcPr>
          <w:p w14:paraId="695A1D9A"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64.34</w:t>
            </w:r>
          </w:p>
        </w:tc>
        <w:tc>
          <w:tcPr>
            <w:tcW w:w="1639" w:type="dxa"/>
            <w:shd w:val="clear" w:color="auto" w:fill="auto"/>
            <w:noWrap/>
            <w:vAlign w:val="center"/>
          </w:tcPr>
          <w:p w14:paraId="412E79EE"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9.94</w:t>
            </w:r>
          </w:p>
        </w:tc>
      </w:tr>
      <w:tr w:rsidR="00692FD2" w14:paraId="7612F224" w14:textId="77777777" w:rsidTr="00875155">
        <w:trPr>
          <w:trHeight w:val="289"/>
        </w:trPr>
        <w:tc>
          <w:tcPr>
            <w:tcW w:w="2886" w:type="dxa"/>
            <w:shd w:val="clear" w:color="auto" w:fill="auto"/>
            <w:noWrap/>
            <w:vAlign w:val="bottom"/>
          </w:tcPr>
          <w:p w14:paraId="75869518"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Uttarakhand</w:t>
            </w:r>
          </w:p>
        </w:tc>
        <w:tc>
          <w:tcPr>
            <w:tcW w:w="1705" w:type="dxa"/>
            <w:shd w:val="clear" w:color="auto" w:fill="auto"/>
            <w:noWrap/>
            <w:vAlign w:val="center"/>
          </w:tcPr>
          <w:p w14:paraId="4712BE0B" w14:textId="604E284F"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0.227</w:t>
            </w:r>
          </w:p>
        </w:tc>
        <w:tc>
          <w:tcPr>
            <w:tcW w:w="1705" w:type="dxa"/>
            <w:shd w:val="clear" w:color="auto" w:fill="auto"/>
            <w:noWrap/>
            <w:vAlign w:val="center"/>
          </w:tcPr>
          <w:p w14:paraId="35117D72" w14:textId="316D537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0.374</w:t>
            </w:r>
          </w:p>
        </w:tc>
        <w:tc>
          <w:tcPr>
            <w:tcW w:w="1641" w:type="dxa"/>
            <w:shd w:val="clear" w:color="auto" w:fill="auto"/>
            <w:noWrap/>
            <w:vAlign w:val="center"/>
          </w:tcPr>
          <w:p w14:paraId="7B0642E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64.55</w:t>
            </w:r>
          </w:p>
        </w:tc>
        <w:tc>
          <w:tcPr>
            <w:tcW w:w="1639" w:type="dxa"/>
            <w:shd w:val="clear" w:color="auto" w:fill="auto"/>
            <w:noWrap/>
            <w:vAlign w:val="center"/>
          </w:tcPr>
          <w:p w14:paraId="3A414C2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9.46</w:t>
            </w:r>
          </w:p>
        </w:tc>
      </w:tr>
      <w:tr w:rsidR="00692FD2" w14:paraId="6D4DDD01" w14:textId="77777777" w:rsidTr="00875155">
        <w:trPr>
          <w:trHeight w:val="289"/>
        </w:trPr>
        <w:tc>
          <w:tcPr>
            <w:tcW w:w="2886" w:type="dxa"/>
            <w:shd w:val="clear" w:color="auto" w:fill="auto"/>
            <w:noWrap/>
            <w:vAlign w:val="bottom"/>
          </w:tcPr>
          <w:p w14:paraId="4FE052F4"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Jammu &amp; Kashmir</w:t>
            </w:r>
          </w:p>
        </w:tc>
        <w:tc>
          <w:tcPr>
            <w:tcW w:w="1705" w:type="dxa"/>
            <w:shd w:val="clear" w:color="auto" w:fill="auto"/>
            <w:noWrap/>
            <w:vAlign w:val="center"/>
          </w:tcPr>
          <w:p w14:paraId="6BDB287D" w14:textId="4A26C96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0.070</w:t>
            </w:r>
          </w:p>
        </w:tc>
        <w:tc>
          <w:tcPr>
            <w:tcW w:w="1705" w:type="dxa"/>
            <w:shd w:val="clear" w:color="auto" w:fill="auto"/>
            <w:noWrap/>
            <w:vAlign w:val="center"/>
          </w:tcPr>
          <w:p w14:paraId="51AD390C" w14:textId="4D0851F9"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0.343</w:t>
            </w:r>
          </w:p>
        </w:tc>
        <w:tc>
          <w:tcPr>
            <w:tcW w:w="1641" w:type="dxa"/>
            <w:shd w:val="clear" w:color="auto" w:fill="auto"/>
            <w:noWrap/>
            <w:vAlign w:val="center"/>
          </w:tcPr>
          <w:p w14:paraId="7D726217"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389.12</w:t>
            </w:r>
          </w:p>
        </w:tc>
        <w:tc>
          <w:tcPr>
            <w:tcW w:w="1639" w:type="dxa"/>
            <w:shd w:val="clear" w:color="auto" w:fill="auto"/>
            <w:noWrap/>
            <w:vAlign w:val="center"/>
          </w:tcPr>
          <w:p w14:paraId="2829F94E"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33.52</w:t>
            </w:r>
          </w:p>
        </w:tc>
      </w:tr>
      <w:tr w:rsidR="00692FD2" w14:paraId="7674CBD1" w14:textId="77777777" w:rsidTr="00875155">
        <w:trPr>
          <w:trHeight w:val="289"/>
        </w:trPr>
        <w:tc>
          <w:tcPr>
            <w:tcW w:w="2886" w:type="dxa"/>
            <w:shd w:val="clear" w:color="auto" w:fill="auto"/>
            <w:noWrap/>
            <w:vAlign w:val="bottom"/>
          </w:tcPr>
          <w:p w14:paraId="5F246DFE"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Kerala</w:t>
            </w:r>
          </w:p>
        </w:tc>
        <w:tc>
          <w:tcPr>
            <w:tcW w:w="1705" w:type="dxa"/>
            <w:shd w:val="clear" w:color="auto" w:fill="auto"/>
            <w:noWrap/>
            <w:vAlign w:val="center"/>
          </w:tcPr>
          <w:p w14:paraId="139C8237" w14:textId="533D9F1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0.073</w:t>
            </w:r>
          </w:p>
        </w:tc>
        <w:tc>
          <w:tcPr>
            <w:tcW w:w="1705" w:type="dxa"/>
            <w:shd w:val="clear" w:color="auto" w:fill="auto"/>
            <w:noWrap/>
            <w:vAlign w:val="center"/>
          </w:tcPr>
          <w:p w14:paraId="763C42C2" w14:textId="7E0D02D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0.277</w:t>
            </w:r>
          </w:p>
        </w:tc>
        <w:tc>
          <w:tcPr>
            <w:tcW w:w="1641" w:type="dxa"/>
            <w:shd w:val="clear" w:color="auto" w:fill="auto"/>
            <w:noWrap/>
            <w:vAlign w:val="center"/>
          </w:tcPr>
          <w:p w14:paraId="00D9F0F6"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280.92</w:t>
            </w:r>
          </w:p>
        </w:tc>
        <w:tc>
          <w:tcPr>
            <w:tcW w:w="1639" w:type="dxa"/>
            <w:shd w:val="clear" w:color="auto" w:fill="auto"/>
            <w:noWrap/>
            <w:vAlign w:val="center"/>
          </w:tcPr>
          <w:p w14:paraId="43FDB0C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24.23</w:t>
            </w:r>
          </w:p>
        </w:tc>
      </w:tr>
      <w:tr w:rsidR="00692FD2" w14:paraId="49936678" w14:textId="77777777" w:rsidTr="00875155">
        <w:trPr>
          <w:trHeight w:val="289"/>
        </w:trPr>
        <w:tc>
          <w:tcPr>
            <w:tcW w:w="2886" w:type="dxa"/>
            <w:shd w:val="clear" w:color="auto" w:fill="auto"/>
            <w:noWrap/>
            <w:vAlign w:val="bottom"/>
          </w:tcPr>
          <w:p w14:paraId="79BBF554"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Assam</w:t>
            </w:r>
          </w:p>
        </w:tc>
        <w:tc>
          <w:tcPr>
            <w:tcW w:w="1705" w:type="dxa"/>
            <w:shd w:val="clear" w:color="auto" w:fill="auto"/>
            <w:noWrap/>
            <w:vAlign w:val="center"/>
          </w:tcPr>
          <w:p w14:paraId="3ABF80A4" w14:textId="5432782C"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0.068</w:t>
            </w:r>
          </w:p>
        </w:tc>
        <w:tc>
          <w:tcPr>
            <w:tcW w:w="1705" w:type="dxa"/>
            <w:shd w:val="clear" w:color="auto" w:fill="auto"/>
            <w:noWrap/>
            <w:vAlign w:val="center"/>
          </w:tcPr>
          <w:p w14:paraId="5FB6E76C" w14:textId="2F39254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0.265</w:t>
            </w:r>
          </w:p>
        </w:tc>
        <w:tc>
          <w:tcPr>
            <w:tcW w:w="1641" w:type="dxa"/>
            <w:shd w:val="clear" w:color="auto" w:fill="auto"/>
            <w:noWrap/>
            <w:vAlign w:val="center"/>
          </w:tcPr>
          <w:p w14:paraId="06D8FDE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291.81</w:t>
            </w:r>
          </w:p>
        </w:tc>
        <w:tc>
          <w:tcPr>
            <w:tcW w:w="1639" w:type="dxa"/>
            <w:shd w:val="clear" w:color="auto" w:fill="auto"/>
            <w:noWrap/>
            <w:vAlign w:val="center"/>
          </w:tcPr>
          <w:p w14:paraId="4D90DDA2"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25.05</w:t>
            </w:r>
          </w:p>
        </w:tc>
      </w:tr>
      <w:tr w:rsidR="00692FD2" w14:paraId="6990E3E3" w14:textId="77777777" w:rsidTr="00875155">
        <w:trPr>
          <w:trHeight w:val="289"/>
        </w:trPr>
        <w:tc>
          <w:tcPr>
            <w:tcW w:w="2886" w:type="dxa"/>
            <w:shd w:val="clear" w:color="auto" w:fill="auto"/>
            <w:noWrap/>
            <w:vAlign w:val="bottom"/>
          </w:tcPr>
          <w:p w14:paraId="36CEE289"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Tamil Nadu</w:t>
            </w:r>
          </w:p>
        </w:tc>
        <w:tc>
          <w:tcPr>
            <w:tcW w:w="1705" w:type="dxa"/>
            <w:shd w:val="clear" w:color="auto" w:fill="auto"/>
            <w:noWrap/>
            <w:vAlign w:val="center"/>
          </w:tcPr>
          <w:p w14:paraId="39D56C8C" w14:textId="3E56C5FE"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0.144</w:t>
            </w:r>
          </w:p>
        </w:tc>
        <w:tc>
          <w:tcPr>
            <w:tcW w:w="1705" w:type="dxa"/>
            <w:shd w:val="clear" w:color="auto" w:fill="auto"/>
            <w:noWrap/>
            <w:vAlign w:val="center"/>
          </w:tcPr>
          <w:p w14:paraId="4BB21B56" w14:textId="21F66E87"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0.192</w:t>
            </w:r>
          </w:p>
        </w:tc>
        <w:tc>
          <w:tcPr>
            <w:tcW w:w="1641" w:type="dxa"/>
            <w:shd w:val="clear" w:color="auto" w:fill="auto"/>
            <w:noWrap/>
            <w:vAlign w:val="center"/>
          </w:tcPr>
          <w:p w14:paraId="0ACFA257"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33.74</w:t>
            </w:r>
          </w:p>
        </w:tc>
        <w:tc>
          <w:tcPr>
            <w:tcW w:w="1639" w:type="dxa"/>
            <w:shd w:val="clear" w:color="auto" w:fill="auto"/>
            <w:noWrap/>
            <w:vAlign w:val="center"/>
          </w:tcPr>
          <w:p w14:paraId="5A938CE4"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5.83</w:t>
            </w:r>
          </w:p>
        </w:tc>
      </w:tr>
      <w:tr w:rsidR="00692FD2" w14:paraId="5AD72F96" w14:textId="77777777" w:rsidTr="00875155">
        <w:trPr>
          <w:trHeight w:val="289"/>
        </w:trPr>
        <w:tc>
          <w:tcPr>
            <w:tcW w:w="2886" w:type="dxa"/>
            <w:shd w:val="clear" w:color="auto" w:fill="auto"/>
            <w:noWrap/>
            <w:vAlign w:val="bottom"/>
          </w:tcPr>
          <w:p w14:paraId="76836C3B"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West Bengal</w:t>
            </w:r>
          </w:p>
        </w:tc>
        <w:tc>
          <w:tcPr>
            <w:tcW w:w="1705" w:type="dxa"/>
            <w:shd w:val="clear" w:color="auto" w:fill="auto"/>
            <w:noWrap/>
            <w:vAlign w:val="center"/>
          </w:tcPr>
          <w:p w14:paraId="2ADBFB70" w14:textId="05FAEEF0"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0.108</w:t>
            </w:r>
          </w:p>
        </w:tc>
        <w:tc>
          <w:tcPr>
            <w:tcW w:w="1705" w:type="dxa"/>
            <w:shd w:val="clear" w:color="auto" w:fill="auto"/>
            <w:noWrap/>
            <w:vAlign w:val="center"/>
          </w:tcPr>
          <w:p w14:paraId="5449AFA8" w14:textId="06AD220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0.186</w:t>
            </w:r>
          </w:p>
        </w:tc>
        <w:tc>
          <w:tcPr>
            <w:tcW w:w="1641" w:type="dxa"/>
            <w:shd w:val="clear" w:color="auto" w:fill="auto"/>
            <w:noWrap/>
            <w:vAlign w:val="center"/>
          </w:tcPr>
          <w:p w14:paraId="29E4B42C"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72.2</w:t>
            </w:r>
          </w:p>
        </w:tc>
        <w:tc>
          <w:tcPr>
            <w:tcW w:w="1639" w:type="dxa"/>
            <w:shd w:val="clear" w:color="auto" w:fill="auto"/>
            <w:noWrap/>
            <w:vAlign w:val="center"/>
          </w:tcPr>
          <w:p w14:paraId="45E0C44A"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7.91</w:t>
            </w:r>
          </w:p>
        </w:tc>
      </w:tr>
      <w:tr w:rsidR="00692FD2" w14:paraId="7DD30E77" w14:textId="77777777" w:rsidTr="00875155">
        <w:trPr>
          <w:trHeight w:val="300"/>
        </w:trPr>
        <w:tc>
          <w:tcPr>
            <w:tcW w:w="2886" w:type="dxa"/>
            <w:shd w:val="clear" w:color="auto" w:fill="auto"/>
            <w:noWrap/>
            <w:vAlign w:val="bottom"/>
          </w:tcPr>
          <w:p w14:paraId="0C496C21"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Chhattisgarh</w:t>
            </w:r>
          </w:p>
        </w:tc>
        <w:tc>
          <w:tcPr>
            <w:tcW w:w="1705" w:type="dxa"/>
            <w:shd w:val="clear" w:color="auto" w:fill="auto"/>
            <w:noWrap/>
            <w:vAlign w:val="center"/>
          </w:tcPr>
          <w:p w14:paraId="77C5F145" w14:textId="3AFEA91A"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0.024</w:t>
            </w:r>
          </w:p>
        </w:tc>
        <w:tc>
          <w:tcPr>
            <w:tcW w:w="1705" w:type="dxa"/>
            <w:shd w:val="clear" w:color="auto" w:fill="auto"/>
            <w:noWrap/>
            <w:vAlign w:val="center"/>
          </w:tcPr>
          <w:p w14:paraId="7FC5E89C" w14:textId="56AA266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0.162</w:t>
            </w:r>
          </w:p>
        </w:tc>
        <w:tc>
          <w:tcPr>
            <w:tcW w:w="1641" w:type="dxa"/>
            <w:shd w:val="clear" w:color="auto" w:fill="auto"/>
            <w:noWrap/>
            <w:vAlign w:val="center"/>
          </w:tcPr>
          <w:p w14:paraId="6679B54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581.58</w:t>
            </w:r>
          </w:p>
        </w:tc>
        <w:tc>
          <w:tcPr>
            <w:tcW w:w="1639" w:type="dxa"/>
            <w:shd w:val="clear" w:color="auto" w:fill="auto"/>
            <w:noWrap/>
            <w:vAlign w:val="center"/>
          </w:tcPr>
          <w:p w14:paraId="662D95A7"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51.68</w:t>
            </w:r>
          </w:p>
        </w:tc>
      </w:tr>
      <w:tr w:rsidR="00692FD2" w14:paraId="7AD88007" w14:textId="77777777" w:rsidTr="00875155">
        <w:trPr>
          <w:trHeight w:val="300"/>
        </w:trPr>
        <w:tc>
          <w:tcPr>
            <w:tcW w:w="2886" w:type="dxa"/>
            <w:shd w:val="clear" w:color="auto" w:fill="auto"/>
            <w:noWrap/>
            <w:vAlign w:val="bottom"/>
          </w:tcPr>
          <w:p w14:paraId="24DEF387"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Andhra Pradesh</w:t>
            </w:r>
          </w:p>
        </w:tc>
        <w:tc>
          <w:tcPr>
            <w:tcW w:w="1705" w:type="dxa"/>
            <w:shd w:val="clear" w:color="auto" w:fill="auto"/>
            <w:noWrap/>
            <w:vAlign w:val="center"/>
          </w:tcPr>
          <w:p w14:paraId="1831451B" w14:textId="588F529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0.080</w:t>
            </w:r>
          </w:p>
        </w:tc>
        <w:tc>
          <w:tcPr>
            <w:tcW w:w="1705" w:type="dxa"/>
            <w:shd w:val="clear" w:color="auto" w:fill="auto"/>
            <w:noWrap/>
            <w:vAlign w:val="center"/>
          </w:tcPr>
          <w:p w14:paraId="3534E617" w14:textId="0D5F842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0.153</w:t>
            </w:r>
          </w:p>
        </w:tc>
        <w:tc>
          <w:tcPr>
            <w:tcW w:w="1641" w:type="dxa"/>
            <w:shd w:val="clear" w:color="auto" w:fill="auto"/>
            <w:noWrap/>
            <w:vAlign w:val="center"/>
          </w:tcPr>
          <w:p w14:paraId="496BCC8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92.67</w:t>
            </w:r>
          </w:p>
        </w:tc>
        <w:tc>
          <w:tcPr>
            <w:tcW w:w="1639" w:type="dxa"/>
            <w:shd w:val="clear" w:color="auto" w:fill="auto"/>
            <w:noWrap/>
            <w:vAlign w:val="center"/>
          </w:tcPr>
          <w:p w14:paraId="47935960"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12.62</w:t>
            </w:r>
          </w:p>
        </w:tc>
      </w:tr>
      <w:tr w:rsidR="00692FD2" w14:paraId="3F917D67" w14:textId="77777777" w:rsidTr="00875155">
        <w:trPr>
          <w:trHeight w:val="300"/>
        </w:trPr>
        <w:tc>
          <w:tcPr>
            <w:tcW w:w="2886" w:type="dxa"/>
            <w:shd w:val="clear" w:color="auto" w:fill="auto"/>
            <w:noWrap/>
            <w:vAlign w:val="bottom"/>
          </w:tcPr>
          <w:p w14:paraId="5EB489AC"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Meghalaya</w:t>
            </w:r>
          </w:p>
        </w:tc>
        <w:tc>
          <w:tcPr>
            <w:tcW w:w="1705" w:type="dxa"/>
            <w:shd w:val="clear" w:color="auto" w:fill="auto"/>
            <w:noWrap/>
            <w:vAlign w:val="center"/>
          </w:tcPr>
          <w:p w14:paraId="4F127283" w14:textId="245CBEB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0.000</w:t>
            </w:r>
          </w:p>
        </w:tc>
        <w:tc>
          <w:tcPr>
            <w:tcW w:w="1705" w:type="dxa"/>
            <w:shd w:val="clear" w:color="auto" w:fill="auto"/>
            <w:noWrap/>
            <w:vAlign w:val="center"/>
          </w:tcPr>
          <w:p w14:paraId="11BFDC11" w14:textId="150CDBA1"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0.081</w:t>
            </w:r>
          </w:p>
        </w:tc>
        <w:tc>
          <w:tcPr>
            <w:tcW w:w="1641" w:type="dxa"/>
            <w:shd w:val="clear" w:color="auto" w:fill="auto"/>
            <w:noWrap/>
            <w:vAlign w:val="center"/>
          </w:tcPr>
          <w:p w14:paraId="086A2ECD" w14:textId="36DBFB94" w:rsidR="00692FD2" w:rsidRDefault="00875155" w:rsidP="00A0529D">
            <w:pPr>
              <w:spacing w:after="0"/>
              <w:jc w:val="center"/>
              <w:rPr>
                <w:rFonts w:eastAsia="Times New Roman" w:cs="Times New Roman"/>
                <w:color w:val="000000"/>
                <w:szCs w:val="24"/>
              </w:rPr>
            </w:pPr>
            <w:r>
              <w:rPr>
                <w:rFonts w:eastAsia="Times New Roman" w:cs="Times New Roman"/>
                <w:color w:val="000000"/>
                <w:szCs w:val="24"/>
              </w:rPr>
              <w:t>-</w:t>
            </w:r>
          </w:p>
        </w:tc>
        <w:tc>
          <w:tcPr>
            <w:tcW w:w="1639" w:type="dxa"/>
            <w:shd w:val="clear" w:color="auto" w:fill="auto"/>
            <w:noWrap/>
            <w:vAlign w:val="center"/>
          </w:tcPr>
          <w:p w14:paraId="6C9231E8" w14:textId="304F23CD" w:rsidR="00692FD2" w:rsidRDefault="00875155" w:rsidP="00A0529D">
            <w:pPr>
              <w:spacing w:after="0"/>
              <w:jc w:val="center"/>
              <w:rPr>
                <w:rFonts w:eastAsia="Times New Roman" w:cs="Times New Roman"/>
                <w:color w:val="000000"/>
                <w:szCs w:val="24"/>
              </w:rPr>
            </w:pPr>
            <w:r>
              <w:rPr>
                <w:rFonts w:eastAsia="Times New Roman" w:cs="Times New Roman"/>
                <w:color w:val="000000"/>
                <w:szCs w:val="24"/>
              </w:rPr>
              <w:t>-</w:t>
            </w:r>
          </w:p>
        </w:tc>
      </w:tr>
      <w:tr w:rsidR="00692FD2" w14:paraId="7B582254" w14:textId="77777777" w:rsidTr="00875155">
        <w:trPr>
          <w:trHeight w:val="300"/>
        </w:trPr>
        <w:tc>
          <w:tcPr>
            <w:tcW w:w="2886" w:type="dxa"/>
            <w:shd w:val="clear" w:color="auto" w:fill="auto"/>
            <w:noWrap/>
            <w:vAlign w:val="bottom"/>
          </w:tcPr>
          <w:p w14:paraId="4B84B674"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Himachal Pradesh</w:t>
            </w:r>
          </w:p>
        </w:tc>
        <w:tc>
          <w:tcPr>
            <w:tcW w:w="1705" w:type="dxa"/>
            <w:shd w:val="clear" w:color="auto" w:fill="auto"/>
            <w:noWrap/>
            <w:vAlign w:val="center"/>
          </w:tcPr>
          <w:p w14:paraId="3D585868" w14:textId="295279F8"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0.001</w:t>
            </w:r>
          </w:p>
        </w:tc>
        <w:tc>
          <w:tcPr>
            <w:tcW w:w="1705" w:type="dxa"/>
            <w:shd w:val="clear" w:color="auto" w:fill="auto"/>
            <w:noWrap/>
            <w:vAlign w:val="center"/>
          </w:tcPr>
          <w:p w14:paraId="01446693" w14:textId="5C1DE7B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0.062</w:t>
            </w:r>
          </w:p>
        </w:tc>
        <w:tc>
          <w:tcPr>
            <w:tcW w:w="1641" w:type="dxa"/>
            <w:shd w:val="clear" w:color="auto" w:fill="auto"/>
            <w:noWrap/>
            <w:vAlign w:val="center"/>
          </w:tcPr>
          <w:p w14:paraId="381FD23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4745.37</w:t>
            </w:r>
          </w:p>
        </w:tc>
        <w:tc>
          <w:tcPr>
            <w:tcW w:w="1639" w:type="dxa"/>
            <w:shd w:val="clear" w:color="auto" w:fill="auto"/>
            <w:noWrap/>
            <w:vAlign w:val="center"/>
          </w:tcPr>
          <w:p w14:paraId="37D1813F"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93.36</w:t>
            </w:r>
          </w:p>
        </w:tc>
      </w:tr>
      <w:tr w:rsidR="00692FD2" w14:paraId="260FFD3B" w14:textId="77777777" w:rsidTr="00875155">
        <w:trPr>
          <w:trHeight w:val="300"/>
        </w:trPr>
        <w:tc>
          <w:tcPr>
            <w:tcW w:w="2886" w:type="dxa"/>
            <w:shd w:val="clear" w:color="auto" w:fill="auto"/>
            <w:noWrap/>
            <w:vAlign w:val="bottom"/>
          </w:tcPr>
          <w:p w14:paraId="7F29E58D"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Haryana</w:t>
            </w:r>
          </w:p>
        </w:tc>
        <w:tc>
          <w:tcPr>
            <w:tcW w:w="1705" w:type="dxa"/>
            <w:shd w:val="clear" w:color="auto" w:fill="auto"/>
            <w:noWrap/>
            <w:vAlign w:val="center"/>
          </w:tcPr>
          <w:p w14:paraId="055847F0" w14:textId="024E983F"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0.033</w:t>
            </w:r>
          </w:p>
        </w:tc>
        <w:tc>
          <w:tcPr>
            <w:tcW w:w="1705" w:type="dxa"/>
            <w:shd w:val="clear" w:color="auto" w:fill="auto"/>
            <w:noWrap/>
            <w:vAlign w:val="center"/>
          </w:tcPr>
          <w:p w14:paraId="26CC8374" w14:textId="1C3350AD"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0.035</w:t>
            </w:r>
          </w:p>
        </w:tc>
        <w:tc>
          <w:tcPr>
            <w:tcW w:w="1641" w:type="dxa"/>
            <w:shd w:val="clear" w:color="auto" w:fill="auto"/>
            <w:noWrap/>
            <w:vAlign w:val="center"/>
          </w:tcPr>
          <w:p w14:paraId="0EDBB4A3"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6.33</w:t>
            </w:r>
          </w:p>
        </w:tc>
        <w:tc>
          <w:tcPr>
            <w:tcW w:w="1639" w:type="dxa"/>
            <w:shd w:val="clear" w:color="auto" w:fill="auto"/>
            <w:noWrap/>
            <w:vAlign w:val="center"/>
          </w:tcPr>
          <w:p w14:paraId="1DAD8D3C"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0.49</w:t>
            </w:r>
          </w:p>
        </w:tc>
      </w:tr>
      <w:tr w:rsidR="00692FD2" w14:paraId="7399B028" w14:textId="77777777" w:rsidTr="00875155">
        <w:trPr>
          <w:trHeight w:val="300"/>
        </w:trPr>
        <w:tc>
          <w:tcPr>
            <w:tcW w:w="2886" w:type="dxa"/>
            <w:shd w:val="clear" w:color="auto" w:fill="auto"/>
            <w:noWrap/>
            <w:vAlign w:val="bottom"/>
          </w:tcPr>
          <w:p w14:paraId="4E729062"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Goa</w:t>
            </w:r>
          </w:p>
        </w:tc>
        <w:tc>
          <w:tcPr>
            <w:tcW w:w="1705" w:type="dxa"/>
            <w:shd w:val="clear" w:color="auto" w:fill="auto"/>
            <w:noWrap/>
            <w:vAlign w:val="center"/>
          </w:tcPr>
          <w:p w14:paraId="1C19D22D" w14:textId="77AAC1A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0.034</w:t>
            </w:r>
          </w:p>
        </w:tc>
        <w:tc>
          <w:tcPr>
            <w:tcW w:w="1705" w:type="dxa"/>
            <w:shd w:val="clear" w:color="auto" w:fill="auto"/>
            <w:noWrap/>
            <w:vAlign w:val="center"/>
          </w:tcPr>
          <w:p w14:paraId="25A0C245" w14:textId="6CD34AF3"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0.027</w:t>
            </w:r>
          </w:p>
        </w:tc>
        <w:tc>
          <w:tcPr>
            <w:tcW w:w="1641" w:type="dxa"/>
            <w:shd w:val="clear" w:color="auto" w:fill="auto"/>
            <w:noWrap/>
            <w:vAlign w:val="center"/>
          </w:tcPr>
          <w:p w14:paraId="23499434"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-19.77</w:t>
            </w:r>
          </w:p>
        </w:tc>
        <w:tc>
          <w:tcPr>
            <w:tcW w:w="1639" w:type="dxa"/>
            <w:shd w:val="clear" w:color="auto" w:fill="auto"/>
            <w:noWrap/>
            <w:vAlign w:val="center"/>
          </w:tcPr>
          <w:p w14:paraId="58C75F23"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-3.03</w:t>
            </w:r>
          </w:p>
        </w:tc>
      </w:tr>
      <w:tr w:rsidR="00692FD2" w14:paraId="7AE7F1F5" w14:textId="77777777" w:rsidTr="00875155">
        <w:trPr>
          <w:trHeight w:val="300"/>
        </w:trPr>
        <w:tc>
          <w:tcPr>
            <w:tcW w:w="2886" w:type="dxa"/>
            <w:shd w:val="clear" w:color="auto" w:fill="auto"/>
            <w:noWrap/>
            <w:vAlign w:val="bottom"/>
          </w:tcPr>
          <w:p w14:paraId="6A07E4B1"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Telangana</w:t>
            </w:r>
          </w:p>
        </w:tc>
        <w:tc>
          <w:tcPr>
            <w:tcW w:w="1705" w:type="dxa"/>
            <w:shd w:val="clear" w:color="auto" w:fill="auto"/>
            <w:noWrap/>
            <w:vAlign w:val="center"/>
          </w:tcPr>
          <w:p w14:paraId="4BDD455F" w14:textId="00EF4A1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0.001</w:t>
            </w:r>
          </w:p>
        </w:tc>
        <w:tc>
          <w:tcPr>
            <w:tcW w:w="1705" w:type="dxa"/>
            <w:shd w:val="clear" w:color="auto" w:fill="auto"/>
            <w:noWrap/>
            <w:vAlign w:val="center"/>
          </w:tcPr>
          <w:p w14:paraId="02BB3D02" w14:textId="76F9E091"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0.023</w:t>
            </w:r>
          </w:p>
        </w:tc>
        <w:tc>
          <w:tcPr>
            <w:tcW w:w="1641" w:type="dxa"/>
            <w:shd w:val="clear" w:color="auto" w:fill="auto"/>
            <w:noWrap/>
            <w:vAlign w:val="center"/>
          </w:tcPr>
          <w:p w14:paraId="642033F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4133.07</w:t>
            </w:r>
          </w:p>
        </w:tc>
        <w:tc>
          <w:tcPr>
            <w:tcW w:w="1639" w:type="dxa"/>
            <w:shd w:val="clear" w:color="auto" w:fill="auto"/>
            <w:noWrap/>
            <w:vAlign w:val="center"/>
          </w:tcPr>
          <w:p w14:paraId="42776EF1"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51.6</w:t>
            </w:r>
          </w:p>
        </w:tc>
      </w:tr>
      <w:tr w:rsidR="00692FD2" w14:paraId="7CE117CC" w14:textId="77777777" w:rsidTr="00875155">
        <w:trPr>
          <w:trHeight w:val="300"/>
        </w:trPr>
        <w:tc>
          <w:tcPr>
            <w:tcW w:w="2886" w:type="dxa"/>
            <w:shd w:val="clear" w:color="auto" w:fill="auto"/>
            <w:noWrap/>
            <w:vAlign w:val="bottom"/>
          </w:tcPr>
          <w:p w14:paraId="2F3A3F1D"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Punjab</w:t>
            </w:r>
          </w:p>
        </w:tc>
        <w:tc>
          <w:tcPr>
            <w:tcW w:w="1705" w:type="dxa"/>
            <w:shd w:val="clear" w:color="auto" w:fill="auto"/>
            <w:noWrap/>
            <w:vAlign w:val="center"/>
          </w:tcPr>
          <w:p w14:paraId="6893FFCB" w14:textId="6B290BD1"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0.012</w:t>
            </w:r>
          </w:p>
        </w:tc>
        <w:tc>
          <w:tcPr>
            <w:tcW w:w="1705" w:type="dxa"/>
            <w:shd w:val="clear" w:color="auto" w:fill="auto"/>
            <w:noWrap/>
            <w:vAlign w:val="center"/>
          </w:tcPr>
          <w:p w14:paraId="10C8FACC" w14:textId="20B740F2"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0.006</w:t>
            </w:r>
          </w:p>
        </w:tc>
        <w:tc>
          <w:tcPr>
            <w:tcW w:w="1641" w:type="dxa"/>
            <w:shd w:val="clear" w:color="auto" w:fill="auto"/>
            <w:noWrap/>
            <w:vAlign w:val="center"/>
          </w:tcPr>
          <w:p w14:paraId="094A14BE"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-53.7</w:t>
            </w:r>
          </w:p>
        </w:tc>
        <w:tc>
          <w:tcPr>
            <w:tcW w:w="1639" w:type="dxa"/>
            <w:shd w:val="clear" w:color="auto" w:fill="auto"/>
            <w:noWrap/>
            <w:vAlign w:val="center"/>
          </w:tcPr>
          <w:p w14:paraId="7A0A6C13"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-11.98</w:t>
            </w:r>
          </w:p>
        </w:tc>
      </w:tr>
      <w:tr w:rsidR="00692FD2" w14:paraId="57ED27B8" w14:textId="77777777" w:rsidTr="00875155">
        <w:trPr>
          <w:trHeight w:val="300"/>
        </w:trPr>
        <w:tc>
          <w:tcPr>
            <w:tcW w:w="2886" w:type="dxa"/>
            <w:shd w:val="clear" w:color="auto" w:fill="auto"/>
            <w:noWrap/>
            <w:vAlign w:val="bottom"/>
          </w:tcPr>
          <w:p w14:paraId="625AF9E6"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Sikkim</w:t>
            </w:r>
          </w:p>
        </w:tc>
        <w:tc>
          <w:tcPr>
            <w:tcW w:w="1705" w:type="dxa"/>
            <w:shd w:val="clear" w:color="auto" w:fill="auto"/>
            <w:noWrap/>
            <w:vAlign w:val="center"/>
          </w:tcPr>
          <w:p w14:paraId="5731D215" w14:textId="31434CAC"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0.001</w:t>
            </w:r>
          </w:p>
        </w:tc>
        <w:tc>
          <w:tcPr>
            <w:tcW w:w="1705" w:type="dxa"/>
            <w:shd w:val="clear" w:color="auto" w:fill="auto"/>
            <w:noWrap/>
            <w:vAlign w:val="center"/>
          </w:tcPr>
          <w:p w14:paraId="2D554E31" w14:textId="7DE1244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0.005</w:t>
            </w:r>
          </w:p>
        </w:tc>
        <w:tc>
          <w:tcPr>
            <w:tcW w:w="1641" w:type="dxa"/>
            <w:shd w:val="clear" w:color="auto" w:fill="auto"/>
            <w:noWrap/>
            <w:vAlign w:val="center"/>
          </w:tcPr>
          <w:p w14:paraId="3CA56A1E"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910.36</w:t>
            </w:r>
          </w:p>
        </w:tc>
        <w:tc>
          <w:tcPr>
            <w:tcW w:w="1639" w:type="dxa"/>
            <w:shd w:val="clear" w:color="auto" w:fill="auto"/>
            <w:noWrap/>
            <w:vAlign w:val="center"/>
          </w:tcPr>
          <w:p w14:paraId="30E4E335"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39.52</w:t>
            </w:r>
          </w:p>
        </w:tc>
      </w:tr>
      <w:tr w:rsidR="00692FD2" w14:paraId="41A4A617" w14:textId="77777777" w:rsidTr="00875155">
        <w:trPr>
          <w:trHeight w:val="300"/>
        </w:trPr>
        <w:tc>
          <w:tcPr>
            <w:tcW w:w="2886" w:type="dxa"/>
            <w:shd w:val="clear" w:color="auto" w:fill="auto"/>
            <w:noWrap/>
            <w:vAlign w:val="bottom"/>
          </w:tcPr>
          <w:p w14:paraId="401991EA"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Tripura</w:t>
            </w:r>
          </w:p>
        </w:tc>
        <w:tc>
          <w:tcPr>
            <w:tcW w:w="1705" w:type="dxa"/>
            <w:shd w:val="clear" w:color="auto" w:fill="auto"/>
            <w:noWrap/>
            <w:vAlign w:val="center"/>
          </w:tcPr>
          <w:p w14:paraId="2FFF9035" w14:textId="41395757"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0.002</w:t>
            </w:r>
          </w:p>
        </w:tc>
        <w:tc>
          <w:tcPr>
            <w:tcW w:w="1705" w:type="dxa"/>
            <w:shd w:val="clear" w:color="auto" w:fill="auto"/>
            <w:noWrap/>
            <w:vAlign w:val="center"/>
          </w:tcPr>
          <w:p w14:paraId="7A4BFEB1" w14:textId="4FD86A37"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0.003</w:t>
            </w:r>
          </w:p>
        </w:tc>
        <w:tc>
          <w:tcPr>
            <w:tcW w:w="1641" w:type="dxa"/>
            <w:shd w:val="clear" w:color="auto" w:fill="auto"/>
            <w:noWrap/>
            <w:vAlign w:val="center"/>
          </w:tcPr>
          <w:p w14:paraId="5076CA68"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128.56</w:t>
            </w:r>
          </w:p>
        </w:tc>
        <w:tc>
          <w:tcPr>
            <w:tcW w:w="1639" w:type="dxa"/>
            <w:shd w:val="clear" w:color="auto" w:fill="auto"/>
            <w:noWrap/>
            <w:vAlign w:val="center"/>
          </w:tcPr>
          <w:p w14:paraId="783FC63A"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21.57</w:t>
            </w:r>
          </w:p>
        </w:tc>
      </w:tr>
      <w:tr w:rsidR="00692FD2" w14:paraId="2EDA4A07" w14:textId="77777777" w:rsidTr="00875155">
        <w:trPr>
          <w:trHeight w:val="300"/>
        </w:trPr>
        <w:tc>
          <w:tcPr>
            <w:tcW w:w="2886" w:type="dxa"/>
            <w:shd w:val="clear" w:color="auto" w:fill="auto"/>
            <w:noWrap/>
            <w:vAlign w:val="bottom"/>
          </w:tcPr>
          <w:p w14:paraId="6484A67B"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Arunachal Pradesh</w:t>
            </w:r>
          </w:p>
        </w:tc>
        <w:tc>
          <w:tcPr>
            <w:tcW w:w="1705" w:type="dxa"/>
            <w:shd w:val="clear" w:color="auto" w:fill="auto"/>
            <w:noWrap/>
            <w:vAlign w:val="center"/>
          </w:tcPr>
          <w:p w14:paraId="4FF3ACA0" w14:textId="3C6F9001"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0.000</w:t>
            </w:r>
          </w:p>
        </w:tc>
        <w:tc>
          <w:tcPr>
            <w:tcW w:w="1705" w:type="dxa"/>
            <w:shd w:val="clear" w:color="auto" w:fill="auto"/>
            <w:noWrap/>
            <w:vAlign w:val="center"/>
          </w:tcPr>
          <w:p w14:paraId="52325E33" w14:textId="1EF44FE8"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0.002</w:t>
            </w:r>
          </w:p>
        </w:tc>
        <w:tc>
          <w:tcPr>
            <w:tcW w:w="1641" w:type="dxa"/>
            <w:shd w:val="clear" w:color="auto" w:fill="auto"/>
            <w:noWrap/>
            <w:vAlign w:val="center"/>
          </w:tcPr>
          <w:p w14:paraId="7154AFD4"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719.04</w:t>
            </w:r>
          </w:p>
        </w:tc>
        <w:tc>
          <w:tcPr>
            <w:tcW w:w="1639" w:type="dxa"/>
            <w:shd w:val="clear" w:color="auto" w:fill="auto"/>
            <w:noWrap/>
            <w:vAlign w:val="center"/>
          </w:tcPr>
          <w:p w14:paraId="58EA4808" w14:textId="671D2A70" w:rsidR="00692FD2" w:rsidRDefault="00875155" w:rsidP="00A0529D">
            <w:pPr>
              <w:spacing w:after="0"/>
              <w:jc w:val="center"/>
              <w:rPr>
                <w:rFonts w:eastAsia="Times New Roman" w:cs="Times New Roman"/>
                <w:color w:val="000000"/>
                <w:szCs w:val="24"/>
              </w:rPr>
            </w:pPr>
            <w:r>
              <w:rPr>
                <w:rFonts w:eastAsia="Times New Roman" w:cs="Times New Roman"/>
                <w:color w:val="000000"/>
                <w:szCs w:val="24"/>
              </w:rPr>
              <w:t>-</w:t>
            </w:r>
          </w:p>
        </w:tc>
      </w:tr>
      <w:tr w:rsidR="00692FD2" w14:paraId="303D8AC4" w14:textId="77777777" w:rsidTr="00875155">
        <w:trPr>
          <w:trHeight w:val="300"/>
        </w:trPr>
        <w:tc>
          <w:tcPr>
            <w:tcW w:w="2886" w:type="dxa"/>
            <w:shd w:val="clear" w:color="auto" w:fill="auto"/>
            <w:noWrap/>
            <w:vAlign w:val="bottom"/>
          </w:tcPr>
          <w:p w14:paraId="0756B055"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Nagaland</w:t>
            </w:r>
          </w:p>
        </w:tc>
        <w:tc>
          <w:tcPr>
            <w:tcW w:w="1705" w:type="dxa"/>
            <w:shd w:val="clear" w:color="auto" w:fill="auto"/>
            <w:noWrap/>
            <w:vAlign w:val="center"/>
          </w:tcPr>
          <w:p w14:paraId="23B772CA" w14:textId="1DAA2D15"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0.001</w:t>
            </w:r>
          </w:p>
        </w:tc>
        <w:tc>
          <w:tcPr>
            <w:tcW w:w="1705" w:type="dxa"/>
            <w:shd w:val="clear" w:color="auto" w:fill="auto"/>
            <w:noWrap/>
            <w:vAlign w:val="center"/>
          </w:tcPr>
          <w:p w14:paraId="4FBB74EA" w14:textId="2490422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0.001</w:t>
            </w:r>
          </w:p>
        </w:tc>
        <w:tc>
          <w:tcPr>
            <w:tcW w:w="1641" w:type="dxa"/>
            <w:shd w:val="clear" w:color="auto" w:fill="auto"/>
            <w:noWrap/>
            <w:vAlign w:val="center"/>
          </w:tcPr>
          <w:p w14:paraId="6581246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9.35</w:t>
            </w:r>
          </w:p>
        </w:tc>
        <w:tc>
          <w:tcPr>
            <w:tcW w:w="1639" w:type="dxa"/>
            <w:shd w:val="clear" w:color="auto" w:fill="auto"/>
            <w:noWrap/>
            <w:vAlign w:val="center"/>
          </w:tcPr>
          <w:p w14:paraId="265F4743" w14:textId="5E6CC1AC" w:rsidR="00692FD2" w:rsidRDefault="00A0529D" w:rsidP="00A0529D">
            <w:pPr>
              <w:spacing w:after="0"/>
              <w:jc w:val="center"/>
              <w:rPr>
                <w:rFonts w:eastAsia="Times New Roman" w:cs="Times New Roman"/>
                <w:color w:val="000000"/>
                <w:szCs w:val="24"/>
              </w:rPr>
            </w:pPr>
            <w:r>
              <w:rPr>
                <w:rFonts w:eastAsia="Times New Roman" w:cs="Times New Roman"/>
                <w:color w:val="000000"/>
                <w:szCs w:val="24"/>
              </w:rPr>
              <w:t>-</w:t>
            </w:r>
          </w:p>
        </w:tc>
      </w:tr>
      <w:tr w:rsidR="00692FD2" w14:paraId="03D79FD8" w14:textId="77777777" w:rsidTr="00875155">
        <w:trPr>
          <w:trHeight w:val="300"/>
        </w:trPr>
        <w:tc>
          <w:tcPr>
            <w:tcW w:w="2886" w:type="dxa"/>
            <w:shd w:val="clear" w:color="auto" w:fill="auto"/>
            <w:noWrap/>
            <w:vAlign w:val="bottom"/>
          </w:tcPr>
          <w:p w14:paraId="4401483C"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Manipur</w:t>
            </w:r>
          </w:p>
        </w:tc>
        <w:tc>
          <w:tcPr>
            <w:tcW w:w="1705" w:type="dxa"/>
            <w:shd w:val="clear" w:color="auto" w:fill="auto"/>
            <w:noWrap/>
            <w:vAlign w:val="center"/>
          </w:tcPr>
          <w:p w14:paraId="003D0722" w14:textId="4D462BCE"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0.011</w:t>
            </w:r>
          </w:p>
        </w:tc>
        <w:tc>
          <w:tcPr>
            <w:tcW w:w="1705" w:type="dxa"/>
            <w:shd w:val="clear" w:color="auto" w:fill="auto"/>
            <w:noWrap/>
            <w:vAlign w:val="center"/>
          </w:tcPr>
          <w:p w14:paraId="404754F4" w14:textId="180B57AD"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0.000</w:t>
            </w:r>
          </w:p>
        </w:tc>
        <w:tc>
          <w:tcPr>
            <w:tcW w:w="1641" w:type="dxa"/>
            <w:shd w:val="clear" w:color="auto" w:fill="auto"/>
            <w:noWrap/>
            <w:vAlign w:val="center"/>
          </w:tcPr>
          <w:p w14:paraId="0B92F7ED" w14:textId="77777777" w:rsidR="00692FD2" w:rsidRDefault="00692FD2" w:rsidP="00A0529D">
            <w:pPr>
              <w:spacing w:after="0"/>
              <w:jc w:val="center"/>
              <w:textAlignment w:val="bottom"/>
              <w:rPr>
                <w:rFonts w:eastAsia="Times New Roman" w:cs="Times New Roman"/>
                <w:color w:val="000000"/>
                <w:szCs w:val="24"/>
              </w:rPr>
            </w:pPr>
            <w:r>
              <w:rPr>
                <w:rFonts w:eastAsia="SimSun" w:cs="Times New Roman"/>
                <w:color w:val="000000"/>
                <w:szCs w:val="24"/>
                <w:lang w:eastAsia="zh-CN" w:bidi="ar"/>
              </w:rPr>
              <w:t>-98.06</w:t>
            </w:r>
          </w:p>
        </w:tc>
        <w:tc>
          <w:tcPr>
            <w:tcW w:w="1639" w:type="dxa"/>
            <w:shd w:val="clear" w:color="auto" w:fill="auto"/>
            <w:noWrap/>
            <w:vAlign w:val="center"/>
          </w:tcPr>
          <w:p w14:paraId="203DF473" w14:textId="0D4EC019" w:rsidR="00692FD2" w:rsidRDefault="00A0529D" w:rsidP="00A0529D">
            <w:pPr>
              <w:spacing w:after="0"/>
              <w:jc w:val="center"/>
              <w:rPr>
                <w:rFonts w:eastAsia="Times New Roman" w:cs="Times New Roman"/>
                <w:color w:val="000000"/>
                <w:szCs w:val="24"/>
              </w:rPr>
            </w:pPr>
            <w:r>
              <w:rPr>
                <w:rFonts w:eastAsia="Times New Roman" w:cs="Times New Roman"/>
                <w:color w:val="000000"/>
                <w:szCs w:val="24"/>
              </w:rPr>
              <w:t>-</w:t>
            </w:r>
          </w:p>
        </w:tc>
      </w:tr>
      <w:tr w:rsidR="00692FD2" w14:paraId="7D745F74" w14:textId="77777777" w:rsidTr="00875155">
        <w:trPr>
          <w:trHeight w:val="300"/>
        </w:trPr>
        <w:tc>
          <w:tcPr>
            <w:tcW w:w="2886" w:type="dxa"/>
            <w:shd w:val="clear" w:color="auto" w:fill="auto"/>
            <w:noWrap/>
            <w:vAlign w:val="bottom"/>
          </w:tcPr>
          <w:p w14:paraId="021BE090"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lastRenderedPageBreak/>
              <w:t>Bihar</w:t>
            </w:r>
          </w:p>
        </w:tc>
        <w:tc>
          <w:tcPr>
            <w:tcW w:w="1705" w:type="dxa"/>
            <w:shd w:val="clear" w:color="auto" w:fill="auto"/>
            <w:noWrap/>
            <w:vAlign w:val="center"/>
          </w:tcPr>
          <w:p w14:paraId="0282A58B" w14:textId="062F5986"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0.000</w:t>
            </w:r>
          </w:p>
        </w:tc>
        <w:tc>
          <w:tcPr>
            <w:tcW w:w="1705" w:type="dxa"/>
            <w:shd w:val="clear" w:color="auto" w:fill="auto"/>
            <w:noWrap/>
            <w:vAlign w:val="center"/>
          </w:tcPr>
          <w:p w14:paraId="691585EF" w14:textId="618A1CB4"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0.000</w:t>
            </w:r>
          </w:p>
        </w:tc>
        <w:tc>
          <w:tcPr>
            <w:tcW w:w="1641" w:type="dxa"/>
            <w:shd w:val="clear" w:color="auto" w:fill="auto"/>
            <w:noWrap/>
            <w:vAlign w:val="center"/>
          </w:tcPr>
          <w:p w14:paraId="79C01AC0" w14:textId="212C460B" w:rsidR="00692FD2" w:rsidRDefault="00A0529D" w:rsidP="00A0529D">
            <w:pPr>
              <w:spacing w:after="0"/>
              <w:jc w:val="center"/>
              <w:rPr>
                <w:rFonts w:eastAsia="Times New Roman" w:cs="Times New Roman"/>
                <w:color w:val="000000"/>
                <w:szCs w:val="24"/>
              </w:rPr>
            </w:pPr>
            <w:r>
              <w:rPr>
                <w:rFonts w:eastAsia="Times New Roman" w:cs="Times New Roman"/>
                <w:color w:val="000000"/>
                <w:szCs w:val="24"/>
              </w:rPr>
              <w:t>-</w:t>
            </w:r>
          </w:p>
        </w:tc>
        <w:tc>
          <w:tcPr>
            <w:tcW w:w="1639" w:type="dxa"/>
            <w:shd w:val="clear" w:color="auto" w:fill="auto"/>
            <w:noWrap/>
            <w:vAlign w:val="center"/>
          </w:tcPr>
          <w:p w14:paraId="59CF36C1" w14:textId="3A87C7FF" w:rsidR="00692FD2" w:rsidRDefault="00A0529D" w:rsidP="00A0529D">
            <w:pPr>
              <w:spacing w:after="0"/>
              <w:jc w:val="center"/>
              <w:rPr>
                <w:rFonts w:eastAsia="Times New Roman" w:cs="Times New Roman"/>
                <w:color w:val="000000"/>
                <w:szCs w:val="24"/>
              </w:rPr>
            </w:pPr>
            <w:r>
              <w:rPr>
                <w:rFonts w:eastAsia="Times New Roman" w:cs="Times New Roman"/>
                <w:color w:val="000000"/>
                <w:szCs w:val="24"/>
              </w:rPr>
              <w:t>-</w:t>
            </w:r>
          </w:p>
        </w:tc>
      </w:tr>
      <w:tr w:rsidR="00692FD2" w14:paraId="12DC00C0" w14:textId="77777777" w:rsidTr="00875155">
        <w:trPr>
          <w:trHeight w:val="300"/>
        </w:trPr>
        <w:tc>
          <w:tcPr>
            <w:tcW w:w="2886" w:type="dxa"/>
            <w:tcBorders>
              <w:bottom w:val="single" w:sz="4" w:space="0" w:color="auto"/>
            </w:tcBorders>
            <w:shd w:val="clear" w:color="auto" w:fill="auto"/>
            <w:noWrap/>
            <w:vAlign w:val="bottom"/>
          </w:tcPr>
          <w:p w14:paraId="747EE112" w14:textId="77777777" w:rsidR="00692FD2" w:rsidRDefault="00692FD2" w:rsidP="006C1721">
            <w:pPr>
              <w:spacing w:after="0"/>
              <w:textAlignment w:val="bottom"/>
              <w:rPr>
                <w:rFonts w:eastAsia="Times New Roman" w:cs="Times New Roman"/>
                <w:color w:val="000000"/>
                <w:szCs w:val="24"/>
              </w:rPr>
            </w:pPr>
            <w:r>
              <w:rPr>
                <w:rFonts w:eastAsia="SimSun" w:cs="Times New Roman"/>
                <w:color w:val="000000"/>
                <w:szCs w:val="24"/>
                <w:lang w:eastAsia="zh-CN" w:bidi="ar"/>
              </w:rPr>
              <w:t>Jharkhand</w:t>
            </w:r>
          </w:p>
        </w:tc>
        <w:tc>
          <w:tcPr>
            <w:tcW w:w="1705" w:type="dxa"/>
            <w:tcBorders>
              <w:bottom w:val="single" w:sz="4" w:space="0" w:color="auto"/>
            </w:tcBorders>
            <w:shd w:val="clear" w:color="auto" w:fill="auto"/>
            <w:noWrap/>
            <w:vAlign w:val="center"/>
          </w:tcPr>
          <w:p w14:paraId="428D5A2A" w14:textId="0A7C19FC"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0.000</w:t>
            </w:r>
          </w:p>
        </w:tc>
        <w:tc>
          <w:tcPr>
            <w:tcW w:w="1705" w:type="dxa"/>
            <w:tcBorders>
              <w:bottom w:val="single" w:sz="4" w:space="0" w:color="auto"/>
            </w:tcBorders>
            <w:shd w:val="clear" w:color="auto" w:fill="auto"/>
            <w:noWrap/>
            <w:vAlign w:val="center"/>
          </w:tcPr>
          <w:p w14:paraId="43C8C304" w14:textId="55FD7DEF" w:rsidR="00692FD2" w:rsidRDefault="00692FD2" w:rsidP="00A0529D">
            <w:pPr>
              <w:spacing w:after="0"/>
              <w:jc w:val="center"/>
              <w:textAlignment w:val="center"/>
              <w:rPr>
                <w:rFonts w:eastAsia="Times New Roman" w:cs="Times New Roman"/>
                <w:color w:val="000000"/>
                <w:szCs w:val="24"/>
              </w:rPr>
            </w:pPr>
            <w:r>
              <w:rPr>
                <w:rFonts w:eastAsia="SimSun" w:cs="Times New Roman"/>
                <w:color w:val="000000"/>
                <w:szCs w:val="24"/>
                <w:lang w:eastAsia="zh-CN" w:bidi="ar"/>
              </w:rPr>
              <w:t>0.000</w:t>
            </w:r>
          </w:p>
        </w:tc>
        <w:tc>
          <w:tcPr>
            <w:tcW w:w="1641" w:type="dxa"/>
            <w:tcBorders>
              <w:bottom w:val="single" w:sz="4" w:space="0" w:color="auto"/>
            </w:tcBorders>
            <w:shd w:val="clear" w:color="auto" w:fill="auto"/>
            <w:noWrap/>
            <w:vAlign w:val="center"/>
          </w:tcPr>
          <w:p w14:paraId="07EE4E6B" w14:textId="06105DBA" w:rsidR="00692FD2" w:rsidRDefault="00A0529D" w:rsidP="00A0529D">
            <w:pPr>
              <w:spacing w:after="0"/>
              <w:jc w:val="center"/>
              <w:rPr>
                <w:rFonts w:eastAsia="Times New Roman" w:cs="Times New Roman"/>
                <w:color w:val="000000"/>
                <w:szCs w:val="24"/>
              </w:rPr>
            </w:pPr>
            <w:r>
              <w:rPr>
                <w:rFonts w:eastAsia="Times New Roman" w:cs="Times New Roman"/>
                <w:color w:val="000000"/>
                <w:szCs w:val="24"/>
              </w:rPr>
              <w:t>-</w:t>
            </w:r>
          </w:p>
        </w:tc>
        <w:tc>
          <w:tcPr>
            <w:tcW w:w="1639" w:type="dxa"/>
            <w:tcBorders>
              <w:bottom w:val="single" w:sz="4" w:space="0" w:color="auto"/>
            </w:tcBorders>
            <w:shd w:val="clear" w:color="auto" w:fill="auto"/>
            <w:noWrap/>
            <w:vAlign w:val="center"/>
          </w:tcPr>
          <w:p w14:paraId="5C4309CE" w14:textId="3CE8651D" w:rsidR="00692FD2" w:rsidRDefault="00A0529D" w:rsidP="00A0529D">
            <w:pPr>
              <w:spacing w:after="0"/>
              <w:jc w:val="center"/>
              <w:rPr>
                <w:rFonts w:eastAsia="Times New Roman" w:cs="Times New Roman"/>
                <w:color w:val="000000"/>
                <w:szCs w:val="24"/>
              </w:rPr>
            </w:pPr>
            <w:r>
              <w:rPr>
                <w:rFonts w:eastAsia="Times New Roman" w:cs="Times New Roman"/>
                <w:color w:val="000000"/>
                <w:szCs w:val="24"/>
              </w:rPr>
              <w:t>-</w:t>
            </w:r>
          </w:p>
        </w:tc>
      </w:tr>
      <w:tr w:rsidR="00692FD2" w:rsidRPr="00875155" w14:paraId="1E9F247A" w14:textId="77777777" w:rsidTr="00875155">
        <w:trPr>
          <w:trHeight w:val="300"/>
        </w:trPr>
        <w:tc>
          <w:tcPr>
            <w:tcW w:w="1507" w:type="pct"/>
            <w:tcBorders>
              <w:top w:val="single" w:sz="4" w:space="0" w:color="auto"/>
              <w:bottom w:val="single" w:sz="4" w:space="0" w:color="auto"/>
            </w:tcBorders>
            <w:shd w:val="clear" w:color="auto" w:fill="auto"/>
            <w:noWrap/>
            <w:vAlign w:val="bottom"/>
          </w:tcPr>
          <w:p w14:paraId="1D158238" w14:textId="77777777" w:rsidR="00692FD2" w:rsidRPr="00875155" w:rsidRDefault="00692FD2" w:rsidP="006C1721">
            <w:pPr>
              <w:spacing w:after="0" w:line="240" w:lineRule="auto"/>
              <w:rPr>
                <w:rFonts w:eastAsia="Times New Roman" w:cs="Times New Roman"/>
                <w:color w:val="000000"/>
                <w:szCs w:val="24"/>
              </w:rPr>
            </w:pPr>
            <w:r w:rsidRPr="00875155">
              <w:rPr>
                <w:rFonts w:eastAsia="Times New Roman" w:cs="Times New Roman"/>
                <w:color w:val="000000"/>
                <w:szCs w:val="24"/>
              </w:rPr>
              <w:t>Total</w:t>
            </w:r>
          </w:p>
        </w:tc>
        <w:tc>
          <w:tcPr>
            <w:tcW w:w="1705" w:type="dxa"/>
            <w:tcBorders>
              <w:top w:val="single" w:sz="4" w:space="0" w:color="auto"/>
              <w:bottom w:val="single" w:sz="4" w:space="0" w:color="auto"/>
            </w:tcBorders>
            <w:shd w:val="clear" w:color="auto" w:fill="auto"/>
            <w:noWrap/>
            <w:vAlign w:val="center"/>
          </w:tcPr>
          <w:p w14:paraId="5D316839" w14:textId="78D52C29" w:rsidR="00692FD2" w:rsidRPr="00875155" w:rsidRDefault="00692FD2" w:rsidP="00A0529D">
            <w:pPr>
              <w:spacing w:after="0"/>
              <w:jc w:val="center"/>
              <w:textAlignment w:val="center"/>
              <w:rPr>
                <w:rFonts w:eastAsia="Times New Roman" w:cs="Times New Roman"/>
                <w:bCs/>
                <w:color w:val="000000"/>
                <w:szCs w:val="24"/>
              </w:rPr>
            </w:pPr>
            <w:r w:rsidRPr="00875155">
              <w:rPr>
                <w:rFonts w:eastAsia="SimSun" w:cs="Times New Roman"/>
                <w:bCs/>
                <w:color w:val="000000"/>
                <w:szCs w:val="24"/>
                <w:lang w:eastAsia="zh-CN" w:bidi="ar"/>
              </w:rPr>
              <w:t>12.180</w:t>
            </w:r>
          </w:p>
        </w:tc>
        <w:tc>
          <w:tcPr>
            <w:tcW w:w="1705" w:type="dxa"/>
            <w:tcBorders>
              <w:top w:val="single" w:sz="4" w:space="0" w:color="auto"/>
              <w:bottom w:val="single" w:sz="4" w:space="0" w:color="auto"/>
            </w:tcBorders>
            <w:shd w:val="clear" w:color="auto" w:fill="auto"/>
            <w:noWrap/>
            <w:vAlign w:val="center"/>
          </w:tcPr>
          <w:p w14:paraId="4B78304B" w14:textId="250C2824" w:rsidR="00692FD2" w:rsidRPr="00875155" w:rsidRDefault="00692FD2" w:rsidP="00A0529D">
            <w:pPr>
              <w:spacing w:after="0"/>
              <w:jc w:val="center"/>
              <w:textAlignment w:val="center"/>
              <w:rPr>
                <w:rFonts w:eastAsia="Times New Roman" w:cs="Times New Roman"/>
                <w:bCs/>
                <w:color w:val="000000"/>
                <w:szCs w:val="24"/>
              </w:rPr>
            </w:pPr>
            <w:r w:rsidRPr="00875155">
              <w:rPr>
                <w:rFonts w:eastAsia="SimSun" w:cs="Times New Roman"/>
                <w:bCs/>
                <w:color w:val="000000"/>
                <w:szCs w:val="24"/>
                <w:lang w:eastAsia="zh-CN" w:bidi="ar"/>
              </w:rPr>
              <w:t>29.285</w:t>
            </w:r>
          </w:p>
        </w:tc>
        <w:tc>
          <w:tcPr>
            <w:tcW w:w="857" w:type="pct"/>
            <w:tcBorders>
              <w:top w:val="single" w:sz="4" w:space="0" w:color="auto"/>
              <w:bottom w:val="single" w:sz="4" w:space="0" w:color="auto"/>
            </w:tcBorders>
            <w:shd w:val="clear" w:color="auto" w:fill="auto"/>
            <w:noWrap/>
            <w:vAlign w:val="center"/>
          </w:tcPr>
          <w:p w14:paraId="5CE18210" w14:textId="77777777" w:rsidR="00692FD2" w:rsidRPr="00875155" w:rsidRDefault="00692FD2" w:rsidP="00A0529D">
            <w:pPr>
              <w:spacing w:after="0" w:line="240" w:lineRule="auto"/>
              <w:jc w:val="center"/>
              <w:rPr>
                <w:rFonts w:eastAsia="Times New Roman" w:cs="Times New Roman"/>
                <w:bCs/>
                <w:color w:val="000000"/>
                <w:szCs w:val="24"/>
              </w:rPr>
            </w:pPr>
            <w:r w:rsidRPr="00875155">
              <w:rPr>
                <w:rFonts w:eastAsia="Times New Roman" w:cs="Times New Roman"/>
                <w:bCs/>
                <w:color w:val="000000"/>
                <w:szCs w:val="24"/>
              </w:rPr>
              <w:t>140.44</w:t>
            </w:r>
          </w:p>
        </w:tc>
        <w:tc>
          <w:tcPr>
            <w:tcW w:w="856" w:type="pct"/>
            <w:tcBorders>
              <w:top w:val="single" w:sz="4" w:space="0" w:color="auto"/>
              <w:bottom w:val="single" w:sz="4" w:space="0" w:color="auto"/>
            </w:tcBorders>
            <w:shd w:val="clear" w:color="auto" w:fill="auto"/>
            <w:noWrap/>
            <w:vAlign w:val="center"/>
          </w:tcPr>
          <w:p w14:paraId="52479154" w14:textId="77777777" w:rsidR="00692FD2" w:rsidRPr="00875155" w:rsidRDefault="00692FD2" w:rsidP="00A0529D">
            <w:pPr>
              <w:spacing w:after="0" w:line="240" w:lineRule="auto"/>
              <w:jc w:val="center"/>
              <w:rPr>
                <w:rFonts w:eastAsia="Times New Roman" w:cs="Times New Roman"/>
                <w:bCs/>
                <w:color w:val="000000"/>
                <w:szCs w:val="24"/>
              </w:rPr>
            </w:pPr>
            <w:r w:rsidRPr="00875155">
              <w:rPr>
                <w:rFonts w:eastAsia="Times New Roman" w:cs="Times New Roman"/>
                <w:bCs/>
                <w:color w:val="000000"/>
                <w:szCs w:val="24"/>
              </w:rPr>
              <w:t>14.59</w:t>
            </w:r>
          </w:p>
        </w:tc>
      </w:tr>
    </w:tbl>
    <w:p w14:paraId="5A471171" w14:textId="77777777" w:rsidR="00692FD2" w:rsidRDefault="00692FD2" w:rsidP="00692FD2"/>
    <w:p w14:paraId="6D8AA9A3" w14:textId="25E64459" w:rsidR="00692FD2" w:rsidRDefault="00CC2A98" w:rsidP="00692FD2">
      <w:pPr>
        <w:spacing w:line="360" w:lineRule="auto"/>
        <w:jc w:val="both"/>
        <w:rPr>
          <w:rFonts w:cs="Times New Roman"/>
          <w:lang w:val="en-GB"/>
        </w:rPr>
      </w:pPr>
      <w:r w:rsidRPr="00CC2A98">
        <w:rPr>
          <w:rFonts w:cs="Times New Roman"/>
          <w:lang w:val="en-GB"/>
        </w:rPr>
        <w:t xml:space="preserve">The major crop groups contributing to the total organic crop production in India are oilseeds, sugar crops, </w:t>
      </w:r>
      <w:proofErr w:type="spellStart"/>
      <w:r w:rsidRPr="00CC2A98">
        <w:rPr>
          <w:rFonts w:cs="Times New Roman"/>
          <w:lang w:val="en-GB"/>
        </w:rPr>
        <w:t>fiber</w:t>
      </w:r>
      <w:proofErr w:type="spellEnd"/>
      <w:r w:rsidRPr="00CC2A98">
        <w:rPr>
          <w:rFonts w:cs="Times New Roman"/>
          <w:lang w:val="en-GB"/>
        </w:rPr>
        <w:t xml:space="preserve"> crops, and cereals &amp; millets, collectively accounting for approximately 86.13%</w:t>
      </w:r>
      <w:r>
        <w:rPr>
          <w:rFonts w:cs="Times New Roman"/>
          <w:lang w:val="en-GB"/>
        </w:rPr>
        <w:t xml:space="preserve"> (Fig.3)</w:t>
      </w:r>
      <w:r w:rsidRPr="00CC2A98">
        <w:rPr>
          <w:rFonts w:cs="Times New Roman"/>
          <w:lang w:val="en-GB"/>
        </w:rPr>
        <w:t xml:space="preserve">. </w:t>
      </w:r>
      <w:r w:rsidR="00A0529D" w:rsidRPr="00CC2A98">
        <w:rPr>
          <w:rFonts w:cs="Times New Roman"/>
          <w:lang w:val="en-GB"/>
        </w:rPr>
        <w:t>Among these crop groups</w:t>
      </w:r>
      <w:r w:rsidR="00A0529D">
        <w:rPr>
          <w:rFonts w:cs="Times New Roman"/>
          <w:lang w:val="en-GB"/>
        </w:rPr>
        <w:t xml:space="preserve">, </w:t>
      </w:r>
      <w:r w:rsidR="00692FD2">
        <w:rPr>
          <w:rFonts w:cs="Times New Roman"/>
          <w:lang w:val="en-GB"/>
        </w:rPr>
        <w:t xml:space="preserve">8.83 lakh tons of oilseeds are produced organically followed by sugar crop </w:t>
      </w:r>
      <w:r>
        <w:rPr>
          <w:rFonts w:cs="Times New Roman"/>
          <w:lang w:val="en-GB"/>
        </w:rPr>
        <w:t>(</w:t>
      </w:r>
      <w:r w:rsidR="00692FD2">
        <w:rPr>
          <w:rFonts w:cs="Times New Roman"/>
          <w:lang w:val="en-GB"/>
        </w:rPr>
        <w:t>7.08 lakh tons</w:t>
      </w:r>
      <w:r>
        <w:rPr>
          <w:rFonts w:cs="Times New Roman"/>
          <w:lang w:val="en-GB"/>
        </w:rPr>
        <w:t>)</w:t>
      </w:r>
      <w:r w:rsidR="00692FD2">
        <w:rPr>
          <w:rFonts w:cs="Times New Roman"/>
          <w:lang w:val="en-GB"/>
        </w:rPr>
        <w:t xml:space="preserve">, </w:t>
      </w:r>
      <w:proofErr w:type="spellStart"/>
      <w:r w:rsidR="00AE14CC">
        <w:rPr>
          <w:rFonts w:cs="Times New Roman"/>
          <w:lang w:val="en-GB"/>
        </w:rPr>
        <w:t>fiber</w:t>
      </w:r>
      <w:proofErr w:type="spellEnd"/>
      <w:r w:rsidR="00692FD2">
        <w:rPr>
          <w:rFonts w:cs="Times New Roman"/>
          <w:lang w:val="en-GB"/>
        </w:rPr>
        <w:t xml:space="preserve"> crops (48.69 lakh tons) and cereals and millets (28.74 lakh tons). The highest positive growth in </w:t>
      </w:r>
      <w:r w:rsidR="00A0529D">
        <w:rPr>
          <w:rFonts w:cs="Times New Roman"/>
          <w:lang w:val="en-GB"/>
        </w:rPr>
        <w:t xml:space="preserve">organic crop production of crops </w:t>
      </w:r>
      <w:r w:rsidR="00692FD2">
        <w:rPr>
          <w:rFonts w:cs="Times New Roman"/>
          <w:lang w:val="en-GB"/>
        </w:rPr>
        <w:t xml:space="preserve">was observed in fodder </w:t>
      </w:r>
      <w:r w:rsidR="00A0529D">
        <w:rPr>
          <w:rFonts w:cs="Times New Roman"/>
          <w:lang w:val="en-GB"/>
        </w:rPr>
        <w:t>crops from 266 tons during TE2016-17 to 7215 tons during TE</w:t>
      </w:r>
      <w:r w:rsidR="00692FD2">
        <w:rPr>
          <w:rFonts w:cs="Times New Roman"/>
          <w:lang w:val="en-GB"/>
        </w:rPr>
        <w:t xml:space="preserve">2020-21 with </w:t>
      </w:r>
      <w:r w:rsidR="00AE14CC">
        <w:rPr>
          <w:rFonts w:cs="Times New Roman"/>
          <w:lang w:val="en-GB"/>
        </w:rPr>
        <w:t xml:space="preserve">a </w:t>
      </w:r>
      <w:r w:rsidR="00692FD2">
        <w:rPr>
          <w:rFonts w:cs="Times New Roman"/>
          <w:lang w:val="en-GB"/>
        </w:rPr>
        <w:t xml:space="preserve">percentage growth of 143.33 followed by </w:t>
      </w:r>
      <w:r w:rsidR="00A0529D">
        <w:rPr>
          <w:rFonts w:cs="Times New Roman"/>
          <w:lang w:val="en-GB"/>
        </w:rPr>
        <w:t xml:space="preserve">tuber crops (82.24 %), oilseeds, and spices &amp; condiments </w:t>
      </w:r>
      <w:r w:rsidR="00692FD2" w:rsidRPr="00BA4CC1">
        <w:rPr>
          <w:rFonts w:cs="Times New Roman"/>
          <w:lang w:val="en-GB"/>
        </w:rPr>
        <w:t>(Fig</w:t>
      </w:r>
      <w:r w:rsidR="00BA4CC1" w:rsidRPr="00BA4CC1">
        <w:rPr>
          <w:rFonts w:cs="Times New Roman"/>
          <w:lang w:val="en-GB"/>
        </w:rPr>
        <w:t xml:space="preserve"> </w:t>
      </w:r>
      <w:r w:rsidR="00692FD2" w:rsidRPr="00BA4CC1">
        <w:rPr>
          <w:rFonts w:cs="Times New Roman"/>
          <w:lang w:val="en-GB"/>
        </w:rPr>
        <w:t>3</w:t>
      </w:r>
      <w:r w:rsidR="00A0529D">
        <w:rPr>
          <w:rFonts w:cs="Times New Roman"/>
          <w:lang w:val="en-GB"/>
        </w:rPr>
        <w:t>).</w:t>
      </w:r>
      <w:r w:rsidR="00692FD2" w:rsidRPr="00BA4CC1">
        <w:rPr>
          <w:rFonts w:cs="Times New Roman"/>
          <w:lang w:val="en-GB"/>
        </w:rPr>
        <w:t xml:space="preserve"> </w:t>
      </w:r>
    </w:p>
    <w:p w14:paraId="7B9ACF1E" w14:textId="77777777" w:rsidR="00692FD2" w:rsidRDefault="00692FD2" w:rsidP="00692FD2">
      <w:pPr>
        <w:jc w:val="center"/>
      </w:pPr>
      <w:r>
        <w:rPr>
          <w:noProof/>
          <w:lang w:eastAsia="en-IN"/>
        </w:rPr>
        <w:drawing>
          <wp:inline distT="0" distB="0" distL="0" distR="0" wp14:anchorId="570844DD" wp14:editId="292BE824">
            <wp:extent cx="5727650" cy="2209165"/>
            <wp:effectExtent l="0" t="0" r="6985" b="63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08AA4E" w14:textId="71D2EFCC" w:rsidR="00692FD2" w:rsidRPr="00BA4CC1" w:rsidRDefault="00A0529D" w:rsidP="00A0529D">
      <w:pPr>
        <w:jc w:val="center"/>
        <w:rPr>
          <w:bCs/>
        </w:rPr>
      </w:pPr>
      <w:r>
        <w:rPr>
          <w:bCs/>
        </w:rPr>
        <w:t>Fig</w:t>
      </w:r>
      <w:r w:rsidR="00BA4CC1" w:rsidRPr="00BA4CC1">
        <w:rPr>
          <w:bCs/>
        </w:rPr>
        <w:t xml:space="preserve"> 3. </w:t>
      </w:r>
      <w:r w:rsidR="00692FD2" w:rsidRPr="00BA4CC1">
        <w:rPr>
          <w:rFonts w:cs="Times New Roman"/>
          <w:bCs/>
        </w:rPr>
        <w:t xml:space="preserve">Crop </w:t>
      </w:r>
      <w:r w:rsidR="00A6051A">
        <w:rPr>
          <w:rFonts w:cs="Times New Roman"/>
          <w:bCs/>
        </w:rPr>
        <w:t>group-wise</w:t>
      </w:r>
      <w:r w:rsidR="00692FD2" w:rsidRPr="00BA4CC1">
        <w:rPr>
          <w:rFonts w:cs="Times New Roman"/>
          <w:bCs/>
        </w:rPr>
        <w:t xml:space="preserve"> organic production scenario in India</w:t>
      </w:r>
    </w:p>
    <w:p w14:paraId="53657098" w14:textId="5D5952F1" w:rsidR="00AF21FE" w:rsidRPr="000D0CDF" w:rsidRDefault="00BA4CC1">
      <w:pPr>
        <w:rPr>
          <w:rFonts w:cs="Times New Roman"/>
          <w:b/>
          <w:szCs w:val="24"/>
        </w:rPr>
      </w:pPr>
      <w:r>
        <w:rPr>
          <w:rFonts w:cs="Times New Roman"/>
          <w:b/>
          <w:szCs w:val="24"/>
        </w:rPr>
        <w:t xml:space="preserve">4. </w:t>
      </w:r>
      <w:r w:rsidR="000D0CDF" w:rsidRPr="000D0CDF">
        <w:rPr>
          <w:rFonts w:cs="Times New Roman"/>
          <w:b/>
          <w:szCs w:val="24"/>
        </w:rPr>
        <w:t>Global scenario of Organic agriculture</w:t>
      </w:r>
    </w:p>
    <w:p w14:paraId="431C4F63" w14:textId="6E2B2466" w:rsidR="00875155" w:rsidRPr="00875155" w:rsidRDefault="00A7730C" w:rsidP="00875155">
      <w:pPr>
        <w:spacing w:line="360" w:lineRule="auto"/>
        <w:ind w:firstLine="720"/>
        <w:jc w:val="both"/>
        <w:rPr>
          <w:rFonts w:ascii="Arial" w:hAnsi="Arial" w:cs="Arial"/>
          <w:color w:val="222222"/>
          <w:sz w:val="20"/>
          <w:szCs w:val="20"/>
          <w:shd w:val="clear" w:color="auto" w:fill="FFFFFF"/>
        </w:rPr>
      </w:pPr>
      <w:r w:rsidRPr="000D0CDF">
        <w:rPr>
          <w:rFonts w:cs="Times New Roman"/>
          <w:szCs w:val="24"/>
        </w:rPr>
        <w:t>Sustainable agriculture is</w:t>
      </w:r>
      <w:r w:rsidR="00875155">
        <w:rPr>
          <w:rFonts w:cs="Times New Roman"/>
          <w:szCs w:val="24"/>
        </w:rPr>
        <w:t xml:space="preserve"> pivotal to</w:t>
      </w:r>
      <w:r w:rsidRPr="000D0CDF">
        <w:rPr>
          <w:rFonts w:cs="Times New Roman"/>
          <w:szCs w:val="24"/>
        </w:rPr>
        <w:t xml:space="preserve"> </w:t>
      </w:r>
      <w:r w:rsidR="00A6051A">
        <w:rPr>
          <w:rFonts w:cs="Times New Roman"/>
          <w:szCs w:val="24"/>
        </w:rPr>
        <w:t>attaining</w:t>
      </w:r>
      <w:r w:rsidRPr="000D0CDF">
        <w:rPr>
          <w:rFonts w:cs="Times New Roman"/>
          <w:szCs w:val="24"/>
        </w:rPr>
        <w:t xml:space="preserve"> </w:t>
      </w:r>
      <w:r w:rsidR="00875155">
        <w:rPr>
          <w:rFonts w:cs="Times New Roman"/>
          <w:szCs w:val="24"/>
        </w:rPr>
        <w:t>S</w:t>
      </w:r>
      <w:r>
        <w:rPr>
          <w:rFonts w:cs="Times New Roman"/>
          <w:szCs w:val="24"/>
        </w:rPr>
        <w:t xml:space="preserve">ustainable </w:t>
      </w:r>
      <w:r w:rsidR="00875155">
        <w:rPr>
          <w:rFonts w:cs="Times New Roman"/>
          <w:szCs w:val="24"/>
        </w:rPr>
        <w:t>D</w:t>
      </w:r>
      <w:r>
        <w:rPr>
          <w:rFonts w:cs="Times New Roman"/>
          <w:szCs w:val="24"/>
        </w:rPr>
        <w:t>evelopment</w:t>
      </w:r>
      <w:r w:rsidR="00875155">
        <w:rPr>
          <w:rFonts w:cs="Times New Roman"/>
          <w:szCs w:val="24"/>
        </w:rPr>
        <w:t xml:space="preserve"> Goals (SDGs), </w:t>
      </w:r>
      <w:r w:rsidR="00875155" w:rsidRPr="00875155">
        <w:rPr>
          <w:rFonts w:cs="Times New Roman"/>
          <w:szCs w:val="24"/>
        </w:rPr>
        <w:t>as recognized by the Food and Agriculture Organization</w:t>
      </w:r>
      <w:r w:rsidR="00875155">
        <w:rPr>
          <w:rFonts w:cs="Times New Roman"/>
          <w:szCs w:val="24"/>
        </w:rPr>
        <w:t xml:space="preserve"> (</w:t>
      </w:r>
      <w:r w:rsidRPr="003F370E">
        <w:rPr>
          <w:rFonts w:cs="Times New Roman"/>
          <w:color w:val="222222"/>
          <w:szCs w:val="24"/>
          <w:shd w:val="clear" w:color="auto" w:fill="FFFFFF"/>
        </w:rPr>
        <w:t>Ilk &amp; Liza, 2017)</w:t>
      </w:r>
      <w:r>
        <w:rPr>
          <w:rFonts w:ascii="Arial" w:hAnsi="Arial" w:cs="Arial"/>
          <w:color w:val="222222"/>
          <w:sz w:val="20"/>
          <w:szCs w:val="20"/>
          <w:shd w:val="clear" w:color="auto" w:fill="FFFFFF"/>
        </w:rPr>
        <w:t xml:space="preserve">. </w:t>
      </w:r>
      <w:r w:rsidR="00875155">
        <w:rPr>
          <w:rFonts w:ascii="Arial" w:hAnsi="Arial" w:cs="Arial"/>
          <w:color w:val="222222"/>
          <w:sz w:val="20"/>
          <w:szCs w:val="20"/>
          <w:shd w:val="clear" w:color="auto" w:fill="FFFFFF"/>
        </w:rPr>
        <w:t xml:space="preserve"> </w:t>
      </w:r>
      <w:r>
        <w:rPr>
          <w:rFonts w:cs="Times New Roman"/>
          <w:szCs w:val="24"/>
        </w:rPr>
        <w:t xml:space="preserve">Organic farming </w:t>
      </w:r>
      <w:r w:rsidR="00875155">
        <w:rPr>
          <w:rFonts w:cs="Times New Roman"/>
          <w:szCs w:val="24"/>
        </w:rPr>
        <w:t xml:space="preserve">is </w:t>
      </w:r>
      <w:r>
        <w:rPr>
          <w:rFonts w:cs="Times New Roman"/>
          <w:szCs w:val="24"/>
        </w:rPr>
        <w:t xml:space="preserve">one of many approaches </w:t>
      </w:r>
      <w:r w:rsidR="00875155">
        <w:rPr>
          <w:rFonts w:cs="Times New Roman"/>
          <w:szCs w:val="24"/>
        </w:rPr>
        <w:t>to promote sustainability, which</w:t>
      </w:r>
      <w:r w:rsidR="00875155" w:rsidRPr="00875155">
        <w:rPr>
          <w:rFonts w:cs="Times New Roman"/>
          <w:szCs w:val="24"/>
        </w:rPr>
        <w:t xml:space="preserve"> involves the reduced use of chemical fertilizers and pesticides.</w:t>
      </w:r>
      <w:r w:rsidR="00875155">
        <w:rPr>
          <w:rFonts w:ascii="Arial" w:hAnsi="Arial" w:cs="Arial"/>
          <w:color w:val="222222"/>
          <w:sz w:val="20"/>
          <w:szCs w:val="20"/>
          <w:shd w:val="clear" w:color="auto" w:fill="FFFFFF"/>
        </w:rPr>
        <w:t xml:space="preserve"> </w:t>
      </w:r>
      <w:r>
        <w:rPr>
          <w:rFonts w:cs="Times New Roman"/>
          <w:szCs w:val="24"/>
        </w:rPr>
        <w:t xml:space="preserve">To navigate towards this the countries are making their own efforts to transform to organic cultivation from conventional farming practices. </w:t>
      </w:r>
      <w:r w:rsidR="00875155" w:rsidRPr="00875155">
        <w:rPr>
          <w:rFonts w:cs="Times New Roman"/>
          <w:szCs w:val="24"/>
        </w:rPr>
        <w:t xml:space="preserve">Over the years, there has been significant progress in the global organic farming sector. </w:t>
      </w:r>
      <w:r>
        <w:rPr>
          <w:rFonts w:cs="Times New Roman"/>
          <w:szCs w:val="24"/>
        </w:rPr>
        <w:t xml:space="preserve">Figure 4 </w:t>
      </w:r>
      <w:r w:rsidR="00875155" w:rsidRPr="00875155">
        <w:rPr>
          <w:rFonts w:cs="Times New Roman"/>
          <w:szCs w:val="24"/>
        </w:rPr>
        <w:t>illustrates</w:t>
      </w:r>
      <w:r w:rsidR="00875155">
        <w:rPr>
          <w:rFonts w:cs="Times New Roman"/>
          <w:szCs w:val="24"/>
        </w:rPr>
        <w:t xml:space="preserve"> the </w:t>
      </w:r>
      <w:r>
        <w:rPr>
          <w:rFonts w:cs="Times New Roman"/>
          <w:szCs w:val="24"/>
        </w:rPr>
        <w:t xml:space="preserve">current scenario </w:t>
      </w:r>
      <w:r w:rsidR="00A6051A">
        <w:rPr>
          <w:rFonts w:cs="Times New Roman"/>
          <w:szCs w:val="24"/>
        </w:rPr>
        <w:t xml:space="preserve">of </w:t>
      </w:r>
      <w:r>
        <w:rPr>
          <w:rFonts w:cs="Times New Roman"/>
          <w:szCs w:val="24"/>
        </w:rPr>
        <w:t xml:space="preserve">organic agriculture </w:t>
      </w:r>
      <w:r w:rsidR="00A6051A">
        <w:rPr>
          <w:rFonts w:cs="Times New Roman"/>
          <w:szCs w:val="24"/>
        </w:rPr>
        <w:t>worldwide</w:t>
      </w:r>
      <w:r>
        <w:rPr>
          <w:rFonts w:cs="Times New Roman"/>
          <w:szCs w:val="24"/>
        </w:rPr>
        <w:t xml:space="preserve">. </w:t>
      </w:r>
    </w:p>
    <w:p w14:paraId="4ED16222" w14:textId="15187433" w:rsidR="00A7730C" w:rsidRDefault="00FD090F" w:rsidP="00FD090F">
      <w:pPr>
        <w:spacing w:line="360" w:lineRule="auto"/>
        <w:ind w:firstLine="720"/>
        <w:jc w:val="both"/>
        <w:rPr>
          <w:rFonts w:cs="Times New Roman"/>
          <w:szCs w:val="24"/>
        </w:rPr>
      </w:pPr>
      <w:r>
        <w:rPr>
          <w:rFonts w:cs="Times New Roman"/>
          <w:szCs w:val="24"/>
        </w:rPr>
        <w:t>In</w:t>
      </w:r>
      <w:r w:rsidRPr="00875155">
        <w:rPr>
          <w:rFonts w:cs="Times New Roman"/>
          <w:szCs w:val="24"/>
        </w:rPr>
        <w:t xml:space="preserve"> 2019,</w:t>
      </w:r>
      <w:r>
        <w:rPr>
          <w:rFonts w:cs="Times New Roman"/>
          <w:szCs w:val="24"/>
        </w:rPr>
        <w:t xml:space="preserve"> the global organic farming area (including conversion) is reached</w:t>
      </w:r>
      <w:r w:rsidRPr="00875155">
        <w:rPr>
          <w:rFonts w:cs="Times New Roman"/>
          <w:szCs w:val="24"/>
        </w:rPr>
        <w:t xml:space="preserve"> 72.3 </w:t>
      </w:r>
      <w:proofErr w:type="spellStart"/>
      <w:r>
        <w:rPr>
          <w:rFonts w:cs="Times New Roman"/>
          <w:szCs w:val="24"/>
        </w:rPr>
        <w:t>Mha</w:t>
      </w:r>
      <w:proofErr w:type="spellEnd"/>
      <w:r>
        <w:rPr>
          <w:rFonts w:cs="Times New Roman"/>
          <w:szCs w:val="24"/>
        </w:rPr>
        <w:t xml:space="preserve">, </w:t>
      </w:r>
      <w:r w:rsidRPr="00875155">
        <w:rPr>
          <w:rFonts w:cs="Times New Roman"/>
          <w:szCs w:val="24"/>
        </w:rPr>
        <w:t xml:space="preserve">a considerable increase from the 11 </w:t>
      </w:r>
      <w:proofErr w:type="spellStart"/>
      <w:r>
        <w:rPr>
          <w:rFonts w:cs="Times New Roman"/>
          <w:szCs w:val="24"/>
        </w:rPr>
        <w:t>Mha</w:t>
      </w:r>
      <w:proofErr w:type="spellEnd"/>
      <w:r w:rsidRPr="00875155">
        <w:rPr>
          <w:rFonts w:cs="Times New Roman"/>
          <w:szCs w:val="24"/>
        </w:rPr>
        <w:t xml:space="preserve"> recorded in 1999.</w:t>
      </w:r>
      <w:r w:rsidRPr="00FD090F">
        <w:rPr>
          <w:rFonts w:cs="Times New Roman"/>
          <w:szCs w:val="24"/>
        </w:rPr>
        <w:t xml:space="preserve"> </w:t>
      </w:r>
      <w:r w:rsidRPr="00875155">
        <w:rPr>
          <w:rFonts w:cs="Times New Roman"/>
          <w:szCs w:val="24"/>
        </w:rPr>
        <w:t>The percentage of organic area in relation to the total cultivable land in the world currently stand</w:t>
      </w:r>
      <w:r>
        <w:rPr>
          <w:rFonts w:cs="Times New Roman"/>
          <w:szCs w:val="24"/>
        </w:rPr>
        <w:t xml:space="preserve">s at 1.5%, up from 0.3% in 1999. </w:t>
      </w:r>
      <w:r>
        <w:rPr>
          <w:rFonts w:cs="Times New Roman"/>
          <w:szCs w:val="24"/>
        </w:rPr>
        <w:lastRenderedPageBreak/>
        <w:t>It is evident from Fig. 4 that</w:t>
      </w:r>
      <w:r w:rsidR="00A7730C">
        <w:rPr>
          <w:rFonts w:cs="Times New Roman"/>
          <w:szCs w:val="24"/>
        </w:rPr>
        <w:t xml:space="preserve"> there was tremendous growth in the area after 2015 with </w:t>
      </w:r>
      <w:r>
        <w:rPr>
          <w:rFonts w:cs="Times New Roman"/>
          <w:szCs w:val="24"/>
        </w:rPr>
        <w:t xml:space="preserve">an </w:t>
      </w:r>
      <w:r w:rsidR="00A7730C">
        <w:rPr>
          <w:rFonts w:cs="Times New Roman"/>
          <w:szCs w:val="24"/>
        </w:rPr>
        <w:t xml:space="preserve">addition of 22.3 </w:t>
      </w:r>
      <w:proofErr w:type="spellStart"/>
      <w:r>
        <w:rPr>
          <w:rFonts w:cs="Times New Roman"/>
          <w:szCs w:val="24"/>
        </w:rPr>
        <w:t>Mha</w:t>
      </w:r>
      <w:proofErr w:type="spellEnd"/>
      <w:r w:rsidR="00A7730C">
        <w:rPr>
          <w:rFonts w:cs="Times New Roman"/>
          <w:szCs w:val="24"/>
        </w:rPr>
        <w:t xml:space="preserve"> </w:t>
      </w:r>
      <w:r w:rsidRPr="00875155">
        <w:rPr>
          <w:rFonts w:cs="Times New Roman"/>
          <w:szCs w:val="24"/>
        </w:rPr>
        <w:t>within a span of four years.</w:t>
      </w:r>
      <w:r>
        <w:rPr>
          <w:rFonts w:cs="Times New Roman"/>
          <w:szCs w:val="24"/>
        </w:rPr>
        <w:t xml:space="preserve"> T</w:t>
      </w:r>
      <w:r w:rsidR="00A7730C">
        <w:rPr>
          <w:rFonts w:cs="Times New Roman"/>
          <w:szCs w:val="24"/>
        </w:rPr>
        <w:t>his</w:t>
      </w:r>
      <w:r>
        <w:rPr>
          <w:rFonts w:cs="Times New Roman"/>
          <w:szCs w:val="24"/>
        </w:rPr>
        <w:t xml:space="preserve"> growth</w:t>
      </w:r>
      <w:r w:rsidR="00A7730C">
        <w:rPr>
          <w:rFonts w:cs="Times New Roman"/>
          <w:szCs w:val="24"/>
        </w:rPr>
        <w:t xml:space="preserve"> is mainly due to several initiatives taken by governments to reduce the chemical inputs use and </w:t>
      </w:r>
      <w:r w:rsidRPr="00875155">
        <w:rPr>
          <w:rFonts w:cs="Times New Roman"/>
          <w:szCs w:val="24"/>
        </w:rPr>
        <w:t>promoting</w:t>
      </w:r>
      <w:r w:rsidR="00A7730C">
        <w:rPr>
          <w:rFonts w:cs="Times New Roman"/>
          <w:szCs w:val="24"/>
        </w:rPr>
        <w:t xml:space="preserve"> sustainable farming practices. </w:t>
      </w:r>
    </w:p>
    <w:p w14:paraId="51AE9B40" w14:textId="77777777" w:rsidR="00A7730C" w:rsidRDefault="00A7730C" w:rsidP="00A7730C">
      <w:pPr>
        <w:rPr>
          <w:rFonts w:cs="Times New Roman"/>
          <w:szCs w:val="24"/>
        </w:rPr>
      </w:pPr>
      <w:r w:rsidRPr="007B6CAD">
        <w:rPr>
          <w:rFonts w:cs="Times New Roman"/>
          <w:noProof/>
          <w:szCs w:val="24"/>
          <w:lang w:eastAsia="en-IN"/>
        </w:rPr>
        <w:drawing>
          <wp:inline distT="0" distB="0" distL="0" distR="0" wp14:anchorId="579A0210" wp14:editId="6D8CC55B">
            <wp:extent cx="5817565" cy="2282190"/>
            <wp:effectExtent l="0" t="0" r="0" b="3810"/>
            <wp:docPr id="1" name="Chart 1">
              <a:extLst xmlns:a="http://schemas.openxmlformats.org/drawingml/2006/main">
                <a:ext uri="{FF2B5EF4-FFF2-40B4-BE49-F238E27FC236}">
                  <a16:creationId xmlns:a16="http://schemas.microsoft.com/office/drawing/2014/main" id="{B6203C51-3982-3444-658A-E3D2C89B4D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E0C09E" w14:textId="47F9E93D" w:rsidR="002211C8" w:rsidRPr="007B6CAD" w:rsidRDefault="00A7730C" w:rsidP="002211C8">
      <w:pPr>
        <w:jc w:val="center"/>
        <w:rPr>
          <w:rFonts w:cs="Times New Roman"/>
          <w:szCs w:val="24"/>
        </w:rPr>
      </w:pPr>
      <w:r w:rsidRPr="00BA4CC1">
        <w:rPr>
          <w:rFonts w:cs="Times New Roman"/>
          <w:szCs w:val="24"/>
        </w:rPr>
        <w:t>Fig 4. Global organic agriculture cultivated area and share</w:t>
      </w:r>
      <w:r w:rsidR="002211C8">
        <w:rPr>
          <w:rFonts w:cs="Times New Roman"/>
          <w:szCs w:val="24"/>
        </w:rPr>
        <w:t>. (Source: IFOAM, 2021)</w:t>
      </w:r>
    </w:p>
    <w:p w14:paraId="64EE4180" w14:textId="35FFAA7B" w:rsidR="00EF0CB1" w:rsidRDefault="001F61DC" w:rsidP="00EF0CB1">
      <w:pPr>
        <w:spacing w:line="360" w:lineRule="auto"/>
        <w:ind w:firstLine="720"/>
        <w:jc w:val="both"/>
        <w:rPr>
          <w:rFonts w:cs="Times New Roman"/>
          <w:szCs w:val="24"/>
        </w:rPr>
      </w:pPr>
      <w:r>
        <w:rPr>
          <w:rFonts w:cs="Times New Roman"/>
          <w:szCs w:val="24"/>
        </w:rPr>
        <w:t>Major c</w:t>
      </w:r>
      <w:r w:rsidR="00A7730C">
        <w:rPr>
          <w:rFonts w:cs="Times New Roman"/>
          <w:szCs w:val="24"/>
        </w:rPr>
        <w:t xml:space="preserve">ountries contributing </w:t>
      </w:r>
      <w:r>
        <w:rPr>
          <w:rFonts w:cs="Times New Roman"/>
          <w:szCs w:val="24"/>
        </w:rPr>
        <w:t xml:space="preserve">to </w:t>
      </w:r>
      <w:r w:rsidR="00A7730C">
        <w:rPr>
          <w:rFonts w:cs="Times New Roman"/>
          <w:szCs w:val="24"/>
        </w:rPr>
        <w:t xml:space="preserve">organic cultivation are given in Table 3. </w:t>
      </w:r>
      <w:r>
        <w:rPr>
          <w:rFonts w:cs="Times New Roman"/>
          <w:szCs w:val="24"/>
        </w:rPr>
        <w:t xml:space="preserve"> The highest area under </w:t>
      </w:r>
      <w:r w:rsidR="00A7730C">
        <w:rPr>
          <w:rFonts w:cs="Times New Roman"/>
          <w:szCs w:val="24"/>
        </w:rPr>
        <w:t xml:space="preserve">organic cultivation is in Australia with 35.69 </w:t>
      </w:r>
      <w:proofErr w:type="spellStart"/>
      <w:r>
        <w:rPr>
          <w:rFonts w:cs="Times New Roman"/>
          <w:szCs w:val="24"/>
        </w:rPr>
        <w:t>M</w:t>
      </w:r>
      <w:r w:rsidR="00A7730C">
        <w:rPr>
          <w:rFonts w:cs="Times New Roman"/>
          <w:szCs w:val="24"/>
        </w:rPr>
        <w:t>ha</w:t>
      </w:r>
      <w:proofErr w:type="spellEnd"/>
      <w:r>
        <w:rPr>
          <w:rFonts w:cs="Times New Roman"/>
          <w:szCs w:val="24"/>
        </w:rPr>
        <w:t>,</w:t>
      </w:r>
      <w:r w:rsidRPr="001F61DC">
        <w:rPr>
          <w:rFonts w:cs="Times New Roman"/>
          <w:szCs w:val="24"/>
        </w:rPr>
        <w:t xml:space="preserve"> </w:t>
      </w:r>
      <w:r w:rsidRPr="002211C8">
        <w:rPr>
          <w:rFonts w:cs="Times New Roman"/>
          <w:szCs w:val="24"/>
        </w:rPr>
        <w:t xml:space="preserve">accounting for approximately 50% </w:t>
      </w:r>
      <w:r>
        <w:rPr>
          <w:rFonts w:cs="Times New Roman"/>
          <w:szCs w:val="24"/>
        </w:rPr>
        <w:t>of the t</w:t>
      </w:r>
      <w:r w:rsidR="00A7730C">
        <w:rPr>
          <w:rFonts w:cs="Times New Roman"/>
          <w:szCs w:val="24"/>
        </w:rPr>
        <w:t xml:space="preserve">otal area under organic in the world. </w:t>
      </w:r>
      <w:r w:rsidR="00EF0CB1">
        <w:rPr>
          <w:rFonts w:cs="Times New Roman"/>
          <w:szCs w:val="24"/>
        </w:rPr>
        <w:t>The organic area in this country has increased significantly</w:t>
      </w:r>
      <w:r w:rsidR="00EF0CB1" w:rsidRPr="00EF0CB1">
        <w:rPr>
          <w:rFonts w:cs="Times New Roman"/>
          <w:szCs w:val="24"/>
        </w:rPr>
        <w:t xml:space="preserve"> </w:t>
      </w:r>
      <w:r w:rsidR="00EF0CB1">
        <w:rPr>
          <w:rFonts w:cs="Times New Roman"/>
          <w:szCs w:val="24"/>
        </w:rPr>
        <w:t>by 130 % from TE2014 to TE2020.</w:t>
      </w:r>
      <w:r w:rsidR="00EF0CB1" w:rsidRPr="00EF0CB1">
        <w:rPr>
          <w:rFonts w:cs="Times New Roman"/>
          <w:szCs w:val="24"/>
        </w:rPr>
        <w:t xml:space="preserve"> </w:t>
      </w:r>
      <w:r w:rsidR="00EF0CB1" w:rsidRPr="002211C8">
        <w:rPr>
          <w:rFonts w:cs="Times New Roman"/>
          <w:szCs w:val="24"/>
        </w:rPr>
        <w:t xml:space="preserve">Argentina </w:t>
      </w:r>
      <w:r w:rsidR="00EF0CB1">
        <w:rPr>
          <w:rFonts w:cs="Times New Roman"/>
          <w:szCs w:val="24"/>
        </w:rPr>
        <w:t xml:space="preserve">holds </w:t>
      </w:r>
      <w:r w:rsidR="00AE14CC">
        <w:rPr>
          <w:rFonts w:cs="Times New Roman"/>
          <w:szCs w:val="24"/>
        </w:rPr>
        <w:t xml:space="preserve">the </w:t>
      </w:r>
      <w:r w:rsidR="00EF0CB1">
        <w:rPr>
          <w:rFonts w:cs="Times New Roman"/>
          <w:szCs w:val="24"/>
        </w:rPr>
        <w:t>second major country</w:t>
      </w:r>
      <w:r w:rsidR="00EF0CB1" w:rsidRPr="002211C8">
        <w:rPr>
          <w:rFonts w:cs="Times New Roman"/>
          <w:szCs w:val="24"/>
        </w:rPr>
        <w:t xml:space="preserve"> with 3.92 </w:t>
      </w:r>
      <w:proofErr w:type="spellStart"/>
      <w:r w:rsidR="00EF0CB1" w:rsidRPr="002211C8">
        <w:rPr>
          <w:rFonts w:cs="Times New Roman"/>
          <w:szCs w:val="24"/>
        </w:rPr>
        <w:t>mha</w:t>
      </w:r>
      <w:proofErr w:type="spellEnd"/>
      <w:r w:rsidR="00EF0CB1" w:rsidRPr="002211C8">
        <w:rPr>
          <w:rFonts w:cs="Times New Roman"/>
          <w:szCs w:val="24"/>
        </w:rPr>
        <w:t xml:space="preserve"> in TE 2020, contributing 5.4% to </w:t>
      </w:r>
      <w:r w:rsidR="00EF0CB1">
        <w:rPr>
          <w:rFonts w:cs="Times New Roman"/>
          <w:szCs w:val="24"/>
        </w:rPr>
        <w:t xml:space="preserve">the world's total organic area, followed by </w:t>
      </w:r>
      <w:r w:rsidR="00EF0CB1" w:rsidRPr="002211C8">
        <w:rPr>
          <w:rFonts w:cs="Times New Roman"/>
          <w:szCs w:val="24"/>
        </w:rPr>
        <w:t xml:space="preserve">China (2.6 </w:t>
      </w:r>
      <w:proofErr w:type="spellStart"/>
      <w:r w:rsidR="00EF0CB1" w:rsidRPr="002211C8">
        <w:rPr>
          <w:rFonts w:cs="Times New Roman"/>
          <w:szCs w:val="24"/>
        </w:rPr>
        <w:t>mha</w:t>
      </w:r>
      <w:proofErr w:type="spellEnd"/>
      <w:r w:rsidR="00EF0CB1" w:rsidRPr="002211C8">
        <w:rPr>
          <w:rFonts w:cs="Times New Roman"/>
          <w:szCs w:val="24"/>
        </w:rPr>
        <w:t xml:space="preserve">) and Uruguay (2.34 </w:t>
      </w:r>
      <w:proofErr w:type="spellStart"/>
      <w:r w:rsidR="00EF0CB1" w:rsidRPr="002211C8">
        <w:rPr>
          <w:rFonts w:cs="Times New Roman"/>
          <w:szCs w:val="24"/>
        </w:rPr>
        <w:t>mha</w:t>
      </w:r>
      <w:proofErr w:type="spellEnd"/>
      <w:r w:rsidR="00EF0CB1" w:rsidRPr="002211C8">
        <w:rPr>
          <w:rFonts w:cs="Times New Roman"/>
          <w:szCs w:val="24"/>
        </w:rPr>
        <w:t>)</w:t>
      </w:r>
      <w:r w:rsidR="00EF0CB1">
        <w:rPr>
          <w:rFonts w:cs="Times New Roman"/>
          <w:szCs w:val="24"/>
        </w:rPr>
        <w:t xml:space="preserve">. </w:t>
      </w:r>
      <w:r w:rsidR="00A7730C">
        <w:rPr>
          <w:rFonts w:cs="Times New Roman"/>
          <w:szCs w:val="24"/>
        </w:rPr>
        <w:t xml:space="preserve">However, there was not much change in </w:t>
      </w:r>
      <w:r w:rsidR="00AE14CC">
        <w:rPr>
          <w:rFonts w:cs="Times New Roman"/>
          <w:szCs w:val="24"/>
        </w:rPr>
        <w:t>the area</w:t>
      </w:r>
      <w:r w:rsidR="00A7730C">
        <w:rPr>
          <w:rFonts w:cs="Times New Roman"/>
          <w:szCs w:val="24"/>
        </w:rPr>
        <w:t xml:space="preserve"> under cultivation in USA, Argentina</w:t>
      </w:r>
      <w:r w:rsidR="00AE14CC">
        <w:rPr>
          <w:rFonts w:cs="Times New Roman"/>
          <w:szCs w:val="24"/>
        </w:rPr>
        <w:t>,</w:t>
      </w:r>
      <w:r w:rsidR="00A7730C">
        <w:rPr>
          <w:rFonts w:cs="Times New Roman"/>
          <w:szCs w:val="24"/>
        </w:rPr>
        <w:t xml:space="preserve"> and China </w:t>
      </w:r>
      <w:r w:rsidR="00EF0CB1">
        <w:rPr>
          <w:rFonts w:cs="Times New Roman"/>
          <w:szCs w:val="24"/>
        </w:rPr>
        <w:t xml:space="preserve">over </w:t>
      </w:r>
      <w:r w:rsidR="00AE14CC">
        <w:rPr>
          <w:rFonts w:cs="Times New Roman"/>
          <w:szCs w:val="24"/>
        </w:rPr>
        <w:t xml:space="preserve">the </w:t>
      </w:r>
      <w:r w:rsidR="00EF0CB1">
        <w:rPr>
          <w:rFonts w:cs="Times New Roman"/>
          <w:szCs w:val="24"/>
        </w:rPr>
        <w:t>past</w:t>
      </w:r>
      <w:r w:rsidR="00A7730C">
        <w:rPr>
          <w:rFonts w:cs="Times New Roman"/>
          <w:szCs w:val="24"/>
        </w:rPr>
        <w:t xml:space="preserve"> </w:t>
      </w:r>
      <w:r w:rsidR="00EF0CB1">
        <w:rPr>
          <w:rFonts w:cs="Times New Roman"/>
          <w:szCs w:val="24"/>
        </w:rPr>
        <w:t xml:space="preserve">six </w:t>
      </w:r>
      <w:r w:rsidR="00A7730C">
        <w:rPr>
          <w:rFonts w:cs="Times New Roman"/>
          <w:szCs w:val="24"/>
        </w:rPr>
        <w:t xml:space="preserve">years. </w:t>
      </w:r>
      <w:r w:rsidR="00EF0CB1">
        <w:rPr>
          <w:rFonts w:cs="Times New Roman"/>
          <w:szCs w:val="24"/>
        </w:rPr>
        <w:t xml:space="preserve">The highest change in organic area was observed in India with </w:t>
      </w:r>
      <w:r w:rsidR="00AE14CC">
        <w:rPr>
          <w:rFonts w:cs="Times New Roman"/>
          <w:szCs w:val="24"/>
        </w:rPr>
        <w:t xml:space="preserve">a </w:t>
      </w:r>
      <w:r w:rsidR="00EF0CB1">
        <w:rPr>
          <w:rFonts w:cs="Times New Roman"/>
          <w:szCs w:val="24"/>
        </w:rPr>
        <w:t xml:space="preserve">146 % increase from 0.93 </w:t>
      </w:r>
      <w:proofErr w:type="spellStart"/>
      <w:r w:rsidR="00EF0CB1">
        <w:rPr>
          <w:rFonts w:cs="Times New Roman"/>
          <w:szCs w:val="24"/>
        </w:rPr>
        <w:t>Mha</w:t>
      </w:r>
      <w:proofErr w:type="spellEnd"/>
      <w:r w:rsidR="00EF0CB1">
        <w:rPr>
          <w:rFonts w:cs="Times New Roman"/>
          <w:szCs w:val="24"/>
        </w:rPr>
        <w:t xml:space="preserve"> in TE2014 to 3.21 </w:t>
      </w:r>
      <w:proofErr w:type="spellStart"/>
      <w:r w:rsidR="00EF0CB1">
        <w:rPr>
          <w:rFonts w:cs="Times New Roman"/>
          <w:szCs w:val="24"/>
        </w:rPr>
        <w:t>Mha</w:t>
      </w:r>
      <w:proofErr w:type="spellEnd"/>
      <w:r w:rsidR="00EF0CB1">
        <w:rPr>
          <w:rFonts w:cs="Times New Roman"/>
          <w:szCs w:val="24"/>
        </w:rPr>
        <w:t xml:space="preserve"> in TE2020.</w:t>
      </w:r>
    </w:p>
    <w:p w14:paraId="79B53C9D" w14:textId="475F45F6" w:rsidR="002211C8" w:rsidRDefault="00AE14CC" w:rsidP="00EF0CB1">
      <w:pPr>
        <w:spacing w:line="360" w:lineRule="auto"/>
        <w:jc w:val="both"/>
        <w:rPr>
          <w:rFonts w:cs="Times New Roman"/>
          <w:szCs w:val="24"/>
        </w:rPr>
      </w:pPr>
      <w:r>
        <w:rPr>
          <w:rFonts w:cs="Times New Roman"/>
          <w:szCs w:val="24"/>
        </w:rPr>
        <w:t>The highest</w:t>
      </w:r>
      <w:r w:rsidR="00A7730C">
        <w:rPr>
          <w:rFonts w:cs="Times New Roman"/>
          <w:szCs w:val="24"/>
        </w:rPr>
        <w:t xml:space="preserve"> change in area under organic is in India with </w:t>
      </w:r>
      <w:r>
        <w:rPr>
          <w:rFonts w:cs="Times New Roman"/>
          <w:szCs w:val="24"/>
        </w:rPr>
        <w:t xml:space="preserve">a 146 % increase from 0.93 </w:t>
      </w:r>
      <w:proofErr w:type="spellStart"/>
      <w:r>
        <w:rPr>
          <w:rFonts w:cs="Times New Roman"/>
          <w:szCs w:val="24"/>
        </w:rPr>
        <w:t>M</w:t>
      </w:r>
      <w:r w:rsidR="00A7730C">
        <w:rPr>
          <w:rFonts w:cs="Times New Roman"/>
          <w:szCs w:val="24"/>
        </w:rPr>
        <w:t>ha</w:t>
      </w:r>
      <w:proofErr w:type="spellEnd"/>
      <w:r w:rsidR="00A7730C">
        <w:rPr>
          <w:rFonts w:cs="Times New Roman"/>
          <w:szCs w:val="24"/>
        </w:rPr>
        <w:t xml:space="preserve"> in TE 2014 to 3.21 </w:t>
      </w:r>
      <w:proofErr w:type="spellStart"/>
      <w:r w:rsidR="00A7730C">
        <w:rPr>
          <w:rFonts w:cs="Times New Roman"/>
          <w:szCs w:val="24"/>
        </w:rPr>
        <w:t>mha</w:t>
      </w:r>
      <w:proofErr w:type="spellEnd"/>
      <w:r w:rsidR="00A7730C">
        <w:rPr>
          <w:rFonts w:cs="Times New Roman"/>
          <w:szCs w:val="24"/>
        </w:rPr>
        <w:t xml:space="preserve"> in TE 2020. This increase in area under organic was due to several policy measures undertaken by </w:t>
      </w:r>
      <w:r>
        <w:rPr>
          <w:rFonts w:cs="Times New Roman"/>
          <w:szCs w:val="24"/>
        </w:rPr>
        <w:t xml:space="preserve">the </w:t>
      </w:r>
      <w:r w:rsidR="00A7730C">
        <w:rPr>
          <w:rFonts w:cs="Times New Roman"/>
          <w:szCs w:val="24"/>
        </w:rPr>
        <w:t xml:space="preserve">Government of India after 2015. Major scheme to promote organic cultivation introduced was </w:t>
      </w:r>
      <w:proofErr w:type="spellStart"/>
      <w:r w:rsidR="00A7730C">
        <w:rPr>
          <w:rFonts w:cs="Times New Roman"/>
          <w:szCs w:val="24"/>
        </w:rPr>
        <w:t>Paramparagat</w:t>
      </w:r>
      <w:proofErr w:type="spellEnd"/>
      <w:r w:rsidR="00A7730C">
        <w:rPr>
          <w:rFonts w:cs="Times New Roman"/>
          <w:szCs w:val="24"/>
        </w:rPr>
        <w:t xml:space="preserve"> </w:t>
      </w:r>
      <w:proofErr w:type="spellStart"/>
      <w:r w:rsidR="00A7730C">
        <w:rPr>
          <w:rFonts w:cs="Times New Roman"/>
          <w:szCs w:val="24"/>
        </w:rPr>
        <w:t>Krishi</w:t>
      </w:r>
      <w:proofErr w:type="spellEnd"/>
      <w:r w:rsidR="00A7730C">
        <w:rPr>
          <w:rFonts w:cs="Times New Roman"/>
          <w:szCs w:val="24"/>
        </w:rPr>
        <w:t xml:space="preserve"> </w:t>
      </w:r>
      <w:proofErr w:type="spellStart"/>
      <w:r w:rsidR="00A7730C">
        <w:rPr>
          <w:rFonts w:cs="Times New Roman"/>
          <w:szCs w:val="24"/>
        </w:rPr>
        <w:t>Vikas</w:t>
      </w:r>
      <w:proofErr w:type="spellEnd"/>
      <w:r w:rsidR="00A7730C">
        <w:rPr>
          <w:rFonts w:cs="Times New Roman"/>
          <w:szCs w:val="24"/>
        </w:rPr>
        <w:t xml:space="preserve"> Yojana (PKVY) which mainstreamed the process of awareness and initial support for organic farming. These top 10 countries contribute around 65-70 % of </w:t>
      </w:r>
      <w:r>
        <w:rPr>
          <w:rFonts w:cs="Times New Roman"/>
          <w:szCs w:val="24"/>
        </w:rPr>
        <w:t xml:space="preserve">the </w:t>
      </w:r>
      <w:proofErr w:type="spellStart"/>
      <w:r w:rsidR="00A7730C">
        <w:rPr>
          <w:rFonts w:cs="Times New Roman"/>
          <w:szCs w:val="24"/>
        </w:rPr>
        <w:t>worlds</w:t>
      </w:r>
      <w:proofErr w:type="spellEnd"/>
      <w:r w:rsidR="00A7730C">
        <w:rPr>
          <w:rFonts w:cs="Times New Roman"/>
          <w:szCs w:val="24"/>
        </w:rPr>
        <w:t xml:space="preserve"> organic cultivation. </w:t>
      </w:r>
      <w:r w:rsidR="002211C8" w:rsidRPr="002211C8">
        <w:rPr>
          <w:rFonts w:cs="Times New Roman"/>
          <w:szCs w:val="24"/>
        </w:rPr>
        <w:t xml:space="preserve">This surge can be attributed to several policy measures implemented by the Government of India </w:t>
      </w:r>
      <w:r w:rsidR="00EF0CB1">
        <w:rPr>
          <w:rFonts w:cs="Times New Roman"/>
          <w:szCs w:val="24"/>
        </w:rPr>
        <w:t>that</w:t>
      </w:r>
      <w:r w:rsidR="002211C8" w:rsidRPr="002211C8">
        <w:rPr>
          <w:rFonts w:cs="Times New Roman"/>
          <w:szCs w:val="24"/>
        </w:rPr>
        <w:t xml:space="preserve"> effectively raised awareness and provided init</w:t>
      </w:r>
      <w:r w:rsidR="00EF0CB1">
        <w:rPr>
          <w:rFonts w:cs="Times New Roman"/>
          <w:szCs w:val="24"/>
        </w:rPr>
        <w:t xml:space="preserve">ial support for organic farming. </w:t>
      </w:r>
      <w:r w:rsidR="002211C8" w:rsidRPr="002211C8">
        <w:rPr>
          <w:rFonts w:cs="Times New Roman"/>
          <w:szCs w:val="24"/>
        </w:rPr>
        <w:t>These top 10 countries collectively contribute to approximately 65-70% of the world's organic cultivation area.</w:t>
      </w:r>
    </w:p>
    <w:p w14:paraId="3D83226F" w14:textId="3EEC1D80" w:rsidR="00A7730C" w:rsidRPr="00BA4CC1" w:rsidRDefault="00A7730C" w:rsidP="00A7730C">
      <w:pPr>
        <w:spacing w:after="0"/>
        <w:rPr>
          <w:rFonts w:cs="Times New Roman"/>
          <w:szCs w:val="24"/>
        </w:rPr>
      </w:pPr>
      <w:r w:rsidRPr="00BA4CC1">
        <w:rPr>
          <w:rFonts w:cs="Times New Roman"/>
          <w:szCs w:val="24"/>
        </w:rPr>
        <w:lastRenderedPageBreak/>
        <w:t>Table 3. Area under organic cultivation of major countries (</w:t>
      </w:r>
      <w:proofErr w:type="spellStart"/>
      <w:r w:rsidR="00EF0CB1">
        <w:rPr>
          <w:rFonts w:cs="Times New Roman"/>
          <w:szCs w:val="24"/>
        </w:rPr>
        <w:t>M</w:t>
      </w:r>
      <w:r w:rsidRPr="00BA4CC1">
        <w:rPr>
          <w:rFonts w:cs="Times New Roman"/>
          <w:szCs w:val="24"/>
        </w:rPr>
        <w:t>ha</w:t>
      </w:r>
      <w:proofErr w:type="spellEnd"/>
      <w:r w:rsidRPr="00BA4CC1">
        <w:rPr>
          <w:rFonts w:cs="Times New Roman"/>
          <w:szCs w:val="24"/>
        </w:rPr>
        <w:t>)</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3"/>
        <w:gridCol w:w="1334"/>
        <w:gridCol w:w="1330"/>
        <w:gridCol w:w="1128"/>
        <w:gridCol w:w="991"/>
        <w:gridCol w:w="2220"/>
      </w:tblGrid>
      <w:tr w:rsidR="00EF0CB1" w:rsidRPr="00EF0CB1" w14:paraId="473366F8" w14:textId="77777777" w:rsidTr="00CA7423">
        <w:trPr>
          <w:trHeight w:val="170"/>
        </w:trPr>
        <w:tc>
          <w:tcPr>
            <w:tcW w:w="1120" w:type="pct"/>
            <w:tcBorders>
              <w:top w:val="single" w:sz="4" w:space="0" w:color="auto"/>
              <w:bottom w:val="single" w:sz="4" w:space="0" w:color="auto"/>
            </w:tcBorders>
            <w:vAlign w:val="center"/>
          </w:tcPr>
          <w:p w14:paraId="4E9FE22C" w14:textId="77777777" w:rsidR="00EF0CB1" w:rsidRPr="00EF0CB1" w:rsidRDefault="00EF0CB1" w:rsidP="00EF0CB1">
            <w:pPr>
              <w:spacing w:line="276" w:lineRule="auto"/>
              <w:rPr>
                <w:rFonts w:cs="Times New Roman"/>
                <w:bCs/>
                <w:sz w:val="22"/>
              </w:rPr>
            </w:pPr>
            <w:r w:rsidRPr="00EF0CB1">
              <w:rPr>
                <w:rFonts w:cs="Times New Roman"/>
                <w:bCs/>
                <w:sz w:val="22"/>
              </w:rPr>
              <w:t>Country</w:t>
            </w:r>
          </w:p>
        </w:tc>
        <w:tc>
          <w:tcPr>
            <w:tcW w:w="739" w:type="pct"/>
            <w:tcBorders>
              <w:top w:val="single" w:sz="4" w:space="0" w:color="auto"/>
              <w:bottom w:val="single" w:sz="4" w:space="0" w:color="auto"/>
            </w:tcBorders>
            <w:vAlign w:val="center"/>
          </w:tcPr>
          <w:p w14:paraId="66B48C1F" w14:textId="4C5F1731" w:rsidR="00EF0CB1" w:rsidRPr="00EF0CB1" w:rsidRDefault="00EF0CB1" w:rsidP="00DE1947">
            <w:pPr>
              <w:spacing w:line="276" w:lineRule="auto"/>
              <w:jc w:val="center"/>
              <w:rPr>
                <w:rFonts w:cs="Times New Roman"/>
                <w:bCs/>
                <w:sz w:val="22"/>
              </w:rPr>
            </w:pPr>
            <w:r w:rsidRPr="00EF0CB1">
              <w:rPr>
                <w:rFonts w:cs="Times New Roman"/>
                <w:bCs/>
                <w:color w:val="000000"/>
                <w:sz w:val="22"/>
              </w:rPr>
              <w:t>TE2014</w:t>
            </w:r>
          </w:p>
        </w:tc>
        <w:tc>
          <w:tcPr>
            <w:tcW w:w="737" w:type="pct"/>
            <w:tcBorders>
              <w:top w:val="single" w:sz="4" w:space="0" w:color="auto"/>
              <w:bottom w:val="single" w:sz="4" w:space="0" w:color="auto"/>
            </w:tcBorders>
            <w:vAlign w:val="center"/>
          </w:tcPr>
          <w:p w14:paraId="37706ECF" w14:textId="42B614A6" w:rsidR="00EF0CB1" w:rsidRPr="00EF0CB1" w:rsidRDefault="00EF0CB1" w:rsidP="00DE1947">
            <w:pPr>
              <w:spacing w:line="276" w:lineRule="auto"/>
              <w:jc w:val="center"/>
              <w:rPr>
                <w:rFonts w:cs="Times New Roman"/>
                <w:bCs/>
                <w:sz w:val="22"/>
              </w:rPr>
            </w:pPr>
            <w:r w:rsidRPr="00EF0CB1">
              <w:rPr>
                <w:rFonts w:cs="Times New Roman"/>
                <w:bCs/>
                <w:color w:val="000000"/>
                <w:sz w:val="22"/>
              </w:rPr>
              <w:t>TE2017</w:t>
            </w:r>
          </w:p>
        </w:tc>
        <w:tc>
          <w:tcPr>
            <w:tcW w:w="625" w:type="pct"/>
            <w:tcBorders>
              <w:top w:val="single" w:sz="4" w:space="0" w:color="auto"/>
              <w:bottom w:val="single" w:sz="4" w:space="0" w:color="auto"/>
            </w:tcBorders>
            <w:vAlign w:val="center"/>
          </w:tcPr>
          <w:p w14:paraId="6F57C41A" w14:textId="4BB21C63" w:rsidR="00EF0CB1" w:rsidRPr="00EF0CB1" w:rsidRDefault="00EF0CB1" w:rsidP="00DE1947">
            <w:pPr>
              <w:spacing w:line="276" w:lineRule="auto"/>
              <w:jc w:val="center"/>
              <w:rPr>
                <w:rFonts w:cs="Times New Roman"/>
                <w:bCs/>
                <w:sz w:val="22"/>
              </w:rPr>
            </w:pPr>
            <w:r w:rsidRPr="00EF0CB1">
              <w:rPr>
                <w:rFonts w:cs="Times New Roman"/>
                <w:bCs/>
                <w:color w:val="000000"/>
                <w:sz w:val="22"/>
              </w:rPr>
              <w:t>TE2020</w:t>
            </w:r>
          </w:p>
        </w:tc>
        <w:tc>
          <w:tcPr>
            <w:tcW w:w="549" w:type="pct"/>
            <w:tcBorders>
              <w:top w:val="single" w:sz="4" w:space="0" w:color="auto"/>
              <w:bottom w:val="single" w:sz="4" w:space="0" w:color="auto"/>
            </w:tcBorders>
            <w:vAlign w:val="center"/>
          </w:tcPr>
          <w:p w14:paraId="150B0F89" w14:textId="0AF7EB3E" w:rsidR="00EF0CB1" w:rsidRPr="00EF0CB1" w:rsidRDefault="00EF0CB1" w:rsidP="00EF0CB1">
            <w:pPr>
              <w:spacing w:line="276" w:lineRule="auto"/>
              <w:jc w:val="center"/>
              <w:rPr>
                <w:rFonts w:cs="Times New Roman"/>
                <w:bCs/>
                <w:sz w:val="22"/>
              </w:rPr>
            </w:pPr>
            <w:r w:rsidRPr="00EF0CB1">
              <w:rPr>
                <w:rFonts w:cs="Times New Roman"/>
                <w:bCs/>
                <w:color w:val="000000"/>
                <w:sz w:val="22"/>
              </w:rPr>
              <w:t xml:space="preserve">% Share in total </w:t>
            </w:r>
          </w:p>
        </w:tc>
        <w:tc>
          <w:tcPr>
            <w:tcW w:w="1231" w:type="pct"/>
            <w:tcBorders>
              <w:top w:val="single" w:sz="4" w:space="0" w:color="auto"/>
              <w:bottom w:val="single" w:sz="4" w:space="0" w:color="auto"/>
            </w:tcBorders>
            <w:vAlign w:val="center"/>
          </w:tcPr>
          <w:p w14:paraId="795D420C" w14:textId="77777777" w:rsidR="00EF0CB1" w:rsidRPr="00EF0CB1" w:rsidRDefault="00EF0CB1" w:rsidP="00DE1947">
            <w:pPr>
              <w:spacing w:line="276" w:lineRule="auto"/>
              <w:jc w:val="center"/>
              <w:rPr>
                <w:rFonts w:cs="Times New Roman"/>
                <w:bCs/>
                <w:color w:val="000000"/>
                <w:sz w:val="22"/>
              </w:rPr>
            </w:pPr>
            <w:r w:rsidRPr="00EF0CB1">
              <w:rPr>
                <w:rFonts w:cs="Times New Roman"/>
                <w:bCs/>
                <w:color w:val="000000"/>
                <w:sz w:val="22"/>
              </w:rPr>
              <w:t xml:space="preserve"> % change </w:t>
            </w:r>
          </w:p>
          <w:p w14:paraId="645FB86F" w14:textId="121BCACB" w:rsidR="00EF0CB1" w:rsidRPr="00EF0CB1" w:rsidRDefault="00EF0CB1" w:rsidP="00DE1947">
            <w:pPr>
              <w:spacing w:line="276" w:lineRule="auto"/>
              <w:jc w:val="center"/>
              <w:rPr>
                <w:rFonts w:cs="Times New Roman"/>
                <w:bCs/>
                <w:sz w:val="22"/>
              </w:rPr>
            </w:pPr>
            <w:r w:rsidRPr="00EF0CB1">
              <w:rPr>
                <w:rFonts w:cs="Times New Roman"/>
                <w:bCs/>
                <w:color w:val="000000"/>
                <w:sz w:val="22"/>
              </w:rPr>
              <w:t>(</w:t>
            </w:r>
            <w:r w:rsidR="00CA7423">
              <w:rPr>
                <w:rFonts w:cs="Times New Roman"/>
                <w:bCs/>
                <w:color w:val="000000"/>
                <w:sz w:val="22"/>
              </w:rPr>
              <w:t>TE 2014-</w:t>
            </w:r>
            <w:r w:rsidRPr="00EF0CB1">
              <w:rPr>
                <w:rFonts w:cs="Times New Roman"/>
                <w:bCs/>
                <w:color w:val="000000"/>
                <w:sz w:val="22"/>
              </w:rPr>
              <w:t>TE2020)</w:t>
            </w:r>
          </w:p>
        </w:tc>
      </w:tr>
      <w:tr w:rsidR="00EF0CB1" w:rsidRPr="00EF0CB1" w14:paraId="2E4BDBFC" w14:textId="77777777" w:rsidTr="00CA7423">
        <w:trPr>
          <w:trHeight w:val="170"/>
        </w:trPr>
        <w:tc>
          <w:tcPr>
            <w:tcW w:w="1120" w:type="pct"/>
            <w:tcBorders>
              <w:top w:val="single" w:sz="4" w:space="0" w:color="auto"/>
            </w:tcBorders>
          </w:tcPr>
          <w:p w14:paraId="5EA47668" w14:textId="77777777" w:rsidR="00EF0CB1" w:rsidRPr="00EF0CB1" w:rsidRDefault="00EF0CB1" w:rsidP="00DE1947">
            <w:pPr>
              <w:spacing w:line="276" w:lineRule="auto"/>
              <w:rPr>
                <w:rFonts w:cs="Times New Roman"/>
                <w:sz w:val="22"/>
              </w:rPr>
            </w:pPr>
            <w:r w:rsidRPr="00EF0CB1">
              <w:rPr>
                <w:rFonts w:cs="Times New Roman"/>
                <w:sz w:val="22"/>
              </w:rPr>
              <w:t>Australia</w:t>
            </w:r>
          </w:p>
        </w:tc>
        <w:tc>
          <w:tcPr>
            <w:tcW w:w="739" w:type="pct"/>
            <w:tcBorders>
              <w:top w:val="single" w:sz="4" w:space="0" w:color="auto"/>
            </w:tcBorders>
            <w:vAlign w:val="bottom"/>
          </w:tcPr>
          <w:p w14:paraId="665F5350"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15.47</w:t>
            </w:r>
          </w:p>
        </w:tc>
        <w:tc>
          <w:tcPr>
            <w:tcW w:w="737" w:type="pct"/>
            <w:tcBorders>
              <w:top w:val="single" w:sz="4" w:space="0" w:color="auto"/>
            </w:tcBorders>
            <w:vAlign w:val="bottom"/>
          </w:tcPr>
          <w:p w14:paraId="720C149A"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28.50</w:t>
            </w:r>
          </w:p>
        </w:tc>
        <w:tc>
          <w:tcPr>
            <w:tcW w:w="625" w:type="pct"/>
            <w:tcBorders>
              <w:top w:val="single" w:sz="4" w:space="0" w:color="auto"/>
            </w:tcBorders>
            <w:vAlign w:val="bottom"/>
          </w:tcPr>
          <w:p w14:paraId="547F5167"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35.69</w:t>
            </w:r>
          </w:p>
        </w:tc>
        <w:tc>
          <w:tcPr>
            <w:tcW w:w="549" w:type="pct"/>
            <w:tcBorders>
              <w:top w:val="single" w:sz="4" w:space="0" w:color="auto"/>
            </w:tcBorders>
            <w:vAlign w:val="bottom"/>
          </w:tcPr>
          <w:p w14:paraId="3362C731"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49.74</w:t>
            </w:r>
          </w:p>
        </w:tc>
        <w:tc>
          <w:tcPr>
            <w:tcW w:w="1231" w:type="pct"/>
            <w:tcBorders>
              <w:top w:val="single" w:sz="4" w:space="0" w:color="auto"/>
            </w:tcBorders>
            <w:vAlign w:val="bottom"/>
          </w:tcPr>
          <w:p w14:paraId="6F80766B"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130.75</w:t>
            </w:r>
          </w:p>
        </w:tc>
      </w:tr>
      <w:tr w:rsidR="00EF0CB1" w:rsidRPr="00EF0CB1" w14:paraId="6EB4F237" w14:textId="77777777" w:rsidTr="00CA7423">
        <w:trPr>
          <w:trHeight w:val="170"/>
        </w:trPr>
        <w:tc>
          <w:tcPr>
            <w:tcW w:w="1120" w:type="pct"/>
          </w:tcPr>
          <w:p w14:paraId="3E80A9D8" w14:textId="77777777" w:rsidR="00EF0CB1" w:rsidRPr="00EF0CB1" w:rsidRDefault="00EF0CB1" w:rsidP="00DE1947">
            <w:pPr>
              <w:spacing w:line="276" w:lineRule="auto"/>
              <w:rPr>
                <w:rFonts w:cs="Times New Roman"/>
                <w:sz w:val="22"/>
              </w:rPr>
            </w:pPr>
            <w:r w:rsidRPr="00EF0CB1">
              <w:rPr>
                <w:rFonts w:cs="Times New Roman"/>
                <w:sz w:val="22"/>
              </w:rPr>
              <w:t>Argentina</w:t>
            </w:r>
          </w:p>
        </w:tc>
        <w:tc>
          <w:tcPr>
            <w:tcW w:w="739" w:type="pct"/>
            <w:vAlign w:val="bottom"/>
          </w:tcPr>
          <w:p w14:paraId="6900A2DA"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3.30</w:t>
            </w:r>
          </w:p>
        </w:tc>
        <w:tc>
          <w:tcPr>
            <w:tcW w:w="737" w:type="pct"/>
            <w:vAlign w:val="bottom"/>
          </w:tcPr>
          <w:p w14:paraId="587467CD"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3.16</w:t>
            </w:r>
          </w:p>
        </w:tc>
        <w:tc>
          <w:tcPr>
            <w:tcW w:w="625" w:type="pct"/>
            <w:vAlign w:val="bottom"/>
          </w:tcPr>
          <w:p w14:paraId="04BEFED0"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3.92</w:t>
            </w:r>
          </w:p>
        </w:tc>
        <w:tc>
          <w:tcPr>
            <w:tcW w:w="549" w:type="pct"/>
            <w:vAlign w:val="bottom"/>
          </w:tcPr>
          <w:p w14:paraId="2E423526"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5.46</w:t>
            </w:r>
          </w:p>
        </w:tc>
        <w:tc>
          <w:tcPr>
            <w:tcW w:w="1231" w:type="pct"/>
            <w:vAlign w:val="bottom"/>
          </w:tcPr>
          <w:p w14:paraId="3CFDC680"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18.69</w:t>
            </w:r>
          </w:p>
        </w:tc>
      </w:tr>
      <w:tr w:rsidR="00EF0CB1" w:rsidRPr="00EF0CB1" w14:paraId="2A117A6A" w14:textId="77777777" w:rsidTr="00CA7423">
        <w:trPr>
          <w:trHeight w:val="170"/>
        </w:trPr>
        <w:tc>
          <w:tcPr>
            <w:tcW w:w="1120" w:type="pct"/>
          </w:tcPr>
          <w:p w14:paraId="28907246" w14:textId="77777777" w:rsidR="00EF0CB1" w:rsidRPr="00EF0CB1" w:rsidRDefault="00EF0CB1" w:rsidP="00DE1947">
            <w:pPr>
              <w:spacing w:line="276" w:lineRule="auto"/>
              <w:rPr>
                <w:rFonts w:cs="Times New Roman"/>
                <w:sz w:val="22"/>
              </w:rPr>
            </w:pPr>
            <w:r w:rsidRPr="00EF0CB1">
              <w:rPr>
                <w:rFonts w:cs="Times New Roman"/>
                <w:sz w:val="22"/>
              </w:rPr>
              <w:t>China</w:t>
            </w:r>
          </w:p>
        </w:tc>
        <w:tc>
          <w:tcPr>
            <w:tcW w:w="739" w:type="pct"/>
            <w:vAlign w:val="bottom"/>
          </w:tcPr>
          <w:p w14:paraId="487CA805" w14:textId="77777777" w:rsidR="00EF0CB1" w:rsidRPr="00EF0CB1" w:rsidRDefault="00EF0CB1" w:rsidP="00DE1947">
            <w:pPr>
              <w:spacing w:line="276" w:lineRule="auto"/>
              <w:jc w:val="center"/>
              <w:rPr>
                <w:rFonts w:cs="Times New Roman"/>
                <w:color w:val="000000"/>
                <w:sz w:val="22"/>
              </w:rPr>
            </w:pPr>
            <w:r w:rsidRPr="00EF0CB1">
              <w:rPr>
                <w:rFonts w:cs="Times New Roman"/>
                <w:color w:val="000000"/>
                <w:sz w:val="22"/>
              </w:rPr>
              <w:t>1.97</w:t>
            </w:r>
          </w:p>
        </w:tc>
        <w:tc>
          <w:tcPr>
            <w:tcW w:w="737" w:type="pct"/>
            <w:vAlign w:val="bottom"/>
          </w:tcPr>
          <w:p w14:paraId="71469152" w14:textId="77777777" w:rsidR="00EF0CB1" w:rsidRPr="00EF0CB1" w:rsidRDefault="00EF0CB1" w:rsidP="00DE1947">
            <w:pPr>
              <w:spacing w:line="276" w:lineRule="auto"/>
              <w:jc w:val="center"/>
              <w:rPr>
                <w:rFonts w:cs="Times New Roman"/>
                <w:color w:val="000000"/>
                <w:sz w:val="22"/>
              </w:rPr>
            </w:pPr>
            <w:r w:rsidRPr="00EF0CB1">
              <w:rPr>
                <w:rFonts w:cs="Times New Roman"/>
                <w:color w:val="000000"/>
                <w:sz w:val="22"/>
              </w:rPr>
              <w:t>2.30</w:t>
            </w:r>
          </w:p>
        </w:tc>
        <w:tc>
          <w:tcPr>
            <w:tcW w:w="625" w:type="pct"/>
            <w:vAlign w:val="bottom"/>
          </w:tcPr>
          <w:p w14:paraId="3B41D7E6" w14:textId="77777777" w:rsidR="00EF0CB1" w:rsidRPr="00EF0CB1" w:rsidRDefault="00EF0CB1" w:rsidP="00DE1947">
            <w:pPr>
              <w:spacing w:line="276" w:lineRule="auto"/>
              <w:jc w:val="center"/>
              <w:rPr>
                <w:rFonts w:cs="Times New Roman"/>
                <w:color w:val="000000"/>
                <w:sz w:val="22"/>
              </w:rPr>
            </w:pPr>
            <w:r w:rsidRPr="00EF0CB1">
              <w:rPr>
                <w:rFonts w:cs="Times New Roman"/>
                <w:color w:val="000000"/>
                <w:sz w:val="22"/>
              </w:rPr>
              <w:t>2.60</w:t>
            </w:r>
          </w:p>
        </w:tc>
        <w:tc>
          <w:tcPr>
            <w:tcW w:w="549" w:type="pct"/>
            <w:vAlign w:val="bottom"/>
          </w:tcPr>
          <w:p w14:paraId="6804559D" w14:textId="77777777" w:rsidR="00EF0CB1" w:rsidRPr="00EF0CB1" w:rsidRDefault="00EF0CB1" w:rsidP="00DE1947">
            <w:pPr>
              <w:spacing w:line="276" w:lineRule="auto"/>
              <w:jc w:val="center"/>
              <w:rPr>
                <w:rFonts w:cs="Times New Roman"/>
                <w:color w:val="000000"/>
                <w:sz w:val="22"/>
              </w:rPr>
            </w:pPr>
            <w:r w:rsidRPr="00EF0CB1">
              <w:rPr>
                <w:rFonts w:cs="Times New Roman"/>
                <w:color w:val="000000"/>
                <w:sz w:val="22"/>
              </w:rPr>
              <w:t>3.62</w:t>
            </w:r>
          </w:p>
        </w:tc>
        <w:tc>
          <w:tcPr>
            <w:tcW w:w="1231" w:type="pct"/>
            <w:vAlign w:val="bottom"/>
          </w:tcPr>
          <w:p w14:paraId="095557AF" w14:textId="77777777" w:rsidR="00EF0CB1" w:rsidRPr="00EF0CB1" w:rsidRDefault="00EF0CB1" w:rsidP="00DE1947">
            <w:pPr>
              <w:spacing w:line="276" w:lineRule="auto"/>
              <w:jc w:val="center"/>
              <w:rPr>
                <w:rFonts w:cs="Times New Roman"/>
                <w:color w:val="000000"/>
                <w:sz w:val="22"/>
              </w:rPr>
            </w:pPr>
            <w:r w:rsidRPr="00EF0CB1">
              <w:rPr>
                <w:rFonts w:cs="Times New Roman"/>
                <w:color w:val="000000"/>
                <w:sz w:val="22"/>
              </w:rPr>
              <w:t>32.20</w:t>
            </w:r>
          </w:p>
        </w:tc>
      </w:tr>
      <w:tr w:rsidR="00EF0CB1" w:rsidRPr="00EF0CB1" w14:paraId="03BC304E" w14:textId="77777777" w:rsidTr="00CA7423">
        <w:trPr>
          <w:trHeight w:val="170"/>
        </w:trPr>
        <w:tc>
          <w:tcPr>
            <w:tcW w:w="1120" w:type="pct"/>
          </w:tcPr>
          <w:p w14:paraId="2BADAFFB" w14:textId="77777777" w:rsidR="00EF0CB1" w:rsidRPr="00EF0CB1" w:rsidRDefault="00EF0CB1" w:rsidP="00DE1947">
            <w:pPr>
              <w:spacing w:line="276" w:lineRule="auto"/>
              <w:rPr>
                <w:rFonts w:cs="Times New Roman"/>
                <w:sz w:val="22"/>
              </w:rPr>
            </w:pPr>
            <w:r w:rsidRPr="00EF0CB1">
              <w:rPr>
                <w:rFonts w:cs="Times New Roman"/>
                <w:sz w:val="22"/>
              </w:rPr>
              <w:t>Uruguay</w:t>
            </w:r>
          </w:p>
        </w:tc>
        <w:tc>
          <w:tcPr>
            <w:tcW w:w="739" w:type="pct"/>
            <w:vAlign w:val="bottom"/>
          </w:tcPr>
          <w:p w14:paraId="41450707"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1.03</w:t>
            </w:r>
          </w:p>
        </w:tc>
        <w:tc>
          <w:tcPr>
            <w:tcW w:w="737" w:type="pct"/>
            <w:vAlign w:val="bottom"/>
          </w:tcPr>
          <w:p w14:paraId="102B5F07"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1.62</w:t>
            </w:r>
          </w:p>
        </w:tc>
        <w:tc>
          <w:tcPr>
            <w:tcW w:w="625" w:type="pct"/>
            <w:vAlign w:val="bottom"/>
          </w:tcPr>
          <w:p w14:paraId="6AE94DF5"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2.34</w:t>
            </w:r>
          </w:p>
        </w:tc>
        <w:tc>
          <w:tcPr>
            <w:tcW w:w="549" w:type="pct"/>
            <w:vAlign w:val="bottom"/>
          </w:tcPr>
          <w:p w14:paraId="1360959C"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3.27</w:t>
            </w:r>
          </w:p>
        </w:tc>
        <w:tc>
          <w:tcPr>
            <w:tcW w:w="1231" w:type="pct"/>
            <w:vAlign w:val="bottom"/>
          </w:tcPr>
          <w:p w14:paraId="7B5840D5"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126.77</w:t>
            </w:r>
          </w:p>
        </w:tc>
      </w:tr>
      <w:tr w:rsidR="00EF0CB1" w:rsidRPr="00EF0CB1" w14:paraId="52F0CC3D" w14:textId="77777777" w:rsidTr="00CA7423">
        <w:trPr>
          <w:trHeight w:val="170"/>
        </w:trPr>
        <w:tc>
          <w:tcPr>
            <w:tcW w:w="1120" w:type="pct"/>
          </w:tcPr>
          <w:p w14:paraId="414494B7" w14:textId="77777777" w:rsidR="00EF0CB1" w:rsidRPr="00EF0CB1" w:rsidRDefault="00EF0CB1" w:rsidP="00DE1947">
            <w:pPr>
              <w:spacing w:line="276" w:lineRule="auto"/>
              <w:rPr>
                <w:rFonts w:cs="Times New Roman"/>
                <w:sz w:val="22"/>
              </w:rPr>
            </w:pPr>
            <w:r w:rsidRPr="00EF0CB1">
              <w:rPr>
                <w:rFonts w:cs="Times New Roman"/>
                <w:sz w:val="22"/>
              </w:rPr>
              <w:t>India</w:t>
            </w:r>
          </w:p>
        </w:tc>
        <w:tc>
          <w:tcPr>
            <w:tcW w:w="739" w:type="pct"/>
            <w:vAlign w:val="bottom"/>
          </w:tcPr>
          <w:p w14:paraId="7F0A0E10"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0.93</w:t>
            </w:r>
          </w:p>
        </w:tc>
        <w:tc>
          <w:tcPr>
            <w:tcW w:w="737" w:type="pct"/>
            <w:vAlign w:val="bottom"/>
          </w:tcPr>
          <w:p w14:paraId="3FCA76FF"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1.48</w:t>
            </w:r>
          </w:p>
        </w:tc>
        <w:tc>
          <w:tcPr>
            <w:tcW w:w="625" w:type="pct"/>
            <w:vAlign w:val="bottom"/>
          </w:tcPr>
          <w:p w14:paraId="5543DFCA"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2.30</w:t>
            </w:r>
          </w:p>
        </w:tc>
        <w:tc>
          <w:tcPr>
            <w:tcW w:w="549" w:type="pct"/>
            <w:vAlign w:val="bottom"/>
          </w:tcPr>
          <w:p w14:paraId="27ED2958"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3.21</w:t>
            </w:r>
          </w:p>
        </w:tc>
        <w:tc>
          <w:tcPr>
            <w:tcW w:w="1231" w:type="pct"/>
            <w:vAlign w:val="bottom"/>
          </w:tcPr>
          <w:p w14:paraId="5057CA18"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146.43</w:t>
            </w:r>
          </w:p>
        </w:tc>
      </w:tr>
      <w:tr w:rsidR="00EF0CB1" w:rsidRPr="00EF0CB1" w14:paraId="0214FCB1" w14:textId="77777777" w:rsidTr="00CA7423">
        <w:trPr>
          <w:trHeight w:val="170"/>
        </w:trPr>
        <w:tc>
          <w:tcPr>
            <w:tcW w:w="1120" w:type="pct"/>
          </w:tcPr>
          <w:p w14:paraId="53021A49" w14:textId="77777777" w:rsidR="00EF0CB1" w:rsidRPr="00EF0CB1" w:rsidRDefault="00EF0CB1" w:rsidP="00DE1947">
            <w:pPr>
              <w:spacing w:line="276" w:lineRule="auto"/>
              <w:rPr>
                <w:rFonts w:cs="Times New Roman"/>
                <w:sz w:val="22"/>
              </w:rPr>
            </w:pPr>
            <w:r w:rsidRPr="00EF0CB1">
              <w:rPr>
                <w:rFonts w:cs="Times New Roman"/>
                <w:sz w:val="22"/>
              </w:rPr>
              <w:t>France</w:t>
            </w:r>
          </w:p>
        </w:tc>
        <w:tc>
          <w:tcPr>
            <w:tcW w:w="739" w:type="pct"/>
            <w:vAlign w:val="bottom"/>
          </w:tcPr>
          <w:p w14:paraId="12B7540A"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1.07</w:t>
            </w:r>
          </w:p>
        </w:tc>
        <w:tc>
          <w:tcPr>
            <w:tcW w:w="737" w:type="pct"/>
            <w:vAlign w:val="bottom"/>
          </w:tcPr>
          <w:p w14:paraId="1E1FBE3B"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1.55</w:t>
            </w:r>
          </w:p>
        </w:tc>
        <w:tc>
          <w:tcPr>
            <w:tcW w:w="625" w:type="pct"/>
            <w:vAlign w:val="bottom"/>
          </w:tcPr>
          <w:p w14:paraId="42D1928F"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2.28</w:t>
            </w:r>
          </w:p>
        </w:tc>
        <w:tc>
          <w:tcPr>
            <w:tcW w:w="549" w:type="pct"/>
            <w:vAlign w:val="bottom"/>
          </w:tcPr>
          <w:p w14:paraId="7CF04978"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3.17</w:t>
            </w:r>
          </w:p>
        </w:tc>
        <w:tc>
          <w:tcPr>
            <w:tcW w:w="1231" w:type="pct"/>
            <w:vAlign w:val="bottom"/>
          </w:tcPr>
          <w:p w14:paraId="293F7269"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113.44</w:t>
            </w:r>
          </w:p>
        </w:tc>
      </w:tr>
      <w:tr w:rsidR="00EF0CB1" w:rsidRPr="00EF0CB1" w14:paraId="2126D666" w14:textId="77777777" w:rsidTr="00CA7423">
        <w:trPr>
          <w:trHeight w:val="170"/>
        </w:trPr>
        <w:tc>
          <w:tcPr>
            <w:tcW w:w="1120" w:type="pct"/>
          </w:tcPr>
          <w:p w14:paraId="6E38628B" w14:textId="77777777" w:rsidR="00EF0CB1" w:rsidRPr="00EF0CB1" w:rsidRDefault="00EF0CB1" w:rsidP="00DE1947">
            <w:pPr>
              <w:spacing w:line="276" w:lineRule="auto"/>
              <w:rPr>
                <w:rFonts w:cs="Times New Roman"/>
                <w:sz w:val="22"/>
              </w:rPr>
            </w:pPr>
            <w:r w:rsidRPr="00EF0CB1">
              <w:rPr>
                <w:rFonts w:cs="Times New Roman"/>
                <w:sz w:val="22"/>
              </w:rPr>
              <w:t>Spain</w:t>
            </w:r>
          </w:p>
        </w:tc>
        <w:tc>
          <w:tcPr>
            <w:tcW w:w="739" w:type="pct"/>
            <w:vAlign w:val="bottom"/>
          </w:tcPr>
          <w:p w14:paraId="0429699B"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1.63</w:t>
            </w:r>
          </w:p>
        </w:tc>
        <w:tc>
          <w:tcPr>
            <w:tcW w:w="737" w:type="pct"/>
            <w:vAlign w:val="bottom"/>
          </w:tcPr>
          <w:p w14:paraId="43C52392"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2.02</w:t>
            </w:r>
          </w:p>
        </w:tc>
        <w:tc>
          <w:tcPr>
            <w:tcW w:w="625" w:type="pct"/>
            <w:vAlign w:val="bottom"/>
          </w:tcPr>
          <w:p w14:paraId="7CF25DB8"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2.35</w:t>
            </w:r>
          </w:p>
        </w:tc>
        <w:tc>
          <w:tcPr>
            <w:tcW w:w="549" w:type="pct"/>
            <w:vAlign w:val="bottom"/>
          </w:tcPr>
          <w:p w14:paraId="79025932"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3.27</w:t>
            </w:r>
          </w:p>
        </w:tc>
        <w:tc>
          <w:tcPr>
            <w:tcW w:w="1231" w:type="pct"/>
            <w:vAlign w:val="bottom"/>
          </w:tcPr>
          <w:p w14:paraId="6A24CF05"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43.67</w:t>
            </w:r>
          </w:p>
        </w:tc>
      </w:tr>
      <w:tr w:rsidR="00EF0CB1" w:rsidRPr="00EF0CB1" w14:paraId="6EF59A89" w14:textId="77777777" w:rsidTr="00CA7423">
        <w:trPr>
          <w:trHeight w:val="170"/>
        </w:trPr>
        <w:tc>
          <w:tcPr>
            <w:tcW w:w="1120" w:type="pct"/>
          </w:tcPr>
          <w:p w14:paraId="7B7D0A90" w14:textId="77777777" w:rsidR="00EF0CB1" w:rsidRPr="00EF0CB1" w:rsidRDefault="00EF0CB1" w:rsidP="00DE1947">
            <w:pPr>
              <w:spacing w:line="276" w:lineRule="auto"/>
              <w:rPr>
                <w:rFonts w:cs="Times New Roman"/>
                <w:sz w:val="22"/>
              </w:rPr>
            </w:pPr>
            <w:r w:rsidRPr="00EF0CB1">
              <w:rPr>
                <w:rFonts w:cs="Times New Roman"/>
                <w:sz w:val="22"/>
              </w:rPr>
              <w:t>USA</w:t>
            </w:r>
          </w:p>
        </w:tc>
        <w:tc>
          <w:tcPr>
            <w:tcW w:w="739" w:type="pct"/>
            <w:vAlign w:val="bottom"/>
          </w:tcPr>
          <w:p w14:paraId="070B353F"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2.20</w:t>
            </w:r>
          </w:p>
        </w:tc>
        <w:tc>
          <w:tcPr>
            <w:tcW w:w="737" w:type="pct"/>
            <w:vAlign w:val="bottom"/>
          </w:tcPr>
          <w:p w14:paraId="540659F9"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2.03</w:t>
            </w:r>
          </w:p>
        </w:tc>
        <w:tc>
          <w:tcPr>
            <w:tcW w:w="625" w:type="pct"/>
            <w:vAlign w:val="bottom"/>
          </w:tcPr>
          <w:p w14:paraId="12B6861E"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2.23</w:t>
            </w:r>
          </w:p>
        </w:tc>
        <w:tc>
          <w:tcPr>
            <w:tcW w:w="549" w:type="pct"/>
            <w:vAlign w:val="bottom"/>
          </w:tcPr>
          <w:p w14:paraId="7F43EC82"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3.10</w:t>
            </w:r>
          </w:p>
        </w:tc>
        <w:tc>
          <w:tcPr>
            <w:tcW w:w="1231" w:type="pct"/>
            <w:vAlign w:val="bottom"/>
          </w:tcPr>
          <w:p w14:paraId="6BD53F98"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1.21</w:t>
            </w:r>
          </w:p>
        </w:tc>
      </w:tr>
      <w:tr w:rsidR="00EF0CB1" w:rsidRPr="00EF0CB1" w14:paraId="6B183248" w14:textId="77777777" w:rsidTr="00CA7423">
        <w:trPr>
          <w:trHeight w:val="170"/>
        </w:trPr>
        <w:tc>
          <w:tcPr>
            <w:tcW w:w="1120" w:type="pct"/>
          </w:tcPr>
          <w:p w14:paraId="43D046CC" w14:textId="77777777" w:rsidR="00EF0CB1" w:rsidRPr="00EF0CB1" w:rsidRDefault="00EF0CB1" w:rsidP="00DE1947">
            <w:pPr>
              <w:spacing w:line="276" w:lineRule="auto"/>
              <w:rPr>
                <w:rFonts w:cs="Times New Roman"/>
                <w:sz w:val="22"/>
              </w:rPr>
            </w:pPr>
            <w:r w:rsidRPr="00EF0CB1">
              <w:rPr>
                <w:rFonts w:cs="Times New Roman"/>
                <w:sz w:val="22"/>
              </w:rPr>
              <w:t>Italy</w:t>
            </w:r>
          </w:p>
        </w:tc>
        <w:tc>
          <w:tcPr>
            <w:tcW w:w="739" w:type="pct"/>
            <w:vAlign w:val="bottom"/>
          </w:tcPr>
          <w:p w14:paraId="2838CE7C"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1.30</w:t>
            </w:r>
          </w:p>
        </w:tc>
        <w:tc>
          <w:tcPr>
            <w:tcW w:w="737" w:type="pct"/>
            <w:vAlign w:val="bottom"/>
          </w:tcPr>
          <w:p w14:paraId="265644BD"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1.73</w:t>
            </w:r>
          </w:p>
        </w:tc>
        <w:tc>
          <w:tcPr>
            <w:tcW w:w="625" w:type="pct"/>
            <w:vAlign w:val="bottom"/>
          </w:tcPr>
          <w:p w14:paraId="5697CA65"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2.01</w:t>
            </w:r>
          </w:p>
        </w:tc>
        <w:tc>
          <w:tcPr>
            <w:tcW w:w="549" w:type="pct"/>
            <w:vAlign w:val="bottom"/>
          </w:tcPr>
          <w:p w14:paraId="183C6653"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2.80</w:t>
            </w:r>
          </w:p>
        </w:tc>
        <w:tc>
          <w:tcPr>
            <w:tcW w:w="1231" w:type="pct"/>
            <w:vAlign w:val="bottom"/>
          </w:tcPr>
          <w:p w14:paraId="602E4BA0"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54.62</w:t>
            </w:r>
          </w:p>
        </w:tc>
      </w:tr>
      <w:tr w:rsidR="00EF0CB1" w:rsidRPr="00EF0CB1" w14:paraId="60BD6842" w14:textId="77777777" w:rsidTr="00CA7423">
        <w:trPr>
          <w:trHeight w:val="170"/>
        </w:trPr>
        <w:tc>
          <w:tcPr>
            <w:tcW w:w="1120" w:type="pct"/>
          </w:tcPr>
          <w:p w14:paraId="39FDB21B" w14:textId="77777777" w:rsidR="00EF0CB1" w:rsidRPr="00EF0CB1" w:rsidRDefault="00EF0CB1" w:rsidP="00DE1947">
            <w:pPr>
              <w:spacing w:line="276" w:lineRule="auto"/>
              <w:rPr>
                <w:rFonts w:cs="Times New Roman"/>
                <w:sz w:val="22"/>
              </w:rPr>
            </w:pPr>
            <w:r w:rsidRPr="00EF0CB1">
              <w:rPr>
                <w:rFonts w:cs="Times New Roman"/>
                <w:sz w:val="22"/>
              </w:rPr>
              <w:t>Germany</w:t>
            </w:r>
          </w:p>
        </w:tc>
        <w:tc>
          <w:tcPr>
            <w:tcW w:w="739" w:type="pct"/>
            <w:vAlign w:val="bottom"/>
          </w:tcPr>
          <w:p w14:paraId="54A6872E"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1.03</w:t>
            </w:r>
          </w:p>
        </w:tc>
        <w:tc>
          <w:tcPr>
            <w:tcW w:w="737" w:type="pct"/>
            <w:vAlign w:val="bottom"/>
          </w:tcPr>
          <w:p w14:paraId="139CD398"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1.24</w:t>
            </w:r>
          </w:p>
        </w:tc>
        <w:tc>
          <w:tcPr>
            <w:tcW w:w="625" w:type="pct"/>
            <w:vAlign w:val="bottom"/>
          </w:tcPr>
          <w:p w14:paraId="026E2692"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1.51</w:t>
            </w:r>
          </w:p>
        </w:tc>
        <w:tc>
          <w:tcPr>
            <w:tcW w:w="549" w:type="pct"/>
            <w:vAlign w:val="bottom"/>
          </w:tcPr>
          <w:p w14:paraId="56CA52EE"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2.10</w:t>
            </w:r>
          </w:p>
        </w:tc>
        <w:tc>
          <w:tcPr>
            <w:tcW w:w="1231" w:type="pct"/>
            <w:vAlign w:val="bottom"/>
          </w:tcPr>
          <w:p w14:paraId="2ADC4E87" w14:textId="77777777" w:rsidR="00EF0CB1" w:rsidRPr="00EF0CB1" w:rsidRDefault="00EF0CB1" w:rsidP="00DE1947">
            <w:pPr>
              <w:spacing w:line="276" w:lineRule="auto"/>
              <w:jc w:val="center"/>
              <w:rPr>
                <w:rFonts w:cs="Times New Roman"/>
                <w:sz w:val="22"/>
              </w:rPr>
            </w:pPr>
            <w:r w:rsidRPr="00EF0CB1">
              <w:rPr>
                <w:rFonts w:cs="Times New Roman"/>
                <w:color w:val="000000"/>
                <w:sz w:val="22"/>
              </w:rPr>
              <w:t>46.13</w:t>
            </w:r>
          </w:p>
        </w:tc>
      </w:tr>
      <w:tr w:rsidR="00EF0CB1" w:rsidRPr="00EF0CB1" w14:paraId="493841A2" w14:textId="77777777" w:rsidTr="00CA7423">
        <w:trPr>
          <w:trHeight w:val="170"/>
        </w:trPr>
        <w:tc>
          <w:tcPr>
            <w:tcW w:w="1120" w:type="pct"/>
          </w:tcPr>
          <w:p w14:paraId="3773D826" w14:textId="77777777" w:rsidR="00EF0CB1" w:rsidRPr="00EF0CB1" w:rsidRDefault="00EF0CB1" w:rsidP="00DE1947">
            <w:pPr>
              <w:spacing w:line="276" w:lineRule="auto"/>
              <w:rPr>
                <w:rFonts w:cs="Times New Roman"/>
                <w:sz w:val="22"/>
              </w:rPr>
            </w:pPr>
            <w:r w:rsidRPr="00EF0CB1">
              <w:rPr>
                <w:rFonts w:cs="Times New Roman"/>
                <w:sz w:val="22"/>
              </w:rPr>
              <w:t>Global</w:t>
            </w:r>
          </w:p>
        </w:tc>
        <w:tc>
          <w:tcPr>
            <w:tcW w:w="739" w:type="pct"/>
            <w:vAlign w:val="bottom"/>
          </w:tcPr>
          <w:p w14:paraId="7237EAEA" w14:textId="77777777" w:rsidR="00EF0CB1" w:rsidRPr="00EF0CB1" w:rsidRDefault="00EF0CB1" w:rsidP="00DE1947">
            <w:pPr>
              <w:spacing w:line="276" w:lineRule="auto"/>
              <w:jc w:val="center"/>
              <w:rPr>
                <w:rFonts w:cs="Times New Roman"/>
                <w:bCs/>
                <w:sz w:val="22"/>
              </w:rPr>
            </w:pPr>
            <w:r w:rsidRPr="00EF0CB1">
              <w:rPr>
                <w:rFonts w:cs="Times New Roman"/>
                <w:bCs/>
                <w:color w:val="000000"/>
                <w:sz w:val="22"/>
              </w:rPr>
              <w:t>42.87</w:t>
            </w:r>
          </w:p>
        </w:tc>
        <w:tc>
          <w:tcPr>
            <w:tcW w:w="737" w:type="pct"/>
            <w:vAlign w:val="bottom"/>
          </w:tcPr>
          <w:p w14:paraId="663C0D4A" w14:textId="77777777" w:rsidR="00EF0CB1" w:rsidRPr="00EF0CB1" w:rsidRDefault="00EF0CB1" w:rsidP="00DE1947">
            <w:pPr>
              <w:spacing w:line="276" w:lineRule="auto"/>
              <w:jc w:val="center"/>
              <w:rPr>
                <w:rFonts w:cs="Times New Roman"/>
                <w:bCs/>
                <w:sz w:val="22"/>
              </w:rPr>
            </w:pPr>
            <w:r w:rsidRPr="00EF0CB1">
              <w:rPr>
                <w:rFonts w:cs="Times New Roman"/>
                <w:bCs/>
                <w:color w:val="000000"/>
                <w:sz w:val="22"/>
              </w:rPr>
              <w:t>59.30</w:t>
            </w:r>
          </w:p>
        </w:tc>
        <w:tc>
          <w:tcPr>
            <w:tcW w:w="625" w:type="pct"/>
            <w:vAlign w:val="bottom"/>
          </w:tcPr>
          <w:p w14:paraId="28D6BA82" w14:textId="77777777" w:rsidR="00EF0CB1" w:rsidRPr="00EF0CB1" w:rsidRDefault="00EF0CB1" w:rsidP="00DE1947">
            <w:pPr>
              <w:spacing w:line="276" w:lineRule="auto"/>
              <w:jc w:val="center"/>
              <w:rPr>
                <w:rFonts w:cs="Times New Roman"/>
                <w:bCs/>
                <w:sz w:val="22"/>
              </w:rPr>
            </w:pPr>
            <w:r w:rsidRPr="00EF0CB1">
              <w:rPr>
                <w:rFonts w:cs="Times New Roman"/>
                <w:bCs/>
                <w:color w:val="000000"/>
                <w:sz w:val="22"/>
              </w:rPr>
              <w:t>71.75</w:t>
            </w:r>
          </w:p>
        </w:tc>
        <w:tc>
          <w:tcPr>
            <w:tcW w:w="549" w:type="pct"/>
            <w:vAlign w:val="bottom"/>
          </w:tcPr>
          <w:p w14:paraId="50BDD2E9" w14:textId="77777777" w:rsidR="00EF0CB1" w:rsidRPr="00EF0CB1" w:rsidRDefault="00EF0CB1" w:rsidP="00DE1947">
            <w:pPr>
              <w:spacing w:line="276" w:lineRule="auto"/>
              <w:jc w:val="center"/>
              <w:rPr>
                <w:rFonts w:cs="Times New Roman"/>
                <w:bCs/>
                <w:sz w:val="22"/>
              </w:rPr>
            </w:pPr>
            <w:r w:rsidRPr="00EF0CB1">
              <w:rPr>
                <w:rFonts w:cs="Times New Roman"/>
                <w:bCs/>
                <w:color w:val="000000"/>
                <w:sz w:val="22"/>
              </w:rPr>
              <w:t>-</w:t>
            </w:r>
          </w:p>
        </w:tc>
        <w:tc>
          <w:tcPr>
            <w:tcW w:w="1231" w:type="pct"/>
            <w:vAlign w:val="bottom"/>
          </w:tcPr>
          <w:p w14:paraId="1D510BA4" w14:textId="77777777" w:rsidR="00EF0CB1" w:rsidRPr="00EF0CB1" w:rsidRDefault="00EF0CB1" w:rsidP="00DE1947">
            <w:pPr>
              <w:spacing w:line="276" w:lineRule="auto"/>
              <w:jc w:val="center"/>
              <w:rPr>
                <w:rFonts w:cs="Times New Roman"/>
                <w:bCs/>
                <w:sz w:val="22"/>
              </w:rPr>
            </w:pPr>
            <w:r w:rsidRPr="00EF0CB1">
              <w:rPr>
                <w:rFonts w:cs="Times New Roman"/>
                <w:bCs/>
                <w:color w:val="000000"/>
                <w:sz w:val="22"/>
              </w:rPr>
              <w:t>67.38</w:t>
            </w:r>
          </w:p>
        </w:tc>
      </w:tr>
    </w:tbl>
    <w:p w14:paraId="0E3AC064" w14:textId="52211B45" w:rsidR="00A7730C" w:rsidRPr="00EF0CB1" w:rsidRDefault="00CA7423" w:rsidP="00A7730C">
      <w:pPr>
        <w:rPr>
          <w:rFonts w:cs="Times New Roman"/>
          <w:sz w:val="20"/>
          <w:szCs w:val="20"/>
        </w:rPr>
      </w:pPr>
      <w:r>
        <w:rPr>
          <w:rFonts w:cs="Times New Roman"/>
          <w:sz w:val="20"/>
          <w:szCs w:val="20"/>
        </w:rPr>
        <w:t xml:space="preserve">Note: TE: Triennium average; Source: Compiled from various issues of </w:t>
      </w:r>
      <w:r w:rsidR="00A7730C" w:rsidRPr="00EF0CB1">
        <w:rPr>
          <w:rFonts w:cs="Times New Roman"/>
          <w:sz w:val="20"/>
          <w:szCs w:val="20"/>
        </w:rPr>
        <w:t xml:space="preserve">The </w:t>
      </w:r>
      <w:r w:rsidR="00E66159">
        <w:rPr>
          <w:rFonts w:cs="Times New Roman"/>
          <w:sz w:val="20"/>
          <w:szCs w:val="20"/>
        </w:rPr>
        <w:t>World</w:t>
      </w:r>
      <w:r w:rsidR="00A7730C" w:rsidRPr="00EF0CB1">
        <w:rPr>
          <w:rFonts w:cs="Times New Roman"/>
          <w:sz w:val="20"/>
          <w:szCs w:val="20"/>
        </w:rPr>
        <w:t xml:space="preserve"> of Organic </w:t>
      </w:r>
      <w:r>
        <w:rPr>
          <w:rFonts w:cs="Times New Roman"/>
          <w:sz w:val="20"/>
          <w:szCs w:val="20"/>
        </w:rPr>
        <w:t>Agriculture</w:t>
      </w:r>
      <w:r w:rsidR="00A7730C" w:rsidRPr="00EF0CB1">
        <w:rPr>
          <w:rFonts w:cs="Times New Roman"/>
          <w:sz w:val="20"/>
          <w:szCs w:val="20"/>
        </w:rPr>
        <w:t xml:space="preserve"> </w:t>
      </w:r>
    </w:p>
    <w:p w14:paraId="7EF37C50" w14:textId="5BD36479" w:rsidR="00A7730C" w:rsidRPr="00841B63" w:rsidRDefault="00A7730C" w:rsidP="00A7730C">
      <w:pPr>
        <w:rPr>
          <w:rFonts w:cs="Times New Roman"/>
          <w:b/>
          <w:szCs w:val="24"/>
        </w:rPr>
      </w:pPr>
      <w:r>
        <w:rPr>
          <w:rFonts w:cs="Times New Roman"/>
          <w:b/>
          <w:szCs w:val="24"/>
        </w:rPr>
        <w:t xml:space="preserve">5. </w:t>
      </w:r>
      <w:r w:rsidRPr="00841B63">
        <w:rPr>
          <w:rFonts w:cs="Times New Roman"/>
          <w:b/>
          <w:szCs w:val="24"/>
        </w:rPr>
        <w:t xml:space="preserve">Trend in </w:t>
      </w:r>
      <w:r w:rsidR="00E66159">
        <w:rPr>
          <w:rFonts w:cs="Times New Roman"/>
          <w:b/>
          <w:szCs w:val="24"/>
        </w:rPr>
        <w:t xml:space="preserve">the </w:t>
      </w:r>
      <w:r w:rsidRPr="00841B63">
        <w:rPr>
          <w:rFonts w:cs="Times New Roman"/>
          <w:b/>
          <w:szCs w:val="24"/>
        </w:rPr>
        <w:t>export of organic products from India</w:t>
      </w:r>
    </w:p>
    <w:p w14:paraId="5DF50DE9" w14:textId="36233559" w:rsidR="00A7730C" w:rsidRDefault="00A7730C" w:rsidP="00A7730C">
      <w:pPr>
        <w:spacing w:line="360" w:lineRule="auto"/>
        <w:ind w:firstLine="720"/>
        <w:jc w:val="both"/>
        <w:rPr>
          <w:rFonts w:cs="Times New Roman"/>
          <w:szCs w:val="24"/>
        </w:rPr>
      </w:pPr>
      <w:r>
        <w:rPr>
          <w:rFonts w:cs="Times New Roman"/>
          <w:szCs w:val="24"/>
        </w:rPr>
        <w:t xml:space="preserve">For any commodities to trade across the nations, it should have </w:t>
      </w:r>
      <w:r w:rsidR="00E66159">
        <w:rPr>
          <w:rFonts w:cs="Times New Roman"/>
          <w:szCs w:val="24"/>
        </w:rPr>
        <w:t xml:space="preserve">a </w:t>
      </w:r>
      <w:r>
        <w:rPr>
          <w:rFonts w:cs="Times New Roman"/>
          <w:szCs w:val="24"/>
        </w:rPr>
        <w:t xml:space="preserve">potential market for </w:t>
      </w:r>
      <w:r w:rsidR="00E66159">
        <w:rPr>
          <w:rFonts w:cs="Times New Roman"/>
          <w:szCs w:val="24"/>
        </w:rPr>
        <w:t>those products.</w:t>
      </w:r>
      <w:r>
        <w:rPr>
          <w:rFonts w:cs="Times New Roman"/>
          <w:szCs w:val="24"/>
        </w:rPr>
        <w:t xml:space="preserve"> </w:t>
      </w:r>
      <w:r w:rsidR="00E66159">
        <w:rPr>
          <w:rFonts w:cs="Times New Roman"/>
          <w:szCs w:val="24"/>
        </w:rPr>
        <w:t>Fig</w:t>
      </w:r>
      <w:r>
        <w:rPr>
          <w:rFonts w:cs="Times New Roman"/>
          <w:szCs w:val="24"/>
        </w:rPr>
        <w:t xml:space="preserve"> 5</w:t>
      </w:r>
      <w:r w:rsidR="00E66159">
        <w:rPr>
          <w:rFonts w:cs="Times New Roman"/>
          <w:szCs w:val="24"/>
        </w:rPr>
        <w:t xml:space="preserve">. the </w:t>
      </w:r>
      <w:r>
        <w:rPr>
          <w:rFonts w:cs="Times New Roman"/>
          <w:szCs w:val="24"/>
        </w:rPr>
        <w:t xml:space="preserve">largest retail </w:t>
      </w:r>
      <w:r w:rsidR="00E66159">
        <w:rPr>
          <w:rFonts w:cs="Times New Roman"/>
          <w:szCs w:val="24"/>
        </w:rPr>
        <w:t>markets</w:t>
      </w:r>
      <w:r>
        <w:rPr>
          <w:rFonts w:cs="Times New Roman"/>
          <w:szCs w:val="24"/>
        </w:rPr>
        <w:t xml:space="preserve"> in the world for organic foods. The retail market in </w:t>
      </w:r>
      <w:r w:rsidR="00E66159">
        <w:rPr>
          <w:rFonts w:cs="Times New Roman"/>
          <w:szCs w:val="24"/>
        </w:rPr>
        <w:t xml:space="preserve">the </w:t>
      </w:r>
      <w:r>
        <w:rPr>
          <w:rFonts w:cs="Times New Roman"/>
          <w:szCs w:val="24"/>
        </w:rPr>
        <w:t xml:space="preserve">USA accounts for 48% of total organic foods in the world with </w:t>
      </w:r>
      <w:r w:rsidR="00F126C7">
        <w:rPr>
          <w:rFonts w:cs="Times New Roman"/>
          <w:szCs w:val="24"/>
        </w:rPr>
        <w:t xml:space="preserve">a </w:t>
      </w:r>
      <w:r>
        <w:rPr>
          <w:rFonts w:cs="Times New Roman"/>
          <w:szCs w:val="24"/>
        </w:rPr>
        <w:t xml:space="preserve">market size of </w:t>
      </w:r>
      <w:r w:rsidR="00E66159" w:rsidRPr="00E66159">
        <w:rPr>
          <w:rFonts w:cs="Times New Roman"/>
          <w:szCs w:val="24"/>
        </w:rPr>
        <w:t>₹</w:t>
      </w:r>
      <w:r>
        <w:rPr>
          <w:rFonts w:cs="Times New Roman"/>
          <w:szCs w:val="24"/>
        </w:rPr>
        <w:t>3</w:t>
      </w:r>
      <w:r w:rsidR="00E66159">
        <w:rPr>
          <w:rFonts w:cs="Times New Roman"/>
          <w:szCs w:val="24"/>
        </w:rPr>
        <w:t>.5 lakh crore</w:t>
      </w:r>
      <w:r>
        <w:rPr>
          <w:rFonts w:cs="Times New Roman"/>
          <w:szCs w:val="24"/>
        </w:rPr>
        <w:t xml:space="preserve">, followed by Germany (13%), France (12 %) and China (9%). These four countries </w:t>
      </w:r>
      <w:r w:rsidR="00E66159" w:rsidRPr="00E66159">
        <w:rPr>
          <w:rFonts w:cs="Times New Roman"/>
          <w:szCs w:val="24"/>
        </w:rPr>
        <w:t>collectively</w:t>
      </w:r>
      <w:r w:rsidR="00E66159">
        <w:rPr>
          <w:rFonts w:cs="Times New Roman"/>
          <w:szCs w:val="24"/>
        </w:rPr>
        <w:t xml:space="preserve"> contribute </w:t>
      </w:r>
      <w:r w:rsidR="00BF685E">
        <w:rPr>
          <w:rFonts w:cs="Times New Roman"/>
          <w:szCs w:val="24"/>
        </w:rPr>
        <w:t>to</w:t>
      </w:r>
      <w:r w:rsidR="00E66159">
        <w:rPr>
          <w:rFonts w:cs="Times New Roman"/>
          <w:szCs w:val="24"/>
        </w:rPr>
        <w:t xml:space="preserve"> around 80</w:t>
      </w:r>
      <w:r>
        <w:rPr>
          <w:rFonts w:cs="Times New Roman"/>
          <w:szCs w:val="24"/>
        </w:rPr>
        <w:t xml:space="preserve">% of world’s organic retail market. This </w:t>
      </w:r>
      <w:r w:rsidR="00BF685E">
        <w:rPr>
          <w:rFonts w:cs="Times New Roman"/>
          <w:szCs w:val="24"/>
        </w:rPr>
        <w:t>indicates the scope of export of</w:t>
      </w:r>
      <w:r>
        <w:rPr>
          <w:rFonts w:cs="Times New Roman"/>
          <w:szCs w:val="24"/>
        </w:rPr>
        <w:t xml:space="preserve"> organic foods to </w:t>
      </w:r>
      <w:r w:rsidR="00BF685E">
        <w:rPr>
          <w:rFonts w:cs="Times New Roman"/>
          <w:szCs w:val="24"/>
        </w:rPr>
        <w:t xml:space="preserve">the </w:t>
      </w:r>
      <w:r>
        <w:rPr>
          <w:rFonts w:cs="Times New Roman"/>
          <w:szCs w:val="24"/>
        </w:rPr>
        <w:t xml:space="preserve">USA and European markets from India. </w:t>
      </w:r>
    </w:p>
    <w:p w14:paraId="1D237F6F" w14:textId="77777777" w:rsidR="00A7730C" w:rsidRDefault="00A7730C" w:rsidP="00A7730C">
      <w:pPr>
        <w:rPr>
          <w:rFonts w:cs="Times New Roman"/>
          <w:szCs w:val="24"/>
        </w:rPr>
      </w:pPr>
      <w:r>
        <w:rPr>
          <w:noProof/>
          <w:lang w:eastAsia="en-IN"/>
        </w:rPr>
        <w:drawing>
          <wp:inline distT="0" distB="0" distL="0" distR="0" wp14:anchorId="2FED451F" wp14:editId="466F8495">
            <wp:extent cx="5648325" cy="2713939"/>
            <wp:effectExtent l="0" t="0" r="0" b="0"/>
            <wp:docPr id="9" name="Chart 9">
              <a:extLst xmlns:a="http://schemas.openxmlformats.org/drawingml/2006/main">
                <a:ext uri="{FF2B5EF4-FFF2-40B4-BE49-F238E27FC236}">
                  <a16:creationId xmlns:a16="http://schemas.microsoft.com/office/drawing/2014/main" id="{73E6C72A-84B9-E38C-B5C1-FFC6A755D5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9016064" w14:textId="545EE171" w:rsidR="00A7730C" w:rsidRPr="00BF685E" w:rsidRDefault="00A7730C" w:rsidP="00A7730C">
      <w:pPr>
        <w:rPr>
          <w:rFonts w:cs="Times New Roman"/>
          <w:sz w:val="22"/>
        </w:rPr>
      </w:pPr>
      <w:r w:rsidRPr="00BF685E">
        <w:rPr>
          <w:rFonts w:cs="Times New Roman"/>
          <w:sz w:val="22"/>
        </w:rPr>
        <w:t xml:space="preserve">Fig 5. Major countries with largest </w:t>
      </w:r>
      <w:r w:rsidR="00BF685E" w:rsidRPr="00BF685E">
        <w:rPr>
          <w:rFonts w:cs="Times New Roman"/>
          <w:sz w:val="22"/>
        </w:rPr>
        <w:t xml:space="preserve">share of </w:t>
      </w:r>
      <w:r w:rsidRPr="00BF685E">
        <w:rPr>
          <w:rFonts w:cs="Times New Roman"/>
          <w:sz w:val="22"/>
        </w:rPr>
        <w:t>retail</w:t>
      </w:r>
      <w:r w:rsidR="00BF685E" w:rsidRPr="00BF685E">
        <w:rPr>
          <w:rFonts w:cs="Times New Roman"/>
          <w:sz w:val="22"/>
        </w:rPr>
        <w:t xml:space="preserve"> market for organic foods (</w:t>
      </w:r>
      <w:r w:rsidRPr="00BF685E">
        <w:rPr>
          <w:rFonts w:cs="Times New Roman"/>
          <w:sz w:val="22"/>
        </w:rPr>
        <w:t>Source: IFOAM/</w:t>
      </w:r>
      <w:proofErr w:type="spellStart"/>
      <w:r w:rsidRPr="00BF685E">
        <w:rPr>
          <w:rFonts w:cs="Times New Roman"/>
          <w:sz w:val="22"/>
        </w:rPr>
        <w:t>FiBL</w:t>
      </w:r>
      <w:proofErr w:type="spellEnd"/>
      <w:r w:rsidRPr="00BF685E">
        <w:rPr>
          <w:rFonts w:cs="Times New Roman"/>
          <w:sz w:val="22"/>
        </w:rPr>
        <w:t>, 2021</w:t>
      </w:r>
      <w:r w:rsidR="00BF685E" w:rsidRPr="00BF685E">
        <w:rPr>
          <w:rFonts w:cs="Times New Roman"/>
          <w:sz w:val="22"/>
        </w:rPr>
        <w:t>).</w:t>
      </w:r>
    </w:p>
    <w:p w14:paraId="6BA36465" w14:textId="51A9A86B" w:rsidR="00A7730C" w:rsidRDefault="00BF685E" w:rsidP="00586756">
      <w:pPr>
        <w:spacing w:line="360" w:lineRule="auto"/>
        <w:ind w:firstLine="720"/>
        <w:jc w:val="both"/>
        <w:rPr>
          <w:rFonts w:cs="Times New Roman"/>
          <w:szCs w:val="24"/>
        </w:rPr>
      </w:pPr>
      <w:r w:rsidRPr="00BF685E">
        <w:rPr>
          <w:rFonts w:cs="Times New Roman"/>
          <w:szCs w:val="24"/>
        </w:rPr>
        <w:t xml:space="preserve">In 2020, </w:t>
      </w:r>
      <w:r>
        <w:rPr>
          <w:rFonts w:cs="Times New Roman"/>
          <w:szCs w:val="24"/>
        </w:rPr>
        <w:t>t</w:t>
      </w:r>
      <w:r w:rsidR="00A7730C">
        <w:rPr>
          <w:rFonts w:cs="Times New Roman"/>
          <w:szCs w:val="24"/>
        </w:rPr>
        <w:t xml:space="preserve">he export of organic products </w:t>
      </w:r>
      <w:r>
        <w:rPr>
          <w:rFonts w:cs="Times New Roman"/>
          <w:szCs w:val="24"/>
        </w:rPr>
        <w:t xml:space="preserve">reached at 638 thousand MT </w:t>
      </w:r>
      <w:r w:rsidR="00A7730C">
        <w:rPr>
          <w:rFonts w:cs="Times New Roman"/>
          <w:szCs w:val="24"/>
        </w:rPr>
        <w:t xml:space="preserve">(Table 4.). </w:t>
      </w:r>
      <w:r w:rsidRPr="00BF685E">
        <w:rPr>
          <w:rFonts w:cs="Times New Roman"/>
          <w:szCs w:val="24"/>
        </w:rPr>
        <w:t xml:space="preserve">Recent trends indicate </w:t>
      </w:r>
      <w:r>
        <w:rPr>
          <w:rFonts w:cs="Times New Roman"/>
          <w:szCs w:val="24"/>
        </w:rPr>
        <w:t>that USA, European Union</w:t>
      </w:r>
      <w:r w:rsidR="00586756">
        <w:rPr>
          <w:rFonts w:cs="Times New Roman"/>
          <w:szCs w:val="24"/>
        </w:rPr>
        <w:t xml:space="preserve"> (EU)</w:t>
      </w:r>
      <w:r>
        <w:rPr>
          <w:rFonts w:cs="Times New Roman"/>
          <w:szCs w:val="24"/>
        </w:rPr>
        <w:t xml:space="preserve">, </w:t>
      </w:r>
      <w:r w:rsidR="00A7730C">
        <w:rPr>
          <w:rFonts w:cs="Times New Roman"/>
          <w:szCs w:val="24"/>
        </w:rPr>
        <w:t xml:space="preserve">and Canada </w:t>
      </w:r>
      <w:r>
        <w:rPr>
          <w:rFonts w:cs="Times New Roman"/>
          <w:szCs w:val="24"/>
        </w:rPr>
        <w:t>are</w:t>
      </w:r>
      <w:r w:rsidR="00A7730C">
        <w:rPr>
          <w:rFonts w:cs="Times New Roman"/>
          <w:szCs w:val="24"/>
        </w:rPr>
        <w:t xml:space="preserve"> the larger importer of Indian organic products (Singh </w:t>
      </w:r>
      <w:r w:rsidR="00A7730C" w:rsidRPr="00586756">
        <w:rPr>
          <w:rFonts w:cs="Times New Roman"/>
          <w:szCs w:val="24"/>
        </w:rPr>
        <w:t>et al</w:t>
      </w:r>
      <w:r w:rsidR="00586756">
        <w:rPr>
          <w:rFonts w:cs="Times New Roman"/>
          <w:i/>
          <w:szCs w:val="24"/>
        </w:rPr>
        <w:t>.</w:t>
      </w:r>
      <w:r w:rsidR="00A7730C">
        <w:rPr>
          <w:rFonts w:cs="Times New Roman"/>
          <w:i/>
          <w:szCs w:val="24"/>
        </w:rPr>
        <w:t xml:space="preserve">, </w:t>
      </w:r>
      <w:r w:rsidR="00A7730C">
        <w:rPr>
          <w:rFonts w:cs="Times New Roman"/>
          <w:szCs w:val="24"/>
        </w:rPr>
        <w:t xml:space="preserve">2019). </w:t>
      </w:r>
      <w:r w:rsidR="00586756">
        <w:rPr>
          <w:rFonts w:cs="Times New Roman"/>
          <w:szCs w:val="24"/>
        </w:rPr>
        <w:t xml:space="preserve">The </w:t>
      </w:r>
      <w:r>
        <w:rPr>
          <w:rFonts w:cs="Times New Roman"/>
          <w:szCs w:val="24"/>
        </w:rPr>
        <w:t xml:space="preserve">USA </w:t>
      </w:r>
      <w:r w:rsidR="00A7730C">
        <w:rPr>
          <w:rFonts w:cs="Times New Roman"/>
          <w:szCs w:val="24"/>
        </w:rPr>
        <w:t xml:space="preserve">a is </w:t>
      </w:r>
      <w:r w:rsidR="00586756">
        <w:rPr>
          <w:rFonts w:cs="Times New Roman"/>
          <w:szCs w:val="24"/>
        </w:rPr>
        <w:t xml:space="preserve">emerged as a </w:t>
      </w:r>
      <w:r w:rsidR="00A7730C">
        <w:rPr>
          <w:rFonts w:cs="Times New Roman"/>
          <w:szCs w:val="24"/>
        </w:rPr>
        <w:t xml:space="preserve">leading </w:t>
      </w:r>
      <w:r w:rsidR="00586756">
        <w:rPr>
          <w:rFonts w:cs="Times New Roman"/>
          <w:szCs w:val="24"/>
        </w:rPr>
        <w:t xml:space="preserve">importer of organic </w:t>
      </w:r>
      <w:r w:rsidR="00586756">
        <w:rPr>
          <w:rFonts w:cs="Times New Roman"/>
          <w:szCs w:val="24"/>
        </w:rPr>
        <w:lastRenderedPageBreak/>
        <w:t xml:space="preserve">products from India, </w:t>
      </w:r>
      <w:r w:rsidR="00A7730C">
        <w:rPr>
          <w:rFonts w:cs="Times New Roman"/>
          <w:szCs w:val="24"/>
        </w:rPr>
        <w:t xml:space="preserve">followed by </w:t>
      </w:r>
      <w:r w:rsidR="00586756">
        <w:rPr>
          <w:rFonts w:cs="Times New Roman"/>
          <w:szCs w:val="24"/>
        </w:rPr>
        <w:t xml:space="preserve">the </w:t>
      </w:r>
      <w:r w:rsidR="00A7730C">
        <w:rPr>
          <w:rFonts w:cs="Times New Roman"/>
          <w:szCs w:val="24"/>
        </w:rPr>
        <w:t xml:space="preserve">EU </w:t>
      </w:r>
      <w:r w:rsidR="00586756">
        <w:rPr>
          <w:rFonts w:cs="Times New Roman"/>
          <w:szCs w:val="24"/>
        </w:rPr>
        <w:t xml:space="preserve">and Canada (Table 4). </w:t>
      </w:r>
      <w:r w:rsidR="00586756" w:rsidRPr="00BF685E">
        <w:rPr>
          <w:rFonts w:cs="Times New Roman"/>
          <w:szCs w:val="24"/>
        </w:rPr>
        <w:t>Correspondingly, the value of exports to these nations aligns with the volume.</w:t>
      </w:r>
      <w:r w:rsidR="00586756">
        <w:rPr>
          <w:rFonts w:cs="Times New Roman"/>
          <w:szCs w:val="24"/>
        </w:rPr>
        <w:t xml:space="preserve"> </w:t>
      </w:r>
      <w:r w:rsidR="00A7730C">
        <w:rPr>
          <w:rFonts w:cs="Times New Roman"/>
          <w:szCs w:val="24"/>
        </w:rPr>
        <w:t>Other major destinations are Australia, Vietnam</w:t>
      </w:r>
      <w:r w:rsidR="00586756">
        <w:rPr>
          <w:rFonts w:cs="Times New Roman"/>
          <w:szCs w:val="24"/>
        </w:rPr>
        <w:t>,</w:t>
      </w:r>
      <w:r w:rsidR="00A7730C">
        <w:rPr>
          <w:rFonts w:cs="Times New Roman"/>
          <w:szCs w:val="24"/>
        </w:rPr>
        <w:t xml:space="preserve"> and Israel. The export to Vietnam has </w:t>
      </w:r>
      <w:r w:rsidR="00586756">
        <w:rPr>
          <w:rFonts w:cs="Times New Roman"/>
          <w:szCs w:val="24"/>
        </w:rPr>
        <w:t>significantly increased</w:t>
      </w:r>
      <w:r w:rsidR="00A7730C">
        <w:rPr>
          <w:rFonts w:cs="Times New Roman"/>
          <w:szCs w:val="24"/>
        </w:rPr>
        <w:t xml:space="preserve"> </w:t>
      </w:r>
      <w:r w:rsidR="00586756">
        <w:rPr>
          <w:rFonts w:cs="Times New Roman"/>
          <w:szCs w:val="24"/>
        </w:rPr>
        <w:t>from</w:t>
      </w:r>
      <w:r w:rsidR="00A7730C">
        <w:rPr>
          <w:rFonts w:cs="Times New Roman"/>
          <w:szCs w:val="24"/>
        </w:rPr>
        <w:t xml:space="preserve"> </w:t>
      </w:r>
      <w:r w:rsidR="00586756">
        <w:rPr>
          <w:rFonts w:cs="Times New Roman"/>
          <w:szCs w:val="24"/>
        </w:rPr>
        <w:t xml:space="preserve">0.024 in 2016 to 3.27 thousand </w:t>
      </w:r>
      <w:r w:rsidR="00A7730C">
        <w:rPr>
          <w:rFonts w:cs="Times New Roman"/>
          <w:szCs w:val="24"/>
        </w:rPr>
        <w:t xml:space="preserve">MT in 2020, this huge change is mainly from </w:t>
      </w:r>
      <w:r w:rsidR="00586756">
        <w:rPr>
          <w:rFonts w:cs="Times New Roman"/>
          <w:szCs w:val="24"/>
        </w:rPr>
        <w:t xml:space="preserve">the </w:t>
      </w:r>
      <w:r w:rsidR="00A7730C">
        <w:rPr>
          <w:rFonts w:cs="Times New Roman"/>
          <w:szCs w:val="24"/>
        </w:rPr>
        <w:t xml:space="preserve">export of processed foods and </w:t>
      </w:r>
      <w:r w:rsidR="00586756">
        <w:rPr>
          <w:rFonts w:cs="Times New Roman"/>
          <w:szCs w:val="24"/>
        </w:rPr>
        <w:t>tea/c</w:t>
      </w:r>
      <w:r w:rsidR="00A7730C">
        <w:rPr>
          <w:rFonts w:cs="Times New Roman"/>
          <w:szCs w:val="24"/>
        </w:rPr>
        <w:t xml:space="preserve">offee products. </w:t>
      </w:r>
      <w:r w:rsidR="00586756" w:rsidRPr="00BF685E">
        <w:rPr>
          <w:rFonts w:cs="Times New Roman"/>
          <w:szCs w:val="24"/>
        </w:rPr>
        <w:t>In terms of export value</w:t>
      </w:r>
      <w:r w:rsidR="00586756">
        <w:rPr>
          <w:rFonts w:cs="Times New Roman"/>
          <w:szCs w:val="24"/>
        </w:rPr>
        <w:t xml:space="preserve">, the </w:t>
      </w:r>
      <w:r w:rsidR="00A7730C">
        <w:rPr>
          <w:rFonts w:cs="Times New Roman"/>
          <w:szCs w:val="24"/>
        </w:rPr>
        <w:t xml:space="preserve">USA alone contributes </w:t>
      </w:r>
      <w:r w:rsidR="00586756" w:rsidRPr="00E66159">
        <w:rPr>
          <w:rFonts w:cs="Times New Roman"/>
          <w:szCs w:val="24"/>
        </w:rPr>
        <w:t>₹</w:t>
      </w:r>
      <w:r w:rsidR="00A7730C">
        <w:rPr>
          <w:rFonts w:cs="Times New Roman"/>
          <w:szCs w:val="24"/>
        </w:rPr>
        <w:t xml:space="preserve">24024.8 million </w:t>
      </w:r>
      <w:r w:rsidR="00586756">
        <w:rPr>
          <w:rFonts w:cs="Times New Roman"/>
          <w:szCs w:val="24"/>
        </w:rPr>
        <w:t xml:space="preserve">in </w:t>
      </w:r>
      <w:r w:rsidR="00A7730C">
        <w:rPr>
          <w:rFonts w:cs="Times New Roman"/>
          <w:szCs w:val="24"/>
        </w:rPr>
        <w:t xml:space="preserve">export to India followed by </w:t>
      </w:r>
      <w:r w:rsidR="00586756">
        <w:rPr>
          <w:rFonts w:cs="Times New Roman"/>
          <w:szCs w:val="24"/>
        </w:rPr>
        <w:t xml:space="preserve">the </w:t>
      </w:r>
      <w:r w:rsidR="00A7730C">
        <w:rPr>
          <w:rFonts w:cs="Times New Roman"/>
          <w:szCs w:val="24"/>
        </w:rPr>
        <w:t>EU (</w:t>
      </w:r>
      <w:r w:rsidR="00586756" w:rsidRPr="00E66159">
        <w:rPr>
          <w:rFonts w:cs="Times New Roman"/>
          <w:szCs w:val="24"/>
        </w:rPr>
        <w:t>₹</w:t>
      </w:r>
      <w:r w:rsidR="00A7730C">
        <w:rPr>
          <w:rFonts w:cs="Times New Roman"/>
          <w:szCs w:val="24"/>
        </w:rPr>
        <w:t>17067</w:t>
      </w:r>
      <w:r w:rsidR="00586756" w:rsidRPr="00586756">
        <w:rPr>
          <w:rFonts w:cs="Times New Roman"/>
          <w:szCs w:val="24"/>
        </w:rPr>
        <w:t xml:space="preserve"> </w:t>
      </w:r>
      <w:r w:rsidR="00586756">
        <w:rPr>
          <w:rFonts w:cs="Times New Roman"/>
          <w:szCs w:val="24"/>
        </w:rPr>
        <w:t>million), and Canada (</w:t>
      </w:r>
      <w:r w:rsidR="00586756" w:rsidRPr="00E66159">
        <w:rPr>
          <w:rFonts w:cs="Times New Roman"/>
          <w:szCs w:val="24"/>
        </w:rPr>
        <w:t>₹</w:t>
      </w:r>
      <w:r w:rsidR="00A7730C">
        <w:rPr>
          <w:rFonts w:cs="Times New Roman"/>
          <w:szCs w:val="24"/>
        </w:rPr>
        <w:t xml:space="preserve">3170 million). </w:t>
      </w:r>
      <w:r w:rsidR="00586756" w:rsidRPr="00BF685E">
        <w:rPr>
          <w:rFonts w:cs="Times New Roman"/>
          <w:szCs w:val="24"/>
        </w:rPr>
        <w:t>Overall,</w:t>
      </w:r>
      <w:r w:rsidR="00586756" w:rsidRPr="00586756">
        <w:rPr>
          <w:rFonts w:cs="Times New Roman"/>
          <w:szCs w:val="24"/>
        </w:rPr>
        <w:t xml:space="preserve"> </w:t>
      </w:r>
      <w:r w:rsidR="00586756" w:rsidRPr="00BF685E">
        <w:rPr>
          <w:rFonts w:cs="Times New Roman"/>
          <w:szCs w:val="24"/>
        </w:rPr>
        <w:t>India exported a total</w:t>
      </w:r>
      <w:r w:rsidR="00586756">
        <w:rPr>
          <w:rFonts w:cs="Times New Roman"/>
          <w:szCs w:val="24"/>
        </w:rPr>
        <w:t xml:space="preserve"> </w:t>
      </w:r>
      <w:r w:rsidR="00A7730C">
        <w:rPr>
          <w:rFonts w:cs="Times New Roman"/>
          <w:szCs w:val="24"/>
        </w:rPr>
        <w:t xml:space="preserve">of 638.99 </w:t>
      </w:r>
      <w:r w:rsidR="00586756">
        <w:rPr>
          <w:rFonts w:cs="Times New Roman"/>
          <w:szCs w:val="24"/>
        </w:rPr>
        <w:t xml:space="preserve">thousand </w:t>
      </w:r>
      <w:r w:rsidR="00A7730C">
        <w:rPr>
          <w:rFonts w:cs="Times New Roman"/>
          <w:szCs w:val="24"/>
        </w:rPr>
        <w:t xml:space="preserve">MT of organic products </w:t>
      </w:r>
      <w:r w:rsidR="00586756">
        <w:rPr>
          <w:rFonts w:cs="Times New Roman"/>
          <w:szCs w:val="24"/>
        </w:rPr>
        <w:t>in 2020-21 with</w:t>
      </w:r>
      <w:r w:rsidR="00A7730C">
        <w:rPr>
          <w:rFonts w:cs="Times New Roman"/>
          <w:szCs w:val="24"/>
        </w:rPr>
        <w:t xml:space="preserve"> </w:t>
      </w:r>
      <w:r w:rsidR="00586756">
        <w:rPr>
          <w:rFonts w:cs="Times New Roman"/>
          <w:szCs w:val="24"/>
        </w:rPr>
        <w:t xml:space="preserve">a </w:t>
      </w:r>
      <w:r w:rsidR="00A7730C">
        <w:rPr>
          <w:rFonts w:cs="Times New Roman"/>
          <w:szCs w:val="24"/>
        </w:rPr>
        <w:t xml:space="preserve">value </w:t>
      </w:r>
      <w:r w:rsidR="00586756">
        <w:rPr>
          <w:rFonts w:cs="Times New Roman"/>
          <w:szCs w:val="24"/>
        </w:rPr>
        <w:t xml:space="preserve">of </w:t>
      </w:r>
      <w:r w:rsidR="00586756" w:rsidRPr="00E66159">
        <w:rPr>
          <w:rFonts w:cs="Times New Roman"/>
          <w:szCs w:val="24"/>
        </w:rPr>
        <w:t>₹</w:t>
      </w:r>
      <w:r w:rsidR="00A7730C">
        <w:rPr>
          <w:rFonts w:cs="Times New Roman"/>
          <w:szCs w:val="24"/>
        </w:rPr>
        <w:t xml:space="preserve">46859.1 million </w:t>
      </w:r>
      <w:r w:rsidR="00586756">
        <w:rPr>
          <w:rFonts w:cs="Times New Roman"/>
          <w:szCs w:val="24"/>
        </w:rPr>
        <w:t>across</w:t>
      </w:r>
      <w:r w:rsidR="00A7730C">
        <w:rPr>
          <w:rFonts w:cs="Times New Roman"/>
          <w:szCs w:val="24"/>
        </w:rPr>
        <w:t xml:space="preserve"> different nations. </w:t>
      </w:r>
    </w:p>
    <w:p w14:paraId="764F6642" w14:textId="77777777" w:rsidR="00A7730C" w:rsidRPr="00BA4CC1" w:rsidRDefault="00A7730C" w:rsidP="00A7730C">
      <w:pPr>
        <w:rPr>
          <w:rFonts w:cs="Times New Roman"/>
          <w:szCs w:val="24"/>
        </w:rPr>
      </w:pPr>
      <w:r w:rsidRPr="00BA4CC1">
        <w:rPr>
          <w:rFonts w:cs="Times New Roman"/>
          <w:szCs w:val="24"/>
        </w:rPr>
        <w:t>Table 4. Top countries of export of organic products and its value from India</w:t>
      </w:r>
    </w:p>
    <w:tbl>
      <w:tblPr>
        <w:tblStyle w:val="TableGrid"/>
        <w:tblW w:w="520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56"/>
        <w:gridCol w:w="1139"/>
        <w:gridCol w:w="1238"/>
        <w:gridCol w:w="1403"/>
        <w:gridCol w:w="1238"/>
        <w:gridCol w:w="1238"/>
        <w:gridCol w:w="1402"/>
      </w:tblGrid>
      <w:tr w:rsidR="00E63875" w:rsidRPr="00586756" w14:paraId="76225559" w14:textId="77777777" w:rsidTr="00E63875">
        <w:trPr>
          <w:trHeight w:val="315"/>
        </w:trPr>
        <w:tc>
          <w:tcPr>
            <w:tcW w:w="841" w:type="pct"/>
            <w:vMerge w:val="restart"/>
            <w:tcBorders>
              <w:top w:val="single" w:sz="4" w:space="0" w:color="auto"/>
            </w:tcBorders>
            <w:vAlign w:val="center"/>
          </w:tcPr>
          <w:p w14:paraId="71CE03E4" w14:textId="5F992B79" w:rsidR="00E63875" w:rsidRPr="00586756" w:rsidRDefault="00E63875" w:rsidP="00E63875">
            <w:pPr>
              <w:rPr>
                <w:rFonts w:cs="Times New Roman"/>
                <w:sz w:val="22"/>
              </w:rPr>
            </w:pPr>
            <w:r w:rsidRPr="00586756">
              <w:rPr>
                <w:rFonts w:cs="Times New Roman"/>
                <w:color w:val="000000"/>
                <w:sz w:val="22"/>
              </w:rPr>
              <w:t xml:space="preserve">Country </w:t>
            </w:r>
          </w:p>
        </w:tc>
        <w:tc>
          <w:tcPr>
            <w:tcW w:w="2094" w:type="pct"/>
            <w:gridSpan w:val="4"/>
            <w:tcBorders>
              <w:top w:val="single" w:sz="4" w:space="0" w:color="auto"/>
              <w:bottom w:val="single" w:sz="4" w:space="0" w:color="auto"/>
            </w:tcBorders>
            <w:vAlign w:val="center"/>
          </w:tcPr>
          <w:p w14:paraId="077832D3" w14:textId="77777777" w:rsidR="00E63875" w:rsidRPr="00586756" w:rsidRDefault="00E63875" w:rsidP="00DE1947">
            <w:pPr>
              <w:jc w:val="center"/>
              <w:rPr>
                <w:rFonts w:cs="Times New Roman"/>
                <w:bCs/>
                <w:sz w:val="22"/>
              </w:rPr>
            </w:pPr>
            <w:r w:rsidRPr="00586756">
              <w:rPr>
                <w:rFonts w:cs="Times New Roman"/>
                <w:bCs/>
                <w:sz w:val="22"/>
              </w:rPr>
              <w:t>Export quantity (in 000’ MT)</w:t>
            </w:r>
          </w:p>
        </w:tc>
        <w:tc>
          <w:tcPr>
            <w:tcW w:w="2064" w:type="pct"/>
            <w:gridSpan w:val="3"/>
            <w:tcBorders>
              <w:top w:val="single" w:sz="4" w:space="0" w:color="auto"/>
              <w:bottom w:val="single" w:sz="4" w:space="0" w:color="auto"/>
            </w:tcBorders>
            <w:vAlign w:val="center"/>
          </w:tcPr>
          <w:p w14:paraId="294278D5" w14:textId="14BFCB33" w:rsidR="00E63875" w:rsidRPr="00586756" w:rsidRDefault="00E63875" w:rsidP="000642C5">
            <w:pPr>
              <w:jc w:val="center"/>
              <w:rPr>
                <w:rFonts w:cs="Times New Roman"/>
                <w:bCs/>
                <w:sz w:val="22"/>
              </w:rPr>
            </w:pPr>
            <w:r w:rsidRPr="00586756">
              <w:rPr>
                <w:rFonts w:cs="Times New Roman"/>
                <w:bCs/>
                <w:sz w:val="22"/>
              </w:rPr>
              <w:t>Export value (</w:t>
            </w:r>
            <w:r w:rsidR="000642C5" w:rsidRPr="00E66159">
              <w:rPr>
                <w:rFonts w:cs="Times New Roman"/>
                <w:szCs w:val="24"/>
              </w:rPr>
              <w:t>₹</w:t>
            </w:r>
            <w:r w:rsidR="000642C5">
              <w:rPr>
                <w:rFonts w:cs="Times New Roman"/>
                <w:szCs w:val="24"/>
              </w:rPr>
              <w:t xml:space="preserve"> </w:t>
            </w:r>
            <w:r w:rsidRPr="00586756">
              <w:rPr>
                <w:rFonts w:cs="Times New Roman"/>
                <w:bCs/>
                <w:sz w:val="22"/>
              </w:rPr>
              <w:t>million)</w:t>
            </w:r>
          </w:p>
        </w:tc>
      </w:tr>
      <w:tr w:rsidR="00E63875" w:rsidRPr="00586756" w14:paraId="3D8FE806" w14:textId="77777777" w:rsidTr="000642C5">
        <w:trPr>
          <w:trHeight w:val="315"/>
        </w:trPr>
        <w:tc>
          <w:tcPr>
            <w:tcW w:w="841" w:type="pct"/>
            <w:vMerge/>
            <w:vAlign w:val="center"/>
          </w:tcPr>
          <w:p w14:paraId="5F88A765" w14:textId="77777777" w:rsidR="00E63875" w:rsidRPr="00586756" w:rsidRDefault="00E63875" w:rsidP="00DE1947">
            <w:pPr>
              <w:jc w:val="center"/>
              <w:rPr>
                <w:rFonts w:cs="Times New Roman"/>
                <w:color w:val="000000"/>
                <w:sz w:val="22"/>
              </w:rPr>
            </w:pPr>
          </w:p>
        </w:tc>
        <w:tc>
          <w:tcPr>
            <w:tcW w:w="689" w:type="pct"/>
            <w:gridSpan w:val="2"/>
            <w:tcBorders>
              <w:top w:val="single" w:sz="4" w:space="0" w:color="auto"/>
              <w:bottom w:val="single" w:sz="4" w:space="0" w:color="auto"/>
            </w:tcBorders>
            <w:vAlign w:val="center"/>
          </w:tcPr>
          <w:p w14:paraId="188AC847" w14:textId="77777777" w:rsidR="00E63875" w:rsidRPr="00586756" w:rsidRDefault="00E63875" w:rsidP="00586756">
            <w:pPr>
              <w:jc w:val="center"/>
              <w:rPr>
                <w:rFonts w:cs="Times New Roman"/>
                <w:bCs/>
                <w:sz w:val="22"/>
              </w:rPr>
            </w:pPr>
            <w:r w:rsidRPr="00586756">
              <w:rPr>
                <w:rFonts w:cs="Times New Roman"/>
                <w:bCs/>
                <w:sz w:val="22"/>
              </w:rPr>
              <w:t>2016-17</w:t>
            </w:r>
          </w:p>
        </w:tc>
        <w:tc>
          <w:tcPr>
            <w:tcW w:w="659" w:type="pct"/>
            <w:tcBorders>
              <w:top w:val="single" w:sz="4" w:space="0" w:color="auto"/>
              <w:bottom w:val="single" w:sz="4" w:space="0" w:color="auto"/>
            </w:tcBorders>
            <w:vAlign w:val="center"/>
          </w:tcPr>
          <w:p w14:paraId="1F320591" w14:textId="77777777" w:rsidR="00E63875" w:rsidRPr="00586756" w:rsidRDefault="00E63875" w:rsidP="00586756">
            <w:pPr>
              <w:jc w:val="center"/>
              <w:rPr>
                <w:rFonts w:cs="Times New Roman"/>
                <w:bCs/>
                <w:sz w:val="22"/>
              </w:rPr>
            </w:pPr>
            <w:r w:rsidRPr="00586756">
              <w:rPr>
                <w:rFonts w:cs="Times New Roman"/>
                <w:bCs/>
                <w:sz w:val="22"/>
              </w:rPr>
              <w:t>2020-21</w:t>
            </w:r>
          </w:p>
        </w:tc>
        <w:tc>
          <w:tcPr>
            <w:tcW w:w="747" w:type="pct"/>
            <w:tcBorders>
              <w:top w:val="single" w:sz="4" w:space="0" w:color="auto"/>
              <w:bottom w:val="single" w:sz="4" w:space="0" w:color="auto"/>
            </w:tcBorders>
            <w:vAlign w:val="center"/>
          </w:tcPr>
          <w:p w14:paraId="5D0C40E0" w14:textId="77777777" w:rsidR="00E63875" w:rsidRPr="00586756" w:rsidRDefault="00E63875" w:rsidP="00586756">
            <w:pPr>
              <w:jc w:val="center"/>
              <w:rPr>
                <w:rFonts w:cs="Times New Roman"/>
                <w:bCs/>
                <w:sz w:val="22"/>
              </w:rPr>
            </w:pPr>
            <w:r w:rsidRPr="00586756">
              <w:rPr>
                <w:rFonts w:cs="Times New Roman"/>
                <w:bCs/>
                <w:sz w:val="22"/>
              </w:rPr>
              <w:t>% Change</w:t>
            </w:r>
          </w:p>
        </w:tc>
        <w:tc>
          <w:tcPr>
            <w:tcW w:w="659" w:type="pct"/>
            <w:tcBorders>
              <w:top w:val="single" w:sz="4" w:space="0" w:color="auto"/>
              <w:bottom w:val="single" w:sz="4" w:space="0" w:color="auto"/>
            </w:tcBorders>
            <w:vAlign w:val="center"/>
          </w:tcPr>
          <w:p w14:paraId="3A21A9DE" w14:textId="77777777" w:rsidR="00E63875" w:rsidRPr="00586756" w:rsidRDefault="00E63875" w:rsidP="00586756">
            <w:pPr>
              <w:jc w:val="center"/>
              <w:rPr>
                <w:rFonts w:cs="Times New Roman"/>
                <w:bCs/>
                <w:sz w:val="22"/>
              </w:rPr>
            </w:pPr>
            <w:r w:rsidRPr="00586756">
              <w:rPr>
                <w:rFonts w:cs="Times New Roman"/>
                <w:bCs/>
                <w:sz w:val="22"/>
              </w:rPr>
              <w:t>2016-17</w:t>
            </w:r>
          </w:p>
        </w:tc>
        <w:tc>
          <w:tcPr>
            <w:tcW w:w="659" w:type="pct"/>
            <w:tcBorders>
              <w:top w:val="single" w:sz="4" w:space="0" w:color="auto"/>
              <w:bottom w:val="single" w:sz="4" w:space="0" w:color="auto"/>
            </w:tcBorders>
            <w:vAlign w:val="center"/>
          </w:tcPr>
          <w:p w14:paraId="387E70FB" w14:textId="77777777" w:rsidR="00E63875" w:rsidRPr="00586756" w:rsidRDefault="00E63875" w:rsidP="00586756">
            <w:pPr>
              <w:jc w:val="center"/>
              <w:rPr>
                <w:rFonts w:cs="Times New Roman"/>
                <w:bCs/>
                <w:sz w:val="22"/>
              </w:rPr>
            </w:pPr>
            <w:r w:rsidRPr="00586756">
              <w:rPr>
                <w:rFonts w:cs="Times New Roman"/>
                <w:bCs/>
                <w:sz w:val="22"/>
              </w:rPr>
              <w:t>2020-21</w:t>
            </w:r>
          </w:p>
        </w:tc>
        <w:tc>
          <w:tcPr>
            <w:tcW w:w="746" w:type="pct"/>
            <w:tcBorders>
              <w:top w:val="single" w:sz="4" w:space="0" w:color="auto"/>
              <w:bottom w:val="single" w:sz="4" w:space="0" w:color="auto"/>
            </w:tcBorders>
            <w:vAlign w:val="center"/>
          </w:tcPr>
          <w:p w14:paraId="65C12406" w14:textId="77777777" w:rsidR="00E63875" w:rsidRPr="00586756" w:rsidRDefault="00E63875" w:rsidP="00586756">
            <w:pPr>
              <w:jc w:val="center"/>
              <w:rPr>
                <w:rFonts w:cs="Times New Roman"/>
                <w:bCs/>
                <w:sz w:val="22"/>
              </w:rPr>
            </w:pPr>
            <w:r w:rsidRPr="00586756">
              <w:rPr>
                <w:rFonts w:cs="Times New Roman"/>
                <w:bCs/>
                <w:sz w:val="22"/>
              </w:rPr>
              <w:t>% Change</w:t>
            </w:r>
          </w:p>
        </w:tc>
      </w:tr>
      <w:tr w:rsidR="000642C5" w:rsidRPr="00586756" w14:paraId="4671160D" w14:textId="77777777" w:rsidTr="000642C5">
        <w:trPr>
          <w:trHeight w:val="302"/>
        </w:trPr>
        <w:tc>
          <w:tcPr>
            <w:tcW w:w="924" w:type="pct"/>
            <w:gridSpan w:val="2"/>
            <w:vAlign w:val="bottom"/>
          </w:tcPr>
          <w:p w14:paraId="2775269C" w14:textId="77777777" w:rsidR="000642C5" w:rsidRPr="00586756" w:rsidRDefault="000642C5" w:rsidP="000642C5">
            <w:pPr>
              <w:rPr>
                <w:rFonts w:cs="Times New Roman"/>
                <w:sz w:val="22"/>
              </w:rPr>
            </w:pPr>
            <w:r w:rsidRPr="00586756">
              <w:rPr>
                <w:rFonts w:cs="Times New Roman"/>
                <w:color w:val="000000"/>
                <w:sz w:val="22"/>
              </w:rPr>
              <w:t>U.S.A.</w:t>
            </w:r>
          </w:p>
        </w:tc>
        <w:tc>
          <w:tcPr>
            <w:tcW w:w="606" w:type="pct"/>
            <w:tcBorders>
              <w:top w:val="single" w:sz="4" w:space="0" w:color="auto"/>
            </w:tcBorders>
            <w:vAlign w:val="center"/>
          </w:tcPr>
          <w:p w14:paraId="5456EDD6" w14:textId="5D7464EC" w:rsidR="000642C5" w:rsidRPr="00586756" w:rsidRDefault="000642C5" w:rsidP="000642C5">
            <w:pPr>
              <w:jc w:val="center"/>
              <w:rPr>
                <w:rFonts w:cs="Times New Roman"/>
                <w:sz w:val="22"/>
              </w:rPr>
            </w:pPr>
            <w:r>
              <w:rPr>
                <w:color w:val="000000"/>
                <w:sz w:val="22"/>
              </w:rPr>
              <w:t>116.60</w:t>
            </w:r>
          </w:p>
        </w:tc>
        <w:tc>
          <w:tcPr>
            <w:tcW w:w="659" w:type="pct"/>
            <w:tcBorders>
              <w:top w:val="single" w:sz="4" w:space="0" w:color="auto"/>
            </w:tcBorders>
            <w:vAlign w:val="center"/>
          </w:tcPr>
          <w:p w14:paraId="25EF094E" w14:textId="10FE35EF" w:rsidR="000642C5" w:rsidRPr="00586756" w:rsidRDefault="000642C5" w:rsidP="000642C5">
            <w:pPr>
              <w:jc w:val="center"/>
              <w:rPr>
                <w:rFonts w:cs="Times New Roman"/>
                <w:sz w:val="22"/>
              </w:rPr>
            </w:pPr>
            <w:r>
              <w:rPr>
                <w:color w:val="000000"/>
                <w:sz w:val="22"/>
              </w:rPr>
              <w:t>376.07</w:t>
            </w:r>
          </w:p>
        </w:tc>
        <w:tc>
          <w:tcPr>
            <w:tcW w:w="747" w:type="pct"/>
            <w:tcBorders>
              <w:top w:val="single" w:sz="4" w:space="0" w:color="auto"/>
            </w:tcBorders>
            <w:vAlign w:val="center"/>
          </w:tcPr>
          <w:p w14:paraId="5E44B1A7" w14:textId="42A68300" w:rsidR="000642C5" w:rsidRPr="00586756" w:rsidRDefault="000642C5" w:rsidP="000642C5">
            <w:pPr>
              <w:jc w:val="center"/>
              <w:rPr>
                <w:rFonts w:cs="Times New Roman"/>
                <w:sz w:val="22"/>
              </w:rPr>
            </w:pPr>
            <w:r>
              <w:rPr>
                <w:color w:val="000000"/>
                <w:sz w:val="22"/>
              </w:rPr>
              <w:t>222.54</w:t>
            </w:r>
          </w:p>
        </w:tc>
        <w:tc>
          <w:tcPr>
            <w:tcW w:w="659" w:type="pct"/>
            <w:tcBorders>
              <w:top w:val="single" w:sz="4" w:space="0" w:color="auto"/>
            </w:tcBorders>
            <w:vAlign w:val="center"/>
          </w:tcPr>
          <w:p w14:paraId="0C6035FA" w14:textId="59CC1F65" w:rsidR="000642C5" w:rsidRPr="00586756" w:rsidRDefault="000642C5" w:rsidP="000642C5">
            <w:pPr>
              <w:jc w:val="center"/>
              <w:rPr>
                <w:rFonts w:cs="Times New Roman"/>
                <w:sz w:val="22"/>
              </w:rPr>
            </w:pPr>
            <w:r>
              <w:rPr>
                <w:color w:val="000000"/>
                <w:sz w:val="22"/>
              </w:rPr>
              <w:t>9749.00</w:t>
            </w:r>
          </w:p>
        </w:tc>
        <w:tc>
          <w:tcPr>
            <w:tcW w:w="659" w:type="pct"/>
            <w:tcBorders>
              <w:top w:val="single" w:sz="4" w:space="0" w:color="auto"/>
            </w:tcBorders>
            <w:vAlign w:val="center"/>
          </w:tcPr>
          <w:p w14:paraId="62037748" w14:textId="71485129" w:rsidR="000642C5" w:rsidRPr="00586756" w:rsidRDefault="000642C5" w:rsidP="000642C5">
            <w:pPr>
              <w:jc w:val="center"/>
              <w:rPr>
                <w:rFonts w:cs="Times New Roman"/>
                <w:sz w:val="22"/>
              </w:rPr>
            </w:pPr>
            <w:r>
              <w:rPr>
                <w:color w:val="000000"/>
                <w:sz w:val="22"/>
              </w:rPr>
              <w:t>24024.80</w:t>
            </w:r>
          </w:p>
        </w:tc>
        <w:tc>
          <w:tcPr>
            <w:tcW w:w="746" w:type="pct"/>
            <w:tcBorders>
              <w:top w:val="single" w:sz="4" w:space="0" w:color="auto"/>
            </w:tcBorders>
            <w:vAlign w:val="center"/>
          </w:tcPr>
          <w:p w14:paraId="3A03FF97" w14:textId="0C8DA10A" w:rsidR="000642C5" w:rsidRPr="00586756" w:rsidRDefault="000642C5" w:rsidP="000642C5">
            <w:pPr>
              <w:jc w:val="center"/>
              <w:rPr>
                <w:rFonts w:cs="Times New Roman"/>
                <w:sz w:val="22"/>
              </w:rPr>
            </w:pPr>
            <w:r>
              <w:rPr>
                <w:color w:val="000000"/>
                <w:sz w:val="22"/>
              </w:rPr>
              <w:t>146.43</w:t>
            </w:r>
          </w:p>
        </w:tc>
      </w:tr>
      <w:tr w:rsidR="000642C5" w:rsidRPr="00586756" w14:paraId="1CA2CC42" w14:textId="77777777" w:rsidTr="000642C5">
        <w:trPr>
          <w:trHeight w:val="632"/>
        </w:trPr>
        <w:tc>
          <w:tcPr>
            <w:tcW w:w="924" w:type="pct"/>
            <w:gridSpan w:val="2"/>
            <w:vAlign w:val="center"/>
          </w:tcPr>
          <w:p w14:paraId="595116C8" w14:textId="32D90CB8" w:rsidR="000642C5" w:rsidRPr="00586756" w:rsidRDefault="000642C5" w:rsidP="000642C5">
            <w:pPr>
              <w:rPr>
                <w:rFonts w:cs="Times New Roman"/>
                <w:sz w:val="22"/>
              </w:rPr>
            </w:pPr>
            <w:r>
              <w:rPr>
                <w:rFonts w:cs="Times New Roman"/>
                <w:color w:val="000000"/>
                <w:sz w:val="22"/>
              </w:rPr>
              <w:t xml:space="preserve">European </w:t>
            </w:r>
            <w:r w:rsidRPr="00586756">
              <w:rPr>
                <w:rFonts w:cs="Times New Roman"/>
                <w:color w:val="000000"/>
                <w:sz w:val="22"/>
              </w:rPr>
              <w:t>Union</w:t>
            </w:r>
          </w:p>
        </w:tc>
        <w:tc>
          <w:tcPr>
            <w:tcW w:w="606" w:type="pct"/>
            <w:vAlign w:val="center"/>
          </w:tcPr>
          <w:p w14:paraId="16E3EB79" w14:textId="16BEDE1F" w:rsidR="000642C5" w:rsidRPr="00586756" w:rsidRDefault="000642C5" w:rsidP="000642C5">
            <w:pPr>
              <w:jc w:val="center"/>
              <w:rPr>
                <w:rFonts w:cs="Times New Roman"/>
                <w:sz w:val="22"/>
              </w:rPr>
            </w:pPr>
            <w:r>
              <w:rPr>
                <w:color w:val="000000"/>
                <w:sz w:val="22"/>
              </w:rPr>
              <w:t>124.40</w:t>
            </w:r>
          </w:p>
        </w:tc>
        <w:tc>
          <w:tcPr>
            <w:tcW w:w="659" w:type="pct"/>
            <w:vAlign w:val="center"/>
          </w:tcPr>
          <w:p w14:paraId="40CD3B40" w14:textId="6AF22E36" w:rsidR="000642C5" w:rsidRPr="00586756" w:rsidRDefault="000642C5" w:rsidP="000642C5">
            <w:pPr>
              <w:jc w:val="center"/>
              <w:rPr>
                <w:rFonts w:cs="Times New Roman"/>
                <w:sz w:val="22"/>
              </w:rPr>
            </w:pPr>
            <w:r>
              <w:rPr>
                <w:color w:val="000000"/>
                <w:sz w:val="22"/>
              </w:rPr>
              <w:t>175.67</w:t>
            </w:r>
          </w:p>
        </w:tc>
        <w:tc>
          <w:tcPr>
            <w:tcW w:w="747" w:type="pct"/>
            <w:vAlign w:val="center"/>
          </w:tcPr>
          <w:p w14:paraId="1C66EC3B" w14:textId="24D27749" w:rsidR="000642C5" w:rsidRPr="00586756" w:rsidRDefault="000642C5" w:rsidP="000642C5">
            <w:pPr>
              <w:jc w:val="center"/>
              <w:rPr>
                <w:rFonts w:cs="Times New Roman"/>
                <w:sz w:val="22"/>
              </w:rPr>
            </w:pPr>
            <w:r>
              <w:rPr>
                <w:color w:val="000000"/>
                <w:sz w:val="22"/>
              </w:rPr>
              <w:t>41.22</w:t>
            </w:r>
          </w:p>
        </w:tc>
        <w:tc>
          <w:tcPr>
            <w:tcW w:w="659" w:type="pct"/>
            <w:vAlign w:val="center"/>
          </w:tcPr>
          <w:p w14:paraId="33814F14" w14:textId="0C5A28AE" w:rsidR="000642C5" w:rsidRPr="00586756" w:rsidRDefault="000642C5" w:rsidP="000642C5">
            <w:pPr>
              <w:jc w:val="center"/>
              <w:rPr>
                <w:rFonts w:cs="Times New Roman"/>
                <w:sz w:val="22"/>
              </w:rPr>
            </w:pPr>
            <w:r>
              <w:rPr>
                <w:color w:val="000000"/>
                <w:sz w:val="22"/>
              </w:rPr>
              <w:t>11431.50</w:t>
            </w:r>
          </w:p>
        </w:tc>
        <w:tc>
          <w:tcPr>
            <w:tcW w:w="659" w:type="pct"/>
            <w:vAlign w:val="center"/>
          </w:tcPr>
          <w:p w14:paraId="02C37C39" w14:textId="5262F996" w:rsidR="000642C5" w:rsidRPr="00586756" w:rsidRDefault="000642C5" w:rsidP="000642C5">
            <w:pPr>
              <w:jc w:val="center"/>
              <w:rPr>
                <w:rFonts w:cs="Times New Roman"/>
                <w:sz w:val="22"/>
              </w:rPr>
            </w:pPr>
            <w:r>
              <w:rPr>
                <w:color w:val="000000"/>
                <w:sz w:val="22"/>
              </w:rPr>
              <w:t>17067.00</w:t>
            </w:r>
          </w:p>
        </w:tc>
        <w:tc>
          <w:tcPr>
            <w:tcW w:w="746" w:type="pct"/>
            <w:vAlign w:val="center"/>
          </w:tcPr>
          <w:p w14:paraId="208154E6" w14:textId="3D7E98B9" w:rsidR="000642C5" w:rsidRPr="00586756" w:rsidRDefault="000642C5" w:rsidP="000642C5">
            <w:pPr>
              <w:jc w:val="center"/>
              <w:rPr>
                <w:rFonts w:cs="Times New Roman"/>
                <w:sz w:val="22"/>
              </w:rPr>
            </w:pPr>
            <w:r>
              <w:rPr>
                <w:color w:val="000000"/>
                <w:sz w:val="22"/>
              </w:rPr>
              <w:t>49.30</w:t>
            </w:r>
          </w:p>
        </w:tc>
      </w:tr>
      <w:tr w:rsidR="000642C5" w:rsidRPr="00586756" w14:paraId="2D13A0ED" w14:textId="77777777" w:rsidTr="000642C5">
        <w:trPr>
          <w:trHeight w:val="315"/>
        </w:trPr>
        <w:tc>
          <w:tcPr>
            <w:tcW w:w="924" w:type="pct"/>
            <w:gridSpan w:val="2"/>
            <w:vAlign w:val="center"/>
          </w:tcPr>
          <w:p w14:paraId="2E78ABD0" w14:textId="77777777" w:rsidR="000642C5" w:rsidRPr="00586756" w:rsidRDefault="000642C5" w:rsidP="000642C5">
            <w:pPr>
              <w:rPr>
                <w:rFonts w:cs="Times New Roman"/>
                <w:sz w:val="22"/>
              </w:rPr>
            </w:pPr>
            <w:r w:rsidRPr="00586756">
              <w:rPr>
                <w:rFonts w:cs="Times New Roman"/>
                <w:color w:val="000000"/>
                <w:sz w:val="22"/>
              </w:rPr>
              <w:t>Canada</w:t>
            </w:r>
          </w:p>
        </w:tc>
        <w:tc>
          <w:tcPr>
            <w:tcW w:w="606" w:type="pct"/>
            <w:vAlign w:val="center"/>
          </w:tcPr>
          <w:p w14:paraId="66641244" w14:textId="26DF0A27" w:rsidR="000642C5" w:rsidRPr="00586756" w:rsidRDefault="000642C5" w:rsidP="000642C5">
            <w:pPr>
              <w:jc w:val="center"/>
              <w:rPr>
                <w:rFonts w:cs="Times New Roman"/>
                <w:sz w:val="22"/>
              </w:rPr>
            </w:pPr>
            <w:r>
              <w:rPr>
                <w:color w:val="000000"/>
                <w:sz w:val="22"/>
              </w:rPr>
              <w:t>42.74</w:t>
            </w:r>
          </w:p>
        </w:tc>
        <w:tc>
          <w:tcPr>
            <w:tcW w:w="659" w:type="pct"/>
            <w:vAlign w:val="center"/>
          </w:tcPr>
          <w:p w14:paraId="281DB463" w14:textId="58C55070" w:rsidR="000642C5" w:rsidRPr="00586756" w:rsidRDefault="000642C5" w:rsidP="000642C5">
            <w:pPr>
              <w:jc w:val="center"/>
              <w:rPr>
                <w:rFonts w:cs="Times New Roman"/>
                <w:sz w:val="22"/>
              </w:rPr>
            </w:pPr>
            <w:r>
              <w:rPr>
                <w:color w:val="000000"/>
                <w:sz w:val="22"/>
              </w:rPr>
              <w:t>64.23</w:t>
            </w:r>
          </w:p>
        </w:tc>
        <w:tc>
          <w:tcPr>
            <w:tcW w:w="747" w:type="pct"/>
            <w:vAlign w:val="center"/>
          </w:tcPr>
          <w:p w14:paraId="169E1335" w14:textId="6B3FE774" w:rsidR="000642C5" w:rsidRPr="00586756" w:rsidRDefault="000642C5" w:rsidP="000642C5">
            <w:pPr>
              <w:jc w:val="center"/>
              <w:rPr>
                <w:rFonts w:cs="Times New Roman"/>
                <w:sz w:val="22"/>
              </w:rPr>
            </w:pPr>
            <w:r>
              <w:rPr>
                <w:color w:val="000000"/>
                <w:sz w:val="22"/>
              </w:rPr>
              <w:t>50.27</w:t>
            </w:r>
          </w:p>
        </w:tc>
        <w:tc>
          <w:tcPr>
            <w:tcW w:w="659" w:type="pct"/>
            <w:vAlign w:val="center"/>
          </w:tcPr>
          <w:p w14:paraId="4953988B" w14:textId="2F73283D" w:rsidR="000642C5" w:rsidRPr="00586756" w:rsidRDefault="000642C5" w:rsidP="000642C5">
            <w:pPr>
              <w:jc w:val="center"/>
              <w:rPr>
                <w:rFonts w:cs="Times New Roman"/>
                <w:sz w:val="22"/>
              </w:rPr>
            </w:pPr>
            <w:r>
              <w:rPr>
                <w:color w:val="000000"/>
                <w:sz w:val="22"/>
              </w:rPr>
              <w:t>1931.00</w:t>
            </w:r>
          </w:p>
        </w:tc>
        <w:tc>
          <w:tcPr>
            <w:tcW w:w="659" w:type="pct"/>
            <w:vAlign w:val="center"/>
          </w:tcPr>
          <w:p w14:paraId="270FE07E" w14:textId="5396A0D6" w:rsidR="000642C5" w:rsidRPr="00586756" w:rsidRDefault="000642C5" w:rsidP="000642C5">
            <w:pPr>
              <w:jc w:val="center"/>
              <w:rPr>
                <w:rFonts w:cs="Times New Roman"/>
                <w:sz w:val="22"/>
              </w:rPr>
            </w:pPr>
            <w:r>
              <w:rPr>
                <w:color w:val="000000"/>
                <w:sz w:val="22"/>
              </w:rPr>
              <w:t>3170.05</w:t>
            </w:r>
          </w:p>
        </w:tc>
        <w:tc>
          <w:tcPr>
            <w:tcW w:w="746" w:type="pct"/>
            <w:vAlign w:val="center"/>
          </w:tcPr>
          <w:p w14:paraId="27240D01" w14:textId="5A7AE7A5" w:rsidR="000642C5" w:rsidRPr="00586756" w:rsidRDefault="000642C5" w:rsidP="000642C5">
            <w:pPr>
              <w:jc w:val="center"/>
              <w:rPr>
                <w:rFonts w:cs="Times New Roman"/>
                <w:sz w:val="22"/>
              </w:rPr>
            </w:pPr>
            <w:r>
              <w:rPr>
                <w:color w:val="000000"/>
                <w:sz w:val="22"/>
              </w:rPr>
              <w:t>64.17</w:t>
            </w:r>
          </w:p>
        </w:tc>
      </w:tr>
      <w:tr w:rsidR="000642C5" w:rsidRPr="00586756" w14:paraId="74C3D908" w14:textId="77777777" w:rsidTr="000642C5">
        <w:trPr>
          <w:trHeight w:val="315"/>
        </w:trPr>
        <w:tc>
          <w:tcPr>
            <w:tcW w:w="924" w:type="pct"/>
            <w:gridSpan w:val="2"/>
            <w:vAlign w:val="center"/>
          </w:tcPr>
          <w:p w14:paraId="6ABA5620" w14:textId="77777777" w:rsidR="000642C5" w:rsidRPr="00586756" w:rsidRDefault="000642C5" w:rsidP="000642C5">
            <w:pPr>
              <w:rPr>
                <w:rFonts w:cs="Times New Roman"/>
                <w:sz w:val="22"/>
              </w:rPr>
            </w:pPr>
            <w:r w:rsidRPr="00586756">
              <w:rPr>
                <w:rFonts w:cs="Times New Roman"/>
                <w:color w:val="000000"/>
                <w:sz w:val="22"/>
              </w:rPr>
              <w:t>Switzerland</w:t>
            </w:r>
          </w:p>
        </w:tc>
        <w:tc>
          <w:tcPr>
            <w:tcW w:w="606" w:type="pct"/>
            <w:vAlign w:val="center"/>
          </w:tcPr>
          <w:p w14:paraId="0986F7EC" w14:textId="2DB2F90D" w:rsidR="000642C5" w:rsidRPr="00586756" w:rsidRDefault="000642C5" w:rsidP="000642C5">
            <w:pPr>
              <w:jc w:val="center"/>
              <w:rPr>
                <w:rFonts w:cs="Times New Roman"/>
                <w:sz w:val="22"/>
              </w:rPr>
            </w:pPr>
            <w:r>
              <w:rPr>
                <w:color w:val="000000"/>
                <w:sz w:val="22"/>
              </w:rPr>
              <w:t>9.43</w:t>
            </w:r>
          </w:p>
        </w:tc>
        <w:tc>
          <w:tcPr>
            <w:tcW w:w="659" w:type="pct"/>
            <w:vAlign w:val="center"/>
          </w:tcPr>
          <w:p w14:paraId="19E1DA99" w14:textId="6A255A01" w:rsidR="000642C5" w:rsidRPr="00586756" w:rsidRDefault="000642C5" w:rsidP="000642C5">
            <w:pPr>
              <w:jc w:val="center"/>
              <w:rPr>
                <w:rFonts w:cs="Times New Roman"/>
                <w:sz w:val="22"/>
              </w:rPr>
            </w:pPr>
            <w:r>
              <w:rPr>
                <w:color w:val="000000"/>
                <w:sz w:val="22"/>
              </w:rPr>
              <w:t>5.19</w:t>
            </w:r>
          </w:p>
        </w:tc>
        <w:tc>
          <w:tcPr>
            <w:tcW w:w="747" w:type="pct"/>
            <w:vAlign w:val="center"/>
          </w:tcPr>
          <w:p w14:paraId="088BEC76" w14:textId="6E343F51" w:rsidR="000642C5" w:rsidRPr="00586756" w:rsidRDefault="000642C5" w:rsidP="000642C5">
            <w:pPr>
              <w:jc w:val="center"/>
              <w:rPr>
                <w:rFonts w:cs="Times New Roman"/>
                <w:sz w:val="22"/>
              </w:rPr>
            </w:pPr>
            <w:r>
              <w:rPr>
                <w:color w:val="000000"/>
                <w:sz w:val="22"/>
              </w:rPr>
              <w:t>-44.93</w:t>
            </w:r>
          </w:p>
        </w:tc>
        <w:tc>
          <w:tcPr>
            <w:tcW w:w="659" w:type="pct"/>
            <w:vAlign w:val="center"/>
          </w:tcPr>
          <w:p w14:paraId="7AFB2C47" w14:textId="48D8E20C" w:rsidR="000642C5" w:rsidRPr="00586756" w:rsidRDefault="000642C5" w:rsidP="000642C5">
            <w:pPr>
              <w:jc w:val="center"/>
              <w:rPr>
                <w:rFonts w:cs="Times New Roman"/>
                <w:sz w:val="22"/>
              </w:rPr>
            </w:pPr>
            <w:r>
              <w:rPr>
                <w:color w:val="000000"/>
                <w:sz w:val="22"/>
              </w:rPr>
              <w:t>564.60</w:t>
            </w:r>
          </w:p>
        </w:tc>
        <w:tc>
          <w:tcPr>
            <w:tcW w:w="659" w:type="pct"/>
            <w:vAlign w:val="center"/>
          </w:tcPr>
          <w:p w14:paraId="10DE8F97" w14:textId="094E2BCD" w:rsidR="000642C5" w:rsidRPr="00586756" w:rsidRDefault="000642C5" w:rsidP="000642C5">
            <w:pPr>
              <w:jc w:val="center"/>
              <w:rPr>
                <w:rFonts w:cs="Times New Roman"/>
                <w:sz w:val="22"/>
              </w:rPr>
            </w:pPr>
            <w:r>
              <w:rPr>
                <w:color w:val="000000"/>
                <w:sz w:val="22"/>
              </w:rPr>
              <w:t>654.70</w:t>
            </w:r>
          </w:p>
        </w:tc>
        <w:tc>
          <w:tcPr>
            <w:tcW w:w="746" w:type="pct"/>
            <w:vAlign w:val="center"/>
          </w:tcPr>
          <w:p w14:paraId="453747A2" w14:textId="048D82BD" w:rsidR="000642C5" w:rsidRPr="00586756" w:rsidRDefault="000642C5" w:rsidP="000642C5">
            <w:pPr>
              <w:jc w:val="center"/>
              <w:rPr>
                <w:rFonts w:cs="Times New Roman"/>
                <w:sz w:val="22"/>
              </w:rPr>
            </w:pPr>
            <w:r>
              <w:rPr>
                <w:color w:val="000000"/>
                <w:sz w:val="22"/>
              </w:rPr>
              <w:t>15.96</w:t>
            </w:r>
          </w:p>
        </w:tc>
      </w:tr>
      <w:tr w:rsidR="000642C5" w:rsidRPr="00586756" w14:paraId="3E5A4CA6" w14:textId="77777777" w:rsidTr="000642C5">
        <w:trPr>
          <w:trHeight w:val="315"/>
        </w:trPr>
        <w:tc>
          <w:tcPr>
            <w:tcW w:w="924" w:type="pct"/>
            <w:gridSpan w:val="2"/>
            <w:vAlign w:val="center"/>
          </w:tcPr>
          <w:p w14:paraId="343C4926" w14:textId="77777777" w:rsidR="000642C5" w:rsidRPr="00586756" w:rsidRDefault="000642C5" w:rsidP="000642C5">
            <w:pPr>
              <w:rPr>
                <w:rFonts w:cs="Times New Roman"/>
                <w:sz w:val="22"/>
              </w:rPr>
            </w:pPr>
            <w:r w:rsidRPr="00586756">
              <w:rPr>
                <w:rFonts w:cs="Times New Roman"/>
                <w:color w:val="000000"/>
                <w:sz w:val="22"/>
              </w:rPr>
              <w:t>Australia</w:t>
            </w:r>
          </w:p>
        </w:tc>
        <w:tc>
          <w:tcPr>
            <w:tcW w:w="606" w:type="pct"/>
            <w:vAlign w:val="center"/>
          </w:tcPr>
          <w:p w14:paraId="07CEFB71" w14:textId="19BBB2D9" w:rsidR="000642C5" w:rsidRPr="00586756" w:rsidRDefault="000642C5" w:rsidP="000642C5">
            <w:pPr>
              <w:jc w:val="center"/>
              <w:rPr>
                <w:rFonts w:cs="Times New Roman"/>
                <w:sz w:val="22"/>
              </w:rPr>
            </w:pPr>
            <w:r>
              <w:rPr>
                <w:color w:val="000000"/>
                <w:sz w:val="22"/>
              </w:rPr>
              <w:t>1.73</w:t>
            </w:r>
          </w:p>
        </w:tc>
        <w:tc>
          <w:tcPr>
            <w:tcW w:w="659" w:type="pct"/>
            <w:vAlign w:val="center"/>
          </w:tcPr>
          <w:p w14:paraId="2A90E037" w14:textId="45C9E06E" w:rsidR="000642C5" w:rsidRPr="00586756" w:rsidRDefault="000642C5" w:rsidP="000642C5">
            <w:pPr>
              <w:jc w:val="center"/>
              <w:rPr>
                <w:rFonts w:cs="Times New Roman"/>
                <w:sz w:val="22"/>
              </w:rPr>
            </w:pPr>
            <w:r>
              <w:rPr>
                <w:color w:val="000000"/>
                <w:sz w:val="22"/>
              </w:rPr>
              <w:t>2.36</w:t>
            </w:r>
          </w:p>
        </w:tc>
        <w:tc>
          <w:tcPr>
            <w:tcW w:w="747" w:type="pct"/>
            <w:vAlign w:val="center"/>
          </w:tcPr>
          <w:p w14:paraId="12F6605F" w14:textId="477D122F" w:rsidR="000642C5" w:rsidRPr="00586756" w:rsidRDefault="000642C5" w:rsidP="000642C5">
            <w:pPr>
              <w:jc w:val="center"/>
              <w:rPr>
                <w:rFonts w:cs="Times New Roman"/>
                <w:sz w:val="22"/>
              </w:rPr>
            </w:pPr>
            <w:r>
              <w:rPr>
                <w:color w:val="000000"/>
                <w:sz w:val="22"/>
              </w:rPr>
              <w:t>36.09</w:t>
            </w:r>
          </w:p>
        </w:tc>
        <w:tc>
          <w:tcPr>
            <w:tcW w:w="659" w:type="pct"/>
            <w:vAlign w:val="center"/>
          </w:tcPr>
          <w:p w14:paraId="10DBCD71" w14:textId="4C3A479C" w:rsidR="000642C5" w:rsidRPr="00586756" w:rsidRDefault="000642C5" w:rsidP="000642C5">
            <w:pPr>
              <w:jc w:val="center"/>
              <w:rPr>
                <w:rFonts w:cs="Times New Roman"/>
                <w:sz w:val="22"/>
              </w:rPr>
            </w:pPr>
            <w:r>
              <w:rPr>
                <w:color w:val="000000"/>
                <w:sz w:val="22"/>
              </w:rPr>
              <w:t>424.20</w:t>
            </w:r>
          </w:p>
        </w:tc>
        <w:tc>
          <w:tcPr>
            <w:tcW w:w="659" w:type="pct"/>
            <w:vAlign w:val="center"/>
          </w:tcPr>
          <w:p w14:paraId="5B6532FA" w14:textId="2FF890F0" w:rsidR="000642C5" w:rsidRPr="00586756" w:rsidRDefault="000642C5" w:rsidP="000642C5">
            <w:pPr>
              <w:jc w:val="center"/>
              <w:rPr>
                <w:rFonts w:cs="Times New Roman"/>
                <w:sz w:val="22"/>
              </w:rPr>
            </w:pPr>
            <w:r>
              <w:rPr>
                <w:color w:val="000000"/>
                <w:sz w:val="22"/>
              </w:rPr>
              <w:t>475.43</w:t>
            </w:r>
          </w:p>
        </w:tc>
        <w:tc>
          <w:tcPr>
            <w:tcW w:w="746" w:type="pct"/>
            <w:vAlign w:val="center"/>
          </w:tcPr>
          <w:p w14:paraId="5461933C" w14:textId="547FFB49" w:rsidR="000642C5" w:rsidRPr="00586756" w:rsidRDefault="000642C5" w:rsidP="000642C5">
            <w:pPr>
              <w:jc w:val="center"/>
              <w:rPr>
                <w:rFonts w:cs="Times New Roman"/>
                <w:sz w:val="22"/>
              </w:rPr>
            </w:pPr>
            <w:r>
              <w:rPr>
                <w:color w:val="000000"/>
                <w:sz w:val="22"/>
              </w:rPr>
              <w:t>12.08</w:t>
            </w:r>
          </w:p>
        </w:tc>
      </w:tr>
      <w:tr w:rsidR="000642C5" w:rsidRPr="00586756" w14:paraId="5D31EF09" w14:textId="77777777" w:rsidTr="000642C5">
        <w:trPr>
          <w:trHeight w:val="315"/>
        </w:trPr>
        <w:tc>
          <w:tcPr>
            <w:tcW w:w="924" w:type="pct"/>
            <w:gridSpan w:val="2"/>
            <w:vAlign w:val="center"/>
          </w:tcPr>
          <w:p w14:paraId="62FA6B68" w14:textId="77777777" w:rsidR="000642C5" w:rsidRPr="00586756" w:rsidRDefault="000642C5" w:rsidP="000642C5">
            <w:pPr>
              <w:rPr>
                <w:rFonts w:cs="Times New Roman"/>
                <w:sz w:val="22"/>
              </w:rPr>
            </w:pPr>
            <w:r w:rsidRPr="00586756">
              <w:rPr>
                <w:rFonts w:cs="Times New Roman"/>
                <w:color w:val="000000"/>
                <w:sz w:val="22"/>
              </w:rPr>
              <w:t>Israel</w:t>
            </w:r>
          </w:p>
        </w:tc>
        <w:tc>
          <w:tcPr>
            <w:tcW w:w="606" w:type="pct"/>
            <w:vAlign w:val="center"/>
          </w:tcPr>
          <w:p w14:paraId="3BF762B4" w14:textId="18296632" w:rsidR="000642C5" w:rsidRPr="00586756" w:rsidRDefault="000642C5" w:rsidP="000642C5">
            <w:pPr>
              <w:jc w:val="center"/>
              <w:rPr>
                <w:rFonts w:cs="Times New Roman"/>
                <w:sz w:val="22"/>
              </w:rPr>
            </w:pPr>
            <w:r>
              <w:rPr>
                <w:color w:val="000000"/>
                <w:sz w:val="22"/>
              </w:rPr>
              <w:t>0.62</w:t>
            </w:r>
          </w:p>
        </w:tc>
        <w:tc>
          <w:tcPr>
            <w:tcW w:w="659" w:type="pct"/>
            <w:vAlign w:val="center"/>
          </w:tcPr>
          <w:p w14:paraId="1C9258C7" w14:textId="149E7C19" w:rsidR="000642C5" w:rsidRPr="00586756" w:rsidRDefault="000642C5" w:rsidP="000642C5">
            <w:pPr>
              <w:jc w:val="center"/>
              <w:rPr>
                <w:rFonts w:cs="Times New Roman"/>
                <w:sz w:val="22"/>
              </w:rPr>
            </w:pPr>
            <w:r>
              <w:rPr>
                <w:color w:val="000000"/>
                <w:sz w:val="22"/>
              </w:rPr>
              <w:t>2.53</w:t>
            </w:r>
          </w:p>
        </w:tc>
        <w:tc>
          <w:tcPr>
            <w:tcW w:w="747" w:type="pct"/>
            <w:vAlign w:val="center"/>
          </w:tcPr>
          <w:p w14:paraId="3564856A" w14:textId="16620CDE" w:rsidR="000642C5" w:rsidRPr="00586756" w:rsidRDefault="000642C5" w:rsidP="000642C5">
            <w:pPr>
              <w:jc w:val="center"/>
              <w:rPr>
                <w:rFonts w:cs="Times New Roman"/>
                <w:sz w:val="22"/>
              </w:rPr>
            </w:pPr>
            <w:r>
              <w:rPr>
                <w:color w:val="000000"/>
                <w:sz w:val="22"/>
              </w:rPr>
              <w:t>308.27</w:t>
            </w:r>
          </w:p>
        </w:tc>
        <w:tc>
          <w:tcPr>
            <w:tcW w:w="659" w:type="pct"/>
            <w:vAlign w:val="center"/>
          </w:tcPr>
          <w:p w14:paraId="6C5EF30B" w14:textId="3771E10A" w:rsidR="000642C5" w:rsidRPr="00586756" w:rsidRDefault="000642C5" w:rsidP="000642C5">
            <w:pPr>
              <w:jc w:val="center"/>
              <w:rPr>
                <w:rFonts w:cs="Times New Roman"/>
                <w:sz w:val="22"/>
              </w:rPr>
            </w:pPr>
            <w:r>
              <w:rPr>
                <w:color w:val="000000"/>
                <w:sz w:val="22"/>
              </w:rPr>
              <w:t>28.70</w:t>
            </w:r>
          </w:p>
        </w:tc>
        <w:tc>
          <w:tcPr>
            <w:tcW w:w="659" w:type="pct"/>
            <w:vAlign w:val="center"/>
          </w:tcPr>
          <w:p w14:paraId="119EEE67" w14:textId="09C480A2" w:rsidR="000642C5" w:rsidRPr="00586756" w:rsidRDefault="000642C5" w:rsidP="000642C5">
            <w:pPr>
              <w:jc w:val="center"/>
              <w:rPr>
                <w:rFonts w:cs="Times New Roman"/>
                <w:sz w:val="22"/>
              </w:rPr>
            </w:pPr>
            <w:r>
              <w:rPr>
                <w:color w:val="000000"/>
                <w:sz w:val="22"/>
              </w:rPr>
              <w:t>173.01</w:t>
            </w:r>
          </w:p>
        </w:tc>
        <w:tc>
          <w:tcPr>
            <w:tcW w:w="746" w:type="pct"/>
            <w:vAlign w:val="center"/>
          </w:tcPr>
          <w:p w14:paraId="192C8D35" w14:textId="3501DC72" w:rsidR="000642C5" w:rsidRPr="00586756" w:rsidRDefault="000642C5" w:rsidP="000642C5">
            <w:pPr>
              <w:jc w:val="center"/>
              <w:rPr>
                <w:rFonts w:cs="Times New Roman"/>
                <w:sz w:val="22"/>
              </w:rPr>
            </w:pPr>
            <w:r>
              <w:rPr>
                <w:color w:val="000000"/>
                <w:sz w:val="22"/>
              </w:rPr>
              <w:t>502.84</w:t>
            </w:r>
          </w:p>
        </w:tc>
      </w:tr>
      <w:tr w:rsidR="000642C5" w:rsidRPr="00586756" w14:paraId="1CBD22F5" w14:textId="77777777" w:rsidTr="000642C5">
        <w:trPr>
          <w:trHeight w:val="315"/>
        </w:trPr>
        <w:tc>
          <w:tcPr>
            <w:tcW w:w="924" w:type="pct"/>
            <w:gridSpan w:val="2"/>
            <w:vAlign w:val="center"/>
          </w:tcPr>
          <w:p w14:paraId="69BD4070" w14:textId="77777777" w:rsidR="000642C5" w:rsidRPr="00586756" w:rsidRDefault="000642C5" w:rsidP="000642C5">
            <w:pPr>
              <w:rPr>
                <w:rFonts w:cs="Times New Roman"/>
                <w:sz w:val="22"/>
              </w:rPr>
            </w:pPr>
            <w:r w:rsidRPr="00586756">
              <w:rPr>
                <w:rFonts w:cs="Times New Roman"/>
                <w:color w:val="000000"/>
                <w:sz w:val="22"/>
              </w:rPr>
              <w:t>U.A.E</w:t>
            </w:r>
          </w:p>
        </w:tc>
        <w:tc>
          <w:tcPr>
            <w:tcW w:w="606" w:type="pct"/>
            <w:vAlign w:val="center"/>
          </w:tcPr>
          <w:p w14:paraId="1C5E0718" w14:textId="04304DE2" w:rsidR="000642C5" w:rsidRPr="00586756" w:rsidRDefault="000642C5" w:rsidP="000642C5">
            <w:pPr>
              <w:jc w:val="center"/>
              <w:rPr>
                <w:rFonts w:cs="Times New Roman"/>
                <w:sz w:val="22"/>
              </w:rPr>
            </w:pPr>
            <w:r>
              <w:rPr>
                <w:color w:val="000000"/>
                <w:sz w:val="22"/>
              </w:rPr>
              <w:t>0.94</w:t>
            </w:r>
          </w:p>
        </w:tc>
        <w:tc>
          <w:tcPr>
            <w:tcW w:w="659" w:type="pct"/>
            <w:vAlign w:val="center"/>
          </w:tcPr>
          <w:p w14:paraId="5E42E79A" w14:textId="47960140" w:rsidR="000642C5" w:rsidRPr="00586756" w:rsidRDefault="000642C5" w:rsidP="000642C5">
            <w:pPr>
              <w:jc w:val="center"/>
              <w:rPr>
                <w:rFonts w:cs="Times New Roman"/>
                <w:sz w:val="22"/>
              </w:rPr>
            </w:pPr>
            <w:r>
              <w:rPr>
                <w:color w:val="000000"/>
                <w:sz w:val="22"/>
              </w:rPr>
              <w:t>0.74</w:t>
            </w:r>
          </w:p>
        </w:tc>
        <w:tc>
          <w:tcPr>
            <w:tcW w:w="747" w:type="pct"/>
            <w:vAlign w:val="center"/>
          </w:tcPr>
          <w:p w14:paraId="47BBEE83" w14:textId="7BE27E9B" w:rsidR="000642C5" w:rsidRPr="00586756" w:rsidRDefault="000642C5" w:rsidP="000642C5">
            <w:pPr>
              <w:jc w:val="center"/>
              <w:rPr>
                <w:rFonts w:cs="Times New Roman"/>
                <w:sz w:val="22"/>
              </w:rPr>
            </w:pPr>
            <w:r>
              <w:rPr>
                <w:color w:val="000000"/>
                <w:sz w:val="22"/>
              </w:rPr>
              <w:t>-21.98</w:t>
            </w:r>
          </w:p>
        </w:tc>
        <w:tc>
          <w:tcPr>
            <w:tcW w:w="659" w:type="pct"/>
            <w:vAlign w:val="center"/>
          </w:tcPr>
          <w:p w14:paraId="0FBA0331" w14:textId="56FCA51C" w:rsidR="000642C5" w:rsidRPr="00586756" w:rsidRDefault="000642C5" w:rsidP="000642C5">
            <w:pPr>
              <w:jc w:val="center"/>
              <w:rPr>
                <w:rFonts w:cs="Times New Roman"/>
                <w:sz w:val="22"/>
              </w:rPr>
            </w:pPr>
            <w:r>
              <w:rPr>
                <w:color w:val="000000"/>
                <w:sz w:val="22"/>
              </w:rPr>
              <w:t>16.10</w:t>
            </w:r>
          </w:p>
        </w:tc>
        <w:tc>
          <w:tcPr>
            <w:tcW w:w="659" w:type="pct"/>
            <w:vAlign w:val="center"/>
          </w:tcPr>
          <w:p w14:paraId="6E191BFB" w14:textId="673D765A" w:rsidR="000642C5" w:rsidRPr="00586756" w:rsidRDefault="000642C5" w:rsidP="000642C5">
            <w:pPr>
              <w:jc w:val="center"/>
              <w:rPr>
                <w:rFonts w:cs="Times New Roman"/>
                <w:sz w:val="22"/>
              </w:rPr>
            </w:pPr>
            <w:r>
              <w:rPr>
                <w:color w:val="000000"/>
                <w:sz w:val="22"/>
              </w:rPr>
              <w:t>143.23</w:t>
            </w:r>
          </w:p>
        </w:tc>
        <w:tc>
          <w:tcPr>
            <w:tcW w:w="746" w:type="pct"/>
            <w:vAlign w:val="center"/>
          </w:tcPr>
          <w:p w14:paraId="54535A54" w14:textId="58F8395C" w:rsidR="000642C5" w:rsidRPr="00586756" w:rsidRDefault="000642C5" w:rsidP="000642C5">
            <w:pPr>
              <w:jc w:val="center"/>
              <w:rPr>
                <w:rFonts w:cs="Times New Roman"/>
                <w:sz w:val="22"/>
              </w:rPr>
            </w:pPr>
            <w:r>
              <w:rPr>
                <w:color w:val="000000"/>
                <w:sz w:val="22"/>
              </w:rPr>
              <w:t>789.65</w:t>
            </w:r>
          </w:p>
        </w:tc>
      </w:tr>
      <w:tr w:rsidR="000642C5" w:rsidRPr="00586756" w14:paraId="22E586EA" w14:textId="77777777" w:rsidTr="000642C5">
        <w:trPr>
          <w:trHeight w:val="315"/>
        </w:trPr>
        <w:tc>
          <w:tcPr>
            <w:tcW w:w="924" w:type="pct"/>
            <w:gridSpan w:val="2"/>
            <w:vAlign w:val="center"/>
          </w:tcPr>
          <w:p w14:paraId="63CA0472" w14:textId="77777777" w:rsidR="000642C5" w:rsidRPr="00586756" w:rsidRDefault="000642C5" w:rsidP="000642C5">
            <w:pPr>
              <w:rPr>
                <w:rFonts w:cs="Times New Roman"/>
                <w:sz w:val="22"/>
              </w:rPr>
            </w:pPr>
            <w:r w:rsidRPr="00586756">
              <w:rPr>
                <w:rFonts w:cs="Times New Roman"/>
                <w:color w:val="000000"/>
                <w:sz w:val="22"/>
              </w:rPr>
              <w:t>Vietnam</w:t>
            </w:r>
          </w:p>
        </w:tc>
        <w:tc>
          <w:tcPr>
            <w:tcW w:w="606" w:type="pct"/>
            <w:vAlign w:val="center"/>
          </w:tcPr>
          <w:p w14:paraId="58198100" w14:textId="0C09B2DA" w:rsidR="000642C5" w:rsidRPr="00586756" w:rsidRDefault="000642C5" w:rsidP="000642C5">
            <w:pPr>
              <w:jc w:val="center"/>
              <w:rPr>
                <w:rFonts w:cs="Times New Roman"/>
                <w:sz w:val="22"/>
              </w:rPr>
            </w:pPr>
            <w:r>
              <w:rPr>
                <w:color w:val="000000"/>
                <w:sz w:val="22"/>
              </w:rPr>
              <w:t>0.02</w:t>
            </w:r>
          </w:p>
        </w:tc>
        <w:tc>
          <w:tcPr>
            <w:tcW w:w="659" w:type="pct"/>
            <w:vAlign w:val="center"/>
          </w:tcPr>
          <w:p w14:paraId="6576B2F1" w14:textId="20BC1EBC" w:rsidR="000642C5" w:rsidRPr="00586756" w:rsidRDefault="000642C5" w:rsidP="000642C5">
            <w:pPr>
              <w:jc w:val="center"/>
              <w:rPr>
                <w:rFonts w:cs="Times New Roman"/>
                <w:sz w:val="22"/>
              </w:rPr>
            </w:pPr>
            <w:r>
              <w:rPr>
                <w:color w:val="000000"/>
                <w:sz w:val="22"/>
              </w:rPr>
              <w:t>3.27</w:t>
            </w:r>
          </w:p>
        </w:tc>
        <w:tc>
          <w:tcPr>
            <w:tcW w:w="747" w:type="pct"/>
            <w:vAlign w:val="center"/>
          </w:tcPr>
          <w:p w14:paraId="15BBAE81" w14:textId="069D1910" w:rsidR="000642C5" w:rsidRPr="00586756" w:rsidRDefault="000642C5" w:rsidP="000642C5">
            <w:pPr>
              <w:jc w:val="center"/>
              <w:rPr>
                <w:rFonts w:cs="Times New Roman"/>
                <w:sz w:val="22"/>
              </w:rPr>
            </w:pPr>
            <w:r>
              <w:rPr>
                <w:color w:val="000000"/>
                <w:sz w:val="22"/>
              </w:rPr>
              <w:t>13357.80</w:t>
            </w:r>
          </w:p>
        </w:tc>
        <w:tc>
          <w:tcPr>
            <w:tcW w:w="659" w:type="pct"/>
            <w:vAlign w:val="center"/>
          </w:tcPr>
          <w:p w14:paraId="5C22545E" w14:textId="040E7C6B" w:rsidR="000642C5" w:rsidRPr="00586756" w:rsidRDefault="000642C5" w:rsidP="000642C5">
            <w:pPr>
              <w:jc w:val="center"/>
              <w:rPr>
                <w:rFonts w:cs="Times New Roman"/>
                <w:sz w:val="22"/>
              </w:rPr>
            </w:pPr>
            <w:r>
              <w:rPr>
                <w:color w:val="000000"/>
                <w:sz w:val="22"/>
              </w:rPr>
              <w:t>1.11</w:t>
            </w:r>
          </w:p>
        </w:tc>
        <w:tc>
          <w:tcPr>
            <w:tcW w:w="659" w:type="pct"/>
            <w:vAlign w:val="center"/>
          </w:tcPr>
          <w:p w14:paraId="2C0B7B42" w14:textId="1B3BA894" w:rsidR="000642C5" w:rsidRPr="00586756" w:rsidRDefault="000642C5" w:rsidP="000642C5">
            <w:pPr>
              <w:jc w:val="center"/>
              <w:rPr>
                <w:rFonts w:cs="Times New Roman"/>
                <w:sz w:val="22"/>
              </w:rPr>
            </w:pPr>
            <w:r>
              <w:rPr>
                <w:color w:val="000000"/>
                <w:sz w:val="22"/>
              </w:rPr>
              <w:t>113.15</w:t>
            </w:r>
          </w:p>
        </w:tc>
        <w:tc>
          <w:tcPr>
            <w:tcW w:w="746" w:type="pct"/>
            <w:vAlign w:val="center"/>
          </w:tcPr>
          <w:p w14:paraId="4F845609" w14:textId="6B5126CF" w:rsidR="000642C5" w:rsidRPr="00586756" w:rsidRDefault="000642C5" w:rsidP="000642C5">
            <w:pPr>
              <w:jc w:val="center"/>
              <w:rPr>
                <w:rFonts w:cs="Times New Roman"/>
                <w:sz w:val="22"/>
              </w:rPr>
            </w:pPr>
            <w:r>
              <w:rPr>
                <w:color w:val="000000"/>
                <w:sz w:val="22"/>
              </w:rPr>
              <w:t>10093.90</w:t>
            </w:r>
          </w:p>
        </w:tc>
      </w:tr>
      <w:tr w:rsidR="000642C5" w:rsidRPr="00586756" w14:paraId="235F7D91" w14:textId="77777777" w:rsidTr="000642C5">
        <w:trPr>
          <w:trHeight w:val="315"/>
        </w:trPr>
        <w:tc>
          <w:tcPr>
            <w:tcW w:w="924" w:type="pct"/>
            <w:gridSpan w:val="2"/>
            <w:vAlign w:val="center"/>
          </w:tcPr>
          <w:p w14:paraId="6A6A660A" w14:textId="77777777" w:rsidR="000642C5" w:rsidRPr="00586756" w:rsidRDefault="000642C5" w:rsidP="000642C5">
            <w:pPr>
              <w:rPr>
                <w:rFonts w:cs="Times New Roman"/>
                <w:sz w:val="22"/>
              </w:rPr>
            </w:pPr>
            <w:proofErr w:type="spellStart"/>
            <w:r w:rsidRPr="00586756">
              <w:rPr>
                <w:rFonts w:cs="Times New Roman"/>
                <w:color w:val="000000"/>
                <w:sz w:val="22"/>
              </w:rPr>
              <w:t>NewZealand</w:t>
            </w:r>
            <w:proofErr w:type="spellEnd"/>
          </w:p>
        </w:tc>
        <w:tc>
          <w:tcPr>
            <w:tcW w:w="606" w:type="pct"/>
            <w:vAlign w:val="center"/>
          </w:tcPr>
          <w:p w14:paraId="0ED97C28" w14:textId="090A2341" w:rsidR="000642C5" w:rsidRPr="00586756" w:rsidRDefault="000642C5" w:rsidP="000642C5">
            <w:pPr>
              <w:jc w:val="center"/>
              <w:rPr>
                <w:rFonts w:cs="Times New Roman"/>
                <w:sz w:val="22"/>
              </w:rPr>
            </w:pPr>
            <w:r>
              <w:rPr>
                <w:color w:val="000000"/>
                <w:sz w:val="22"/>
              </w:rPr>
              <w:t>1.78</w:t>
            </w:r>
          </w:p>
        </w:tc>
        <w:tc>
          <w:tcPr>
            <w:tcW w:w="659" w:type="pct"/>
            <w:vAlign w:val="center"/>
          </w:tcPr>
          <w:p w14:paraId="487CBAEF" w14:textId="794B2634" w:rsidR="000642C5" w:rsidRPr="00586756" w:rsidRDefault="000642C5" w:rsidP="000642C5">
            <w:pPr>
              <w:jc w:val="center"/>
              <w:rPr>
                <w:rFonts w:cs="Times New Roman"/>
                <w:sz w:val="22"/>
              </w:rPr>
            </w:pPr>
            <w:r>
              <w:rPr>
                <w:color w:val="000000"/>
                <w:sz w:val="22"/>
              </w:rPr>
              <w:t>1.76</w:t>
            </w:r>
          </w:p>
        </w:tc>
        <w:tc>
          <w:tcPr>
            <w:tcW w:w="747" w:type="pct"/>
            <w:vAlign w:val="center"/>
          </w:tcPr>
          <w:p w14:paraId="741C49B3" w14:textId="19B21554" w:rsidR="000642C5" w:rsidRPr="00586756" w:rsidRDefault="000642C5" w:rsidP="000642C5">
            <w:pPr>
              <w:jc w:val="center"/>
              <w:rPr>
                <w:rFonts w:cs="Times New Roman"/>
                <w:sz w:val="22"/>
              </w:rPr>
            </w:pPr>
            <w:r>
              <w:rPr>
                <w:color w:val="000000"/>
                <w:sz w:val="22"/>
              </w:rPr>
              <w:t>-1.41</w:t>
            </w:r>
          </w:p>
        </w:tc>
        <w:tc>
          <w:tcPr>
            <w:tcW w:w="659" w:type="pct"/>
            <w:vAlign w:val="center"/>
          </w:tcPr>
          <w:p w14:paraId="7C4440EC" w14:textId="04C58CDF" w:rsidR="000642C5" w:rsidRPr="00586756" w:rsidRDefault="000642C5" w:rsidP="000642C5">
            <w:pPr>
              <w:jc w:val="center"/>
              <w:rPr>
                <w:rFonts w:cs="Times New Roman"/>
                <w:sz w:val="22"/>
              </w:rPr>
            </w:pPr>
            <w:r>
              <w:rPr>
                <w:color w:val="000000"/>
                <w:sz w:val="22"/>
              </w:rPr>
              <w:t>78.50</w:t>
            </w:r>
          </w:p>
        </w:tc>
        <w:tc>
          <w:tcPr>
            <w:tcW w:w="659" w:type="pct"/>
            <w:vAlign w:val="center"/>
          </w:tcPr>
          <w:p w14:paraId="617BA953" w14:textId="6118A492" w:rsidR="000642C5" w:rsidRPr="00586756" w:rsidRDefault="000642C5" w:rsidP="000642C5">
            <w:pPr>
              <w:jc w:val="center"/>
              <w:rPr>
                <w:rFonts w:cs="Times New Roman"/>
                <w:sz w:val="22"/>
              </w:rPr>
            </w:pPr>
            <w:r>
              <w:rPr>
                <w:color w:val="000000"/>
                <w:sz w:val="22"/>
              </w:rPr>
              <w:t>122.45</w:t>
            </w:r>
          </w:p>
        </w:tc>
        <w:tc>
          <w:tcPr>
            <w:tcW w:w="746" w:type="pct"/>
            <w:vAlign w:val="center"/>
          </w:tcPr>
          <w:p w14:paraId="601BBE46" w14:textId="67A4019B" w:rsidR="000642C5" w:rsidRPr="00586756" w:rsidRDefault="000642C5" w:rsidP="000642C5">
            <w:pPr>
              <w:jc w:val="center"/>
              <w:rPr>
                <w:rFonts w:cs="Times New Roman"/>
                <w:sz w:val="22"/>
              </w:rPr>
            </w:pPr>
            <w:r>
              <w:rPr>
                <w:color w:val="000000"/>
                <w:sz w:val="22"/>
              </w:rPr>
              <w:t>55.99</w:t>
            </w:r>
          </w:p>
        </w:tc>
      </w:tr>
      <w:tr w:rsidR="000642C5" w:rsidRPr="00586756" w14:paraId="44D41845" w14:textId="77777777" w:rsidTr="000642C5">
        <w:trPr>
          <w:trHeight w:val="315"/>
        </w:trPr>
        <w:tc>
          <w:tcPr>
            <w:tcW w:w="924" w:type="pct"/>
            <w:gridSpan w:val="2"/>
            <w:vAlign w:val="center"/>
          </w:tcPr>
          <w:p w14:paraId="1B97FFEE" w14:textId="77777777" w:rsidR="000642C5" w:rsidRPr="00586756" w:rsidRDefault="000642C5" w:rsidP="000642C5">
            <w:pPr>
              <w:rPr>
                <w:rFonts w:cs="Times New Roman"/>
                <w:color w:val="000000"/>
                <w:sz w:val="22"/>
              </w:rPr>
            </w:pPr>
            <w:r w:rsidRPr="00586756">
              <w:rPr>
                <w:rFonts w:cs="Times New Roman"/>
                <w:color w:val="000000"/>
                <w:sz w:val="22"/>
              </w:rPr>
              <w:t>Japan</w:t>
            </w:r>
          </w:p>
        </w:tc>
        <w:tc>
          <w:tcPr>
            <w:tcW w:w="606" w:type="pct"/>
            <w:vAlign w:val="center"/>
          </w:tcPr>
          <w:p w14:paraId="3141FD57" w14:textId="0A563A8D" w:rsidR="000642C5" w:rsidRPr="00586756" w:rsidRDefault="000642C5" w:rsidP="000642C5">
            <w:pPr>
              <w:jc w:val="center"/>
              <w:rPr>
                <w:rFonts w:cs="Times New Roman"/>
                <w:sz w:val="22"/>
              </w:rPr>
            </w:pPr>
            <w:r>
              <w:rPr>
                <w:color w:val="000000"/>
                <w:sz w:val="22"/>
              </w:rPr>
              <w:t>0.29</w:t>
            </w:r>
          </w:p>
        </w:tc>
        <w:tc>
          <w:tcPr>
            <w:tcW w:w="659" w:type="pct"/>
            <w:vAlign w:val="center"/>
          </w:tcPr>
          <w:p w14:paraId="4BA0CF11" w14:textId="098BC5E6" w:rsidR="000642C5" w:rsidRPr="00586756" w:rsidRDefault="000642C5" w:rsidP="000642C5">
            <w:pPr>
              <w:jc w:val="center"/>
              <w:rPr>
                <w:rFonts w:cs="Times New Roman"/>
                <w:sz w:val="22"/>
              </w:rPr>
            </w:pPr>
            <w:r>
              <w:rPr>
                <w:color w:val="000000"/>
                <w:sz w:val="22"/>
              </w:rPr>
              <w:t>1.37</w:t>
            </w:r>
          </w:p>
        </w:tc>
        <w:tc>
          <w:tcPr>
            <w:tcW w:w="747" w:type="pct"/>
            <w:vAlign w:val="center"/>
          </w:tcPr>
          <w:p w14:paraId="73349E8F" w14:textId="27C9992C" w:rsidR="000642C5" w:rsidRPr="00586756" w:rsidRDefault="000642C5" w:rsidP="000642C5">
            <w:pPr>
              <w:jc w:val="center"/>
              <w:rPr>
                <w:rFonts w:cs="Times New Roman"/>
                <w:sz w:val="22"/>
              </w:rPr>
            </w:pPr>
            <w:r>
              <w:rPr>
                <w:color w:val="000000"/>
                <w:sz w:val="22"/>
              </w:rPr>
              <w:t>378.90</w:t>
            </w:r>
          </w:p>
        </w:tc>
        <w:tc>
          <w:tcPr>
            <w:tcW w:w="659" w:type="pct"/>
            <w:vAlign w:val="center"/>
          </w:tcPr>
          <w:p w14:paraId="44B3B68E" w14:textId="0BA2DC76" w:rsidR="000642C5" w:rsidRPr="00586756" w:rsidRDefault="000642C5" w:rsidP="000642C5">
            <w:pPr>
              <w:jc w:val="center"/>
              <w:rPr>
                <w:rFonts w:cs="Times New Roman"/>
                <w:sz w:val="22"/>
              </w:rPr>
            </w:pPr>
            <w:r>
              <w:rPr>
                <w:color w:val="000000"/>
                <w:sz w:val="22"/>
              </w:rPr>
              <w:t>200.30</w:t>
            </w:r>
          </w:p>
        </w:tc>
        <w:tc>
          <w:tcPr>
            <w:tcW w:w="659" w:type="pct"/>
            <w:vAlign w:val="center"/>
          </w:tcPr>
          <w:p w14:paraId="3D6F40ED" w14:textId="7B171658" w:rsidR="000642C5" w:rsidRPr="00586756" w:rsidRDefault="000642C5" w:rsidP="000642C5">
            <w:pPr>
              <w:jc w:val="center"/>
              <w:rPr>
                <w:rFonts w:cs="Times New Roman"/>
                <w:sz w:val="22"/>
              </w:rPr>
            </w:pPr>
            <w:r>
              <w:rPr>
                <w:color w:val="000000"/>
                <w:sz w:val="22"/>
              </w:rPr>
              <w:t>183.40</w:t>
            </w:r>
          </w:p>
        </w:tc>
        <w:tc>
          <w:tcPr>
            <w:tcW w:w="746" w:type="pct"/>
            <w:vAlign w:val="center"/>
          </w:tcPr>
          <w:p w14:paraId="701A87AE" w14:textId="7096BC59" w:rsidR="000642C5" w:rsidRPr="00586756" w:rsidRDefault="000642C5" w:rsidP="000642C5">
            <w:pPr>
              <w:jc w:val="center"/>
              <w:rPr>
                <w:rFonts w:cs="Times New Roman"/>
                <w:sz w:val="22"/>
              </w:rPr>
            </w:pPr>
            <w:r>
              <w:rPr>
                <w:color w:val="000000"/>
                <w:sz w:val="22"/>
              </w:rPr>
              <w:t>-8.44</w:t>
            </w:r>
          </w:p>
        </w:tc>
      </w:tr>
      <w:tr w:rsidR="000642C5" w:rsidRPr="00586756" w14:paraId="5EC2688F" w14:textId="77777777" w:rsidTr="000642C5">
        <w:trPr>
          <w:trHeight w:val="315"/>
        </w:trPr>
        <w:tc>
          <w:tcPr>
            <w:tcW w:w="924" w:type="pct"/>
            <w:gridSpan w:val="2"/>
            <w:vAlign w:val="center"/>
          </w:tcPr>
          <w:p w14:paraId="6B5FA4EF" w14:textId="77777777" w:rsidR="000642C5" w:rsidRPr="00586756" w:rsidRDefault="000642C5" w:rsidP="000642C5">
            <w:pPr>
              <w:rPr>
                <w:rFonts w:cs="Times New Roman"/>
                <w:bCs/>
                <w:color w:val="000000"/>
                <w:sz w:val="22"/>
              </w:rPr>
            </w:pPr>
            <w:r w:rsidRPr="00586756">
              <w:rPr>
                <w:rFonts w:cs="Times New Roman"/>
                <w:bCs/>
                <w:color w:val="000000"/>
                <w:sz w:val="22"/>
              </w:rPr>
              <w:t>Total</w:t>
            </w:r>
          </w:p>
        </w:tc>
        <w:tc>
          <w:tcPr>
            <w:tcW w:w="606" w:type="pct"/>
            <w:vAlign w:val="center"/>
          </w:tcPr>
          <w:p w14:paraId="4F475CEF" w14:textId="4C9CB5F9" w:rsidR="000642C5" w:rsidRPr="00586756" w:rsidRDefault="000642C5" w:rsidP="000642C5">
            <w:pPr>
              <w:jc w:val="center"/>
              <w:rPr>
                <w:rFonts w:cs="Times New Roman"/>
                <w:bCs/>
                <w:sz w:val="22"/>
              </w:rPr>
            </w:pPr>
            <w:r>
              <w:rPr>
                <w:bCs/>
                <w:color w:val="000000"/>
                <w:sz w:val="22"/>
              </w:rPr>
              <w:t>309.77</w:t>
            </w:r>
          </w:p>
        </w:tc>
        <w:tc>
          <w:tcPr>
            <w:tcW w:w="659" w:type="pct"/>
            <w:vAlign w:val="center"/>
          </w:tcPr>
          <w:p w14:paraId="7FC51D41" w14:textId="5052CA23" w:rsidR="000642C5" w:rsidRPr="00586756" w:rsidRDefault="000642C5" w:rsidP="000642C5">
            <w:pPr>
              <w:jc w:val="center"/>
              <w:rPr>
                <w:rFonts w:cs="Times New Roman"/>
                <w:bCs/>
                <w:sz w:val="22"/>
              </w:rPr>
            </w:pPr>
            <w:r>
              <w:rPr>
                <w:bCs/>
                <w:color w:val="000000"/>
                <w:sz w:val="22"/>
              </w:rPr>
              <w:t>639.00</w:t>
            </w:r>
          </w:p>
        </w:tc>
        <w:tc>
          <w:tcPr>
            <w:tcW w:w="747" w:type="pct"/>
            <w:vAlign w:val="center"/>
          </w:tcPr>
          <w:p w14:paraId="48003E0C" w14:textId="073941D2" w:rsidR="000642C5" w:rsidRPr="00586756" w:rsidRDefault="000642C5" w:rsidP="000642C5">
            <w:pPr>
              <w:jc w:val="center"/>
              <w:rPr>
                <w:rFonts w:cs="Times New Roman"/>
                <w:bCs/>
                <w:sz w:val="22"/>
              </w:rPr>
            </w:pPr>
            <w:r>
              <w:rPr>
                <w:bCs/>
                <w:color w:val="000000"/>
                <w:sz w:val="22"/>
              </w:rPr>
              <w:t>106.28</w:t>
            </w:r>
          </w:p>
        </w:tc>
        <w:tc>
          <w:tcPr>
            <w:tcW w:w="659" w:type="pct"/>
            <w:vAlign w:val="center"/>
          </w:tcPr>
          <w:p w14:paraId="4C5940E1" w14:textId="79606F2C" w:rsidR="000642C5" w:rsidRPr="00586756" w:rsidRDefault="000642C5" w:rsidP="000642C5">
            <w:pPr>
              <w:jc w:val="center"/>
              <w:rPr>
                <w:rFonts w:cs="Times New Roman"/>
                <w:bCs/>
                <w:sz w:val="22"/>
              </w:rPr>
            </w:pPr>
            <w:r>
              <w:rPr>
                <w:bCs/>
                <w:color w:val="000000"/>
                <w:sz w:val="22"/>
              </w:rPr>
              <w:t>24779.60</w:t>
            </w:r>
          </w:p>
        </w:tc>
        <w:tc>
          <w:tcPr>
            <w:tcW w:w="659" w:type="pct"/>
            <w:vAlign w:val="center"/>
          </w:tcPr>
          <w:p w14:paraId="171ACE82" w14:textId="2907C6A3" w:rsidR="000642C5" w:rsidRPr="00586756" w:rsidRDefault="000642C5" w:rsidP="000642C5">
            <w:pPr>
              <w:jc w:val="center"/>
              <w:rPr>
                <w:rFonts w:cs="Times New Roman"/>
                <w:bCs/>
                <w:sz w:val="22"/>
              </w:rPr>
            </w:pPr>
            <w:r>
              <w:rPr>
                <w:bCs/>
                <w:color w:val="000000"/>
                <w:sz w:val="22"/>
              </w:rPr>
              <w:t>46859.10</w:t>
            </w:r>
          </w:p>
        </w:tc>
        <w:tc>
          <w:tcPr>
            <w:tcW w:w="746" w:type="pct"/>
            <w:vAlign w:val="center"/>
          </w:tcPr>
          <w:p w14:paraId="7A7111BD" w14:textId="2CF95C71" w:rsidR="000642C5" w:rsidRPr="00586756" w:rsidRDefault="000642C5" w:rsidP="000642C5">
            <w:pPr>
              <w:jc w:val="center"/>
              <w:rPr>
                <w:rFonts w:cs="Times New Roman"/>
                <w:bCs/>
                <w:sz w:val="22"/>
              </w:rPr>
            </w:pPr>
            <w:r>
              <w:rPr>
                <w:bCs/>
                <w:color w:val="000000"/>
                <w:sz w:val="22"/>
              </w:rPr>
              <w:t>89.10</w:t>
            </w:r>
          </w:p>
        </w:tc>
      </w:tr>
    </w:tbl>
    <w:p w14:paraId="63321B2D" w14:textId="00671DF3" w:rsidR="00A7730C" w:rsidRPr="00E63875" w:rsidRDefault="00A7730C" w:rsidP="00A7730C">
      <w:pPr>
        <w:rPr>
          <w:rFonts w:cs="Times New Roman"/>
          <w:sz w:val="22"/>
        </w:rPr>
      </w:pPr>
      <w:r w:rsidRPr="00E63875">
        <w:rPr>
          <w:rFonts w:cs="Times New Roman"/>
          <w:sz w:val="22"/>
        </w:rPr>
        <w:t>Source: various issues of APEDA, Go</w:t>
      </w:r>
      <w:r w:rsidR="00E63875">
        <w:rPr>
          <w:rFonts w:cs="Times New Roman"/>
          <w:sz w:val="22"/>
        </w:rPr>
        <w:t xml:space="preserve">vernment of </w:t>
      </w:r>
      <w:r w:rsidRPr="00E63875">
        <w:rPr>
          <w:rFonts w:cs="Times New Roman"/>
          <w:sz w:val="22"/>
        </w:rPr>
        <w:t>I</w:t>
      </w:r>
      <w:r w:rsidR="00E63875">
        <w:rPr>
          <w:rFonts w:cs="Times New Roman"/>
          <w:sz w:val="22"/>
        </w:rPr>
        <w:t>ndia</w:t>
      </w:r>
    </w:p>
    <w:p w14:paraId="14497666" w14:textId="2D0BD46C" w:rsidR="00A7730C" w:rsidRPr="008F063A" w:rsidRDefault="00A7730C" w:rsidP="00A7730C">
      <w:pPr>
        <w:spacing w:line="360" w:lineRule="auto"/>
        <w:jc w:val="both"/>
        <w:rPr>
          <w:rFonts w:cs="Times New Roman"/>
          <w:szCs w:val="24"/>
        </w:rPr>
      </w:pPr>
      <w:r w:rsidRPr="00596428">
        <w:rPr>
          <w:rFonts w:cs="Times New Roman"/>
          <w:szCs w:val="24"/>
        </w:rPr>
        <w:t>The</w:t>
      </w:r>
      <w:r w:rsidR="00596428" w:rsidRPr="00596428">
        <w:rPr>
          <w:rFonts w:cs="Times New Roman"/>
          <w:szCs w:val="24"/>
        </w:rPr>
        <w:t xml:space="preserve"> commodity-wise analysis revealed that oil seeds and processed foods are</w:t>
      </w:r>
      <w:r w:rsidRPr="00596428">
        <w:rPr>
          <w:rFonts w:cs="Times New Roman"/>
          <w:szCs w:val="24"/>
        </w:rPr>
        <w:t xml:space="preserve"> major </w:t>
      </w:r>
      <w:r w:rsidR="00596428" w:rsidRPr="00596428">
        <w:rPr>
          <w:rFonts w:cs="Times New Roman"/>
          <w:szCs w:val="24"/>
        </w:rPr>
        <w:t xml:space="preserve">products </w:t>
      </w:r>
      <w:r w:rsidRPr="00596428">
        <w:rPr>
          <w:rFonts w:cs="Times New Roman"/>
          <w:szCs w:val="24"/>
        </w:rPr>
        <w:t xml:space="preserve">contributing </w:t>
      </w:r>
      <w:r w:rsidR="00596428" w:rsidRPr="00596428">
        <w:rPr>
          <w:rFonts w:cs="Times New Roman"/>
          <w:szCs w:val="24"/>
        </w:rPr>
        <w:t xml:space="preserve">to </w:t>
      </w:r>
      <w:r w:rsidRPr="00596428">
        <w:rPr>
          <w:rFonts w:cs="Times New Roman"/>
          <w:szCs w:val="24"/>
        </w:rPr>
        <w:t>65 % of total</w:t>
      </w:r>
      <w:r w:rsidR="00596428" w:rsidRPr="00596428">
        <w:rPr>
          <w:rFonts w:cs="Times New Roman"/>
          <w:szCs w:val="24"/>
        </w:rPr>
        <w:t xml:space="preserve"> organic</w:t>
      </w:r>
      <w:r w:rsidRPr="00596428">
        <w:rPr>
          <w:rFonts w:cs="Times New Roman"/>
          <w:szCs w:val="24"/>
        </w:rPr>
        <w:t xml:space="preserve"> expor</w:t>
      </w:r>
      <w:r w:rsidR="00596428" w:rsidRPr="00596428">
        <w:rPr>
          <w:rFonts w:cs="Times New Roman"/>
          <w:szCs w:val="24"/>
        </w:rPr>
        <w:t xml:space="preserve">ts </w:t>
      </w:r>
      <w:r w:rsidRPr="00596428">
        <w:rPr>
          <w:rFonts w:cs="Times New Roman"/>
          <w:szCs w:val="24"/>
        </w:rPr>
        <w:t>from India</w:t>
      </w:r>
      <w:r w:rsidR="00596428" w:rsidRPr="00596428">
        <w:rPr>
          <w:rFonts w:cs="Times New Roman"/>
          <w:szCs w:val="24"/>
        </w:rPr>
        <w:t xml:space="preserve"> (Table 5)</w:t>
      </w:r>
      <w:r w:rsidRPr="00596428">
        <w:rPr>
          <w:rFonts w:cs="Times New Roman"/>
          <w:szCs w:val="24"/>
        </w:rPr>
        <w:t xml:space="preserve">. </w:t>
      </w:r>
      <w:r w:rsidR="00596428" w:rsidRPr="00596428">
        <w:rPr>
          <w:rFonts w:cs="Times New Roman"/>
          <w:szCs w:val="24"/>
        </w:rPr>
        <w:t xml:space="preserve">In the year 2020-21, organic processed foods accounted for the highest export volume </w:t>
      </w:r>
      <w:r w:rsidR="00B92D33">
        <w:rPr>
          <w:rFonts w:cs="Times New Roman"/>
          <w:szCs w:val="24"/>
        </w:rPr>
        <w:t>(</w:t>
      </w:r>
      <w:r w:rsidR="00596428">
        <w:rPr>
          <w:rFonts w:cs="Times New Roman"/>
          <w:szCs w:val="24"/>
        </w:rPr>
        <w:t>405 thousand</w:t>
      </w:r>
      <w:r w:rsidR="00596428" w:rsidRPr="00596428">
        <w:rPr>
          <w:rFonts w:cs="Times New Roman"/>
          <w:szCs w:val="24"/>
        </w:rPr>
        <w:t xml:space="preserve"> MT</w:t>
      </w:r>
      <w:r w:rsidR="00B92D33">
        <w:rPr>
          <w:rFonts w:cs="Times New Roman"/>
          <w:szCs w:val="24"/>
        </w:rPr>
        <w:t>)</w:t>
      </w:r>
      <w:r w:rsidR="00596428" w:rsidRPr="00596428">
        <w:rPr>
          <w:rFonts w:cs="Times New Roman"/>
          <w:szCs w:val="24"/>
        </w:rPr>
        <w:t xml:space="preserve">, followed by oilseeds </w:t>
      </w:r>
      <w:r w:rsidR="00B92D33">
        <w:rPr>
          <w:rFonts w:cs="Times New Roman"/>
          <w:szCs w:val="24"/>
        </w:rPr>
        <w:t>(100 thousand</w:t>
      </w:r>
      <w:r w:rsidR="00B92D33" w:rsidRPr="00596428">
        <w:rPr>
          <w:rFonts w:cs="Times New Roman"/>
          <w:szCs w:val="24"/>
        </w:rPr>
        <w:t xml:space="preserve"> </w:t>
      </w:r>
      <w:r w:rsidR="00596428" w:rsidRPr="00596428">
        <w:rPr>
          <w:rFonts w:cs="Times New Roman"/>
          <w:szCs w:val="24"/>
        </w:rPr>
        <w:t>MT</w:t>
      </w:r>
      <w:r w:rsidR="00B92D33">
        <w:rPr>
          <w:rFonts w:cs="Times New Roman"/>
          <w:szCs w:val="24"/>
        </w:rPr>
        <w:t>)</w:t>
      </w:r>
      <w:r w:rsidR="00596428" w:rsidRPr="00596428">
        <w:rPr>
          <w:rFonts w:cs="Times New Roman"/>
          <w:szCs w:val="24"/>
        </w:rPr>
        <w:t xml:space="preserve">, and cereals and millets </w:t>
      </w:r>
      <w:r w:rsidR="00B92D33">
        <w:rPr>
          <w:rFonts w:cs="Times New Roman"/>
          <w:szCs w:val="24"/>
        </w:rPr>
        <w:t xml:space="preserve">(Reddy, 2017). </w:t>
      </w:r>
      <w:r w:rsidRPr="00B92D33">
        <w:rPr>
          <w:rFonts w:cs="Times New Roman"/>
          <w:szCs w:val="24"/>
        </w:rPr>
        <w:t>India</w:t>
      </w:r>
      <w:r w:rsidR="00B92D33" w:rsidRPr="00B92D33">
        <w:rPr>
          <w:rFonts w:cs="Times New Roman"/>
          <w:szCs w:val="24"/>
        </w:rPr>
        <w:t xml:space="preserve">, known as the </w:t>
      </w:r>
      <w:r w:rsidRPr="00B92D33">
        <w:rPr>
          <w:rFonts w:cs="Times New Roman"/>
          <w:szCs w:val="24"/>
        </w:rPr>
        <w:t xml:space="preserve">world’s largest </w:t>
      </w:r>
      <w:r w:rsidR="00B92D33" w:rsidRPr="00B92D33">
        <w:rPr>
          <w:rFonts w:cs="Times New Roman"/>
          <w:szCs w:val="24"/>
        </w:rPr>
        <w:t>producer</w:t>
      </w:r>
      <w:r w:rsidRPr="00B92D33">
        <w:rPr>
          <w:rFonts w:cs="Times New Roman"/>
          <w:szCs w:val="24"/>
        </w:rPr>
        <w:t xml:space="preserve"> of </w:t>
      </w:r>
      <w:r w:rsidR="00B92D33" w:rsidRPr="00B92D33">
        <w:rPr>
          <w:rFonts w:cs="Times New Roman"/>
          <w:szCs w:val="24"/>
        </w:rPr>
        <w:t>millet,</w:t>
      </w:r>
      <w:r w:rsidRPr="00B92D33">
        <w:rPr>
          <w:rFonts w:cs="Times New Roman"/>
          <w:szCs w:val="24"/>
        </w:rPr>
        <w:t xml:space="preserve"> </w:t>
      </w:r>
      <w:r w:rsidR="00B92D33" w:rsidRPr="00B92D33">
        <w:rPr>
          <w:rFonts w:cs="Times New Roman"/>
          <w:szCs w:val="24"/>
        </w:rPr>
        <w:t>primarily</w:t>
      </w:r>
      <w:r w:rsidRPr="00B92D33">
        <w:rPr>
          <w:rFonts w:cs="Times New Roman"/>
          <w:szCs w:val="24"/>
        </w:rPr>
        <w:t xml:space="preserve"> </w:t>
      </w:r>
      <w:r w:rsidR="00B92D33" w:rsidRPr="00B92D33">
        <w:rPr>
          <w:rFonts w:cs="Times New Roman"/>
          <w:szCs w:val="24"/>
        </w:rPr>
        <w:t>exports</w:t>
      </w:r>
      <w:r w:rsidRPr="00B92D33">
        <w:rPr>
          <w:rFonts w:cs="Times New Roman"/>
          <w:szCs w:val="24"/>
        </w:rPr>
        <w:t xml:space="preserve"> it to USA and Europe. </w:t>
      </w:r>
      <w:r w:rsidR="00897766" w:rsidRPr="00897766">
        <w:rPr>
          <w:rFonts w:cs="Times New Roman"/>
          <w:szCs w:val="24"/>
        </w:rPr>
        <w:t>Among organic products, sugar</w:t>
      </w:r>
      <w:r w:rsidR="00AE14CC">
        <w:rPr>
          <w:rFonts w:cs="Times New Roman"/>
          <w:szCs w:val="24"/>
        </w:rPr>
        <w:t>,</w:t>
      </w:r>
      <w:r w:rsidR="00897766" w:rsidRPr="00897766">
        <w:rPr>
          <w:rFonts w:cs="Times New Roman"/>
          <w:szCs w:val="24"/>
        </w:rPr>
        <w:t xml:space="preserve"> and tea-coffee are </w:t>
      </w:r>
      <w:r w:rsidR="008F063A">
        <w:rPr>
          <w:rFonts w:cs="Times New Roman"/>
          <w:szCs w:val="24"/>
        </w:rPr>
        <w:t xml:space="preserve">the </w:t>
      </w:r>
      <w:r w:rsidR="00897766" w:rsidRPr="00897766">
        <w:rPr>
          <w:rFonts w:cs="Times New Roman"/>
          <w:szCs w:val="24"/>
        </w:rPr>
        <w:t xml:space="preserve">largest commodities to be exported, </w:t>
      </w:r>
      <w:r w:rsidRPr="00897766">
        <w:rPr>
          <w:rFonts w:cs="Times New Roman"/>
          <w:szCs w:val="24"/>
        </w:rPr>
        <w:t xml:space="preserve">with </w:t>
      </w:r>
      <w:r w:rsidR="00897766" w:rsidRPr="00897766">
        <w:rPr>
          <w:rFonts w:cs="Times New Roman"/>
          <w:szCs w:val="24"/>
        </w:rPr>
        <w:t>volumes of</w:t>
      </w:r>
      <w:r w:rsidRPr="00897766">
        <w:rPr>
          <w:rFonts w:cs="Times New Roman"/>
          <w:szCs w:val="24"/>
        </w:rPr>
        <w:t xml:space="preserve"> 41.94 and 10.8 </w:t>
      </w:r>
      <w:r w:rsidR="00897766" w:rsidRPr="00897766">
        <w:rPr>
          <w:rFonts w:cs="Times New Roman"/>
          <w:szCs w:val="24"/>
        </w:rPr>
        <w:t xml:space="preserve">thousand </w:t>
      </w:r>
      <w:r w:rsidRPr="00897766">
        <w:rPr>
          <w:rFonts w:cs="Times New Roman"/>
          <w:szCs w:val="24"/>
        </w:rPr>
        <w:t>MT respectively</w:t>
      </w:r>
      <w:r w:rsidRPr="008F063A">
        <w:rPr>
          <w:rFonts w:cs="Times New Roman"/>
          <w:szCs w:val="24"/>
        </w:rPr>
        <w:t xml:space="preserve">. </w:t>
      </w:r>
      <w:r w:rsidR="008F063A" w:rsidRPr="008F063A">
        <w:rPr>
          <w:rFonts w:cs="Times New Roman"/>
          <w:szCs w:val="24"/>
        </w:rPr>
        <w:t xml:space="preserve"> </w:t>
      </w:r>
      <w:r w:rsidRPr="008F063A">
        <w:rPr>
          <w:rFonts w:cs="Times New Roman"/>
          <w:szCs w:val="24"/>
        </w:rPr>
        <w:t xml:space="preserve">India </w:t>
      </w:r>
      <w:r w:rsidR="008F063A" w:rsidRPr="008F063A">
        <w:rPr>
          <w:rFonts w:cs="Times New Roman"/>
          <w:szCs w:val="24"/>
        </w:rPr>
        <w:t xml:space="preserve">ranks </w:t>
      </w:r>
      <w:r w:rsidRPr="008F063A">
        <w:rPr>
          <w:rFonts w:cs="Times New Roman"/>
          <w:szCs w:val="24"/>
        </w:rPr>
        <w:t>2</w:t>
      </w:r>
      <w:r w:rsidRPr="008F063A">
        <w:rPr>
          <w:rFonts w:cs="Times New Roman"/>
          <w:szCs w:val="24"/>
          <w:vertAlign w:val="superscript"/>
        </w:rPr>
        <w:t>nd</w:t>
      </w:r>
      <w:r w:rsidRPr="008F063A">
        <w:rPr>
          <w:rFonts w:cs="Times New Roman"/>
          <w:szCs w:val="24"/>
        </w:rPr>
        <w:t xml:space="preserve"> </w:t>
      </w:r>
      <w:r w:rsidR="008F063A" w:rsidRPr="008F063A">
        <w:rPr>
          <w:rFonts w:cs="Times New Roman"/>
          <w:szCs w:val="24"/>
        </w:rPr>
        <w:t xml:space="preserve">in </w:t>
      </w:r>
      <w:r w:rsidRPr="008F063A">
        <w:rPr>
          <w:rFonts w:cs="Times New Roman"/>
          <w:szCs w:val="24"/>
        </w:rPr>
        <w:t xml:space="preserve">sugar and tea </w:t>
      </w:r>
      <w:r w:rsidR="008F063A" w:rsidRPr="008F063A">
        <w:rPr>
          <w:rFonts w:cs="Times New Roman"/>
          <w:szCs w:val="24"/>
        </w:rPr>
        <w:t xml:space="preserve">production, </w:t>
      </w:r>
      <w:r w:rsidRPr="008F063A">
        <w:rPr>
          <w:rFonts w:cs="Times New Roman"/>
          <w:szCs w:val="24"/>
        </w:rPr>
        <w:t xml:space="preserve">after meeting domestic requirements it is exported to other nations. </w:t>
      </w:r>
      <w:r w:rsidR="008F063A" w:rsidRPr="008F063A">
        <w:rPr>
          <w:rFonts w:cs="Times New Roman"/>
          <w:szCs w:val="24"/>
        </w:rPr>
        <w:t>Additionally, o</w:t>
      </w:r>
      <w:r w:rsidRPr="008F063A">
        <w:rPr>
          <w:rFonts w:cs="Times New Roman"/>
          <w:szCs w:val="24"/>
        </w:rPr>
        <w:t>ther products like organic honey, tubers, essential oils</w:t>
      </w:r>
      <w:r w:rsidR="008F063A">
        <w:rPr>
          <w:rFonts w:cs="Times New Roman"/>
          <w:szCs w:val="24"/>
        </w:rPr>
        <w:t>,</w:t>
      </w:r>
      <w:r w:rsidRPr="008F063A">
        <w:rPr>
          <w:rFonts w:cs="Times New Roman"/>
          <w:szCs w:val="24"/>
        </w:rPr>
        <w:t xml:space="preserve"> and flowers are exported in small quantities.</w:t>
      </w:r>
      <w:r w:rsidR="008F063A">
        <w:rPr>
          <w:rFonts w:cs="Times New Roman"/>
          <w:szCs w:val="24"/>
        </w:rPr>
        <w:t xml:space="preserve"> </w:t>
      </w:r>
      <w:r w:rsidRPr="008F063A">
        <w:rPr>
          <w:rFonts w:cs="Times New Roman"/>
          <w:szCs w:val="24"/>
        </w:rPr>
        <w:t xml:space="preserve">Processed foods </w:t>
      </w:r>
      <w:r w:rsidR="008F063A">
        <w:rPr>
          <w:rFonts w:cs="Times New Roman"/>
          <w:szCs w:val="24"/>
        </w:rPr>
        <w:t>have</w:t>
      </w:r>
      <w:r w:rsidRPr="008F063A">
        <w:rPr>
          <w:rFonts w:cs="Times New Roman"/>
          <w:szCs w:val="24"/>
        </w:rPr>
        <w:t xml:space="preserve"> shown </w:t>
      </w:r>
      <w:r w:rsidR="008F063A" w:rsidRPr="008F063A">
        <w:rPr>
          <w:rFonts w:cs="Times New Roman"/>
          <w:szCs w:val="24"/>
        </w:rPr>
        <w:t>a significant increase</w:t>
      </w:r>
      <w:r w:rsidRPr="008F063A">
        <w:rPr>
          <w:rFonts w:cs="Times New Roman"/>
          <w:szCs w:val="24"/>
        </w:rPr>
        <w:t xml:space="preserve"> in export </w:t>
      </w:r>
      <w:r w:rsidR="008F063A" w:rsidRPr="008F063A">
        <w:rPr>
          <w:rFonts w:cs="Times New Roman"/>
          <w:szCs w:val="24"/>
        </w:rPr>
        <w:t xml:space="preserve">between </w:t>
      </w:r>
      <w:r w:rsidRPr="008F063A">
        <w:rPr>
          <w:rFonts w:cs="Times New Roman"/>
          <w:szCs w:val="24"/>
        </w:rPr>
        <w:t xml:space="preserve">2017 to 2020 with a </w:t>
      </w:r>
      <w:r w:rsidR="008F063A" w:rsidRPr="008F063A">
        <w:rPr>
          <w:rFonts w:cs="Times New Roman"/>
          <w:szCs w:val="24"/>
        </w:rPr>
        <w:t xml:space="preserve">growth </w:t>
      </w:r>
      <w:r w:rsidRPr="008F063A">
        <w:rPr>
          <w:rFonts w:cs="Times New Roman"/>
          <w:szCs w:val="24"/>
        </w:rPr>
        <w:t>of 23 times</w:t>
      </w:r>
      <w:r w:rsidR="008F063A" w:rsidRPr="008F063A">
        <w:rPr>
          <w:rFonts w:cs="Times New Roman"/>
          <w:szCs w:val="24"/>
        </w:rPr>
        <w:t xml:space="preserve">, whereas, the export of organic </w:t>
      </w:r>
      <w:r w:rsidRPr="008F063A">
        <w:rPr>
          <w:rFonts w:cs="Times New Roman"/>
          <w:szCs w:val="24"/>
        </w:rPr>
        <w:t xml:space="preserve">oil seeds and pulses </w:t>
      </w:r>
      <w:r w:rsidR="008F063A" w:rsidRPr="008F063A">
        <w:rPr>
          <w:rFonts w:cs="Times New Roman"/>
          <w:szCs w:val="24"/>
        </w:rPr>
        <w:t>has decreased</w:t>
      </w:r>
      <w:r w:rsidRPr="008F063A">
        <w:rPr>
          <w:rFonts w:cs="Times New Roman"/>
          <w:szCs w:val="24"/>
        </w:rPr>
        <w:t>.</w:t>
      </w:r>
      <w:r w:rsidR="008F063A" w:rsidRPr="008F063A">
        <w:rPr>
          <w:rFonts w:cs="Times New Roman"/>
          <w:szCs w:val="24"/>
        </w:rPr>
        <w:t xml:space="preserve"> In 2020, a to</w:t>
      </w:r>
      <w:r w:rsidRPr="008F063A">
        <w:rPr>
          <w:rFonts w:cs="Times New Roman"/>
          <w:szCs w:val="24"/>
        </w:rPr>
        <w:t xml:space="preserve">tal of </w:t>
      </w:r>
      <w:r w:rsidRPr="008F063A">
        <w:rPr>
          <w:rFonts w:cs="Times New Roman"/>
          <w:szCs w:val="24"/>
        </w:rPr>
        <w:lastRenderedPageBreak/>
        <w:t xml:space="preserve">888.18 </w:t>
      </w:r>
      <w:r w:rsidR="008F063A" w:rsidRPr="008F063A">
        <w:rPr>
          <w:rFonts w:cs="Times New Roman"/>
          <w:szCs w:val="24"/>
        </w:rPr>
        <w:t xml:space="preserve">thousand </w:t>
      </w:r>
      <w:r w:rsidRPr="008F063A">
        <w:rPr>
          <w:rFonts w:cs="Times New Roman"/>
          <w:szCs w:val="24"/>
        </w:rPr>
        <w:t xml:space="preserve">MT of organic food </w:t>
      </w:r>
      <w:r w:rsidR="008F063A" w:rsidRPr="008F063A">
        <w:rPr>
          <w:rFonts w:cs="Times New Roman"/>
          <w:szCs w:val="24"/>
        </w:rPr>
        <w:t xml:space="preserve">was </w:t>
      </w:r>
      <w:r w:rsidRPr="008F063A">
        <w:rPr>
          <w:rFonts w:cs="Times New Roman"/>
          <w:szCs w:val="24"/>
        </w:rPr>
        <w:t>exported</w:t>
      </w:r>
      <w:r w:rsidR="008F063A" w:rsidRPr="008F063A">
        <w:rPr>
          <w:rFonts w:cs="Times New Roman"/>
          <w:szCs w:val="24"/>
        </w:rPr>
        <w:t>,</w:t>
      </w:r>
      <w:r w:rsidRPr="008F063A">
        <w:rPr>
          <w:rFonts w:cs="Times New Roman"/>
          <w:szCs w:val="24"/>
        </w:rPr>
        <w:t xml:space="preserve"> which is almost </w:t>
      </w:r>
      <w:r w:rsidR="008F063A" w:rsidRPr="008F063A">
        <w:rPr>
          <w:rFonts w:cs="Times New Roman"/>
          <w:szCs w:val="24"/>
        </w:rPr>
        <w:t>double</w:t>
      </w:r>
      <w:r w:rsidRPr="008F063A">
        <w:rPr>
          <w:rFonts w:cs="Times New Roman"/>
          <w:szCs w:val="24"/>
        </w:rPr>
        <w:t xml:space="preserve"> </w:t>
      </w:r>
      <w:r w:rsidR="008F063A" w:rsidRPr="008F063A">
        <w:rPr>
          <w:rFonts w:cs="Times New Roman"/>
          <w:szCs w:val="24"/>
        </w:rPr>
        <w:t xml:space="preserve">the volume of </w:t>
      </w:r>
      <w:r w:rsidRPr="008F063A">
        <w:rPr>
          <w:rFonts w:cs="Times New Roman"/>
          <w:szCs w:val="24"/>
        </w:rPr>
        <w:t xml:space="preserve">export </w:t>
      </w:r>
      <w:r w:rsidR="008F063A" w:rsidRPr="008F063A">
        <w:rPr>
          <w:rFonts w:cs="Times New Roman"/>
          <w:szCs w:val="24"/>
        </w:rPr>
        <w:t xml:space="preserve">recorded </w:t>
      </w:r>
      <w:r w:rsidRPr="008F063A">
        <w:rPr>
          <w:rFonts w:cs="Times New Roman"/>
          <w:szCs w:val="24"/>
        </w:rPr>
        <w:t xml:space="preserve">in 2017. </w:t>
      </w:r>
    </w:p>
    <w:p w14:paraId="614FF3DB" w14:textId="77777777" w:rsidR="00A7730C" w:rsidRPr="00BA4CC1" w:rsidRDefault="00A7730C" w:rsidP="00A7730C">
      <w:pPr>
        <w:rPr>
          <w:rFonts w:cs="Times New Roman"/>
          <w:szCs w:val="24"/>
        </w:rPr>
      </w:pPr>
      <w:r w:rsidRPr="00BA4CC1">
        <w:rPr>
          <w:rFonts w:cs="Times New Roman"/>
          <w:szCs w:val="24"/>
        </w:rPr>
        <w:t>Table 5. Category wise export quantity of goods from India (</w:t>
      </w:r>
      <w:r>
        <w:rPr>
          <w:rFonts w:cs="Times New Roman"/>
          <w:szCs w:val="24"/>
        </w:rPr>
        <w:t xml:space="preserve">000’ </w:t>
      </w:r>
      <w:r w:rsidRPr="00BA4CC1">
        <w:rPr>
          <w:rFonts w:cs="Times New Roman"/>
          <w:szCs w:val="24"/>
        </w:rPr>
        <w:t>MT)</w:t>
      </w:r>
    </w:p>
    <w:tbl>
      <w:tblPr>
        <w:tblW w:w="5071" w:type="pct"/>
        <w:tblBorders>
          <w:top w:val="single" w:sz="4" w:space="0" w:color="auto"/>
          <w:bottom w:val="single" w:sz="4" w:space="0" w:color="auto"/>
        </w:tblBorders>
        <w:tblLayout w:type="fixed"/>
        <w:tblLook w:val="04A0" w:firstRow="1" w:lastRow="0" w:firstColumn="1" w:lastColumn="0" w:noHBand="0" w:noVBand="1"/>
      </w:tblPr>
      <w:tblGrid>
        <w:gridCol w:w="1869"/>
        <w:gridCol w:w="141"/>
        <w:gridCol w:w="936"/>
        <w:gridCol w:w="1073"/>
        <w:gridCol w:w="1071"/>
        <w:gridCol w:w="1472"/>
        <w:gridCol w:w="1219"/>
        <w:gridCol w:w="1373"/>
      </w:tblGrid>
      <w:tr w:rsidR="00DD1AA9" w:rsidRPr="00DD1AA9" w14:paraId="1D561EF5" w14:textId="77777777" w:rsidTr="00DD1AA9">
        <w:trPr>
          <w:trHeight w:val="202"/>
        </w:trPr>
        <w:tc>
          <w:tcPr>
            <w:tcW w:w="1021" w:type="pct"/>
            <w:tcBorders>
              <w:top w:val="single" w:sz="4" w:space="0" w:color="auto"/>
              <w:bottom w:val="single" w:sz="4" w:space="0" w:color="auto"/>
            </w:tcBorders>
            <w:shd w:val="clear" w:color="auto" w:fill="auto"/>
            <w:noWrap/>
            <w:vAlign w:val="center"/>
            <w:hideMark/>
          </w:tcPr>
          <w:p w14:paraId="7E4D58B2" w14:textId="77777777" w:rsidR="00DD1AA9" w:rsidRPr="00DD1AA9" w:rsidRDefault="00DD1AA9" w:rsidP="00DD1AA9">
            <w:pPr>
              <w:spacing w:after="0" w:line="240" w:lineRule="auto"/>
              <w:rPr>
                <w:rFonts w:eastAsia="Times New Roman" w:cs="Times New Roman"/>
                <w:bCs/>
                <w:color w:val="000000"/>
                <w:szCs w:val="24"/>
                <w:lang w:eastAsia="en-IN"/>
              </w:rPr>
            </w:pPr>
            <w:r w:rsidRPr="00DD1AA9">
              <w:rPr>
                <w:rFonts w:eastAsia="Times New Roman" w:cs="Times New Roman"/>
                <w:bCs/>
                <w:color w:val="000000"/>
                <w:szCs w:val="24"/>
                <w:lang w:eastAsia="en-IN"/>
              </w:rPr>
              <w:t>Category</w:t>
            </w:r>
          </w:p>
        </w:tc>
        <w:tc>
          <w:tcPr>
            <w:tcW w:w="588" w:type="pct"/>
            <w:gridSpan w:val="2"/>
            <w:tcBorders>
              <w:top w:val="single" w:sz="4" w:space="0" w:color="auto"/>
              <w:bottom w:val="single" w:sz="4" w:space="0" w:color="auto"/>
            </w:tcBorders>
            <w:shd w:val="clear" w:color="auto" w:fill="auto"/>
            <w:noWrap/>
            <w:vAlign w:val="center"/>
            <w:hideMark/>
          </w:tcPr>
          <w:p w14:paraId="7850A4CA" w14:textId="77777777"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eastAsia="Times New Roman" w:cs="Times New Roman"/>
                <w:bCs/>
                <w:color w:val="000000"/>
                <w:szCs w:val="24"/>
                <w:lang w:eastAsia="en-IN"/>
              </w:rPr>
              <w:t>2017-18</w:t>
            </w:r>
          </w:p>
        </w:tc>
        <w:tc>
          <w:tcPr>
            <w:tcW w:w="586" w:type="pct"/>
            <w:tcBorders>
              <w:top w:val="single" w:sz="4" w:space="0" w:color="auto"/>
              <w:bottom w:val="single" w:sz="4" w:space="0" w:color="auto"/>
            </w:tcBorders>
            <w:shd w:val="clear" w:color="auto" w:fill="auto"/>
            <w:noWrap/>
            <w:vAlign w:val="center"/>
            <w:hideMark/>
          </w:tcPr>
          <w:p w14:paraId="48CECA99" w14:textId="77777777"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eastAsia="Times New Roman" w:cs="Times New Roman"/>
                <w:bCs/>
                <w:color w:val="000000"/>
                <w:szCs w:val="24"/>
                <w:lang w:eastAsia="en-IN"/>
              </w:rPr>
              <w:t>2018-19</w:t>
            </w:r>
          </w:p>
        </w:tc>
        <w:tc>
          <w:tcPr>
            <w:tcW w:w="585" w:type="pct"/>
            <w:tcBorders>
              <w:top w:val="single" w:sz="4" w:space="0" w:color="auto"/>
              <w:bottom w:val="single" w:sz="4" w:space="0" w:color="auto"/>
            </w:tcBorders>
            <w:shd w:val="clear" w:color="auto" w:fill="auto"/>
            <w:noWrap/>
            <w:vAlign w:val="center"/>
            <w:hideMark/>
          </w:tcPr>
          <w:p w14:paraId="403F3B1B" w14:textId="77777777"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eastAsia="Times New Roman" w:cs="Times New Roman"/>
                <w:bCs/>
                <w:color w:val="000000"/>
                <w:szCs w:val="24"/>
                <w:lang w:eastAsia="en-IN"/>
              </w:rPr>
              <w:t>2019-20</w:t>
            </w:r>
          </w:p>
        </w:tc>
        <w:tc>
          <w:tcPr>
            <w:tcW w:w="804" w:type="pct"/>
            <w:tcBorders>
              <w:top w:val="single" w:sz="4" w:space="0" w:color="auto"/>
              <w:bottom w:val="single" w:sz="4" w:space="0" w:color="auto"/>
            </w:tcBorders>
            <w:shd w:val="clear" w:color="auto" w:fill="auto"/>
            <w:noWrap/>
            <w:vAlign w:val="center"/>
            <w:hideMark/>
          </w:tcPr>
          <w:p w14:paraId="54CB4762" w14:textId="77777777"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eastAsia="Times New Roman" w:cs="Times New Roman"/>
                <w:bCs/>
                <w:color w:val="000000"/>
                <w:szCs w:val="24"/>
                <w:lang w:eastAsia="en-IN"/>
              </w:rPr>
              <w:t>2020-21</w:t>
            </w:r>
          </w:p>
        </w:tc>
        <w:tc>
          <w:tcPr>
            <w:tcW w:w="666" w:type="pct"/>
            <w:tcBorders>
              <w:top w:val="single" w:sz="4" w:space="0" w:color="auto"/>
              <w:bottom w:val="single" w:sz="4" w:space="0" w:color="auto"/>
            </w:tcBorders>
            <w:shd w:val="clear" w:color="auto" w:fill="auto"/>
            <w:noWrap/>
            <w:vAlign w:val="center"/>
          </w:tcPr>
          <w:p w14:paraId="157E6CDF" w14:textId="4AA57775"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eastAsia="Times New Roman" w:cs="Times New Roman"/>
                <w:bCs/>
                <w:color w:val="000000"/>
                <w:szCs w:val="24"/>
                <w:lang w:eastAsia="en-IN"/>
              </w:rPr>
              <w:t>%</w:t>
            </w:r>
            <w:r>
              <w:rPr>
                <w:rFonts w:eastAsia="Times New Roman" w:cs="Times New Roman"/>
                <w:bCs/>
                <w:color w:val="000000"/>
                <w:szCs w:val="24"/>
                <w:lang w:eastAsia="en-IN"/>
              </w:rPr>
              <w:t xml:space="preserve"> </w:t>
            </w:r>
            <w:r w:rsidRPr="00DD1AA9">
              <w:rPr>
                <w:rFonts w:eastAsia="Times New Roman" w:cs="Times New Roman"/>
                <w:bCs/>
                <w:color w:val="000000"/>
                <w:szCs w:val="24"/>
                <w:lang w:eastAsia="en-IN"/>
              </w:rPr>
              <w:t xml:space="preserve">Change </w:t>
            </w:r>
            <w:r>
              <w:rPr>
                <w:rFonts w:eastAsia="Times New Roman" w:cs="Times New Roman"/>
                <w:bCs/>
                <w:color w:val="000000"/>
                <w:szCs w:val="24"/>
                <w:lang w:eastAsia="en-IN"/>
              </w:rPr>
              <w:t>(</w:t>
            </w:r>
            <w:r w:rsidRPr="00DD1AA9">
              <w:rPr>
                <w:rFonts w:eastAsia="Times New Roman" w:cs="Times New Roman"/>
                <w:bCs/>
                <w:color w:val="000000"/>
                <w:szCs w:val="24"/>
                <w:lang w:eastAsia="en-IN"/>
              </w:rPr>
              <w:t>2017-2020</w:t>
            </w:r>
            <w:r>
              <w:rPr>
                <w:rFonts w:eastAsia="Times New Roman" w:cs="Times New Roman"/>
                <w:bCs/>
                <w:color w:val="000000"/>
                <w:szCs w:val="24"/>
                <w:lang w:eastAsia="en-IN"/>
              </w:rPr>
              <w:t>)</w:t>
            </w:r>
          </w:p>
        </w:tc>
        <w:tc>
          <w:tcPr>
            <w:tcW w:w="750" w:type="pct"/>
            <w:tcBorders>
              <w:top w:val="single" w:sz="4" w:space="0" w:color="auto"/>
              <w:bottom w:val="single" w:sz="4" w:space="0" w:color="auto"/>
            </w:tcBorders>
            <w:shd w:val="clear" w:color="auto" w:fill="auto"/>
            <w:noWrap/>
            <w:vAlign w:val="center"/>
            <w:hideMark/>
          </w:tcPr>
          <w:p w14:paraId="2E235A90" w14:textId="365DC705"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eastAsia="Times New Roman" w:cs="Times New Roman"/>
                <w:bCs/>
                <w:color w:val="000000"/>
                <w:szCs w:val="24"/>
                <w:lang w:eastAsia="en-IN"/>
              </w:rPr>
              <w:t>% Share (2020)</w:t>
            </w:r>
          </w:p>
        </w:tc>
      </w:tr>
      <w:tr w:rsidR="00DD1AA9" w:rsidRPr="00DD1AA9" w14:paraId="162CA460" w14:textId="77777777" w:rsidTr="00DD1AA9">
        <w:trPr>
          <w:trHeight w:val="202"/>
        </w:trPr>
        <w:tc>
          <w:tcPr>
            <w:tcW w:w="1098" w:type="pct"/>
            <w:gridSpan w:val="2"/>
            <w:tcBorders>
              <w:top w:val="single" w:sz="4" w:space="0" w:color="auto"/>
            </w:tcBorders>
            <w:shd w:val="clear" w:color="000000" w:fill="FFFFFF"/>
            <w:noWrap/>
            <w:vAlign w:val="center"/>
            <w:hideMark/>
          </w:tcPr>
          <w:p w14:paraId="4FE2F83E" w14:textId="77777777" w:rsidR="00DD1AA9" w:rsidRPr="00DD1AA9" w:rsidRDefault="00DD1AA9" w:rsidP="00DD1AA9">
            <w:pPr>
              <w:spacing w:after="0" w:line="240" w:lineRule="auto"/>
              <w:rPr>
                <w:rFonts w:eastAsia="Times New Roman" w:cs="Times New Roman"/>
                <w:color w:val="000000"/>
                <w:szCs w:val="24"/>
                <w:lang w:eastAsia="en-IN"/>
              </w:rPr>
            </w:pPr>
            <w:r w:rsidRPr="00DD1AA9">
              <w:rPr>
                <w:rFonts w:eastAsia="Times New Roman" w:cs="Times New Roman"/>
                <w:color w:val="000000"/>
                <w:szCs w:val="24"/>
                <w:lang w:eastAsia="en-IN"/>
              </w:rPr>
              <w:t>Oil seeds</w:t>
            </w:r>
          </w:p>
        </w:tc>
        <w:tc>
          <w:tcPr>
            <w:tcW w:w="511" w:type="pct"/>
            <w:tcBorders>
              <w:top w:val="single" w:sz="4" w:space="0" w:color="auto"/>
            </w:tcBorders>
            <w:shd w:val="clear" w:color="000000" w:fill="FFFFFF"/>
            <w:noWrap/>
            <w:vAlign w:val="center"/>
            <w:hideMark/>
          </w:tcPr>
          <w:p w14:paraId="515A511E"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343.94</w:t>
            </w:r>
          </w:p>
        </w:tc>
        <w:tc>
          <w:tcPr>
            <w:tcW w:w="586" w:type="pct"/>
            <w:tcBorders>
              <w:top w:val="single" w:sz="4" w:space="0" w:color="auto"/>
            </w:tcBorders>
            <w:shd w:val="clear" w:color="000000" w:fill="FFFFFF"/>
            <w:noWrap/>
            <w:vAlign w:val="center"/>
            <w:hideMark/>
          </w:tcPr>
          <w:p w14:paraId="10E6C9A3"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444.53</w:t>
            </w:r>
          </w:p>
        </w:tc>
        <w:tc>
          <w:tcPr>
            <w:tcW w:w="585" w:type="pct"/>
            <w:tcBorders>
              <w:top w:val="single" w:sz="4" w:space="0" w:color="auto"/>
            </w:tcBorders>
            <w:shd w:val="clear" w:color="000000" w:fill="FFFFFF"/>
            <w:noWrap/>
            <w:vAlign w:val="center"/>
            <w:hideMark/>
          </w:tcPr>
          <w:p w14:paraId="00D22E9C"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176.11</w:t>
            </w:r>
          </w:p>
        </w:tc>
        <w:tc>
          <w:tcPr>
            <w:tcW w:w="804" w:type="pct"/>
            <w:tcBorders>
              <w:top w:val="single" w:sz="4" w:space="0" w:color="auto"/>
            </w:tcBorders>
            <w:shd w:val="clear" w:color="000000" w:fill="FFFFFF"/>
            <w:noWrap/>
            <w:vAlign w:val="center"/>
            <w:hideMark/>
          </w:tcPr>
          <w:p w14:paraId="1A52D996"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100.82</w:t>
            </w:r>
          </w:p>
        </w:tc>
        <w:tc>
          <w:tcPr>
            <w:tcW w:w="666" w:type="pct"/>
            <w:tcBorders>
              <w:top w:val="single" w:sz="4" w:space="0" w:color="auto"/>
            </w:tcBorders>
            <w:shd w:val="clear" w:color="auto" w:fill="auto"/>
            <w:noWrap/>
            <w:vAlign w:val="center"/>
          </w:tcPr>
          <w:p w14:paraId="77720AD5"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-70.7</w:t>
            </w:r>
          </w:p>
        </w:tc>
        <w:tc>
          <w:tcPr>
            <w:tcW w:w="750" w:type="pct"/>
            <w:tcBorders>
              <w:top w:val="single" w:sz="4" w:space="0" w:color="auto"/>
            </w:tcBorders>
            <w:shd w:val="clear" w:color="auto" w:fill="auto"/>
            <w:noWrap/>
            <w:vAlign w:val="center"/>
            <w:hideMark/>
          </w:tcPr>
          <w:p w14:paraId="6D1693AF"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33.69</w:t>
            </w:r>
          </w:p>
        </w:tc>
      </w:tr>
      <w:tr w:rsidR="00DD1AA9" w:rsidRPr="00DD1AA9" w14:paraId="1FBF3A77" w14:textId="77777777" w:rsidTr="00DD1AA9">
        <w:trPr>
          <w:trHeight w:val="202"/>
        </w:trPr>
        <w:tc>
          <w:tcPr>
            <w:tcW w:w="1098" w:type="pct"/>
            <w:gridSpan w:val="2"/>
            <w:shd w:val="clear" w:color="000000" w:fill="FFFFFF"/>
            <w:noWrap/>
            <w:vAlign w:val="center"/>
            <w:hideMark/>
          </w:tcPr>
          <w:p w14:paraId="36416EBE" w14:textId="77777777" w:rsidR="00DD1AA9" w:rsidRPr="00DD1AA9" w:rsidRDefault="00DD1AA9" w:rsidP="00DD1AA9">
            <w:pPr>
              <w:spacing w:after="0" w:line="240" w:lineRule="auto"/>
              <w:rPr>
                <w:rFonts w:eastAsia="Times New Roman" w:cs="Times New Roman"/>
                <w:color w:val="000000"/>
                <w:szCs w:val="24"/>
                <w:lang w:eastAsia="en-IN"/>
              </w:rPr>
            </w:pPr>
            <w:r w:rsidRPr="00DD1AA9">
              <w:rPr>
                <w:rFonts w:eastAsia="Times New Roman" w:cs="Times New Roman"/>
                <w:color w:val="000000"/>
                <w:szCs w:val="24"/>
                <w:lang w:eastAsia="en-IN"/>
              </w:rPr>
              <w:t>Cereals &amp; Millets</w:t>
            </w:r>
          </w:p>
        </w:tc>
        <w:tc>
          <w:tcPr>
            <w:tcW w:w="511" w:type="pct"/>
            <w:shd w:val="clear" w:color="000000" w:fill="FFFFFF"/>
            <w:noWrap/>
            <w:vAlign w:val="center"/>
            <w:hideMark/>
          </w:tcPr>
          <w:p w14:paraId="07424B1D"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52.96</w:t>
            </w:r>
          </w:p>
        </w:tc>
        <w:tc>
          <w:tcPr>
            <w:tcW w:w="586" w:type="pct"/>
            <w:shd w:val="clear" w:color="000000" w:fill="FFFFFF"/>
            <w:noWrap/>
            <w:vAlign w:val="center"/>
            <w:hideMark/>
          </w:tcPr>
          <w:p w14:paraId="15485415"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67.85</w:t>
            </w:r>
          </w:p>
        </w:tc>
        <w:tc>
          <w:tcPr>
            <w:tcW w:w="585" w:type="pct"/>
            <w:shd w:val="clear" w:color="000000" w:fill="FFFFFF"/>
            <w:noWrap/>
            <w:vAlign w:val="center"/>
            <w:hideMark/>
          </w:tcPr>
          <w:p w14:paraId="12CE541E"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61.18</w:t>
            </w:r>
          </w:p>
        </w:tc>
        <w:tc>
          <w:tcPr>
            <w:tcW w:w="804" w:type="pct"/>
            <w:shd w:val="clear" w:color="000000" w:fill="FFFFFF"/>
            <w:noWrap/>
            <w:vAlign w:val="center"/>
            <w:hideMark/>
          </w:tcPr>
          <w:p w14:paraId="107DB601"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48.68</w:t>
            </w:r>
          </w:p>
        </w:tc>
        <w:tc>
          <w:tcPr>
            <w:tcW w:w="666" w:type="pct"/>
            <w:shd w:val="clear" w:color="auto" w:fill="auto"/>
            <w:noWrap/>
            <w:vAlign w:val="center"/>
          </w:tcPr>
          <w:p w14:paraId="41BBF332"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-8.1</w:t>
            </w:r>
          </w:p>
        </w:tc>
        <w:tc>
          <w:tcPr>
            <w:tcW w:w="750" w:type="pct"/>
            <w:shd w:val="clear" w:color="auto" w:fill="auto"/>
            <w:noWrap/>
            <w:vAlign w:val="center"/>
            <w:hideMark/>
          </w:tcPr>
          <w:p w14:paraId="626D8CCB"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8.30</w:t>
            </w:r>
          </w:p>
        </w:tc>
      </w:tr>
      <w:tr w:rsidR="00DD1AA9" w:rsidRPr="00DD1AA9" w14:paraId="21A862A6" w14:textId="77777777" w:rsidTr="00DD1AA9">
        <w:trPr>
          <w:trHeight w:val="202"/>
        </w:trPr>
        <w:tc>
          <w:tcPr>
            <w:tcW w:w="1098" w:type="pct"/>
            <w:gridSpan w:val="2"/>
            <w:shd w:val="clear" w:color="000000" w:fill="FFFFFF"/>
            <w:noWrap/>
            <w:vAlign w:val="center"/>
            <w:hideMark/>
          </w:tcPr>
          <w:p w14:paraId="5EECFD59" w14:textId="2E63792C" w:rsidR="00DD1AA9" w:rsidRPr="00DD1AA9" w:rsidRDefault="00B5223B" w:rsidP="00DD1AA9">
            <w:pPr>
              <w:spacing w:after="0" w:line="240" w:lineRule="auto"/>
              <w:rPr>
                <w:rFonts w:eastAsia="Times New Roman" w:cs="Times New Roman"/>
                <w:color w:val="000000"/>
                <w:szCs w:val="24"/>
                <w:lang w:eastAsia="en-IN"/>
              </w:rPr>
            </w:pPr>
            <w:r>
              <w:rPr>
                <w:rFonts w:eastAsia="Times New Roman" w:cs="Times New Roman"/>
                <w:color w:val="000000"/>
                <w:szCs w:val="24"/>
                <w:lang w:eastAsia="en-IN"/>
              </w:rPr>
              <w:t>P</w:t>
            </w:r>
            <w:r w:rsidR="00DD1AA9" w:rsidRPr="00DD1AA9">
              <w:rPr>
                <w:rFonts w:eastAsia="Times New Roman" w:cs="Times New Roman"/>
                <w:color w:val="000000"/>
                <w:szCs w:val="24"/>
                <w:lang w:eastAsia="en-IN"/>
              </w:rPr>
              <w:t>rocessed foods</w:t>
            </w:r>
          </w:p>
        </w:tc>
        <w:tc>
          <w:tcPr>
            <w:tcW w:w="511" w:type="pct"/>
            <w:shd w:val="clear" w:color="auto" w:fill="auto"/>
            <w:noWrap/>
            <w:vAlign w:val="center"/>
            <w:hideMark/>
          </w:tcPr>
          <w:p w14:paraId="44C016D9"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1.74</w:t>
            </w:r>
          </w:p>
        </w:tc>
        <w:tc>
          <w:tcPr>
            <w:tcW w:w="586" w:type="pct"/>
            <w:shd w:val="clear" w:color="000000" w:fill="FFFFFF"/>
            <w:noWrap/>
            <w:vAlign w:val="center"/>
            <w:hideMark/>
          </w:tcPr>
          <w:p w14:paraId="183962AB"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2.43</w:t>
            </w:r>
          </w:p>
        </w:tc>
        <w:tc>
          <w:tcPr>
            <w:tcW w:w="585" w:type="pct"/>
            <w:shd w:val="clear" w:color="000000" w:fill="FFFFFF"/>
            <w:noWrap/>
            <w:vAlign w:val="center"/>
            <w:hideMark/>
          </w:tcPr>
          <w:p w14:paraId="6C8AF9CF"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299.41</w:t>
            </w:r>
          </w:p>
        </w:tc>
        <w:tc>
          <w:tcPr>
            <w:tcW w:w="804" w:type="pct"/>
            <w:shd w:val="clear" w:color="000000" w:fill="FFFFFF"/>
            <w:noWrap/>
            <w:vAlign w:val="center"/>
            <w:hideMark/>
          </w:tcPr>
          <w:p w14:paraId="2A9E632D"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405.38</w:t>
            </w:r>
          </w:p>
        </w:tc>
        <w:tc>
          <w:tcPr>
            <w:tcW w:w="666" w:type="pct"/>
            <w:shd w:val="clear" w:color="auto" w:fill="auto"/>
            <w:noWrap/>
            <w:vAlign w:val="center"/>
          </w:tcPr>
          <w:p w14:paraId="194F7B42"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23157.8</w:t>
            </w:r>
          </w:p>
        </w:tc>
        <w:tc>
          <w:tcPr>
            <w:tcW w:w="750" w:type="pct"/>
            <w:shd w:val="clear" w:color="auto" w:fill="auto"/>
            <w:noWrap/>
            <w:vAlign w:val="center"/>
            <w:hideMark/>
          </w:tcPr>
          <w:p w14:paraId="19385883"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33.03</w:t>
            </w:r>
          </w:p>
        </w:tc>
      </w:tr>
      <w:tr w:rsidR="00DD1AA9" w:rsidRPr="00DD1AA9" w14:paraId="393462F7" w14:textId="77777777" w:rsidTr="00DD1AA9">
        <w:trPr>
          <w:trHeight w:val="202"/>
        </w:trPr>
        <w:tc>
          <w:tcPr>
            <w:tcW w:w="1098" w:type="pct"/>
            <w:gridSpan w:val="2"/>
            <w:shd w:val="clear" w:color="000000" w:fill="FFFFFF"/>
            <w:noWrap/>
            <w:vAlign w:val="center"/>
            <w:hideMark/>
          </w:tcPr>
          <w:p w14:paraId="67C4BCBB" w14:textId="4EA4B854" w:rsidR="00DD1AA9" w:rsidRPr="00DD1AA9" w:rsidRDefault="00B5223B" w:rsidP="00DD1AA9">
            <w:pPr>
              <w:spacing w:after="0" w:line="240" w:lineRule="auto"/>
              <w:rPr>
                <w:rFonts w:eastAsia="Times New Roman" w:cs="Times New Roman"/>
                <w:color w:val="000000"/>
                <w:szCs w:val="24"/>
                <w:lang w:eastAsia="en-IN"/>
              </w:rPr>
            </w:pPr>
            <w:r>
              <w:rPr>
                <w:rFonts w:eastAsia="Times New Roman" w:cs="Times New Roman"/>
                <w:color w:val="000000"/>
                <w:szCs w:val="24"/>
                <w:lang w:eastAsia="en-IN"/>
              </w:rPr>
              <w:t>S</w:t>
            </w:r>
            <w:r w:rsidR="00DD1AA9" w:rsidRPr="00DD1AA9">
              <w:rPr>
                <w:rFonts w:eastAsia="Times New Roman" w:cs="Times New Roman"/>
                <w:color w:val="000000"/>
                <w:szCs w:val="24"/>
                <w:lang w:eastAsia="en-IN"/>
              </w:rPr>
              <w:t>ugar crops</w:t>
            </w:r>
          </w:p>
        </w:tc>
        <w:tc>
          <w:tcPr>
            <w:tcW w:w="511" w:type="pct"/>
            <w:shd w:val="clear" w:color="000000" w:fill="FFFFFF"/>
            <w:noWrap/>
            <w:vAlign w:val="center"/>
            <w:hideMark/>
          </w:tcPr>
          <w:p w14:paraId="01893F55"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15.95</w:t>
            </w:r>
          </w:p>
        </w:tc>
        <w:tc>
          <w:tcPr>
            <w:tcW w:w="586" w:type="pct"/>
            <w:shd w:val="clear" w:color="000000" w:fill="FFFFFF"/>
            <w:noWrap/>
            <w:vAlign w:val="center"/>
            <w:hideMark/>
          </w:tcPr>
          <w:p w14:paraId="094F5ADA"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41.13</w:t>
            </w:r>
          </w:p>
        </w:tc>
        <w:tc>
          <w:tcPr>
            <w:tcW w:w="585" w:type="pct"/>
            <w:shd w:val="clear" w:color="000000" w:fill="FFFFFF"/>
            <w:noWrap/>
            <w:vAlign w:val="center"/>
            <w:hideMark/>
          </w:tcPr>
          <w:p w14:paraId="445D0ECD"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41.12</w:t>
            </w:r>
          </w:p>
        </w:tc>
        <w:tc>
          <w:tcPr>
            <w:tcW w:w="804" w:type="pct"/>
            <w:shd w:val="clear" w:color="000000" w:fill="FFFFFF"/>
            <w:noWrap/>
            <w:vAlign w:val="center"/>
            <w:hideMark/>
          </w:tcPr>
          <w:p w14:paraId="410D96E4"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41.94</w:t>
            </w:r>
          </w:p>
        </w:tc>
        <w:tc>
          <w:tcPr>
            <w:tcW w:w="666" w:type="pct"/>
            <w:shd w:val="clear" w:color="auto" w:fill="auto"/>
            <w:noWrap/>
            <w:vAlign w:val="center"/>
          </w:tcPr>
          <w:p w14:paraId="416284D7"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162.9</w:t>
            </w:r>
          </w:p>
        </w:tc>
        <w:tc>
          <w:tcPr>
            <w:tcW w:w="750" w:type="pct"/>
            <w:shd w:val="clear" w:color="auto" w:fill="auto"/>
            <w:noWrap/>
            <w:vAlign w:val="center"/>
            <w:hideMark/>
          </w:tcPr>
          <w:p w14:paraId="7B8F080A"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5.80</w:t>
            </w:r>
          </w:p>
        </w:tc>
      </w:tr>
      <w:tr w:rsidR="00DD1AA9" w:rsidRPr="00DD1AA9" w14:paraId="4CF8F8DD" w14:textId="77777777" w:rsidTr="00DD1AA9">
        <w:trPr>
          <w:trHeight w:val="202"/>
        </w:trPr>
        <w:tc>
          <w:tcPr>
            <w:tcW w:w="1098" w:type="pct"/>
            <w:gridSpan w:val="2"/>
            <w:shd w:val="clear" w:color="000000" w:fill="FFFFFF"/>
            <w:noWrap/>
            <w:vAlign w:val="center"/>
            <w:hideMark/>
          </w:tcPr>
          <w:p w14:paraId="1771EEC0" w14:textId="77777777" w:rsidR="00DD1AA9" w:rsidRPr="00DD1AA9" w:rsidRDefault="00DD1AA9" w:rsidP="00DD1AA9">
            <w:pPr>
              <w:spacing w:after="0" w:line="240" w:lineRule="auto"/>
              <w:rPr>
                <w:rFonts w:eastAsia="Times New Roman" w:cs="Times New Roman"/>
                <w:color w:val="000000"/>
                <w:szCs w:val="24"/>
                <w:lang w:eastAsia="en-IN"/>
              </w:rPr>
            </w:pPr>
            <w:r w:rsidRPr="00DD1AA9">
              <w:rPr>
                <w:rFonts w:eastAsia="Times New Roman" w:cs="Times New Roman"/>
                <w:color w:val="000000"/>
                <w:szCs w:val="24"/>
                <w:lang w:eastAsia="en-IN"/>
              </w:rPr>
              <w:t>Spices and Condiments</w:t>
            </w:r>
          </w:p>
        </w:tc>
        <w:tc>
          <w:tcPr>
            <w:tcW w:w="511" w:type="pct"/>
            <w:shd w:val="clear" w:color="000000" w:fill="FFFFFF"/>
            <w:noWrap/>
            <w:vAlign w:val="center"/>
            <w:hideMark/>
          </w:tcPr>
          <w:p w14:paraId="08E0E963"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5.66</w:t>
            </w:r>
          </w:p>
        </w:tc>
        <w:tc>
          <w:tcPr>
            <w:tcW w:w="586" w:type="pct"/>
            <w:shd w:val="clear" w:color="000000" w:fill="FFFFFF"/>
            <w:noWrap/>
            <w:vAlign w:val="center"/>
            <w:hideMark/>
          </w:tcPr>
          <w:p w14:paraId="37661FD5"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6.78</w:t>
            </w:r>
          </w:p>
        </w:tc>
        <w:tc>
          <w:tcPr>
            <w:tcW w:w="585" w:type="pct"/>
            <w:shd w:val="clear" w:color="000000" w:fill="FFFFFF"/>
            <w:noWrap/>
            <w:vAlign w:val="center"/>
            <w:hideMark/>
          </w:tcPr>
          <w:p w14:paraId="63DFEFF0"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6.76</w:t>
            </w:r>
          </w:p>
        </w:tc>
        <w:tc>
          <w:tcPr>
            <w:tcW w:w="804" w:type="pct"/>
            <w:shd w:val="clear" w:color="000000" w:fill="FFFFFF"/>
            <w:noWrap/>
            <w:vAlign w:val="center"/>
            <w:hideMark/>
          </w:tcPr>
          <w:p w14:paraId="2104C7EB"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8.05</w:t>
            </w:r>
          </w:p>
        </w:tc>
        <w:tc>
          <w:tcPr>
            <w:tcW w:w="666" w:type="pct"/>
            <w:shd w:val="clear" w:color="auto" w:fill="auto"/>
            <w:noWrap/>
            <w:vAlign w:val="center"/>
          </w:tcPr>
          <w:p w14:paraId="4F765444"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42.4</w:t>
            </w:r>
          </w:p>
        </w:tc>
        <w:tc>
          <w:tcPr>
            <w:tcW w:w="750" w:type="pct"/>
            <w:shd w:val="clear" w:color="auto" w:fill="auto"/>
            <w:noWrap/>
            <w:vAlign w:val="center"/>
            <w:hideMark/>
          </w:tcPr>
          <w:p w14:paraId="098BA300"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1.01</w:t>
            </w:r>
          </w:p>
        </w:tc>
      </w:tr>
      <w:tr w:rsidR="00DD1AA9" w:rsidRPr="00DD1AA9" w14:paraId="0C789D87" w14:textId="77777777" w:rsidTr="00DD1AA9">
        <w:trPr>
          <w:trHeight w:val="202"/>
        </w:trPr>
        <w:tc>
          <w:tcPr>
            <w:tcW w:w="1098" w:type="pct"/>
            <w:gridSpan w:val="2"/>
            <w:shd w:val="clear" w:color="000000" w:fill="FFFFFF"/>
            <w:noWrap/>
            <w:vAlign w:val="center"/>
            <w:hideMark/>
          </w:tcPr>
          <w:p w14:paraId="123623AC" w14:textId="77777777" w:rsidR="00DD1AA9" w:rsidRPr="00DD1AA9" w:rsidRDefault="00DD1AA9" w:rsidP="00DD1AA9">
            <w:pPr>
              <w:spacing w:after="0" w:line="240" w:lineRule="auto"/>
              <w:rPr>
                <w:rFonts w:eastAsia="Times New Roman" w:cs="Times New Roman"/>
                <w:color w:val="000000"/>
                <w:szCs w:val="24"/>
                <w:lang w:eastAsia="en-IN"/>
              </w:rPr>
            </w:pPr>
            <w:r w:rsidRPr="00DD1AA9">
              <w:rPr>
                <w:rFonts w:eastAsia="Times New Roman" w:cs="Times New Roman"/>
                <w:color w:val="000000"/>
                <w:szCs w:val="24"/>
                <w:lang w:eastAsia="en-IN"/>
              </w:rPr>
              <w:t>Pulses</w:t>
            </w:r>
          </w:p>
        </w:tc>
        <w:tc>
          <w:tcPr>
            <w:tcW w:w="511" w:type="pct"/>
            <w:shd w:val="clear" w:color="000000" w:fill="FFFFFF"/>
            <w:noWrap/>
            <w:vAlign w:val="center"/>
            <w:hideMark/>
          </w:tcPr>
          <w:p w14:paraId="420346EA"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5.62</w:t>
            </w:r>
          </w:p>
        </w:tc>
        <w:tc>
          <w:tcPr>
            <w:tcW w:w="586" w:type="pct"/>
            <w:shd w:val="clear" w:color="000000" w:fill="FFFFFF"/>
            <w:noWrap/>
            <w:vAlign w:val="center"/>
            <w:hideMark/>
          </w:tcPr>
          <w:p w14:paraId="12C45926"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5.16</w:t>
            </w:r>
          </w:p>
        </w:tc>
        <w:tc>
          <w:tcPr>
            <w:tcW w:w="585" w:type="pct"/>
            <w:shd w:val="clear" w:color="000000" w:fill="FFFFFF"/>
            <w:noWrap/>
            <w:vAlign w:val="center"/>
            <w:hideMark/>
          </w:tcPr>
          <w:p w14:paraId="119CCDFD"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5.18</w:t>
            </w:r>
          </w:p>
        </w:tc>
        <w:tc>
          <w:tcPr>
            <w:tcW w:w="804" w:type="pct"/>
            <w:shd w:val="clear" w:color="000000" w:fill="FFFFFF"/>
            <w:noWrap/>
            <w:vAlign w:val="center"/>
            <w:hideMark/>
          </w:tcPr>
          <w:p w14:paraId="47972BD1"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4.83</w:t>
            </w:r>
          </w:p>
        </w:tc>
        <w:tc>
          <w:tcPr>
            <w:tcW w:w="666" w:type="pct"/>
            <w:shd w:val="clear" w:color="auto" w:fill="auto"/>
            <w:noWrap/>
            <w:vAlign w:val="center"/>
          </w:tcPr>
          <w:p w14:paraId="0D78C0A7"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-14.0</w:t>
            </w:r>
          </w:p>
        </w:tc>
        <w:tc>
          <w:tcPr>
            <w:tcW w:w="750" w:type="pct"/>
            <w:shd w:val="clear" w:color="auto" w:fill="auto"/>
            <w:noWrap/>
            <w:vAlign w:val="center"/>
            <w:hideMark/>
          </w:tcPr>
          <w:p w14:paraId="6C838455"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0.71</w:t>
            </w:r>
          </w:p>
        </w:tc>
      </w:tr>
      <w:tr w:rsidR="00DD1AA9" w:rsidRPr="00DD1AA9" w14:paraId="05076B61" w14:textId="77777777" w:rsidTr="00DD1AA9">
        <w:trPr>
          <w:trHeight w:val="202"/>
        </w:trPr>
        <w:tc>
          <w:tcPr>
            <w:tcW w:w="1098" w:type="pct"/>
            <w:gridSpan w:val="2"/>
            <w:shd w:val="clear" w:color="000000" w:fill="FFFFFF"/>
            <w:noWrap/>
            <w:vAlign w:val="center"/>
            <w:hideMark/>
          </w:tcPr>
          <w:p w14:paraId="553AE1A4" w14:textId="77777777" w:rsidR="00DD1AA9" w:rsidRPr="00DD1AA9" w:rsidRDefault="00DD1AA9" w:rsidP="00DD1AA9">
            <w:pPr>
              <w:spacing w:after="0" w:line="240" w:lineRule="auto"/>
              <w:rPr>
                <w:rFonts w:eastAsia="Times New Roman" w:cs="Times New Roman"/>
                <w:color w:val="000000"/>
                <w:szCs w:val="24"/>
                <w:lang w:eastAsia="en-IN"/>
              </w:rPr>
            </w:pPr>
            <w:r w:rsidRPr="00DD1AA9">
              <w:rPr>
                <w:rFonts w:eastAsia="Times New Roman" w:cs="Times New Roman"/>
                <w:color w:val="000000"/>
                <w:szCs w:val="24"/>
                <w:lang w:eastAsia="en-IN"/>
              </w:rPr>
              <w:t>Dry fruits</w:t>
            </w:r>
          </w:p>
        </w:tc>
        <w:tc>
          <w:tcPr>
            <w:tcW w:w="511" w:type="pct"/>
            <w:shd w:val="clear" w:color="000000" w:fill="FFFFFF"/>
            <w:noWrap/>
            <w:vAlign w:val="center"/>
            <w:hideMark/>
          </w:tcPr>
          <w:p w14:paraId="4EEF27DE"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4.27</w:t>
            </w:r>
          </w:p>
        </w:tc>
        <w:tc>
          <w:tcPr>
            <w:tcW w:w="586" w:type="pct"/>
            <w:shd w:val="clear" w:color="000000" w:fill="FFFFFF"/>
            <w:noWrap/>
            <w:vAlign w:val="center"/>
            <w:hideMark/>
          </w:tcPr>
          <w:p w14:paraId="47D960F1"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3.80</w:t>
            </w:r>
          </w:p>
        </w:tc>
        <w:tc>
          <w:tcPr>
            <w:tcW w:w="585" w:type="pct"/>
            <w:shd w:val="clear" w:color="000000" w:fill="FFFFFF"/>
            <w:noWrap/>
            <w:vAlign w:val="center"/>
            <w:hideMark/>
          </w:tcPr>
          <w:p w14:paraId="7968C99A"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3.80</w:t>
            </w:r>
          </w:p>
        </w:tc>
        <w:tc>
          <w:tcPr>
            <w:tcW w:w="804" w:type="pct"/>
            <w:shd w:val="clear" w:color="000000" w:fill="FFFFFF"/>
            <w:noWrap/>
            <w:vAlign w:val="center"/>
            <w:hideMark/>
          </w:tcPr>
          <w:p w14:paraId="440B00CC"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3.71</w:t>
            </w:r>
          </w:p>
        </w:tc>
        <w:tc>
          <w:tcPr>
            <w:tcW w:w="666" w:type="pct"/>
            <w:shd w:val="clear" w:color="auto" w:fill="auto"/>
            <w:noWrap/>
            <w:vAlign w:val="center"/>
          </w:tcPr>
          <w:p w14:paraId="752A62A8"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-13.0</w:t>
            </w:r>
          </w:p>
        </w:tc>
        <w:tc>
          <w:tcPr>
            <w:tcW w:w="750" w:type="pct"/>
            <w:shd w:val="clear" w:color="auto" w:fill="auto"/>
            <w:noWrap/>
            <w:vAlign w:val="center"/>
            <w:hideMark/>
          </w:tcPr>
          <w:p w14:paraId="7617AAFC"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0.53</w:t>
            </w:r>
          </w:p>
        </w:tc>
      </w:tr>
      <w:tr w:rsidR="00DD1AA9" w:rsidRPr="00DD1AA9" w14:paraId="339861E1" w14:textId="77777777" w:rsidTr="00DD1AA9">
        <w:trPr>
          <w:trHeight w:val="202"/>
        </w:trPr>
        <w:tc>
          <w:tcPr>
            <w:tcW w:w="1098" w:type="pct"/>
            <w:gridSpan w:val="2"/>
            <w:shd w:val="clear" w:color="000000" w:fill="FFFFFF"/>
            <w:noWrap/>
            <w:vAlign w:val="center"/>
            <w:hideMark/>
          </w:tcPr>
          <w:p w14:paraId="3FEC96FB" w14:textId="77777777" w:rsidR="00DD1AA9" w:rsidRPr="00DD1AA9" w:rsidRDefault="00DD1AA9" w:rsidP="00DD1AA9">
            <w:pPr>
              <w:spacing w:after="0" w:line="240" w:lineRule="auto"/>
              <w:rPr>
                <w:rFonts w:eastAsia="Times New Roman" w:cs="Times New Roman"/>
                <w:color w:val="000000"/>
                <w:szCs w:val="24"/>
                <w:lang w:eastAsia="en-IN"/>
              </w:rPr>
            </w:pPr>
            <w:r w:rsidRPr="00DD1AA9">
              <w:rPr>
                <w:rFonts w:eastAsia="Times New Roman" w:cs="Times New Roman"/>
                <w:color w:val="000000"/>
                <w:szCs w:val="24"/>
                <w:lang w:eastAsia="en-IN"/>
              </w:rPr>
              <w:t>Medicinal (Herbal/Aromatic)</w:t>
            </w:r>
          </w:p>
        </w:tc>
        <w:tc>
          <w:tcPr>
            <w:tcW w:w="511" w:type="pct"/>
            <w:shd w:val="clear" w:color="000000" w:fill="FFFFFF"/>
            <w:noWrap/>
            <w:vAlign w:val="center"/>
            <w:hideMark/>
          </w:tcPr>
          <w:p w14:paraId="7268FADD"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1.92</w:t>
            </w:r>
          </w:p>
        </w:tc>
        <w:tc>
          <w:tcPr>
            <w:tcW w:w="586" w:type="pct"/>
            <w:shd w:val="clear" w:color="000000" w:fill="FFFFFF"/>
            <w:noWrap/>
            <w:vAlign w:val="center"/>
            <w:hideMark/>
          </w:tcPr>
          <w:p w14:paraId="406CEEC4"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2.76</w:t>
            </w:r>
          </w:p>
        </w:tc>
        <w:tc>
          <w:tcPr>
            <w:tcW w:w="585" w:type="pct"/>
            <w:shd w:val="clear" w:color="000000" w:fill="FFFFFF"/>
            <w:noWrap/>
            <w:vAlign w:val="center"/>
            <w:hideMark/>
          </w:tcPr>
          <w:p w14:paraId="2E10A00F"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2.90</w:t>
            </w:r>
          </w:p>
        </w:tc>
        <w:tc>
          <w:tcPr>
            <w:tcW w:w="804" w:type="pct"/>
            <w:shd w:val="clear" w:color="000000" w:fill="FFFFFF"/>
            <w:noWrap/>
            <w:vAlign w:val="center"/>
            <w:hideMark/>
          </w:tcPr>
          <w:p w14:paraId="4ED92488"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2.81</w:t>
            </w:r>
          </w:p>
        </w:tc>
        <w:tc>
          <w:tcPr>
            <w:tcW w:w="666" w:type="pct"/>
            <w:shd w:val="clear" w:color="auto" w:fill="auto"/>
            <w:noWrap/>
            <w:vAlign w:val="center"/>
          </w:tcPr>
          <w:p w14:paraId="7B5B6160"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46.1</w:t>
            </w:r>
          </w:p>
        </w:tc>
        <w:tc>
          <w:tcPr>
            <w:tcW w:w="750" w:type="pct"/>
            <w:shd w:val="clear" w:color="auto" w:fill="auto"/>
            <w:noWrap/>
            <w:vAlign w:val="center"/>
            <w:hideMark/>
          </w:tcPr>
          <w:p w14:paraId="7BB39642"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0.40</w:t>
            </w:r>
          </w:p>
        </w:tc>
      </w:tr>
      <w:tr w:rsidR="00DD1AA9" w:rsidRPr="00DD1AA9" w14:paraId="7162C97D" w14:textId="77777777" w:rsidTr="00DD1AA9">
        <w:trPr>
          <w:trHeight w:val="202"/>
        </w:trPr>
        <w:tc>
          <w:tcPr>
            <w:tcW w:w="1098" w:type="pct"/>
            <w:gridSpan w:val="2"/>
            <w:shd w:val="clear" w:color="000000" w:fill="FFFFFF"/>
            <w:noWrap/>
            <w:vAlign w:val="center"/>
            <w:hideMark/>
          </w:tcPr>
          <w:p w14:paraId="4630D14D" w14:textId="77777777" w:rsidR="00DD1AA9" w:rsidRPr="00DD1AA9" w:rsidRDefault="00DD1AA9" w:rsidP="00DD1AA9">
            <w:pPr>
              <w:spacing w:after="0" w:line="240" w:lineRule="auto"/>
              <w:rPr>
                <w:rFonts w:eastAsia="Times New Roman" w:cs="Times New Roman"/>
                <w:color w:val="000000"/>
                <w:szCs w:val="24"/>
                <w:lang w:eastAsia="en-IN"/>
              </w:rPr>
            </w:pPr>
            <w:r w:rsidRPr="00DD1AA9">
              <w:rPr>
                <w:rFonts w:eastAsia="Times New Roman" w:cs="Times New Roman"/>
                <w:color w:val="000000"/>
                <w:szCs w:val="24"/>
                <w:lang w:eastAsia="en-IN"/>
              </w:rPr>
              <w:t>Plantation (also Coffee and Tea)</w:t>
            </w:r>
          </w:p>
        </w:tc>
        <w:tc>
          <w:tcPr>
            <w:tcW w:w="511" w:type="pct"/>
            <w:shd w:val="clear" w:color="000000" w:fill="FFFFFF"/>
            <w:noWrap/>
            <w:vAlign w:val="center"/>
            <w:hideMark/>
          </w:tcPr>
          <w:p w14:paraId="59DA3FBA"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8.41</w:t>
            </w:r>
          </w:p>
        </w:tc>
        <w:tc>
          <w:tcPr>
            <w:tcW w:w="586" w:type="pct"/>
            <w:shd w:val="clear" w:color="000000" w:fill="FFFFFF"/>
            <w:noWrap/>
            <w:vAlign w:val="center"/>
            <w:hideMark/>
          </w:tcPr>
          <w:p w14:paraId="24CBAAB9"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8.97</w:t>
            </w:r>
          </w:p>
        </w:tc>
        <w:tc>
          <w:tcPr>
            <w:tcW w:w="585" w:type="pct"/>
            <w:shd w:val="clear" w:color="000000" w:fill="FFFFFF"/>
            <w:noWrap/>
            <w:vAlign w:val="center"/>
            <w:hideMark/>
          </w:tcPr>
          <w:p w14:paraId="3461411E"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8.73</w:t>
            </w:r>
          </w:p>
        </w:tc>
        <w:tc>
          <w:tcPr>
            <w:tcW w:w="804" w:type="pct"/>
            <w:shd w:val="clear" w:color="000000" w:fill="FFFFFF"/>
            <w:noWrap/>
            <w:vAlign w:val="center"/>
            <w:hideMark/>
          </w:tcPr>
          <w:p w14:paraId="120BE16F"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10.80</w:t>
            </w:r>
          </w:p>
        </w:tc>
        <w:tc>
          <w:tcPr>
            <w:tcW w:w="666" w:type="pct"/>
            <w:shd w:val="clear" w:color="auto" w:fill="auto"/>
            <w:noWrap/>
            <w:vAlign w:val="center"/>
          </w:tcPr>
          <w:p w14:paraId="6CD42860"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28.3</w:t>
            </w:r>
          </w:p>
        </w:tc>
        <w:tc>
          <w:tcPr>
            <w:tcW w:w="750" w:type="pct"/>
            <w:shd w:val="clear" w:color="auto" w:fill="auto"/>
            <w:noWrap/>
            <w:vAlign w:val="center"/>
            <w:hideMark/>
          </w:tcPr>
          <w:p w14:paraId="221DEEE7"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1.33</w:t>
            </w:r>
          </w:p>
        </w:tc>
      </w:tr>
      <w:tr w:rsidR="00DD1AA9" w:rsidRPr="00DD1AA9" w14:paraId="4913204E" w14:textId="77777777" w:rsidTr="00DD1AA9">
        <w:trPr>
          <w:trHeight w:val="202"/>
        </w:trPr>
        <w:tc>
          <w:tcPr>
            <w:tcW w:w="1098" w:type="pct"/>
            <w:gridSpan w:val="2"/>
            <w:shd w:val="clear" w:color="000000" w:fill="FFFFFF"/>
            <w:noWrap/>
            <w:vAlign w:val="center"/>
            <w:hideMark/>
          </w:tcPr>
          <w:p w14:paraId="16A74144" w14:textId="77777777" w:rsidR="00DD1AA9" w:rsidRPr="00DD1AA9" w:rsidRDefault="00DD1AA9" w:rsidP="00DD1AA9">
            <w:pPr>
              <w:spacing w:after="0" w:line="240" w:lineRule="auto"/>
              <w:rPr>
                <w:rFonts w:eastAsia="Times New Roman" w:cs="Times New Roman"/>
                <w:color w:val="000000"/>
                <w:szCs w:val="24"/>
                <w:lang w:eastAsia="en-IN"/>
              </w:rPr>
            </w:pPr>
            <w:r w:rsidRPr="00DD1AA9">
              <w:rPr>
                <w:rFonts w:eastAsia="Times New Roman" w:cs="Times New Roman"/>
                <w:color w:val="000000"/>
                <w:szCs w:val="24"/>
                <w:lang w:eastAsia="en-IN"/>
              </w:rPr>
              <w:t>Others</w:t>
            </w:r>
          </w:p>
        </w:tc>
        <w:tc>
          <w:tcPr>
            <w:tcW w:w="511" w:type="pct"/>
            <w:shd w:val="clear" w:color="000000" w:fill="FFFFFF"/>
            <w:noWrap/>
            <w:vAlign w:val="center"/>
            <w:hideMark/>
          </w:tcPr>
          <w:p w14:paraId="297F8E11"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3.61</w:t>
            </w:r>
          </w:p>
        </w:tc>
        <w:tc>
          <w:tcPr>
            <w:tcW w:w="586" w:type="pct"/>
            <w:shd w:val="clear" w:color="000000" w:fill="FFFFFF"/>
            <w:noWrap/>
            <w:vAlign w:val="center"/>
            <w:hideMark/>
          </w:tcPr>
          <w:p w14:paraId="1D79FD24"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8.25</w:t>
            </w:r>
          </w:p>
        </w:tc>
        <w:tc>
          <w:tcPr>
            <w:tcW w:w="585" w:type="pct"/>
            <w:shd w:val="clear" w:color="000000" w:fill="FFFFFF"/>
            <w:noWrap/>
            <w:vAlign w:val="center"/>
            <w:hideMark/>
          </w:tcPr>
          <w:p w14:paraId="6BF1152F"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6.10</w:t>
            </w:r>
          </w:p>
        </w:tc>
        <w:tc>
          <w:tcPr>
            <w:tcW w:w="804" w:type="pct"/>
            <w:shd w:val="clear" w:color="000000" w:fill="FFFFFF"/>
            <w:noWrap/>
            <w:vAlign w:val="center"/>
            <w:hideMark/>
          </w:tcPr>
          <w:p w14:paraId="1AC69461"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5.43</w:t>
            </w:r>
          </w:p>
        </w:tc>
        <w:tc>
          <w:tcPr>
            <w:tcW w:w="666" w:type="pct"/>
            <w:shd w:val="clear" w:color="auto" w:fill="auto"/>
            <w:noWrap/>
            <w:vAlign w:val="center"/>
          </w:tcPr>
          <w:p w14:paraId="4F36FAB8"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cs="Times New Roman"/>
                <w:color w:val="000000"/>
                <w:szCs w:val="24"/>
              </w:rPr>
              <w:t>50.2</w:t>
            </w:r>
          </w:p>
        </w:tc>
        <w:tc>
          <w:tcPr>
            <w:tcW w:w="750" w:type="pct"/>
            <w:shd w:val="clear" w:color="auto" w:fill="auto"/>
            <w:noWrap/>
            <w:vAlign w:val="center"/>
            <w:hideMark/>
          </w:tcPr>
          <w:p w14:paraId="0B3D4880"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0.92</w:t>
            </w:r>
          </w:p>
        </w:tc>
      </w:tr>
      <w:tr w:rsidR="00DD1AA9" w:rsidRPr="00DD1AA9" w14:paraId="221957A2" w14:textId="77777777" w:rsidTr="00DD1AA9">
        <w:trPr>
          <w:trHeight w:val="202"/>
        </w:trPr>
        <w:tc>
          <w:tcPr>
            <w:tcW w:w="1098" w:type="pct"/>
            <w:gridSpan w:val="2"/>
            <w:shd w:val="clear" w:color="000000" w:fill="FFFFFF"/>
            <w:noWrap/>
            <w:vAlign w:val="center"/>
          </w:tcPr>
          <w:p w14:paraId="75A23794" w14:textId="77777777" w:rsidR="00DD1AA9" w:rsidRPr="00DD1AA9" w:rsidRDefault="00DD1AA9" w:rsidP="00DD1AA9">
            <w:pPr>
              <w:spacing w:after="0" w:line="240" w:lineRule="auto"/>
              <w:rPr>
                <w:rFonts w:eastAsia="Times New Roman" w:cs="Times New Roman"/>
                <w:bCs/>
                <w:color w:val="000000"/>
                <w:szCs w:val="24"/>
                <w:lang w:eastAsia="en-IN"/>
              </w:rPr>
            </w:pPr>
            <w:r w:rsidRPr="00DD1AA9">
              <w:rPr>
                <w:rFonts w:eastAsia="Times New Roman" w:cs="Times New Roman"/>
                <w:bCs/>
                <w:color w:val="000000"/>
                <w:szCs w:val="24"/>
                <w:lang w:eastAsia="en-IN"/>
              </w:rPr>
              <w:t xml:space="preserve">Total </w:t>
            </w:r>
          </w:p>
        </w:tc>
        <w:tc>
          <w:tcPr>
            <w:tcW w:w="511" w:type="pct"/>
            <w:shd w:val="clear" w:color="000000" w:fill="FFFFFF"/>
            <w:noWrap/>
            <w:vAlign w:val="center"/>
          </w:tcPr>
          <w:p w14:paraId="6B3B19FB" w14:textId="77777777"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cs="Times New Roman"/>
                <w:bCs/>
                <w:color w:val="000000"/>
                <w:szCs w:val="24"/>
              </w:rPr>
              <w:t>458.34</w:t>
            </w:r>
          </w:p>
        </w:tc>
        <w:tc>
          <w:tcPr>
            <w:tcW w:w="586" w:type="pct"/>
            <w:shd w:val="clear" w:color="000000" w:fill="FFFFFF"/>
            <w:noWrap/>
            <w:vAlign w:val="center"/>
          </w:tcPr>
          <w:p w14:paraId="55609DB4" w14:textId="77777777"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cs="Times New Roman"/>
                <w:bCs/>
                <w:color w:val="000000"/>
                <w:szCs w:val="24"/>
              </w:rPr>
              <w:t>614.09</w:t>
            </w:r>
          </w:p>
        </w:tc>
        <w:tc>
          <w:tcPr>
            <w:tcW w:w="585" w:type="pct"/>
            <w:shd w:val="clear" w:color="000000" w:fill="FFFFFF"/>
            <w:noWrap/>
            <w:vAlign w:val="center"/>
          </w:tcPr>
          <w:p w14:paraId="768EF567" w14:textId="77777777"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cs="Times New Roman"/>
                <w:bCs/>
                <w:color w:val="000000"/>
                <w:szCs w:val="24"/>
              </w:rPr>
              <w:t>639.00</w:t>
            </w:r>
          </w:p>
        </w:tc>
        <w:tc>
          <w:tcPr>
            <w:tcW w:w="804" w:type="pct"/>
            <w:shd w:val="clear" w:color="000000" w:fill="FFFFFF"/>
            <w:noWrap/>
            <w:vAlign w:val="center"/>
          </w:tcPr>
          <w:p w14:paraId="656969A6" w14:textId="77777777" w:rsidR="00DD1AA9" w:rsidRPr="00DD1AA9" w:rsidRDefault="00DD1AA9" w:rsidP="00DD1AA9">
            <w:pPr>
              <w:spacing w:after="0" w:line="240" w:lineRule="auto"/>
              <w:jc w:val="center"/>
              <w:rPr>
                <w:rFonts w:eastAsia="Times New Roman" w:cs="Times New Roman"/>
                <w:bCs/>
                <w:color w:val="000000"/>
                <w:szCs w:val="24"/>
                <w:lang w:eastAsia="en-IN"/>
              </w:rPr>
            </w:pPr>
            <w:r w:rsidRPr="00DD1AA9">
              <w:rPr>
                <w:rFonts w:cs="Times New Roman"/>
                <w:bCs/>
                <w:color w:val="000000"/>
                <w:szCs w:val="24"/>
              </w:rPr>
              <w:t>888.18</w:t>
            </w:r>
          </w:p>
        </w:tc>
        <w:tc>
          <w:tcPr>
            <w:tcW w:w="666" w:type="pct"/>
            <w:shd w:val="clear" w:color="auto" w:fill="auto"/>
            <w:noWrap/>
            <w:vAlign w:val="center"/>
          </w:tcPr>
          <w:p w14:paraId="1807019D"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94</w:t>
            </w:r>
          </w:p>
        </w:tc>
        <w:tc>
          <w:tcPr>
            <w:tcW w:w="750" w:type="pct"/>
            <w:shd w:val="clear" w:color="auto" w:fill="auto"/>
            <w:noWrap/>
            <w:vAlign w:val="center"/>
          </w:tcPr>
          <w:p w14:paraId="5FD5A49F" w14:textId="77777777" w:rsidR="00DD1AA9" w:rsidRPr="00DD1AA9" w:rsidRDefault="00DD1AA9" w:rsidP="00DD1AA9">
            <w:pPr>
              <w:spacing w:after="0" w:line="240" w:lineRule="auto"/>
              <w:jc w:val="center"/>
              <w:rPr>
                <w:rFonts w:eastAsia="Times New Roman" w:cs="Times New Roman"/>
                <w:color w:val="000000"/>
                <w:szCs w:val="24"/>
                <w:lang w:eastAsia="en-IN"/>
              </w:rPr>
            </w:pPr>
            <w:r w:rsidRPr="00DD1AA9">
              <w:rPr>
                <w:rFonts w:eastAsia="Times New Roman" w:cs="Times New Roman"/>
                <w:color w:val="000000"/>
                <w:szCs w:val="24"/>
                <w:lang w:eastAsia="en-IN"/>
              </w:rPr>
              <w:t>-</w:t>
            </w:r>
          </w:p>
        </w:tc>
      </w:tr>
    </w:tbl>
    <w:p w14:paraId="41439C98" w14:textId="4AB56C23" w:rsidR="00A7730C" w:rsidRPr="007B6CAD" w:rsidRDefault="00A7730C" w:rsidP="00A7730C">
      <w:pPr>
        <w:rPr>
          <w:rFonts w:cs="Times New Roman"/>
          <w:szCs w:val="24"/>
        </w:rPr>
      </w:pPr>
      <w:r>
        <w:rPr>
          <w:rFonts w:cs="Times New Roman"/>
          <w:szCs w:val="24"/>
        </w:rPr>
        <w:t>Source: various issues of APEDA, Go</w:t>
      </w:r>
      <w:r w:rsidR="00CA170A">
        <w:rPr>
          <w:rFonts w:cs="Times New Roman"/>
          <w:szCs w:val="24"/>
        </w:rPr>
        <w:t xml:space="preserve">vernment of </w:t>
      </w:r>
      <w:r>
        <w:rPr>
          <w:rFonts w:cs="Times New Roman"/>
          <w:szCs w:val="24"/>
        </w:rPr>
        <w:t>I</w:t>
      </w:r>
      <w:r w:rsidR="00CA170A">
        <w:rPr>
          <w:rFonts w:cs="Times New Roman"/>
          <w:szCs w:val="24"/>
        </w:rPr>
        <w:t>ndia</w:t>
      </w:r>
    </w:p>
    <w:p w14:paraId="59DB5CA4" w14:textId="1611FE8E" w:rsidR="00A7730C" w:rsidRDefault="000D07FB" w:rsidP="00A7730C">
      <w:pPr>
        <w:spacing w:line="360" w:lineRule="auto"/>
        <w:jc w:val="both"/>
        <w:rPr>
          <w:rFonts w:cs="Times New Roman"/>
          <w:szCs w:val="24"/>
        </w:rPr>
      </w:pPr>
      <w:r>
        <w:rPr>
          <w:rFonts w:cs="Times New Roman"/>
          <w:szCs w:val="24"/>
        </w:rPr>
        <w:t>In terms of value, the t</w:t>
      </w:r>
      <w:r w:rsidR="00A7730C">
        <w:rPr>
          <w:rFonts w:cs="Times New Roman"/>
          <w:szCs w:val="24"/>
        </w:rPr>
        <w:t xml:space="preserve">rade of organic commodities </w:t>
      </w:r>
      <w:r>
        <w:rPr>
          <w:rFonts w:cs="Times New Roman"/>
          <w:szCs w:val="24"/>
        </w:rPr>
        <w:t xml:space="preserve">is primarily </w:t>
      </w:r>
      <w:r w:rsidR="00A7730C">
        <w:rPr>
          <w:rFonts w:cs="Times New Roman"/>
          <w:szCs w:val="24"/>
        </w:rPr>
        <w:t>contributed by processed foods followed by oil seeds and cereals</w:t>
      </w:r>
      <w:r>
        <w:rPr>
          <w:rFonts w:cs="Times New Roman"/>
          <w:szCs w:val="24"/>
        </w:rPr>
        <w:t>,</w:t>
      </w:r>
      <w:r w:rsidR="00A7730C">
        <w:rPr>
          <w:rFonts w:cs="Times New Roman"/>
          <w:szCs w:val="24"/>
        </w:rPr>
        <w:t xml:space="preserve"> and millets (Table 6). India exported processed foods of </w:t>
      </w:r>
      <w:r w:rsidRPr="00E66159">
        <w:rPr>
          <w:rFonts w:cs="Times New Roman"/>
          <w:szCs w:val="24"/>
        </w:rPr>
        <w:t>₹</w:t>
      </w:r>
      <w:r w:rsidR="00A7730C">
        <w:rPr>
          <w:rFonts w:cs="Times New Roman"/>
          <w:szCs w:val="24"/>
        </w:rPr>
        <w:t xml:space="preserve">21493.2 million in 2020-21 </w:t>
      </w:r>
      <w:r w:rsidRPr="00851977">
        <w:rPr>
          <w:rFonts w:cs="Times New Roman"/>
          <w:szCs w:val="24"/>
        </w:rPr>
        <w:t>representing a significant 35-fold increase</w:t>
      </w:r>
      <w:r>
        <w:rPr>
          <w:rFonts w:cs="Times New Roman"/>
          <w:szCs w:val="24"/>
        </w:rPr>
        <w:t xml:space="preserve"> compared to the 2017-18 period</w:t>
      </w:r>
      <w:r w:rsidR="00A7730C">
        <w:rPr>
          <w:rFonts w:cs="Times New Roman"/>
          <w:szCs w:val="24"/>
        </w:rPr>
        <w:t xml:space="preserve">. </w:t>
      </w:r>
      <w:r>
        <w:rPr>
          <w:rFonts w:cs="Times New Roman"/>
          <w:szCs w:val="24"/>
        </w:rPr>
        <w:t>However, high-value</w:t>
      </w:r>
      <w:r w:rsidR="00A7730C">
        <w:rPr>
          <w:rFonts w:cs="Times New Roman"/>
          <w:szCs w:val="24"/>
        </w:rPr>
        <w:t xml:space="preserve"> commodities like dry fruits </w:t>
      </w:r>
      <w:r>
        <w:rPr>
          <w:rFonts w:cs="Times New Roman"/>
          <w:szCs w:val="24"/>
        </w:rPr>
        <w:t>have</w:t>
      </w:r>
      <w:r w:rsidR="00A7730C">
        <w:rPr>
          <w:rFonts w:cs="Times New Roman"/>
          <w:szCs w:val="24"/>
        </w:rPr>
        <w:t xml:space="preserve"> </w:t>
      </w:r>
      <w:r w:rsidRPr="00851977">
        <w:rPr>
          <w:rFonts w:cs="Times New Roman"/>
          <w:szCs w:val="24"/>
        </w:rPr>
        <w:t>experienced a</w:t>
      </w:r>
      <w:r>
        <w:rPr>
          <w:rFonts w:cs="Times New Roman"/>
          <w:szCs w:val="24"/>
        </w:rPr>
        <w:t xml:space="preserve"> decline in export by 23</w:t>
      </w:r>
      <w:r w:rsidR="00A7730C">
        <w:rPr>
          <w:rFonts w:cs="Times New Roman"/>
          <w:szCs w:val="24"/>
        </w:rPr>
        <w:t xml:space="preserve">% in the same period. </w:t>
      </w:r>
      <w:r w:rsidR="00F41BCA" w:rsidRPr="00851977">
        <w:rPr>
          <w:rFonts w:cs="Times New Roman"/>
          <w:szCs w:val="24"/>
        </w:rPr>
        <w:t>Among the organic goods, the largest increase</w:t>
      </w:r>
      <w:r w:rsidR="00A7730C">
        <w:rPr>
          <w:rFonts w:cs="Times New Roman"/>
          <w:szCs w:val="24"/>
        </w:rPr>
        <w:t xml:space="preserve"> in exports of organic goods</w:t>
      </w:r>
      <w:r w:rsidR="00F41BCA">
        <w:rPr>
          <w:rFonts w:cs="Times New Roman"/>
          <w:szCs w:val="24"/>
        </w:rPr>
        <w:t xml:space="preserve"> was observed</w:t>
      </w:r>
      <w:r w:rsidR="00A7730C">
        <w:rPr>
          <w:rFonts w:cs="Times New Roman"/>
          <w:szCs w:val="24"/>
        </w:rPr>
        <w:t xml:space="preserve"> in Medicinal (72 %) and plantation (44 %) </w:t>
      </w:r>
      <w:r w:rsidR="00F41BCA">
        <w:rPr>
          <w:rFonts w:cs="Times New Roman"/>
          <w:szCs w:val="24"/>
        </w:rPr>
        <w:t>crops, subsequent</w:t>
      </w:r>
      <w:r w:rsidR="00F41BCA" w:rsidRPr="00851977">
        <w:rPr>
          <w:rFonts w:cs="Times New Roman"/>
          <w:szCs w:val="24"/>
        </w:rPr>
        <w:t xml:space="preserve"> to processed foods</w:t>
      </w:r>
      <w:r w:rsidR="00F41BCA">
        <w:rPr>
          <w:rFonts w:cs="Times New Roman"/>
          <w:szCs w:val="24"/>
        </w:rPr>
        <w:t xml:space="preserve">. </w:t>
      </w:r>
      <w:r w:rsidR="00A7730C">
        <w:rPr>
          <w:rFonts w:cs="Times New Roman"/>
          <w:szCs w:val="24"/>
        </w:rPr>
        <w:t xml:space="preserve"> Processed foods account for 31.5 % of </w:t>
      </w:r>
      <w:r w:rsidR="00F41BCA">
        <w:rPr>
          <w:rFonts w:cs="Times New Roman"/>
          <w:szCs w:val="24"/>
        </w:rPr>
        <w:t xml:space="preserve">the </w:t>
      </w:r>
      <w:r w:rsidR="00A7730C">
        <w:rPr>
          <w:rFonts w:cs="Times New Roman"/>
          <w:szCs w:val="24"/>
        </w:rPr>
        <w:t xml:space="preserve">total organic export value from India, followed by oil seeds (21.2 %) and plantation crops (including tea and coffee). </w:t>
      </w:r>
      <w:r w:rsidR="00F41BCA">
        <w:rPr>
          <w:rFonts w:cs="Times New Roman"/>
          <w:szCs w:val="24"/>
        </w:rPr>
        <w:t>The export</w:t>
      </w:r>
      <w:r w:rsidR="00A7730C">
        <w:rPr>
          <w:rFonts w:cs="Times New Roman"/>
          <w:szCs w:val="24"/>
        </w:rPr>
        <w:t xml:space="preserve"> value of goods doubled from </w:t>
      </w:r>
      <w:r w:rsidR="00F41BCA" w:rsidRPr="00E66159">
        <w:rPr>
          <w:rFonts w:cs="Times New Roman"/>
          <w:szCs w:val="24"/>
        </w:rPr>
        <w:t>₹</w:t>
      </w:r>
      <w:r w:rsidR="00A7730C">
        <w:rPr>
          <w:rFonts w:cs="Times New Roman"/>
          <w:szCs w:val="24"/>
        </w:rPr>
        <w:t xml:space="preserve">34534.8 million in 2017-18 to </w:t>
      </w:r>
      <w:r w:rsidR="00F41BCA" w:rsidRPr="00E66159">
        <w:rPr>
          <w:rFonts w:cs="Times New Roman"/>
          <w:szCs w:val="24"/>
        </w:rPr>
        <w:t>₹</w:t>
      </w:r>
      <w:r w:rsidR="00A7730C">
        <w:rPr>
          <w:rFonts w:cs="Times New Roman"/>
          <w:szCs w:val="24"/>
        </w:rPr>
        <w:t xml:space="preserve">70785 million in </w:t>
      </w:r>
      <w:r w:rsidR="00F41BCA">
        <w:rPr>
          <w:rFonts w:cs="Times New Roman"/>
          <w:szCs w:val="24"/>
        </w:rPr>
        <w:t xml:space="preserve">the period </w:t>
      </w:r>
      <w:r w:rsidR="00A7730C">
        <w:rPr>
          <w:rFonts w:cs="Times New Roman"/>
          <w:szCs w:val="24"/>
        </w:rPr>
        <w:t xml:space="preserve">2020-21. </w:t>
      </w:r>
    </w:p>
    <w:p w14:paraId="4F7DEF38" w14:textId="74BA24E3" w:rsidR="00A7730C" w:rsidRPr="00BA4CC1" w:rsidRDefault="00A7730C" w:rsidP="00A7730C">
      <w:pPr>
        <w:rPr>
          <w:rFonts w:cs="Times New Roman"/>
          <w:szCs w:val="24"/>
        </w:rPr>
      </w:pPr>
      <w:r w:rsidRPr="00BA4CC1">
        <w:rPr>
          <w:rFonts w:cs="Times New Roman"/>
          <w:szCs w:val="24"/>
        </w:rPr>
        <w:t xml:space="preserve">Table 6. </w:t>
      </w:r>
      <w:r w:rsidR="00F41BCA">
        <w:rPr>
          <w:rFonts w:cs="Times New Roman"/>
          <w:szCs w:val="24"/>
        </w:rPr>
        <w:t>Category-wise</w:t>
      </w:r>
      <w:r w:rsidRPr="00BA4CC1">
        <w:rPr>
          <w:rFonts w:cs="Times New Roman"/>
          <w:szCs w:val="24"/>
        </w:rPr>
        <w:t xml:space="preserve"> export value of </w:t>
      </w:r>
      <w:r w:rsidR="00F41BCA">
        <w:rPr>
          <w:rFonts w:cs="Times New Roman"/>
          <w:szCs w:val="24"/>
        </w:rPr>
        <w:t>organic products</w:t>
      </w:r>
      <w:r w:rsidRPr="00BA4CC1">
        <w:rPr>
          <w:rFonts w:cs="Times New Roman"/>
          <w:szCs w:val="24"/>
        </w:rPr>
        <w:t xml:space="preserve"> from India (</w:t>
      </w:r>
      <w:r w:rsidR="00F41BCA" w:rsidRPr="00E66159">
        <w:rPr>
          <w:rFonts w:cs="Times New Roman"/>
          <w:szCs w:val="24"/>
        </w:rPr>
        <w:t>₹</w:t>
      </w:r>
      <w:r w:rsidR="00F41BCA">
        <w:rPr>
          <w:rFonts w:cs="Times New Roman"/>
          <w:szCs w:val="24"/>
        </w:rPr>
        <w:t>m</w:t>
      </w:r>
      <w:r>
        <w:rPr>
          <w:rFonts w:cs="Times New Roman"/>
          <w:szCs w:val="24"/>
        </w:rPr>
        <w:t>illion</w:t>
      </w:r>
      <w:r w:rsidRPr="00BA4CC1">
        <w:rPr>
          <w:rFonts w:cs="Times New Roman"/>
          <w:szCs w:val="24"/>
        </w:rPr>
        <w:t>)</w:t>
      </w:r>
    </w:p>
    <w:tbl>
      <w:tblPr>
        <w:tblW w:w="8752" w:type="dxa"/>
        <w:tblBorders>
          <w:top w:val="single" w:sz="4" w:space="0" w:color="auto"/>
          <w:bottom w:val="single" w:sz="4" w:space="0" w:color="auto"/>
        </w:tblBorders>
        <w:tblLook w:val="04A0" w:firstRow="1" w:lastRow="0" w:firstColumn="1" w:lastColumn="0" w:noHBand="0" w:noVBand="1"/>
      </w:tblPr>
      <w:tblGrid>
        <w:gridCol w:w="2002"/>
        <w:gridCol w:w="1258"/>
        <w:gridCol w:w="1116"/>
        <w:gridCol w:w="1134"/>
        <w:gridCol w:w="1134"/>
        <w:gridCol w:w="1116"/>
        <w:gridCol w:w="992"/>
      </w:tblGrid>
      <w:tr w:rsidR="00F41BCA" w:rsidRPr="00F41BCA" w14:paraId="355B7444" w14:textId="77777777" w:rsidTr="00F41BCA">
        <w:trPr>
          <w:trHeight w:val="315"/>
        </w:trPr>
        <w:tc>
          <w:tcPr>
            <w:tcW w:w="2002" w:type="dxa"/>
            <w:tcBorders>
              <w:top w:val="single" w:sz="4" w:space="0" w:color="auto"/>
              <w:bottom w:val="single" w:sz="4" w:space="0" w:color="auto"/>
            </w:tcBorders>
            <w:shd w:val="clear" w:color="auto" w:fill="auto"/>
            <w:noWrap/>
            <w:vAlign w:val="center"/>
            <w:hideMark/>
          </w:tcPr>
          <w:p w14:paraId="51079F11" w14:textId="77777777" w:rsidR="00F41BCA" w:rsidRPr="00F41BCA" w:rsidRDefault="00F41BCA" w:rsidP="00F41BCA">
            <w:pPr>
              <w:spacing w:after="0" w:line="240" w:lineRule="auto"/>
              <w:rPr>
                <w:rFonts w:eastAsia="Times New Roman" w:cs="Times New Roman"/>
                <w:bCs/>
                <w:color w:val="000000"/>
                <w:szCs w:val="24"/>
                <w:lang w:eastAsia="en-IN"/>
              </w:rPr>
            </w:pPr>
            <w:r w:rsidRPr="00F41BCA">
              <w:rPr>
                <w:rFonts w:eastAsia="Times New Roman" w:cs="Times New Roman"/>
                <w:bCs/>
                <w:color w:val="000000"/>
                <w:szCs w:val="24"/>
                <w:lang w:eastAsia="en-IN"/>
              </w:rPr>
              <w:t>Category</w:t>
            </w:r>
          </w:p>
        </w:tc>
        <w:tc>
          <w:tcPr>
            <w:tcW w:w="1258" w:type="dxa"/>
            <w:tcBorders>
              <w:top w:val="single" w:sz="4" w:space="0" w:color="auto"/>
              <w:bottom w:val="single" w:sz="4" w:space="0" w:color="auto"/>
            </w:tcBorders>
            <w:shd w:val="clear" w:color="auto" w:fill="auto"/>
            <w:noWrap/>
            <w:vAlign w:val="center"/>
            <w:hideMark/>
          </w:tcPr>
          <w:p w14:paraId="2C6E3DB2"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eastAsia="Times New Roman" w:cs="Times New Roman"/>
                <w:bCs/>
                <w:color w:val="000000"/>
                <w:szCs w:val="24"/>
                <w:lang w:eastAsia="en-IN"/>
              </w:rPr>
              <w:t>2017-18</w:t>
            </w:r>
          </w:p>
        </w:tc>
        <w:tc>
          <w:tcPr>
            <w:tcW w:w="1116" w:type="dxa"/>
            <w:tcBorders>
              <w:top w:val="single" w:sz="4" w:space="0" w:color="auto"/>
              <w:bottom w:val="single" w:sz="4" w:space="0" w:color="auto"/>
            </w:tcBorders>
            <w:shd w:val="clear" w:color="auto" w:fill="auto"/>
            <w:noWrap/>
            <w:vAlign w:val="center"/>
            <w:hideMark/>
          </w:tcPr>
          <w:p w14:paraId="1C41AC6F"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eastAsia="Times New Roman" w:cs="Times New Roman"/>
                <w:bCs/>
                <w:color w:val="000000"/>
                <w:szCs w:val="24"/>
                <w:lang w:eastAsia="en-IN"/>
              </w:rPr>
              <w:t>2018-19</w:t>
            </w:r>
          </w:p>
        </w:tc>
        <w:tc>
          <w:tcPr>
            <w:tcW w:w="1134" w:type="dxa"/>
            <w:tcBorders>
              <w:top w:val="single" w:sz="4" w:space="0" w:color="auto"/>
              <w:bottom w:val="single" w:sz="4" w:space="0" w:color="auto"/>
            </w:tcBorders>
            <w:shd w:val="clear" w:color="auto" w:fill="auto"/>
            <w:noWrap/>
            <w:vAlign w:val="center"/>
            <w:hideMark/>
          </w:tcPr>
          <w:p w14:paraId="1E80DED7"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eastAsia="Times New Roman" w:cs="Times New Roman"/>
                <w:bCs/>
                <w:color w:val="000000"/>
                <w:szCs w:val="24"/>
                <w:lang w:eastAsia="en-IN"/>
              </w:rPr>
              <w:t>2019-20</w:t>
            </w:r>
          </w:p>
        </w:tc>
        <w:tc>
          <w:tcPr>
            <w:tcW w:w="1134" w:type="dxa"/>
            <w:tcBorders>
              <w:top w:val="single" w:sz="4" w:space="0" w:color="auto"/>
              <w:bottom w:val="single" w:sz="4" w:space="0" w:color="auto"/>
            </w:tcBorders>
            <w:shd w:val="clear" w:color="auto" w:fill="auto"/>
            <w:noWrap/>
            <w:vAlign w:val="center"/>
            <w:hideMark/>
          </w:tcPr>
          <w:p w14:paraId="50F1A0A4"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eastAsia="Times New Roman" w:cs="Times New Roman"/>
                <w:bCs/>
                <w:color w:val="000000"/>
                <w:szCs w:val="24"/>
                <w:lang w:eastAsia="en-IN"/>
              </w:rPr>
              <w:t>2020-21</w:t>
            </w:r>
          </w:p>
        </w:tc>
        <w:tc>
          <w:tcPr>
            <w:tcW w:w="1116" w:type="dxa"/>
            <w:tcBorders>
              <w:top w:val="single" w:sz="4" w:space="0" w:color="auto"/>
              <w:bottom w:val="single" w:sz="4" w:space="0" w:color="auto"/>
            </w:tcBorders>
            <w:shd w:val="clear" w:color="auto" w:fill="auto"/>
            <w:noWrap/>
            <w:vAlign w:val="center"/>
            <w:hideMark/>
          </w:tcPr>
          <w:p w14:paraId="60AC98CE"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eastAsia="Times New Roman" w:cs="Times New Roman"/>
                <w:bCs/>
                <w:color w:val="000000"/>
                <w:szCs w:val="24"/>
                <w:lang w:eastAsia="en-IN"/>
              </w:rPr>
              <w:t>Change % 2017-20</w:t>
            </w:r>
          </w:p>
        </w:tc>
        <w:tc>
          <w:tcPr>
            <w:tcW w:w="992" w:type="dxa"/>
            <w:tcBorders>
              <w:top w:val="single" w:sz="4" w:space="0" w:color="auto"/>
              <w:bottom w:val="single" w:sz="4" w:space="0" w:color="auto"/>
            </w:tcBorders>
            <w:shd w:val="clear" w:color="auto" w:fill="auto"/>
            <w:noWrap/>
            <w:vAlign w:val="center"/>
            <w:hideMark/>
          </w:tcPr>
          <w:p w14:paraId="586EFFE2"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eastAsia="Times New Roman" w:cs="Times New Roman"/>
                <w:bCs/>
                <w:color w:val="000000"/>
                <w:szCs w:val="24"/>
                <w:lang w:eastAsia="en-IN"/>
              </w:rPr>
              <w:t>Share % (2020)</w:t>
            </w:r>
          </w:p>
        </w:tc>
      </w:tr>
      <w:tr w:rsidR="00F41BCA" w:rsidRPr="007B6CAD" w14:paraId="064E36EF" w14:textId="77777777" w:rsidTr="00F41BCA">
        <w:trPr>
          <w:trHeight w:val="315"/>
        </w:trPr>
        <w:tc>
          <w:tcPr>
            <w:tcW w:w="2002" w:type="dxa"/>
            <w:tcBorders>
              <w:top w:val="single" w:sz="4" w:space="0" w:color="auto"/>
            </w:tcBorders>
            <w:shd w:val="clear" w:color="000000" w:fill="FFFFFF"/>
            <w:noWrap/>
            <w:vAlign w:val="center"/>
            <w:hideMark/>
          </w:tcPr>
          <w:p w14:paraId="5479B024" w14:textId="77777777" w:rsidR="00F41BCA" w:rsidRPr="000E2012" w:rsidRDefault="00F41BCA" w:rsidP="00DE1947">
            <w:pPr>
              <w:spacing w:after="0" w:line="240" w:lineRule="auto"/>
              <w:rPr>
                <w:rFonts w:eastAsia="Times New Roman" w:cs="Times New Roman"/>
                <w:color w:val="000000"/>
                <w:szCs w:val="24"/>
                <w:lang w:eastAsia="en-IN"/>
              </w:rPr>
            </w:pPr>
            <w:r w:rsidRPr="000E2012">
              <w:rPr>
                <w:rFonts w:eastAsia="Times New Roman" w:cs="Times New Roman"/>
                <w:color w:val="000000"/>
                <w:szCs w:val="24"/>
                <w:lang w:eastAsia="en-IN"/>
              </w:rPr>
              <w:t>Oil seeds</w:t>
            </w:r>
          </w:p>
        </w:tc>
        <w:tc>
          <w:tcPr>
            <w:tcW w:w="1258" w:type="dxa"/>
            <w:tcBorders>
              <w:top w:val="single" w:sz="4" w:space="0" w:color="auto"/>
            </w:tcBorders>
            <w:shd w:val="clear" w:color="000000" w:fill="FFFFFF"/>
            <w:noWrap/>
            <w:vAlign w:val="center"/>
            <w:hideMark/>
          </w:tcPr>
          <w:p w14:paraId="5B672ED7"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16456.38</w:t>
            </w:r>
          </w:p>
        </w:tc>
        <w:tc>
          <w:tcPr>
            <w:tcW w:w="1116" w:type="dxa"/>
            <w:tcBorders>
              <w:top w:val="single" w:sz="4" w:space="0" w:color="auto"/>
            </w:tcBorders>
            <w:shd w:val="clear" w:color="000000" w:fill="FFFFFF"/>
            <w:noWrap/>
            <w:vAlign w:val="center"/>
            <w:hideMark/>
          </w:tcPr>
          <w:p w14:paraId="207CDF2D"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20479.17</w:t>
            </w:r>
          </w:p>
        </w:tc>
        <w:tc>
          <w:tcPr>
            <w:tcW w:w="1134" w:type="dxa"/>
            <w:tcBorders>
              <w:top w:val="single" w:sz="4" w:space="0" w:color="auto"/>
            </w:tcBorders>
            <w:shd w:val="clear" w:color="000000" w:fill="FFFFFF"/>
            <w:noWrap/>
            <w:vAlign w:val="center"/>
            <w:hideMark/>
          </w:tcPr>
          <w:p w14:paraId="718A787E"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9129.34</w:t>
            </w:r>
          </w:p>
        </w:tc>
        <w:tc>
          <w:tcPr>
            <w:tcW w:w="1134" w:type="dxa"/>
            <w:tcBorders>
              <w:top w:val="single" w:sz="4" w:space="0" w:color="auto"/>
            </w:tcBorders>
            <w:shd w:val="clear" w:color="000000" w:fill="FFFFFF"/>
            <w:noWrap/>
            <w:vAlign w:val="center"/>
            <w:hideMark/>
          </w:tcPr>
          <w:p w14:paraId="683D6DFC"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6209.36</w:t>
            </w:r>
          </w:p>
        </w:tc>
        <w:tc>
          <w:tcPr>
            <w:tcW w:w="1116" w:type="dxa"/>
            <w:tcBorders>
              <w:top w:val="single" w:sz="4" w:space="0" w:color="auto"/>
            </w:tcBorders>
            <w:shd w:val="clear" w:color="auto" w:fill="auto"/>
            <w:noWrap/>
            <w:vAlign w:val="bottom"/>
            <w:hideMark/>
          </w:tcPr>
          <w:p w14:paraId="17B15243"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-62.3</w:t>
            </w:r>
          </w:p>
        </w:tc>
        <w:tc>
          <w:tcPr>
            <w:tcW w:w="992" w:type="dxa"/>
            <w:tcBorders>
              <w:top w:val="single" w:sz="4" w:space="0" w:color="auto"/>
            </w:tcBorders>
            <w:shd w:val="clear" w:color="auto" w:fill="auto"/>
            <w:noWrap/>
            <w:vAlign w:val="center"/>
            <w:hideMark/>
          </w:tcPr>
          <w:p w14:paraId="08AD9588"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21.17</w:t>
            </w:r>
          </w:p>
        </w:tc>
      </w:tr>
      <w:tr w:rsidR="00F41BCA" w:rsidRPr="007B6CAD" w14:paraId="21298C82" w14:textId="77777777" w:rsidTr="00F41BCA">
        <w:trPr>
          <w:trHeight w:val="315"/>
        </w:trPr>
        <w:tc>
          <w:tcPr>
            <w:tcW w:w="2002" w:type="dxa"/>
            <w:shd w:val="clear" w:color="000000" w:fill="FFFFFF"/>
            <w:noWrap/>
            <w:vAlign w:val="center"/>
            <w:hideMark/>
          </w:tcPr>
          <w:p w14:paraId="2C7C7FCA" w14:textId="77777777" w:rsidR="00F41BCA" w:rsidRPr="000E2012" w:rsidRDefault="00F41BCA" w:rsidP="00DE1947">
            <w:pPr>
              <w:spacing w:after="0" w:line="240" w:lineRule="auto"/>
              <w:rPr>
                <w:rFonts w:eastAsia="Times New Roman" w:cs="Times New Roman"/>
                <w:color w:val="000000"/>
                <w:szCs w:val="24"/>
                <w:lang w:eastAsia="en-IN"/>
              </w:rPr>
            </w:pPr>
            <w:r w:rsidRPr="000E2012">
              <w:rPr>
                <w:rFonts w:eastAsia="Times New Roman" w:cs="Times New Roman"/>
                <w:color w:val="000000"/>
                <w:szCs w:val="24"/>
                <w:lang w:eastAsia="en-IN"/>
              </w:rPr>
              <w:t>Cereals &amp; Millets</w:t>
            </w:r>
          </w:p>
        </w:tc>
        <w:tc>
          <w:tcPr>
            <w:tcW w:w="1258" w:type="dxa"/>
            <w:shd w:val="clear" w:color="000000" w:fill="FFFFFF"/>
            <w:noWrap/>
            <w:vAlign w:val="center"/>
            <w:hideMark/>
          </w:tcPr>
          <w:p w14:paraId="3F3F3BDB"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3608.85</w:t>
            </w:r>
          </w:p>
        </w:tc>
        <w:tc>
          <w:tcPr>
            <w:tcW w:w="1116" w:type="dxa"/>
            <w:shd w:val="clear" w:color="000000" w:fill="FFFFFF"/>
            <w:noWrap/>
            <w:vAlign w:val="center"/>
            <w:hideMark/>
          </w:tcPr>
          <w:p w14:paraId="77E80CDF"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4318.50</w:t>
            </w:r>
          </w:p>
        </w:tc>
        <w:tc>
          <w:tcPr>
            <w:tcW w:w="1134" w:type="dxa"/>
            <w:shd w:val="clear" w:color="000000" w:fill="FFFFFF"/>
            <w:noWrap/>
            <w:vAlign w:val="center"/>
            <w:hideMark/>
          </w:tcPr>
          <w:p w14:paraId="1C42B41C"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3883.34</w:t>
            </w:r>
          </w:p>
        </w:tc>
        <w:tc>
          <w:tcPr>
            <w:tcW w:w="1134" w:type="dxa"/>
            <w:shd w:val="clear" w:color="000000" w:fill="FFFFFF"/>
            <w:noWrap/>
            <w:vAlign w:val="center"/>
            <w:hideMark/>
          </w:tcPr>
          <w:p w14:paraId="46045BA1"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3838.21</w:t>
            </w:r>
          </w:p>
        </w:tc>
        <w:tc>
          <w:tcPr>
            <w:tcW w:w="1116" w:type="dxa"/>
            <w:shd w:val="clear" w:color="auto" w:fill="auto"/>
            <w:noWrap/>
            <w:vAlign w:val="bottom"/>
            <w:hideMark/>
          </w:tcPr>
          <w:p w14:paraId="303C17F1"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6.4</w:t>
            </w:r>
          </w:p>
        </w:tc>
        <w:tc>
          <w:tcPr>
            <w:tcW w:w="992" w:type="dxa"/>
            <w:shd w:val="clear" w:color="auto" w:fill="auto"/>
            <w:noWrap/>
            <w:vAlign w:val="center"/>
            <w:hideMark/>
          </w:tcPr>
          <w:p w14:paraId="0C6F33F9"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7.12</w:t>
            </w:r>
          </w:p>
        </w:tc>
      </w:tr>
      <w:tr w:rsidR="00F41BCA" w:rsidRPr="007B6CAD" w14:paraId="5D71D95B" w14:textId="77777777" w:rsidTr="00F41BCA">
        <w:trPr>
          <w:trHeight w:val="315"/>
        </w:trPr>
        <w:tc>
          <w:tcPr>
            <w:tcW w:w="2002" w:type="dxa"/>
            <w:shd w:val="clear" w:color="000000" w:fill="FFFFFF"/>
            <w:noWrap/>
            <w:vAlign w:val="center"/>
            <w:hideMark/>
          </w:tcPr>
          <w:p w14:paraId="6A1CC53A" w14:textId="75C02242" w:rsidR="00F41BCA" w:rsidRPr="000E2012" w:rsidRDefault="00F41BCA" w:rsidP="00DE1947">
            <w:pPr>
              <w:spacing w:after="0" w:line="240" w:lineRule="auto"/>
              <w:rPr>
                <w:rFonts w:eastAsia="Times New Roman" w:cs="Times New Roman"/>
                <w:color w:val="000000"/>
                <w:szCs w:val="24"/>
                <w:lang w:eastAsia="en-IN"/>
              </w:rPr>
            </w:pPr>
            <w:r>
              <w:rPr>
                <w:rFonts w:eastAsia="Times New Roman" w:cs="Times New Roman"/>
                <w:color w:val="000000"/>
                <w:szCs w:val="24"/>
                <w:lang w:eastAsia="en-IN"/>
              </w:rPr>
              <w:t>P</w:t>
            </w:r>
            <w:r w:rsidRPr="000E2012">
              <w:rPr>
                <w:rFonts w:eastAsia="Times New Roman" w:cs="Times New Roman"/>
                <w:color w:val="000000"/>
                <w:szCs w:val="24"/>
                <w:lang w:eastAsia="en-IN"/>
              </w:rPr>
              <w:t>rocessed foods</w:t>
            </w:r>
          </w:p>
        </w:tc>
        <w:tc>
          <w:tcPr>
            <w:tcW w:w="1258" w:type="dxa"/>
            <w:shd w:val="clear" w:color="auto" w:fill="auto"/>
            <w:noWrap/>
            <w:vAlign w:val="center"/>
            <w:hideMark/>
          </w:tcPr>
          <w:p w14:paraId="6CC73E86"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585.15</w:t>
            </w:r>
          </w:p>
        </w:tc>
        <w:tc>
          <w:tcPr>
            <w:tcW w:w="1116" w:type="dxa"/>
            <w:shd w:val="clear" w:color="000000" w:fill="FFFFFF"/>
            <w:noWrap/>
            <w:vAlign w:val="center"/>
            <w:hideMark/>
          </w:tcPr>
          <w:p w14:paraId="32B68F92"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8347.80</w:t>
            </w:r>
          </w:p>
        </w:tc>
        <w:tc>
          <w:tcPr>
            <w:tcW w:w="1134" w:type="dxa"/>
            <w:shd w:val="clear" w:color="000000" w:fill="FFFFFF"/>
            <w:noWrap/>
            <w:vAlign w:val="center"/>
            <w:hideMark/>
          </w:tcPr>
          <w:p w14:paraId="20AE954E"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23497.96</w:t>
            </w:r>
          </w:p>
        </w:tc>
        <w:tc>
          <w:tcPr>
            <w:tcW w:w="1134" w:type="dxa"/>
            <w:shd w:val="clear" w:color="000000" w:fill="FFFFFF"/>
            <w:noWrap/>
            <w:vAlign w:val="center"/>
            <w:hideMark/>
          </w:tcPr>
          <w:p w14:paraId="64A28CD4"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21493.23</w:t>
            </w:r>
          </w:p>
        </w:tc>
        <w:tc>
          <w:tcPr>
            <w:tcW w:w="1116" w:type="dxa"/>
            <w:shd w:val="clear" w:color="auto" w:fill="auto"/>
            <w:noWrap/>
            <w:vAlign w:val="bottom"/>
            <w:hideMark/>
          </w:tcPr>
          <w:p w14:paraId="4B018365"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3573.1</w:t>
            </w:r>
          </w:p>
        </w:tc>
        <w:tc>
          <w:tcPr>
            <w:tcW w:w="992" w:type="dxa"/>
            <w:shd w:val="clear" w:color="auto" w:fill="auto"/>
            <w:noWrap/>
            <w:vAlign w:val="center"/>
            <w:hideMark/>
          </w:tcPr>
          <w:p w14:paraId="141AA67E"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31.53</w:t>
            </w:r>
          </w:p>
        </w:tc>
      </w:tr>
      <w:tr w:rsidR="00F41BCA" w:rsidRPr="007B6CAD" w14:paraId="5F2A7C32" w14:textId="77777777" w:rsidTr="00F41BCA">
        <w:trPr>
          <w:trHeight w:val="315"/>
        </w:trPr>
        <w:tc>
          <w:tcPr>
            <w:tcW w:w="2002" w:type="dxa"/>
            <w:shd w:val="clear" w:color="000000" w:fill="FFFFFF"/>
            <w:noWrap/>
            <w:vAlign w:val="center"/>
            <w:hideMark/>
          </w:tcPr>
          <w:p w14:paraId="3977A08F" w14:textId="13276F14" w:rsidR="00F41BCA" w:rsidRPr="000E2012" w:rsidRDefault="00F41BCA" w:rsidP="00DE1947">
            <w:pPr>
              <w:spacing w:after="0" w:line="240" w:lineRule="auto"/>
              <w:rPr>
                <w:rFonts w:eastAsia="Times New Roman" w:cs="Times New Roman"/>
                <w:color w:val="000000"/>
                <w:szCs w:val="24"/>
                <w:lang w:eastAsia="en-IN"/>
              </w:rPr>
            </w:pPr>
            <w:r>
              <w:rPr>
                <w:rFonts w:eastAsia="Times New Roman" w:cs="Times New Roman"/>
                <w:color w:val="000000"/>
                <w:szCs w:val="24"/>
                <w:lang w:eastAsia="en-IN"/>
              </w:rPr>
              <w:t>S</w:t>
            </w:r>
            <w:r w:rsidRPr="000E2012">
              <w:rPr>
                <w:rFonts w:eastAsia="Times New Roman" w:cs="Times New Roman"/>
                <w:color w:val="000000"/>
                <w:szCs w:val="24"/>
                <w:lang w:eastAsia="en-IN"/>
              </w:rPr>
              <w:t>ugar crops</w:t>
            </w:r>
          </w:p>
        </w:tc>
        <w:tc>
          <w:tcPr>
            <w:tcW w:w="1258" w:type="dxa"/>
            <w:shd w:val="clear" w:color="000000" w:fill="FFFFFF"/>
            <w:noWrap/>
            <w:vAlign w:val="center"/>
            <w:hideMark/>
          </w:tcPr>
          <w:p w14:paraId="3D575129"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744.43</w:t>
            </w:r>
          </w:p>
        </w:tc>
        <w:tc>
          <w:tcPr>
            <w:tcW w:w="1116" w:type="dxa"/>
            <w:shd w:val="clear" w:color="000000" w:fill="FFFFFF"/>
            <w:noWrap/>
            <w:vAlign w:val="center"/>
            <w:hideMark/>
          </w:tcPr>
          <w:p w14:paraId="59D1691C"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2027.80</w:t>
            </w:r>
          </w:p>
        </w:tc>
        <w:tc>
          <w:tcPr>
            <w:tcW w:w="1134" w:type="dxa"/>
            <w:shd w:val="clear" w:color="000000" w:fill="FFFFFF"/>
            <w:noWrap/>
            <w:vAlign w:val="center"/>
            <w:hideMark/>
          </w:tcPr>
          <w:p w14:paraId="51BA417F"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2023.47</w:t>
            </w:r>
          </w:p>
        </w:tc>
        <w:tc>
          <w:tcPr>
            <w:tcW w:w="1134" w:type="dxa"/>
            <w:shd w:val="clear" w:color="000000" w:fill="FFFFFF"/>
            <w:noWrap/>
            <w:vAlign w:val="center"/>
            <w:hideMark/>
          </w:tcPr>
          <w:p w14:paraId="716F754F"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1834.45</w:t>
            </w:r>
          </w:p>
        </w:tc>
        <w:tc>
          <w:tcPr>
            <w:tcW w:w="1116" w:type="dxa"/>
            <w:shd w:val="clear" w:color="auto" w:fill="auto"/>
            <w:noWrap/>
            <w:vAlign w:val="bottom"/>
            <w:hideMark/>
          </w:tcPr>
          <w:p w14:paraId="5BF43F2C"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146.4</w:t>
            </w:r>
          </w:p>
        </w:tc>
        <w:tc>
          <w:tcPr>
            <w:tcW w:w="992" w:type="dxa"/>
            <w:shd w:val="clear" w:color="auto" w:fill="auto"/>
            <w:noWrap/>
            <w:vAlign w:val="center"/>
            <w:hideMark/>
          </w:tcPr>
          <w:p w14:paraId="44287558"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3.48</w:t>
            </w:r>
          </w:p>
        </w:tc>
      </w:tr>
      <w:tr w:rsidR="00F41BCA" w:rsidRPr="007B6CAD" w14:paraId="3730C35B" w14:textId="77777777" w:rsidTr="00F41BCA">
        <w:trPr>
          <w:trHeight w:val="315"/>
        </w:trPr>
        <w:tc>
          <w:tcPr>
            <w:tcW w:w="2002" w:type="dxa"/>
            <w:shd w:val="clear" w:color="000000" w:fill="FFFFFF"/>
            <w:noWrap/>
            <w:vAlign w:val="center"/>
            <w:hideMark/>
          </w:tcPr>
          <w:p w14:paraId="1284B3BA" w14:textId="11EBA37F" w:rsidR="00F41BCA" w:rsidRPr="000E2012" w:rsidRDefault="00F41BCA" w:rsidP="00F41BCA">
            <w:pPr>
              <w:spacing w:after="0" w:line="240" w:lineRule="auto"/>
              <w:rPr>
                <w:rFonts w:eastAsia="Times New Roman" w:cs="Times New Roman"/>
                <w:color w:val="000000"/>
                <w:szCs w:val="24"/>
                <w:lang w:eastAsia="en-IN"/>
              </w:rPr>
            </w:pPr>
            <w:r w:rsidRPr="000E2012">
              <w:rPr>
                <w:rFonts w:eastAsia="Times New Roman" w:cs="Times New Roman"/>
                <w:color w:val="000000"/>
                <w:szCs w:val="24"/>
                <w:lang w:eastAsia="en-IN"/>
              </w:rPr>
              <w:lastRenderedPageBreak/>
              <w:t xml:space="preserve">Spices </w:t>
            </w:r>
            <w:r>
              <w:rPr>
                <w:rFonts w:eastAsia="Times New Roman" w:cs="Times New Roman"/>
                <w:color w:val="000000"/>
                <w:szCs w:val="24"/>
                <w:lang w:eastAsia="en-IN"/>
              </w:rPr>
              <w:t xml:space="preserve">&amp; </w:t>
            </w:r>
            <w:r w:rsidRPr="000E2012">
              <w:rPr>
                <w:rFonts w:eastAsia="Times New Roman" w:cs="Times New Roman"/>
                <w:color w:val="000000"/>
                <w:szCs w:val="24"/>
                <w:lang w:eastAsia="en-IN"/>
              </w:rPr>
              <w:t>Condiments</w:t>
            </w:r>
          </w:p>
        </w:tc>
        <w:tc>
          <w:tcPr>
            <w:tcW w:w="1258" w:type="dxa"/>
            <w:shd w:val="clear" w:color="000000" w:fill="FFFFFF"/>
            <w:noWrap/>
            <w:vAlign w:val="center"/>
            <w:hideMark/>
          </w:tcPr>
          <w:p w14:paraId="07EF9242"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2680.20</w:t>
            </w:r>
          </w:p>
        </w:tc>
        <w:tc>
          <w:tcPr>
            <w:tcW w:w="1116" w:type="dxa"/>
            <w:shd w:val="clear" w:color="000000" w:fill="FFFFFF"/>
            <w:noWrap/>
            <w:vAlign w:val="center"/>
            <w:hideMark/>
          </w:tcPr>
          <w:p w14:paraId="0CCA9D7C"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2935.60</w:t>
            </w:r>
          </w:p>
        </w:tc>
        <w:tc>
          <w:tcPr>
            <w:tcW w:w="1134" w:type="dxa"/>
            <w:shd w:val="clear" w:color="000000" w:fill="FFFFFF"/>
            <w:noWrap/>
            <w:vAlign w:val="center"/>
            <w:hideMark/>
          </w:tcPr>
          <w:p w14:paraId="540857AA"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2925.40</w:t>
            </w:r>
          </w:p>
        </w:tc>
        <w:tc>
          <w:tcPr>
            <w:tcW w:w="1134" w:type="dxa"/>
            <w:shd w:val="clear" w:color="000000" w:fill="FFFFFF"/>
            <w:noWrap/>
            <w:vAlign w:val="center"/>
            <w:hideMark/>
          </w:tcPr>
          <w:p w14:paraId="5F1808BF"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2436.90</w:t>
            </w:r>
          </w:p>
        </w:tc>
        <w:tc>
          <w:tcPr>
            <w:tcW w:w="1116" w:type="dxa"/>
            <w:shd w:val="clear" w:color="auto" w:fill="auto"/>
            <w:noWrap/>
            <w:vAlign w:val="bottom"/>
            <w:hideMark/>
          </w:tcPr>
          <w:p w14:paraId="3814681F"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-9.1</w:t>
            </w:r>
          </w:p>
        </w:tc>
        <w:tc>
          <w:tcPr>
            <w:tcW w:w="992" w:type="dxa"/>
            <w:shd w:val="clear" w:color="auto" w:fill="auto"/>
            <w:noWrap/>
            <w:vAlign w:val="center"/>
            <w:hideMark/>
          </w:tcPr>
          <w:p w14:paraId="01EB33D9"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4.91</w:t>
            </w:r>
          </w:p>
        </w:tc>
      </w:tr>
      <w:tr w:rsidR="00F41BCA" w:rsidRPr="007B6CAD" w14:paraId="7154072F" w14:textId="77777777" w:rsidTr="00F41BCA">
        <w:trPr>
          <w:trHeight w:val="315"/>
        </w:trPr>
        <w:tc>
          <w:tcPr>
            <w:tcW w:w="2002" w:type="dxa"/>
            <w:shd w:val="clear" w:color="000000" w:fill="FFFFFF"/>
            <w:noWrap/>
            <w:vAlign w:val="center"/>
            <w:hideMark/>
          </w:tcPr>
          <w:p w14:paraId="32238200" w14:textId="77777777" w:rsidR="00F41BCA" w:rsidRPr="000E2012" w:rsidRDefault="00F41BCA" w:rsidP="00DE1947">
            <w:pPr>
              <w:spacing w:after="0" w:line="240" w:lineRule="auto"/>
              <w:rPr>
                <w:rFonts w:eastAsia="Times New Roman" w:cs="Times New Roman"/>
                <w:color w:val="000000"/>
                <w:szCs w:val="24"/>
                <w:lang w:eastAsia="en-IN"/>
              </w:rPr>
            </w:pPr>
            <w:r w:rsidRPr="000E2012">
              <w:rPr>
                <w:rFonts w:eastAsia="Times New Roman" w:cs="Times New Roman"/>
                <w:color w:val="000000"/>
                <w:szCs w:val="24"/>
                <w:lang w:eastAsia="en-IN"/>
              </w:rPr>
              <w:t>Pulses</w:t>
            </w:r>
          </w:p>
        </w:tc>
        <w:tc>
          <w:tcPr>
            <w:tcW w:w="1258" w:type="dxa"/>
            <w:shd w:val="clear" w:color="000000" w:fill="FFFFFF"/>
            <w:noWrap/>
            <w:vAlign w:val="center"/>
            <w:hideMark/>
          </w:tcPr>
          <w:p w14:paraId="173F1364"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644.15</w:t>
            </w:r>
          </w:p>
        </w:tc>
        <w:tc>
          <w:tcPr>
            <w:tcW w:w="1116" w:type="dxa"/>
            <w:shd w:val="clear" w:color="000000" w:fill="FFFFFF"/>
            <w:noWrap/>
            <w:vAlign w:val="center"/>
            <w:hideMark/>
          </w:tcPr>
          <w:p w14:paraId="69D7B18D"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588.10</w:t>
            </w:r>
          </w:p>
        </w:tc>
        <w:tc>
          <w:tcPr>
            <w:tcW w:w="1134" w:type="dxa"/>
            <w:shd w:val="clear" w:color="000000" w:fill="FFFFFF"/>
            <w:noWrap/>
            <w:vAlign w:val="center"/>
            <w:hideMark/>
          </w:tcPr>
          <w:p w14:paraId="12C36057"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591.98</w:t>
            </w:r>
          </w:p>
        </w:tc>
        <w:tc>
          <w:tcPr>
            <w:tcW w:w="1134" w:type="dxa"/>
            <w:shd w:val="clear" w:color="000000" w:fill="FFFFFF"/>
            <w:noWrap/>
            <w:vAlign w:val="center"/>
            <w:hideMark/>
          </w:tcPr>
          <w:p w14:paraId="6C53B595"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598.98</w:t>
            </w:r>
          </w:p>
        </w:tc>
        <w:tc>
          <w:tcPr>
            <w:tcW w:w="1116" w:type="dxa"/>
            <w:shd w:val="clear" w:color="auto" w:fill="auto"/>
            <w:noWrap/>
            <w:vAlign w:val="bottom"/>
            <w:hideMark/>
          </w:tcPr>
          <w:p w14:paraId="6269F602"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-7.0</w:t>
            </w:r>
          </w:p>
        </w:tc>
        <w:tc>
          <w:tcPr>
            <w:tcW w:w="992" w:type="dxa"/>
            <w:shd w:val="clear" w:color="auto" w:fill="auto"/>
            <w:noWrap/>
            <w:vAlign w:val="center"/>
            <w:hideMark/>
          </w:tcPr>
          <w:p w14:paraId="160FA5B0"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1.05</w:t>
            </w:r>
          </w:p>
        </w:tc>
      </w:tr>
      <w:tr w:rsidR="00F41BCA" w:rsidRPr="007B6CAD" w14:paraId="7AA5A6F2" w14:textId="77777777" w:rsidTr="00F41BCA">
        <w:trPr>
          <w:trHeight w:val="315"/>
        </w:trPr>
        <w:tc>
          <w:tcPr>
            <w:tcW w:w="2002" w:type="dxa"/>
            <w:shd w:val="clear" w:color="000000" w:fill="FFFFFF"/>
            <w:noWrap/>
            <w:vAlign w:val="center"/>
            <w:hideMark/>
          </w:tcPr>
          <w:p w14:paraId="25519422" w14:textId="77777777" w:rsidR="00F41BCA" w:rsidRPr="000E2012" w:rsidRDefault="00F41BCA" w:rsidP="00DE1947">
            <w:pPr>
              <w:spacing w:after="0" w:line="240" w:lineRule="auto"/>
              <w:rPr>
                <w:rFonts w:eastAsia="Times New Roman" w:cs="Times New Roman"/>
                <w:color w:val="000000"/>
                <w:szCs w:val="24"/>
                <w:lang w:eastAsia="en-IN"/>
              </w:rPr>
            </w:pPr>
            <w:r w:rsidRPr="000E2012">
              <w:rPr>
                <w:rFonts w:eastAsia="Times New Roman" w:cs="Times New Roman"/>
                <w:color w:val="000000"/>
                <w:szCs w:val="24"/>
                <w:lang w:eastAsia="en-IN"/>
              </w:rPr>
              <w:t>Dry fruits</w:t>
            </w:r>
          </w:p>
        </w:tc>
        <w:tc>
          <w:tcPr>
            <w:tcW w:w="1258" w:type="dxa"/>
            <w:shd w:val="clear" w:color="000000" w:fill="FFFFFF"/>
            <w:noWrap/>
            <w:vAlign w:val="center"/>
            <w:hideMark/>
          </w:tcPr>
          <w:p w14:paraId="45AC990B"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3068.64</w:t>
            </w:r>
          </w:p>
        </w:tc>
        <w:tc>
          <w:tcPr>
            <w:tcW w:w="1116" w:type="dxa"/>
            <w:shd w:val="clear" w:color="000000" w:fill="FFFFFF"/>
            <w:noWrap/>
            <w:vAlign w:val="center"/>
            <w:hideMark/>
          </w:tcPr>
          <w:p w14:paraId="097819C9"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3748.10</w:t>
            </w:r>
          </w:p>
        </w:tc>
        <w:tc>
          <w:tcPr>
            <w:tcW w:w="1134" w:type="dxa"/>
            <w:shd w:val="clear" w:color="000000" w:fill="FFFFFF"/>
            <w:noWrap/>
            <w:vAlign w:val="center"/>
            <w:hideMark/>
          </w:tcPr>
          <w:p w14:paraId="5F81DEE0"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2748.12</w:t>
            </w:r>
          </w:p>
        </w:tc>
        <w:tc>
          <w:tcPr>
            <w:tcW w:w="1134" w:type="dxa"/>
            <w:shd w:val="clear" w:color="000000" w:fill="FFFFFF"/>
            <w:noWrap/>
            <w:vAlign w:val="center"/>
            <w:hideMark/>
          </w:tcPr>
          <w:p w14:paraId="145033AF"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2337.21</w:t>
            </w:r>
          </w:p>
        </w:tc>
        <w:tc>
          <w:tcPr>
            <w:tcW w:w="1116" w:type="dxa"/>
            <w:shd w:val="clear" w:color="auto" w:fill="auto"/>
            <w:noWrap/>
            <w:vAlign w:val="bottom"/>
            <w:hideMark/>
          </w:tcPr>
          <w:p w14:paraId="63DB8129"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-23.8</w:t>
            </w:r>
          </w:p>
        </w:tc>
        <w:tc>
          <w:tcPr>
            <w:tcW w:w="992" w:type="dxa"/>
            <w:shd w:val="clear" w:color="auto" w:fill="auto"/>
            <w:noWrap/>
            <w:vAlign w:val="center"/>
            <w:hideMark/>
          </w:tcPr>
          <w:p w14:paraId="76F6F1C2"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5.22</w:t>
            </w:r>
          </w:p>
        </w:tc>
      </w:tr>
      <w:tr w:rsidR="00F41BCA" w:rsidRPr="007B6CAD" w14:paraId="2624837E" w14:textId="77777777" w:rsidTr="00F41BCA">
        <w:trPr>
          <w:trHeight w:val="315"/>
        </w:trPr>
        <w:tc>
          <w:tcPr>
            <w:tcW w:w="2002" w:type="dxa"/>
            <w:shd w:val="clear" w:color="000000" w:fill="FFFFFF"/>
            <w:noWrap/>
            <w:vAlign w:val="center"/>
            <w:hideMark/>
          </w:tcPr>
          <w:p w14:paraId="3A4281F6" w14:textId="77777777" w:rsidR="00F41BCA" w:rsidRPr="000E2012" w:rsidRDefault="00F41BCA" w:rsidP="00DE1947">
            <w:pPr>
              <w:spacing w:after="0" w:line="240" w:lineRule="auto"/>
              <w:rPr>
                <w:rFonts w:eastAsia="Times New Roman" w:cs="Times New Roman"/>
                <w:color w:val="000000"/>
                <w:szCs w:val="24"/>
                <w:lang w:eastAsia="en-IN"/>
              </w:rPr>
            </w:pPr>
            <w:r w:rsidRPr="000E2012">
              <w:rPr>
                <w:rFonts w:eastAsia="Times New Roman" w:cs="Times New Roman"/>
                <w:color w:val="000000"/>
                <w:szCs w:val="24"/>
                <w:lang w:eastAsia="en-IN"/>
              </w:rPr>
              <w:t>Medicinal (Herbal/Aromatic)</w:t>
            </w:r>
          </w:p>
        </w:tc>
        <w:tc>
          <w:tcPr>
            <w:tcW w:w="1258" w:type="dxa"/>
            <w:shd w:val="clear" w:color="000000" w:fill="FFFFFF"/>
            <w:noWrap/>
            <w:vAlign w:val="center"/>
            <w:hideMark/>
          </w:tcPr>
          <w:p w14:paraId="24808D8A"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1046.23</w:t>
            </w:r>
          </w:p>
        </w:tc>
        <w:tc>
          <w:tcPr>
            <w:tcW w:w="1116" w:type="dxa"/>
            <w:shd w:val="clear" w:color="000000" w:fill="FFFFFF"/>
            <w:noWrap/>
            <w:vAlign w:val="center"/>
            <w:hideMark/>
          </w:tcPr>
          <w:p w14:paraId="72C2B26F"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137.70</w:t>
            </w:r>
          </w:p>
        </w:tc>
        <w:tc>
          <w:tcPr>
            <w:tcW w:w="1134" w:type="dxa"/>
            <w:shd w:val="clear" w:color="000000" w:fill="FFFFFF"/>
            <w:noWrap/>
            <w:vAlign w:val="center"/>
            <w:hideMark/>
          </w:tcPr>
          <w:p w14:paraId="32443B38"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1462.40</w:t>
            </w:r>
          </w:p>
        </w:tc>
        <w:tc>
          <w:tcPr>
            <w:tcW w:w="1134" w:type="dxa"/>
            <w:shd w:val="clear" w:color="000000" w:fill="FFFFFF"/>
            <w:noWrap/>
            <w:vAlign w:val="center"/>
            <w:hideMark/>
          </w:tcPr>
          <w:p w14:paraId="7EA0A696"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1799.98</w:t>
            </w:r>
          </w:p>
        </w:tc>
        <w:tc>
          <w:tcPr>
            <w:tcW w:w="1116" w:type="dxa"/>
            <w:shd w:val="clear" w:color="auto" w:fill="auto"/>
            <w:noWrap/>
            <w:vAlign w:val="bottom"/>
            <w:hideMark/>
          </w:tcPr>
          <w:p w14:paraId="7423C120"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72.0</w:t>
            </w:r>
          </w:p>
        </w:tc>
        <w:tc>
          <w:tcPr>
            <w:tcW w:w="992" w:type="dxa"/>
            <w:shd w:val="clear" w:color="auto" w:fill="auto"/>
            <w:noWrap/>
            <w:vAlign w:val="center"/>
            <w:hideMark/>
          </w:tcPr>
          <w:p w14:paraId="1AB4D38D"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2.01</w:t>
            </w:r>
          </w:p>
        </w:tc>
      </w:tr>
      <w:tr w:rsidR="00F41BCA" w:rsidRPr="007B6CAD" w14:paraId="7A9D1485" w14:textId="77777777" w:rsidTr="00F41BCA">
        <w:trPr>
          <w:trHeight w:val="315"/>
        </w:trPr>
        <w:tc>
          <w:tcPr>
            <w:tcW w:w="2002" w:type="dxa"/>
            <w:shd w:val="clear" w:color="000000" w:fill="FFFFFF"/>
            <w:noWrap/>
            <w:vAlign w:val="center"/>
            <w:hideMark/>
          </w:tcPr>
          <w:p w14:paraId="4DF4D80C" w14:textId="77777777" w:rsidR="00F41BCA" w:rsidRPr="000E2012" w:rsidRDefault="00F41BCA" w:rsidP="00DE1947">
            <w:pPr>
              <w:spacing w:after="0" w:line="240" w:lineRule="auto"/>
              <w:rPr>
                <w:rFonts w:eastAsia="Times New Roman" w:cs="Times New Roman"/>
                <w:color w:val="000000"/>
                <w:szCs w:val="24"/>
                <w:lang w:eastAsia="en-IN"/>
              </w:rPr>
            </w:pPr>
            <w:r w:rsidRPr="000E2012">
              <w:rPr>
                <w:rFonts w:eastAsia="Times New Roman" w:cs="Times New Roman"/>
                <w:color w:val="000000"/>
                <w:szCs w:val="24"/>
                <w:lang w:eastAsia="en-IN"/>
              </w:rPr>
              <w:t>Plantation (also Coffee and Tea)</w:t>
            </w:r>
          </w:p>
        </w:tc>
        <w:tc>
          <w:tcPr>
            <w:tcW w:w="1258" w:type="dxa"/>
            <w:shd w:val="clear" w:color="000000" w:fill="FFFFFF"/>
            <w:noWrap/>
            <w:vAlign w:val="center"/>
            <w:hideMark/>
          </w:tcPr>
          <w:p w14:paraId="4511132F"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3123.64</w:t>
            </w:r>
          </w:p>
        </w:tc>
        <w:tc>
          <w:tcPr>
            <w:tcW w:w="1116" w:type="dxa"/>
            <w:shd w:val="clear" w:color="000000" w:fill="FFFFFF"/>
            <w:noWrap/>
            <w:vAlign w:val="center"/>
            <w:hideMark/>
          </w:tcPr>
          <w:p w14:paraId="3B19CF36"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4085.65</w:t>
            </w:r>
          </w:p>
        </w:tc>
        <w:tc>
          <w:tcPr>
            <w:tcW w:w="1134" w:type="dxa"/>
            <w:shd w:val="clear" w:color="000000" w:fill="FFFFFF"/>
            <w:noWrap/>
            <w:vAlign w:val="center"/>
            <w:hideMark/>
          </w:tcPr>
          <w:p w14:paraId="682F1BFD"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3980.89</w:t>
            </w:r>
          </w:p>
        </w:tc>
        <w:tc>
          <w:tcPr>
            <w:tcW w:w="1134" w:type="dxa"/>
            <w:shd w:val="clear" w:color="000000" w:fill="FFFFFF"/>
            <w:noWrap/>
            <w:vAlign w:val="center"/>
            <w:hideMark/>
          </w:tcPr>
          <w:p w14:paraId="72519CC9"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4501.33</w:t>
            </w:r>
          </w:p>
        </w:tc>
        <w:tc>
          <w:tcPr>
            <w:tcW w:w="1116" w:type="dxa"/>
            <w:shd w:val="clear" w:color="auto" w:fill="auto"/>
            <w:noWrap/>
            <w:vAlign w:val="bottom"/>
            <w:hideMark/>
          </w:tcPr>
          <w:p w14:paraId="3FF8D018"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44.1</w:t>
            </w:r>
          </w:p>
        </w:tc>
        <w:tc>
          <w:tcPr>
            <w:tcW w:w="992" w:type="dxa"/>
            <w:shd w:val="clear" w:color="auto" w:fill="auto"/>
            <w:noWrap/>
            <w:vAlign w:val="center"/>
            <w:hideMark/>
          </w:tcPr>
          <w:p w14:paraId="4753F2F9"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7.43</w:t>
            </w:r>
          </w:p>
        </w:tc>
      </w:tr>
      <w:tr w:rsidR="00F41BCA" w:rsidRPr="007B6CAD" w14:paraId="4F407332" w14:textId="77777777" w:rsidTr="00F41BCA">
        <w:trPr>
          <w:trHeight w:val="315"/>
        </w:trPr>
        <w:tc>
          <w:tcPr>
            <w:tcW w:w="2002" w:type="dxa"/>
            <w:shd w:val="clear" w:color="000000" w:fill="FFFFFF"/>
            <w:noWrap/>
            <w:vAlign w:val="center"/>
            <w:hideMark/>
          </w:tcPr>
          <w:p w14:paraId="7EACD64A" w14:textId="77777777" w:rsidR="00F41BCA" w:rsidRPr="000E2012" w:rsidRDefault="00F41BCA" w:rsidP="00DE1947">
            <w:pPr>
              <w:spacing w:after="0" w:line="240" w:lineRule="auto"/>
              <w:rPr>
                <w:rFonts w:eastAsia="Times New Roman" w:cs="Times New Roman"/>
                <w:color w:val="000000"/>
                <w:szCs w:val="24"/>
                <w:lang w:eastAsia="en-IN"/>
              </w:rPr>
            </w:pPr>
            <w:r w:rsidRPr="000E2012">
              <w:rPr>
                <w:rFonts w:eastAsia="Times New Roman" w:cs="Times New Roman"/>
                <w:color w:val="000000"/>
                <w:szCs w:val="24"/>
                <w:lang w:eastAsia="en-IN"/>
              </w:rPr>
              <w:t>Others</w:t>
            </w:r>
          </w:p>
        </w:tc>
        <w:tc>
          <w:tcPr>
            <w:tcW w:w="1258" w:type="dxa"/>
            <w:shd w:val="clear" w:color="000000" w:fill="FFFFFF"/>
            <w:noWrap/>
            <w:vAlign w:val="center"/>
            <w:hideMark/>
          </w:tcPr>
          <w:p w14:paraId="47A5D1A3"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482.51</w:t>
            </w:r>
          </w:p>
        </w:tc>
        <w:tc>
          <w:tcPr>
            <w:tcW w:w="1116" w:type="dxa"/>
            <w:shd w:val="clear" w:color="000000" w:fill="FFFFFF"/>
            <w:noWrap/>
            <w:vAlign w:val="center"/>
            <w:hideMark/>
          </w:tcPr>
          <w:p w14:paraId="3F6844B0"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764.00</w:t>
            </w:r>
          </w:p>
        </w:tc>
        <w:tc>
          <w:tcPr>
            <w:tcW w:w="1134" w:type="dxa"/>
            <w:shd w:val="clear" w:color="000000" w:fill="FFFFFF"/>
            <w:noWrap/>
            <w:vAlign w:val="center"/>
            <w:hideMark/>
          </w:tcPr>
          <w:p w14:paraId="1E1FF20D"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243.37</w:t>
            </w:r>
          </w:p>
        </w:tc>
        <w:tc>
          <w:tcPr>
            <w:tcW w:w="1134" w:type="dxa"/>
            <w:shd w:val="clear" w:color="000000" w:fill="FFFFFF"/>
            <w:noWrap/>
            <w:vAlign w:val="center"/>
            <w:hideMark/>
          </w:tcPr>
          <w:p w14:paraId="4A959598" w14:textId="77777777" w:rsidR="00F41BCA" w:rsidRPr="009529E7" w:rsidRDefault="00F41BCA"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619.07</w:t>
            </w:r>
          </w:p>
        </w:tc>
        <w:tc>
          <w:tcPr>
            <w:tcW w:w="1116" w:type="dxa"/>
            <w:shd w:val="clear" w:color="auto" w:fill="auto"/>
            <w:noWrap/>
            <w:vAlign w:val="bottom"/>
            <w:hideMark/>
          </w:tcPr>
          <w:p w14:paraId="6798BCE3"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23C5C">
              <w:rPr>
                <w:rFonts w:cs="Times New Roman"/>
                <w:color w:val="000000"/>
                <w:szCs w:val="24"/>
              </w:rPr>
              <w:t>28.3</w:t>
            </w:r>
          </w:p>
        </w:tc>
        <w:tc>
          <w:tcPr>
            <w:tcW w:w="992" w:type="dxa"/>
            <w:shd w:val="clear" w:color="auto" w:fill="auto"/>
            <w:noWrap/>
            <w:vAlign w:val="center"/>
            <w:hideMark/>
          </w:tcPr>
          <w:p w14:paraId="6993340B" w14:textId="77777777" w:rsidR="00F41BCA" w:rsidRPr="000E2012" w:rsidRDefault="00F41BCA" w:rsidP="00DE1947">
            <w:pPr>
              <w:spacing w:after="0" w:line="240" w:lineRule="auto"/>
              <w:jc w:val="center"/>
              <w:rPr>
                <w:rFonts w:eastAsia="Times New Roman" w:cs="Times New Roman"/>
                <w:color w:val="000000"/>
                <w:szCs w:val="24"/>
                <w:lang w:eastAsia="en-IN"/>
              </w:rPr>
            </w:pPr>
            <w:r w:rsidRPr="000E2012">
              <w:rPr>
                <w:rFonts w:eastAsia="Times New Roman" w:cs="Times New Roman"/>
                <w:color w:val="000000"/>
                <w:szCs w:val="24"/>
                <w:lang w:eastAsia="en-IN"/>
              </w:rPr>
              <w:t>0.96</w:t>
            </w:r>
          </w:p>
        </w:tc>
      </w:tr>
      <w:tr w:rsidR="00F41BCA" w:rsidRPr="007B6CAD" w14:paraId="38EE5017" w14:textId="77777777" w:rsidTr="00F41BCA">
        <w:trPr>
          <w:trHeight w:val="315"/>
        </w:trPr>
        <w:tc>
          <w:tcPr>
            <w:tcW w:w="2002" w:type="dxa"/>
            <w:shd w:val="clear" w:color="auto" w:fill="auto"/>
            <w:noWrap/>
            <w:vAlign w:val="bottom"/>
            <w:hideMark/>
          </w:tcPr>
          <w:p w14:paraId="1224B97D" w14:textId="77777777" w:rsidR="00F41BCA" w:rsidRPr="00F41BCA" w:rsidRDefault="00F41BCA" w:rsidP="00DE1947">
            <w:pPr>
              <w:spacing w:after="0" w:line="240" w:lineRule="auto"/>
              <w:rPr>
                <w:rFonts w:eastAsia="Times New Roman" w:cs="Times New Roman"/>
                <w:bCs/>
                <w:color w:val="000000"/>
                <w:szCs w:val="24"/>
                <w:lang w:eastAsia="en-IN"/>
              </w:rPr>
            </w:pPr>
            <w:r w:rsidRPr="00F41BCA">
              <w:rPr>
                <w:rFonts w:eastAsia="Times New Roman" w:cs="Times New Roman"/>
                <w:bCs/>
                <w:color w:val="000000"/>
                <w:szCs w:val="24"/>
                <w:lang w:eastAsia="en-IN"/>
              </w:rPr>
              <w:t xml:space="preserve">Total </w:t>
            </w:r>
          </w:p>
        </w:tc>
        <w:tc>
          <w:tcPr>
            <w:tcW w:w="1258" w:type="dxa"/>
            <w:shd w:val="clear" w:color="000000" w:fill="FFFFFF"/>
            <w:noWrap/>
            <w:vAlign w:val="center"/>
            <w:hideMark/>
          </w:tcPr>
          <w:p w14:paraId="25EC9880"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cs="Times New Roman"/>
                <w:bCs/>
                <w:color w:val="000000"/>
                <w:szCs w:val="24"/>
              </w:rPr>
              <w:t>34534.80</w:t>
            </w:r>
          </w:p>
        </w:tc>
        <w:tc>
          <w:tcPr>
            <w:tcW w:w="1116" w:type="dxa"/>
            <w:shd w:val="clear" w:color="000000" w:fill="FFFFFF"/>
            <w:noWrap/>
            <w:vAlign w:val="center"/>
            <w:hideMark/>
          </w:tcPr>
          <w:p w14:paraId="00A320CC"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cs="Times New Roman"/>
                <w:bCs/>
                <w:color w:val="000000"/>
                <w:szCs w:val="24"/>
              </w:rPr>
              <w:t>51509.90</w:t>
            </w:r>
          </w:p>
        </w:tc>
        <w:tc>
          <w:tcPr>
            <w:tcW w:w="1134" w:type="dxa"/>
            <w:shd w:val="clear" w:color="000000" w:fill="FFFFFF"/>
            <w:noWrap/>
            <w:vAlign w:val="center"/>
            <w:hideMark/>
          </w:tcPr>
          <w:p w14:paraId="0D2DF1BA"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cs="Times New Roman"/>
                <w:bCs/>
                <w:color w:val="000000"/>
                <w:szCs w:val="24"/>
              </w:rPr>
              <w:t>46859.08</w:t>
            </w:r>
          </w:p>
        </w:tc>
        <w:tc>
          <w:tcPr>
            <w:tcW w:w="1134" w:type="dxa"/>
            <w:shd w:val="clear" w:color="000000" w:fill="FFFFFF"/>
            <w:noWrap/>
            <w:vAlign w:val="center"/>
            <w:hideMark/>
          </w:tcPr>
          <w:p w14:paraId="369F2837"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cs="Times New Roman"/>
                <w:bCs/>
                <w:color w:val="000000"/>
                <w:szCs w:val="24"/>
              </w:rPr>
              <w:t>70784.95</w:t>
            </w:r>
          </w:p>
        </w:tc>
        <w:tc>
          <w:tcPr>
            <w:tcW w:w="1116" w:type="dxa"/>
            <w:shd w:val="clear" w:color="auto" w:fill="auto"/>
            <w:noWrap/>
            <w:vAlign w:val="bottom"/>
            <w:hideMark/>
          </w:tcPr>
          <w:p w14:paraId="12D69B70"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eastAsia="Times New Roman" w:cs="Times New Roman"/>
                <w:bCs/>
                <w:color w:val="000000"/>
                <w:szCs w:val="24"/>
                <w:lang w:eastAsia="en-IN"/>
              </w:rPr>
              <w:t>105</w:t>
            </w:r>
          </w:p>
        </w:tc>
        <w:tc>
          <w:tcPr>
            <w:tcW w:w="992" w:type="dxa"/>
            <w:shd w:val="clear" w:color="auto" w:fill="auto"/>
            <w:noWrap/>
            <w:vAlign w:val="bottom"/>
            <w:hideMark/>
          </w:tcPr>
          <w:p w14:paraId="4E15E490" w14:textId="77777777" w:rsidR="00F41BCA" w:rsidRPr="00F41BCA" w:rsidRDefault="00F41BCA" w:rsidP="00DE1947">
            <w:pPr>
              <w:spacing w:after="0" w:line="240" w:lineRule="auto"/>
              <w:jc w:val="center"/>
              <w:rPr>
                <w:rFonts w:eastAsia="Times New Roman" w:cs="Times New Roman"/>
                <w:bCs/>
                <w:color w:val="000000"/>
                <w:szCs w:val="24"/>
                <w:lang w:eastAsia="en-IN"/>
              </w:rPr>
            </w:pPr>
            <w:r w:rsidRPr="00F41BCA">
              <w:rPr>
                <w:rFonts w:eastAsia="Times New Roman" w:cs="Times New Roman"/>
                <w:bCs/>
                <w:color w:val="000000"/>
                <w:szCs w:val="24"/>
                <w:lang w:eastAsia="en-IN"/>
              </w:rPr>
              <w:t>-</w:t>
            </w:r>
          </w:p>
        </w:tc>
      </w:tr>
    </w:tbl>
    <w:p w14:paraId="29834BC9" w14:textId="66371CAA" w:rsidR="00A7730C" w:rsidRPr="007B6CAD" w:rsidRDefault="00A7730C" w:rsidP="00A7730C">
      <w:pPr>
        <w:rPr>
          <w:rFonts w:cs="Times New Roman"/>
          <w:szCs w:val="24"/>
        </w:rPr>
      </w:pPr>
      <w:r>
        <w:rPr>
          <w:rFonts w:cs="Times New Roman"/>
          <w:szCs w:val="24"/>
        </w:rPr>
        <w:t>Source: Various issues of DGCIS, Go</w:t>
      </w:r>
      <w:r w:rsidR="00F41BCA">
        <w:rPr>
          <w:rFonts w:cs="Times New Roman"/>
          <w:szCs w:val="24"/>
        </w:rPr>
        <w:t xml:space="preserve">vernment of </w:t>
      </w:r>
      <w:r>
        <w:rPr>
          <w:rFonts w:cs="Times New Roman"/>
          <w:szCs w:val="24"/>
        </w:rPr>
        <w:t>I</w:t>
      </w:r>
      <w:r w:rsidR="00F41BCA">
        <w:rPr>
          <w:rFonts w:cs="Times New Roman"/>
          <w:szCs w:val="24"/>
        </w:rPr>
        <w:t>ndia</w:t>
      </w:r>
    </w:p>
    <w:p w14:paraId="2CFF3829" w14:textId="108D6E4F" w:rsidR="00A7730C" w:rsidRDefault="00F41BCA" w:rsidP="00A7730C">
      <w:pPr>
        <w:spacing w:line="360" w:lineRule="auto"/>
        <w:jc w:val="both"/>
        <w:rPr>
          <w:rFonts w:cs="Times New Roman"/>
          <w:szCs w:val="24"/>
        </w:rPr>
      </w:pPr>
      <w:r>
        <w:rPr>
          <w:rFonts w:cs="Times New Roman"/>
          <w:szCs w:val="24"/>
        </w:rPr>
        <w:t>The state-wise t</w:t>
      </w:r>
      <w:r w:rsidR="00A7730C">
        <w:rPr>
          <w:rFonts w:cs="Times New Roman"/>
          <w:szCs w:val="24"/>
        </w:rPr>
        <w:t xml:space="preserve">rade of organic commodities </w:t>
      </w:r>
      <w:r>
        <w:rPr>
          <w:rFonts w:cs="Times New Roman"/>
          <w:szCs w:val="24"/>
        </w:rPr>
        <w:t xml:space="preserve">is presented in </w:t>
      </w:r>
      <w:r w:rsidR="00A7730C">
        <w:rPr>
          <w:rFonts w:cs="Times New Roman"/>
          <w:szCs w:val="24"/>
        </w:rPr>
        <w:t xml:space="preserve">Table 7. Madhya Pradesh (MP) is </w:t>
      </w:r>
      <w:r>
        <w:rPr>
          <w:rFonts w:cs="Times New Roman"/>
          <w:szCs w:val="24"/>
        </w:rPr>
        <w:t xml:space="preserve">the </w:t>
      </w:r>
      <w:r w:rsidR="00A7730C">
        <w:rPr>
          <w:rFonts w:cs="Times New Roman"/>
          <w:szCs w:val="24"/>
        </w:rPr>
        <w:t xml:space="preserve">single largest state contributing </w:t>
      </w:r>
      <w:r>
        <w:rPr>
          <w:rFonts w:cs="Times New Roman"/>
          <w:szCs w:val="24"/>
        </w:rPr>
        <w:t>to</w:t>
      </w:r>
      <w:r w:rsidR="00A7730C">
        <w:rPr>
          <w:rFonts w:cs="Times New Roman"/>
          <w:szCs w:val="24"/>
        </w:rPr>
        <w:t xml:space="preserve"> </w:t>
      </w:r>
      <w:r>
        <w:rPr>
          <w:rFonts w:cs="Times New Roman"/>
          <w:szCs w:val="24"/>
        </w:rPr>
        <w:t xml:space="preserve">the </w:t>
      </w:r>
      <w:r w:rsidR="00A7730C">
        <w:rPr>
          <w:rFonts w:cs="Times New Roman"/>
          <w:szCs w:val="24"/>
        </w:rPr>
        <w:t xml:space="preserve">export of organic goods to different countries with </w:t>
      </w:r>
      <w:r>
        <w:rPr>
          <w:rFonts w:cs="Times New Roman"/>
          <w:szCs w:val="24"/>
        </w:rPr>
        <w:t>a</w:t>
      </w:r>
      <w:r w:rsidR="00A7730C">
        <w:rPr>
          <w:rFonts w:cs="Times New Roman"/>
          <w:szCs w:val="24"/>
        </w:rPr>
        <w:t xml:space="preserve"> share of 55 % of </w:t>
      </w:r>
      <w:r>
        <w:rPr>
          <w:rFonts w:cs="Times New Roman"/>
          <w:szCs w:val="24"/>
        </w:rPr>
        <w:t xml:space="preserve">the </w:t>
      </w:r>
      <w:r w:rsidR="00A7730C">
        <w:rPr>
          <w:rFonts w:cs="Times New Roman"/>
          <w:szCs w:val="24"/>
        </w:rPr>
        <w:t>total quantity and 34 %</w:t>
      </w:r>
      <w:r>
        <w:rPr>
          <w:rFonts w:cs="Times New Roman"/>
          <w:szCs w:val="24"/>
        </w:rPr>
        <w:t xml:space="preserve"> </w:t>
      </w:r>
      <w:r w:rsidR="00A7730C">
        <w:rPr>
          <w:rFonts w:cs="Times New Roman"/>
          <w:szCs w:val="24"/>
        </w:rPr>
        <w:t xml:space="preserve">of </w:t>
      </w:r>
      <w:r>
        <w:rPr>
          <w:rFonts w:cs="Times New Roman"/>
          <w:szCs w:val="24"/>
        </w:rPr>
        <w:t xml:space="preserve">the </w:t>
      </w:r>
      <w:r w:rsidR="00A7730C">
        <w:rPr>
          <w:rFonts w:cs="Times New Roman"/>
          <w:szCs w:val="24"/>
        </w:rPr>
        <w:t xml:space="preserve">total </w:t>
      </w:r>
      <w:r w:rsidR="00AD04AF">
        <w:rPr>
          <w:rFonts w:cs="Times New Roman"/>
          <w:szCs w:val="24"/>
        </w:rPr>
        <w:t xml:space="preserve">value. Maharashtra, </w:t>
      </w:r>
      <w:r w:rsidR="00A7730C">
        <w:rPr>
          <w:rFonts w:cs="Times New Roman"/>
          <w:szCs w:val="24"/>
        </w:rPr>
        <w:t>Gujarat</w:t>
      </w:r>
      <w:r w:rsidR="00AD04AF">
        <w:rPr>
          <w:rFonts w:cs="Times New Roman"/>
          <w:szCs w:val="24"/>
        </w:rPr>
        <w:t>, and Madhya Pradesh</w:t>
      </w:r>
      <w:r w:rsidR="00A7730C">
        <w:rPr>
          <w:rFonts w:cs="Times New Roman"/>
          <w:szCs w:val="24"/>
        </w:rPr>
        <w:t xml:space="preserve"> </w:t>
      </w:r>
      <w:r w:rsidR="00AD04AF">
        <w:rPr>
          <w:rFonts w:cs="Times New Roman"/>
          <w:szCs w:val="24"/>
        </w:rPr>
        <w:t>hold a share of 10</w:t>
      </w:r>
      <w:r w:rsidR="00A7730C">
        <w:rPr>
          <w:rFonts w:cs="Times New Roman"/>
          <w:szCs w:val="24"/>
        </w:rPr>
        <w:t xml:space="preserve"> % each </w:t>
      </w:r>
      <w:r w:rsidR="00AD04AF">
        <w:rPr>
          <w:rFonts w:cs="Times New Roman"/>
          <w:szCs w:val="24"/>
        </w:rPr>
        <w:t xml:space="preserve">in terms of </w:t>
      </w:r>
      <w:r w:rsidR="00A7730C">
        <w:rPr>
          <w:rFonts w:cs="Times New Roman"/>
          <w:szCs w:val="24"/>
        </w:rPr>
        <w:t xml:space="preserve">value. Kerala is exporting 1.1 % of goods with </w:t>
      </w:r>
      <w:r w:rsidR="00DB2122">
        <w:rPr>
          <w:rFonts w:cs="Times New Roman"/>
          <w:szCs w:val="24"/>
        </w:rPr>
        <w:t xml:space="preserve">a </w:t>
      </w:r>
      <w:r w:rsidR="00A7730C">
        <w:rPr>
          <w:rFonts w:cs="Times New Roman"/>
          <w:szCs w:val="24"/>
        </w:rPr>
        <w:t xml:space="preserve">value of 5.5 % as these are majorly spices which are </w:t>
      </w:r>
      <w:r w:rsidR="00DB2122">
        <w:rPr>
          <w:rFonts w:cs="Times New Roman"/>
          <w:szCs w:val="24"/>
        </w:rPr>
        <w:t>high-value</w:t>
      </w:r>
      <w:r w:rsidR="00A7730C">
        <w:rPr>
          <w:rFonts w:cs="Times New Roman"/>
          <w:szCs w:val="24"/>
        </w:rPr>
        <w:t xml:space="preserve"> commodities. </w:t>
      </w:r>
      <w:r w:rsidR="00DB2122">
        <w:rPr>
          <w:rFonts w:cs="Times New Roman"/>
          <w:szCs w:val="24"/>
        </w:rPr>
        <w:t>Madhya Pradesh predominantly exports s</w:t>
      </w:r>
      <w:r w:rsidR="00A7730C">
        <w:rPr>
          <w:rFonts w:cs="Times New Roman"/>
          <w:szCs w:val="24"/>
        </w:rPr>
        <w:t>oybean and cereals</w:t>
      </w:r>
      <w:r w:rsidR="00DB2122">
        <w:rPr>
          <w:rFonts w:cs="Times New Roman"/>
          <w:szCs w:val="24"/>
        </w:rPr>
        <w:t>, which</w:t>
      </w:r>
      <w:r w:rsidR="00A7730C">
        <w:rPr>
          <w:rFonts w:cs="Times New Roman"/>
          <w:szCs w:val="24"/>
        </w:rPr>
        <w:t xml:space="preserve"> are major commodities </w:t>
      </w:r>
      <w:r w:rsidR="00DB2122">
        <w:rPr>
          <w:rFonts w:cs="Times New Roman"/>
          <w:szCs w:val="24"/>
        </w:rPr>
        <w:t>from the state</w:t>
      </w:r>
      <w:r w:rsidR="00A7730C">
        <w:rPr>
          <w:rFonts w:cs="Times New Roman"/>
          <w:szCs w:val="24"/>
        </w:rPr>
        <w:t xml:space="preserve">. </w:t>
      </w:r>
      <w:r w:rsidR="00DB2122">
        <w:rPr>
          <w:rFonts w:cs="Times New Roman"/>
          <w:szCs w:val="24"/>
        </w:rPr>
        <w:t>About t</w:t>
      </w:r>
      <w:r w:rsidR="00A7730C">
        <w:rPr>
          <w:rFonts w:cs="Times New Roman"/>
          <w:szCs w:val="24"/>
        </w:rPr>
        <w:t xml:space="preserve">wenty-three states </w:t>
      </w:r>
      <w:r w:rsidR="00DB2122">
        <w:rPr>
          <w:rFonts w:cs="Times New Roman"/>
          <w:szCs w:val="24"/>
        </w:rPr>
        <w:t xml:space="preserve">were </w:t>
      </w:r>
      <w:r w:rsidR="00A7730C">
        <w:rPr>
          <w:rFonts w:cs="Times New Roman"/>
          <w:szCs w:val="24"/>
        </w:rPr>
        <w:t xml:space="preserve">involved in </w:t>
      </w:r>
      <w:r w:rsidR="00DB2122">
        <w:rPr>
          <w:rFonts w:cs="Times New Roman"/>
          <w:szCs w:val="24"/>
        </w:rPr>
        <w:t xml:space="preserve">the </w:t>
      </w:r>
      <w:r w:rsidR="00A7730C">
        <w:rPr>
          <w:rFonts w:cs="Times New Roman"/>
          <w:szCs w:val="24"/>
        </w:rPr>
        <w:t xml:space="preserve">export of organic goods of quantity 713.75 </w:t>
      </w:r>
      <w:r w:rsidR="00DB2122">
        <w:rPr>
          <w:rFonts w:cs="Times New Roman"/>
          <w:szCs w:val="24"/>
        </w:rPr>
        <w:t xml:space="preserve">thousand </w:t>
      </w:r>
      <w:r w:rsidR="00A7730C">
        <w:rPr>
          <w:rFonts w:cs="Times New Roman"/>
          <w:szCs w:val="24"/>
        </w:rPr>
        <w:t xml:space="preserve">MT with a value of </w:t>
      </w:r>
      <w:r w:rsidR="00DB2122" w:rsidRPr="00E66159">
        <w:rPr>
          <w:rFonts w:cs="Times New Roman"/>
          <w:szCs w:val="24"/>
        </w:rPr>
        <w:t>₹</w:t>
      </w:r>
      <w:r w:rsidR="00DB2122">
        <w:rPr>
          <w:rFonts w:cs="Times New Roman"/>
          <w:szCs w:val="24"/>
        </w:rPr>
        <w:t xml:space="preserve">56384.6 million in TE2020. The </w:t>
      </w:r>
      <w:r w:rsidR="00A7730C">
        <w:rPr>
          <w:rFonts w:cs="Times New Roman"/>
          <w:szCs w:val="24"/>
        </w:rPr>
        <w:t xml:space="preserve">top 10 states in the list contribute about 85 % of </w:t>
      </w:r>
      <w:r w:rsidR="00DB2122">
        <w:rPr>
          <w:rFonts w:cs="Times New Roman"/>
          <w:szCs w:val="24"/>
        </w:rPr>
        <w:t xml:space="preserve">the </w:t>
      </w:r>
      <w:r w:rsidR="00A7730C">
        <w:rPr>
          <w:rFonts w:cs="Times New Roman"/>
          <w:szCs w:val="24"/>
        </w:rPr>
        <w:t xml:space="preserve">total value of organic products exported from India. </w:t>
      </w:r>
    </w:p>
    <w:p w14:paraId="561A4413" w14:textId="32FDF11C" w:rsidR="00A7730C" w:rsidRPr="00BA4CC1" w:rsidRDefault="00A7730C" w:rsidP="00A7730C">
      <w:pPr>
        <w:rPr>
          <w:rFonts w:cs="Times New Roman"/>
          <w:szCs w:val="24"/>
        </w:rPr>
      </w:pPr>
      <w:r w:rsidRPr="00BA4CC1">
        <w:rPr>
          <w:rFonts w:cs="Times New Roman"/>
          <w:szCs w:val="24"/>
        </w:rPr>
        <w:t xml:space="preserve">Table 7. State wise major exporting of organic </w:t>
      </w:r>
      <w:r w:rsidR="00DB2122">
        <w:rPr>
          <w:rFonts w:cs="Times New Roman"/>
          <w:szCs w:val="24"/>
        </w:rPr>
        <w:t>products</w:t>
      </w:r>
    </w:p>
    <w:tbl>
      <w:tblPr>
        <w:tblW w:w="5000" w:type="pct"/>
        <w:tblBorders>
          <w:top w:val="single" w:sz="4" w:space="0" w:color="auto"/>
          <w:bottom w:val="single" w:sz="4" w:space="0" w:color="auto"/>
        </w:tblBorders>
        <w:tblLook w:val="04A0" w:firstRow="1" w:lastRow="0" w:firstColumn="1" w:lastColumn="0" w:noHBand="0" w:noVBand="1"/>
      </w:tblPr>
      <w:tblGrid>
        <w:gridCol w:w="2266"/>
        <w:gridCol w:w="1995"/>
        <w:gridCol w:w="1547"/>
        <w:gridCol w:w="1610"/>
        <w:gridCol w:w="1608"/>
      </w:tblGrid>
      <w:tr w:rsidR="00DB2122" w:rsidRPr="00FE234A" w14:paraId="67C9474D" w14:textId="77777777" w:rsidTr="008F764B">
        <w:trPr>
          <w:trHeight w:val="315"/>
        </w:trPr>
        <w:tc>
          <w:tcPr>
            <w:tcW w:w="1255" w:type="pct"/>
            <w:vMerge w:val="restart"/>
            <w:tcBorders>
              <w:top w:val="single" w:sz="4" w:space="0" w:color="auto"/>
              <w:bottom w:val="nil"/>
            </w:tcBorders>
            <w:shd w:val="clear" w:color="auto" w:fill="auto"/>
            <w:noWrap/>
            <w:vAlign w:val="center"/>
            <w:hideMark/>
          </w:tcPr>
          <w:p w14:paraId="48B27C2C" w14:textId="06E62C4B" w:rsidR="00DB2122" w:rsidRPr="00FE234A" w:rsidRDefault="00DB2122" w:rsidP="00DB2122">
            <w:pPr>
              <w:spacing w:after="0" w:line="240" w:lineRule="auto"/>
              <w:rPr>
                <w:rFonts w:eastAsia="Times New Roman" w:cs="Times New Roman"/>
                <w:szCs w:val="24"/>
                <w:lang w:eastAsia="en-IN"/>
              </w:rPr>
            </w:pPr>
            <w:r>
              <w:rPr>
                <w:rFonts w:eastAsia="Times New Roman" w:cs="Times New Roman"/>
                <w:szCs w:val="24"/>
                <w:lang w:eastAsia="en-IN"/>
              </w:rPr>
              <w:t>States</w:t>
            </w:r>
          </w:p>
        </w:tc>
        <w:tc>
          <w:tcPr>
            <w:tcW w:w="1962" w:type="pct"/>
            <w:gridSpan w:val="2"/>
            <w:tcBorders>
              <w:top w:val="single" w:sz="4" w:space="0" w:color="auto"/>
              <w:bottom w:val="single" w:sz="4" w:space="0" w:color="auto"/>
            </w:tcBorders>
            <w:shd w:val="clear" w:color="auto" w:fill="auto"/>
            <w:noWrap/>
            <w:vAlign w:val="center"/>
            <w:hideMark/>
          </w:tcPr>
          <w:p w14:paraId="025273B6" w14:textId="147C9DC9" w:rsidR="00DB2122" w:rsidRPr="00DB2122" w:rsidRDefault="00DB2122" w:rsidP="008F764B">
            <w:pPr>
              <w:spacing w:after="0" w:line="240" w:lineRule="auto"/>
              <w:jc w:val="center"/>
              <w:rPr>
                <w:rFonts w:eastAsia="Times New Roman" w:cs="Times New Roman"/>
                <w:bCs/>
                <w:color w:val="000000"/>
                <w:szCs w:val="24"/>
                <w:lang w:eastAsia="en-IN"/>
              </w:rPr>
            </w:pPr>
            <w:r w:rsidRPr="00DB2122">
              <w:rPr>
                <w:rFonts w:eastAsia="Times New Roman" w:cs="Times New Roman"/>
                <w:bCs/>
                <w:color w:val="000000"/>
                <w:szCs w:val="24"/>
                <w:lang w:eastAsia="en-IN"/>
              </w:rPr>
              <w:t>Export quantity (</w:t>
            </w:r>
            <w:r w:rsidR="008F764B">
              <w:rPr>
                <w:rFonts w:eastAsia="Times New Roman" w:cs="Times New Roman"/>
                <w:bCs/>
                <w:color w:val="000000"/>
                <w:szCs w:val="24"/>
                <w:lang w:eastAsia="en-IN"/>
              </w:rPr>
              <w:t>000’</w:t>
            </w:r>
            <w:r w:rsidRPr="00DB2122">
              <w:rPr>
                <w:rFonts w:eastAsia="Times New Roman" w:cs="Times New Roman"/>
                <w:bCs/>
                <w:color w:val="000000"/>
                <w:szCs w:val="24"/>
                <w:lang w:eastAsia="en-IN"/>
              </w:rPr>
              <w:t>MT)</w:t>
            </w:r>
          </w:p>
        </w:tc>
        <w:tc>
          <w:tcPr>
            <w:tcW w:w="1783" w:type="pct"/>
            <w:gridSpan w:val="2"/>
            <w:tcBorders>
              <w:top w:val="single" w:sz="4" w:space="0" w:color="auto"/>
              <w:bottom w:val="single" w:sz="4" w:space="0" w:color="auto"/>
            </w:tcBorders>
            <w:shd w:val="clear" w:color="auto" w:fill="auto"/>
            <w:noWrap/>
            <w:vAlign w:val="center"/>
            <w:hideMark/>
          </w:tcPr>
          <w:p w14:paraId="302DCAC9" w14:textId="2F326D39" w:rsidR="00DB2122" w:rsidRPr="00DB2122" w:rsidRDefault="00DB2122" w:rsidP="008F764B">
            <w:pPr>
              <w:spacing w:after="0" w:line="240" w:lineRule="auto"/>
              <w:jc w:val="center"/>
              <w:rPr>
                <w:rFonts w:eastAsia="Times New Roman" w:cs="Times New Roman"/>
                <w:bCs/>
                <w:color w:val="000000"/>
                <w:szCs w:val="24"/>
                <w:lang w:eastAsia="en-IN"/>
              </w:rPr>
            </w:pPr>
            <w:r w:rsidRPr="00DB2122">
              <w:rPr>
                <w:rFonts w:eastAsia="Times New Roman" w:cs="Times New Roman"/>
                <w:bCs/>
                <w:color w:val="000000"/>
                <w:szCs w:val="24"/>
                <w:lang w:eastAsia="en-IN"/>
              </w:rPr>
              <w:t>Export value (</w:t>
            </w:r>
            <w:r w:rsidRPr="00E66159">
              <w:rPr>
                <w:rFonts w:cs="Times New Roman"/>
                <w:szCs w:val="24"/>
              </w:rPr>
              <w:t>₹</w:t>
            </w:r>
            <w:r w:rsidRPr="00DB2122">
              <w:rPr>
                <w:rFonts w:eastAsia="Times New Roman" w:cs="Times New Roman"/>
                <w:bCs/>
                <w:color w:val="000000"/>
                <w:szCs w:val="24"/>
                <w:lang w:eastAsia="en-IN"/>
              </w:rPr>
              <w:t>million)</w:t>
            </w:r>
          </w:p>
        </w:tc>
      </w:tr>
      <w:tr w:rsidR="00DB2122" w:rsidRPr="00FE234A" w14:paraId="4315FBB2" w14:textId="77777777" w:rsidTr="00DB2122">
        <w:trPr>
          <w:trHeight w:val="315"/>
        </w:trPr>
        <w:tc>
          <w:tcPr>
            <w:tcW w:w="1255" w:type="pct"/>
            <w:vMerge/>
            <w:tcBorders>
              <w:top w:val="nil"/>
              <w:bottom w:val="single" w:sz="4" w:space="0" w:color="auto"/>
            </w:tcBorders>
            <w:shd w:val="clear" w:color="auto" w:fill="auto"/>
            <w:noWrap/>
            <w:vAlign w:val="bottom"/>
            <w:hideMark/>
          </w:tcPr>
          <w:p w14:paraId="2FC1545A" w14:textId="77777777" w:rsidR="00DB2122" w:rsidRPr="00FE234A" w:rsidRDefault="00DB2122" w:rsidP="00DE1947">
            <w:pPr>
              <w:spacing w:after="0" w:line="240" w:lineRule="auto"/>
              <w:jc w:val="center"/>
              <w:rPr>
                <w:rFonts w:eastAsia="Times New Roman" w:cs="Times New Roman"/>
                <w:b/>
                <w:bCs/>
                <w:color w:val="000000"/>
                <w:szCs w:val="24"/>
                <w:lang w:eastAsia="en-IN"/>
              </w:rPr>
            </w:pPr>
          </w:p>
        </w:tc>
        <w:tc>
          <w:tcPr>
            <w:tcW w:w="1105" w:type="pct"/>
            <w:tcBorders>
              <w:top w:val="single" w:sz="4" w:space="0" w:color="auto"/>
              <w:bottom w:val="single" w:sz="4" w:space="0" w:color="auto"/>
            </w:tcBorders>
            <w:shd w:val="clear" w:color="auto" w:fill="auto"/>
            <w:noWrap/>
            <w:vAlign w:val="bottom"/>
            <w:hideMark/>
          </w:tcPr>
          <w:p w14:paraId="26CDD272" w14:textId="19211FED" w:rsidR="00DB2122" w:rsidRPr="00DB2122" w:rsidRDefault="008F764B" w:rsidP="00DE1947">
            <w:pPr>
              <w:spacing w:after="0" w:line="240" w:lineRule="auto"/>
              <w:jc w:val="center"/>
              <w:rPr>
                <w:rFonts w:eastAsia="Times New Roman" w:cs="Times New Roman"/>
                <w:bCs/>
                <w:color w:val="000000"/>
                <w:szCs w:val="24"/>
                <w:lang w:eastAsia="en-IN"/>
              </w:rPr>
            </w:pPr>
            <w:r>
              <w:rPr>
                <w:rFonts w:eastAsia="Times New Roman" w:cs="Times New Roman"/>
                <w:bCs/>
                <w:color w:val="000000"/>
                <w:szCs w:val="24"/>
                <w:lang w:eastAsia="en-IN"/>
              </w:rPr>
              <w:t>TE</w:t>
            </w:r>
            <w:r w:rsidR="00DB2122" w:rsidRPr="00DB2122">
              <w:rPr>
                <w:rFonts w:eastAsia="Times New Roman" w:cs="Times New Roman"/>
                <w:bCs/>
                <w:color w:val="000000"/>
                <w:szCs w:val="24"/>
                <w:lang w:eastAsia="en-IN"/>
              </w:rPr>
              <w:t>2020</w:t>
            </w:r>
          </w:p>
        </w:tc>
        <w:tc>
          <w:tcPr>
            <w:tcW w:w="857" w:type="pct"/>
            <w:tcBorders>
              <w:top w:val="single" w:sz="4" w:space="0" w:color="auto"/>
              <w:bottom w:val="single" w:sz="4" w:space="0" w:color="auto"/>
            </w:tcBorders>
            <w:shd w:val="clear" w:color="auto" w:fill="auto"/>
            <w:noWrap/>
            <w:vAlign w:val="bottom"/>
            <w:hideMark/>
          </w:tcPr>
          <w:p w14:paraId="410F1969" w14:textId="77777777" w:rsidR="00DB2122" w:rsidRPr="00DB2122" w:rsidRDefault="00DB2122" w:rsidP="00DE1947">
            <w:pPr>
              <w:spacing w:after="0" w:line="240" w:lineRule="auto"/>
              <w:jc w:val="center"/>
              <w:rPr>
                <w:rFonts w:eastAsia="Times New Roman" w:cs="Times New Roman"/>
                <w:bCs/>
                <w:color w:val="000000"/>
                <w:szCs w:val="24"/>
                <w:lang w:eastAsia="en-IN"/>
              </w:rPr>
            </w:pPr>
            <w:r w:rsidRPr="00DB2122">
              <w:rPr>
                <w:rFonts w:eastAsia="Times New Roman" w:cs="Times New Roman"/>
                <w:bCs/>
                <w:color w:val="000000"/>
                <w:szCs w:val="24"/>
                <w:lang w:eastAsia="en-IN"/>
              </w:rPr>
              <w:t>% Share</w:t>
            </w:r>
          </w:p>
        </w:tc>
        <w:tc>
          <w:tcPr>
            <w:tcW w:w="892" w:type="pct"/>
            <w:tcBorders>
              <w:top w:val="single" w:sz="4" w:space="0" w:color="auto"/>
              <w:bottom w:val="single" w:sz="4" w:space="0" w:color="auto"/>
            </w:tcBorders>
            <w:shd w:val="clear" w:color="auto" w:fill="auto"/>
            <w:noWrap/>
            <w:vAlign w:val="bottom"/>
            <w:hideMark/>
          </w:tcPr>
          <w:p w14:paraId="7B4E9B3F" w14:textId="767E0B00" w:rsidR="00DB2122" w:rsidRPr="00DB2122" w:rsidRDefault="008F764B" w:rsidP="00DE1947">
            <w:pPr>
              <w:spacing w:after="0" w:line="240" w:lineRule="auto"/>
              <w:jc w:val="center"/>
              <w:rPr>
                <w:rFonts w:eastAsia="Times New Roman" w:cs="Times New Roman"/>
                <w:bCs/>
                <w:color w:val="000000"/>
                <w:szCs w:val="24"/>
                <w:lang w:eastAsia="en-IN"/>
              </w:rPr>
            </w:pPr>
            <w:r>
              <w:rPr>
                <w:rFonts w:eastAsia="Times New Roman" w:cs="Times New Roman"/>
                <w:bCs/>
                <w:color w:val="000000"/>
                <w:szCs w:val="24"/>
                <w:lang w:eastAsia="en-IN"/>
              </w:rPr>
              <w:t>TE</w:t>
            </w:r>
            <w:r w:rsidR="00DB2122" w:rsidRPr="00DB2122">
              <w:rPr>
                <w:rFonts w:eastAsia="Times New Roman" w:cs="Times New Roman"/>
                <w:bCs/>
                <w:color w:val="000000"/>
                <w:szCs w:val="24"/>
                <w:lang w:eastAsia="en-IN"/>
              </w:rPr>
              <w:t>2020</w:t>
            </w:r>
          </w:p>
        </w:tc>
        <w:tc>
          <w:tcPr>
            <w:tcW w:w="891" w:type="pct"/>
            <w:tcBorders>
              <w:top w:val="single" w:sz="4" w:space="0" w:color="auto"/>
              <w:bottom w:val="single" w:sz="4" w:space="0" w:color="auto"/>
            </w:tcBorders>
            <w:shd w:val="clear" w:color="auto" w:fill="auto"/>
            <w:noWrap/>
            <w:vAlign w:val="bottom"/>
            <w:hideMark/>
          </w:tcPr>
          <w:p w14:paraId="11A6B261" w14:textId="77777777" w:rsidR="00DB2122" w:rsidRPr="00DB2122" w:rsidRDefault="00DB2122" w:rsidP="00DE1947">
            <w:pPr>
              <w:spacing w:after="0" w:line="240" w:lineRule="auto"/>
              <w:jc w:val="center"/>
              <w:rPr>
                <w:rFonts w:eastAsia="Times New Roman" w:cs="Times New Roman"/>
                <w:bCs/>
                <w:color w:val="000000"/>
                <w:szCs w:val="24"/>
                <w:lang w:eastAsia="en-IN"/>
              </w:rPr>
            </w:pPr>
            <w:r w:rsidRPr="00DB2122">
              <w:rPr>
                <w:rFonts w:eastAsia="Times New Roman" w:cs="Times New Roman"/>
                <w:bCs/>
                <w:color w:val="000000"/>
                <w:szCs w:val="24"/>
                <w:lang w:eastAsia="en-IN"/>
              </w:rPr>
              <w:t>% Share</w:t>
            </w:r>
          </w:p>
        </w:tc>
      </w:tr>
      <w:tr w:rsidR="00A7730C" w:rsidRPr="00FE234A" w14:paraId="54306B5D" w14:textId="77777777" w:rsidTr="00DB2122">
        <w:trPr>
          <w:trHeight w:val="315"/>
        </w:trPr>
        <w:tc>
          <w:tcPr>
            <w:tcW w:w="1255" w:type="pct"/>
            <w:tcBorders>
              <w:top w:val="single" w:sz="4" w:space="0" w:color="auto"/>
            </w:tcBorders>
            <w:shd w:val="clear" w:color="000000" w:fill="FFFFFF"/>
            <w:noWrap/>
            <w:vAlign w:val="center"/>
            <w:hideMark/>
          </w:tcPr>
          <w:p w14:paraId="3D65A7F1"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Madhya Pradesh</w:t>
            </w:r>
          </w:p>
        </w:tc>
        <w:tc>
          <w:tcPr>
            <w:tcW w:w="1105" w:type="pct"/>
            <w:tcBorders>
              <w:top w:val="single" w:sz="4" w:space="0" w:color="auto"/>
            </w:tcBorders>
            <w:shd w:val="clear" w:color="auto" w:fill="auto"/>
            <w:noWrap/>
            <w:vAlign w:val="center"/>
            <w:hideMark/>
          </w:tcPr>
          <w:p w14:paraId="7FE89EF1"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392.99</w:t>
            </w:r>
          </w:p>
        </w:tc>
        <w:tc>
          <w:tcPr>
            <w:tcW w:w="857" w:type="pct"/>
            <w:tcBorders>
              <w:top w:val="single" w:sz="4" w:space="0" w:color="auto"/>
            </w:tcBorders>
            <w:shd w:val="clear" w:color="auto" w:fill="auto"/>
            <w:noWrap/>
            <w:vAlign w:val="bottom"/>
            <w:hideMark/>
          </w:tcPr>
          <w:p w14:paraId="1A266DF4"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55.1</w:t>
            </w:r>
          </w:p>
        </w:tc>
        <w:tc>
          <w:tcPr>
            <w:tcW w:w="892" w:type="pct"/>
            <w:tcBorders>
              <w:top w:val="single" w:sz="4" w:space="0" w:color="auto"/>
            </w:tcBorders>
            <w:shd w:val="clear" w:color="auto" w:fill="auto"/>
            <w:noWrap/>
            <w:vAlign w:val="center"/>
            <w:hideMark/>
          </w:tcPr>
          <w:p w14:paraId="4F54DA6B"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19364.37</w:t>
            </w:r>
          </w:p>
        </w:tc>
        <w:tc>
          <w:tcPr>
            <w:tcW w:w="891" w:type="pct"/>
            <w:tcBorders>
              <w:top w:val="single" w:sz="4" w:space="0" w:color="auto"/>
            </w:tcBorders>
            <w:shd w:val="clear" w:color="auto" w:fill="auto"/>
            <w:noWrap/>
            <w:vAlign w:val="bottom"/>
            <w:hideMark/>
          </w:tcPr>
          <w:p w14:paraId="054C1E3B"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34.3</w:t>
            </w:r>
          </w:p>
        </w:tc>
      </w:tr>
      <w:tr w:rsidR="00A7730C" w:rsidRPr="00FE234A" w14:paraId="0158D393" w14:textId="77777777" w:rsidTr="00DB2122">
        <w:trPr>
          <w:trHeight w:val="315"/>
        </w:trPr>
        <w:tc>
          <w:tcPr>
            <w:tcW w:w="1255" w:type="pct"/>
            <w:shd w:val="clear" w:color="000000" w:fill="FFFFFF"/>
            <w:noWrap/>
            <w:vAlign w:val="center"/>
            <w:hideMark/>
          </w:tcPr>
          <w:p w14:paraId="6093B5E3"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Maharashtra</w:t>
            </w:r>
          </w:p>
        </w:tc>
        <w:tc>
          <w:tcPr>
            <w:tcW w:w="1105" w:type="pct"/>
            <w:shd w:val="clear" w:color="auto" w:fill="auto"/>
            <w:noWrap/>
            <w:vAlign w:val="center"/>
            <w:hideMark/>
          </w:tcPr>
          <w:p w14:paraId="1DB59CE9"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87.46</w:t>
            </w:r>
          </w:p>
        </w:tc>
        <w:tc>
          <w:tcPr>
            <w:tcW w:w="857" w:type="pct"/>
            <w:shd w:val="clear" w:color="auto" w:fill="auto"/>
            <w:noWrap/>
            <w:vAlign w:val="bottom"/>
            <w:hideMark/>
          </w:tcPr>
          <w:p w14:paraId="5B514925"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12.3</w:t>
            </w:r>
          </w:p>
        </w:tc>
        <w:tc>
          <w:tcPr>
            <w:tcW w:w="892" w:type="pct"/>
            <w:shd w:val="clear" w:color="auto" w:fill="auto"/>
            <w:noWrap/>
            <w:vAlign w:val="center"/>
            <w:hideMark/>
          </w:tcPr>
          <w:p w14:paraId="586FFA9D"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5992.16</w:t>
            </w:r>
          </w:p>
        </w:tc>
        <w:tc>
          <w:tcPr>
            <w:tcW w:w="891" w:type="pct"/>
            <w:shd w:val="clear" w:color="auto" w:fill="auto"/>
            <w:noWrap/>
            <w:vAlign w:val="bottom"/>
            <w:hideMark/>
          </w:tcPr>
          <w:p w14:paraId="5AEE41A2"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10.6</w:t>
            </w:r>
          </w:p>
        </w:tc>
      </w:tr>
      <w:tr w:rsidR="00A7730C" w:rsidRPr="00FE234A" w14:paraId="5CD97AA7" w14:textId="77777777" w:rsidTr="00DB2122">
        <w:trPr>
          <w:trHeight w:val="315"/>
        </w:trPr>
        <w:tc>
          <w:tcPr>
            <w:tcW w:w="1255" w:type="pct"/>
            <w:shd w:val="clear" w:color="000000" w:fill="FFFFFF"/>
            <w:noWrap/>
            <w:vAlign w:val="center"/>
            <w:hideMark/>
          </w:tcPr>
          <w:p w14:paraId="47B95B36"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Gujarat</w:t>
            </w:r>
          </w:p>
        </w:tc>
        <w:tc>
          <w:tcPr>
            <w:tcW w:w="1105" w:type="pct"/>
            <w:shd w:val="clear" w:color="auto" w:fill="auto"/>
            <w:noWrap/>
            <w:vAlign w:val="center"/>
            <w:hideMark/>
          </w:tcPr>
          <w:p w14:paraId="2CECF1EC"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62.85</w:t>
            </w:r>
          </w:p>
        </w:tc>
        <w:tc>
          <w:tcPr>
            <w:tcW w:w="857" w:type="pct"/>
            <w:shd w:val="clear" w:color="auto" w:fill="auto"/>
            <w:noWrap/>
            <w:vAlign w:val="bottom"/>
            <w:hideMark/>
          </w:tcPr>
          <w:p w14:paraId="1909BEBB"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8.8</w:t>
            </w:r>
          </w:p>
        </w:tc>
        <w:tc>
          <w:tcPr>
            <w:tcW w:w="892" w:type="pct"/>
            <w:shd w:val="clear" w:color="auto" w:fill="auto"/>
            <w:noWrap/>
            <w:vAlign w:val="center"/>
            <w:hideMark/>
          </w:tcPr>
          <w:p w14:paraId="25E6D72A"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5859.07</w:t>
            </w:r>
          </w:p>
        </w:tc>
        <w:tc>
          <w:tcPr>
            <w:tcW w:w="891" w:type="pct"/>
            <w:shd w:val="clear" w:color="auto" w:fill="auto"/>
            <w:noWrap/>
            <w:vAlign w:val="bottom"/>
            <w:hideMark/>
          </w:tcPr>
          <w:p w14:paraId="23D927D2"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10.4</w:t>
            </w:r>
          </w:p>
        </w:tc>
      </w:tr>
      <w:tr w:rsidR="00A7730C" w:rsidRPr="00FE234A" w14:paraId="63334B5F" w14:textId="77777777" w:rsidTr="00DB2122">
        <w:trPr>
          <w:trHeight w:val="315"/>
        </w:trPr>
        <w:tc>
          <w:tcPr>
            <w:tcW w:w="1255" w:type="pct"/>
            <w:shd w:val="clear" w:color="000000" w:fill="FFFFFF"/>
            <w:noWrap/>
            <w:vAlign w:val="center"/>
            <w:hideMark/>
          </w:tcPr>
          <w:p w14:paraId="1E4350EE"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Kerala</w:t>
            </w:r>
          </w:p>
        </w:tc>
        <w:tc>
          <w:tcPr>
            <w:tcW w:w="1105" w:type="pct"/>
            <w:shd w:val="clear" w:color="auto" w:fill="auto"/>
            <w:noWrap/>
            <w:vAlign w:val="center"/>
            <w:hideMark/>
          </w:tcPr>
          <w:p w14:paraId="17848265"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7.62</w:t>
            </w:r>
          </w:p>
        </w:tc>
        <w:tc>
          <w:tcPr>
            <w:tcW w:w="857" w:type="pct"/>
            <w:shd w:val="clear" w:color="auto" w:fill="auto"/>
            <w:noWrap/>
            <w:vAlign w:val="bottom"/>
            <w:hideMark/>
          </w:tcPr>
          <w:p w14:paraId="518B1E8D"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1.1</w:t>
            </w:r>
          </w:p>
        </w:tc>
        <w:tc>
          <w:tcPr>
            <w:tcW w:w="892" w:type="pct"/>
            <w:shd w:val="clear" w:color="auto" w:fill="auto"/>
            <w:noWrap/>
            <w:vAlign w:val="center"/>
            <w:hideMark/>
          </w:tcPr>
          <w:p w14:paraId="611FFA76"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3091.18</w:t>
            </w:r>
          </w:p>
        </w:tc>
        <w:tc>
          <w:tcPr>
            <w:tcW w:w="891" w:type="pct"/>
            <w:shd w:val="clear" w:color="auto" w:fill="auto"/>
            <w:noWrap/>
            <w:vAlign w:val="bottom"/>
            <w:hideMark/>
          </w:tcPr>
          <w:p w14:paraId="22D868A5"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5.5</w:t>
            </w:r>
          </w:p>
        </w:tc>
      </w:tr>
      <w:tr w:rsidR="00A7730C" w:rsidRPr="00FE234A" w14:paraId="5A911CF3" w14:textId="77777777" w:rsidTr="00DB2122">
        <w:trPr>
          <w:trHeight w:val="315"/>
        </w:trPr>
        <w:tc>
          <w:tcPr>
            <w:tcW w:w="1255" w:type="pct"/>
            <w:shd w:val="clear" w:color="000000" w:fill="FFFFFF"/>
            <w:noWrap/>
            <w:vAlign w:val="center"/>
            <w:hideMark/>
          </w:tcPr>
          <w:p w14:paraId="41DF55A7"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Haryana</w:t>
            </w:r>
          </w:p>
        </w:tc>
        <w:tc>
          <w:tcPr>
            <w:tcW w:w="1105" w:type="pct"/>
            <w:shd w:val="clear" w:color="auto" w:fill="auto"/>
            <w:noWrap/>
            <w:vAlign w:val="center"/>
            <w:hideMark/>
          </w:tcPr>
          <w:p w14:paraId="2FE5AEDA"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33.29</w:t>
            </w:r>
          </w:p>
        </w:tc>
        <w:tc>
          <w:tcPr>
            <w:tcW w:w="857" w:type="pct"/>
            <w:shd w:val="clear" w:color="auto" w:fill="auto"/>
            <w:noWrap/>
            <w:vAlign w:val="bottom"/>
            <w:hideMark/>
          </w:tcPr>
          <w:p w14:paraId="1971AA1A"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4.7</w:t>
            </w:r>
          </w:p>
        </w:tc>
        <w:tc>
          <w:tcPr>
            <w:tcW w:w="892" w:type="pct"/>
            <w:shd w:val="clear" w:color="auto" w:fill="auto"/>
            <w:noWrap/>
            <w:vAlign w:val="center"/>
            <w:hideMark/>
          </w:tcPr>
          <w:p w14:paraId="3897772B"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2842.91</w:t>
            </w:r>
          </w:p>
        </w:tc>
        <w:tc>
          <w:tcPr>
            <w:tcW w:w="891" w:type="pct"/>
            <w:shd w:val="clear" w:color="auto" w:fill="auto"/>
            <w:noWrap/>
            <w:vAlign w:val="bottom"/>
            <w:hideMark/>
          </w:tcPr>
          <w:p w14:paraId="25C390A7"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5.0</w:t>
            </w:r>
          </w:p>
        </w:tc>
      </w:tr>
      <w:tr w:rsidR="00A7730C" w:rsidRPr="00FE234A" w14:paraId="3912E685" w14:textId="77777777" w:rsidTr="00DB2122">
        <w:trPr>
          <w:trHeight w:val="315"/>
        </w:trPr>
        <w:tc>
          <w:tcPr>
            <w:tcW w:w="1255" w:type="pct"/>
            <w:shd w:val="clear" w:color="000000" w:fill="FFFFFF"/>
            <w:noWrap/>
            <w:vAlign w:val="center"/>
            <w:hideMark/>
          </w:tcPr>
          <w:p w14:paraId="0C107EA8"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Karnataka</w:t>
            </w:r>
          </w:p>
        </w:tc>
        <w:tc>
          <w:tcPr>
            <w:tcW w:w="1105" w:type="pct"/>
            <w:shd w:val="clear" w:color="auto" w:fill="auto"/>
            <w:noWrap/>
            <w:vAlign w:val="center"/>
            <w:hideMark/>
          </w:tcPr>
          <w:p w14:paraId="6FD7A77A"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16.31</w:t>
            </w:r>
          </w:p>
        </w:tc>
        <w:tc>
          <w:tcPr>
            <w:tcW w:w="857" w:type="pct"/>
            <w:shd w:val="clear" w:color="auto" w:fill="auto"/>
            <w:noWrap/>
            <w:vAlign w:val="bottom"/>
            <w:hideMark/>
          </w:tcPr>
          <w:p w14:paraId="3F40F938"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2.3</w:t>
            </w:r>
          </w:p>
        </w:tc>
        <w:tc>
          <w:tcPr>
            <w:tcW w:w="892" w:type="pct"/>
            <w:shd w:val="clear" w:color="auto" w:fill="auto"/>
            <w:noWrap/>
            <w:vAlign w:val="center"/>
            <w:hideMark/>
          </w:tcPr>
          <w:p w14:paraId="3AA5A399"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2800.64</w:t>
            </w:r>
          </w:p>
        </w:tc>
        <w:tc>
          <w:tcPr>
            <w:tcW w:w="891" w:type="pct"/>
            <w:shd w:val="clear" w:color="auto" w:fill="auto"/>
            <w:noWrap/>
            <w:vAlign w:val="bottom"/>
            <w:hideMark/>
          </w:tcPr>
          <w:p w14:paraId="7F81FEA4"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5.0</w:t>
            </w:r>
          </w:p>
        </w:tc>
      </w:tr>
      <w:tr w:rsidR="00A7730C" w:rsidRPr="00FE234A" w14:paraId="18B2A9F2" w14:textId="77777777" w:rsidTr="00DB2122">
        <w:trPr>
          <w:trHeight w:val="315"/>
        </w:trPr>
        <w:tc>
          <w:tcPr>
            <w:tcW w:w="1255" w:type="pct"/>
            <w:shd w:val="clear" w:color="000000" w:fill="FFFFFF"/>
            <w:noWrap/>
            <w:vAlign w:val="center"/>
            <w:hideMark/>
          </w:tcPr>
          <w:p w14:paraId="2522496B"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Telangana</w:t>
            </w:r>
          </w:p>
        </w:tc>
        <w:tc>
          <w:tcPr>
            <w:tcW w:w="1105" w:type="pct"/>
            <w:shd w:val="clear" w:color="auto" w:fill="auto"/>
            <w:noWrap/>
            <w:vAlign w:val="center"/>
            <w:hideMark/>
          </w:tcPr>
          <w:p w14:paraId="2F676431"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5.65</w:t>
            </w:r>
          </w:p>
        </w:tc>
        <w:tc>
          <w:tcPr>
            <w:tcW w:w="857" w:type="pct"/>
            <w:shd w:val="clear" w:color="auto" w:fill="auto"/>
            <w:noWrap/>
            <w:vAlign w:val="bottom"/>
            <w:hideMark/>
          </w:tcPr>
          <w:p w14:paraId="2C7B68DE"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0.8</w:t>
            </w:r>
          </w:p>
        </w:tc>
        <w:tc>
          <w:tcPr>
            <w:tcW w:w="892" w:type="pct"/>
            <w:shd w:val="clear" w:color="auto" w:fill="auto"/>
            <w:noWrap/>
            <w:vAlign w:val="center"/>
            <w:hideMark/>
          </w:tcPr>
          <w:p w14:paraId="1572E7EA"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4028.31</w:t>
            </w:r>
          </w:p>
        </w:tc>
        <w:tc>
          <w:tcPr>
            <w:tcW w:w="891" w:type="pct"/>
            <w:shd w:val="clear" w:color="auto" w:fill="auto"/>
            <w:noWrap/>
            <w:vAlign w:val="bottom"/>
            <w:hideMark/>
          </w:tcPr>
          <w:p w14:paraId="7437B89F"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7.1</w:t>
            </w:r>
          </w:p>
        </w:tc>
      </w:tr>
      <w:tr w:rsidR="00A7730C" w:rsidRPr="00FE234A" w14:paraId="71213F32" w14:textId="77777777" w:rsidTr="00DB2122">
        <w:trPr>
          <w:trHeight w:val="315"/>
        </w:trPr>
        <w:tc>
          <w:tcPr>
            <w:tcW w:w="1255" w:type="pct"/>
            <w:shd w:val="clear" w:color="000000" w:fill="FFFFFF"/>
            <w:noWrap/>
            <w:vAlign w:val="center"/>
            <w:hideMark/>
          </w:tcPr>
          <w:p w14:paraId="192E57E6"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Uttar Pradesh</w:t>
            </w:r>
          </w:p>
        </w:tc>
        <w:tc>
          <w:tcPr>
            <w:tcW w:w="1105" w:type="pct"/>
            <w:shd w:val="clear" w:color="auto" w:fill="auto"/>
            <w:noWrap/>
            <w:vAlign w:val="center"/>
            <w:hideMark/>
          </w:tcPr>
          <w:p w14:paraId="21EEC1C3"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7.34</w:t>
            </w:r>
          </w:p>
        </w:tc>
        <w:tc>
          <w:tcPr>
            <w:tcW w:w="857" w:type="pct"/>
            <w:shd w:val="clear" w:color="auto" w:fill="auto"/>
            <w:noWrap/>
            <w:vAlign w:val="bottom"/>
            <w:hideMark/>
          </w:tcPr>
          <w:p w14:paraId="5F8C19F3"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1.0</w:t>
            </w:r>
          </w:p>
        </w:tc>
        <w:tc>
          <w:tcPr>
            <w:tcW w:w="892" w:type="pct"/>
            <w:shd w:val="clear" w:color="auto" w:fill="auto"/>
            <w:noWrap/>
            <w:vAlign w:val="center"/>
            <w:hideMark/>
          </w:tcPr>
          <w:p w14:paraId="1CCC5D64"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1500.88</w:t>
            </w:r>
          </w:p>
        </w:tc>
        <w:tc>
          <w:tcPr>
            <w:tcW w:w="891" w:type="pct"/>
            <w:shd w:val="clear" w:color="auto" w:fill="auto"/>
            <w:noWrap/>
            <w:vAlign w:val="bottom"/>
            <w:hideMark/>
          </w:tcPr>
          <w:p w14:paraId="67277E32"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2.7</w:t>
            </w:r>
          </w:p>
        </w:tc>
      </w:tr>
      <w:tr w:rsidR="00A7730C" w:rsidRPr="00FE234A" w14:paraId="067E2224" w14:textId="77777777" w:rsidTr="00DB2122">
        <w:trPr>
          <w:trHeight w:val="315"/>
        </w:trPr>
        <w:tc>
          <w:tcPr>
            <w:tcW w:w="1255" w:type="pct"/>
            <w:shd w:val="clear" w:color="000000" w:fill="FFFFFF"/>
            <w:noWrap/>
            <w:vAlign w:val="center"/>
            <w:hideMark/>
          </w:tcPr>
          <w:p w14:paraId="238244BF"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West Bengal</w:t>
            </w:r>
          </w:p>
        </w:tc>
        <w:tc>
          <w:tcPr>
            <w:tcW w:w="1105" w:type="pct"/>
            <w:shd w:val="clear" w:color="auto" w:fill="auto"/>
            <w:noWrap/>
            <w:vAlign w:val="center"/>
            <w:hideMark/>
          </w:tcPr>
          <w:p w14:paraId="5794164C"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4.31</w:t>
            </w:r>
          </w:p>
        </w:tc>
        <w:tc>
          <w:tcPr>
            <w:tcW w:w="857" w:type="pct"/>
            <w:shd w:val="clear" w:color="auto" w:fill="auto"/>
            <w:noWrap/>
            <w:vAlign w:val="bottom"/>
            <w:hideMark/>
          </w:tcPr>
          <w:p w14:paraId="67284350"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0.6</w:t>
            </w:r>
          </w:p>
        </w:tc>
        <w:tc>
          <w:tcPr>
            <w:tcW w:w="892" w:type="pct"/>
            <w:shd w:val="clear" w:color="auto" w:fill="auto"/>
            <w:noWrap/>
            <w:vAlign w:val="center"/>
            <w:hideMark/>
          </w:tcPr>
          <w:p w14:paraId="0EAB4EE0"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2676.39</w:t>
            </w:r>
          </w:p>
        </w:tc>
        <w:tc>
          <w:tcPr>
            <w:tcW w:w="891" w:type="pct"/>
            <w:shd w:val="clear" w:color="auto" w:fill="auto"/>
            <w:noWrap/>
            <w:vAlign w:val="bottom"/>
            <w:hideMark/>
          </w:tcPr>
          <w:p w14:paraId="5CFD8FAF"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4.7</w:t>
            </w:r>
          </w:p>
        </w:tc>
      </w:tr>
      <w:tr w:rsidR="00A7730C" w:rsidRPr="00FE234A" w14:paraId="646A619D" w14:textId="77777777" w:rsidTr="00DB2122">
        <w:trPr>
          <w:trHeight w:val="315"/>
        </w:trPr>
        <w:tc>
          <w:tcPr>
            <w:tcW w:w="1255" w:type="pct"/>
            <w:shd w:val="clear" w:color="000000" w:fill="FFFFFF"/>
            <w:noWrap/>
            <w:vAlign w:val="center"/>
            <w:hideMark/>
          </w:tcPr>
          <w:p w14:paraId="2FF07255"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New Delhi</w:t>
            </w:r>
          </w:p>
        </w:tc>
        <w:tc>
          <w:tcPr>
            <w:tcW w:w="1105" w:type="pct"/>
            <w:shd w:val="clear" w:color="auto" w:fill="auto"/>
            <w:noWrap/>
            <w:vAlign w:val="center"/>
            <w:hideMark/>
          </w:tcPr>
          <w:p w14:paraId="365EE3A6"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31.57</w:t>
            </w:r>
          </w:p>
        </w:tc>
        <w:tc>
          <w:tcPr>
            <w:tcW w:w="857" w:type="pct"/>
            <w:shd w:val="clear" w:color="auto" w:fill="auto"/>
            <w:noWrap/>
            <w:vAlign w:val="bottom"/>
            <w:hideMark/>
          </w:tcPr>
          <w:p w14:paraId="715016B1"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4.4</w:t>
            </w:r>
          </w:p>
        </w:tc>
        <w:tc>
          <w:tcPr>
            <w:tcW w:w="892" w:type="pct"/>
            <w:shd w:val="clear" w:color="auto" w:fill="auto"/>
            <w:noWrap/>
            <w:vAlign w:val="center"/>
            <w:hideMark/>
          </w:tcPr>
          <w:p w14:paraId="288377C4"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2372.08</w:t>
            </w:r>
          </w:p>
        </w:tc>
        <w:tc>
          <w:tcPr>
            <w:tcW w:w="891" w:type="pct"/>
            <w:shd w:val="clear" w:color="auto" w:fill="auto"/>
            <w:noWrap/>
            <w:vAlign w:val="bottom"/>
            <w:hideMark/>
          </w:tcPr>
          <w:p w14:paraId="56967098"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4.2</w:t>
            </w:r>
          </w:p>
        </w:tc>
      </w:tr>
      <w:tr w:rsidR="00A7730C" w:rsidRPr="00FE234A" w14:paraId="2DC604D9" w14:textId="77777777" w:rsidTr="00DB2122">
        <w:trPr>
          <w:trHeight w:val="315"/>
        </w:trPr>
        <w:tc>
          <w:tcPr>
            <w:tcW w:w="1255" w:type="pct"/>
            <w:shd w:val="clear" w:color="000000" w:fill="FFFFFF"/>
            <w:noWrap/>
            <w:vAlign w:val="center"/>
            <w:hideMark/>
          </w:tcPr>
          <w:p w14:paraId="602FC18A"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Daman &amp; Diu</w:t>
            </w:r>
          </w:p>
        </w:tc>
        <w:tc>
          <w:tcPr>
            <w:tcW w:w="1105" w:type="pct"/>
            <w:shd w:val="clear" w:color="auto" w:fill="auto"/>
            <w:noWrap/>
            <w:vAlign w:val="center"/>
            <w:hideMark/>
          </w:tcPr>
          <w:p w14:paraId="2320AE7D"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34.73</w:t>
            </w:r>
          </w:p>
        </w:tc>
        <w:tc>
          <w:tcPr>
            <w:tcW w:w="857" w:type="pct"/>
            <w:shd w:val="clear" w:color="auto" w:fill="auto"/>
            <w:noWrap/>
            <w:vAlign w:val="bottom"/>
            <w:hideMark/>
          </w:tcPr>
          <w:p w14:paraId="37D2C5B5"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4.9</w:t>
            </w:r>
          </w:p>
        </w:tc>
        <w:tc>
          <w:tcPr>
            <w:tcW w:w="892" w:type="pct"/>
            <w:shd w:val="clear" w:color="auto" w:fill="auto"/>
            <w:noWrap/>
            <w:vAlign w:val="center"/>
            <w:hideMark/>
          </w:tcPr>
          <w:p w14:paraId="2BF7717E"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1781.34</w:t>
            </w:r>
          </w:p>
        </w:tc>
        <w:tc>
          <w:tcPr>
            <w:tcW w:w="891" w:type="pct"/>
            <w:shd w:val="clear" w:color="auto" w:fill="auto"/>
            <w:noWrap/>
            <w:vAlign w:val="bottom"/>
            <w:hideMark/>
          </w:tcPr>
          <w:p w14:paraId="4EC9C637"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3.2</w:t>
            </w:r>
          </w:p>
        </w:tc>
      </w:tr>
      <w:tr w:rsidR="00A7730C" w:rsidRPr="00FE234A" w14:paraId="26F077BF" w14:textId="77777777" w:rsidTr="00DB2122">
        <w:trPr>
          <w:trHeight w:val="315"/>
        </w:trPr>
        <w:tc>
          <w:tcPr>
            <w:tcW w:w="1255" w:type="pct"/>
            <w:shd w:val="clear" w:color="000000" w:fill="FFFFFF"/>
            <w:noWrap/>
            <w:vAlign w:val="center"/>
            <w:hideMark/>
          </w:tcPr>
          <w:p w14:paraId="20B4BCA5"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Rajasthan</w:t>
            </w:r>
          </w:p>
        </w:tc>
        <w:tc>
          <w:tcPr>
            <w:tcW w:w="1105" w:type="pct"/>
            <w:shd w:val="clear" w:color="auto" w:fill="auto"/>
            <w:noWrap/>
            <w:vAlign w:val="center"/>
            <w:hideMark/>
          </w:tcPr>
          <w:p w14:paraId="50B5C82D"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20.83</w:t>
            </w:r>
          </w:p>
        </w:tc>
        <w:tc>
          <w:tcPr>
            <w:tcW w:w="857" w:type="pct"/>
            <w:shd w:val="clear" w:color="auto" w:fill="auto"/>
            <w:noWrap/>
            <w:vAlign w:val="bottom"/>
            <w:hideMark/>
          </w:tcPr>
          <w:p w14:paraId="68CD5610"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2.9</w:t>
            </w:r>
          </w:p>
        </w:tc>
        <w:tc>
          <w:tcPr>
            <w:tcW w:w="892" w:type="pct"/>
            <w:shd w:val="clear" w:color="auto" w:fill="auto"/>
            <w:noWrap/>
            <w:vAlign w:val="center"/>
            <w:hideMark/>
          </w:tcPr>
          <w:p w14:paraId="286B9D59"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1545.03</w:t>
            </w:r>
          </w:p>
        </w:tc>
        <w:tc>
          <w:tcPr>
            <w:tcW w:w="891" w:type="pct"/>
            <w:shd w:val="clear" w:color="auto" w:fill="auto"/>
            <w:noWrap/>
            <w:vAlign w:val="bottom"/>
            <w:hideMark/>
          </w:tcPr>
          <w:p w14:paraId="43802AA3"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2.7</w:t>
            </w:r>
          </w:p>
        </w:tc>
      </w:tr>
      <w:tr w:rsidR="00A7730C" w:rsidRPr="00FE234A" w14:paraId="3BD10757" w14:textId="77777777" w:rsidTr="00DB2122">
        <w:trPr>
          <w:trHeight w:val="315"/>
        </w:trPr>
        <w:tc>
          <w:tcPr>
            <w:tcW w:w="1255" w:type="pct"/>
            <w:shd w:val="clear" w:color="000000" w:fill="FFFFFF"/>
            <w:noWrap/>
            <w:vAlign w:val="center"/>
            <w:hideMark/>
          </w:tcPr>
          <w:p w14:paraId="722EADA1"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Tamil Nadu</w:t>
            </w:r>
          </w:p>
        </w:tc>
        <w:tc>
          <w:tcPr>
            <w:tcW w:w="1105" w:type="pct"/>
            <w:shd w:val="clear" w:color="auto" w:fill="auto"/>
            <w:noWrap/>
            <w:vAlign w:val="center"/>
            <w:hideMark/>
          </w:tcPr>
          <w:p w14:paraId="03C7F220"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3.78</w:t>
            </w:r>
          </w:p>
        </w:tc>
        <w:tc>
          <w:tcPr>
            <w:tcW w:w="857" w:type="pct"/>
            <w:shd w:val="clear" w:color="auto" w:fill="auto"/>
            <w:noWrap/>
            <w:vAlign w:val="bottom"/>
            <w:hideMark/>
          </w:tcPr>
          <w:p w14:paraId="28A07A30"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0.5</w:t>
            </w:r>
          </w:p>
        </w:tc>
        <w:tc>
          <w:tcPr>
            <w:tcW w:w="892" w:type="pct"/>
            <w:shd w:val="clear" w:color="auto" w:fill="auto"/>
            <w:noWrap/>
            <w:vAlign w:val="center"/>
            <w:hideMark/>
          </w:tcPr>
          <w:p w14:paraId="2F7C3EA2"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943.60</w:t>
            </w:r>
          </w:p>
        </w:tc>
        <w:tc>
          <w:tcPr>
            <w:tcW w:w="891" w:type="pct"/>
            <w:shd w:val="clear" w:color="auto" w:fill="auto"/>
            <w:noWrap/>
            <w:vAlign w:val="bottom"/>
            <w:hideMark/>
          </w:tcPr>
          <w:p w14:paraId="4C7B935C"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1.7</w:t>
            </w:r>
          </w:p>
        </w:tc>
      </w:tr>
      <w:tr w:rsidR="00A7730C" w:rsidRPr="00FE234A" w14:paraId="543932C4" w14:textId="77777777" w:rsidTr="00DB2122">
        <w:trPr>
          <w:trHeight w:val="315"/>
        </w:trPr>
        <w:tc>
          <w:tcPr>
            <w:tcW w:w="1255" w:type="pct"/>
            <w:shd w:val="clear" w:color="000000" w:fill="FFFFFF"/>
            <w:noWrap/>
            <w:vAlign w:val="center"/>
            <w:hideMark/>
          </w:tcPr>
          <w:p w14:paraId="5D13630E"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Andhra Pradesh</w:t>
            </w:r>
          </w:p>
        </w:tc>
        <w:tc>
          <w:tcPr>
            <w:tcW w:w="1105" w:type="pct"/>
            <w:shd w:val="clear" w:color="auto" w:fill="auto"/>
            <w:noWrap/>
            <w:vAlign w:val="center"/>
            <w:hideMark/>
          </w:tcPr>
          <w:p w14:paraId="4BCBF0BE"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2.63</w:t>
            </w:r>
          </w:p>
        </w:tc>
        <w:tc>
          <w:tcPr>
            <w:tcW w:w="857" w:type="pct"/>
            <w:shd w:val="clear" w:color="auto" w:fill="auto"/>
            <w:noWrap/>
            <w:vAlign w:val="bottom"/>
            <w:hideMark/>
          </w:tcPr>
          <w:p w14:paraId="69DF8F00"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0.4</w:t>
            </w:r>
          </w:p>
        </w:tc>
        <w:tc>
          <w:tcPr>
            <w:tcW w:w="892" w:type="pct"/>
            <w:shd w:val="clear" w:color="auto" w:fill="auto"/>
            <w:noWrap/>
            <w:vAlign w:val="center"/>
            <w:hideMark/>
          </w:tcPr>
          <w:p w14:paraId="407DD502"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898.85</w:t>
            </w:r>
          </w:p>
        </w:tc>
        <w:tc>
          <w:tcPr>
            <w:tcW w:w="891" w:type="pct"/>
            <w:shd w:val="clear" w:color="auto" w:fill="auto"/>
            <w:noWrap/>
            <w:vAlign w:val="bottom"/>
            <w:hideMark/>
          </w:tcPr>
          <w:p w14:paraId="366177AF"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1.6</w:t>
            </w:r>
          </w:p>
        </w:tc>
      </w:tr>
      <w:tr w:rsidR="00A7730C" w:rsidRPr="00FE234A" w14:paraId="414AD79A" w14:textId="77777777" w:rsidTr="00DB2122">
        <w:trPr>
          <w:trHeight w:val="315"/>
        </w:trPr>
        <w:tc>
          <w:tcPr>
            <w:tcW w:w="1255" w:type="pct"/>
            <w:shd w:val="clear" w:color="000000" w:fill="FFFFFF"/>
            <w:noWrap/>
            <w:vAlign w:val="center"/>
            <w:hideMark/>
          </w:tcPr>
          <w:p w14:paraId="315D59E7"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Goa</w:t>
            </w:r>
          </w:p>
        </w:tc>
        <w:tc>
          <w:tcPr>
            <w:tcW w:w="1105" w:type="pct"/>
            <w:shd w:val="clear" w:color="auto" w:fill="auto"/>
            <w:noWrap/>
            <w:vAlign w:val="center"/>
            <w:hideMark/>
          </w:tcPr>
          <w:p w14:paraId="654EBE72"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0.37</w:t>
            </w:r>
          </w:p>
        </w:tc>
        <w:tc>
          <w:tcPr>
            <w:tcW w:w="857" w:type="pct"/>
            <w:shd w:val="clear" w:color="auto" w:fill="auto"/>
            <w:noWrap/>
            <w:vAlign w:val="bottom"/>
            <w:hideMark/>
          </w:tcPr>
          <w:p w14:paraId="18ECF8DA"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0.1</w:t>
            </w:r>
          </w:p>
        </w:tc>
        <w:tc>
          <w:tcPr>
            <w:tcW w:w="892" w:type="pct"/>
            <w:shd w:val="clear" w:color="auto" w:fill="auto"/>
            <w:noWrap/>
            <w:vAlign w:val="center"/>
            <w:hideMark/>
          </w:tcPr>
          <w:p w14:paraId="56138A14"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258.03</w:t>
            </w:r>
          </w:p>
        </w:tc>
        <w:tc>
          <w:tcPr>
            <w:tcW w:w="891" w:type="pct"/>
            <w:shd w:val="clear" w:color="auto" w:fill="auto"/>
            <w:noWrap/>
            <w:vAlign w:val="bottom"/>
            <w:hideMark/>
          </w:tcPr>
          <w:p w14:paraId="46A4F4A9"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0.5</w:t>
            </w:r>
          </w:p>
        </w:tc>
      </w:tr>
      <w:tr w:rsidR="00A7730C" w:rsidRPr="00FE234A" w14:paraId="3ED06462" w14:textId="77777777" w:rsidTr="00DB2122">
        <w:trPr>
          <w:trHeight w:val="315"/>
        </w:trPr>
        <w:tc>
          <w:tcPr>
            <w:tcW w:w="1255" w:type="pct"/>
            <w:shd w:val="clear" w:color="000000" w:fill="FFFFFF"/>
            <w:noWrap/>
            <w:vAlign w:val="center"/>
            <w:hideMark/>
          </w:tcPr>
          <w:p w14:paraId="6F3E1179"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Uttarakhand</w:t>
            </w:r>
          </w:p>
        </w:tc>
        <w:tc>
          <w:tcPr>
            <w:tcW w:w="1105" w:type="pct"/>
            <w:shd w:val="clear" w:color="auto" w:fill="auto"/>
            <w:noWrap/>
            <w:vAlign w:val="center"/>
            <w:hideMark/>
          </w:tcPr>
          <w:p w14:paraId="3B3149B1"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0.23</w:t>
            </w:r>
          </w:p>
        </w:tc>
        <w:tc>
          <w:tcPr>
            <w:tcW w:w="857" w:type="pct"/>
            <w:shd w:val="clear" w:color="auto" w:fill="auto"/>
            <w:noWrap/>
            <w:vAlign w:val="bottom"/>
            <w:hideMark/>
          </w:tcPr>
          <w:p w14:paraId="6CE4D328"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c>
          <w:tcPr>
            <w:tcW w:w="892" w:type="pct"/>
            <w:shd w:val="clear" w:color="auto" w:fill="auto"/>
            <w:noWrap/>
            <w:vAlign w:val="center"/>
            <w:hideMark/>
          </w:tcPr>
          <w:p w14:paraId="218586CA"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71.74</w:t>
            </w:r>
          </w:p>
        </w:tc>
        <w:tc>
          <w:tcPr>
            <w:tcW w:w="891" w:type="pct"/>
            <w:shd w:val="clear" w:color="auto" w:fill="auto"/>
            <w:noWrap/>
            <w:vAlign w:val="bottom"/>
            <w:hideMark/>
          </w:tcPr>
          <w:p w14:paraId="1A90C488"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0.1</w:t>
            </w:r>
          </w:p>
        </w:tc>
      </w:tr>
      <w:tr w:rsidR="00A7730C" w:rsidRPr="00FE234A" w14:paraId="718B3F13" w14:textId="77777777" w:rsidTr="00DB2122">
        <w:trPr>
          <w:trHeight w:val="315"/>
        </w:trPr>
        <w:tc>
          <w:tcPr>
            <w:tcW w:w="1255" w:type="pct"/>
            <w:shd w:val="clear" w:color="000000" w:fill="FFFFFF"/>
            <w:noWrap/>
            <w:vAlign w:val="center"/>
            <w:hideMark/>
          </w:tcPr>
          <w:p w14:paraId="5BA7C84F"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Jammu &amp; Kashmir</w:t>
            </w:r>
          </w:p>
        </w:tc>
        <w:tc>
          <w:tcPr>
            <w:tcW w:w="1105" w:type="pct"/>
            <w:shd w:val="clear" w:color="auto" w:fill="auto"/>
            <w:noWrap/>
            <w:vAlign w:val="center"/>
            <w:hideMark/>
          </w:tcPr>
          <w:p w14:paraId="4EBC6E31"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1.20</w:t>
            </w:r>
          </w:p>
        </w:tc>
        <w:tc>
          <w:tcPr>
            <w:tcW w:w="857" w:type="pct"/>
            <w:shd w:val="clear" w:color="auto" w:fill="auto"/>
            <w:noWrap/>
            <w:vAlign w:val="bottom"/>
            <w:hideMark/>
          </w:tcPr>
          <w:p w14:paraId="2DDC326E"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0.2</w:t>
            </w:r>
          </w:p>
        </w:tc>
        <w:tc>
          <w:tcPr>
            <w:tcW w:w="892" w:type="pct"/>
            <w:shd w:val="clear" w:color="auto" w:fill="auto"/>
            <w:noWrap/>
            <w:vAlign w:val="center"/>
            <w:hideMark/>
          </w:tcPr>
          <w:p w14:paraId="73877DA0"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213.80</w:t>
            </w:r>
          </w:p>
        </w:tc>
        <w:tc>
          <w:tcPr>
            <w:tcW w:w="891" w:type="pct"/>
            <w:shd w:val="clear" w:color="auto" w:fill="auto"/>
            <w:noWrap/>
            <w:vAlign w:val="bottom"/>
            <w:hideMark/>
          </w:tcPr>
          <w:p w14:paraId="2FEB50E5"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0.4</w:t>
            </w:r>
          </w:p>
        </w:tc>
      </w:tr>
      <w:tr w:rsidR="00A7730C" w:rsidRPr="00FE234A" w14:paraId="63EAD45E" w14:textId="77777777" w:rsidTr="00DB2122">
        <w:trPr>
          <w:trHeight w:val="315"/>
        </w:trPr>
        <w:tc>
          <w:tcPr>
            <w:tcW w:w="1255" w:type="pct"/>
            <w:shd w:val="clear" w:color="000000" w:fill="FFFFFF"/>
            <w:noWrap/>
            <w:vAlign w:val="center"/>
            <w:hideMark/>
          </w:tcPr>
          <w:p w14:paraId="05FFAC99"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lastRenderedPageBreak/>
              <w:t>Chhattisgarh</w:t>
            </w:r>
          </w:p>
        </w:tc>
        <w:tc>
          <w:tcPr>
            <w:tcW w:w="1105" w:type="pct"/>
            <w:shd w:val="clear" w:color="auto" w:fill="auto"/>
            <w:noWrap/>
            <w:vAlign w:val="center"/>
            <w:hideMark/>
          </w:tcPr>
          <w:p w14:paraId="3C8D2440"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0.04</w:t>
            </w:r>
          </w:p>
        </w:tc>
        <w:tc>
          <w:tcPr>
            <w:tcW w:w="857" w:type="pct"/>
            <w:shd w:val="clear" w:color="auto" w:fill="auto"/>
            <w:noWrap/>
            <w:vAlign w:val="bottom"/>
            <w:hideMark/>
          </w:tcPr>
          <w:p w14:paraId="0DB48DB6"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c>
          <w:tcPr>
            <w:tcW w:w="892" w:type="pct"/>
            <w:shd w:val="clear" w:color="auto" w:fill="auto"/>
            <w:noWrap/>
            <w:vAlign w:val="center"/>
            <w:hideMark/>
          </w:tcPr>
          <w:p w14:paraId="62AD2627"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40.41</w:t>
            </w:r>
          </w:p>
        </w:tc>
        <w:tc>
          <w:tcPr>
            <w:tcW w:w="891" w:type="pct"/>
            <w:shd w:val="clear" w:color="auto" w:fill="auto"/>
            <w:noWrap/>
            <w:vAlign w:val="bottom"/>
            <w:hideMark/>
          </w:tcPr>
          <w:p w14:paraId="279D985C"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0.1</w:t>
            </w:r>
          </w:p>
        </w:tc>
      </w:tr>
      <w:tr w:rsidR="00A7730C" w:rsidRPr="00FE234A" w14:paraId="5245B373" w14:textId="77777777" w:rsidTr="00DB2122">
        <w:trPr>
          <w:trHeight w:val="315"/>
        </w:trPr>
        <w:tc>
          <w:tcPr>
            <w:tcW w:w="1255" w:type="pct"/>
            <w:shd w:val="clear" w:color="000000" w:fill="FFFFFF"/>
            <w:noWrap/>
            <w:vAlign w:val="center"/>
            <w:hideMark/>
          </w:tcPr>
          <w:p w14:paraId="42E1F6E9"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Punjab</w:t>
            </w:r>
          </w:p>
        </w:tc>
        <w:tc>
          <w:tcPr>
            <w:tcW w:w="1105" w:type="pct"/>
            <w:shd w:val="clear" w:color="auto" w:fill="auto"/>
            <w:noWrap/>
            <w:vAlign w:val="center"/>
            <w:hideMark/>
          </w:tcPr>
          <w:p w14:paraId="71CA1D89"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0.28</w:t>
            </w:r>
          </w:p>
        </w:tc>
        <w:tc>
          <w:tcPr>
            <w:tcW w:w="857" w:type="pct"/>
            <w:shd w:val="clear" w:color="auto" w:fill="auto"/>
            <w:noWrap/>
            <w:vAlign w:val="bottom"/>
            <w:hideMark/>
          </w:tcPr>
          <w:p w14:paraId="71DC0940"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c>
          <w:tcPr>
            <w:tcW w:w="892" w:type="pct"/>
            <w:shd w:val="clear" w:color="auto" w:fill="auto"/>
            <w:noWrap/>
            <w:vAlign w:val="center"/>
            <w:hideMark/>
          </w:tcPr>
          <w:p w14:paraId="215BDF74"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28.02</w:t>
            </w:r>
          </w:p>
        </w:tc>
        <w:tc>
          <w:tcPr>
            <w:tcW w:w="891" w:type="pct"/>
            <w:shd w:val="clear" w:color="auto" w:fill="auto"/>
            <w:noWrap/>
            <w:vAlign w:val="bottom"/>
            <w:hideMark/>
          </w:tcPr>
          <w:p w14:paraId="5C981AB7"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r>
      <w:tr w:rsidR="00A7730C" w:rsidRPr="00FE234A" w14:paraId="34B9DE37" w14:textId="77777777" w:rsidTr="00DB2122">
        <w:trPr>
          <w:trHeight w:val="315"/>
        </w:trPr>
        <w:tc>
          <w:tcPr>
            <w:tcW w:w="1255" w:type="pct"/>
            <w:shd w:val="clear" w:color="000000" w:fill="FFFFFF"/>
            <w:noWrap/>
            <w:vAlign w:val="center"/>
            <w:hideMark/>
          </w:tcPr>
          <w:p w14:paraId="57021BDE"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Himachal Pradesh</w:t>
            </w:r>
          </w:p>
        </w:tc>
        <w:tc>
          <w:tcPr>
            <w:tcW w:w="1105" w:type="pct"/>
            <w:shd w:val="clear" w:color="auto" w:fill="auto"/>
            <w:noWrap/>
            <w:vAlign w:val="center"/>
            <w:hideMark/>
          </w:tcPr>
          <w:p w14:paraId="06F3EC5E"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0.01</w:t>
            </w:r>
          </w:p>
        </w:tc>
        <w:tc>
          <w:tcPr>
            <w:tcW w:w="857" w:type="pct"/>
            <w:shd w:val="clear" w:color="auto" w:fill="auto"/>
            <w:noWrap/>
            <w:vAlign w:val="bottom"/>
            <w:hideMark/>
          </w:tcPr>
          <w:p w14:paraId="56BF8805"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c>
          <w:tcPr>
            <w:tcW w:w="892" w:type="pct"/>
            <w:shd w:val="clear" w:color="auto" w:fill="auto"/>
            <w:noWrap/>
            <w:vAlign w:val="center"/>
            <w:hideMark/>
          </w:tcPr>
          <w:p w14:paraId="0CD218A9"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11.75</w:t>
            </w:r>
          </w:p>
        </w:tc>
        <w:tc>
          <w:tcPr>
            <w:tcW w:w="891" w:type="pct"/>
            <w:shd w:val="clear" w:color="auto" w:fill="auto"/>
            <w:noWrap/>
            <w:vAlign w:val="bottom"/>
            <w:hideMark/>
          </w:tcPr>
          <w:p w14:paraId="7308D3FF"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r>
      <w:tr w:rsidR="00A7730C" w:rsidRPr="00FE234A" w14:paraId="52532303" w14:textId="77777777" w:rsidTr="00DB2122">
        <w:trPr>
          <w:trHeight w:val="315"/>
        </w:trPr>
        <w:tc>
          <w:tcPr>
            <w:tcW w:w="1255" w:type="pct"/>
            <w:shd w:val="clear" w:color="000000" w:fill="FFFFFF"/>
            <w:noWrap/>
            <w:vAlign w:val="center"/>
            <w:hideMark/>
          </w:tcPr>
          <w:p w14:paraId="598EB221"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Assam</w:t>
            </w:r>
          </w:p>
        </w:tc>
        <w:tc>
          <w:tcPr>
            <w:tcW w:w="1105" w:type="pct"/>
            <w:shd w:val="clear" w:color="auto" w:fill="auto"/>
            <w:noWrap/>
            <w:vAlign w:val="center"/>
            <w:hideMark/>
          </w:tcPr>
          <w:p w14:paraId="52548723"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0.26</w:t>
            </w:r>
          </w:p>
        </w:tc>
        <w:tc>
          <w:tcPr>
            <w:tcW w:w="857" w:type="pct"/>
            <w:shd w:val="clear" w:color="auto" w:fill="auto"/>
            <w:noWrap/>
            <w:vAlign w:val="bottom"/>
            <w:hideMark/>
          </w:tcPr>
          <w:p w14:paraId="0FD119D1"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c>
          <w:tcPr>
            <w:tcW w:w="892" w:type="pct"/>
            <w:shd w:val="clear" w:color="auto" w:fill="auto"/>
            <w:noWrap/>
            <w:vAlign w:val="center"/>
            <w:hideMark/>
          </w:tcPr>
          <w:p w14:paraId="63D82111"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60.29</w:t>
            </w:r>
          </w:p>
        </w:tc>
        <w:tc>
          <w:tcPr>
            <w:tcW w:w="891" w:type="pct"/>
            <w:shd w:val="clear" w:color="auto" w:fill="auto"/>
            <w:noWrap/>
            <w:vAlign w:val="bottom"/>
            <w:hideMark/>
          </w:tcPr>
          <w:p w14:paraId="75798794"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0.1</w:t>
            </w:r>
          </w:p>
        </w:tc>
      </w:tr>
      <w:tr w:rsidR="00A7730C" w:rsidRPr="00FE234A" w14:paraId="3F21B106" w14:textId="77777777" w:rsidTr="00DB2122">
        <w:trPr>
          <w:trHeight w:val="315"/>
        </w:trPr>
        <w:tc>
          <w:tcPr>
            <w:tcW w:w="1255" w:type="pct"/>
            <w:shd w:val="clear" w:color="000000" w:fill="FFFFFF"/>
            <w:noWrap/>
            <w:vAlign w:val="center"/>
            <w:hideMark/>
          </w:tcPr>
          <w:p w14:paraId="5A7319CE"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Meghalaya</w:t>
            </w:r>
          </w:p>
        </w:tc>
        <w:tc>
          <w:tcPr>
            <w:tcW w:w="1105" w:type="pct"/>
            <w:shd w:val="clear" w:color="auto" w:fill="auto"/>
            <w:noWrap/>
            <w:vAlign w:val="center"/>
            <w:hideMark/>
          </w:tcPr>
          <w:p w14:paraId="0CB1ED60"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0.00</w:t>
            </w:r>
          </w:p>
        </w:tc>
        <w:tc>
          <w:tcPr>
            <w:tcW w:w="857" w:type="pct"/>
            <w:shd w:val="clear" w:color="auto" w:fill="auto"/>
            <w:noWrap/>
            <w:vAlign w:val="bottom"/>
            <w:hideMark/>
          </w:tcPr>
          <w:p w14:paraId="20EC20D1"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c>
          <w:tcPr>
            <w:tcW w:w="892" w:type="pct"/>
            <w:shd w:val="clear" w:color="auto" w:fill="auto"/>
            <w:noWrap/>
            <w:vAlign w:val="center"/>
            <w:hideMark/>
          </w:tcPr>
          <w:p w14:paraId="1DB3BA75"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1.90</w:t>
            </w:r>
          </w:p>
        </w:tc>
        <w:tc>
          <w:tcPr>
            <w:tcW w:w="891" w:type="pct"/>
            <w:shd w:val="clear" w:color="auto" w:fill="auto"/>
            <w:noWrap/>
            <w:vAlign w:val="bottom"/>
            <w:hideMark/>
          </w:tcPr>
          <w:p w14:paraId="1304EDC1"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r>
      <w:tr w:rsidR="00A7730C" w:rsidRPr="00FE234A" w14:paraId="55A25948" w14:textId="77777777" w:rsidTr="00DB2122">
        <w:trPr>
          <w:trHeight w:val="315"/>
        </w:trPr>
        <w:tc>
          <w:tcPr>
            <w:tcW w:w="1255" w:type="pct"/>
            <w:tcBorders>
              <w:bottom w:val="single" w:sz="4" w:space="0" w:color="auto"/>
            </w:tcBorders>
            <w:shd w:val="clear" w:color="000000" w:fill="FFFFFF"/>
            <w:noWrap/>
            <w:vAlign w:val="center"/>
            <w:hideMark/>
          </w:tcPr>
          <w:p w14:paraId="0A90F798" w14:textId="77777777" w:rsidR="00A7730C" w:rsidRPr="00FE234A" w:rsidRDefault="00A7730C" w:rsidP="00DE1947">
            <w:pPr>
              <w:spacing w:after="0" w:line="240" w:lineRule="auto"/>
              <w:jc w:val="both"/>
              <w:rPr>
                <w:rFonts w:eastAsia="Times New Roman" w:cs="Times New Roman"/>
                <w:color w:val="000000"/>
                <w:szCs w:val="24"/>
                <w:lang w:eastAsia="en-IN"/>
              </w:rPr>
            </w:pPr>
            <w:r w:rsidRPr="00FE234A">
              <w:rPr>
                <w:rFonts w:eastAsia="Times New Roman" w:cs="Times New Roman"/>
                <w:color w:val="000000"/>
                <w:szCs w:val="24"/>
                <w:lang w:eastAsia="en-IN"/>
              </w:rPr>
              <w:t>Jharkhand</w:t>
            </w:r>
          </w:p>
        </w:tc>
        <w:tc>
          <w:tcPr>
            <w:tcW w:w="1105" w:type="pct"/>
            <w:tcBorders>
              <w:bottom w:val="single" w:sz="4" w:space="0" w:color="auto"/>
            </w:tcBorders>
            <w:shd w:val="clear" w:color="auto" w:fill="auto"/>
            <w:noWrap/>
            <w:vAlign w:val="center"/>
            <w:hideMark/>
          </w:tcPr>
          <w:p w14:paraId="76772F79"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0.00</w:t>
            </w:r>
          </w:p>
        </w:tc>
        <w:tc>
          <w:tcPr>
            <w:tcW w:w="857" w:type="pct"/>
            <w:tcBorders>
              <w:bottom w:val="single" w:sz="4" w:space="0" w:color="auto"/>
            </w:tcBorders>
            <w:shd w:val="clear" w:color="auto" w:fill="auto"/>
            <w:noWrap/>
            <w:vAlign w:val="bottom"/>
            <w:hideMark/>
          </w:tcPr>
          <w:p w14:paraId="55652A12"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c>
          <w:tcPr>
            <w:tcW w:w="892" w:type="pct"/>
            <w:tcBorders>
              <w:bottom w:val="single" w:sz="4" w:space="0" w:color="auto"/>
            </w:tcBorders>
            <w:shd w:val="clear" w:color="auto" w:fill="auto"/>
            <w:noWrap/>
            <w:vAlign w:val="center"/>
            <w:hideMark/>
          </w:tcPr>
          <w:p w14:paraId="250BCAC9" w14:textId="77777777" w:rsidR="00A7730C" w:rsidRPr="009529E7" w:rsidRDefault="00A7730C" w:rsidP="00DE1947">
            <w:pPr>
              <w:spacing w:after="0" w:line="240" w:lineRule="auto"/>
              <w:jc w:val="center"/>
              <w:rPr>
                <w:rFonts w:eastAsia="Times New Roman" w:cs="Times New Roman"/>
                <w:color w:val="000000"/>
                <w:szCs w:val="24"/>
                <w:lang w:eastAsia="en-IN"/>
              </w:rPr>
            </w:pPr>
            <w:r w:rsidRPr="009529E7">
              <w:rPr>
                <w:rFonts w:cs="Times New Roman"/>
                <w:color w:val="000000"/>
                <w:szCs w:val="24"/>
              </w:rPr>
              <w:t>1.79</w:t>
            </w:r>
          </w:p>
        </w:tc>
        <w:tc>
          <w:tcPr>
            <w:tcW w:w="891" w:type="pct"/>
            <w:tcBorders>
              <w:bottom w:val="single" w:sz="4" w:space="0" w:color="auto"/>
            </w:tcBorders>
            <w:shd w:val="clear" w:color="auto" w:fill="auto"/>
            <w:noWrap/>
            <w:vAlign w:val="bottom"/>
            <w:hideMark/>
          </w:tcPr>
          <w:p w14:paraId="506F371E" w14:textId="77777777" w:rsidR="00A7730C" w:rsidRPr="00FE234A" w:rsidRDefault="00A7730C" w:rsidP="00DE1947">
            <w:pPr>
              <w:spacing w:after="0" w:line="240" w:lineRule="auto"/>
              <w:jc w:val="center"/>
              <w:rPr>
                <w:rFonts w:eastAsia="Times New Roman" w:cs="Times New Roman"/>
                <w:color w:val="000000"/>
                <w:szCs w:val="24"/>
                <w:lang w:eastAsia="en-IN"/>
              </w:rPr>
            </w:pPr>
            <w:r w:rsidRPr="00FE234A">
              <w:rPr>
                <w:rFonts w:cs="Times New Roman"/>
                <w:color w:val="000000"/>
                <w:szCs w:val="24"/>
              </w:rPr>
              <w:t>0.0</w:t>
            </w:r>
          </w:p>
        </w:tc>
      </w:tr>
      <w:tr w:rsidR="00A7730C" w:rsidRPr="00DB2122" w14:paraId="7A7424E9" w14:textId="77777777" w:rsidTr="00DB2122">
        <w:trPr>
          <w:trHeight w:val="315"/>
        </w:trPr>
        <w:tc>
          <w:tcPr>
            <w:tcW w:w="1255" w:type="pct"/>
            <w:tcBorders>
              <w:top w:val="single" w:sz="4" w:space="0" w:color="auto"/>
              <w:bottom w:val="single" w:sz="4" w:space="0" w:color="auto"/>
            </w:tcBorders>
            <w:shd w:val="clear" w:color="000000" w:fill="FFFFFF"/>
            <w:noWrap/>
            <w:vAlign w:val="center"/>
            <w:hideMark/>
          </w:tcPr>
          <w:p w14:paraId="504801C3" w14:textId="77777777" w:rsidR="00A7730C" w:rsidRPr="00DB2122" w:rsidRDefault="00A7730C" w:rsidP="00DE1947">
            <w:pPr>
              <w:spacing w:after="0" w:line="240" w:lineRule="auto"/>
              <w:jc w:val="both"/>
              <w:rPr>
                <w:rFonts w:eastAsia="Times New Roman" w:cs="Times New Roman"/>
                <w:bCs/>
                <w:color w:val="000000"/>
                <w:szCs w:val="24"/>
                <w:lang w:eastAsia="en-IN"/>
              </w:rPr>
            </w:pPr>
            <w:r w:rsidRPr="00DB2122">
              <w:rPr>
                <w:rFonts w:eastAsia="Times New Roman" w:cs="Times New Roman"/>
                <w:bCs/>
                <w:color w:val="000000"/>
                <w:szCs w:val="24"/>
                <w:lang w:eastAsia="en-IN"/>
              </w:rPr>
              <w:t>Total</w:t>
            </w:r>
          </w:p>
        </w:tc>
        <w:tc>
          <w:tcPr>
            <w:tcW w:w="1105" w:type="pct"/>
            <w:tcBorders>
              <w:top w:val="single" w:sz="4" w:space="0" w:color="auto"/>
              <w:bottom w:val="single" w:sz="4" w:space="0" w:color="auto"/>
            </w:tcBorders>
            <w:shd w:val="clear" w:color="auto" w:fill="auto"/>
            <w:noWrap/>
            <w:vAlign w:val="center"/>
            <w:hideMark/>
          </w:tcPr>
          <w:p w14:paraId="7578712D" w14:textId="77777777" w:rsidR="00A7730C" w:rsidRPr="00DB2122" w:rsidRDefault="00A7730C" w:rsidP="00DE1947">
            <w:pPr>
              <w:spacing w:after="0" w:line="240" w:lineRule="auto"/>
              <w:jc w:val="center"/>
              <w:rPr>
                <w:rFonts w:eastAsia="Times New Roman" w:cs="Times New Roman"/>
                <w:bCs/>
                <w:color w:val="000000"/>
                <w:szCs w:val="24"/>
                <w:lang w:eastAsia="en-IN"/>
              </w:rPr>
            </w:pPr>
            <w:r w:rsidRPr="00DB2122">
              <w:rPr>
                <w:rFonts w:cs="Times New Roman"/>
                <w:bCs/>
                <w:color w:val="000000"/>
                <w:szCs w:val="24"/>
              </w:rPr>
              <w:t>713.76</w:t>
            </w:r>
          </w:p>
        </w:tc>
        <w:tc>
          <w:tcPr>
            <w:tcW w:w="857" w:type="pct"/>
            <w:tcBorders>
              <w:top w:val="single" w:sz="4" w:space="0" w:color="auto"/>
              <w:bottom w:val="single" w:sz="4" w:space="0" w:color="auto"/>
            </w:tcBorders>
            <w:shd w:val="clear" w:color="auto" w:fill="auto"/>
            <w:noWrap/>
            <w:vAlign w:val="bottom"/>
            <w:hideMark/>
          </w:tcPr>
          <w:p w14:paraId="289AB54C" w14:textId="77777777" w:rsidR="00A7730C" w:rsidRPr="00DB2122" w:rsidRDefault="00A7730C" w:rsidP="00DE1947">
            <w:pPr>
              <w:spacing w:after="0" w:line="240" w:lineRule="auto"/>
              <w:jc w:val="center"/>
              <w:rPr>
                <w:rFonts w:eastAsia="Times New Roman" w:cs="Times New Roman"/>
                <w:bCs/>
                <w:color w:val="000000"/>
                <w:szCs w:val="24"/>
                <w:lang w:eastAsia="en-IN"/>
              </w:rPr>
            </w:pPr>
            <w:r w:rsidRPr="00DB2122">
              <w:rPr>
                <w:rFonts w:cs="Times New Roman"/>
                <w:bCs/>
                <w:color w:val="000000"/>
                <w:szCs w:val="24"/>
              </w:rPr>
              <w:t>100.0</w:t>
            </w:r>
          </w:p>
        </w:tc>
        <w:tc>
          <w:tcPr>
            <w:tcW w:w="892" w:type="pct"/>
            <w:tcBorders>
              <w:top w:val="single" w:sz="4" w:space="0" w:color="auto"/>
              <w:bottom w:val="single" w:sz="4" w:space="0" w:color="auto"/>
            </w:tcBorders>
            <w:shd w:val="clear" w:color="auto" w:fill="auto"/>
            <w:noWrap/>
            <w:vAlign w:val="center"/>
            <w:hideMark/>
          </w:tcPr>
          <w:p w14:paraId="5229F874" w14:textId="77777777" w:rsidR="00A7730C" w:rsidRPr="00DB2122" w:rsidRDefault="00A7730C" w:rsidP="00DE1947">
            <w:pPr>
              <w:spacing w:after="0" w:line="240" w:lineRule="auto"/>
              <w:jc w:val="center"/>
              <w:rPr>
                <w:rFonts w:eastAsia="Times New Roman" w:cs="Times New Roman"/>
                <w:bCs/>
                <w:color w:val="000000"/>
                <w:szCs w:val="24"/>
                <w:lang w:eastAsia="en-IN"/>
              </w:rPr>
            </w:pPr>
            <w:r w:rsidRPr="00DB2122">
              <w:rPr>
                <w:rFonts w:cs="Times New Roman"/>
                <w:bCs/>
                <w:color w:val="000000"/>
                <w:szCs w:val="24"/>
              </w:rPr>
              <w:t>56384.66</w:t>
            </w:r>
          </w:p>
        </w:tc>
        <w:tc>
          <w:tcPr>
            <w:tcW w:w="891" w:type="pct"/>
            <w:tcBorders>
              <w:top w:val="single" w:sz="4" w:space="0" w:color="auto"/>
              <w:bottom w:val="single" w:sz="4" w:space="0" w:color="auto"/>
            </w:tcBorders>
            <w:shd w:val="clear" w:color="auto" w:fill="auto"/>
            <w:noWrap/>
            <w:vAlign w:val="bottom"/>
            <w:hideMark/>
          </w:tcPr>
          <w:p w14:paraId="2F2D5DCC" w14:textId="77777777" w:rsidR="00A7730C" w:rsidRPr="00DB2122" w:rsidRDefault="00A7730C" w:rsidP="00DE1947">
            <w:pPr>
              <w:spacing w:after="0" w:line="240" w:lineRule="auto"/>
              <w:jc w:val="center"/>
              <w:rPr>
                <w:rFonts w:eastAsia="Times New Roman" w:cs="Times New Roman"/>
                <w:bCs/>
                <w:color w:val="000000"/>
                <w:szCs w:val="24"/>
                <w:lang w:eastAsia="en-IN"/>
              </w:rPr>
            </w:pPr>
            <w:r w:rsidRPr="00DB2122">
              <w:rPr>
                <w:rFonts w:cs="Times New Roman"/>
                <w:bCs/>
                <w:color w:val="000000"/>
                <w:szCs w:val="24"/>
              </w:rPr>
              <w:t>100.0</w:t>
            </w:r>
          </w:p>
        </w:tc>
      </w:tr>
    </w:tbl>
    <w:p w14:paraId="54B8FBA0" w14:textId="70C7D9C2" w:rsidR="00A7730C" w:rsidRPr="007B6CAD" w:rsidRDefault="00A7730C" w:rsidP="00A7730C">
      <w:pPr>
        <w:rPr>
          <w:rFonts w:cs="Times New Roman"/>
          <w:szCs w:val="24"/>
        </w:rPr>
      </w:pPr>
      <w:r>
        <w:rPr>
          <w:rFonts w:cs="Times New Roman"/>
          <w:szCs w:val="24"/>
        </w:rPr>
        <w:t xml:space="preserve"> Source: </w:t>
      </w:r>
      <w:r w:rsidR="00DB2122">
        <w:rPr>
          <w:rFonts w:cs="Times New Roman"/>
          <w:szCs w:val="24"/>
        </w:rPr>
        <w:t>V</w:t>
      </w:r>
      <w:r>
        <w:rPr>
          <w:rFonts w:cs="Times New Roman"/>
          <w:szCs w:val="24"/>
        </w:rPr>
        <w:t>arious issues of APEDA, Go</w:t>
      </w:r>
      <w:r w:rsidR="00DB2122">
        <w:rPr>
          <w:rFonts w:cs="Times New Roman"/>
          <w:szCs w:val="24"/>
        </w:rPr>
        <w:t xml:space="preserve">vernment of </w:t>
      </w:r>
      <w:r>
        <w:rPr>
          <w:rFonts w:cs="Times New Roman"/>
          <w:szCs w:val="24"/>
        </w:rPr>
        <w:t>I</w:t>
      </w:r>
      <w:r w:rsidR="00DB2122">
        <w:rPr>
          <w:rFonts w:cs="Times New Roman"/>
          <w:szCs w:val="24"/>
        </w:rPr>
        <w:t>ndia</w:t>
      </w:r>
    </w:p>
    <w:p w14:paraId="094EB1E9" w14:textId="77777777" w:rsidR="002930C7" w:rsidRPr="00463E94" w:rsidRDefault="002930C7" w:rsidP="002930C7">
      <w:pPr>
        <w:spacing w:line="276" w:lineRule="auto"/>
        <w:jc w:val="both"/>
        <w:rPr>
          <w:rFonts w:cs="Times New Roman"/>
          <w:b/>
          <w:szCs w:val="24"/>
        </w:rPr>
      </w:pPr>
      <w:r w:rsidRPr="00463E94">
        <w:rPr>
          <w:rFonts w:cs="Times New Roman"/>
          <w:b/>
          <w:szCs w:val="24"/>
        </w:rPr>
        <w:t>Key challenges in organic farming</w:t>
      </w:r>
    </w:p>
    <w:p w14:paraId="0D1FE728" w14:textId="38038321" w:rsidR="00C11B6C" w:rsidRPr="00C11B6C" w:rsidRDefault="00C11B6C" w:rsidP="00AE14CC">
      <w:pPr>
        <w:spacing w:line="360" w:lineRule="auto"/>
        <w:jc w:val="both"/>
        <w:rPr>
          <w:rFonts w:cs="Times New Roman"/>
          <w:szCs w:val="24"/>
        </w:rPr>
      </w:pPr>
      <w:r w:rsidRPr="00C11B6C">
        <w:rPr>
          <w:rFonts w:cs="Times New Roman"/>
          <w:szCs w:val="24"/>
        </w:rPr>
        <w:t>Organic farming faces numerous challenges that hinder its widespread. Some of these challenges are outlined below:</w:t>
      </w:r>
    </w:p>
    <w:p w14:paraId="00FD7052" w14:textId="4D64503B" w:rsidR="002930C7" w:rsidRDefault="00666E8D" w:rsidP="00AE14C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Yield and Labor Costs: One of t</w:t>
      </w:r>
      <w:r w:rsidR="002930C7" w:rsidRPr="00B07445">
        <w:rPr>
          <w:rFonts w:ascii="Times New Roman" w:hAnsi="Times New Roman" w:cs="Times New Roman"/>
          <w:sz w:val="24"/>
          <w:szCs w:val="24"/>
        </w:rPr>
        <w:t xml:space="preserve">he </w:t>
      </w:r>
      <w:r>
        <w:rPr>
          <w:rFonts w:ascii="Times New Roman" w:hAnsi="Times New Roman" w:cs="Times New Roman"/>
          <w:sz w:val="24"/>
          <w:szCs w:val="24"/>
        </w:rPr>
        <w:t>primary</w:t>
      </w:r>
      <w:r w:rsidR="002930C7" w:rsidRPr="00B07445">
        <w:rPr>
          <w:rFonts w:ascii="Times New Roman" w:hAnsi="Times New Roman" w:cs="Times New Roman"/>
          <w:sz w:val="24"/>
          <w:szCs w:val="24"/>
        </w:rPr>
        <w:t xml:space="preserve"> </w:t>
      </w:r>
      <w:r>
        <w:rPr>
          <w:rFonts w:ascii="Times New Roman" w:hAnsi="Times New Roman" w:cs="Times New Roman"/>
          <w:sz w:val="24"/>
          <w:szCs w:val="24"/>
        </w:rPr>
        <w:t>reasons</w:t>
      </w:r>
      <w:r w:rsidR="002930C7" w:rsidRPr="00B07445">
        <w:rPr>
          <w:rFonts w:ascii="Times New Roman" w:hAnsi="Times New Roman" w:cs="Times New Roman"/>
          <w:sz w:val="24"/>
          <w:szCs w:val="24"/>
        </w:rPr>
        <w:t xml:space="preserve"> </w:t>
      </w:r>
      <w:r>
        <w:rPr>
          <w:rFonts w:ascii="Times New Roman" w:hAnsi="Times New Roman" w:cs="Times New Roman"/>
          <w:sz w:val="24"/>
          <w:szCs w:val="24"/>
        </w:rPr>
        <w:t>for</w:t>
      </w:r>
      <w:r w:rsidR="002930C7" w:rsidRPr="00B07445">
        <w:rPr>
          <w:rFonts w:ascii="Times New Roman" w:hAnsi="Times New Roman" w:cs="Times New Roman"/>
          <w:sz w:val="24"/>
          <w:szCs w:val="24"/>
        </w:rPr>
        <w:t xml:space="preserve"> </w:t>
      </w:r>
      <w:r>
        <w:rPr>
          <w:rFonts w:ascii="Times New Roman" w:hAnsi="Times New Roman" w:cs="Times New Roman"/>
          <w:sz w:val="24"/>
          <w:szCs w:val="24"/>
        </w:rPr>
        <w:t xml:space="preserve">the limited </w:t>
      </w:r>
      <w:r w:rsidR="002930C7" w:rsidRPr="00B07445">
        <w:rPr>
          <w:rFonts w:ascii="Times New Roman" w:hAnsi="Times New Roman" w:cs="Times New Roman"/>
          <w:sz w:val="24"/>
          <w:szCs w:val="24"/>
        </w:rPr>
        <w:t xml:space="preserve">adoption of organic farming is the </w:t>
      </w:r>
      <w:r>
        <w:rPr>
          <w:rFonts w:ascii="Times New Roman" w:hAnsi="Times New Roman" w:cs="Times New Roman"/>
          <w:sz w:val="24"/>
          <w:szCs w:val="24"/>
        </w:rPr>
        <w:t xml:space="preserve">perception of lower </w:t>
      </w:r>
      <w:r w:rsidR="002930C7" w:rsidRPr="00B07445">
        <w:rPr>
          <w:rFonts w:ascii="Times New Roman" w:hAnsi="Times New Roman" w:cs="Times New Roman"/>
          <w:sz w:val="24"/>
          <w:szCs w:val="24"/>
        </w:rPr>
        <w:t xml:space="preserve">yield under organic cultivation during </w:t>
      </w:r>
      <w:r>
        <w:rPr>
          <w:rFonts w:ascii="Times New Roman" w:hAnsi="Times New Roman" w:cs="Times New Roman"/>
          <w:sz w:val="24"/>
          <w:szCs w:val="24"/>
        </w:rPr>
        <w:t xml:space="preserve">the </w:t>
      </w:r>
      <w:r w:rsidR="002930C7" w:rsidRPr="00B07445">
        <w:rPr>
          <w:rFonts w:ascii="Times New Roman" w:hAnsi="Times New Roman" w:cs="Times New Roman"/>
          <w:sz w:val="24"/>
          <w:szCs w:val="24"/>
        </w:rPr>
        <w:t xml:space="preserve">conversion period. </w:t>
      </w:r>
      <w:r w:rsidRPr="00666E8D">
        <w:rPr>
          <w:rFonts w:ascii="Times New Roman" w:hAnsi="Times New Roman" w:cs="Times New Roman"/>
          <w:sz w:val="24"/>
          <w:szCs w:val="24"/>
        </w:rPr>
        <w:t>Additionally,</w:t>
      </w:r>
      <w:r w:rsidR="002930C7" w:rsidRPr="00B07445">
        <w:rPr>
          <w:rFonts w:ascii="Times New Roman" w:hAnsi="Times New Roman" w:cs="Times New Roman"/>
          <w:sz w:val="24"/>
          <w:szCs w:val="24"/>
        </w:rPr>
        <w:t xml:space="preserve"> </w:t>
      </w:r>
      <w:proofErr w:type="spellStart"/>
      <w:r w:rsidR="002930C7" w:rsidRPr="00B07445">
        <w:rPr>
          <w:rFonts w:ascii="Times New Roman" w:hAnsi="Times New Roman" w:cs="Times New Roman"/>
          <w:sz w:val="24"/>
          <w:szCs w:val="24"/>
        </w:rPr>
        <w:t>labour</w:t>
      </w:r>
      <w:proofErr w:type="spellEnd"/>
      <w:r w:rsidR="002930C7" w:rsidRPr="00B07445">
        <w:rPr>
          <w:rFonts w:ascii="Times New Roman" w:hAnsi="Times New Roman" w:cs="Times New Roman"/>
          <w:sz w:val="24"/>
          <w:szCs w:val="24"/>
        </w:rPr>
        <w:t xml:space="preserve"> </w:t>
      </w:r>
      <w:r>
        <w:rPr>
          <w:rFonts w:ascii="Times New Roman" w:hAnsi="Times New Roman" w:cs="Times New Roman"/>
          <w:sz w:val="24"/>
          <w:szCs w:val="24"/>
        </w:rPr>
        <w:t>costs</w:t>
      </w:r>
      <w:r w:rsidR="002930C7" w:rsidRPr="00B07445">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2930C7" w:rsidRPr="00B07445">
        <w:rPr>
          <w:rFonts w:ascii="Times New Roman" w:hAnsi="Times New Roman" w:cs="Times New Roman"/>
          <w:sz w:val="24"/>
          <w:szCs w:val="24"/>
        </w:rPr>
        <w:t xml:space="preserve">also </w:t>
      </w:r>
      <w:r>
        <w:rPr>
          <w:rFonts w:ascii="Times New Roman" w:hAnsi="Times New Roman" w:cs="Times New Roman"/>
          <w:sz w:val="24"/>
          <w:szCs w:val="24"/>
        </w:rPr>
        <w:t>higher in</w:t>
      </w:r>
      <w:r w:rsidR="002930C7" w:rsidRPr="00B07445">
        <w:rPr>
          <w:rFonts w:ascii="Times New Roman" w:hAnsi="Times New Roman" w:cs="Times New Roman"/>
          <w:sz w:val="24"/>
          <w:szCs w:val="24"/>
        </w:rPr>
        <w:t xml:space="preserve"> organic cultivation</w:t>
      </w:r>
      <w:r>
        <w:rPr>
          <w:rFonts w:ascii="Times New Roman" w:hAnsi="Times New Roman" w:cs="Times New Roman"/>
          <w:sz w:val="24"/>
          <w:szCs w:val="24"/>
        </w:rPr>
        <w:t xml:space="preserve">, especially </w:t>
      </w:r>
      <w:r w:rsidR="002930C7" w:rsidRPr="00B07445">
        <w:rPr>
          <w:rFonts w:ascii="Times New Roman" w:hAnsi="Times New Roman" w:cs="Times New Roman"/>
          <w:sz w:val="24"/>
          <w:szCs w:val="24"/>
        </w:rPr>
        <w:t xml:space="preserve">for intercultural operations which can be </w:t>
      </w:r>
      <w:r>
        <w:rPr>
          <w:rFonts w:ascii="Times New Roman" w:hAnsi="Times New Roman" w:cs="Times New Roman"/>
          <w:sz w:val="24"/>
          <w:szCs w:val="24"/>
        </w:rPr>
        <w:t xml:space="preserve">effectively </w:t>
      </w:r>
      <w:r w:rsidR="002930C7" w:rsidRPr="00B07445">
        <w:rPr>
          <w:rFonts w:ascii="Times New Roman" w:hAnsi="Times New Roman" w:cs="Times New Roman"/>
          <w:sz w:val="24"/>
          <w:szCs w:val="24"/>
        </w:rPr>
        <w:t>managed by</w:t>
      </w:r>
      <w:r>
        <w:rPr>
          <w:rFonts w:ascii="Times New Roman" w:hAnsi="Times New Roman" w:cs="Times New Roman"/>
          <w:sz w:val="24"/>
          <w:szCs w:val="24"/>
        </w:rPr>
        <w:t xml:space="preserve"> using</w:t>
      </w:r>
      <w:r w:rsidR="002930C7" w:rsidRPr="00B07445">
        <w:rPr>
          <w:rFonts w:ascii="Times New Roman" w:hAnsi="Times New Roman" w:cs="Times New Roman"/>
          <w:sz w:val="24"/>
          <w:szCs w:val="24"/>
        </w:rPr>
        <w:t xml:space="preserve"> chemical herbicides in conventional farming.</w:t>
      </w:r>
    </w:p>
    <w:p w14:paraId="110C602A" w14:textId="15063AE1" w:rsidR="00C11B6C" w:rsidRPr="00666E8D" w:rsidRDefault="00C11B6C" w:rsidP="00AE14CC">
      <w:pPr>
        <w:pStyle w:val="ListParagraph"/>
        <w:numPr>
          <w:ilvl w:val="0"/>
          <w:numId w:val="4"/>
        </w:numPr>
        <w:spacing w:line="360" w:lineRule="auto"/>
        <w:jc w:val="both"/>
        <w:rPr>
          <w:rFonts w:ascii="Times New Roman" w:hAnsi="Times New Roman" w:cs="Times New Roman"/>
          <w:sz w:val="24"/>
          <w:szCs w:val="24"/>
        </w:rPr>
      </w:pPr>
      <w:r w:rsidRPr="00666E8D">
        <w:rPr>
          <w:rFonts w:ascii="Times New Roman" w:hAnsi="Times New Roman" w:cs="Times New Roman"/>
          <w:sz w:val="24"/>
          <w:szCs w:val="24"/>
        </w:rPr>
        <w:t xml:space="preserve">Marketing and Perishability: </w:t>
      </w:r>
      <w:r>
        <w:rPr>
          <w:rFonts w:ascii="Times New Roman" w:hAnsi="Times New Roman" w:cs="Times New Roman"/>
          <w:sz w:val="24"/>
          <w:szCs w:val="24"/>
        </w:rPr>
        <w:t>The marketing</w:t>
      </w:r>
      <w:r w:rsidR="002930C7" w:rsidRPr="00B07445">
        <w:rPr>
          <w:rFonts w:ascii="Times New Roman" w:hAnsi="Times New Roman" w:cs="Times New Roman"/>
          <w:sz w:val="24"/>
          <w:szCs w:val="24"/>
        </w:rPr>
        <w:t xml:space="preserve"> of organic farming produce </w:t>
      </w:r>
      <w:r>
        <w:rPr>
          <w:rFonts w:ascii="Times New Roman" w:hAnsi="Times New Roman" w:cs="Times New Roman"/>
          <w:sz w:val="24"/>
          <w:szCs w:val="24"/>
        </w:rPr>
        <w:t xml:space="preserve">is a </w:t>
      </w:r>
      <w:r w:rsidR="00AE14CC">
        <w:rPr>
          <w:rFonts w:ascii="Times New Roman" w:hAnsi="Times New Roman" w:cs="Times New Roman"/>
          <w:sz w:val="24"/>
          <w:szCs w:val="24"/>
        </w:rPr>
        <w:t>major</w:t>
      </w:r>
      <w:r w:rsidR="002930C7" w:rsidRPr="00B07445">
        <w:rPr>
          <w:rFonts w:ascii="Times New Roman" w:hAnsi="Times New Roman" w:cs="Times New Roman"/>
          <w:sz w:val="24"/>
          <w:szCs w:val="24"/>
        </w:rPr>
        <w:t xml:space="preserve"> problem for organic growers. </w:t>
      </w:r>
      <w:r w:rsidRPr="00666E8D">
        <w:rPr>
          <w:rFonts w:ascii="Times New Roman" w:hAnsi="Times New Roman" w:cs="Times New Roman"/>
          <w:sz w:val="24"/>
          <w:szCs w:val="24"/>
        </w:rPr>
        <w:t>While</w:t>
      </w:r>
      <w:r>
        <w:rPr>
          <w:rFonts w:ascii="Times New Roman" w:hAnsi="Times New Roman" w:cs="Times New Roman"/>
          <w:sz w:val="24"/>
          <w:szCs w:val="24"/>
        </w:rPr>
        <w:t xml:space="preserve"> </w:t>
      </w:r>
      <w:r w:rsidRPr="00666E8D">
        <w:rPr>
          <w:rFonts w:ascii="Times New Roman" w:hAnsi="Times New Roman" w:cs="Times New Roman"/>
          <w:sz w:val="24"/>
          <w:szCs w:val="24"/>
        </w:rPr>
        <w:t>organic products require fewer chemical inputs, they</w:t>
      </w:r>
      <w:r>
        <w:rPr>
          <w:rFonts w:ascii="Times New Roman" w:hAnsi="Times New Roman" w:cs="Times New Roman"/>
          <w:sz w:val="24"/>
          <w:szCs w:val="24"/>
        </w:rPr>
        <w:t xml:space="preserve"> </w:t>
      </w:r>
      <w:r w:rsidRPr="00B07445">
        <w:rPr>
          <w:rFonts w:ascii="Times New Roman" w:hAnsi="Times New Roman" w:cs="Times New Roman"/>
          <w:sz w:val="24"/>
          <w:szCs w:val="24"/>
        </w:rPr>
        <w:t>are</w:t>
      </w:r>
      <w:r w:rsidR="002930C7" w:rsidRPr="00B07445">
        <w:rPr>
          <w:rFonts w:ascii="Times New Roman" w:hAnsi="Times New Roman" w:cs="Times New Roman"/>
          <w:sz w:val="24"/>
          <w:szCs w:val="24"/>
        </w:rPr>
        <w:t xml:space="preserve"> more </w:t>
      </w:r>
      <w:r w:rsidRPr="00B07445">
        <w:rPr>
          <w:rFonts w:ascii="Times New Roman" w:hAnsi="Times New Roman" w:cs="Times New Roman"/>
          <w:sz w:val="24"/>
          <w:szCs w:val="24"/>
        </w:rPr>
        <w:t>susceptible</w:t>
      </w:r>
      <w:r w:rsidR="002930C7" w:rsidRPr="00B07445">
        <w:rPr>
          <w:rFonts w:ascii="Times New Roman" w:hAnsi="Times New Roman" w:cs="Times New Roman"/>
          <w:sz w:val="24"/>
          <w:szCs w:val="24"/>
        </w:rPr>
        <w:t xml:space="preserve"> to perishability. </w:t>
      </w:r>
      <w:r w:rsidRPr="00666E8D">
        <w:rPr>
          <w:rFonts w:ascii="Times New Roman" w:hAnsi="Times New Roman" w:cs="Times New Roman"/>
          <w:sz w:val="24"/>
          <w:szCs w:val="24"/>
        </w:rPr>
        <w:t>Consequently,</w:t>
      </w:r>
      <w:r>
        <w:rPr>
          <w:rFonts w:ascii="Times New Roman" w:hAnsi="Times New Roman" w:cs="Times New Roman"/>
          <w:sz w:val="24"/>
          <w:szCs w:val="24"/>
        </w:rPr>
        <w:t xml:space="preserve"> </w:t>
      </w:r>
      <w:r w:rsidR="002930C7" w:rsidRPr="00B07445">
        <w:rPr>
          <w:rFonts w:ascii="Times New Roman" w:hAnsi="Times New Roman" w:cs="Times New Roman"/>
          <w:sz w:val="24"/>
          <w:szCs w:val="24"/>
        </w:rPr>
        <w:t xml:space="preserve">a major challenge here is to develop faster supply chains for organic produce </w:t>
      </w:r>
      <w:r w:rsidRPr="00666E8D">
        <w:rPr>
          <w:rFonts w:ascii="Times New Roman" w:hAnsi="Times New Roman" w:cs="Times New Roman"/>
          <w:sz w:val="24"/>
          <w:szCs w:val="24"/>
        </w:rPr>
        <w:t>to ensure timely consumption and prevent spoilage.</w:t>
      </w:r>
    </w:p>
    <w:p w14:paraId="1AD621D8" w14:textId="552DAC61" w:rsidR="002930C7" w:rsidRDefault="002930C7" w:rsidP="00AE14C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High input cost, </w:t>
      </w:r>
      <w:r w:rsidRPr="00B07445">
        <w:rPr>
          <w:rFonts w:ascii="Times New Roman" w:hAnsi="Times New Roman" w:cs="Times New Roman"/>
          <w:sz w:val="24"/>
          <w:szCs w:val="24"/>
        </w:rPr>
        <w:t xml:space="preserve">unavailability of certified organic seed, complex certification procedure, lack of organic input responsive variety, </w:t>
      </w:r>
      <w:r w:rsidR="00987E1E">
        <w:rPr>
          <w:rFonts w:ascii="Times New Roman" w:hAnsi="Times New Roman" w:cs="Times New Roman"/>
          <w:sz w:val="24"/>
          <w:szCs w:val="24"/>
        </w:rPr>
        <w:t xml:space="preserve">and </w:t>
      </w:r>
      <w:r>
        <w:rPr>
          <w:rFonts w:ascii="Times New Roman" w:hAnsi="Times New Roman" w:cs="Times New Roman"/>
          <w:sz w:val="24"/>
          <w:szCs w:val="24"/>
        </w:rPr>
        <w:t>supple side issues like inadequate infrastructure are some other challenges faced by the farmers</w:t>
      </w:r>
      <w:r w:rsidRPr="00B07445">
        <w:rPr>
          <w:rFonts w:ascii="Times New Roman" w:hAnsi="Times New Roman" w:cs="Times New Roman"/>
          <w:sz w:val="24"/>
          <w:szCs w:val="24"/>
        </w:rPr>
        <w:t>.</w:t>
      </w:r>
    </w:p>
    <w:p w14:paraId="20545039" w14:textId="5D966BEE" w:rsidR="00987E1E" w:rsidRPr="00666E8D" w:rsidRDefault="002930C7" w:rsidP="00AE14CC">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Further,</w:t>
      </w:r>
      <w:r w:rsidRPr="00B07445">
        <w:rPr>
          <w:rFonts w:ascii="Times New Roman" w:hAnsi="Times New Roman" w:cs="Times New Roman"/>
          <w:sz w:val="24"/>
          <w:szCs w:val="24"/>
        </w:rPr>
        <w:t xml:space="preserve"> extensive use of pesticides and chemicals </w:t>
      </w:r>
      <w:r>
        <w:rPr>
          <w:rFonts w:ascii="Times New Roman" w:hAnsi="Times New Roman" w:cs="Times New Roman"/>
          <w:sz w:val="24"/>
          <w:szCs w:val="24"/>
        </w:rPr>
        <w:t xml:space="preserve">in conventional farming </w:t>
      </w:r>
      <w:r w:rsidR="00987E1E">
        <w:rPr>
          <w:rFonts w:ascii="Times New Roman" w:hAnsi="Times New Roman" w:cs="Times New Roman"/>
          <w:sz w:val="24"/>
          <w:szCs w:val="24"/>
        </w:rPr>
        <w:t>has</w:t>
      </w:r>
      <w:r>
        <w:rPr>
          <w:rFonts w:ascii="Times New Roman" w:hAnsi="Times New Roman" w:cs="Times New Roman"/>
          <w:sz w:val="24"/>
          <w:szCs w:val="24"/>
        </w:rPr>
        <w:t xml:space="preserve"> created the potential for </w:t>
      </w:r>
      <w:r w:rsidR="00987E1E">
        <w:rPr>
          <w:rFonts w:ascii="Times New Roman" w:hAnsi="Times New Roman" w:cs="Times New Roman"/>
          <w:sz w:val="24"/>
          <w:szCs w:val="24"/>
        </w:rPr>
        <w:t xml:space="preserve">a </w:t>
      </w:r>
      <w:r>
        <w:rPr>
          <w:rFonts w:ascii="Times New Roman" w:hAnsi="Times New Roman" w:cs="Times New Roman"/>
          <w:sz w:val="24"/>
          <w:szCs w:val="24"/>
        </w:rPr>
        <w:t>resurgence of pests, diseases</w:t>
      </w:r>
      <w:r w:rsidR="00987E1E">
        <w:rPr>
          <w:rFonts w:ascii="Times New Roman" w:hAnsi="Times New Roman" w:cs="Times New Roman"/>
          <w:sz w:val="24"/>
          <w:szCs w:val="24"/>
        </w:rPr>
        <w:t>,</w:t>
      </w:r>
      <w:r>
        <w:rPr>
          <w:rFonts w:ascii="Times New Roman" w:hAnsi="Times New Roman" w:cs="Times New Roman"/>
          <w:sz w:val="24"/>
          <w:szCs w:val="24"/>
        </w:rPr>
        <w:t xml:space="preserve"> and growth of </w:t>
      </w:r>
      <w:r w:rsidR="00987E1E">
        <w:rPr>
          <w:rFonts w:ascii="Times New Roman" w:hAnsi="Times New Roman" w:cs="Times New Roman"/>
          <w:sz w:val="24"/>
          <w:szCs w:val="24"/>
        </w:rPr>
        <w:t>weeds</w:t>
      </w:r>
      <w:r>
        <w:rPr>
          <w:rFonts w:ascii="Times New Roman" w:hAnsi="Times New Roman" w:cs="Times New Roman"/>
          <w:sz w:val="24"/>
          <w:szCs w:val="24"/>
        </w:rPr>
        <w:t xml:space="preserve"> when going for organic cultivation</w:t>
      </w:r>
      <w:r w:rsidRPr="00B07445">
        <w:rPr>
          <w:rFonts w:ascii="Times New Roman" w:hAnsi="Times New Roman" w:cs="Times New Roman"/>
          <w:sz w:val="24"/>
          <w:szCs w:val="24"/>
        </w:rPr>
        <w:t xml:space="preserve">. This is the </w:t>
      </w:r>
      <w:r>
        <w:rPr>
          <w:rFonts w:ascii="Times New Roman" w:hAnsi="Times New Roman" w:cs="Times New Roman"/>
          <w:sz w:val="24"/>
          <w:szCs w:val="24"/>
        </w:rPr>
        <w:t>major challenge in</w:t>
      </w:r>
      <w:r w:rsidRPr="00B07445">
        <w:rPr>
          <w:rFonts w:ascii="Times New Roman" w:hAnsi="Times New Roman" w:cs="Times New Roman"/>
          <w:sz w:val="24"/>
          <w:szCs w:val="24"/>
        </w:rPr>
        <w:t xml:space="preserve"> transition</w:t>
      </w:r>
      <w:r>
        <w:rPr>
          <w:rFonts w:ascii="Times New Roman" w:hAnsi="Times New Roman" w:cs="Times New Roman"/>
          <w:sz w:val="24"/>
          <w:szCs w:val="24"/>
        </w:rPr>
        <w:t>ing</w:t>
      </w:r>
      <w:r w:rsidRPr="00B07445">
        <w:rPr>
          <w:rFonts w:ascii="Times New Roman" w:hAnsi="Times New Roman" w:cs="Times New Roman"/>
          <w:sz w:val="24"/>
          <w:szCs w:val="24"/>
        </w:rPr>
        <w:t xml:space="preserve"> from conventional farming to organic farming (Reddy, 2010).</w:t>
      </w:r>
      <w:r w:rsidR="00987E1E" w:rsidRPr="00987E1E">
        <w:rPr>
          <w:rFonts w:ascii="Times New Roman" w:hAnsi="Times New Roman" w:cs="Times New Roman"/>
          <w:sz w:val="24"/>
          <w:szCs w:val="24"/>
        </w:rPr>
        <w:t xml:space="preserve"> </w:t>
      </w:r>
      <w:r w:rsidR="00987E1E" w:rsidRPr="00666E8D">
        <w:rPr>
          <w:rFonts w:ascii="Times New Roman" w:hAnsi="Times New Roman" w:cs="Times New Roman"/>
          <w:sz w:val="24"/>
          <w:szCs w:val="24"/>
        </w:rPr>
        <w:t>Managing these challenges during the conversion period is a significant hurdle that farmers must overcome when transitioning from conventional to organic farming.</w:t>
      </w:r>
    </w:p>
    <w:p w14:paraId="4E07218A" w14:textId="58064B0F" w:rsidR="00666E8D" w:rsidRPr="00987E1E" w:rsidRDefault="00666E8D" w:rsidP="00AE14CC">
      <w:pPr>
        <w:pStyle w:val="ListParagraph"/>
        <w:numPr>
          <w:ilvl w:val="0"/>
          <w:numId w:val="4"/>
        </w:numPr>
        <w:spacing w:line="360" w:lineRule="auto"/>
        <w:jc w:val="both"/>
        <w:rPr>
          <w:rFonts w:ascii="Times New Roman" w:hAnsi="Times New Roman" w:cs="Times New Roman"/>
          <w:sz w:val="24"/>
          <w:szCs w:val="24"/>
        </w:rPr>
      </w:pPr>
      <w:r w:rsidRPr="00666E8D">
        <w:rPr>
          <w:rFonts w:ascii="Times New Roman" w:hAnsi="Times New Roman" w:cs="Times New Roman"/>
          <w:sz w:val="24"/>
          <w:szCs w:val="24"/>
        </w:rPr>
        <w:t>High Input Costs and Certification Procedures: Organic farming entails higher input costs due to the use of organic fertilizers, pest control methods, and other organic inputs. Additionally, the availability of certified organic seeds can be limited, making it challenging for farmers to obtain suitable seeds for their organic crops. Moreover, the certification procedure for organic farming can be complex and time-consuming, posing an additional challenge for farmers.</w:t>
      </w:r>
    </w:p>
    <w:p w14:paraId="029E97EF" w14:textId="0F7CF0EF" w:rsidR="00666E8D" w:rsidRPr="00987E1E" w:rsidRDefault="00AE14CC" w:rsidP="00AE14CC">
      <w:pPr>
        <w:spacing w:line="360" w:lineRule="auto"/>
        <w:jc w:val="both"/>
        <w:rPr>
          <w:rFonts w:cs="Times New Roman"/>
          <w:szCs w:val="24"/>
        </w:rPr>
      </w:pPr>
      <w:r>
        <w:rPr>
          <w:rFonts w:cs="Times New Roman"/>
          <w:szCs w:val="24"/>
        </w:rPr>
        <w:lastRenderedPageBreak/>
        <w:t>Overall</w:t>
      </w:r>
      <w:r w:rsidR="00666E8D" w:rsidRPr="00987E1E">
        <w:rPr>
          <w:rFonts w:cs="Times New Roman"/>
          <w:szCs w:val="24"/>
        </w:rPr>
        <w:t xml:space="preserve">, organic farming faces multiple challenges that impact its adoption and success. Addressing these challenges requires efforts to improve yields, develop efficient supply chains, reduce input costs, streamline certification procedures, promote organic </w:t>
      </w:r>
      <w:r w:rsidR="00987E1E">
        <w:rPr>
          <w:rFonts w:cs="Times New Roman"/>
          <w:szCs w:val="24"/>
        </w:rPr>
        <w:t>input-responsive</w:t>
      </w:r>
      <w:r w:rsidR="00666E8D" w:rsidRPr="00987E1E">
        <w:rPr>
          <w:rFonts w:cs="Times New Roman"/>
          <w:szCs w:val="24"/>
        </w:rPr>
        <w:t xml:space="preserve"> varieties, enhance infrastructure and support systems, and provide assistance during the transition from conventional to organic farming. By addressing these challenges, organic farming can flourish and contribute to sustainable agriculture practices. (Reddy, 2010)</w:t>
      </w:r>
    </w:p>
    <w:p w14:paraId="4D5D1E2D" w14:textId="63B87D2D" w:rsidR="00D67117" w:rsidRPr="002930C7" w:rsidRDefault="00D67117">
      <w:pPr>
        <w:rPr>
          <w:rFonts w:cs="Times New Roman"/>
          <w:b/>
          <w:szCs w:val="24"/>
        </w:rPr>
      </w:pPr>
      <w:r w:rsidRPr="002930C7">
        <w:rPr>
          <w:rFonts w:cs="Times New Roman"/>
          <w:b/>
          <w:szCs w:val="24"/>
        </w:rPr>
        <w:t>Future Prospects of Organic Farming</w:t>
      </w:r>
    </w:p>
    <w:p w14:paraId="4B8391A0" w14:textId="6A74DC1D" w:rsidR="00C60BF1" w:rsidRDefault="002930C7" w:rsidP="00852AA1">
      <w:pPr>
        <w:spacing w:line="360" w:lineRule="auto"/>
        <w:ind w:firstLine="720"/>
        <w:jc w:val="both"/>
        <w:rPr>
          <w:rFonts w:cs="Times New Roman"/>
          <w:szCs w:val="24"/>
        </w:rPr>
      </w:pPr>
      <w:r>
        <w:rPr>
          <w:rFonts w:cs="Times New Roman"/>
          <w:szCs w:val="24"/>
        </w:rPr>
        <w:t>Or</w:t>
      </w:r>
      <w:r w:rsidR="00987E1E">
        <w:rPr>
          <w:rFonts w:cs="Times New Roman"/>
          <w:szCs w:val="24"/>
        </w:rPr>
        <w:t xml:space="preserve">ganic cultivation is an </w:t>
      </w:r>
      <w:r w:rsidR="00C60BF1">
        <w:rPr>
          <w:rFonts w:cs="Times New Roman"/>
          <w:szCs w:val="24"/>
        </w:rPr>
        <w:t>age-old nature-based</w:t>
      </w:r>
      <w:r w:rsidR="00987E1E">
        <w:rPr>
          <w:rFonts w:cs="Times New Roman"/>
          <w:szCs w:val="24"/>
        </w:rPr>
        <w:t xml:space="preserve"> food production </w:t>
      </w:r>
      <w:r>
        <w:rPr>
          <w:rFonts w:cs="Times New Roman"/>
          <w:szCs w:val="24"/>
        </w:rPr>
        <w:t>system of in India</w:t>
      </w:r>
      <w:r w:rsidR="00987E1E">
        <w:rPr>
          <w:rFonts w:cs="Times New Roman"/>
          <w:szCs w:val="24"/>
        </w:rPr>
        <w:t>,</w:t>
      </w:r>
      <w:r>
        <w:rPr>
          <w:rFonts w:cs="Times New Roman"/>
          <w:szCs w:val="24"/>
        </w:rPr>
        <w:t xml:space="preserve"> which </w:t>
      </w:r>
      <w:r w:rsidR="00987E1E">
        <w:rPr>
          <w:rFonts w:cs="Times New Roman"/>
          <w:szCs w:val="24"/>
        </w:rPr>
        <w:t>has</w:t>
      </w:r>
      <w:r>
        <w:rPr>
          <w:rFonts w:cs="Times New Roman"/>
          <w:szCs w:val="24"/>
        </w:rPr>
        <w:t xml:space="preserve"> been </w:t>
      </w:r>
      <w:r w:rsidR="00987E1E">
        <w:rPr>
          <w:rFonts w:cs="Times New Roman"/>
          <w:szCs w:val="24"/>
        </w:rPr>
        <w:t>adopted</w:t>
      </w:r>
      <w:r>
        <w:rPr>
          <w:rFonts w:cs="Times New Roman"/>
          <w:szCs w:val="24"/>
        </w:rPr>
        <w:t xml:space="preserve"> by rural farming communities. The vast experience of I</w:t>
      </w:r>
      <w:r w:rsidRPr="0003622C">
        <w:rPr>
          <w:rFonts w:cs="Times New Roman"/>
          <w:szCs w:val="24"/>
        </w:rPr>
        <w:t xml:space="preserve">ndian farmers </w:t>
      </w:r>
      <w:r w:rsidR="00C60BF1">
        <w:rPr>
          <w:rFonts w:cs="Times New Roman"/>
          <w:szCs w:val="24"/>
        </w:rPr>
        <w:t>in</w:t>
      </w:r>
      <w:r w:rsidRPr="0003622C">
        <w:rPr>
          <w:rFonts w:cs="Times New Roman"/>
          <w:szCs w:val="24"/>
        </w:rPr>
        <w:t xml:space="preserve"> maintaining soil fertility, pest management</w:t>
      </w:r>
      <w:r>
        <w:rPr>
          <w:rFonts w:cs="Times New Roman"/>
          <w:szCs w:val="24"/>
        </w:rPr>
        <w:t xml:space="preserve">, extensive drylands, </w:t>
      </w:r>
      <w:r w:rsidR="00C60BF1">
        <w:rPr>
          <w:rFonts w:cs="Times New Roman"/>
          <w:szCs w:val="24"/>
        </w:rPr>
        <w:t xml:space="preserve">and </w:t>
      </w:r>
      <w:r>
        <w:rPr>
          <w:rFonts w:cs="Times New Roman"/>
          <w:szCs w:val="24"/>
        </w:rPr>
        <w:t>suitable climatic conditions</w:t>
      </w:r>
      <w:r w:rsidRPr="0003622C">
        <w:rPr>
          <w:rFonts w:cs="Times New Roman"/>
          <w:szCs w:val="24"/>
        </w:rPr>
        <w:t xml:space="preserve"> </w:t>
      </w:r>
      <w:r w:rsidR="00C60BF1">
        <w:rPr>
          <w:rFonts w:cs="Times New Roman"/>
          <w:szCs w:val="24"/>
        </w:rPr>
        <w:t>is</w:t>
      </w:r>
      <w:r>
        <w:rPr>
          <w:rFonts w:cs="Times New Roman"/>
          <w:szCs w:val="24"/>
        </w:rPr>
        <w:t xml:space="preserve"> pivotal in </w:t>
      </w:r>
      <w:r w:rsidRPr="0003622C">
        <w:rPr>
          <w:rFonts w:cs="Times New Roman"/>
          <w:szCs w:val="24"/>
        </w:rPr>
        <w:t xml:space="preserve">strengthening organic production in India. The </w:t>
      </w:r>
      <w:r>
        <w:rPr>
          <w:rFonts w:cs="Times New Roman"/>
          <w:szCs w:val="24"/>
        </w:rPr>
        <w:t xml:space="preserve">country has made </w:t>
      </w:r>
      <w:r w:rsidRPr="0003622C">
        <w:rPr>
          <w:rFonts w:cs="Times New Roman"/>
          <w:szCs w:val="24"/>
        </w:rPr>
        <w:t xml:space="preserve">commendable progress in organic agriculture. Currently, India has become the largest organic producer </w:t>
      </w:r>
      <w:r w:rsidR="00C60BF1">
        <w:rPr>
          <w:rFonts w:cs="Times New Roman"/>
          <w:szCs w:val="24"/>
        </w:rPr>
        <w:t>in</w:t>
      </w:r>
      <w:r w:rsidRPr="0003622C">
        <w:rPr>
          <w:rFonts w:cs="Times New Roman"/>
          <w:szCs w:val="24"/>
        </w:rPr>
        <w:t xml:space="preserve"> the </w:t>
      </w:r>
      <w:r>
        <w:rPr>
          <w:rFonts w:cs="Times New Roman"/>
          <w:szCs w:val="24"/>
        </w:rPr>
        <w:t xml:space="preserve">world. </w:t>
      </w:r>
      <w:r w:rsidRPr="00BB67D3">
        <w:rPr>
          <w:rFonts w:cs="Times New Roman"/>
          <w:szCs w:val="24"/>
        </w:rPr>
        <w:t xml:space="preserve">About 2.78 </w:t>
      </w:r>
      <w:proofErr w:type="spellStart"/>
      <w:r w:rsidR="00C60BF1">
        <w:rPr>
          <w:rFonts w:cs="Times New Roman"/>
          <w:szCs w:val="24"/>
        </w:rPr>
        <w:t>Mha</w:t>
      </w:r>
      <w:proofErr w:type="spellEnd"/>
      <w:r w:rsidRPr="00BB67D3">
        <w:rPr>
          <w:rFonts w:cs="Times New Roman"/>
          <w:szCs w:val="24"/>
        </w:rPr>
        <w:t xml:space="preserve"> of </w:t>
      </w:r>
      <w:r w:rsidR="00C60BF1">
        <w:rPr>
          <w:rFonts w:cs="Times New Roman"/>
          <w:szCs w:val="24"/>
        </w:rPr>
        <w:t>agricultural land</w:t>
      </w:r>
      <w:r w:rsidRPr="00BB67D3">
        <w:rPr>
          <w:rFonts w:cs="Times New Roman"/>
          <w:szCs w:val="24"/>
        </w:rPr>
        <w:t xml:space="preserve"> </w:t>
      </w:r>
      <w:r>
        <w:rPr>
          <w:rFonts w:cs="Times New Roman"/>
          <w:szCs w:val="24"/>
        </w:rPr>
        <w:t>in India is</w:t>
      </w:r>
      <w:r w:rsidRPr="00BB67D3">
        <w:rPr>
          <w:rFonts w:cs="Times New Roman"/>
          <w:szCs w:val="24"/>
        </w:rPr>
        <w:t xml:space="preserve"> under organic cultivation</w:t>
      </w:r>
      <w:r>
        <w:rPr>
          <w:rFonts w:cs="Times New Roman"/>
          <w:szCs w:val="24"/>
        </w:rPr>
        <w:t>.</w:t>
      </w:r>
      <w:r w:rsidR="00316B1A">
        <w:rPr>
          <w:rFonts w:cs="Times New Roman"/>
          <w:szCs w:val="24"/>
        </w:rPr>
        <w:t xml:space="preserve"> </w:t>
      </w:r>
      <w:r>
        <w:rPr>
          <w:rFonts w:cs="Times New Roman"/>
          <w:szCs w:val="24"/>
        </w:rPr>
        <w:t xml:space="preserve">Over the years, </w:t>
      </w:r>
      <w:r w:rsidRPr="0003622C">
        <w:rPr>
          <w:rFonts w:cs="Times New Roman"/>
          <w:szCs w:val="24"/>
        </w:rPr>
        <w:t xml:space="preserve">the demand for </w:t>
      </w:r>
      <w:r>
        <w:rPr>
          <w:rFonts w:cs="Times New Roman"/>
          <w:szCs w:val="24"/>
        </w:rPr>
        <w:t>organic food has</w:t>
      </w:r>
      <w:r w:rsidR="00C60BF1" w:rsidRPr="00987E1E">
        <w:rPr>
          <w:rFonts w:cs="Times New Roman"/>
          <w:szCs w:val="24"/>
        </w:rPr>
        <w:t xml:space="preserve"> witnessed a substantial increase</w:t>
      </w:r>
      <w:r>
        <w:rPr>
          <w:rFonts w:cs="Times New Roman"/>
          <w:szCs w:val="24"/>
        </w:rPr>
        <w:t xml:space="preserve"> as </w:t>
      </w:r>
      <w:r w:rsidRPr="0003622C">
        <w:rPr>
          <w:rFonts w:cs="Times New Roman"/>
          <w:szCs w:val="24"/>
        </w:rPr>
        <w:t xml:space="preserve">people </w:t>
      </w:r>
      <w:r>
        <w:rPr>
          <w:rFonts w:cs="Times New Roman"/>
          <w:szCs w:val="24"/>
        </w:rPr>
        <w:t>are being more conscious about</w:t>
      </w:r>
      <w:r w:rsidRPr="0003622C">
        <w:rPr>
          <w:rFonts w:cs="Times New Roman"/>
          <w:szCs w:val="24"/>
        </w:rPr>
        <w:t xml:space="preserve"> </w:t>
      </w:r>
      <w:r>
        <w:rPr>
          <w:rFonts w:cs="Times New Roman"/>
          <w:szCs w:val="24"/>
        </w:rPr>
        <w:t xml:space="preserve">food </w:t>
      </w:r>
      <w:r w:rsidRPr="0003622C">
        <w:rPr>
          <w:rFonts w:cs="Times New Roman"/>
          <w:szCs w:val="24"/>
        </w:rPr>
        <w:t xml:space="preserve">safety and quality </w:t>
      </w:r>
      <w:r>
        <w:rPr>
          <w:rFonts w:cs="Times New Roman"/>
          <w:szCs w:val="24"/>
        </w:rPr>
        <w:t xml:space="preserve">issues. Besides, organic cultivation has </w:t>
      </w:r>
      <w:r w:rsidR="00C60BF1">
        <w:rPr>
          <w:rFonts w:cs="Times New Roman"/>
          <w:szCs w:val="24"/>
        </w:rPr>
        <w:t xml:space="preserve">a </w:t>
      </w:r>
      <w:r>
        <w:rPr>
          <w:rFonts w:cs="Times New Roman"/>
          <w:szCs w:val="24"/>
        </w:rPr>
        <w:t xml:space="preserve">positive impact on soil health and </w:t>
      </w:r>
      <w:r w:rsidR="00C60BF1" w:rsidRPr="00987E1E">
        <w:rPr>
          <w:rFonts w:cs="Times New Roman"/>
          <w:szCs w:val="24"/>
        </w:rPr>
        <w:t>contributes</w:t>
      </w:r>
      <w:r w:rsidR="00C60BF1">
        <w:rPr>
          <w:rFonts w:cs="Times New Roman"/>
          <w:szCs w:val="24"/>
        </w:rPr>
        <w:t xml:space="preserve"> to the </w:t>
      </w:r>
      <w:r>
        <w:rPr>
          <w:rFonts w:cs="Times New Roman"/>
          <w:szCs w:val="24"/>
        </w:rPr>
        <w:t>overall sustainability of the ecosystem.</w:t>
      </w:r>
    </w:p>
    <w:p w14:paraId="39F827AA" w14:textId="7B4F6BD2" w:rsidR="00987E1E" w:rsidRPr="00987E1E" w:rsidRDefault="002930C7" w:rsidP="00852AA1">
      <w:pPr>
        <w:spacing w:line="360" w:lineRule="auto"/>
        <w:ind w:firstLine="720"/>
        <w:jc w:val="both"/>
        <w:rPr>
          <w:rFonts w:cs="Times New Roman"/>
          <w:szCs w:val="24"/>
        </w:rPr>
      </w:pPr>
      <w:r w:rsidRPr="0088263A">
        <w:rPr>
          <w:rFonts w:cs="Times New Roman"/>
          <w:szCs w:val="24"/>
        </w:rPr>
        <w:t xml:space="preserve">In India, there are over 600,000 organic </w:t>
      </w:r>
      <w:r w:rsidR="00C60BF1">
        <w:rPr>
          <w:rFonts w:cs="Times New Roman"/>
          <w:szCs w:val="24"/>
        </w:rPr>
        <w:t>growers, and rank 8</w:t>
      </w:r>
      <w:r w:rsidR="00C60BF1" w:rsidRPr="00C60BF1">
        <w:rPr>
          <w:rFonts w:cs="Times New Roman"/>
          <w:szCs w:val="24"/>
          <w:vertAlign w:val="superscript"/>
        </w:rPr>
        <w:t>th</w:t>
      </w:r>
      <w:r w:rsidR="00C60BF1">
        <w:rPr>
          <w:rFonts w:cs="Times New Roman"/>
          <w:szCs w:val="24"/>
        </w:rPr>
        <w:t xml:space="preserve"> globally </w:t>
      </w:r>
      <w:r>
        <w:rPr>
          <w:rFonts w:cs="Times New Roman"/>
          <w:szCs w:val="24"/>
        </w:rPr>
        <w:t xml:space="preserve">in terms of </w:t>
      </w:r>
      <w:r w:rsidR="00C60BF1">
        <w:rPr>
          <w:rFonts w:cs="Times New Roman"/>
          <w:szCs w:val="24"/>
        </w:rPr>
        <w:t>area dedicated to organic farming</w:t>
      </w:r>
      <w:r w:rsidRPr="00086D36">
        <w:rPr>
          <w:rFonts w:cs="Times New Roman"/>
          <w:szCs w:val="24"/>
        </w:rPr>
        <w:t xml:space="preserve"> (FIBL &amp; IFOAM Year Book, 2020).</w:t>
      </w:r>
      <w:r w:rsidR="00C60BF1" w:rsidRPr="00C60BF1">
        <w:rPr>
          <w:rFonts w:cs="Times New Roman"/>
          <w:szCs w:val="24"/>
        </w:rPr>
        <w:t xml:space="preserve"> </w:t>
      </w:r>
      <w:r w:rsidR="00C60BF1" w:rsidRPr="00987E1E">
        <w:rPr>
          <w:rFonts w:cs="Times New Roman"/>
          <w:szCs w:val="24"/>
        </w:rPr>
        <w:t>Technological innovations in organic cultivation have seen remarkable growth, facilitating higher production and sustainable practices.</w:t>
      </w:r>
      <w:r w:rsidR="00C60BF1" w:rsidRPr="00C60BF1">
        <w:rPr>
          <w:rFonts w:cs="Times New Roman"/>
          <w:szCs w:val="24"/>
        </w:rPr>
        <w:t xml:space="preserve"> </w:t>
      </w:r>
      <w:r w:rsidR="00C60BF1" w:rsidRPr="00987E1E">
        <w:rPr>
          <w:rFonts w:cs="Times New Roman"/>
          <w:szCs w:val="24"/>
        </w:rPr>
        <w:t>Integrating mycorrhiza fungi and Nano bio-stimulants has proven to be an effective approach in achieving improved yields while adhering to organic standards.</w:t>
      </w:r>
      <w:r w:rsidR="00C60BF1">
        <w:rPr>
          <w:rFonts w:cs="Times New Roman"/>
          <w:szCs w:val="24"/>
        </w:rPr>
        <w:t xml:space="preserve"> </w:t>
      </w:r>
      <w:r w:rsidR="00987E1E" w:rsidRPr="00987E1E">
        <w:rPr>
          <w:rFonts w:cs="Times New Roman"/>
          <w:szCs w:val="24"/>
        </w:rPr>
        <w:t xml:space="preserve">The growth of organic farming in India is further </w:t>
      </w:r>
      <w:r w:rsidR="00852AA1" w:rsidRPr="00987E1E">
        <w:rPr>
          <w:rFonts w:cs="Times New Roman"/>
          <w:szCs w:val="24"/>
        </w:rPr>
        <w:t>fuelled</w:t>
      </w:r>
      <w:r w:rsidR="00987E1E" w:rsidRPr="00987E1E">
        <w:rPr>
          <w:rFonts w:cs="Times New Roman"/>
          <w:szCs w:val="24"/>
        </w:rPr>
        <w:t xml:space="preserve"> by several incentives and support mechanisms. Insurance support for farmers safeguards against crop failures and financial losses, instilling confidence in transitioning to organic practices. Improved access to new knowledge and skills through training programs equips farmers with the necessary tools to successfully embrace organic farming. </w:t>
      </w:r>
      <w:r w:rsidR="00852AA1" w:rsidRPr="00987E1E">
        <w:rPr>
          <w:rFonts w:cs="Times New Roman"/>
          <w:szCs w:val="24"/>
        </w:rPr>
        <w:t>Favourable</w:t>
      </w:r>
      <w:r w:rsidR="00987E1E" w:rsidRPr="00987E1E">
        <w:rPr>
          <w:rFonts w:cs="Times New Roman"/>
          <w:szCs w:val="24"/>
        </w:rPr>
        <w:t xml:space="preserve"> policies supporting organic production, coupled with the high disposable income of consumers and the rising global demand for organic products, create a conducive environment for the expansion of organic farming in India.</w:t>
      </w:r>
    </w:p>
    <w:p w14:paraId="768163AB" w14:textId="763AD0D5" w:rsidR="00987E1E" w:rsidRDefault="00987E1E" w:rsidP="00852AA1">
      <w:pPr>
        <w:spacing w:line="360" w:lineRule="auto"/>
        <w:ind w:firstLine="720"/>
        <w:jc w:val="both"/>
        <w:rPr>
          <w:rFonts w:cs="Times New Roman"/>
          <w:szCs w:val="24"/>
        </w:rPr>
      </w:pPr>
      <w:r w:rsidRPr="00987E1E">
        <w:rPr>
          <w:rFonts w:cs="Times New Roman"/>
          <w:szCs w:val="24"/>
        </w:rPr>
        <w:t xml:space="preserve">In conclusion, the future prospects of organic farming in India appear promising. The country's rich agricultural heritage, increasing consumer demand, positive environmental impact, and ongoing technological advancements position organic farming for continued </w:t>
      </w:r>
      <w:r w:rsidRPr="00987E1E">
        <w:rPr>
          <w:rFonts w:cs="Times New Roman"/>
          <w:szCs w:val="24"/>
        </w:rPr>
        <w:lastRenderedPageBreak/>
        <w:t>growth. By embracing sustainable practices and leveraging available incentives, Indian farmers can contribute to a healthier and more environmentally conscious food system.</w:t>
      </w:r>
    </w:p>
    <w:p w14:paraId="0D3A6103" w14:textId="26EF81AE" w:rsidR="00DC1562" w:rsidRDefault="00D80F3A" w:rsidP="00DC1562">
      <w:pPr>
        <w:spacing w:line="276" w:lineRule="auto"/>
        <w:jc w:val="both"/>
        <w:rPr>
          <w:rFonts w:cs="Times New Roman"/>
          <w:b/>
          <w:szCs w:val="24"/>
        </w:rPr>
      </w:pPr>
      <w:r>
        <w:rPr>
          <w:rFonts w:cs="Times New Roman"/>
          <w:b/>
          <w:szCs w:val="24"/>
        </w:rPr>
        <w:t xml:space="preserve">Conclusion </w:t>
      </w:r>
    </w:p>
    <w:p w14:paraId="547C7430" w14:textId="448AD8B9" w:rsidR="00852AA1" w:rsidRPr="00C60BF1" w:rsidRDefault="00DC1562" w:rsidP="00852AA1">
      <w:pPr>
        <w:spacing w:line="360" w:lineRule="auto"/>
        <w:jc w:val="both"/>
        <w:rPr>
          <w:rFonts w:cs="Times New Roman"/>
          <w:szCs w:val="24"/>
        </w:rPr>
      </w:pPr>
      <w:r>
        <w:rPr>
          <w:rFonts w:cs="Times New Roman"/>
          <w:szCs w:val="24"/>
        </w:rPr>
        <w:t>India is having immense potential in organic agriculture as demand for organic products is rising in both domestic and international markets.</w:t>
      </w:r>
      <w:r w:rsidR="00C60BF1" w:rsidRPr="00C60BF1">
        <w:rPr>
          <w:rFonts w:cs="Times New Roman"/>
          <w:szCs w:val="24"/>
        </w:rPr>
        <w:t xml:space="preserve"> This potential is particularly evident in hilly and </w:t>
      </w:r>
      <w:proofErr w:type="spellStart"/>
      <w:r w:rsidR="00C60BF1" w:rsidRPr="00C60BF1">
        <w:rPr>
          <w:rFonts w:cs="Times New Roman"/>
          <w:szCs w:val="24"/>
        </w:rPr>
        <w:t>rainfed</w:t>
      </w:r>
      <w:proofErr w:type="spellEnd"/>
      <w:r w:rsidR="00C60BF1" w:rsidRPr="00C60BF1">
        <w:rPr>
          <w:rFonts w:cs="Times New Roman"/>
          <w:szCs w:val="24"/>
        </w:rPr>
        <w:t xml:space="preserve"> regions, making it crucial to focus on strategies to strengthen organic agriculture in the country.</w:t>
      </w:r>
      <w:r>
        <w:rPr>
          <w:rFonts w:cs="Times New Roman"/>
          <w:szCs w:val="24"/>
        </w:rPr>
        <w:t xml:space="preserve"> </w:t>
      </w:r>
      <w:r w:rsidR="00852AA1" w:rsidRPr="00C60BF1">
        <w:rPr>
          <w:rFonts w:cs="Times New Roman"/>
          <w:szCs w:val="24"/>
        </w:rPr>
        <w:t>To strengthen this sector in India, the following strategies warrant particular emphasis:</w:t>
      </w:r>
    </w:p>
    <w:p w14:paraId="31A9CEC3" w14:textId="387225BF" w:rsidR="000973F2" w:rsidRDefault="00C60BF1" w:rsidP="00DC1562">
      <w:pPr>
        <w:spacing w:line="276" w:lineRule="auto"/>
        <w:jc w:val="both"/>
        <w:rPr>
          <w:rFonts w:cs="Times New Roman"/>
          <w:szCs w:val="24"/>
        </w:rPr>
      </w:pPr>
      <w:r>
        <w:rPr>
          <w:rFonts w:cs="Times New Roman"/>
          <w:szCs w:val="24"/>
        </w:rPr>
        <w:t xml:space="preserve">The </w:t>
      </w:r>
      <w:r w:rsidR="000973F2">
        <w:rPr>
          <w:rFonts w:cs="Times New Roman"/>
          <w:szCs w:val="24"/>
        </w:rPr>
        <w:t xml:space="preserve">following strategies need to be given emphasis:  </w:t>
      </w:r>
    </w:p>
    <w:p w14:paraId="5FC67612" w14:textId="4794AD72" w:rsidR="000973F2" w:rsidRPr="008F229F" w:rsidRDefault="000973F2" w:rsidP="00876F37">
      <w:pPr>
        <w:pStyle w:val="ListParagraph"/>
        <w:numPr>
          <w:ilvl w:val="0"/>
          <w:numId w:val="5"/>
        </w:numPr>
        <w:spacing w:line="360" w:lineRule="auto"/>
        <w:jc w:val="both"/>
        <w:rPr>
          <w:rFonts w:ascii="Times New Roman" w:hAnsi="Times New Roman" w:cs="Times New Roman"/>
          <w:sz w:val="24"/>
          <w:szCs w:val="24"/>
          <w:shd w:val="clear" w:color="auto" w:fill="FFFFFF"/>
        </w:rPr>
      </w:pPr>
      <w:r w:rsidRPr="008F229F">
        <w:rPr>
          <w:rFonts w:ascii="Times New Roman" w:hAnsi="Times New Roman" w:cs="Times New Roman"/>
          <w:sz w:val="24"/>
          <w:szCs w:val="24"/>
        </w:rPr>
        <w:t xml:space="preserve">Development of region-specific organic farming models </w:t>
      </w:r>
      <w:r w:rsidR="00852AA1" w:rsidRPr="00852AA1">
        <w:rPr>
          <w:rFonts w:ascii="Times New Roman" w:hAnsi="Times New Roman" w:cs="Times New Roman"/>
          <w:sz w:val="24"/>
          <w:szCs w:val="24"/>
        </w:rPr>
        <w:t xml:space="preserve">tailored to </w:t>
      </w:r>
      <w:r w:rsidRPr="008F229F">
        <w:rPr>
          <w:rFonts w:ascii="Times New Roman" w:hAnsi="Times New Roman" w:cs="Times New Roman"/>
          <w:sz w:val="24"/>
          <w:szCs w:val="24"/>
        </w:rPr>
        <w:t xml:space="preserve">different agro-climatic conditions. </w:t>
      </w:r>
    </w:p>
    <w:p w14:paraId="3FCF932E" w14:textId="1F54A360" w:rsidR="004E4CB8" w:rsidRPr="008F229F" w:rsidRDefault="000973F2" w:rsidP="00876F37">
      <w:pPr>
        <w:pStyle w:val="ListParagraph"/>
        <w:numPr>
          <w:ilvl w:val="0"/>
          <w:numId w:val="5"/>
        </w:numPr>
        <w:spacing w:line="360" w:lineRule="auto"/>
        <w:jc w:val="both"/>
        <w:rPr>
          <w:rFonts w:ascii="Times New Roman" w:hAnsi="Times New Roman" w:cs="Times New Roman"/>
          <w:sz w:val="24"/>
          <w:szCs w:val="24"/>
          <w:shd w:val="clear" w:color="auto" w:fill="FFFFFF"/>
        </w:rPr>
      </w:pPr>
      <w:r w:rsidRPr="008F229F">
        <w:rPr>
          <w:rFonts w:ascii="Times New Roman" w:hAnsi="Times New Roman" w:cs="Times New Roman"/>
          <w:sz w:val="24"/>
          <w:szCs w:val="24"/>
          <w:shd w:val="clear" w:color="auto" w:fill="FFFFFF"/>
        </w:rPr>
        <w:t>Providing quality inputs</w:t>
      </w:r>
      <w:r w:rsidR="004E4CB8" w:rsidRPr="008F229F">
        <w:rPr>
          <w:rFonts w:ascii="Times New Roman" w:hAnsi="Times New Roman" w:cs="Times New Roman"/>
          <w:sz w:val="24"/>
          <w:szCs w:val="24"/>
          <w:shd w:val="clear" w:color="auto" w:fill="FFFFFF"/>
        </w:rPr>
        <w:t xml:space="preserve"> and </w:t>
      </w:r>
      <w:r w:rsidR="00852AA1">
        <w:rPr>
          <w:rFonts w:ascii="Times New Roman" w:hAnsi="Times New Roman" w:cs="Times New Roman"/>
          <w:sz w:val="24"/>
          <w:szCs w:val="24"/>
          <w:shd w:val="clear" w:color="auto" w:fill="FFFFFF"/>
        </w:rPr>
        <w:t>developing</w:t>
      </w:r>
      <w:r w:rsidR="004E4CB8" w:rsidRPr="008F229F">
        <w:rPr>
          <w:rFonts w:ascii="Times New Roman" w:hAnsi="Times New Roman" w:cs="Times New Roman"/>
          <w:sz w:val="24"/>
          <w:szCs w:val="24"/>
          <w:shd w:val="clear" w:color="auto" w:fill="FFFFFF"/>
        </w:rPr>
        <w:t xml:space="preserve"> suitable residue management techn</w:t>
      </w:r>
      <w:r w:rsidR="008F229F" w:rsidRPr="008F229F">
        <w:rPr>
          <w:rFonts w:ascii="Times New Roman" w:hAnsi="Times New Roman" w:cs="Times New Roman"/>
          <w:sz w:val="24"/>
          <w:szCs w:val="24"/>
          <w:shd w:val="clear" w:color="auto" w:fill="FFFFFF"/>
        </w:rPr>
        <w:t>ologies.</w:t>
      </w:r>
      <w:r w:rsidR="004E4CB8" w:rsidRPr="008F229F">
        <w:rPr>
          <w:rFonts w:ascii="Times New Roman" w:hAnsi="Times New Roman" w:cs="Times New Roman"/>
          <w:sz w:val="24"/>
          <w:szCs w:val="24"/>
          <w:shd w:val="clear" w:color="auto" w:fill="FFFFFF"/>
        </w:rPr>
        <w:t xml:space="preserve">   </w:t>
      </w:r>
    </w:p>
    <w:p w14:paraId="0C4C8E02" w14:textId="77777777" w:rsidR="00852AA1" w:rsidRDefault="00852AA1" w:rsidP="00876F37">
      <w:pPr>
        <w:pStyle w:val="ListParagraph"/>
        <w:numPr>
          <w:ilvl w:val="0"/>
          <w:numId w:val="5"/>
        </w:numPr>
        <w:spacing w:line="360" w:lineRule="auto"/>
        <w:jc w:val="both"/>
        <w:rPr>
          <w:rFonts w:ascii="Times New Roman" w:hAnsi="Times New Roman" w:cs="Times New Roman"/>
          <w:sz w:val="24"/>
          <w:szCs w:val="24"/>
          <w:shd w:val="clear" w:color="auto" w:fill="FFFFFF"/>
        </w:rPr>
      </w:pPr>
      <w:r w:rsidRPr="00852AA1">
        <w:rPr>
          <w:rFonts w:ascii="Times New Roman" w:hAnsi="Times New Roman" w:cs="Times New Roman"/>
          <w:sz w:val="24"/>
          <w:szCs w:val="24"/>
          <w:shd w:val="clear" w:color="auto" w:fill="FFFFFF"/>
        </w:rPr>
        <w:t>Introduction of incentives such as payment for ecosystem services to incentivize organic farming practices.</w:t>
      </w:r>
      <w:r>
        <w:rPr>
          <w:rFonts w:ascii="Times New Roman" w:hAnsi="Times New Roman" w:cs="Times New Roman"/>
          <w:sz w:val="24"/>
          <w:szCs w:val="24"/>
          <w:shd w:val="clear" w:color="auto" w:fill="FFFFFF"/>
        </w:rPr>
        <w:t xml:space="preserve"> </w:t>
      </w:r>
    </w:p>
    <w:p w14:paraId="5A811F96" w14:textId="24999AD2" w:rsidR="000973F2" w:rsidRPr="008F229F" w:rsidRDefault="000973F2" w:rsidP="00876F37">
      <w:pPr>
        <w:pStyle w:val="ListParagraph"/>
        <w:numPr>
          <w:ilvl w:val="0"/>
          <w:numId w:val="5"/>
        </w:numPr>
        <w:spacing w:line="360" w:lineRule="auto"/>
        <w:jc w:val="both"/>
        <w:rPr>
          <w:rFonts w:ascii="Times New Roman" w:hAnsi="Times New Roman" w:cs="Times New Roman"/>
          <w:sz w:val="24"/>
          <w:szCs w:val="24"/>
          <w:shd w:val="clear" w:color="auto" w:fill="FFFFFF"/>
        </w:rPr>
      </w:pPr>
      <w:r w:rsidRPr="008F229F">
        <w:rPr>
          <w:rFonts w:ascii="Times New Roman" w:hAnsi="Times New Roman" w:cs="Times New Roman"/>
          <w:sz w:val="24"/>
          <w:szCs w:val="24"/>
          <w:shd w:val="clear" w:color="auto" w:fill="FFFFFF"/>
        </w:rPr>
        <w:t xml:space="preserve">Accreditation of </w:t>
      </w:r>
      <w:r w:rsidR="004E4CB8" w:rsidRPr="008F229F">
        <w:rPr>
          <w:rFonts w:ascii="Times New Roman" w:hAnsi="Times New Roman" w:cs="Times New Roman"/>
          <w:sz w:val="24"/>
          <w:szCs w:val="24"/>
          <w:shd w:val="clear" w:color="auto" w:fill="FFFFFF"/>
        </w:rPr>
        <w:t xml:space="preserve">different </w:t>
      </w:r>
      <w:r w:rsidRPr="008F229F">
        <w:rPr>
          <w:rFonts w:ascii="Times New Roman" w:hAnsi="Times New Roman" w:cs="Times New Roman"/>
          <w:sz w:val="24"/>
          <w:szCs w:val="24"/>
          <w:shd w:val="clear" w:color="auto" w:fill="FFFFFF"/>
        </w:rPr>
        <w:t>certified agencies</w:t>
      </w:r>
      <w:r w:rsidR="00852AA1">
        <w:rPr>
          <w:rFonts w:ascii="Times New Roman" w:hAnsi="Times New Roman" w:cs="Times New Roman"/>
          <w:sz w:val="24"/>
          <w:szCs w:val="24"/>
          <w:shd w:val="clear" w:color="auto" w:fill="FFFFFF"/>
        </w:rPr>
        <w:t xml:space="preserve"> </w:t>
      </w:r>
      <w:r w:rsidR="00852AA1" w:rsidRPr="00852AA1">
        <w:rPr>
          <w:rFonts w:ascii="Times New Roman" w:hAnsi="Times New Roman" w:cs="Times New Roman"/>
          <w:sz w:val="24"/>
          <w:szCs w:val="24"/>
          <w:shd w:val="clear" w:color="auto" w:fill="FFFFFF"/>
        </w:rPr>
        <w:t>to ens</w:t>
      </w:r>
      <w:r w:rsidR="00852AA1">
        <w:rPr>
          <w:rFonts w:ascii="Times New Roman" w:hAnsi="Times New Roman" w:cs="Times New Roman"/>
          <w:sz w:val="24"/>
          <w:szCs w:val="24"/>
          <w:shd w:val="clear" w:color="auto" w:fill="FFFFFF"/>
        </w:rPr>
        <w:t>ure credibility and reliability</w:t>
      </w:r>
      <w:r w:rsidR="008F229F" w:rsidRPr="008F229F">
        <w:rPr>
          <w:rFonts w:ascii="Times New Roman" w:hAnsi="Times New Roman" w:cs="Times New Roman"/>
          <w:sz w:val="24"/>
          <w:szCs w:val="24"/>
          <w:shd w:val="clear" w:color="auto" w:fill="FFFFFF"/>
        </w:rPr>
        <w:t>.</w:t>
      </w:r>
    </w:p>
    <w:p w14:paraId="42BABBBD" w14:textId="71540C46" w:rsidR="004E4CB8" w:rsidRPr="008F229F" w:rsidRDefault="004E4CB8" w:rsidP="00876F37">
      <w:pPr>
        <w:pStyle w:val="ListParagraph"/>
        <w:numPr>
          <w:ilvl w:val="0"/>
          <w:numId w:val="5"/>
        </w:numPr>
        <w:spacing w:line="360" w:lineRule="auto"/>
        <w:rPr>
          <w:rFonts w:ascii="Times New Roman" w:hAnsi="Times New Roman" w:cs="Times New Roman"/>
          <w:sz w:val="24"/>
          <w:szCs w:val="24"/>
          <w:shd w:val="clear" w:color="auto" w:fill="FFFFFF"/>
        </w:rPr>
      </w:pPr>
      <w:r w:rsidRPr="008F229F">
        <w:rPr>
          <w:rFonts w:ascii="Times New Roman" w:hAnsi="Times New Roman" w:cs="Times New Roman"/>
          <w:sz w:val="24"/>
          <w:szCs w:val="24"/>
          <w:shd w:val="clear" w:color="auto" w:fill="FFFFFF"/>
        </w:rPr>
        <w:t xml:space="preserve">Improving </w:t>
      </w:r>
      <w:r w:rsidR="008F229F" w:rsidRPr="008F229F">
        <w:rPr>
          <w:rFonts w:ascii="Times New Roman" w:hAnsi="Times New Roman" w:cs="Times New Roman"/>
          <w:sz w:val="24"/>
          <w:szCs w:val="24"/>
          <w:shd w:val="clear" w:color="auto" w:fill="FFFFFF"/>
        </w:rPr>
        <w:t>market a</w:t>
      </w:r>
      <w:r w:rsidRPr="008F229F">
        <w:rPr>
          <w:rFonts w:ascii="Times New Roman" w:hAnsi="Times New Roman" w:cs="Times New Roman"/>
          <w:sz w:val="24"/>
          <w:szCs w:val="24"/>
          <w:shd w:val="clear" w:color="auto" w:fill="FFFFFF"/>
        </w:rPr>
        <w:t>ccess</w:t>
      </w:r>
      <w:r w:rsidR="00852AA1">
        <w:rPr>
          <w:rFonts w:ascii="Times New Roman" w:hAnsi="Times New Roman" w:cs="Times New Roman"/>
          <w:sz w:val="24"/>
          <w:szCs w:val="24"/>
          <w:shd w:val="clear" w:color="auto" w:fill="FFFFFF"/>
        </w:rPr>
        <w:t xml:space="preserve"> for organic growers</w:t>
      </w:r>
      <w:r w:rsidR="008F229F" w:rsidRPr="008F229F">
        <w:rPr>
          <w:rFonts w:ascii="Times New Roman" w:hAnsi="Times New Roman" w:cs="Times New Roman"/>
          <w:sz w:val="24"/>
          <w:szCs w:val="24"/>
          <w:shd w:val="clear" w:color="auto" w:fill="FFFFFF"/>
        </w:rPr>
        <w:t>.</w:t>
      </w:r>
    </w:p>
    <w:p w14:paraId="3546225D" w14:textId="26119A1F" w:rsidR="004E4CB8" w:rsidRPr="008F229F" w:rsidRDefault="004E4CB8" w:rsidP="00876F37">
      <w:pPr>
        <w:pStyle w:val="ListParagraph"/>
        <w:numPr>
          <w:ilvl w:val="0"/>
          <w:numId w:val="5"/>
        </w:numPr>
        <w:spacing w:line="360" w:lineRule="auto"/>
        <w:jc w:val="both"/>
        <w:rPr>
          <w:rFonts w:ascii="Times New Roman" w:hAnsi="Times New Roman" w:cs="Times New Roman"/>
          <w:sz w:val="24"/>
          <w:szCs w:val="24"/>
          <w:shd w:val="clear" w:color="auto" w:fill="FFFFFF"/>
        </w:rPr>
      </w:pPr>
      <w:r w:rsidRPr="008F229F">
        <w:rPr>
          <w:rFonts w:ascii="Times New Roman" w:hAnsi="Times New Roman" w:cs="Times New Roman"/>
          <w:sz w:val="24"/>
          <w:szCs w:val="24"/>
        </w:rPr>
        <w:t>Promotion of Innovative institutions</w:t>
      </w:r>
      <w:r w:rsidR="00852AA1">
        <w:rPr>
          <w:rFonts w:ascii="Times New Roman" w:hAnsi="Times New Roman" w:cs="Times New Roman"/>
          <w:sz w:val="24"/>
          <w:szCs w:val="24"/>
        </w:rPr>
        <w:t>,</w:t>
      </w:r>
      <w:r w:rsidR="00852AA1" w:rsidRPr="00852AA1">
        <w:t xml:space="preserve"> </w:t>
      </w:r>
      <w:r w:rsidR="00852AA1" w:rsidRPr="00852AA1">
        <w:rPr>
          <w:rFonts w:ascii="Times New Roman" w:hAnsi="Times New Roman" w:cs="Times New Roman"/>
          <w:sz w:val="24"/>
          <w:szCs w:val="24"/>
        </w:rPr>
        <w:t>including direct marketing platforms and e-NAM</w:t>
      </w:r>
      <w:r w:rsidR="00852AA1">
        <w:rPr>
          <w:rFonts w:ascii="Times New Roman" w:hAnsi="Times New Roman" w:cs="Times New Roman"/>
          <w:sz w:val="24"/>
          <w:szCs w:val="24"/>
        </w:rPr>
        <w:t xml:space="preserve">, </w:t>
      </w:r>
      <w:r w:rsidRPr="008F229F">
        <w:rPr>
          <w:rFonts w:ascii="Times New Roman" w:hAnsi="Times New Roman" w:cs="Times New Roman"/>
          <w:sz w:val="24"/>
          <w:szCs w:val="24"/>
        </w:rPr>
        <w:t>etc</w:t>
      </w:r>
      <w:r w:rsidR="00852AA1">
        <w:rPr>
          <w:rFonts w:ascii="Times New Roman" w:hAnsi="Times New Roman" w:cs="Times New Roman"/>
          <w:sz w:val="24"/>
          <w:szCs w:val="24"/>
        </w:rPr>
        <w:t>.</w:t>
      </w:r>
    </w:p>
    <w:p w14:paraId="7FB671FE" w14:textId="55EAB6A9" w:rsidR="00EA7CB8" w:rsidRPr="008F229F" w:rsidRDefault="00EA7CB8" w:rsidP="00876F37">
      <w:pPr>
        <w:pStyle w:val="ListParagraph"/>
        <w:numPr>
          <w:ilvl w:val="0"/>
          <w:numId w:val="5"/>
        </w:numPr>
        <w:spacing w:line="360" w:lineRule="auto"/>
        <w:jc w:val="both"/>
        <w:rPr>
          <w:rFonts w:ascii="Times New Roman" w:hAnsi="Times New Roman" w:cs="Times New Roman"/>
          <w:sz w:val="24"/>
          <w:szCs w:val="24"/>
          <w:shd w:val="clear" w:color="auto" w:fill="FFFFFF"/>
        </w:rPr>
      </w:pPr>
      <w:r w:rsidRPr="008F229F">
        <w:rPr>
          <w:rFonts w:ascii="Times New Roman" w:hAnsi="Times New Roman" w:cs="Times New Roman"/>
          <w:sz w:val="24"/>
          <w:szCs w:val="24"/>
        </w:rPr>
        <w:t>Improving production, trade, and price linkages</w:t>
      </w:r>
      <w:r w:rsidR="00852AA1">
        <w:rPr>
          <w:rFonts w:ascii="Times New Roman" w:hAnsi="Times New Roman" w:cs="Times New Roman"/>
          <w:sz w:val="24"/>
          <w:szCs w:val="24"/>
        </w:rPr>
        <w:t xml:space="preserve"> to </w:t>
      </w:r>
      <w:r w:rsidR="00852AA1" w:rsidRPr="00852AA1">
        <w:rPr>
          <w:rFonts w:ascii="Times New Roman" w:hAnsi="Times New Roman" w:cs="Times New Roman"/>
          <w:sz w:val="24"/>
          <w:szCs w:val="24"/>
        </w:rPr>
        <w:t>foster a robust organic agriculture ecosystem.</w:t>
      </w:r>
    </w:p>
    <w:p w14:paraId="43DB772D" w14:textId="77777777" w:rsidR="00876F37" w:rsidRPr="00876F37" w:rsidRDefault="00EA7CB8" w:rsidP="00876F37">
      <w:pPr>
        <w:pStyle w:val="ListParagraph"/>
        <w:numPr>
          <w:ilvl w:val="0"/>
          <w:numId w:val="5"/>
        </w:numPr>
        <w:spacing w:line="360" w:lineRule="auto"/>
        <w:jc w:val="both"/>
        <w:rPr>
          <w:rFonts w:ascii="Times New Roman" w:hAnsi="Times New Roman" w:cs="Times New Roman"/>
          <w:sz w:val="24"/>
          <w:szCs w:val="24"/>
          <w:shd w:val="clear" w:color="auto" w:fill="FFFFFF"/>
        </w:rPr>
      </w:pPr>
      <w:r w:rsidRPr="008F229F">
        <w:rPr>
          <w:rFonts w:ascii="Times New Roman" w:hAnsi="Times New Roman" w:cs="Times New Roman"/>
          <w:sz w:val="24"/>
          <w:szCs w:val="24"/>
        </w:rPr>
        <w:t>Promotion of Crop Insurance</w:t>
      </w:r>
    </w:p>
    <w:p w14:paraId="761FA2A7" w14:textId="16527EC5" w:rsidR="00C60BF1" w:rsidRPr="00876F37" w:rsidRDefault="00EA7CB8" w:rsidP="00876F37">
      <w:pPr>
        <w:pStyle w:val="ListParagraph"/>
        <w:numPr>
          <w:ilvl w:val="0"/>
          <w:numId w:val="5"/>
        </w:numPr>
        <w:spacing w:line="360" w:lineRule="auto"/>
        <w:jc w:val="both"/>
        <w:rPr>
          <w:rFonts w:ascii="Times New Roman" w:hAnsi="Times New Roman" w:cs="Times New Roman"/>
          <w:sz w:val="24"/>
          <w:szCs w:val="24"/>
          <w:shd w:val="clear" w:color="auto" w:fill="FFFFFF"/>
        </w:rPr>
      </w:pPr>
      <w:r w:rsidRPr="00876F37">
        <w:rPr>
          <w:rFonts w:ascii="Times New Roman" w:hAnsi="Times New Roman" w:cs="Times New Roman"/>
          <w:sz w:val="24"/>
          <w:szCs w:val="24"/>
        </w:rPr>
        <w:t xml:space="preserve">Promotion of </w:t>
      </w:r>
      <w:r w:rsidR="00876F37">
        <w:rPr>
          <w:rFonts w:ascii="Times New Roman" w:hAnsi="Times New Roman" w:cs="Times New Roman"/>
          <w:sz w:val="24"/>
          <w:szCs w:val="24"/>
        </w:rPr>
        <w:t>farmer-producer</w:t>
      </w:r>
      <w:r w:rsidRPr="00876F37">
        <w:rPr>
          <w:rFonts w:ascii="Times New Roman" w:hAnsi="Times New Roman" w:cs="Times New Roman"/>
          <w:sz w:val="24"/>
          <w:szCs w:val="24"/>
        </w:rPr>
        <w:t xml:space="preserve"> </w:t>
      </w:r>
      <w:r w:rsidR="008F229F" w:rsidRPr="00876F37">
        <w:rPr>
          <w:rFonts w:ascii="Times New Roman" w:hAnsi="Times New Roman" w:cs="Times New Roman"/>
          <w:sz w:val="24"/>
          <w:szCs w:val="24"/>
        </w:rPr>
        <w:t xml:space="preserve">organizations, </w:t>
      </w:r>
      <w:r w:rsidRPr="00876F37">
        <w:rPr>
          <w:rFonts w:ascii="Times New Roman" w:hAnsi="Times New Roman" w:cs="Times New Roman"/>
          <w:sz w:val="24"/>
          <w:szCs w:val="24"/>
        </w:rPr>
        <w:t>cooperatives</w:t>
      </w:r>
      <w:r w:rsidR="0016767F" w:rsidRPr="00876F37">
        <w:rPr>
          <w:rFonts w:ascii="Times New Roman" w:hAnsi="Times New Roman" w:cs="Times New Roman"/>
          <w:sz w:val="24"/>
          <w:szCs w:val="24"/>
        </w:rPr>
        <w:t>,</w:t>
      </w:r>
      <w:r w:rsidRPr="00876F37">
        <w:rPr>
          <w:rFonts w:ascii="Times New Roman" w:hAnsi="Times New Roman" w:cs="Times New Roman"/>
          <w:sz w:val="24"/>
          <w:szCs w:val="24"/>
        </w:rPr>
        <w:t xml:space="preserve"> </w:t>
      </w:r>
      <w:r w:rsidR="008F229F" w:rsidRPr="00876F37">
        <w:rPr>
          <w:rFonts w:ascii="Times New Roman" w:hAnsi="Times New Roman" w:cs="Times New Roman"/>
          <w:sz w:val="24"/>
          <w:szCs w:val="24"/>
        </w:rPr>
        <w:t>and self-help groups</w:t>
      </w:r>
      <w:r w:rsidR="00876F37" w:rsidRPr="00876F37">
        <w:rPr>
          <w:rFonts w:ascii="Times New Roman" w:hAnsi="Times New Roman" w:cs="Times New Roman"/>
          <w:sz w:val="24"/>
          <w:szCs w:val="24"/>
        </w:rPr>
        <w:t xml:space="preserve"> to empower and support organic farmers.</w:t>
      </w:r>
    </w:p>
    <w:p w14:paraId="7DC5A111" w14:textId="70688E15" w:rsidR="003F370E" w:rsidRPr="008F229F" w:rsidRDefault="003F370E" w:rsidP="008F229F">
      <w:pPr>
        <w:spacing w:line="276" w:lineRule="auto"/>
        <w:jc w:val="both"/>
        <w:rPr>
          <w:rFonts w:cs="Times New Roman"/>
          <w:szCs w:val="24"/>
        </w:rPr>
      </w:pPr>
      <w:r w:rsidRPr="008F229F">
        <w:rPr>
          <w:rFonts w:cs="Times New Roman"/>
          <w:szCs w:val="24"/>
        </w:rPr>
        <w:t>References:</w:t>
      </w:r>
    </w:p>
    <w:p w14:paraId="54852E7F" w14:textId="77777777" w:rsidR="00ED142B" w:rsidRDefault="00ED142B" w:rsidP="00A00661">
      <w:pPr>
        <w:ind w:left="720" w:hanging="720"/>
        <w:jc w:val="both"/>
      </w:pPr>
      <w:r>
        <w:t xml:space="preserve">Chowdhury R, Banerjee U, </w:t>
      </w:r>
      <w:proofErr w:type="spellStart"/>
      <w:r>
        <w:t>Sofkova</w:t>
      </w:r>
      <w:proofErr w:type="spellEnd"/>
      <w:r>
        <w:t xml:space="preserve"> S. and </w:t>
      </w:r>
      <w:proofErr w:type="spellStart"/>
      <w:r>
        <w:t>Tah</w:t>
      </w:r>
      <w:proofErr w:type="spellEnd"/>
      <w:r>
        <w:t xml:space="preserve"> J. (2013). Organic farming for crop improvement and sustainable agriculture in the era of climate change. Online J. Biol. Sci. 13(2): 50–65. </w:t>
      </w:r>
      <w:proofErr w:type="spellStart"/>
      <w:r>
        <w:t>doi</w:t>
      </w:r>
      <w:proofErr w:type="spellEnd"/>
      <w:r>
        <w:t xml:space="preserve">: 10.3844/ojbsci.2013.50.65 </w:t>
      </w:r>
    </w:p>
    <w:p w14:paraId="1455B25A" w14:textId="77777777" w:rsidR="00ED142B" w:rsidRDefault="00ED142B" w:rsidP="00A44DED">
      <w:pPr>
        <w:ind w:left="720" w:hanging="720"/>
        <w:jc w:val="both"/>
      </w:pPr>
      <w:r>
        <w:t>FAO</w:t>
      </w:r>
      <w:r w:rsidRPr="001F6F3E">
        <w:rPr>
          <w:rFonts w:cs="Times New Roman"/>
          <w:szCs w:val="24"/>
        </w:rPr>
        <w:t xml:space="preserve">, </w:t>
      </w:r>
      <w:r>
        <w:rPr>
          <w:rFonts w:cs="Times New Roman"/>
          <w:szCs w:val="24"/>
        </w:rPr>
        <w:t>(</w:t>
      </w:r>
      <w:r w:rsidRPr="001F6F3E">
        <w:rPr>
          <w:rFonts w:cs="Times New Roman"/>
          <w:szCs w:val="24"/>
        </w:rPr>
        <w:t>1999</w:t>
      </w:r>
      <w:r>
        <w:rPr>
          <w:rFonts w:cs="Times New Roman"/>
          <w:szCs w:val="24"/>
        </w:rPr>
        <w:t>).</w:t>
      </w:r>
      <w:r w:rsidRPr="001F6F3E">
        <w:rPr>
          <w:rFonts w:cs="Times New Roman"/>
          <w:szCs w:val="24"/>
        </w:rPr>
        <w:t xml:space="preserve"> Codex </w:t>
      </w:r>
      <w:proofErr w:type="spellStart"/>
      <w:r w:rsidRPr="001F6F3E">
        <w:rPr>
          <w:rFonts w:cs="Times New Roman"/>
          <w:szCs w:val="24"/>
        </w:rPr>
        <w:t>Alimentarius</w:t>
      </w:r>
      <w:proofErr w:type="spellEnd"/>
      <w:r w:rsidRPr="001F6F3E">
        <w:rPr>
          <w:rFonts w:cs="Times New Roman"/>
          <w:szCs w:val="24"/>
        </w:rPr>
        <w:t xml:space="preserve"> guidelines on Production, Processing, Labelling and Marketing of Organically-Produced Foods (GL 32 - 1999, Rev. 1 - 2001).</w:t>
      </w:r>
      <w:r w:rsidRPr="00A44DED">
        <w:t xml:space="preserve"> </w:t>
      </w:r>
      <w:r>
        <w:t>Food and Agricultural Organization (FAO), Rome, Italy.</w:t>
      </w:r>
    </w:p>
    <w:p w14:paraId="36A7F5F8" w14:textId="77777777" w:rsidR="00ED142B" w:rsidRDefault="00ED142B" w:rsidP="009D070B">
      <w:pPr>
        <w:ind w:left="720" w:hanging="720"/>
        <w:jc w:val="both"/>
      </w:pPr>
      <w:r>
        <w:t>FAO, 2017. The future of food and agriculture – Trends and challenges. Food and Agricultural Organization (FAO), Rome, Italy.</w:t>
      </w:r>
    </w:p>
    <w:p w14:paraId="64940BAD" w14:textId="77777777" w:rsidR="00ED142B" w:rsidRDefault="00ED142B" w:rsidP="00A44DED">
      <w:pPr>
        <w:ind w:left="720" w:hanging="720"/>
        <w:jc w:val="both"/>
      </w:pPr>
      <w:r>
        <w:lastRenderedPageBreak/>
        <w:t xml:space="preserve">Foley, J.A., </w:t>
      </w:r>
      <w:proofErr w:type="spellStart"/>
      <w:r>
        <w:t>Ramankutty</w:t>
      </w:r>
      <w:proofErr w:type="spellEnd"/>
      <w:r>
        <w:t xml:space="preserve">, N., </w:t>
      </w:r>
      <w:proofErr w:type="spellStart"/>
      <w:r>
        <w:t>Brauman</w:t>
      </w:r>
      <w:proofErr w:type="spellEnd"/>
      <w:r>
        <w:t xml:space="preserve">, K.A., Cassidy, E.S., Gerber, J.S., Johnston, M., Mueller, N.D., O’Connell, C., Ray, D.K., West, P.C., </w:t>
      </w:r>
      <w:proofErr w:type="spellStart"/>
      <w:r>
        <w:t>Balzer</w:t>
      </w:r>
      <w:proofErr w:type="spellEnd"/>
      <w:r>
        <w:t xml:space="preserve">, C., Bennett, E.M., Carpenter, S.R., Hill, J., </w:t>
      </w:r>
      <w:proofErr w:type="spellStart"/>
      <w:r>
        <w:t>Monfreda</w:t>
      </w:r>
      <w:proofErr w:type="spellEnd"/>
      <w:r>
        <w:t xml:space="preserve">, C., </w:t>
      </w:r>
      <w:proofErr w:type="spellStart"/>
      <w:r>
        <w:t>Polasky</w:t>
      </w:r>
      <w:proofErr w:type="spellEnd"/>
      <w:r>
        <w:t xml:space="preserve">, S., </w:t>
      </w:r>
      <w:proofErr w:type="spellStart"/>
      <w:r>
        <w:t>Rockstrom</w:t>
      </w:r>
      <w:proofErr w:type="spellEnd"/>
      <w:r>
        <w:t xml:space="preserve">, € J., Sheehan, J., Siebert, S., </w:t>
      </w:r>
      <w:proofErr w:type="spellStart"/>
      <w:r>
        <w:t>Tilman</w:t>
      </w:r>
      <w:proofErr w:type="spellEnd"/>
      <w:r>
        <w:t xml:space="preserve">, D. and </w:t>
      </w:r>
      <w:proofErr w:type="spellStart"/>
      <w:r>
        <w:t>Zaks</w:t>
      </w:r>
      <w:proofErr w:type="spellEnd"/>
      <w:r>
        <w:t xml:space="preserve">, D.P.M. (2011). Solutions for a cultivated planet. Nature 478 (7369), 337–342. </w:t>
      </w:r>
      <w:hyperlink r:id="rId14" w:history="1">
        <w:r w:rsidRPr="00E73BFB">
          <w:t>https://doi.org/10.1038/nature10452</w:t>
        </w:r>
      </w:hyperlink>
      <w:r>
        <w:t xml:space="preserve">. </w:t>
      </w:r>
    </w:p>
    <w:p w14:paraId="1E90CADC" w14:textId="77777777" w:rsidR="00ED142B" w:rsidRDefault="00ED142B" w:rsidP="00E73BFB">
      <w:pPr>
        <w:ind w:left="720" w:hanging="720"/>
        <w:jc w:val="both"/>
      </w:pPr>
      <w:proofErr w:type="spellStart"/>
      <w:r>
        <w:t>Godfray</w:t>
      </w:r>
      <w:proofErr w:type="spellEnd"/>
      <w:r>
        <w:t xml:space="preserve">, H.C.J. and Garnett, T. (2014). Food security and sustainable intensification. Philos. Trans. R. Soc. B Biol. Sci. 369, 1–10. https://doi.org/10.1098/rstb.2012.0273, 20120273 </w:t>
      </w:r>
    </w:p>
    <w:p w14:paraId="33C319B0" w14:textId="77777777" w:rsidR="00ED142B" w:rsidRDefault="00ED142B" w:rsidP="009D070B">
      <w:pPr>
        <w:ind w:left="720" w:hanging="720"/>
        <w:jc w:val="both"/>
        <w:rPr>
          <w:rFonts w:cs="Times New Roman"/>
          <w:szCs w:val="24"/>
        </w:rPr>
      </w:pPr>
      <w:r w:rsidRPr="001F6F3E">
        <w:rPr>
          <w:rFonts w:cs="Times New Roman"/>
          <w:szCs w:val="24"/>
        </w:rPr>
        <w:t>Hazell, P. and Wood, S. (2008)</w:t>
      </w:r>
      <w:r>
        <w:rPr>
          <w:rFonts w:cs="Times New Roman"/>
          <w:szCs w:val="24"/>
        </w:rPr>
        <w:t>.</w:t>
      </w:r>
      <w:r w:rsidRPr="001F6F3E">
        <w:rPr>
          <w:rFonts w:cs="Times New Roman"/>
          <w:szCs w:val="24"/>
        </w:rPr>
        <w:t xml:space="preserve"> Drivers of change in global agriculture. Philosophical Transactions of the Royal Society B, 363, 495-515.</w:t>
      </w:r>
    </w:p>
    <w:p w14:paraId="5EBD3E84" w14:textId="77777777" w:rsidR="00ED142B" w:rsidRPr="009C4964" w:rsidRDefault="00ED142B" w:rsidP="00ED142B">
      <w:pPr>
        <w:ind w:left="720" w:hanging="720"/>
        <w:jc w:val="both"/>
        <w:rPr>
          <w:rFonts w:cs="Times New Roman"/>
          <w:color w:val="222222"/>
          <w:szCs w:val="24"/>
          <w:shd w:val="clear" w:color="auto" w:fill="FFFFFF"/>
        </w:rPr>
      </w:pPr>
      <w:r w:rsidRPr="009C4964">
        <w:rPr>
          <w:rFonts w:cs="Times New Roman"/>
          <w:color w:val="222222"/>
          <w:szCs w:val="24"/>
          <w:shd w:val="clear" w:color="auto" w:fill="FFFFFF"/>
        </w:rPr>
        <w:t>Ilka, G., and Liza</w:t>
      </w:r>
      <w:r>
        <w:rPr>
          <w:rFonts w:cs="Times New Roman"/>
          <w:color w:val="222222"/>
          <w:szCs w:val="24"/>
          <w:shd w:val="clear" w:color="auto" w:fill="FFFFFF"/>
        </w:rPr>
        <w:t>,</w:t>
      </w:r>
      <w:r w:rsidRPr="009C4964">
        <w:rPr>
          <w:rFonts w:cs="Times New Roman"/>
          <w:color w:val="222222"/>
          <w:szCs w:val="24"/>
          <w:shd w:val="clear" w:color="auto" w:fill="FFFFFF"/>
        </w:rPr>
        <w:t xml:space="preserve"> T. (2017)</w:t>
      </w:r>
      <w:r>
        <w:rPr>
          <w:rFonts w:cs="Times New Roman"/>
          <w:color w:val="222222"/>
          <w:szCs w:val="24"/>
          <w:shd w:val="clear" w:color="auto" w:fill="FFFFFF"/>
        </w:rPr>
        <w:t xml:space="preserve">. </w:t>
      </w:r>
      <w:r w:rsidRPr="009C4964">
        <w:rPr>
          <w:rFonts w:cs="Times New Roman"/>
          <w:color w:val="222222"/>
          <w:szCs w:val="24"/>
          <w:shd w:val="clear" w:color="auto" w:fill="FFFFFF"/>
        </w:rPr>
        <w:t>Training manual for organic agriculture</w:t>
      </w:r>
      <w:r>
        <w:rPr>
          <w:rFonts w:cs="Times New Roman"/>
          <w:color w:val="222222"/>
          <w:szCs w:val="24"/>
          <w:shd w:val="clear" w:color="auto" w:fill="FFFFFF"/>
        </w:rPr>
        <w:t>.</w:t>
      </w:r>
      <w:r w:rsidRPr="00ED142B">
        <w:rPr>
          <w:rFonts w:cs="Times New Roman"/>
          <w:color w:val="222222"/>
          <w:szCs w:val="24"/>
          <w:shd w:val="clear" w:color="auto" w:fill="FFFFFF"/>
        </w:rPr>
        <w:t xml:space="preserve"> </w:t>
      </w:r>
      <w:r w:rsidRPr="00087783">
        <w:rPr>
          <w:rFonts w:cs="Times New Roman"/>
          <w:color w:val="222222"/>
          <w:szCs w:val="24"/>
          <w:shd w:val="clear" w:color="auto" w:fill="FFFFFF"/>
        </w:rPr>
        <w:t>Scientific Publishers-UBP.</w:t>
      </w:r>
    </w:p>
    <w:p w14:paraId="1D143608" w14:textId="77777777" w:rsidR="00ED142B" w:rsidRDefault="00ED142B" w:rsidP="00A44DED">
      <w:pPr>
        <w:ind w:left="720" w:hanging="720"/>
        <w:jc w:val="both"/>
        <w:rPr>
          <w:rFonts w:cs="Times New Roman"/>
          <w:szCs w:val="24"/>
        </w:rPr>
      </w:pPr>
      <w:r w:rsidRPr="001F6F3E">
        <w:rPr>
          <w:rFonts w:cs="Times New Roman"/>
          <w:szCs w:val="24"/>
        </w:rPr>
        <w:t>Kumara, K., Singh, D. R., &amp; Praveen, K. V. (2015). Economic benefits from adoption of organic farming in India. Economic Affairs, 60(3), 569-576.</w:t>
      </w:r>
    </w:p>
    <w:p w14:paraId="2B698FD9" w14:textId="34CCB1F0" w:rsidR="00ED142B" w:rsidRDefault="00ED142B" w:rsidP="00A44DED">
      <w:pPr>
        <w:ind w:left="720" w:hanging="720"/>
        <w:jc w:val="both"/>
      </w:pPr>
      <w:r>
        <w:t xml:space="preserve">Kumara, K., </w:t>
      </w:r>
      <w:proofErr w:type="spellStart"/>
      <w:r>
        <w:t>Kandpal</w:t>
      </w:r>
      <w:proofErr w:type="spellEnd"/>
      <w:r>
        <w:t xml:space="preserve">, A. </w:t>
      </w:r>
      <w:proofErr w:type="gramStart"/>
      <w:r>
        <w:t xml:space="preserve">and  </w:t>
      </w:r>
      <w:r w:rsidRPr="00E73BFB">
        <w:t>Pal</w:t>
      </w:r>
      <w:proofErr w:type="gramEnd"/>
      <w:r w:rsidRPr="00E73BFB">
        <w:t>, S. (2020). A meta-analysis of economic and environmental benefits of conservation agriculture in South Asia. Journal of Environmental Management, 269, 110773.</w:t>
      </w:r>
    </w:p>
    <w:p w14:paraId="5080CE5D" w14:textId="212BB0C0" w:rsidR="00911E4A" w:rsidRDefault="00911E4A" w:rsidP="00A44DED">
      <w:pPr>
        <w:ind w:left="720" w:hanging="720"/>
        <w:jc w:val="both"/>
      </w:pPr>
      <w:r w:rsidRPr="00911E4A">
        <w:t xml:space="preserve">Kumara, K., Pal, S., Chand, P., &amp; </w:t>
      </w:r>
      <w:proofErr w:type="spellStart"/>
      <w:r w:rsidRPr="00911E4A">
        <w:t>Kandpal</w:t>
      </w:r>
      <w:proofErr w:type="spellEnd"/>
      <w:r w:rsidRPr="00911E4A">
        <w:t>, A. (2023). Carbon sequestration potential of sustainable agricultural practices to mitigate climate change in Indian agriculture: A meta-analysis. Sustainable Production and Consumption, 35, 697-708.</w:t>
      </w:r>
    </w:p>
    <w:p w14:paraId="0BC0417D" w14:textId="77777777" w:rsidR="00ED142B" w:rsidRDefault="00ED142B" w:rsidP="00A00661">
      <w:pPr>
        <w:ind w:left="720" w:hanging="720"/>
      </w:pPr>
      <w:r>
        <w:t xml:space="preserve">PIB. (2022). Press Information Bureau, Ministry of Agriculture, Government of India. </w:t>
      </w:r>
      <w:r w:rsidRPr="009D36E5">
        <w:t xml:space="preserve">20 SEP 2022 </w:t>
      </w:r>
      <w:r>
        <w:t xml:space="preserve">18:00 IST. Accessed on 23 September 2022. </w:t>
      </w:r>
      <w:hyperlink r:id="rId15" w:history="1">
        <w:r w:rsidRPr="00490DEC">
          <w:rPr>
            <w:rStyle w:val="Hyperlink"/>
          </w:rPr>
          <w:t>https://pib.gov.in/PressReleseDetailm.aspx?PRID=1860902</w:t>
        </w:r>
      </w:hyperlink>
    </w:p>
    <w:p w14:paraId="699D2117" w14:textId="77777777" w:rsidR="00ED142B" w:rsidRPr="009C4964" w:rsidRDefault="00ED142B" w:rsidP="009C4964">
      <w:pPr>
        <w:ind w:left="720" w:hanging="720"/>
        <w:jc w:val="both"/>
        <w:rPr>
          <w:rFonts w:cs="Times New Roman"/>
          <w:color w:val="222222"/>
          <w:szCs w:val="24"/>
          <w:shd w:val="clear" w:color="auto" w:fill="FFFFFF"/>
        </w:rPr>
      </w:pPr>
      <w:r w:rsidRPr="009C4964">
        <w:rPr>
          <w:rFonts w:cs="Times New Roman"/>
          <w:color w:val="222222"/>
          <w:szCs w:val="24"/>
          <w:shd w:val="clear" w:color="auto" w:fill="FFFFFF"/>
        </w:rPr>
        <w:t>Reddy, B S. (2017). Prospects of organic farming. In </w:t>
      </w:r>
      <w:r w:rsidRPr="009C4964">
        <w:rPr>
          <w:rFonts w:cs="Times New Roman"/>
          <w:i/>
          <w:iCs/>
          <w:color w:val="222222"/>
          <w:szCs w:val="24"/>
          <w:shd w:val="clear" w:color="auto" w:fill="FFFFFF"/>
        </w:rPr>
        <w:t>Pesticide Residue in Foods</w:t>
      </w:r>
      <w:r w:rsidRPr="009C4964">
        <w:rPr>
          <w:rFonts w:cs="Times New Roman"/>
          <w:color w:val="222222"/>
          <w:szCs w:val="24"/>
          <w:shd w:val="clear" w:color="auto" w:fill="FFFFFF"/>
        </w:rPr>
        <w:t> (pp. 167-194). Springer, Cham.</w:t>
      </w:r>
    </w:p>
    <w:p w14:paraId="4C0B5089" w14:textId="77777777" w:rsidR="00ED142B" w:rsidRPr="001002FA" w:rsidRDefault="00ED142B" w:rsidP="009C4964">
      <w:pPr>
        <w:ind w:left="720" w:hanging="720"/>
        <w:jc w:val="both"/>
        <w:rPr>
          <w:rFonts w:cs="Times New Roman"/>
          <w:szCs w:val="24"/>
          <w:shd w:val="clear" w:color="auto" w:fill="FFFFFF"/>
        </w:rPr>
      </w:pPr>
      <w:r w:rsidRPr="001002FA">
        <w:rPr>
          <w:rFonts w:cs="Times New Roman"/>
          <w:szCs w:val="24"/>
          <w:shd w:val="clear" w:color="auto" w:fill="FFFFFF"/>
        </w:rPr>
        <w:t xml:space="preserve">Singh, R., </w:t>
      </w:r>
      <w:proofErr w:type="spellStart"/>
      <w:r w:rsidRPr="001002FA">
        <w:rPr>
          <w:rFonts w:cs="Times New Roman"/>
          <w:szCs w:val="24"/>
          <w:shd w:val="clear" w:color="auto" w:fill="FFFFFF"/>
        </w:rPr>
        <w:t>Jat</w:t>
      </w:r>
      <w:proofErr w:type="spellEnd"/>
      <w:r w:rsidRPr="001002FA">
        <w:rPr>
          <w:rFonts w:cs="Times New Roman"/>
          <w:szCs w:val="24"/>
          <w:shd w:val="clear" w:color="auto" w:fill="FFFFFF"/>
        </w:rPr>
        <w:t xml:space="preserve">, N. K., </w:t>
      </w:r>
      <w:proofErr w:type="spellStart"/>
      <w:r w:rsidRPr="001002FA">
        <w:rPr>
          <w:rFonts w:cs="Times New Roman"/>
          <w:szCs w:val="24"/>
          <w:shd w:val="clear" w:color="auto" w:fill="FFFFFF"/>
        </w:rPr>
        <w:t>Ravisankar</w:t>
      </w:r>
      <w:proofErr w:type="spellEnd"/>
      <w:r w:rsidRPr="001002FA">
        <w:rPr>
          <w:rFonts w:cs="Times New Roman"/>
          <w:szCs w:val="24"/>
          <w:shd w:val="clear" w:color="auto" w:fill="FFFFFF"/>
        </w:rPr>
        <w:t>, N., Kumar, S., Ram, T., and Yadav, R. S. (2019). Present Status and Future Prospects of Organic Farming in India in </w:t>
      </w:r>
      <w:r w:rsidRPr="001002FA">
        <w:rPr>
          <w:rFonts w:cs="Times New Roman"/>
          <w:iCs/>
          <w:szCs w:val="24"/>
          <w:shd w:val="clear" w:color="auto" w:fill="FFFFFF"/>
        </w:rPr>
        <w:t>Sustainable Agriculture</w:t>
      </w:r>
      <w:r w:rsidRPr="001002FA">
        <w:rPr>
          <w:rFonts w:cs="Times New Roman"/>
          <w:szCs w:val="24"/>
          <w:shd w:val="clear" w:color="auto" w:fill="FFFFFF"/>
        </w:rPr>
        <w:t>, Scientific Publishers, New Delhi. 275-299.</w:t>
      </w:r>
    </w:p>
    <w:p w14:paraId="1562DBC6" w14:textId="77777777" w:rsidR="009D070B" w:rsidRPr="0047434F" w:rsidRDefault="009D070B" w:rsidP="0047434F">
      <w:pPr>
        <w:spacing w:after="0" w:line="240" w:lineRule="auto"/>
        <w:ind w:right="40"/>
        <w:rPr>
          <w:rFonts w:ascii="FS Brabo" w:hAnsi="FS Brabo" w:cs="Times New Roman"/>
          <w:bCs/>
          <w:sz w:val="20"/>
          <w:szCs w:val="20"/>
          <w:lang w:val="en-US"/>
        </w:rPr>
      </w:pPr>
    </w:p>
    <w:sectPr w:rsidR="009D070B" w:rsidRPr="004743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FS Brabo">
    <w:altName w:val="Georg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54653"/>
    <w:multiLevelType w:val="hybridMultilevel"/>
    <w:tmpl w:val="4012653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51DE6C06"/>
    <w:multiLevelType w:val="hybridMultilevel"/>
    <w:tmpl w:val="F12CE30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BB4531C"/>
    <w:multiLevelType w:val="hybridMultilevel"/>
    <w:tmpl w:val="1D328CEA"/>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63F44E9F"/>
    <w:multiLevelType w:val="hybridMultilevel"/>
    <w:tmpl w:val="EF5ACF9E"/>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C756323"/>
    <w:multiLevelType w:val="hybridMultilevel"/>
    <w:tmpl w:val="EA2C2CFA"/>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cwMzewMDG1MDe3tDRT0lEKTi0uzszPAykwrAUA2mq4mCwAAAA="/>
  </w:docVars>
  <w:rsids>
    <w:rsidRoot w:val="009C32A2"/>
    <w:rsid w:val="00003AC2"/>
    <w:rsid w:val="00010E87"/>
    <w:rsid w:val="00015EBA"/>
    <w:rsid w:val="00023C5C"/>
    <w:rsid w:val="00041639"/>
    <w:rsid w:val="000642C5"/>
    <w:rsid w:val="00073552"/>
    <w:rsid w:val="000744C1"/>
    <w:rsid w:val="00077C54"/>
    <w:rsid w:val="000837F1"/>
    <w:rsid w:val="00087783"/>
    <w:rsid w:val="000904C5"/>
    <w:rsid w:val="000973F2"/>
    <w:rsid w:val="000A36DF"/>
    <w:rsid w:val="000C36BF"/>
    <w:rsid w:val="000D07FB"/>
    <w:rsid w:val="000D0CDF"/>
    <w:rsid w:val="000D6EAA"/>
    <w:rsid w:val="000E2012"/>
    <w:rsid w:val="000F4FB4"/>
    <w:rsid w:val="001002FA"/>
    <w:rsid w:val="0012104F"/>
    <w:rsid w:val="001406C8"/>
    <w:rsid w:val="00160267"/>
    <w:rsid w:val="0016767F"/>
    <w:rsid w:val="001855E8"/>
    <w:rsid w:val="0019466A"/>
    <w:rsid w:val="0019549D"/>
    <w:rsid w:val="00197B8A"/>
    <w:rsid w:val="001A0A1C"/>
    <w:rsid w:val="001C2F6A"/>
    <w:rsid w:val="001C3290"/>
    <w:rsid w:val="001C3D06"/>
    <w:rsid w:val="001F0184"/>
    <w:rsid w:val="001F61DC"/>
    <w:rsid w:val="001F6F3E"/>
    <w:rsid w:val="00200E28"/>
    <w:rsid w:val="002021CD"/>
    <w:rsid w:val="00203D56"/>
    <w:rsid w:val="002211C8"/>
    <w:rsid w:val="00276DA2"/>
    <w:rsid w:val="00290470"/>
    <w:rsid w:val="002908CC"/>
    <w:rsid w:val="00290C29"/>
    <w:rsid w:val="002930C7"/>
    <w:rsid w:val="0029662C"/>
    <w:rsid w:val="002B037C"/>
    <w:rsid w:val="002B1719"/>
    <w:rsid w:val="002B3D82"/>
    <w:rsid w:val="002C0BB5"/>
    <w:rsid w:val="002C2B2E"/>
    <w:rsid w:val="002D2EF0"/>
    <w:rsid w:val="002F3F99"/>
    <w:rsid w:val="0030242C"/>
    <w:rsid w:val="003166FE"/>
    <w:rsid w:val="00316827"/>
    <w:rsid w:val="00316B1A"/>
    <w:rsid w:val="00322422"/>
    <w:rsid w:val="003311EF"/>
    <w:rsid w:val="00344A73"/>
    <w:rsid w:val="0036325E"/>
    <w:rsid w:val="00365E69"/>
    <w:rsid w:val="003722CE"/>
    <w:rsid w:val="003767A4"/>
    <w:rsid w:val="00377CBC"/>
    <w:rsid w:val="00382A3E"/>
    <w:rsid w:val="0038568C"/>
    <w:rsid w:val="00391081"/>
    <w:rsid w:val="00394238"/>
    <w:rsid w:val="003A51BD"/>
    <w:rsid w:val="003D2B84"/>
    <w:rsid w:val="003D487B"/>
    <w:rsid w:val="003F08D4"/>
    <w:rsid w:val="003F370E"/>
    <w:rsid w:val="003F6933"/>
    <w:rsid w:val="00400A14"/>
    <w:rsid w:val="004136A8"/>
    <w:rsid w:val="00420CC1"/>
    <w:rsid w:val="00451F09"/>
    <w:rsid w:val="00453ED5"/>
    <w:rsid w:val="00455DD1"/>
    <w:rsid w:val="00467C7D"/>
    <w:rsid w:val="00470652"/>
    <w:rsid w:val="0047434F"/>
    <w:rsid w:val="004827F7"/>
    <w:rsid w:val="00487E26"/>
    <w:rsid w:val="00490E6F"/>
    <w:rsid w:val="004A1E74"/>
    <w:rsid w:val="004B3361"/>
    <w:rsid w:val="004B5C81"/>
    <w:rsid w:val="004B7560"/>
    <w:rsid w:val="004C7C98"/>
    <w:rsid w:val="004D2AF8"/>
    <w:rsid w:val="004E0CE9"/>
    <w:rsid w:val="004E2C3E"/>
    <w:rsid w:val="004E3B90"/>
    <w:rsid w:val="004E4143"/>
    <w:rsid w:val="004E4CB8"/>
    <w:rsid w:val="004F29D9"/>
    <w:rsid w:val="00502C79"/>
    <w:rsid w:val="0050591B"/>
    <w:rsid w:val="00523C7F"/>
    <w:rsid w:val="00526678"/>
    <w:rsid w:val="00542C42"/>
    <w:rsid w:val="0055159C"/>
    <w:rsid w:val="0055413E"/>
    <w:rsid w:val="00554192"/>
    <w:rsid w:val="00560F02"/>
    <w:rsid w:val="005648E9"/>
    <w:rsid w:val="00586756"/>
    <w:rsid w:val="00596428"/>
    <w:rsid w:val="005A18F1"/>
    <w:rsid w:val="005B47E0"/>
    <w:rsid w:val="005C3D25"/>
    <w:rsid w:val="005C48BE"/>
    <w:rsid w:val="005F03E3"/>
    <w:rsid w:val="005F3446"/>
    <w:rsid w:val="005F6375"/>
    <w:rsid w:val="00602336"/>
    <w:rsid w:val="006473C0"/>
    <w:rsid w:val="00652D0F"/>
    <w:rsid w:val="00666E8D"/>
    <w:rsid w:val="0067733B"/>
    <w:rsid w:val="00681D3B"/>
    <w:rsid w:val="00683086"/>
    <w:rsid w:val="00692FD2"/>
    <w:rsid w:val="006B15F5"/>
    <w:rsid w:val="006C1721"/>
    <w:rsid w:val="006C5651"/>
    <w:rsid w:val="006D787B"/>
    <w:rsid w:val="007005EA"/>
    <w:rsid w:val="007035BE"/>
    <w:rsid w:val="00707243"/>
    <w:rsid w:val="00711E69"/>
    <w:rsid w:val="00755738"/>
    <w:rsid w:val="007705F6"/>
    <w:rsid w:val="00772457"/>
    <w:rsid w:val="0077467B"/>
    <w:rsid w:val="00784D30"/>
    <w:rsid w:val="007936AD"/>
    <w:rsid w:val="007A2FCC"/>
    <w:rsid w:val="007A5D7F"/>
    <w:rsid w:val="007B346F"/>
    <w:rsid w:val="007B45CC"/>
    <w:rsid w:val="007B6CAD"/>
    <w:rsid w:val="007C09AE"/>
    <w:rsid w:val="007D1641"/>
    <w:rsid w:val="007D5B47"/>
    <w:rsid w:val="007F128E"/>
    <w:rsid w:val="007F41A8"/>
    <w:rsid w:val="0080558A"/>
    <w:rsid w:val="008059AD"/>
    <w:rsid w:val="008164BF"/>
    <w:rsid w:val="00821F84"/>
    <w:rsid w:val="00834607"/>
    <w:rsid w:val="0083489B"/>
    <w:rsid w:val="00841B63"/>
    <w:rsid w:val="00850078"/>
    <w:rsid w:val="00851977"/>
    <w:rsid w:val="00852AA1"/>
    <w:rsid w:val="00855CD7"/>
    <w:rsid w:val="0086247A"/>
    <w:rsid w:val="00870CD7"/>
    <w:rsid w:val="00872682"/>
    <w:rsid w:val="00875155"/>
    <w:rsid w:val="00876F37"/>
    <w:rsid w:val="008874B7"/>
    <w:rsid w:val="00892D5E"/>
    <w:rsid w:val="00897766"/>
    <w:rsid w:val="008B05AA"/>
    <w:rsid w:val="008B0F02"/>
    <w:rsid w:val="008C5907"/>
    <w:rsid w:val="008C7421"/>
    <w:rsid w:val="008E1A86"/>
    <w:rsid w:val="008E369B"/>
    <w:rsid w:val="008E6F8D"/>
    <w:rsid w:val="008F063A"/>
    <w:rsid w:val="008F229F"/>
    <w:rsid w:val="008F764B"/>
    <w:rsid w:val="00911E4A"/>
    <w:rsid w:val="00917263"/>
    <w:rsid w:val="00925A2D"/>
    <w:rsid w:val="00936288"/>
    <w:rsid w:val="00947C8C"/>
    <w:rsid w:val="00957865"/>
    <w:rsid w:val="00957D9B"/>
    <w:rsid w:val="009624BD"/>
    <w:rsid w:val="00971EC4"/>
    <w:rsid w:val="009731C5"/>
    <w:rsid w:val="00975F5C"/>
    <w:rsid w:val="009829E5"/>
    <w:rsid w:val="00986EFD"/>
    <w:rsid w:val="00987E1E"/>
    <w:rsid w:val="00993B9F"/>
    <w:rsid w:val="00996CC6"/>
    <w:rsid w:val="009A24C4"/>
    <w:rsid w:val="009A4C95"/>
    <w:rsid w:val="009A7964"/>
    <w:rsid w:val="009B4388"/>
    <w:rsid w:val="009C32A2"/>
    <w:rsid w:val="009C4964"/>
    <w:rsid w:val="009D070B"/>
    <w:rsid w:val="009D36E5"/>
    <w:rsid w:val="009F4B0A"/>
    <w:rsid w:val="009F597A"/>
    <w:rsid w:val="009F777A"/>
    <w:rsid w:val="00A00661"/>
    <w:rsid w:val="00A0529D"/>
    <w:rsid w:val="00A22F65"/>
    <w:rsid w:val="00A309D3"/>
    <w:rsid w:val="00A42A24"/>
    <w:rsid w:val="00A44DED"/>
    <w:rsid w:val="00A5699B"/>
    <w:rsid w:val="00A577CE"/>
    <w:rsid w:val="00A6051A"/>
    <w:rsid w:val="00A637BE"/>
    <w:rsid w:val="00A66DAD"/>
    <w:rsid w:val="00A7730C"/>
    <w:rsid w:val="00A82351"/>
    <w:rsid w:val="00AB27B7"/>
    <w:rsid w:val="00AC06AB"/>
    <w:rsid w:val="00AD04AF"/>
    <w:rsid w:val="00AD384D"/>
    <w:rsid w:val="00AE067D"/>
    <w:rsid w:val="00AE14CC"/>
    <w:rsid w:val="00AE2C4F"/>
    <w:rsid w:val="00AE35C7"/>
    <w:rsid w:val="00AE3975"/>
    <w:rsid w:val="00AE3D46"/>
    <w:rsid w:val="00AF21FE"/>
    <w:rsid w:val="00B01F1E"/>
    <w:rsid w:val="00B02D40"/>
    <w:rsid w:val="00B04E2C"/>
    <w:rsid w:val="00B34E2B"/>
    <w:rsid w:val="00B5223B"/>
    <w:rsid w:val="00B54F14"/>
    <w:rsid w:val="00B92D33"/>
    <w:rsid w:val="00B97445"/>
    <w:rsid w:val="00BA0091"/>
    <w:rsid w:val="00BA4CC1"/>
    <w:rsid w:val="00BA6322"/>
    <w:rsid w:val="00BB46F5"/>
    <w:rsid w:val="00BB5989"/>
    <w:rsid w:val="00BB7DCB"/>
    <w:rsid w:val="00BD2752"/>
    <w:rsid w:val="00BF1E54"/>
    <w:rsid w:val="00BF685E"/>
    <w:rsid w:val="00C1184E"/>
    <w:rsid w:val="00C119D5"/>
    <w:rsid w:val="00C11B6C"/>
    <w:rsid w:val="00C120EE"/>
    <w:rsid w:val="00C14F96"/>
    <w:rsid w:val="00C30840"/>
    <w:rsid w:val="00C60B1F"/>
    <w:rsid w:val="00C60BF1"/>
    <w:rsid w:val="00C66951"/>
    <w:rsid w:val="00C82099"/>
    <w:rsid w:val="00CA170A"/>
    <w:rsid w:val="00CA7423"/>
    <w:rsid w:val="00CC1B1F"/>
    <w:rsid w:val="00CC2A98"/>
    <w:rsid w:val="00CC3D1C"/>
    <w:rsid w:val="00CE2000"/>
    <w:rsid w:val="00CE46D2"/>
    <w:rsid w:val="00CF0BB4"/>
    <w:rsid w:val="00D01A59"/>
    <w:rsid w:val="00D04712"/>
    <w:rsid w:val="00D11234"/>
    <w:rsid w:val="00D116A1"/>
    <w:rsid w:val="00D366CD"/>
    <w:rsid w:val="00D449F1"/>
    <w:rsid w:val="00D61623"/>
    <w:rsid w:val="00D67117"/>
    <w:rsid w:val="00D71F18"/>
    <w:rsid w:val="00D74FBB"/>
    <w:rsid w:val="00D80F3A"/>
    <w:rsid w:val="00DA131E"/>
    <w:rsid w:val="00DB1D30"/>
    <w:rsid w:val="00DB2122"/>
    <w:rsid w:val="00DB3119"/>
    <w:rsid w:val="00DC1562"/>
    <w:rsid w:val="00DD1AA9"/>
    <w:rsid w:val="00DD6D95"/>
    <w:rsid w:val="00DE1947"/>
    <w:rsid w:val="00DF21B3"/>
    <w:rsid w:val="00E00ED5"/>
    <w:rsid w:val="00E044FD"/>
    <w:rsid w:val="00E12CF4"/>
    <w:rsid w:val="00E149D3"/>
    <w:rsid w:val="00E3083F"/>
    <w:rsid w:val="00E427B1"/>
    <w:rsid w:val="00E479A3"/>
    <w:rsid w:val="00E57D9F"/>
    <w:rsid w:val="00E62F5C"/>
    <w:rsid w:val="00E63762"/>
    <w:rsid w:val="00E63875"/>
    <w:rsid w:val="00E66159"/>
    <w:rsid w:val="00E73BFB"/>
    <w:rsid w:val="00E752AF"/>
    <w:rsid w:val="00E82997"/>
    <w:rsid w:val="00E9143C"/>
    <w:rsid w:val="00EA463C"/>
    <w:rsid w:val="00EA7CB8"/>
    <w:rsid w:val="00EC5094"/>
    <w:rsid w:val="00ED142B"/>
    <w:rsid w:val="00ED2324"/>
    <w:rsid w:val="00ED28B6"/>
    <w:rsid w:val="00EE19FE"/>
    <w:rsid w:val="00EF0CB1"/>
    <w:rsid w:val="00F01483"/>
    <w:rsid w:val="00F126C7"/>
    <w:rsid w:val="00F17534"/>
    <w:rsid w:val="00F2291B"/>
    <w:rsid w:val="00F22E05"/>
    <w:rsid w:val="00F262BF"/>
    <w:rsid w:val="00F41BCA"/>
    <w:rsid w:val="00F51006"/>
    <w:rsid w:val="00F75204"/>
    <w:rsid w:val="00F85E63"/>
    <w:rsid w:val="00F86BF5"/>
    <w:rsid w:val="00F97EFF"/>
    <w:rsid w:val="00FA205F"/>
    <w:rsid w:val="00FA433F"/>
    <w:rsid w:val="00FB369A"/>
    <w:rsid w:val="00FB479A"/>
    <w:rsid w:val="00FC1124"/>
    <w:rsid w:val="00FD090F"/>
    <w:rsid w:val="00FD1386"/>
    <w:rsid w:val="00FE23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5D7A4"/>
  <w15:chartTrackingRefBased/>
  <w15:docId w15:val="{D070A232-6FFE-4EBF-A4A3-28567D0D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44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7445"/>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3D25"/>
    <w:rPr>
      <w:color w:val="0000FF"/>
      <w:u w:val="single"/>
    </w:rPr>
  </w:style>
  <w:style w:type="paragraph" w:styleId="ListParagraph">
    <w:name w:val="List Paragraph"/>
    <w:basedOn w:val="Normal"/>
    <w:uiPriority w:val="34"/>
    <w:qFormat/>
    <w:rsid w:val="002930C7"/>
    <w:pPr>
      <w:ind w:left="720"/>
      <w:contextualSpacing/>
    </w:pPr>
    <w:rPr>
      <w:rFonts w:asciiTheme="minorHAnsi" w:hAnsiTheme="minorHAnsi" w:cs="Mangal"/>
      <w:sz w:val="22"/>
      <w:szCs w:val="20"/>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994">
      <w:bodyDiv w:val="1"/>
      <w:marLeft w:val="0"/>
      <w:marRight w:val="0"/>
      <w:marTop w:val="0"/>
      <w:marBottom w:val="0"/>
      <w:divBdr>
        <w:top w:val="none" w:sz="0" w:space="0" w:color="auto"/>
        <w:left w:val="none" w:sz="0" w:space="0" w:color="auto"/>
        <w:bottom w:val="none" w:sz="0" w:space="0" w:color="auto"/>
        <w:right w:val="none" w:sz="0" w:space="0" w:color="auto"/>
      </w:divBdr>
      <w:divsChild>
        <w:div w:id="344064499">
          <w:marLeft w:val="0"/>
          <w:marRight w:val="0"/>
          <w:marTop w:val="0"/>
          <w:marBottom w:val="0"/>
          <w:divBdr>
            <w:top w:val="none" w:sz="0" w:space="0" w:color="auto"/>
            <w:left w:val="none" w:sz="0" w:space="0" w:color="auto"/>
            <w:bottom w:val="none" w:sz="0" w:space="0" w:color="auto"/>
            <w:right w:val="none" w:sz="0" w:space="0" w:color="auto"/>
          </w:divBdr>
        </w:div>
        <w:div w:id="1559633602">
          <w:marLeft w:val="0"/>
          <w:marRight w:val="0"/>
          <w:marTop w:val="0"/>
          <w:marBottom w:val="0"/>
          <w:divBdr>
            <w:top w:val="none" w:sz="0" w:space="0" w:color="auto"/>
            <w:left w:val="none" w:sz="0" w:space="0" w:color="auto"/>
            <w:bottom w:val="none" w:sz="0" w:space="0" w:color="auto"/>
            <w:right w:val="none" w:sz="0" w:space="0" w:color="auto"/>
          </w:divBdr>
        </w:div>
      </w:divsChild>
    </w:div>
    <w:div w:id="130757593">
      <w:bodyDiv w:val="1"/>
      <w:marLeft w:val="0"/>
      <w:marRight w:val="0"/>
      <w:marTop w:val="0"/>
      <w:marBottom w:val="0"/>
      <w:divBdr>
        <w:top w:val="none" w:sz="0" w:space="0" w:color="auto"/>
        <w:left w:val="none" w:sz="0" w:space="0" w:color="auto"/>
        <w:bottom w:val="none" w:sz="0" w:space="0" w:color="auto"/>
        <w:right w:val="none" w:sz="0" w:space="0" w:color="auto"/>
      </w:divBdr>
    </w:div>
    <w:div w:id="244192164">
      <w:bodyDiv w:val="1"/>
      <w:marLeft w:val="0"/>
      <w:marRight w:val="0"/>
      <w:marTop w:val="0"/>
      <w:marBottom w:val="0"/>
      <w:divBdr>
        <w:top w:val="none" w:sz="0" w:space="0" w:color="auto"/>
        <w:left w:val="none" w:sz="0" w:space="0" w:color="auto"/>
        <w:bottom w:val="none" w:sz="0" w:space="0" w:color="auto"/>
        <w:right w:val="none" w:sz="0" w:space="0" w:color="auto"/>
      </w:divBdr>
    </w:div>
    <w:div w:id="252974787">
      <w:bodyDiv w:val="1"/>
      <w:marLeft w:val="0"/>
      <w:marRight w:val="0"/>
      <w:marTop w:val="0"/>
      <w:marBottom w:val="0"/>
      <w:divBdr>
        <w:top w:val="none" w:sz="0" w:space="0" w:color="auto"/>
        <w:left w:val="none" w:sz="0" w:space="0" w:color="auto"/>
        <w:bottom w:val="none" w:sz="0" w:space="0" w:color="auto"/>
        <w:right w:val="none" w:sz="0" w:space="0" w:color="auto"/>
      </w:divBdr>
    </w:div>
    <w:div w:id="413891316">
      <w:bodyDiv w:val="1"/>
      <w:marLeft w:val="0"/>
      <w:marRight w:val="0"/>
      <w:marTop w:val="0"/>
      <w:marBottom w:val="0"/>
      <w:divBdr>
        <w:top w:val="none" w:sz="0" w:space="0" w:color="auto"/>
        <w:left w:val="none" w:sz="0" w:space="0" w:color="auto"/>
        <w:bottom w:val="none" w:sz="0" w:space="0" w:color="auto"/>
        <w:right w:val="none" w:sz="0" w:space="0" w:color="auto"/>
      </w:divBdr>
    </w:div>
    <w:div w:id="468279999">
      <w:bodyDiv w:val="1"/>
      <w:marLeft w:val="0"/>
      <w:marRight w:val="0"/>
      <w:marTop w:val="0"/>
      <w:marBottom w:val="0"/>
      <w:divBdr>
        <w:top w:val="none" w:sz="0" w:space="0" w:color="auto"/>
        <w:left w:val="none" w:sz="0" w:space="0" w:color="auto"/>
        <w:bottom w:val="none" w:sz="0" w:space="0" w:color="auto"/>
        <w:right w:val="none" w:sz="0" w:space="0" w:color="auto"/>
      </w:divBdr>
    </w:div>
    <w:div w:id="553934095">
      <w:bodyDiv w:val="1"/>
      <w:marLeft w:val="0"/>
      <w:marRight w:val="0"/>
      <w:marTop w:val="0"/>
      <w:marBottom w:val="0"/>
      <w:divBdr>
        <w:top w:val="none" w:sz="0" w:space="0" w:color="auto"/>
        <w:left w:val="none" w:sz="0" w:space="0" w:color="auto"/>
        <w:bottom w:val="none" w:sz="0" w:space="0" w:color="auto"/>
        <w:right w:val="none" w:sz="0" w:space="0" w:color="auto"/>
      </w:divBdr>
    </w:div>
    <w:div w:id="588735923">
      <w:bodyDiv w:val="1"/>
      <w:marLeft w:val="0"/>
      <w:marRight w:val="0"/>
      <w:marTop w:val="0"/>
      <w:marBottom w:val="0"/>
      <w:divBdr>
        <w:top w:val="none" w:sz="0" w:space="0" w:color="auto"/>
        <w:left w:val="none" w:sz="0" w:space="0" w:color="auto"/>
        <w:bottom w:val="none" w:sz="0" w:space="0" w:color="auto"/>
        <w:right w:val="none" w:sz="0" w:space="0" w:color="auto"/>
      </w:divBdr>
    </w:div>
    <w:div w:id="665976953">
      <w:bodyDiv w:val="1"/>
      <w:marLeft w:val="0"/>
      <w:marRight w:val="0"/>
      <w:marTop w:val="0"/>
      <w:marBottom w:val="0"/>
      <w:divBdr>
        <w:top w:val="none" w:sz="0" w:space="0" w:color="auto"/>
        <w:left w:val="none" w:sz="0" w:space="0" w:color="auto"/>
        <w:bottom w:val="none" w:sz="0" w:space="0" w:color="auto"/>
        <w:right w:val="none" w:sz="0" w:space="0" w:color="auto"/>
      </w:divBdr>
    </w:div>
    <w:div w:id="703752058">
      <w:bodyDiv w:val="1"/>
      <w:marLeft w:val="0"/>
      <w:marRight w:val="0"/>
      <w:marTop w:val="0"/>
      <w:marBottom w:val="0"/>
      <w:divBdr>
        <w:top w:val="none" w:sz="0" w:space="0" w:color="auto"/>
        <w:left w:val="none" w:sz="0" w:space="0" w:color="auto"/>
        <w:bottom w:val="none" w:sz="0" w:space="0" w:color="auto"/>
        <w:right w:val="none" w:sz="0" w:space="0" w:color="auto"/>
      </w:divBdr>
    </w:div>
    <w:div w:id="714163294">
      <w:bodyDiv w:val="1"/>
      <w:marLeft w:val="0"/>
      <w:marRight w:val="0"/>
      <w:marTop w:val="0"/>
      <w:marBottom w:val="0"/>
      <w:divBdr>
        <w:top w:val="none" w:sz="0" w:space="0" w:color="auto"/>
        <w:left w:val="none" w:sz="0" w:space="0" w:color="auto"/>
        <w:bottom w:val="none" w:sz="0" w:space="0" w:color="auto"/>
        <w:right w:val="none" w:sz="0" w:space="0" w:color="auto"/>
      </w:divBdr>
    </w:div>
    <w:div w:id="805706142">
      <w:bodyDiv w:val="1"/>
      <w:marLeft w:val="0"/>
      <w:marRight w:val="0"/>
      <w:marTop w:val="0"/>
      <w:marBottom w:val="0"/>
      <w:divBdr>
        <w:top w:val="none" w:sz="0" w:space="0" w:color="auto"/>
        <w:left w:val="none" w:sz="0" w:space="0" w:color="auto"/>
        <w:bottom w:val="none" w:sz="0" w:space="0" w:color="auto"/>
        <w:right w:val="none" w:sz="0" w:space="0" w:color="auto"/>
      </w:divBdr>
    </w:div>
    <w:div w:id="931821047">
      <w:bodyDiv w:val="1"/>
      <w:marLeft w:val="0"/>
      <w:marRight w:val="0"/>
      <w:marTop w:val="0"/>
      <w:marBottom w:val="0"/>
      <w:divBdr>
        <w:top w:val="none" w:sz="0" w:space="0" w:color="auto"/>
        <w:left w:val="none" w:sz="0" w:space="0" w:color="auto"/>
        <w:bottom w:val="none" w:sz="0" w:space="0" w:color="auto"/>
        <w:right w:val="none" w:sz="0" w:space="0" w:color="auto"/>
      </w:divBdr>
    </w:div>
    <w:div w:id="1316186390">
      <w:bodyDiv w:val="1"/>
      <w:marLeft w:val="0"/>
      <w:marRight w:val="0"/>
      <w:marTop w:val="0"/>
      <w:marBottom w:val="0"/>
      <w:divBdr>
        <w:top w:val="none" w:sz="0" w:space="0" w:color="auto"/>
        <w:left w:val="none" w:sz="0" w:space="0" w:color="auto"/>
        <w:bottom w:val="none" w:sz="0" w:space="0" w:color="auto"/>
        <w:right w:val="none" w:sz="0" w:space="0" w:color="auto"/>
      </w:divBdr>
    </w:div>
    <w:div w:id="1346054895">
      <w:bodyDiv w:val="1"/>
      <w:marLeft w:val="0"/>
      <w:marRight w:val="0"/>
      <w:marTop w:val="0"/>
      <w:marBottom w:val="0"/>
      <w:divBdr>
        <w:top w:val="none" w:sz="0" w:space="0" w:color="auto"/>
        <w:left w:val="none" w:sz="0" w:space="0" w:color="auto"/>
        <w:bottom w:val="none" w:sz="0" w:space="0" w:color="auto"/>
        <w:right w:val="none" w:sz="0" w:space="0" w:color="auto"/>
      </w:divBdr>
      <w:divsChild>
        <w:div w:id="90469563">
          <w:marLeft w:val="0"/>
          <w:marRight w:val="0"/>
          <w:marTop w:val="0"/>
          <w:marBottom w:val="0"/>
          <w:divBdr>
            <w:top w:val="none" w:sz="0" w:space="0" w:color="auto"/>
            <w:left w:val="none" w:sz="0" w:space="0" w:color="auto"/>
            <w:bottom w:val="none" w:sz="0" w:space="0" w:color="auto"/>
            <w:right w:val="none" w:sz="0" w:space="0" w:color="auto"/>
          </w:divBdr>
        </w:div>
        <w:div w:id="1218080287">
          <w:marLeft w:val="0"/>
          <w:marRight w:val="0"/>
          <w:marTop w:val="0"/>
          <w:marBottom w:val="0"/>
          <w:divBdr>
            <w:top w:val="none" w:sz="0" w:space="0" w:color="auto"/>
            <w:left w:val="none" w:sz="0" w:space="0" w:color="auto"/>
            <w:bottom w:val="none" w:sz="0" w:space="0" w:color="auto"/>
            <w:right w:val="none" w:sz="0" w:space="0" w:color="auto"/>
          </w:divBdr>
        </w:div>
      </w:divsChild>
    </w:div>
    <w:div w:id="1389378848">
      <w:bodyDiv w:val="1"/>
      <w:marLeft w:val="0"/>
      <w:marRight w:val="0"/>
      <w:marTop w:val="0"/>
      <w:marBottom w:val="0"/>
      <w:divBdr>
        <w:top w:val="none" w:sz="0" w:space="0" w:color="auto"/>
        <w:left w:val="none" w:sz="0" w:space="0" w:color="auto"/>
        <w:bottom w:val="none" w:sz="0" w:space="0" w:color="auto"/>
        <w:right w:val="none" w:sz="0" w:space="0" w:color="auto"/>
      </w:divBdr>
      <w:divsChild>
        <w:div w:id="146896876">
          <w:marLeft w:val="360"/>
          <w:marRight w:val="0"/>
          <w:marTop w:val="200"/>
          <w:marBottom w:val="0"/>
          <w:divBdr>
            <w:top w:val="none" w:sz="0" w:space="0" w:color="auto"/>
            <w:left w:val="none" w:sz="0" w:space="0" w:color="auto"/>
            <w:bottom w:val="none" w:sz="0" w:space="0" w:color="auto"/>
            <w:right w:val="none" w:sz="0" w:space="0" w:color="auto"/>
          </w:divBdr>
        </w:div>
      </w:divsChild>
    </w:div>
    <w:div w:id="1501236789">
      <w:bodyDiv w:val="1"/>
      <w:marLeft w:val="0"/>
      <w:marRight w:val="0"/>
      <w:marTop w:val="0"/>
      <w:marBottom w:val="0"/>
      <w:divBdr>
        <w:top w:val="none" w:sz="0" w:space="0" w:color="auto"/>
        <w:left w:val="none" w:sz="0" w:space="0" w:color="auto"/>
        <w:bottom w:val="none" w:sz="0" w:space="0" w:color="auto"/>
        <w:right w:val="none" w:sz="0" w:space="0" w:color="auto"/>
      </w:divBdr>
    </w:div>
    <w:div w:id="1590887733">
      <w:bodyDiv w:val="1"/>
      <w:marLeft w:val="0"/>
      <w:marRight w:val="0"/>
      <w:marTop w:val="0"/>
      <w:marBottom w:val="0"/>
      <w:divBdr>
        <w:top w:val="none" w:sz="0" w:space="0" w:color="auto"/>
        <w:left w:val="none" w:sz="0" w:space="0" w:color="auto"/>
        <w:bottom w:val="none" w:sz="0" w:space="0" w:color="auto"/>
        <w:right w:val="none" w:sz="0" w:space="0" w:color="auto"/>
      </w:divBdr>
    </w:div>
    <w:div w:id="1633904712">
      <w:bodyDiv w:val="1"/>
      <w:marLeft w:val="0"/>
      <w:marRight w:val="0"/>
      <w:marTop w:val="0"/>
      <w:marBottom w:val="0"/>
      <w:divBdr>
        <w:top w:val="none" w:sz="0" w:space="0" w:color="auto"/>
        <w:left w:val="none" w:sz="0" w:space="0" w:color="auto"/>
        <w:bottom w:val="none" w:sz="0" w:space="0" w:color="auto"/>
        <w:right w:val="none" w:sz="0" w:space="0" w:color="auto"/>
      </w:divBdr>
    </w:div>
    <w:div w:id="1642348082">
      <w:bodyDiv w:val="1"/>
      <w:marLeft w:val="0"/>
      <w:marRight w:val="0"/>
      <w:marTop w:val="0"/>
      <w:marBottom w:val="0"/>
      <w:divBdr>
        <w:top w:val="none" w:sz="0" w:space="0" w:color="auto"/>
        <w:left w:val="none" w:sz="0" w:space="0" w:color="auto"/>
        <w:bottom w:val="none" w:sz="0" w:space="0" w:color="auto"/>
        <w:right w:val="none" w:sz="0" w:space="0" w:color="auto"/>
      </w:divBdr>
    </w:div>
    <w:div w:id="1812751271">
      <w:bodyDiv w:val="1"/>
      <w:marLeft w:val="0"/>
      <w:marRight w:val="0"/>
      <w:marTop w:val="0"/>
      <w:marBottom w:val="0"/>
      <w:divBdr>
        <w:top w:val="none" w:sz="0" w:space="0" w:color="auto"/>
        <w:left w:val="none" w:sz="0" w:space="0" w:color="auto"/>
        <w:bottom w:val="none" w:sz="0" w:space="0" w:color="auto"/>
        <w:right w:val="none" w:sz="0" w:space="0" w:color="auto"/>
      </w:divBdr>
    </w:div>
    <w:div w:id="1886284887">
      <w:bodyDiv w:val="1"/>
      <w:marLeft w:val="0"/>
      <w:marRight w:val="0"/>
      <w:marTop w:val="0"/>
      <w:marBottom w:val="0"/>
      <w:divBdr>
        <w:top w:val="none" w:sz="0" w:space="0" w:color="auto"/>
        <w:left w:val="none" w:sz="0" w:space="0" w:color="auto"/>
        <w:bottom w:val="none" w:sz="0" w:space="0" w:color="auto"/>
        <w:right w:val="none" w:sz="0" w:space="0" w:color="auto"/>
      </w:divBdr>
    </w:div>
    <w:div w:id="19082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s://pib.gov.in/PressReleseDetailm.aspx?PRID=1860902" TargetMode="Externa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s://doi.org/10.1038/nature1045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Publications\Book%20chapters\organic%20farming\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organic%20production%20in%20India\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H:\organic%20production%20in%20India\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H:\organic%20production%20in%20India\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organic%20production%20in%20India\analysis.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H:\organic%20production%20in%20India\analysis.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F:\Organic%20farming%20in%20Uttar%20Pradesh\Organic%20farming%20India%20chapter\organic%20farming%20book%20chapter\global%20production%20and%20trade%20of%20organic%20foods.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1" Type="http://schemas.openxmlformats.org/officeDocument/2006/relationships/oleObject" Target="file:///F:\Organic%20farming%20in%20Uttar%20Pradesh\Organic%20farming%20India%20chapter\organic%20farming%20book%20chapter\global%20production%20and%20trade%20of%20organic%20food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59291872249795"/>
          <c:y val="3.3569739952718676E-2"/>
          <c:w val="0.84065728382843086"/>
          <c:h val="0.86330187449973006"/>
        </c:manualLayout>
      </c:layout>
      <c:areaChart>
        <c:grouping val="standard"/>
        <c:varyColors val="0"/>
        <c:ser>
          <c:idx val="0"/>
          <c:order val="0"/>
          <c:tx>
            <c:strRef>
              <c:f>Sheet1!$N$29</c:f>
              <c:strCache>
                <c:ptCount val="1"/>
                <c:pt idx="0">
                  <c:v>Area(lakh ha)</c:v>
                </c:pt>
              </c:strCache>
            </c:strRef>
          </c:tx>
          <c:spPr>
            <a:solidFill>
              <a:schemeClr val="accent2"/>
            </a:solidFill>
            <a:ln w="9525">
              <a:solidFill>
                <a:schemeClr val="tx1"/>
              </a:solidFill>
            </a:ln>
            <a:effectLst/>
          </c:spPr>
          <c:cat>
            <c:strRef>
              <c:f>Sheet1!$M$30:$M$38</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Sheet1!$N$30:$N$38</c:f>
              <c:numCache>
                <c:formatCode>General</c:formatCode>
                <c:ptCount val="9"/>
                <c:pt idx="0">
                  <c:v>5.04</c:v>
                </c:pt>
                <c:pt idx="1">
                  <c:v>7.23</c:v>
                </c:pt>
                <c:pt idx="2">
                  <c:v>11.84</c:v>
                </c:pt>
                <c:pt idx="3">
                  <c:v>14.9</c:v>
                </c:pt>
                <c:pt idx="4">
                  <c:v>14.44</c:v>
                </c:pt>
                <c:pt idx="5">
                  <c:v>17.86</c:v>
                </c:pt>
                <c:pt idx="6">
                  <c:v>19.38</c:v>
                </c:pt>
                <c:pt idx="7">
                  <c:v>23.28</c:v>
                </c:pt>
                <c:pt idx="8">
                  <c:v>26.58</c:v>
                </c:pt>
              </c:numCache>
            </c:numRef>
          </c:val>
          <c:extLst>
            <c:ext xmlns:c16="http://schemas.microsoft.com/office/drawing/2014/chart" uri="{C3380CC4-5D6E-409C-BE32-E72D297353CC}">
              <c16:uniqueId val="{00000000-37EC-4BE9-AC62-BFE9532C5012}"/>
            </c:ext>
          </c:extLst>
        </c:ser>
        <c:dLbls>
          <c:showLegendKey val="0"/>
          <c:showVal val="0"/>
          <c:showCatName val="0"/>
          <c:showSerName val="0"/>
          <c:showPercent val="0"/>
          <c:showBubbleSize val="0"/>
        </c:dLbls>
        <c:axId val="369170975"/>
        <c:axId val="369169311"/>
      </c:areaChart>
      <c:catAx>
        <c:axId val="369170975"/>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9169311"/>
        <c:crosses val="autoZero"/>
        <c:auto val="1"/>
        <c:lblAlgn val="ctr"/>
        <c:lblOffset val="100"/>
        <c:noMultiLvlLbl val="0"/>
      </c:catAx>
      <c:valAx>
        <c:axId val="369169311"/>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Area (lakh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9170975"/>
        <c:crosses val="autoZero"/>
        <c:crossBetween val="midCat"/>
      </c:valAx>
      <c:spPr>
        <a:noFill/>
        <a:ln w="12700">
          <a:solidFill>
            <a:schemeClr val="tx1"/>
          </a:solid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29592548541375"/>
          <c:y val="5.4495912806539509E-2"/>
          <c:w val="0.83517321329097727"/>
          <c:h val="0.83744536267868674"/>
        </c:manualLayout>
      </c:layout>
      <c:areaChart>
        <c:grouping val="stacked"/>
        <c:varyColors val="0"/>
        <c:ser>
          <c:idx val="0"/>
          <c:order val="0"/>
          <c:tx>
            <c:strRef>
              <c:f>Sheet6!$W$17</c:f>
              <c:strCache>
                <c:ptCount val="1"/>
                <c:pt idx="0">
                  <c:v>Production (MT)</c:v>
                </c:pt>
              </c:strCache>
            </c:strRef>
          </c:tx>
          <c:spPr>
            <a:solidFill>
              <a:schemeClr val="accent6"/>
            </a:solidFill>
            <a:ln>
              <a:solidFill>
                <a:schemeClr val="tx1"/>
              </a:solidFill>
            </a:ln>
            <a:effectLst/>
          </c:spPr>
          <c:dLbls>
            <c:delete val="1"/>
          </c:dLbls>
          <c:cat>
            <c:strRef>
              <c:f>Sheet6!$V$18:$V$26</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Sheet6!$W$18:$W$26</c:f>
              <c:numCache>
                <c:formatCode>0.00</c:formatCode>
                <c:ptCount val="9"/>
                <c:pt idx="0">
                  <c:v>13.289992099999999</c:v>
                </c:pt>
                <c:pt idx="1">
                  <c:v>12.2910228</c:v>
                </c:pt>
                <c:pt idx="2">
                  <c:v>10.9575412</c:v>
                </c:pt>
                <c:pt idx="3">
                  <c:v>13.3595229</c:v>
                </c:pt>
                <c:pt idx="4">
                  <c:v>11.801058100000001</c:v>
                </c:pt>
                <c:pt idx="5">
                  <c:v>16.755607000000001</c:v>
                </c:pt>
                <c:pt idx="6">
                  <c:v>26.07384909</c:v>
                </c:pt>
                <c:pt idx="7">
                  <c:v>27.091195209999999</c:v>
                </c:pt>
                <c:pt idx="8">
                  <c:v>34.689920000000001</c:v>
                </c:pt>
              </c:numCache>
            </c:numRef>
          </c:val>
          <c:extLst>
            <c:ext xmlns:c16="http://schemas.microsoft.com/office/drawing/2014/chart" uri="{C3380CC4-5D6E-409C-BE32-E72D297353CC}">
              <c16:uniqueId val="{00000000-EF36-41A0-805F-22656053FC6F}"/>
            </c:ext>
          </c:extLst>
        </c:ser>
        <c:dLbls>
          <c:showLegendKey val="0"/>
          <c:showVal val="1"/>
          <c:showCatName val="0"/>
          <c:showSerName val="0"/>
          <c:showPercent val="0"/>
          <c:showBubbleSize val="0"/>
        </c:dLbls>
        <c:axId val="108369408"/>
        <c:axId val="127149760"/>
      </c:areaChart>
      <c:catAx>
        <c:axId val="108369408"/>
        <c:scaling>
          <c:orientation val="minMax"/>
        </c:scaling>
        <c:delete val="0"/>
        <c:axPos val="b"/>
        <c:numFmt formatCode="General" sourceLinked="1"/>
        <c:majorTickMark val="out"/>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7149760"/>
        <c:crosses val="autoZero"/>
        <c:auto val="1"/>
        <c:lblAlgn val="ctr"/>
        <c:lblOffset val="100"/>
        <c:noMultiLvlLbl val="0"/>
      </c:catAx>
      <c:valAx>
        <c:axId val="1271497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Production (lakh tonnes)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8369408"/>
        <c:crosses val="autoZero"/>
        <c:crossBetween val="midCat"/>
      </c:valAx>
      <c:spPr>
        <a:noFill/>
        <a:ln w="12700">
          <a:solidFill>
            <a:schemeClr val="tx1"/>
          </a:solidFill>
        </a:ln>
        <a:effectLst/>
      </c:spPr>
    </c:plotArea>
    <c:plotVisOnly val="1"/>
    <c:dispBlanksAs val="zero"/>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587431464305401E-2"/>
          <c:y val="4.5331177709250228E-2"/>
          <c:w val="0.9560228155838062"/>
          <c:h val="0.85679151322814673"/>
        </c:manualLayout>
      </c:layout>
      <c:barChart>
        <c:barDir val="col"/>
        <c:grouping val="clustered"/>
        <c:varyColors val="0"/>
        <c:ser>
          <c:idx val="0"/>
          <c:order val="0"/>
          <c:tx>
            <c:strRef>
              <c:f>Sheet6!$AA$17</c:f>
              <c:strCache>
                <c:ptCount val="1"/>
                <c:pt idx="0">
                  <c:v>Productivity (t/ha)</c:v>
                </c:pt>
              </c:strCache>
            </c:strRef>
          </c:tx>
          <c:spPr>
            <a:solidFill>
              <a:schemeClr val="accent4">
                <a:lumMod val="5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Sheet6!$Z$18:$Z$26</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Sheet6!$AA$18:$AA$26</c:f>
              <c:numCache>
                <c:formatCode>0.00</c:formatCode>
                <c:ptCount val="9"/>
                <c:pt idx="0">
                  <c:v>2.6346054421266998</c:v>
                </c:pt>
                <c:pt idx="1">
                  <c:v>1.6999113630157501</c:v>
                </c:pt>
                <c:pt idx="2">
                  <c:v>0.925568552894657</c:v>
                </c:pt>
                <c:pt idx="3">
                  <c:v>0.89665083115352495</c:v>
                </c:pt>
                <c:pt idx="4">
                  <c:v>0.81750925228392102</c:v>
                </c:pt>
                <c:pt idx="5">
                  <c:v>0.93790443179440697</c:v>
                </c:pt>
                <c:pt idx="6">
                  <c:v>1.34524658960796</c:v>
                </c:pt>
                <c:pt idx="7">
                  <c:v>1.1637744971724699</c:v>
                </c:pt>
                <c:pt idx="8">
                  <c:v>1.3051679668888601</c:v>
                </c:pt>
              </c:numCache>
            </c:numRef>
          </c:val>
          <c:extLst>
            <c:ext xmlns:c16="http://schemas.microsoft.com/office/drawing/2014/chart" uri="{C3380CC4-5D6E-409C-BE32-E72D297353CC}">
              <c16:uniqueId val="{00000000-1673-4B1D-A16C-D8B54F20AF61}"/>
            </c:ext>
          </c:extLst>
        </c:ser>
        <c:dLbls>
          <c:dLblPos val="outEnd"/>
          <c:showLegendKey val="0"/>
          <c:showVal val="1"/>
          <c:showCatName val="0"/>
          <c:showSerName val="0"/>
          <c:showPercent val="0"/>
          <c:showBubbleSize val="0"/>
        </c:dLbls>
        <c:gapWidth val="444"/>
        <c:overlap val="-90"/>
        <c:axId val="108634112"/>
        <c:axId val="150168704"/>
      </c:barChart>
      <c:catAx>
        <c:axId val="1086341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2700" cap="flat" cmpd="sng" algn="ctr">
            <a:solidFill>
              <a:srgbClr val="000000"/>
            </a:solidFill>
            <a:round/>
          </a:ln>
          <a:effectLst/>
        </c:spPr>
        <c:txPr>
          <a:bodyPr rot="-60000000" spcFirstLastPara="1" vertOverflow="ellipsis" vert="horz" wrap="square" anchor="ctr" anchorCtr="1"/>
          <a:lstStyle/>
          <a:p>
            <a:pPr>
              <a:defRPr sz="1000" b="0" i="0" u="none" strike="noStrike" kern="1200" cap="all" spc="1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0168704"/>
        <c:crosses val="autoZero"/>
        <c:auto val="1"/>
        <c:lblAlgn val="ctr"/>
        <c:lblOffset val="100"/>
        <c:noMultiLvlLbl val="0"/>
      </c:catAx>
      <c:valAx>
        <c:axId val="150168704"/>
        <c:scaling>
          <c:orientation val="minMax"/>
        </c:scaling>
        <c:delete val="1"/>
        <c:axPos val="l"/>
        <c:title>
          <c:tx>
            <c:rich>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r>
                  <a:rPr lang="en-US"/>
                  <a:t>Yield (t/ha)</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crossAx val="108634112"/>
        <c:crosses val="autoZero"/>
        <c:crossBetween val="between"/>
      </c:valAx>
      <c:spPr>
        <a:noFill/>
        <a:ln w="12700">
          <a:solidFill>
            <a:srgbClr val="000000"/>
          </a:solidFill>
        </a:ln>
        <a:effectLst/>
      </c:spPr>
    </c:plotArea>
    <c:plotVisOnly val="1"/>
    <c:dispBlanksAs val="zero"/>
    <c:showDLblsOverMax val="0"/>
  </c:chart>
  <c:spPr>
    <a:solidFill>
      <a:schemeClr val="lt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27243097203524E-2"/>
          <c:y val="5.1606849636406285E-2"/>
          <c:w val="0.84915380396103335"/>
          <c:h val="0.73832593585900286"/>
        </c:manualLayout>
      </c:layout>
      <c:areaChart>
        <c:grouping val="stacked"/>
        <c:varyColors val="0"/>
        <c:ser>
          <c:idx val="0"/>
          <c:order val="0"/>
          <c:tx>
            <c:strRef>
              <c:f>Sheet6!$C$15</c:f>
              <c:strCache>
                <c:ptCount val="1"/>
                <c:pt idx="0">
                  <c:v>North</c:v>
                </c:pt>
              </c:strCache>
            </c:strRef>
          </c:tx>
          <c:spPr>
            <a:solidFill>
              <a:schemeClr val="accent1"/>
            </a:solidFill>
            <a:ln>
              <a:solidFill>
                <a:schemeClr val="tx1"/>
              </a:solidFill>
            </a:ln>
            <a:effectLst/>
            <a:sp3d/>
          </c:spPr>
          <c:cat>
            <c:strRef>
              <c:f>Sheet6!$B$16:$B$22</c:f>
              <c:strCache>
                <c:ptCount val="7"/>
                <c:pt idx="0">
                  <c:v>TE2014-15</c:v>
                </c:pt>
                <c:pt idx="1">
                  <c:v>TE2015-16</c:v>
                </c:pt>
                <c:pt idx="2">
                  <c:v>TE2016-17</c:v>
                </c:pt>
                <c:pt idx="3">
                  <c:v>TE2017-18</c:v>
                </c:pt>
                <c:pt idx="4">
                  <c:v>TE2018-19</c:v>
                </c:pt>
                <c:pt idx="5">
                  <c:v>TE2019-20</c:v>
                </c:pt>
                <c:pt idx="6">
                  <c:v>TE2020-21</c:v>
                </c:pt>
              </c:strCache>
            </c:strRef>
          </c:cat>
          <c:val>
            <c:numRef>
              <c:f>Sheet6!$C$16:$C$22</c:f>
              <c:numCache>
                <c:formatCode>0.00</c:formatCode>
                <c:ptCount val="7"/>
                <c:pt idx="0">
                  <c:v>0.97578399333333299</c:v>
                </c:pt>
                <c:pt idx="1">
                  <c:v>1.21144400333333</c:v>
                </c:pt>
                <c:pt idx="2">
                  <c:v>1.34042136333333</c:v>
                </c:pt>
                <c:pt idx="3">
                  <c:v>1.3780599</c:v>
                </c:pt>
                <c:pt idx="4">
                  <c:v>1.4114657833333299</c:v>
                </c:pt>
                <c:pt idx="5">
                  <c:v>1.51937398666667</c:v>
                </c:pt>
                <c:pt idx="6">
                  <c:v>1.68503488333333</c:v>
                </c:pt>
              </c:numCache>
            </c:numRef>
          </c:val>
          <c:extLst>
            <c:ext xmlns:c16="http://schemas.microsoft.com/office/drawing/2014/chart" uri="{C3380CC4-5D6E-409C-BE32-E72D297353CC}">
              <c16:uniqueId val="{00000000-932C-48F2-AF72-41304EC02DB7}"/>
            </c:ext>
          </c:extLst>
        </c:ser>
        <c:ser>
          <c:idx val="1"/>
          <c:order val="1"/>
          <c:tx>
            <c:strRef>
              <c:f>Sheet6!$D$15</c:f>
              <c:strCache>
                <c:ptCount val="1"/>
                <c:pt idx="0">
                  <c:v>South</c:v>
                </c:pt>
              </c:strCache>
            </c:strRef>
          </c:tx>
          <c:spPr>
            <a:solidFill>
              <a:schemeClr val="accent2"/>
            </a:solidFill>
            <a:ln>
              <a:solidFill>
                <a:schemeClr val="tx1"/>
              </a:solidFill>
            </a:ln>
            <a:effectLst/>
            <a:sp3d/>
          </c:spPr>
          <c:cat>
            <c:strRef>
              <c:f>Sheet6!$B$16:$B$22</c:f>
              <c:strCache>
                <c:ptCount val="7"/>
                <c:pt idx="0">
                  <c:v>TE2014-15</c:v>
                </c:pt>
                <c:pt idx="1">
                  <c:v>TE2015-16</c:v>
                </c:pt>
                <c:pt idx="2">
                  <c:v>TE2016-17</c:v>
                </c:pt>
                <c:pt idx="3">
                  <c:v>TE2017-18</c:v>
                </c:pt>
                <c:pt idx="4">
                  <c:v>TE2018-19</c:v>
                </c:pt>
                <c:pt idx="5">
                  <c:v>TE2019-20</c:v>
                </c:pt>
                <c:pt idx="6">
                  <c:v>TE2020-21</c:v>
                </c:pt>
              </c:strCache>
            </c:strRef>
          </c:cat>
          <c:val>
            <c:numRef>
              <c:f>Sheet6!$D$16:$D$22</c:f>
              <c:numCache>
                <c:formatCode>0.00</c:formatCode>
                <c:ptCount val="7"/>
                <c:pt idx="0">
                  <c:v>0.74131535666666704</c:v>
                </c:pt>
                <c:pt idx="1">
                  <c:v>1.1293720466666699</c:v>
                </c:pt>
                <c:pt idx="2">
                  <c:v>1.38591602</c:v>
                </c:pt>
                <c:pt idx="3">
                  <c:v>1.59709917333333</c:v>
                </c:pt>
                <c:pt idx="4">
                  <c:v>1.6964004633333301</c:v>
                </c:pt>
                <c:pt idx="5">
                  <c:v>1.9074504400000001</c:v>
                </c:pt>
                <c:pt idx="6">
                  <c:v>2.0438350199999999</c:v>
                </c:pt>
              </c:numCache>
            </c:numRef>
          </c:val>
          <c:extLst>
            <c:ext xmlns:c16="http://schemas.microsoft.com/office/drawing/2014/chart" uri="{C3380CC4-5D6E-409C-BE32-E72D297353CC}">
              <c16:uniqueId val="{00000001-932C-48F2-AF72-41304EC02DB7}"/>
            </c:ext>
          </c:extLst>
        </c:ser>
        <c:ser>
          <c:idx val="2"/>
          <c:order val="2"/>
          <c:tx>
            <c:strRef>
              <c:f>Sheet6!$E$15</c:f>
              <c:strCache>
                <c:ptCount val="1"/>
                <c:pt idx="0">
                  <c:v>East</c:v>
                </c:pt>
              </c:strCache>
            </c:strRef>
          </c:tx>
          <c:spPr>
            <a:solidFill>
              <a:schemeClr val="accent3"/>
            </a:solidFill>
            <a:ln>
              <a:solidFill>
                <a:schemeClr val="tx1"/>
              </a:solidFill>
            </a:ln>
            <a:effectLst/>
            <a:sp3d/>
          </c:spPr>
          <c:cat>
            <c:strRef>
              <c:f>Sheet6!$B$16:$B$22</c:f>
              <c:strCache>
                <c:ptCount val="7"/>
                <c:pt idx="0">
                  <c:v>TE2014-15</c:v>
                </c:pt>
                <c:pt idx="1">
                  <c:v>TE2015-16</c:v>
                </c:pt>
                <c:pt idx="2">
                  <c:v>TE2016-17</c:v>
                </c:pt>
                <c:pt idx="3">
                  <c:v>TE2017-18</c:v>
                </c:pt>
                <c:pt idx="4">
                  <c:v>TE2018-19</c:v>
                </c:pt>
                <c:pt idx="5">
                  <c:v>TE2019-20</c:v>
                </c:pt>
                <c:pt idx="6">
                  <c:v>TE2020-21</c:v>
                </c:pt>
              </c:strCache>
            </c:strRef>
          </c:cat>
          <c:val>
            <c:numRef>
              <c:f>Sheet6!$E$16:$E$22</c:f>
              <c:numCache>
                <c:formatCode>0.00</c:formatCode>
                <c:ptCount val="7"/>
                <c:pt idx="0">
                  <c:v>0.68223659333333297</c:v>
                </c:pt>
                <c:pt idx="1">
                  <c:v>1.06613695333333</c:v>
                </c:pt>
                <c:pt idx="2">
                  <c:v>1.3039014633333299</c:v>
                </c:pt>
                <c:pt idx="3">
                  <c:v>1.3241918399999999</c:v>
                </c:pt>
                <c:pt idx="4">
                  <c:v>1.2762682000000001</c:v>
                </c:pt>
                <c:pt idx="5">
                  <c:v>1.3394519499999999</c:v>
                </c:pt>
                <c:pt idx="6">
                  <c:v>1.5172126399999999</c:v>
                </c:pt>
              </c:numCache>
            </c:numRef>
          </c:val>
          <c:extLst>
            <c:ext xmlns:c16="http://schemas.microsoft.com/office/drawing/2014/chart" uri="{C3380CC4-5D6E-409C-BE32-E72D297353CC}">
              <c16:uniqueId val="{00000002-932C-48F2-AF72-41304EC02DB7}"/>
            </c:ext>
          </c:extLst>
        </c:ser>
        <c:ser>
          <c:idx val="3"/>
          <c:order val="3"/>
          <c:tx>
            <c:strRef>
              <c:f>Sheet6!$F$15</c:f>
              <c:strCache>
                <c:ptCount val="1"/>
                <c:pt idx="0">
                  <c:v>West</c:v>
                </c:pt>
              </c:strCache>
            </c:strRef>
          </c:tx>
          <c:spPr>
            <a:solidFill>
              <a:schemeClr val="accent4"/>
            </a:solidFill>
            <a:ln>
              <a:solidFill>
                <a:schemeClr val="tx1"/>
              </a:solidFill>
            </a:ln>
            <a:effectLst/>
            <a:sp3d/>
          </c:spPr>
          <c:cat>
            <c:strRef>
              <c:f>Sheet6!$B$16:$B$22</c:f>
              <c:strCache>
                <c:ptCount val="7"/>
                <c:pt idx="0">
                  <c:v>TE2014-15</c:v>
                </c:pt>
                <c:pt idx="1">
                  <c:v>TE2015-16</c:v>
                </c:pt>
                <c:pt idx="2">
                  <c:v>TE2016-17</c:v>
                </c:pt>
                <c:pt idx="3">
                  <c:v>TE2017-18</c:v>
                </c:pt>
                <c:pt idx="4">
                  <c:v>TE2018-19</c:v>
                </c:pt>
                <c:pt idx="5">
                  <c:v>TE2019-20</c:v>
                </c:pt>
                <c:pt idx="6">
                  <c:v>TE2020-21</c:v>
                </c:pt>
              </c:strCache>
            </c:strRef>
          </c:cat>
          <c:val>
            <c:numRef>
              <c:f>Sheet6!$F$16:$F$22</c:f>
              <c:numCache>
                <c:formatCode>0.00</c:formatCode>
                <c:ptCount val="7"/>
                <c:pt idx="0">
                  <c:v>2.2555244499999998</c:v>
                </c:pt>
                <c:pt idx="1">
                  <c:v>3.2181345299999999</c:v>
                </c:pt>
                <c:pt idx="2">
                  <c:v>4.0326215000000003</c:v>
                </c:pt>
                <c:pt idx="3">
                  <c:v>4.8006498300000002</c:v>
                </c:pt>
                <c:pt idx="4">
                  <c:v>5.25042542</c:v>
                </c:pt>
                <c:pt idx="5">
                  <c:v>5.9907518833333304</c:v>
                </c:pt>
                <c:pt idx="6">
                  <c:v>6.9690080200000004</c:v>
                </c:pt>
              </c:numCache>
            </c:numRef>
          </c:val>
          <c:extLst>
            <c:ext xmlns:c16="http://schemas.microsoft.com/office/drawing/2014/chart" uri="{C3380CC4-5D6E-409C-BE32-E72D297353CC}">
              <c16:uniqueId val="{00000003-932C-48F2-AF72-41304EC02DB7}"/>
            </c:ext>
          </c:extLst>
        </c:ser>
        <c:ser>
          <c:idx val="4"/>
          <c:order val="4"/>
          <c:tx>
            <c:strRef>
              <c:f>Sheet6!$G$15</c:f>
              <c:strCache>
                <c:ptCount val="1"/>
                <c:pt idx="0">
                  <c:v>Cental</c:v>
                </c:pt>
              </c:strCache>
            </c:strRef>
          </c:tx>
          <c:spPr>
            <a:solidFill>
              <a:schemeClr val="accent5"/>
            </a:solidFill>
            <a:ln>
              <a:solidFill>
                <a:schemeClr val="tx1"/>
              </a:solidFill>
            </a:ln>
            <a:effectLst/>
            <a:sp3d/>
          </c:spPr>
          <c:cat>
            <c:strRef>
              <c:f>Sheet6!$B$16:$B$22</c:f>
              <c:strCache>
                <c:ptCount val="7"/>
                <c:pt idx="0">
                  <c:v>TE2014-15</c:v>
                </c:pt>
                <c:pt idx="1">
                  <c:v>TE2015-16</c:v>
                </c:pt>
                <c:pt idx="2">
                  <c:v>TE2016-17</c:v>
                </c:pt>
                <c:pt idx="3">
                  <c:v>TE2017-18</c:v>
                </c:pt>
                <c:pt idx="4">
                  <c:v>TE2018-19</c:v>
                </c:pt>
                <c:pt idx="5">
                  <c:v>TE2019-20</c:v>
                </c:pt>
                <c:pt idx="6">
                  <c:v>TE2020-21</c:v>
                </c:pt>
              </c:strCache>
            </c:strRef>
          </c:cat>
          <c:val>
            <c:numRef>
              <c:f>Sheet6!$G$16:$G$22</c:f>
              <c:numCache>
                <c:formatCode>0.00</c:formatCode>
                <c:ptCount val="7"/>
                <c:pt idx="0">
                  <c:v>2.6194605200000001</c:v>
                </c:pt>
                <c:pt idx="1">
                  <c:v>3.7069014166666698</c:v>
                </c:pt>
                <c:pt idx="2">
                  <c:v>4.5088046200000003</c:v>
                </c:pt>
                <c:pt idx="3">
                  <c:v>5.2795247966666699</c:v>
                </c:pt>
                <c:pt idx="4">
                  <c:v>6.0225844500000001</c:v>
                </c:pt>
                <c:pt idx="5">
                  <c:v>7.4817932466666699</c:v>
                </c:pt>
                <c:pt idx="6">
                  <c:v>8.8461309033333304</c:v>
                </c:pt>
              </c:numCache>
            </c:numRef>
          </c:val>
          <c:extLst>
            <c:ext xmlns:c16="http://schemas.microsoft.com/office/drawing/2014/chart" uri="{C3380CC4-5D6E-409C-BE32-E72D297353CC}">
              <c16:uniqueId val="{00000004-932C-48F2-AF72-41304EC02DB7}"/>
            </c:ext>
          </c:extLst>
        </c:ser>
        <c:ser>
          <c:idx val="5"/>
          <c:order val="5"/>
          <c:tx>
            <c:strRef>
              <c:f>Sheet6!$H$15</c:f>
              <c:strCache>
                <c:ptCount val="1"/>
                <c:pt idx="0">
                  <c:v>North East</c:v>
                </c:pt>
              </c:strCache>
            </c:strRef>
          </c:tx>
          <c:spPr>
            <a:solidFill>
              <a:schemeClr val="accent6"/>
            </a:solidFill>
            <a:ln>
              <a:solidFill>
                <a:schemeClr val="tx1"/>
              </a:solidFill>
            </a:ln>
            <a:effectLst/>
            <a:sp3d/>
          </c:spPr>
          <c:cat>
            <c:strRef>
              <c:f>Sheet6!$B$16:$B$22</c:f>
              <c:strCache>
                <c:ptCount val="7"/>
                <c:pt idx="0">
                  <c:v>TE2014-15</c:v>
                </c:pt>
                <c:pt idx="1">
                  <c:v>TE2015-16</c:v>
                </c:pt>
                <c:pt idx="2">
                  <c:v>TE2016-17</c:v>
                </c:pt>
                <c:pt idx="3">
                  <c:v>TE2017-18</c:v>
                </c:pt>
                <c:pt idx="4">
                  <c:v>TE2018-19</c:v>
                </c:pt>
                <c:pt idx="5">
                  <c:v>TE2019-20</c:v>
                </c:pt>
                <c:pt idx="6">
                  <c:v>TE2020-21</c:v>
                </c:pt>
              </c:strCache>
            </c:strRef>
          </c:cat>
          <c:val>
            <c:numRef>
              <c:f>Sheet6!$H$16:$H$22</c:f>
              <c:numCache>
                <c:formatCode>0.00</c:formatCode>
                <c:ptCount val="7"/>
                <c:pt idx="0">
                  <c:v>0.76351237333333299</c:v>
                </c:pt>
                <c:pt idx="1">
                  <c:v>0.99083223666666698</c:v>
                </c:pt>
                <c:pt idx="2">
                  <c:v>1.15282000333333</c:v>
                </c:pt>
                <c:pt idx="3">
                  <c:v>1.3537017099999999</c:v>
                </c:pt>
                <c:pt idx="4">
                  <c:v>1.57036578333333</c:v>
                </c:pt>
                <c:pt idx="5">
                  <c:v>1.9364721766666699</c:v>
                </c:pt>
                <c:pt idx="6">
                  <c:v>2.0187230700000001</c:v>
                </c:pt>
              </c:numCache>
            </c:numRef>
          </c:val>
          <c:extLst>
            <c:ext xmlns:c16="http://schemas.microsoft.com/office/drawing/2014/chart" uri="{C3380CC4-5D6E-409C-BE32-E72D297353CC}">
              <c16:uniqueId val="{00000005-932C-48F2-AF72-41304EC02DB7}"/>
            </c:ext>
          </c:extLst>
        </c:ser>
        <c:dLbls>
          <c:showLegendKey val="0"/>
          <c:showVal val="0"/>
          <c:showCatName val="0"/>
          <c:showSerName val="0"/>
          <c:showPercent val="0"/>
          <c:showBubbleSize val="0"/>
        </c:dLbls>
        <c:axId val="124446208"/>
        <c:axId val="150170432"/>
      </c:areaChart>
      <c:catAx>
        <c:axId val="1244462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0170432"/>
        <c:crosses val="autoZero"/>
        <c:auto val="1"/>
        <c:lblAlgn val="ctr"/>
        <c:lblOffset val="100"/>
        <c:noMultiLvlLbl val="0"/>
      </c:catAx>
      <c:valAx>
        <c:axId val="150170432"/>
        <c:scaling>
          <c:orientation val="minMax"/>
        </c:scaling>
        <c:delete val="0"/>
        <c:axPos val="l"/>
        <c:majorGridlines>
          <c:spPr>
            <a:ln w="9525" cap="flat" cmpd="sng" algn="ctr">
              <a:noFill/>
              <a:prstDash val="solid"/>
              <a:round/>
            </a:ln>
            <a:effectLst/>
          </c:spPr>
        </c:majorGridlines>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IN"/>
                  <a:t>Area (lakh ha)</a:t>
                </a:r>
              </a:p>
            </c:rich>
          </c:tx>
          <c:overlay val="0"/>
        </c:title>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24446208"/>
        <c:crosses val="autoZero"/>
        <c:crossBetween val="midCat"/>
      </c:valAx>
      <c:spPr>
        <a:noFill/>
        <a:ln>
          <a:solidFill>
            <a:schemeClr val="tx1"/>
          </a:solidFill>
        </a:ln>
        <a:effectLst/>
      </c:spPr>
    </c:plotArea>
    <c:legend>
      <c:legendPos val="b"/>
      <c:overlay val="0"/>
      <c:spPr>
        <a:noFill/>
        <a:ln>
          <a:noFill/>
        </a:ln>
        <a:effectLst/>
      </c:spPr>
      <c:txPr>
        <a:bodyPr rot="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zero"/>
    <c:showDLblsOverMax val="0"/>
  </c:chart>
  <c:spPr>
    <a:solidFill>
      <a:schemeClr val="bg1"/>
    </a:solidFill>
    <a:ln w="9525" cap="flat" cmpd="sng" algn="ctr">
      <a:noFill/>
      <a:prstDash val="solid"/>
      <a:round/>
    </a:ln>
    <a:effectLst/>
  </c:spPr>
  <c:txPr>
    <a:bodyPr/>
    <a:lstStyle/>
    <a:p>
      <a:pPr>
        <a:defRPr lang="en-US">
          <a:latin typeface="Times New Roman" panose="02020603050405020304" charset="0"/>
          <a:cs typeface="Times New Roman" panose="02020603050405020304"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1620713252428"/>
          <c:y val="6.9444444444444406E-2"/>
          <c:w val="0.83367254835719795"/>
          <c:h val="0.73900050421170382"/>
        </c:manualLayout>
      </c:layout>
      <c:areaChart>
        <c:grouping val="stacked"/>
        <c:varyColors val="0"/>
        <c:ser>
          <c:idx val="0"/>
          <c:order val="0"/>
          <c:tx>
            <c:strRef>
              <c:f>Sheet6!$C$51</c:f>
              <c:strCache>
                <c:ptCount val="1"/>
                <c:pt idx="0">
                  <c:v>North</c:v>
                </c:pt>
              </c:strCache>
            </c:strRef>
          </c:tx>
          <c:spPr>
            <a:solidFill>
              <a:schemeClr val="accent1"/>
            </a:solidFill>
            <a:ln>
              <a:solidFill>
                <a:schemeClr val="tx1"/>
              </a:solidFill>
            </a:ln>
            <a:effectLst/>
            <a:sp3d/>
          </c:spPr>
          <c:cat>
            <c:strRef>
              <c:f>Sheet6!$B$52:$B$58</c:f>
              <c:strCache>
                <c:ptCount val="7"/>
                <c:pt idx="0">
                  <c:v>TE2014-15</c:v>
                </c:pt>
                <c:pt idx="1">
                  <c:v>TE2015-16</c:v>
                </c:pt>
                <c:pt idx="2">
                  <c:v>TE2016-17</c:v>
                </c:pt>
                <c:pt idx="3">
                  <c:v>TE2017-18</c:v>
                </c:pt>
                <c:pt idx="4">
                  <c:v>TE2018-19</c:v>
                </c:pt>
                <c:pt idx="5">
                  <c:v>TE2019-20</c:v>
                </c:pt>
                <c:pt idx="6">
                  <c:v>TE2020-21</c:v>
                </c:pt>
              </c:strCache>
            </c:strRef>
          </c:cat>
          <c:val>
            <c:numRef>
              <c:f>Sheet6!$C$52:$C$58</c:f>
              <c:numCache>
                <c:formatCode>0.00</c:formatCode>
                <c:ptCount val="7"/>
                <c:pt idx="0">
                  <c:v>0.86715956000000005</c:v>
                </c:pt>
                <c:pt idx="1">
                  <c:v>0.92459784</c:v>
                </c:pt>
                <c:pt idx="2">
                  <c:v>1.0968293499999999</c:v>
                </c:pt>
                <c:pt idx="3">
                  <c:v>1.4906272599999999</c:v>
                </c:pt>
                <c:pt idx="4">
                  <c:v>1.8677194133333299</c:v>
                </c:pt>
                <c:pt idx="5">
                  <c:v>2.1194520033333299</c:v>
                </c:pt>
                <c:pt idx="6">
                  <c:v>2.3732029933333298</c:v>
                </c:pt>
              </c:numCache>
            </c:numRef>
          </c:val>
          <c:extLst>
            <c:ext xmlns:c16="http://schemas.microsoft.com/office/drawing/2014/chart" uri="{C3380CC4-5D6E-409C-BE32-E72D297353CC}">
              <c16:uniqueId val="{00000000-7B95-4F6B-A15D-A3ABC9E36D0E}"/>
            </c:ext>
          </c:extLst>
        </c:ser>
        <c:ser>
          <c:idx val="1"/>
          <c:order val="1"/>
          <c:tx>
            <c:strRef>
              <c:f>Sheet6!$D$51</c:f>
              <c:strCache>
                <c:ptCount val="1"/>
                <c:pt idx="0">
                  <c:v>South</c:v>
                </c:pt>
              </c:strCache>
            </c:strRef>
          </c:tx>
          <c:spPr>
            <a:solidFill>
              <a:schemeClr val="accent2"/>
            </a:solidFill>
            <a:ln>
              <a:solidFill>
                <a:schemeClr val="tx1"/>
              </a:solidFill>
            </a:ln>
            <a:effectLst/>
            <a:sp3d/>
          </c:spPr>
          <c:cat>
            <c:strRef>
              <c:f>Sheet6!$B$52:$B$58</c:f>
              <c:strCache>
                <c:ptCount val="7"/>
                <c:pt idx="0">
                  <c:v>TE2014-15</c:v>
                </c:pt>
                <c:pt idx="1">
                  <c:v>TE2015-16</c:v>
                </c:pt>
                <c:pt idx="2">
                  <c:v>TE2016-17</c:v>
                </c:pt>
                <c:pt idx="3">
                  <c:v>TE2017-18</c:v>
                </c:pt>
                <c:pt idx="4">
                  <c:v>TE2018-19</c:v>
                </c:pt>
                <c:pt idx="5">
                  <c:v>TE2019-20</c:v>
                </c:pt>
                <c:pt idx="6">
                  <c:v>TE2020-21</c:v>
                </c:pt>
              </c:strCache>
            </c:strRef>
          </c:cat>
          <c:val>
            <c:numRef>
              <c:f>Sheet6!$D$52:$D$58</c:f>
              <c:numCache>
                <c:formatCode>0.00</c:formatCode>
                <c:ptCount val="7"/>
                <c:pt idx="0">
                  <c:v>3.0813339900000001</c:v>
                </c:pt>
                <c:pt idx="1">
                  <c:v>2.9658724133333298</c:v>
                </c:pt>
                <c:pt idx="2">
                  <c:v>2.6868445099999998</c:v>
                </c:pt>
                <c:pt idx="3">
                  <c:v>2.3739096466666698</c:v>
                </c:pt>
                <c:pt idx="4">
                  <c:v>2.7367163666666698</c:v>
                </c:pt>
                <c:pt idx="5">
                  <c:v>2.68475607666667</c:v>
                </c:pt>
                <c:pt idx="6">
                  <c:v>3.4629027400000001</c:v>
                </c:pt>
              </c:numCache>
            </c:numRef>
          </c:val>
          <c:extLst>
            <c:ext xmlns:c16="http://schemas.microsoft.com/office/drawing/2014/chart" uri="{C3380CC4-5D6E-409C-BE32-E72D297353CC}">
              <c16:uniqueId val="{00000001-7B95-4F6B-A15D-A3ABC9E36D0E}"/>
            </c:ext>
          </c:extLst>
        </c:ser>
        <c:ser>
          <c:idx val="2"/>
          <c:order val="2"/>
          <c:tx>
            <c:strRef>
              <c:f>Sheet6!$E$51</c:f>
              <c:strCache>
                <c:ptCount val="1"/>
                <c:pt idx="0">
                  <c:v>East</c:v>
                </c:pt>
              </c:strCache>
            </c:strRef>
          </c:tx>
          <c:spPr>
            <a:solidFill>
              <a:schemeClr val="accent3"/>
            </a:solidFill>
            <a:ln>
              <a:noFill/>
            </a:ln>
            <a:effectLst/>
            <a:sp3d/>
          </c:spPr>
          <c:cat>
            <c:strRef>
              <c:f>Sheet6!$B$52:$B$58</c:f>
              <c:strCache>
                <c:ptCount val="7"/>
                <c:pt idx="0">
                  <c:v>TE2014-15</c:v>
                </c:pt>
                <c:pt idx="1">
                  <c:v>TE2015-16</c:v>
                </c:pt>
                <c:pt idx="2">
                  <c:v>TE2016-17</c:v>
                </c:pt>
                <c:pt idx="3">
                  <c:v>TE2017-18</c:v>
                </c:pt>
                <c:pt idx="4">
                  <c:v>TE2018-19</c:v>
                </c:pt>
                <c:pt idx="5">
                  <c:v>TE2019-20</c:v>
                </c:pt>
                <c:pt idx="6">
                  <c:v>TE2020-21</c:v>
                </c:pt>
              </c:strCache>
            </c:strRef>
          </c:cat>
          <c:val>
            <c:numRef>
              <c:f>Sheet6!$E$52:$E$58</c:f>
              <c:numCache>
                <c:formatCode>0.00</c:formatCode>
                <c:ptCount val="7"/>
                <c:pt idx="0">
                  <c:v>0.47838171333333301</c:v>
                </c:pt>
                <c:pt idx="1">
                  <c:v>0.45750109</c:v>
                </c:pt>
                <c:pt idx="2">
                  <c:v>0.47148789000000002</c:v>
                </c:pt>
                <c:pt idx="3">
                  <c:v>0.62231133999999999</c:v>
                </c:pt>
                <c:pt idx="4">
                  <c:v>0.80773756333333302</c:v>
                </c:pt>
                <c:pt idx="5">
                  <c:v>1.1327626366666701</c:v>
                </c:pt>
                <c:pt idx="6">
                  <c:v>1.3475779533333301</c:v>
                </c:pt>
              </c:numCache>
            </c:numRef>
          </c:val>
          <c:extLst>
            <c:ext xmlns:c16="http://schemas.microsoft.com/office/drawing/2014/chart" uri="{C3380CC4-5D6E-409C-BE32-E72D297353CC}">
              <c16:uniqueId val="{00000002-7B95-4F6B-A15D-A3ABC9E36D0E}"/>
            </c:ext>
          </c:extLst>
        </c:ser>
        <c:ser>
          <c:idx val="3"/>
          <c:order val="3"/>
          <c:tx>
            <c:strRef>
              <c:f>Sheet6!$F$51</c:f>
              <c:strCache>
                <c:ptCount val="1"/>
                <c:pt idx="0">
                  <c:v>West</c:v>
                </c:pt>
              </c:strCache>
            </c:strRef>
          </c:tx>
          <c:spPr>
            <a:solidFill>
              <a:schemeClr val="accent4"/>
            </a:solidFill>
            <a:ln>
              <a:solidFill>
                <a:schemeClr val="tx1"/>
              </a:solidFill>
            </a:ln>
            <a:effectLst/>
            <a:sp3d/>
          </c:spPr>
          <c:cat>
            <c:strRef>
              <c:f>Sheet6!$B$52:$B$58</c:f>
              <c:strCache>
                <c:ptCount val="7"/>
                <c:pt idx="0">
                  <c:v>TE2014-15</c:v>
                </c:pt>
                <c:pt idx="1">
                  <c:v>TE2015-16</c:v>
                </c:pt>
                <c:pt idx="2">
                  <c:v>TE2016-17</c:v>
                </c:pt>
                <c:pt idx="3">
                  <c:v>TE2017-18</c:v>
                </c:pt>
                <c:pt idx="4">
                  <c:v>TE2018-19</c:v>
                </c:pt>
                <c:pt idx="5">
                  <c:v>TE2019-20</c:v>
                </c:pt>
                <c:pt idx="6">
                  <c:v>TE2020-21</c:v>
                </c:pt>
              </c:strCache>
            </c:strRef>
          </c:cat>
          <c:val>
            <c:numRef>
              <c:f>Sheet6!$F$52:$F$58</c:f>
              <c:numCache>
                <c:formatCode>0.00</c:formatCode>
                <c:ptCount val="7"/>
                <c:pt idx="0">
                  <c:v>3.8437895333333301</c:v>
                </c:pt>
                <c:pt idx="1">
                  <c:v>4.1078961100000004</c:v>
                </c:pt>
                <c:pt idx="2">
                  <c:v>3.95882282</c:v>
                </c:pt>
                <c:pt idx="3">
                  <c:v>4.65517832666667</c:v>
                </c:pt>
                <c:pt idx="4">
                  <c:v>6.6007208933333299</c:v>
                </c:pt>
                <c:pt idx="5">
                  <c:v>9.2026486500000004</c:v>
                </c:pt>
                <c:pt idx="6">
                  <c:v>11.214530676666699</c:v>
                </c:pt>
              </c:numCache>
            </c:numRef>
          </c:val>
          <c:extLst>
            <c:ext xmlns:c16="http://schemas.microsoft.com/office/drawing/2014/chart" uri="{C3380CC4-5D6E-409C-BE32-E72D297353CC}">
              <c16:uniqueId val="{00000003-7B95-4F6B-A15D-A3ABC9E36D0E}"/>
            </c:ext>
          </c:extLst>
        </c:ser>
        <c:ser>
          <c:idx val="4"/>
          <c:order val="4"/>
          <c:tx>
            <c:strRef>
              <c:f>Sheet6!$G$51</c:f>
              <c:strCache>
                <c:ptCount val="1"/>
                <c:pt idx="0">
                  <c:v>Cental</c:v>
                </c:pt>
              </c:strCache>
            </c:strRef>
          </c:tx>
          <c:spPr>
            <a:solidFill>
              <a:schemeClr val="accent5"/>
            </a:solidFill>
            <a:ln>
              <a:solidFill>
                <a:schemeClr val="tx1"/>
              </a:solidFill>
            </a:ln>
            <a:effectLst/>
            <a:sp3d/>
          </c:spPr>
          <c:cat>
            <c:strRef>
              <c:f>Sheet6!$B$52:$B$58</c:f>
              <c:strCache>
                <c:ptCount val="7"/>
                <c:pt idx="0">
                  <c:v>TE2014-15</c:v>
                </c:pt>
                <c:pt idx="1">
                  <c:v>TE2015-16</c:v>
                </c:pt>
                <c:pt idx="2">
                  <c:v>TE2016-17</c:v>
                </c:pt>
                <c:pt idx="3">
                  <c:v>TE2017-18</c:v>
                </c:pt>
                <c:pt idx="4">
                  <c:v>TE2018-19</c:v>
                </c:pt>
                <c:pt idx="5">
                  <c:v>TE2019-20</c:v>
                </c:pt>
                <c:pt idx="6">
                  <c:v>TE2020-21</c:v>
                </c:pt>
              </c:strCache>
            </c:strRef>
          </c:cat>
          <c:val>
            <c:numRef>
              <c:f>Sheet6!$G$52:$G$58</c:f>
              <c:numCache>
                <c:formatCode>0.00</c:formatCode>
                <c:ptCount val="7"/>
                <c:pt idx="0">
                  <c:v>3.8386033500000001</c:v>
                </c:pt>
                <c:pt idx="1">
                  <c:v>3.6565478633333299</c:v>
                </c:pt>
                <c:pt idx="2">
                  <c:v>3.6412633166666701</c:v>
                </c:pt>
                <c:pt idx="3">
                  <c:v>4.4927464133333297</c:v>
                </c:pt>
                <c:pt idx="4">
                  <c:v>5.7652291933333304</c:v>
                </c:pt>
                <c:pt idx="5">
                  <c:v>7.7635679399999997</c:v>
                </c:pt>
                <c:pt idx="6">
                  <c:v>10.533950876666699</c:v>
                </c:pt>
              </c:numCache>
            </c:numRef>
          </c:val>
          <c:extLst>
            <c:ext xmlns:c16="http://schemas.microsoft.com/office/drawing/2014/chart" uri="{C3380CC4-5D6E-409C-BE32-E72D297353CC}">
              <c16:uniqueId val="{00000004-7B95-4F6B-A15D-A3ABC9E36D0E}"/>
            </c:ext>
          </c:extLst>
        </c:ser>
        <c:ser>
          <c:idx val="5"/>
          <c:order val="5"/>
          <c:tx>
            <c:strRef>
              <c:f>Sheet6!$H$51</c:f>
              <c:strCache>
                <c:ptCount val="1"/>
                <c:pt idx="0">
                  <c:v>North East</c:v>
                </c:pt>
              </c:strCache>
            </c:strRef>
          </c:tx>
          <c:spPr>
            <a:solidFill>
              <a:schemeClr val="accent6"/>
            </a:solidFill>
            <a:ln>
              <a:solidFill>
                <a:schemeClr val="tx1"/>
              </a:solidFill>
            </a:ln>
            <a:effectLst/>
            <a:sp3d/>
          </c:spPr>
          <c:cat>
            <c:strRef>
              <c:f>Sheet6!$B$52:$B$58</c:f>
              <c:strCache>
                <c:ptCount val="7"/>
                <c:pt idx="0">
                  <c:v>TE2014-15</c:v>
                </c:pt>
                <c:pt idx="1">
                  <c:v>TE2015-16</c:v>
                </c:pt>
                <c:pt idx="2">
                  <c:v>TE2016-17</c:v>
                </c:pt>
                <c:pt idx="3">
                  <c:v>TE2017-18</c:v>
                </c:pt>
                <c:pt idx="4">
                  <c:v>TE2018-19</c:v>
                </c:pt>
                <c:pt idx="5">
                  <c:v>TE2019-20</c:v>
                </c:pt>
                <c:pt idx="6">
                  <c:v>TE2020-21</c:v>
                </c:pt>
              </c:strCache>
            </c:strRef>
          </c:cat>
          <c:val>
            <c:numRef>
              <c:f>Sheet6!$H$52:$H$58</c:f>
              <c:numCache>
                <c:formatCode>0.00</c:formatCode>
                <c:ptCount val="7"/>
                <c:pt idx="0">
                  <c:v>8.2131979999999993E-2</c:v>
                </c:pt>
                <c:pt idx="1">
                  <c:v>9.9585660000000006E-2</c:v>
                </c:pt>
                <c:pt idx="2">
                  <c:v>0.18854459666666701</c:v>
                </c:pt>
                <c:pt idx="3">
                  <c:v>0.34039519666666701</c:v>
                </c:pt>
                <c:pt idx="4">
                  <c:v>0.43727670666666701</c:v>
                </c:pt>
                <c:pt idx="5">
                  <c:v>0.40869140999999998</c:v>
                </c:pt>
                <c:pt idx="6">
                  <c:v>0.35832357666666698</c:v>
                </c:pt>
              </c:numCache>
            </c:numRef>
          </c:val>
          <c:extLst>
            <c:ext xmlns:c16="http://schemas.microsoft.com/office/drawing/2014/chart" uri="{C3380CC4-5D6E-409C-BE32-E72D297353CC}">
              <c16:uniqueId val="{00000005-7B95-4F6B-A15D-A3ABC9E36D0E}"/>
            </c:ext>
          </c:extLst>
        </c:ser>
        <c:dLbls>
          <c:showLegendKey val="0"/>
          <c:showVal val="0"/>
          <c:showCatName val="0"/>
          <c:showSerName val="0"/>
          <c:showPercent val="0"/>
          <c:showBubbleSize val="0"/>
        </c:dLbls>
        <c:axId val="108635648"/>
        <c:axId val="150175040"/>
      </c:areaChart>
      <c:catAx>
        <c:axId val="108635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vert="horz"/>
          <a:lstStyle/>
          <a:p>
            <a:pPr>
              <a:defRPr/>
            </a:pPr>
            <a:endParaRPr lang="en-US"/>
          </a:p>
        </c:txPr>
        <c:crossAx val="150175040"/>
        <c:crosses val="autoZero"/>
        <c:auto val="1"/>
        <c:lblAlgn val="ctr"/>
        <c:lblOffset val="100"/>
        <c:noMultiLvlLbl val="0"/>
      </c:catAx>
      <c:valAx>
        <c:axId val="150175040"/>
        <c:scaling>
          <c:orientation val="minMax"/>
        </c:scaling>
        <c:delete val="0"/>
        <c:axPos val="l"/>
        <c:majorGridlines>
          <c:spPr>
            <a:ln w="9525" cap="flat" cmpd="sng" algn="ctr">
              <a:noFill/>
              <a:prstDash val="solid"/>
              <a:round/>
            </a:ln>
            <a:effectLst/>
          </c:spPr>
        </c:majorGridlines>
        <c:title>
          <c:tx>
            <c:rich>
              <a:bodyPr rot="-5400000" vert="horz"/>
              <a:lstStyle/>
              <a:p>
                <a:pPr>
                  <a:defRPr b="1"/>
                </a:pPr>
                <a:r>
                  <a:rPr lang="en-IN" b="1"/>
                  <a:t>Production (lakh tonnes)</a:t>
                </a:r>
              </a:p>
            </c:rich>
          </c:tx>
          <c:overlay val="0"/>
        </c:title>
        <c:numFmt formatCode="0.00" sourceLinked="1"/>
        <c:majorTickMark val="none"/>
        <c:minorTickMark val="none"/>
        <c:tickLblPos val="nextTo"/>
        <c:spPr>
          <a:noFill/>
          <a:ln w="9525" cap="flat" cmpd="sng" algn="ctr">
            <a:noFill/>
            <a:prstDash val="solid"/>
            <a:round/>
          </a:ln>
          <a:effectLst/>
        </c:spPr>
        <c:txPr>
          <a:bodyPr rot="-60000000" vert="horz"/>
          <a:lstStyle/>
          <a:p>
            <a:pPr>
              <a:defRPr/>
            </a:pPr>
            <a:endParaRPr lang="en-US"/>
          </a:p>
        </c:txPr>
        <c:crossAx val="108635648"/>
        <c:crosses val="autoZero"/>
        <c:crossBetween val="midCat"/>
      </c:valAx>
      <c:spPr>
        <a:noFill/>
        <a:ln>
          <a:solidFill>
            <a:schemeClr val="tx1"/>
          </a:solidFill>
        </a:ln>
        <a:effectLst/>
      </c:spPr>
    </c:plotArea>
    <c:legend>
      <c:legendPos val="b"/>
      <c:layout>
        <c:manualLayout>
          <c:xMode val="edge"/>
          <c:yMode val="edge"/>
          <c:x val="0.13747749809641599"/>
          <c:y val="0.89212146622594801"/>
          <c:w val="0.80433048859390099"/>
          <c:h val="7.4802968885258406E-2"/>
        </c:manualLayout>
      </c:layout>
      <c:overlay val="0"/>
      <c:spPr>
        <a:noFill/>
        <a:ln>
          <a:noFill/>
        </a:ln>
        <a:effectLst/>
      </c:spPr>
      <c:txPr>
        <a:bodyPr rot="0" vert="horz"/>
        <a:lstStyle/>
        <a:p>
          <a:pPr>
            <a:defRPr/>
          </a:pPr>
          <a:endParaRPr lang="en-US"/>
        </a:p>
      </c:txPr>
    </c:legend>
    <c:plotVisOnly val="1"/>
    <c:dispBlanksAs val="zero"/>
    <c:showDLblsOverMax val="0"/>
  </c:chart>
  <c:spPr>
    <a:solidFill>
      <a:schemeClr val="bg1"/>
    </a:solidFill>
    <a:ln w="9525" cap="flat" cmpd="sng" algn="ctr">
      <a:noFill/>
      <a:prstDash val="solid"/>
      <a:round/>
    </a:ln>
    <a:effectLst/>
  </c:spPr>
  <c:txPr>
    <a:bodyPr/>
    <a:lstStyle/>
    <a:p>
      <a:pPr>
        <a:defRPr lang="en-US" b="0">
          <a:latin typeface="Times New Roman" panose="02020603050405020304" charset="0"/>
          <a:cs typeface="Times New Roman" panose="02020603050405020304"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5707823756099"/>
          <c:y val="5.1400554097404502E-2"/>
          <c:w val="0.66430676096744135"/>
          <c:h val="0.83261956838728501"/>
        </c:manualLayout>
      </c:layout>
      <c:areaChart>
        <c:grouping val="stacked"/>
        <c:varyColors val="0"/>
        <c:ser>
          <c:idx val="0"/>
          <c:order val="0"/>
          <c:tx>
            <c:strRef>
              <c:f>Sheet8!$M$7</c:f>
              <c:strCache>
                <c:ptCount val="1"/>
                <c:pt idx="0">
                  <c:v>Oil Seeds</c:v>
                </c:pt>
              </c:strCache>
            </c:strRef>
          </c:tx>
          <c:spPr>
            <a:solidFill>
              <a:schemeClr val="accent6"/>
            </a:solidFill>
            <a:ln>
              <a:noFill/>
            </a:ln>
            <a:effectLst/>
          </c:spPr>
          <c:cat>
            <c:strRef>
              <c:f>Sheet8!$N$6:$R$6</c:f>
              <c:strCache>
                <c:ptCount val="5"/>
                <c:pt idx="0">
                  <c:v>TE2016-17</c:v>
                </c:pt>
                <c:pt idx="1">
                  <c:v>TE2017-18</c:v>
                </c:pt>
                <c:pt idx="2">
                  <c:v>TE2018-19</c:v>
                </c:pt>
                <c:pt idx="3">
                  <c:v>TE2019-20</c:v>
                </c:pt>
                <c:pt idx="4">
                  <c:v>TE2020-21</c:v>
                </c:pt>
              </c:strCache>
            </c:strRef>
          </c:cat>
          <c:val>
            <c:numRef>
              <c:f>Sheet8!$N$7:$R$7</c:f>
              <c:numCache>
                <c:formatCode>0</c:formatCode>
                <c:ptCount val="5"/>
                <c:pt idx="0">
                  <c:v>260078.679</c:v>
                </c:pt>
                <c:pt idx="1">
                  <c:v>363643.91800000001</c:v>
                </c:pt>
                <c:pt idx="2">
                  <c:v>521994.64466666698</c:v>
                </c:pt>
                <c:pt idx="3">
                  <c:v>778481.25166666706</c:v>
                </c:pt>
                <c:pt idx="4">
                  <c:v>883362.892666667</c:v>
                </c:pt>
              </c:numCache>
            </c:numRef>
          </c:val>
          <c:extLst>
            <c:ext xmlns:c16="http://schemas.microsoft.com/office/drawing/2014/chart" uri="{C3380CC4-5D6E-409C-BE32-E72D297353CC}">
              <c16:uniqueId val="{00000000-FD62-4ABE-862A-BE42C75BEFB2}"/>
            </c:ext>
          </c:extLst>
        </c:ser>
        <c:ser>
          <c:idx val="1"/>
          <c:order val="1"/>
          <c:tx>
            <c:strRef>
              <c:f>Sheet8!$M$8</c:f>
              <c:strCache>
                <c:ptCount val="1"/>
                <c:pt idx="0">
                  <c:v>Sugar crop</c:v>
                </c:pt>
              </c:strCache>
            </c:strRef>
          </c:tx>
          <c:spPr>
            <a:solidFill>
              <a:schemeClr val="accent5"/>
            </a:solidFill>
            <a:ln>
              <a:noFill/>
            </a:ln>
            <a:effectLst/>
          </c:spPr>
          <c:cat>
            <c:strRef>
              <c:f>Sheet8!$N$6:$R$6</c:f>
              <c:strCache>
                <c:ptCount val="5"/>
                <c:pt idx="0">
                  <c:v>TE2016-17</c:v>
                </c:pt>
                <c:pt idx="1">
                  <c:v>TE2017-18</c:v>
                </c:pt>
                <c:pt idx="2">
                  <c:v>TE2018-19</c:v>
                </c:pt>
                <c:pt idx="3">
                  <c:v>TE2019-20</c:v>
                </c:pt>
                <c:pt idx="4">
                  <c:v>TE2020-21</c:v>
                </c:pt>
              </c:strCache>
            </c:strRef>
          </c:cat>
          <c:val>
            <c:numRef>
              <c:f>Sheet8!$N$8:$R$8</c:f>
              <c:numCache>
                <c:formatCode>0</c:formatCode>
                <c:ptCount val="5"/>
                <c:pt idx="0">
                  <c:v>384072.463666667</c:v>
                </c:pt>
                <c:pt idx="1">
                  <c:v>407012.32549999998</c:v>
                </c:pt>
                <c:pt idx="2">
                  <c:v>636650.21050000004</c:v>
                </c:pt>
                <c:pt idx="3">
                  <c:v>663717.28249999997</c:v>
                </c:pt>
                <c:pt idx="4">
                  <c:v>708354.05500000005</c:v>
                </c:pt>
              </c:numCache>
            </c:numRef>
          </c:val>
          <c:extLst>
            <c:ext xmlns:c16="http://schemas.microsoft.com/office/drawing/2014/chart" uri="{C3380CC4-5D6E-409C-BE32-E72D297353CC}">
              <c16:uniqueId val="{00000001-FD62-4ABE-862A-BE42C75BEFB2}"/>
            </c:ext>
          </c:extLst>
        </c:ser>
        <c:ser>
          <c:idx val="2"/>
          <c:order val="2"/>
          <c:tx>
            <c:strRef>
              <c:f>Sheet8!$M$9</c:f>
              <c:strCache>
                <c:ptCount val="1"/>
                <c:pt idx="0">
                  <c:v>Fibre Crops</c:v>
                </c:pt>
              </c:strCache>
            </c:strRef>
          </c:tx>
          <c:spPr>
            <a:solidFill>
              <a:schemeClr val="accent4"/>
            </a:solidFill>
            <a:ln>
              <a:noFill/>
            </a:ln>
            <a:effectLst/>
          </c:spPr>
          <c:cat>
            <c:strRef>
              <c:f>Sheet8!$N$6:$R$6</c:f>
              <c:strCache>
                <c:ptCount val="5"/>
                <c:pt idx="0">
                  <c:v>TE2016-17</c:v>
                </c:pt>
                <c:pt idx="1">
                  <c:v>TE2017-18</c:v>
                </c:pt>
                <c:pt idx="2">
                  <c:v>TE2018-19</c:v>
                </c:pt>
                <c:pt idx="3">
                  <c:v>TE2019-20</c:v>
                </c:pt>
                <c:pt idx="4">
                  <c:v>TE2020-21</c:v>
                </c:pt>
              </c:strCache>
            </c:strRef>
          </c:cat>
          <c:val>
            <c:numRef>
              <c:f>Sheet8!$N$9:$R$9</c:f>
              <c:numCache>
                <c:formatCode>0</c:formatCode>
                <c:ptCount val="5"/>
                <c:pt idx="0">
                  <c:v>175892.70633333299</c:v>
                </c:pt>
                <c:pt idx="1">
                  <c:v>188728.216333333</c:v>
                </c:pt>
                <c:pt idx="2">
                  <c:v>238802.74966666699</c:v>
                </c:pt>
                <c:pt idx="3">
                  <c:v>299021.94500000001</c:v>
                </c:pt>
                <c:pt idx="4">
                  <c:v>486878.558333333</c:v>
                </c:pt>
              </c:numCache>
            </c:numRef>
          </c:val>
          <c:extLst>
            <c:ext xmlns:c16="http://schemas.microsoft.com/office/drawing/2014/chart" uri="{C3380CC4-5D6E-409C-BE32-E72D297353CC}">
              <c16:uniqueId val="{00000002-FD62-4ABE-862A-BE42C75BEFB2}"/>
            </c:ext>
          </c:extLst>
        </c:ser>
        <c:ser>
          <c:idx val="3"/>
          <c:order val="3"/>
          <c:tx>
            <c:strRef>
              <c:f>Sheet8!$M$10</c:f>
              <c:strCache>
                <c:ptCount val="1"/>
                <c:pt idx="0">
                  <c:v>Cereals &amp; Millets</c:v>
                </c:pt>
              </c:strCache>
            </c:strRef>
          </c:tx>
          <c:spPr>
            <a:solidFill>
              <a:schemeClr val="accent6">
                <a:lumMod val="60000"/>
              </a:schemeClr>
            </a:solidFill>
            <a:ln>
              <a:noFill/>
            </a:ln>
            <a:effectLst/>
          </c:spPr>
          <c:cat>
            <c:strRef>
              <c:f>Sheet8!$N$6:$R$6</c:f>
              <c:strCache>
                <c:ptCount val="5"/>
                <c:pt idx="0">
                  <c:v>TE2016-17</c:v>
                </c:pt>
                <c:pt idx="1">
                  <c:v>TE2017-18</c:v>
                </c:pt>
                <c:pt idx="2">
                  <c:v>TE2018-19</c:v>
                </c:pt>
                <c:pt idx="3">
                  <c:v>TE2019-20</c:v>
                </c:pt>
                <c:pt idx="4">
                  <c:v>TE2020-21</c:v>
                </c:pt>
              </c:strCache>
            </c:strRef>
          </c:cat>
          <c:val>
            <c:numRef>
              <c:f>Sheet8!$N$10:$R$10</c:f>
              <c:numCache>
                <c:formatCode>0</c:formatCode>
                <c:ptCount val="5"/>
                <c:pt idx="0">
                  <c:v>186952.495666667</c:v>
                </c:pt>
                <c:pt idx="1">
                  <c:v>228557.34233333301</c:v>
                </c:pt>
                <c:pt idx="2">
                  <c:v>249866.982333333</c:v>
                </c:pt>
                <c:pt idx="3">
                  <c:v>275194.33500000002</c:v>
                </c:pt>
                <c:pt idx="4">
                  <c:v>287424.85833333299</c:v>
                </c:pt>
              </c:numCache>
            </c:numRef>
          </c:val>
          <c:extLst>
            <c:ext xmlns:c16="http://schemas.microsoft.com/office/drawing/2014/chart" uri="{C3380CC4-5D6E-409C-BE32-E72D297353CC}">
              <c16:uniqueId val="{00000003-FD62-4ABE-862A-BE42C75BEFB2}"/>
            </c:ext>
          </c:extLst>
        </c:ser>
        <c:ser>
          <c:idx val="4"/>
          <c:order val="4"/>
          <c:tx>
            <c:strRef>
              <c:f>Sheet8!$M$11</c:f>
              <c:strCache>
                <c:ptCount val="1"/>
                <c:pt idx="0">
                  <c:v>Pulse, Spices and  M&amp;A</c:v>
                </c:pt>
              </c:strCache>
            </c:strRef>
          </c:tx>
          <c:spPr>
            <a:solidFill>
              <a:schemeClr val="accent5">
                <a:lumMod val="60000"/>
              </a:schemeClr>
            </a:solidFill>
            <a:ln>
              <a:noFill/>
            </a:ln>
            <a:effectLst/>
          </c:spPr>
          <c:cat>
            <c:strRef>
              <c:f>Sheet8!$N$6:$R$6</c:f>
              <c:strCache>
                <c:ptCount val="5"/>
                <c:pt idx="0">
                  <c:v>TE2016-17</c:v>
                </c:pt>
                <c:pt idx="1">
                  <c:v>TE2017-18</c:v>
                </c:pt>
                <c:pt idx="2">
                  <c:v>TE2018-19</c:v>
                </c:pt>
                <c:pt idx="3">
                  <c:v>TE2019-20</c:v>
                </c:pt>
                <c:pt idx="4">
                  <c:v>TE2020-21</c:v>
                </c:pt>
              </c:strCache>
            </c:strRef>
          </c:cat>
          <c:val>
            <c:numRef>
              <c:f>Sheet8!$N$11:$R$11</c:f>
              <c:numCache>
                <c:formatCode>0</c:formatCode>
                <c:ptCount val="5"/>
                <c:pt idx="0">
                  <c:v>104912.142666667</c:v>
                </c:pt>
                <c:pt idx="1">
                  <c:v>129476.602</c:v>
                </c:pt>
                <c:pt idx="2">
                  <c:v>154791.585333333</c:v>
                </c:pt>
                <c:pt idx="3">
                  <c:v>178168.126666667</c:v>
                </c:pt>
                <c:pt idx="4">
                  <c:v>217216.017333333</c:v>
                </c:pt>
              </c:numCache>
            </c:numRef>
          </c:val>
          <c:extLst>
            <c:ext xmlns:c16="http://schemas.microsoft.com/office/drawing/2014/chart" uri="{C3380CC4-5D6E-409C-BE32-E72D297353CC}">
              <c16:uniqueId val="{00000004-FD62-4ABE-862A-BE42C75BEFB2}"/>
            </c:ext>
          </c:extLst>
        </c:ser>
        <c:ser>
          <c:idx val="5"/>
          <c:order val="5"/>
          <c:tx>
            <c:strRef>
              <c:f>Sheet8!$M$12</c:f>
              <c:strCache>
                <c:ptCount val="1"/>
                <c:pt idx="0">
                  <c:v>Others</c:v>
                </c:pt>
              </c:strCache>
            </c:strRef>
          </c:tx>
          <c:spPr>
            <a:solidFill>
              <a:schemeClr val="accent4">
                <a:lumMod val="60000"/>
              </a:schemeClr>
            </a:solidFill>
            <a:ln>
              <a:noFill/>
            </a:ln>
            <a:effectLst/>
          </c:spPr>
          <c:cat>
            <c:strRef>
              <c:f>Sheet8!$N$6:$R$6</c:f>
              <c:strCache>
                <c:ptCount val="5"/>
                <c:pt idx="0">
                  <c:v>TE2016-17</c:v>
                </c:pt>
                <c:pt idx="1">
                  <c:v>TE2017-18</c:v>
                </c:pt>
                <c:pt idx="2">
                  <c:v>TE2018-19</c:v>
                </c:pt>
                <c:pt idx="3">
                  <c:v>TE2019-20</c:v>
                </c:pt>
                <c:pt idx="4">
                  <c:v>TE2020-21</c:v>
                </c:pt>
              </c:strCache>
            </c:strRef>
          </c:cat>
          <c:val>
            <c:numRef>
              <c:f>Sheet8!$N$12:$R$12</c:f>
              <c:numCache>
                <c:formatCode>0</c:formatCode>
                <c:ptCount val="5"/>
                <c:pt idx="0">
                  <c:v>93476.158333333296</c:v>
                </c:pt>
                <c:pt idx="1">
                  <c:v>108353.01700000001</c:v>
                </c:pt>
                <c:pt idx="2">
                  <c:v>121325.92466666699</c:v>
                </c:pt>
                <c:pt idx="3">
                  <c:v>141903.12733333299</c:v>
                </c:pt>
                <c:pt idx="4">
                  <c:v>163792.81649999999</c:v>
                </c:pt>
              </c:numCache>
            </c:numRef>
          </c:val>
          <c:extLst>
            <c:ext xmlns:c16="http://schemas.microsoft.com/office/drawing/2014/chart" uri="{C3380CC4-5D6E-409C-BE32-E72D297353CC}">
              <c16:uniqueId val="{00000005-FD62-4ABE-862A-BE42C75BEFB2}"/>
            </c:ext>
          </c:extLst>
        </c:ser>
        <c:dLbls>
          <c:showLegendKey val="0"/>
          <c:showVal val="0"/>
          <c:showCatName val="0"/>
          <c:showSerName val="0"/>
          <c:showPercent val="0"/>
          <c:showBubbleSize val="0"/>
        </c:dLbls>
        <c:axId val="124662784"/>
        <c:axId val="150328960"/>
      </c:areaChart>
      <c:catAx>
        <c:axId val="124662784"/>
        <c:scaling>
          <c:orientation val="minMax"/>
        </c:scaling>
        <c:delete val="0"/>
        <c:axPos val="b"/>
        <c:numFmt formatCode="General" sourceLinked="0"/>
        <c:majorTickMark val="out"/>
        <c:minorTickMark val="none"/>
        <c:tickLblPos val="nextTo"/>
        <c:spPr>
          <a:noFill/>
          <a:ln w="6350" cap="flat" cmpd="sng" algn="ctr">
            <a:solidFill>
              <a:schemeClr val="tx1">
                <a:tint val="75000"/>
              </a:schemeClr>
            </a:solidFill>
            <a:prstDash val="solid"/>
            <a:round/>
          </a:ln>
          <a:effectLst/>
        </c:spPr>
        <c:txPr>
          <a:bodyPr rot="0" spcFirstLastPara="1" vertOverflow="ellipsis"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50328960"/>
        <c:crosses val="autoZero"/>
        <c:auto val="1"/>
        <c:lblAlgn val="ctr"/>
        <c:lblOffset val="100"/>
        <c:noMultiLvlLbl val="0"/>
      </c:catAx>
      <c:valAx>
        <c:axId val="150328960"/>
        <c:scaling>
          <c:orientation val="minMax"/>
        </c:scaling>
        <c:delete val="0"/>
        <c:axPos val="l"/>
        <c:majorGridlines>
          <c:spPr>
            <a:ln w="9525" cap="flat" cmpd="sng" algn="ctr">
              <a:noFill/>
              <a:prstDash val="solid"/>
              <a:round/>
            </a:ln>
            <a:effectLst/>
          </c:spPr>
        </c:majorGridlines>
        <c:title>
          <c:tx>
            <c:rich>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0"/>
                  <a:t>Production (tonnes)</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0" sourceLinked="1"/>
        <c:majorTickMark val="out"/>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4662784"/>
        <c:crosses val="autoZero"/>
        <c:crossBetween val="midCat"/>
      </c:valAx>
      <c:spPr>
        <a:solidFill>
          <a:schemeClr val="bg1"/>
        </a:solidFill>
        <a:ln>
          <a:solidFill>
            <a:schemeClr val="tx1"/>
          </a:solidFill>
        </a:ln>
        <a:effectLst/>
      </c:spPr>
    </c:plotArea>
    <c:legend>
      <c:legendPos val="r"/>
      <c:layout>
        <c:manualLayout>
          <c:xMode val="edge"/>
          <c:yMode val="edge"/>
          <c:x val="0.81850005194632858"/>
          <c:y val="8.3830927384077006E-2"/>
          <c:w val="0.16736565762742348"/>
          <c:h val="0.78141221930592009"/>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bg1"/>
    </a:solidFill>
    <a:ln w="9525" cap="flat" cmpd="sng" algn="ctr">
      <a:noFill/>
      <a:prstDash val="solid"/>
      <a:round/>
    </a:ln>
    <a:effectLst/>
  </c:spPr>
  <c:txPr>
    <a:bodyPr/>
    <a:lstStyle/>
    <a:p>
      <a:pPr>
        <a:defRPr lang="en-US">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378856331483151E-2"/>
          <c:y val="5.7894736842105263E-2"/>
          <c:w val="0.85232425455014826"/>
          <c:h val="0.81463331273907957"/>
        </c:manualLayout>
      </c:layout>
      <c:barChart>
        <c:barDir val="col"/>
        <c:grouping val="clustered"/>
        <c:varyColors val="0"/>
        <c:ser>
          <c:idx val="0"/>
          <c:order val="0"/>
          <c:tx>
            <c:strRef>
              <c:f>Global!$C$2</c:f>
              <c:strCache>
                <c:ptCount val="1"/>
                <c:pt idx="0">
                  <c:v>area (mha)</c:v>
                </c:pt>
              </c:strCache>
            </c:strRef>
          </c:tx>
          <c:spPr>
            <a:solidFill>
              <a:schemeClr val="accent6">
                <a:lumMod val="75000"/>
              </a:schemeClr>
            </a:solidFill>
            <a:ln w="15875">
              <a:solidFill>
                <a:schemeClr val="tx1"/>
              </a:solidFill>
            </a:ln>
            <a:effectLst/>
          </c:spPr>
          <c:invertIfNegative val="0"/>
          <c:cat>
            <c:numRef>
              <c:f>Global!$B$3:$B$23</c:f>
              <c:numCache>
                <c:formatCode>General</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Global!$C$3:$C$23</c:f>
              <c:numCache>
                <c:formatCode>General</c:formatCode>
                <c:ptCount val="21"/>
                <c:pt idx="0">
                  <c:v>11</c:v>
                </c:pt>
                <c:pt idx="1">
                  <c:v>15</c:v>
                </c:pt>
                <c:pt idx="2">
                  <c:v>17.3</c:v>
                </c:pt>
                <c:pt idx="3">
                  <c:v>19.899999999999999</c:v>
                </c:pt>
                <c:pt idx="4">
                  <c:v>25.8</c:v>
                </c:pt>
                <c:pt idx="5">
                  <c:v>30</c:v>
                </c:pt>
                <c:pt idx="6">
                  <c:v>29.2</c:v>
                </c:pt>
                <c:pt idx="7">
                  <c:v>30.2</c:v>
                </c:pt>
                <c:pt idx="8">
                  <c:v>31.5</c:v>
                </c:pt>
                <c:pt idx="9">
                  <c:v>24.5</c:v>
                </c:pt>
                <c:pt idx="10">
                  <c:v>36.299999999999997</c:v>
                </c:pt>
                <c:pt idx="11">
                  <c:v>35.700000000000003</c:v>
                </c:pt>
                <c:pt idx="12">
                  <c:v>36.700000000000003</c:v>
                </c:pt>
                <c:pt idx="13">
                  <c:v>36.799999999999997</c:v>
                </c:pt>
                <c:pt idx="14">
                  <c:v>43.1</c:v>
                </c:pt>
                <c:pt idx="15">
                  <c:v>48.7</c:v>
                </c:pt>
                <c:pt idx="16">
                  <c:v>50.4</c:v>
                </c:pt>
                <c:pt idx="17">
                  <c:v>58.1</c:v>
                </c:pt>
                <c:pt idx="18">
                  <c:v>69.400000000000006</c:v>
                </c:pt>
                <c:pt idx="19">
                  <c:v>71.2</c:v>
                </c:pt>
                <c:pt idx="20">
                  <c:v>72.3</c:v>
                </c:pt>
              </c:numCache>
            </c:numRef>
          </c:val>
          <c:extLst>
            <c:ext xmlns:c16="http://schemas.microsoft.com/office/drawing/2014/chart" uri="{C3380CC4-5D6E-409C-BE32-E72D297353CC}">
              <c16:uniqueId val="{00000000-3123-4EE3-BB8A-ED6EE86AA105}"/>
            </c:ext>
          </c:extLst>
        </c:ser>
        <c:dLbls>
          <c:showLegendKey val="0"/>
          <c:showVal val="0"/>
          <c:showCatName val="0"/>
          <c:showSerName val="0"/>
          <c:showPercent val="0"/>
          <c:showBubbleSize val="0"/>
        </c:dLbls>
        <c:gapWidth val="219"/>
        <c:axId val="192439624"/>
        <c:axId val="192441584"/>
      </c:barChart>
      <c:lineChart>
        <c:grouping val="standard"/>
        <c:varyColors val="0"/>
        <c:ser>
          <c:idx val="1"/>
          <c:order val="1"/>
          <c:tx>
            <c:strRef>
              <c:f>Global!$D$2</c:f>
              <c:strCache>
                <c:ptCount val="1"/>
                <c:pt idx="0">
                  <c:v>organic share %</c:v>
                </c:pt>
              </c:strCache>
            </c:strRef>
          </c:tx>
          <c:spPr>
            <a:ln w="15875" cap="rnd">
              <a:solidFill>
                <a:schemeClr val="tx1"/>
              </a:solidFill>
              <a:round/>
            </a:ln>
            <a:effectLst/>
          </c:spPr>
          <c:marker>
            <c:symbol val="circle"/>
            <c:size val="4"/>
            <c:spPr>
              <a:solidFill>
                <a:schemeClr val="bg1"/>
              </a:solidFill>
              <a:ln w="9525">
                <a:solidFill>
                  <a:schemeClr val="tx1"/>
                </a:solidFill>
              </a:ln>
              <a:effectLst/>
            </c:spPr>
          </c:marker>
          <c:cat>
            <c:numRef>
              <c:f>Global!$B$3:$B$23</c:f>
              <c:numCache>
                <c:formatCode>General</c:formatCode>
                <c:ptCount val="21"/>
                <c:pt idx="0">
                  <c:v>1999</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pt idx="18">
                  <c:v>2017</c:v>
                </c:pt>
                <c:pt idx="19">
                  <c:v>2018</c:v>
                </c:pt>
                <c:pt idx="20">
                  <c:v>2019</c:v>
                </c:pt>
              </c:numCache>
            </c:numRef>
          </c:cat>
          <c:val>
            <c:numRef>
              <c:f>Global!$D$3:$D$23</c:f>
              <c:numCache>
                <c:formatCode>General</c:formatCode>
                <c:ptCount val="21"/>
                <c:pt idx="0">
                  <c:v>0.3</c:v>
                </c:pt>
                <c:pt idx="1">
                  <c:v>0.3</c:v>
                </c:pt>
                <c:pt idx="2">
                  <c:v>0.4</c:v>
                </c:pt>
                <c:pt idx="3">
                  <c:v>0.4</c:v>
                </c:pt>
                <c:pt idx="4">
                  <c:v>0.5</c:v>
                </c:pt>
                <c:pt idx="5">
                  <c:v>0.6</c:v>
                </c:pt>
                <c:pt idx="6">
                  <c:v>0.6</c:v>
                </c:pt>
                <c:pt idx="7">
                  <c:v>0.6</c:v>
                </c:pt>
                <c:pt idx="8">
                  <c:v>0.7</c:v>
                </c:pt>
                <c:pt idx="9">
                  <c:v>0.7</c:v>
                </c:pt>
                <c:pt idx="10">
                  <c:v>0.8</c:v>
                </c:pt>
                <c:pt idx="11">
                  <c:v>0.8</c:v>
                </c:pt>
                <c:pt idx="12">
                  <c:v>0.8</c:v>
                </c:pt>
                <c:pt idx="13">
                  <c:v>0.8</c:v>
                </c:pt>
                <c:pt idx="14">
                  <c:v>0.9</c:v>
                </c:pt>
                <c:pt idx="15">
                  <c:v>1</c:v>
                </c:pt>
                <c:pt idx="16">
                  <c:v>1</c:v>
                </c:pt>
                <c:pt idx="17">
                  <c:v>1.2</c:v>
                </c:pt>
                <c:pt idx="18">
                  <c:v>1.4</c:v>
                </c:pt>
                <c:pt idx="19">
                  <c:v>1.5</c:v>
                </c:pt>
                <c:pt idx="20">
                  <c:v>1.5</c:v>
                </c:pt>
              </c:numCache>
            </c:numRef>
          </c:val>
          <c:smooth val="0"/>
          <c:extLst>
            <c:ext xmlns:c16="http://schemas.microsoft.com/office/drawing/2014/chart" uri="{C3380CC4-5D6E-409C-BE32-E72D297353CC}">
              <c16:uniqueId val="{00000001-3123-4EE3-BB8A-ED6EE86AA105}"/>
            </c:ext>
          </c:extLst>
        </c:ser>
        <c:dLbls>
          <c:showLegendKey val="0"/>
          <c:showVal val="0"/>
          <c:showCatName val="0"/>
          <c:showSerName val="0"/>
          <c:showPercent val="0"/>
          <c:showBubbleSize val="0"/>
        </c:dLbls>
        <c:marker val="1"/>
        <c:smooth val="0"/>
        <c:axId val="192436488"/>
        <c:axId val="192436880"/>
      </c:lineChart>
      <c:catAx>
        <c:axId val="192439624"/>
        <c:scaling>
          <c:orientation val="minMax"/>
        </c:scaling>
        <c:delete val="0"/>
        <c:axPos val="b"/>
        <c:numFmt formatCode="General" sourceLinked="1"/>
        <c:majorTickMark val="out"/>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2441584"/>
        <c:crosses val="autoZero"/>
        <c:auto val="1"/>
        <c:lblAlgn val="ctr"/>
        <c:lblOffset val="100"/>
        <c:noMultiLvlLbl val="0"/>
      </c:catAx>
      <c:valAx>
        <c:axId val="1924415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Area in M ha</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2439624"/>
        <c:crosses val="autoZero"/>
        <c:crossBetween val="between"/>
      </c:valAx>
      <c:valAx>
        <c:axId val="192436880"/>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Area share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2436488"/>
        <c:crosses val="max"/>
        <c:crossBetween val="between"/>
      </c:valAx>
      <c:catAx>
        <c:axId val="192436488"/>
        <c:scaling>
          <c:orientation val="minMax"/>
        </c:scaling>
        <c:delete val="1"/>
        <c:axPos val="b"/>
        <c:numFmt formatCode="General" sourceLinked="1"/>
        <c:majorTickMark val="out"/>
        <c:minorTickMark val="none"/>
        <c:tickLblPos val="nextTo"/>
        <c:crossAx val="192436880"/>
        <c:crosses val="autoZero"/>
        <c:auto val="1"/>
        <c:lblAlgn val="ctr"/>
        <c:lblOffset val="100"/>
        <c:noMultiLvlLbl val="0"/>
      </c:catAx>
      <c:spPr>
        <a:noFill/>
        <a:ln w="9525">
          <a:solidFill>
            <a:schemeClr val="tx1"/>
          </a:solidFill>
        </a:ln>
        <a:effectLst/>
      </c:spPr>
    </c:plotArea>
    <c:legend>
      <c:legendPos val="t"/>
      <c:layout>
        <c:manualLayout>
          <c:xMode val="edge"/>
          <c:yMode val="edge"/>
          <c:x val="0.29932601867389524"/>
          <c:y val="9.4736842105263161E-2"/>
          <c:w val="0.37903419751823675"/>
          <c:h val="8.8288004066269674E-2"/>
        </c:manualLayout>
      </c:layout>
      <c:overlay val="1"/>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79410710254813"/>
          <c:y val="1.7757226655392911E-2"/>
          <c:w val="0.47344017916816045"/>
          <c:h val="0.9421141820359703"/>
        </c:manualLayout>
      </c:layout>
      <c:doughnutChart>
        <c:varyColors val="1"/>
        <c:ser>
          <c:idx val="0"/>
          <c:order val="0"/>
          <c:tx>
            <c:strRef>
              <c:f>Global!$E$31</c:f>
              <c:strCache>
                <c:ptCount val="1"/>
                <c:pt idx="0">
                  <c:v>million RS</c:v>
                </c:pt>
              </c:strCache>
            </c:strRef>
          </c:tx>
          <c:spPr>
            <a:ln w="9525">
              <a:solidFill>
                <a:schemeClr val="tx1"/>
              </a:solidFill>
            </a:ln>
          </c:spPr>
          <c:explosion val="1"/>
          <c:dPt>
            <c:idx val="0"/>
            <c:bubble3D val="0"/>
            <c:spPr>
              <a:solidFill>
                <a:schemeClr val="accent2"/>
              </a:solidFill>
              <a:ln w="9525">
                <a:solidFill>
                  <a:schemeClr val="tx1"/>
                </a:solidFill>
              </a:ln>
              <a:effectLst/>
            </c:spPr>
            <c:extLst>
              <c:ext xmlns:c16="http://schemas.microsoft.com/office/drawing/2014/chart" uri="{C3380CC4-5D6E-409C-BE32-E72D297353CC}">
                <c16:uniqueId val="{00000001-2B98-4651-8469-FD53D61DFA14}"/>
              </c:ext>
            </c:extLst>
          </c:dPt>
          <c:dPt>
            <c:idx val="1"/>
            <c:bubble3D val="0"/>
            <c:spPr>
              <a:solidFill>
                <a:schemeClr val="accent4"/>
              </a:solidFill>
              <a:ln w="9525">
                <a:solidFill>
                  <a:schemeClr val="tx1"/>
                </a:solidFill>
              </a:ln>
              <a:effectLst/>
            </c:spPr>
            <c:extLst>
              <c:ext xmlns:c16="http://schemas.microsoft.com/office/drawing/2014/chart" uri="{C3380CC4-5D6E-409C-BE32-E72D297353CC}">
                <c16:uniqueId val="{00000003-2B98-4651-8469-FD53D61DFA14}"/>
              </c:ext>
            </c:extLst>
          </c:dPt>
          <c:dPt>
            <c:idx val="2"/>
            <c:bubble3D val="0"/>
            <c:spPr>
              <a:solidFill>
                <a:schemeClr val="accent6"/>
              </a:solidFill>
              <a:ln w="9525">
                <a:solidFill>
                  <a:schemeClr val="tx1"/>
                </a:solidFill>
              </a:ln>
              <a:effectLst/>
            </c:spPr>
            <c:extLst>
              <c:ext xmlns:c16="http://schemas.microsoft.com/office/drawing/2014/chart" uri="{C3380CC4-5D6E-409C-BE32-E72D297353CC}">
                <c16:uniqueId val="{00000005-2B98-4651-8469-FD53D61DFA14}"/>
              </c:ext>
            </c:extLst>
          </c:dPt>
          <c:dPt>
            <c:idx val="3"/>
            <c:bubble3D val="0"/>
            <c:spPr>
              <a:solidFill>
                <a:schemeClr val="accent2">
                  <a:lumMod val="60000"/>
                </a:schemeClr>
              </a:solidFill>
              <a:ln w="9525">
                <a:solidFill>
                  <a:schemeClr val="tx1"/>
                </a:solidFill>
              </a:ln>
              <a:effectLst/>
            </c:spPr>
            <c:extLst>
              <c:ext xmlns:c16="http://schemas.microsoft.com/office/drawing/2014/chart" uri="{C3380CC4-5D6E-409C-BE32-E72D297353CC}">
                <c16:uniqueId val="{00000007-2B98-4651-8469-FD53D61DFA14}"/>
              </c:ext>
            </c:extLst>
          </c:dPt>
          <c:dPt>
            <c:idx val="4"/>
            <c:bubble3D val="0"/>
            <c:spPr>
              <a:solidFill>
                <a:schemeClr val="accent4">
                  <a:lumMod val="60000"/>
                </a:schemeClr>
              </a:solidFill>
              <a:ln w="9525">
                <a:solidFill>
                  <a:schemeClr val="tx1"/>
                </a:solidFill>
              </a:ln>
              <a:effectLst/>
            </c:spPr>
            <c:extLst>
              <c:ext xmlns:c16="http://schemas.microsoft.com/office/drawing/2014/chart" uri="{C3380CC4-5D6E-409C-BE32-E72D297353CC}">
                <c16:uniqueId val="{00000009-2B98-4651-8469-FD53D61DFA14}"/>
              </c:ext>
            </c:extLst>
          </c:dPt>
          <c:dPt>
            <c:idx val="5"/>
            <c:bubble3D val="0"/>
            <c:spPr>
              <a:solidFill>
                <a:schemeClr val="accent6">
                  <a:lumMod val="60000"/>
                </a:schemeClr>
              </a:solidFill>
              <a:ln w="9525">
                <a:solidFill>
                  <a:schemeClr val="tx1"/>
                </a:solidFill>
              </a:ln>
              <a:effectLst/>
            </c:spPr>
            <c:extLst>
              <c:ext xmlns:c16="http://schemas.microsoft.com/office/drawing/2014/chart" uri="{C3380CC4-5D6E-409C-BE32-E72D297353CC}">
                <c16:uniqueId val="{0000000B-2B98-4651-8469-FD53D61DFA14}"/>
              </c:ext>
            </c:extLst>
          </c:dPt>
          <c:dPt>
            <c:idx val="6"/>
            <c:bubble3D val="0"/>
            <c:spPr>
              <a:solidFill>
                <a:schemeClr val="accent2">
                  <a:lumMod val="80000"/>
                  <a:lumOff val="20000"/>
                </a:schemeClr>
              </a:solidFill>
              <a:ln w="9525">
                <a:solidFill>
                  <a:schemeClr val="tx1"/>
                </a:solidFill>
              </a:ln>
              <a:effectLst/>
            </c:spPr>
            <c:extLst>
              <c:ext xmlns:c16="http://schemas.microsoft.com/office/drawing/2014/chart" uri="{C3380CC4-5D6E-409C-BE32-E72D297353CC}">
                <c16:uniqueId val="{0000000D-2B98-4651-8469-FD53D61DFA14}"/>
              </c:ext>
            </c:extLst>
          </c:dPt>
          <c:dPt>
            <c:idx val="7"/>
            <c:bubble3D val="0"/>
            <c:spPr>
              <a:solidFill>
                <a:schemeClr val="accent4">
                  <a:lumMod val="80000"/>
                  <a:lumOff val="20000"/>
                </a:schemeClr>
              </a:solidFill>
              <a:ln w="9525">
                <a:solidFill>
                  <a:schemeClr val="tx1"/>
                </a:solidFill>
              </a:ln>
              <a:effectLst/>
            </c:spPr>
            <c:extLst>
              <c:ext xmlns:c16="http://schemas.microsoft.com/office/drawing/2014/chart" uri="{C3380CC4-5D6E-409C-BE32-E72D297353CC}">
                <c16:uniqueId val="{0000000F-2B98-4651-8469-FD53D61DFA14}"/>
              </c:ext>
            </c:extLst>
          </c:dPt>
          <c:dPt>
            <c:idx val="8"/>
            <c:bubble3D val="0"/>
            <c:spPr>
              <a:solidFill>
                <a:schemeClr val="accent6">
                  <a:lumMod val="80000"/>
                  <a:lumOff val="20000"/>
                </a:schemeClr>
              </a:solidFill>
              <a:ln w="9525">
                <a:solidFill>
                  <a:schemeClr val="tx1"/>
                </a:solidFill>
              </a:ln>
              <a:effectLst/>
            </c:spPr>
            <c:extLst>
              <c:ext xmlns:c16="http://schemas.microsoft.com/office/drawing/2014/chart" uri="{C3380CC4-5D6E-409C-BE32-E72D297353CC}">
                <c16:uniqueId val="{00000011-2B98-4651-8469-FD53D61DFA14}"/>
              </c:ext>
            </c:extLst>
          </c:dPt>
          <c:dPt>
            <c:idx val="9"/>
            <c:bubble3D val="0"/>
            <c:spPr>
              <a:solidFill>
                <a:schemeClr val="accent2">
                  <a:lumMod val="80000"/>
                </a:schemeClr>
              </a:solidFill>
              <a:ln w="9525">
                <a:solidFill>
                  <a:schemeClr val="tx1"/>
                </a:solidFill>
              </a:ln>
              <a:effectLst/>
            </c:spPr>
            <c:extLst>
              <c:ext xmlns:c16="http://schemas.microsoft.com/office/drawing/2014/chart" uri="{C3380CC4-5D6E-409C-BE32-E72D297353CC}">
                <c16:uniqueId val="{00000013-2B98-4651-8469-FD53D61DFA14}"/>
              </c:ext>
            </c:extLst>
          </c:dPt>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ect">
                    <a:avLst/>
                  </a:prstGeom>
                </c15:spPr>
                <c15:showDataLabelsRange val="1"/>
              </c:ext>
            </c:extLst>
          </c:dLbls>
          <c:cat>
            <c:strRef>
              <c:f>Global!$C$32:$C$41</c:f>
              <c:strCache>
                <c:ptCount val="10"/>
                <c:pt idx="0">
                  <c:v>USA</c:v>
                </c:pt>
                <c:pt idx="1">
                  <c:v>Germany</c:v>
                </c:pt>
                <c:pt idx="2">
                  <c:v>France</c:v>
                </c:pt>
                <c:pt idx="3">
                  <c:v>China</c:v>
                </c:pt>
                <c:pt idx="4">
                  <c:v>Italy</c:v>
                </c:pt>
                <c:pt idx="5">
                  <c:v>Canada</c:v>
                </c:pt>
                <c:pt idx="6">
                  <c:v>Switzerland</c:v>
                </c:pt>
                <c:pt idx="7">
                  <c:v>United Kingdom</c:v>
                </c:pt>
                <c:pt idx="8">
                  <c:v>Sweden</c:v>
                </c:pt>
                <c:pt idx="9">
                  <c:v>Spain</c:v>
                </c:pt>
              </c:strCache>
            </c:strRef>
          </c:cat>
          <c:val>
            <c:numRef>
              <c:f>Global!$E$32:$E$41</c:f>
              <c:numCache>
                <c:formatCode>General</c:formatCode>
                <c:ptCount val="10"/>
                <c:pt idx="0">
                  <c:v>3577680</c:v>
                </c:pt>
                <c:pt idx="1">
                  <c:v>957600</c:v>
                </c:pt>
                <c:pt idx="2">
                  <c:v>903600</c:v>
                </c:pt>
                <c:pt idx="3">
                  <c:v>680320</c:v>
                </c:pt>
                <c:pt idx="4">
                  <c:v>290000</c:v>
                </c:pt>
                <c:pt idx="5">
                  <c:v>278400</c:v>
                </c:pt>
                <c:pt idx="6">
                  <c:v>232960</c:v>
                </c:pt>
                <c:pt idx="7">
                  <c:v>214320</c:v>
                </c:pt>
                <c:pt idx="8">
                  <c:v>171520</c:v>
                </c:pt>
                <c:pt idx="9">
                  <c:v>170640</c:v>
                </c:pt>
              </c:numCache>
            </c:numRef>
          </c:val>
          <c:extLst>
            <c:ext xmlns:c16="http://schemas.microsoft.com/office/drawing/2014/chart" uri="{C3380CC4-5D6E-409C-BE32-E72D297353CC}">
              <c16:uniqueId val="{00000014-2B98-4651-8469-FD53D61DFA14}"/>
            </c:ext>
          </c:extLst>
        </c:ser>
        <c:dLbls>
          <c:showLegendKey val="0"/>
          <c:showVal val="0"/>
          <c:showCatName val="0"/>
          <c:showSerName val="0"/>
          <c:showPercent val="1"/>
          <c:showBubbleSize val="0"/>
          <c:showLeaderLines val="1"/>
        </c:dLbls>
        <c:firstSliceAng val="1"/>
        <c:holeSize val="22"/>
      </c:doughnutChart>
      <c:spPr>
        <a:noFill/>
        <a:ln>
          <a:noFill/>
        </a:ln>
        <a:effectLst/>
      </c:spPr>
    </c:plotArea>
    <c:legend>
      <c:legendPos val="r"/>
      <c:layout>
        <c:manualLayout>
          <c:xMode val="edge"/>
          <c:yMode val="edge"/>
          <c:x val="0.74656876153549945"/>
          <c:y val="5.5584914301819666E-2"/>
          <c:w val="0.23994051333802499"/>
          <c:h val="0.9112015360496045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1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AFF1-4D07-41C1-AEA7-B993A4CDD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17</Pages>
  <Words>4972</Words>
  <Characters>28347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raghava k j</dc:creator>
  <cp:keywords/>
  <dc:description/>
  <cp:lastModifiedBy>Kiran kumar</cp:lastModifiedBy>
  <cp:revision>139</cp:revision>
  <dcterms:created xsi:type="dcterms:W3CDTF">2022-09-21T09:03:00Z</dcterms:created>
  <dcterms:modified xsi:type="dcterms:W3CDTF">2023-06-27T05:14:00Z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41607f0821e4caf1021bf4ee2dd34a7e7346708557efc6c2e4ba8cddf843d328</vt:lpwstr>
  </property>
</Properties>
</file>