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7F8" w14:textId="77777777"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rPr>
      </w:pPr>
      <w:r w:rsidRPr="009A022E">
        <w:rPr>
          <w:rFonts w:asciiTheme="majorBidi" w:hAnsiTheme="majorBidi" w:cstheme="majorBidi"/>
          <w:b/>
          <w:bCs/>
          <w:sz w:val="48"/>
          <w:szCs w:val="48"/>
        </w:rPr>
        <w:t xml:space="preserve">A highly selective </w:t>
      </w:r>
      <w:r w:rsidRPr="009A022E">
        <w:rPr>
          <w:rFonts w:asciiTheme="majorBidi" w:hAnsiTheme="majorBidi" w:cstheme="majorBidi"/>
          <w:b/>
          <w:bCs/>
          <w:kern w:val="0"/>
          <w:sz w:val="48"/>
          <w:szCs w:val="48"/>
        </w:rPr>
        <w:t>chromogenic probe</w:t>
      </w:r>
      <w:r w:rsidRPr="009A022E">
        <w:rPr>
          <w:rFonts w:asciiTheme="majorBidi" w:hAnsiTheme="majorBidi" w:cstheme="majorBidi"/>
          <w:b/>
          <w:bCs/>
          <w:sz w:val="48"/>
          <w:szCs w:val="48"/>
        </w:rPr>
        <w:t xml:space="preserve"> </w:t>
      </w:r>
    </w:p>
    <w:p w14:paraId="1808A14B"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vertAlign w:val="superscript"/>
        </w:rPr>
      </w:pPr>
      <w:r w:rsidRPr="009A022E">
        <w:rPr>
          <w:rFonts w:asciiTheme="majorBidi" w:hAnsiTheme="majorBidi" w:cstheme="majorBidi"/>
          <w:b/>
          <w:bCs/>
          <w:sz w:val="48"/>
          <w:szCs w:val="48"/>
        </w:rPr>
        <w:t>for</w:t>
      </w:r>
      <w:r>
        <w:rPr>
          <w:rFonts w:asciiTheme="majorBidi" w:hAnsiTheme="majorBidi" w:cstheme="majorBidi"/>
          <w:b/>
          <w:bCs/>
          <w:sz w:val="48"/>
          <w:szCs w:val="48"/>
        </w:rPr>
        <w:t xml:space="preserve"> </w:t>
      </w:r>
      <w:r w:rsidRPr="009A022E">
        <w:rPr>
          <w:rFonts w:asciiTheme="majorBidi" w:hAnsiTheme="majorBidi" w:cstheme="majorBidi"/>
          <w:b/>
          <w:bCs/>
          <w:sz w:val="48"/>
          <w:szCs w:val="48"/>
        </w:rPr>
        <w:t>Hg</w:t>
      </w:r>
      <w:r w:rsidRPr="009A022E">
        <w:rPr>
          <w:rFonts w:asciiTheme="majorBidi" w:hAnsiTheme="majorBidi" w:cstheme="majorBidi"/>
          <w:b/>
          <w:bCs/>
          <w:sz w:val="48"/>
          <w:szCs w:val="48"/>
          <w:vertAlign w:val="superscript"/>
        </w:rPr>
        <w:t>2+</w:t>
      </w:r>
    </w:p>
    <w:p w14:paraId="63ECBA30" w14:textId="77777777" w:rsidR="009E627C" w:rsidRDefault="009E627C" w:rsidP="009E627C">
      <w:pPr>
        <w:pStyle w:val="Author"/>
        <w:spacing w:before="0" w:after="0"/>
        <w:rPr>
          <w:rFonts w:eastAsia="MS Mincho"/>
          <w:sz w:val="20"/>
          <w:szCs w:val="20"/>
        </w:rPr>
      </w:pPr>
    </w:p>
    <w:p w14:paraId="62B7B444" w14:textId="77777777" w:rsidR="005912B8" w:rsidRDefault="005912B8" w:rsidP="009E627C">
      <w:pPr>
        <w:pStyle w:val="Author"/>
        <w:spacing w:before="0" w:after="0"/>
        <w:rPr>
          <w:rFonts w:eastAsia="MS Mincho"/>
          <w:sz w:val="20"/>
          <w:szCs w:val="20"/>
        </w:rPr>
        <w:sectPr w:rsidR="005912B8">
          <w:pgSz w:w="12240" w:h="15840"/>
          <w:pgMar w:top="1440" w:right="1440" w:bottom="1440" w:left="1440" w:header="720" w:footer="720" w:gutter="0"/>
          <w:cols w:space="720"/>
          <w:docGrid w:linePitch="360"/>
        </w:sectPr>
      </w:pPr>
    </w:p>
    <w:p w14:paraId="5A6C1AFA" w14:textId="77777777" w:rsidR="009E627C" w:rsidRPr="006571CB" w:rsidRDefault="009E627C" w:rsidP="009E627C">
      <w:pPr>
        <w:pStyle w:val="Author"/>
        <w:spacing w:before="0" w:after="0"/>
        <w:rPr>
          <w:rFonts w:eastAsia="MS Mincho"/>
          <w:b/>
          <w:bCs/>
          <w:sz w:val="48"/>
          <w:szCs w:val="48"/>
        </w:rPr>
      </w:pPr>
    </w:p>
    <w:p w14:paraId="53EC6B9A" w14:textId="77777777" w:rsidR="009E627C" w:rsidRDefault="009E627C" w:rsidP="009E627C">
      <w:pPr>
        <w:pStyle w:val="Affiliation"/>
        <w:rPr>
          <w:rFonts w:eastAsia="MS Mincho"/>
        </w:rPr>
      </w:pPr>
      <w:r w:rsidRPr="009A022E">
        <w:rPr>
          <w:rFonts w:asciiTheme="majorBidi" w:hAnsiTheme="majorBidi" w:cstheme="majorBidi"/>
        </w:rPr>
        <w:t xml:space="preserve">Hossein </w:t>
      </w:r>
      <w:proofErr w:type="spellStart"/>
      <w:r w:rsidRPr="009A022E">
        <w:rPr>
          <w:rFonts w:asciiTheme="majorBidi" w:hAnsiTheme="majorBidi" w:cstheme="majorBidi"/>
        </w:rPr>
        <w:t>Tavallali</w:t>
      </w:r>
      <w:proofErr w:type="spellEnd"/>
      <w:r w:rsidRPr="00466548">
        <w:rPr>
          <w:rFonts w:eastAsia="MS Mincho"/>
        </w:rPr>
        <w:t xml:space="preserve"> </w:t>
      </w:r>
    </w:p>
    <w:p w14:paraId="39FB5017" w14:textId="77777777" w:rsidR="009E627C" w:rsidRDefault="009E627C" w:rsidP="009E627C">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212A8CB6" w14:textId="1E3889AC" w:rsidR="009E627C" w:rsidRPr="00466548" w:rsidRDefault="009E627C" w:rsidP="009E627C">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sidR="005531A1">
        <w:rPr>
          <w:rFonts w:asciiTheme="majorBidi" w:hAnsiTheme="majorBidi" w:cstheme="majorBidi"/>
        </w:rPr>
        <w:t>, PNU</w:t>
      </w:r>
    </w:p>
    <w:p w14:paraId="5533D1E2" w14:textId="77777777" w:rsidR="005912B8" w:rsidRDefault="005531A1" w:rsidP="009E627C">
      <w:pPr>
        <w:pStyle w:val="Affiliation"/>
        <w:rPr>
          <w:rFonts w:asciiTheme="majorBidi" w:hAnsiTheme="majorBidi" w:cstheme="majorBidi"/>
        </w:rPr>
      </w:pPr>
      <w:r w:rsidRPr="00120A70">
        <w:rPr>
          <w:rFonts w:asciiTheme="majorBidi" w:hAnsiTheme="majorBidi" w:cstheme="majorBidi"/>
        </w:rPr>
        <w:t>19395-4697 Tehran</w:t>
      </w:r>
      <w:r>
        <w:rPr>
          <w:rFonts w:asciiTheme="majorBidi" w:hAnsiTheme="majorBidi" w:cstheme="majorBidi"/>
        </w:rPr>
        <w:t>, Iran</w:t>
      </w:r>
    </w:p>
    <w:p w14:paraId="4007B161" w14:textId="77777777" w:rsidR="005912B8" w:rsidRPr="005912B8" w:rsidRDefault="00000000" w:rsidP="005912B8">
      <w:pPr>
        <w:pStyle w:val="Affiliation"/>
      </w:pPr>
      <w:hyperlink r:id="rId5" w:history="1">
        <w:r w:rsidR="005912B8" w:rsidRPr="005912B8">
          <w:rPr>
            <w:rStyle w:val="Hyperlink"/>
            <w:color w:val="auto"/>
            <w:u w:val="none"/>
          </w:rPr>
          <w:t>tavallali@yahoo.com</w:t>
        </w:r>
      </w:hyperlink>
    </w:p>
    <w:p w14:paraId="33CD91C6" w14:textId="7CEAC27B" w:rsidR="005531A1" w:rsidRDefault="005531A1" w:rsidP="009E627C">
      <w:pPr>
        <w:pStyle w:val="Affiliation"/>
        <w:rPr>
          <w:rFonts w:eastAsia="MS Mincho"/>
        </w:rPr>
      </w:pPr>
      <w:r w:rsidRPr="00466548">
        <w:rPr>
          <w:rFonts w:eastAsia="MS Mincho"/>
        </w:rPr>
        <w:t xml:space="preserve"> </w:t>
      </w:r>
    </w:p>
    <w:p w14:paraId="6FEBA804" w14:textId="77777777" w:rsidR="005912B8" w:rsidRPr="005912B8" w:rsidRDefault="005912B8" w:rsidP="009E627C">
      <w:pPr>
        <w:pStyle w:val="Affiliation"/>
        <w:rPr>
          <w:rFonts w:asciiTheme="majorBidi" w:hAnsiTheme="majorBidi" w:cstheme="majorBidi"/>
          <w:sz w:val="48"/>
          <w:szCs w:val="48"/>
        </w:rPr>
      </w:pPr>
    </w:p>
    <w:p w14:paraId="63415B0A" w14:textId="2849C972" w:rsidR="009E627C" w:rsidRDefault="009E627C" w:rsidP="009E627C">
      <w:pPr>
        <w:pStyle w:val="Affiliation"/>
        <w:rPr>
          <w:rFonts w:asciiTheme="majorBidi" w:hAnsiTheme="majorBidi" w:cstheme="majorBidi"/>
        </w:rPr>
      </w:pPr>
      <w:r w:rsidRPr="009A022E">
        <w:rPr>
          <w:rFonts w:asciiTheme="majorBidi" w:hAnsiTheme="majorBidi" w:cstheme="majorBidi"/>
        </w:rPr>
        <w:t xml:space="preserve">Shiva Rajaei </w:t>
      </w:r>
      <w:proofErr w:type="spellStart"/>
      <w:r w:rsidRPr="009A022E">
        <w:rPr>
          <w:rFonts w:asciiTheme="majorBidi" w:hAnsiTheme="majorBidi" w:cstheme="majorBidi"/>
        </w:rPr>
        <w:t>Dastghaib</w:t>
      </w:r>
      <w:proofErr w:type="spellEnd"/>
      <w:r w:rsidRPr="009A022E">
        <w:rPr>
          <w:rFonts w:asciiTheme="majorBidi" w:hAnsiTheme="majorBidi" w:cstheme="majorBidi"/>
        </w:rPr>
        <w:t xml:space="preserve"> </w:t>
      </w:r>
    </w:p>
    <w:p w14:paraId="74BF2195" w14:textId="77777777" w:rsidR="005531A1" w:rsidRDefault="005531A1" w:rsidP="005531A1">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16A4A05B" w14:textId="77777777" w:rsidR="005531A1" w:rsidRPr="00466548" w:rsidRDefault="005531A1" w:rsidP="005531A1">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Pr>
          <w:rFonts w:asciiTheme="majorBidi" w:hAnsiTheme="majorBidi" w:cstheme="majorBidi"/>
        </w:rPr>
        <w:t>, PNU</w:t>
      </w:r>
    </w:p>
    <w:p w14:paraId="11BDAA92" w14:textId="05D26A8C" w:rsidR="005531A1" w:rsidRDefault="005531A1" w:rsidP="005531A1">
      <w:pPr>
        <w:pStyle w:val="Affiliation"/>
        <w:rPr>
          <w:rFonts w:eastAsia="MS Mincho"/>
        </w:rPr>
      </w:pPr>
      <w:r w:rsidRPr="00120A70">
        <w:rPr>
          <w:rFonts w:asciiTheme="majorBidi" w:hAnsiTheme="majorBidi" w:cstheme="majorBidi"/>
        </w:rPr>
        <w:t>19395-4697 Tehran</w:t>
      </w:r>
      <w:r>
        <w:rPr>
          <w:rFonts w:asciiTheme="majorBidi" w:hAnsiTheme="majorBidi" w:cstheme="majorBidi"/>
        </w:rPr>
        <w:t>, Iran</w:t>
      </w:r>
      <w:r w:rsidRPr="00466548">
        <w:rPr>
          <w:rFonts w:eastAsia="MS Mincho"/>
        </w:rPr>
        <w:t xml:space="preserve"> </w:t>
      </w:r>
    </w:p>
    <w:p w14:paraId="3B74EDC0" w14:textId="39FC1E41" w:rsidR="009E627C" w:rsidRDefault="005531A1" w:rsidP="009E627C">
      <w:pPr>
        <w:pStyle w:val="Affiliation"/>
        <w:rPr>
          <w:rFonts w:eastAsia="MS Mincho"/>
        </w:rPr>
      </w:pPr>
      <w:r>
        <w:rPr>
          <w:rFonts w:eastAsia="MS Mincho"/>
        </w:rPr>
        <w:t>shivarajaei@yahoo.com</w:t>
      </w:r>
    </w:p>
    <w:p w14:paraId="7A2783E8" w14:textId="77777777" w:rsidR="005912B8" w:rsidRDefault="005912B8" w:rsidP="005912B8">
      <w:pPr>
        <w:pStyle w:val="Affiliation"/>
        <w:jc w:val="left"/>
        <w:sectPr w:rsidR="005912B8" w:rsidSect="005912B8">
          <w:type w:val="continuous"/>
          <w:pgSz w:w="12240" w:h="15840"/>
          <w:pgMar w:top="1440" w:right="1440" w:bottom="1440" w:left="1440" w:header="720" w:footer="720" w:gutter="0"/>
          <w:cols w:num="2" w:space="720"/>
          <w:docGrid w:linePitch="360"/>
        </w:sectPr>
      </w:pPr>
    </w:p>
    <w:p w14:paraId="01B94CDD" w14:textId="77777777" w:rsidR="005912B8" w:rsidRDefault="005912B8" w:rsidP="005912B8">
      <w:pPr>
        <w:pStyle w:val="Affiliation"/>
        <w:jc w:val="left"/>
      </w:pPr>
    </w:p>
    <w:p w14:paraId="058FD459" w14:textId="77777777" w:rsidR="009A022E" w:rsidRPr="005912B8" w:rsidRDefault="009A022E" w:rsidP="006B1468">
      <w:pPr>
        <w:pStyle w:val="Default"/>
        <w:tabs>
          <w:tab w:val="left" w:pos="567"/>
        </w:tabs>
        <w:rPr>
          <w:rFonts w:asciiTheme="majorBidi" w:hAnsiTheme="majorBidi" w:cstheme="majorBidi"/>
          <w:sz w:val="48"/>
          <w:szCs w:val="48"/>
        </w:rPr>
      </w:pPr>
    </w:p>
    <w:p w14:paraId="79D2136D" w14:textId="77777777" w:rsidR="009A022E" w:rsidRPr="009A022E" w:rsidRDefault="009A022E" w:rsidP="005531A1">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Abstract</w:t>
      </w:r>
    </w:p>
    <w:p w14:paraId="03781023" w14:textId="3496F337" w:rsidR="001B7965" w:rsidRPr="001B7965" w:rsidRDefault="001B7965" w:rsidP="001B7965">
      <w:pPr>
        <w:tabs>
          <w:tab w:val="left" w:pos="567"/>
        </w:tabs>
        <w:autoSpaceDE w:val="0"/>
        <w:autoSpaceDN w:val="0"/>
        <w:adjustRightInd w:val="0"/>
        <w:spacing w:after="0" w:line="240" w:lineRule="auto"/>
        <w:rPr>
          <w:rFonts w:asciiTheme="majorBidi" w:hAnsiTheme="majorBidi" w:cstheme="majorBidi"/>
          <w:sz w:val="20"/>
          <w:szCs w:val="20"/>
        </w:rPr>
      </w:pPr>
      <w:r w:rsidRPr="001B7965">
        <w:rPr>
          <w:rFonts w:asciiTheme="majorBidi" w:hAnsiTheme="majorBidi" w:cstheme="majorBidi"/>
          <w:sz w:val="20"/>
          <w:szCs w:val="20"/>
        </w:rPr>
        <w:t xml:space="preserve">In this paper, indigo carmine (IC) was proposed as a highly accurate and sensitive colorimetric </w:t>
      </w:r>
      <w:proofErr w:type="spellStart"/>
      <w:r w:rsidRPr="001B7965">
        <w:rPr>
          <w:rFonts w:asciiTheme="majorBidi" w:hAnsiTheme="majorBidi" w:cstheme="majorBidi"/>
          <w:sz w:val="20"/>
          <w:szCs w:val="20"/>
        </w:rPr>
        <w:t>chemosensor</w:t>
      </w:r>
      <w:proofErr w:type="spellEnd"/>
      <w:r w:rsidRPr="001B7965">
        <w:rPr>
          <w:rFonts w:asciiTheme="majorBidi" w:hAnsiTheme="majorBidi" w:cstheme="majorBidi"/>
          <w:sz w:val="20"/>
          <w:szCs w:val="20"/>
        </w:rPr>
        <w:t xml:space="preserve"> for the determination and detection of mercury (II)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which is a very toxic and dangerous pollutant. The chromogenic probe (IC) in the aqueous medium shows a color change from indigo to light blue upon interaction with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xml:space="preserve">. The range </w:t>
      </w:r>
      <w:r>
        <w:rPr>
          <w:rFonts w:asciiTheme="majorBidi" w:hAnsiTheme="majorBidi" w:cstheme="majorBidi"/>
          <w:sz w:val="20"/>
          <w:szCs w:val="20"/>
        </w:rPr>
        <w:t xml:space="preserve">of </w:t>
      </w:r>
      <w:r w:rsidRPr="001B7965">
        <w:rPr>
          <w:rFonts w:asciiTheme="majorBidi" w:hAnsiTheme="majorBidi" w:cstheme="majorBidi"/>
          <w:sz w:val="20"/>
          <w:szCs w:val="20"/>
        </w:rPr>
        <w:t xml:space="preserve">linear and </w:t>
      </w:r>
      <w:r>
        <w:rPr>
          <w:rFonts w:asciiTheme="majorBidi" w:hAnsiTheme="majorBidi" w:cstheme="majorBidi"/>
          <w:sz w:val="20"/>
          <w:szCs w:val="20"/>
        </w:rPr>
        <w:t xml:space="preserve">the </w:t>
      </w:r>
      <w:r w:rsidRPr="001B7965">
        <w:rPr>
          <w:rFonts w:asciiTheme="majorBidi" w:hAnsiTheme="majorBidi" w:cstheme="majorBidi"/>
          <w:sz w:val="20"/>
          <w:szCs w:val="20"/>
        </w:rPr>
        <w:t xml:space="preserve">limit </w:t>
      </w:r>
      <w:r>
        <w:rPr>
          <w:rFonts w:asciiTheme="majorBidi" w:hAnsiTheme="majorBidi" w:cstheme="majorBidi"/>
          <w:sz w:val="20"/>
          <w:szCs w:val="20"/>
        </w:rPr>
        <w:t xml:space="preserve">of </w:t>
      </w:r>
      <w:r w:rsidRPr="001B7965">
        <w:rPr>
          <w:rFonts w:asciiTheme="majorBidi" w:hAnsiTheme="majorBidi" w:cstheme="majorBidi"/>
          <w:sz w:val="20"/>
          <w:szCs w:val="20"/>
        </w:rPr>
        <w:t>detection of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xml:space="preserve"> were 0.15-20.2 </w:t>
      </w:r>
      <w:proofErr w:type="spellStart"/>
      <w:r w:rsidRPr="001B7965">
        <w:rPr>
          <w:rFonts w:asciiTheme="majorBidi" w:hAnsiTheme="majorBidi" w:cstheme="majorBidi"/>
          <w:sz w:val="20"/>
          <w:szCs w:val="20"/>
        </w:rPr>
        <w:t>μM</w:t>
      </w:r>
      <w:proofErr w:type="spellEnd"/>
      <w:r w:rsidRPr="001B7965">
        <w:rPr>
          <w:rFonts w:asciiTheme="majorBidi" w:hAnsiTheme="majorBidi" w:cstheme="majorBidi"/>
          <w:sz w:val="20"/>
          <w:szCs w:val="20"/>
        </w:rPr>
        <w:t xml:space="preserve"> and 0.06 </w:t>
      </w:r>
      <w:proofErr w:type="spellStart"/>
      <w:r w:rsidRPr="001B7965">
        <w:rPr>
          <w:rFonts w:asciiTheme="majorBidi" w:hAnsiTheme="majorBidi" w:cstheme="majorBidi"/>
          <w:sz w:val="20"/>
          <w:szCs w:val="20"/>
        </w:rPr>
        <w:t>μM</w:t>
      </w:r>
      <w:proofErr w:type="spellEnd"/>
      <w:r w:rsidRPr="001B7965">
        <w:rPr>
          <w:rFonts w:asciiTheme="majorBidi" w:hAnsiTheme="majorBidi" w:cstheme="majorBidi"/>
          <w:sz w:val="20"/>
          <w:szCs w:val="20"/>
        </w:rPr>
        <w:t xml:space="preserve">, respectively. Also, the relative standard deviation (RSD) based on ten replicates calculated for two different concentrations of 7.4 </w:t>
      </w:r>
      <w:proofErr w:type="spellStart"/>
      <w:r w:rsidRPr="001B7965">
        <w:rPr>
          <w:rFonts w:asciiTheme="majorBidi" w:hAnsiTheme="majorBidi" w:cstheme="majorBidi"/>
          <w:sz w:val="20"/>
          <w:szCs w:val="20"/>
        </w:rPr>
        <w:t>μM</w:t>
      </w:r>
      <w:proofErr w:type="spellEnd"/>
      <w:r w:rsidRPr="001B7965">
        <w:rPr>
          <w:rFonts w:asciiTheme="majorBidi" w:hAnsiTheme="majorBidi" w:cstheme="majorBidi"/>
          <w:sz w:val="20"/>
          <w:szCs w:val="20"/>
        </w:rPr>
        <w:t xml:space="preserve"> and 15.8 </w:t>
      </w:r>
      <w:proofErr w:type="spellStart"/>
      <w:r w:rsidRPr="001B7965">
        <w:rPr>
          <w:rFonts w:asciiTheme="majorBidi" w:hAnsiTheme="majorBidi" w:cstheme="majorBidi"/>
          <w:sz w:val="20"/>
          <w:szCs w:val="20"/>
        </w:rPr>
        <w:t>μM</w:t>
      </w:r>
      <w:proofErr w:type="spellEnd"/>
      <w:r w:rsidRPr="001B7965">
        <w:rPr>
          <w:rFonts w:asciiTheme="majorBidi" w:hAnsiTheme="majorBidi" w:cstheme="majorBidi"/>
          <w:sz w:val="20"/>
          <w:szCs w:val="20"/>
        </w:rPr>
        <w:t xml:space="preserve"> of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xml:space="preserve"> </w:t>
      </w:r>
      <w:r>
        <w:rPr>
          <w:rFonts w:asciiTheme="majorBidi" w:hAnsiTheme="majorBidi" w:cstheme="majorBidi"/>
          <w:sz w:val="20"/>
          <w:szCs w:val="20"/>
        </w:rPr>
        <w:t>was</w:t>
      </w:r>
      <w:r w:rsidRPr="001B7965">
        <w:rPr>
          <w:rFonts w:asciiTheme="majorBidi" w:hAnsiTheme="majorBidi" w:cstheme="majorBidi"/>
          <w:sz w:val="20"/>
          <w:szCs w:val="20"/>
        </w:rPr>
        <w:t xml:space="preserve"> 2.1% and 1.4%, respectively. The proposed method has advantages such as: simplicity, low cost, high accuracy, wide linear concentration range, low limit of detection, high sensitivity and selectivity, no separation and preconcentration steps, </w:t>
      </w:r>
      <w:r>
        <w:rPr>
          <w:rFonts w:asciiTheme="majorBidi" w:hAnsiTheme="majorBidi" w:cstheme="majorBidi"/>
          <w:sz w:val="20"/>
          <w:szCs w:val="20"/>
        </w:rPr>
        <w:t xml:space="preserve">and </w:t>
      </w:r>
      <w:r w:rsidRPr="001B7965">
        <w:rPr>
          <w:rFonts w:asciiTheme="majorBidi" w:hAnsiTheme="majorBidi" w:cstheme="majorBidi"/>
          <w:sz w:val="20"/>
          <w:szCs w:val="20"/>
        </w:rPr>
        <w:t>can be used in neutral water media. The concentration of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xml:space="preserve"> in tap water, mineral water and plasma samples can be easily detected and determined using this method. It should be noted that this ideal colorimetric </w:t>
      </w:r>
      <w:proofErr w:type="spellStart"/>
      <w:r w:rsidRPr="001B7965">
        <w:rPr>
          <w:rFonts w:asciiTheme="majorBidi" w:hAnsiTheme="majorBidi" w:cstheme="majorBidi"/>
          <w:sz w:val="20"/>
          <w:szCs w:val="20"/>
        </w:rPr>
        <w:t>chemosensor</w:t>
      </w:r>
      <w:proofErr w:type="spellEnd"/>
      <w:r w:rsidRPr="001B7965">
        <w:rPr>
          <w:rFonts w:asciiTheme="majorBidi" w:hAnsiTheme="majorBidi" w:cstheme="majorBidi"/>
          <w:sz w:val="20"/>
          <w:szCs w:val="20"/>
        </w:rPr>
        <w:t xml:space="preserve"> for Hg</w:t>
      </w:r>
      <w:r w:rsidRPr="001B7965">
        <w:rPr>
          <w:rFonts w:asciiTheme="majorBidi" w:hAnsiTheme="majorBidi" w:cstheme="majorBidi"/>
          <w:sz w:val="20"/>
          <w:szCs w:val="20"/>
          <w:vertAlign w:val="superscript"/>
        </w:rPr>
        <w:t>2+</w:t>
      </w:r>
      <w:r w:rsidRPr="001B7965">
        <w:rPr>
          <w:rFonts w:asciiTheme="majorBidi" w:hAnsiTheme="majorBidi" w:cstheme="majorBidi"/>
          <w:sz w:val="20"/>
          <w:szCs w:val="20"/>
        </w:rPr>
        <w:t xml:space="preserve"> has not been reported before.</w:t>
      </w:r>
    </w:p>
    <w:p w14:paraId="6AA70F3B" w14:textId="1D271C37" w:rsidR="001B7965" w:rsidRDefault="001B7965" w:rsidP="001B7965">
      <w:pPr>
        <w:tabs>
          <w:tab w:val="left" w:pos="567"/>
        </w:tabs>
        <w:autoSpaceDE w:val="0"/>
        <w:autoSpaceDN w:val="0"/>
        <w:adjustRightInd w:val="0"/>
        <w:spacing w:after="0" w:line="240" w:lineRule="auto"/>
        <w:rPr>
          <w:rFonts w:asciiTheme="majorBidi" w:hAnsiTheme="majorBidi" w:cstheme="majorBidi"/>
          <w:sz w:val="20"/>
          <w:szCs w:val="20"/>
        </w:rPr>
      </w:pPr>
      <w:r w:rsidRPr="001B7965">
        <w:rPr>
          <w:rFonts w:asciiTheme="majorBidi" w:hAnsiTheme="majorBidi" w:cstheme="majorBidi"/>
          <w:sz w:val="20"/>
          <w:szCs w:val="20"/>
        </w:rPr>
        <w:t xml:space="preserve">Keywords: chromogenic probe, colorimetric </w:t>
      </w:r>
      <w:proofErr w:type="spellStart"/>
      <w:r w:rsidRPr="001B7965">
        <w:rPr>
          <w:rFonts w:asciiTheme="majorBidi" w:hAnsiTheme="majorBidi" w:cstheme="majorBidi"/>
          <w:sz w:val="20"/>
          <w:szCs w:val="20"/>
        </w:rPr>
        <w:t>chemosensor</w:t>
      </w:r>
      <w:proofErr w:type="spellEnd"/>
      <w:r w:rsidRPr="001B7965">
        <w:rPr>
          <w:rFonts w:asciiTheme="majorBidi" w:hAnsiTheme="majorBidi" w:cstheme="majorBidi"/>
          <w:sz w:val="20"/>
          <w:szCs w:val="20"/>
        </w:rPr>
        <w:t>, mercury (II) detection, indigo carmine (IC).</w:t>
      </w:r>
    </w:p>
    <w:p w14:paraId="01256043" w14:textId="77777777" w:rsidR="009A022E" w:rsidRPr="009A022E" w:rsidRDefault="009A022E" w:rsidP="006B1468">
      <w:pPr>
        <w:tabs>
          <w:tab w:val="left" w:pos="567"/>
        </w:tabs>
        <w:spacing w:after="0" w:line="240" w:lineRule="auto"/>
        <w:rPr>
          <w:rFonts w:asciiTheme="majorBidi" w:hAnsiTheme="majorBidi" w:cstheme="majorBidi"/>
          <w:sz w:val="20"/>
          <w:szCs w:val="20"/>
        </w:rPr>
      </w:pPr>
    </w:p>
    <w:p w14:paraId="3BA783C7" w14:textId="690545FF" w:rsidR="007A7698" w:rsidRPr="00AD071E" w:rsidRDefault="009A022E" w:rsidP="00AD071E">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color w:val="000000"/>
          <w:sz w:val="20"/>
          <w:szCs w:val="20"/>
        </w:rPr>
      </w:pPr>
      <w:r w:rsidRPr="005531A1">
        <w:rPr>
          <w:rFonts w:asciiTheme="majorBidi" w:hAnsiTheme="majorBidi" w:cstheme="majorBidi"/>
          <w:b/>
          <w:bCs/>
          <w:color w:val="000000"/>
          <w:sz w:val="20"/>
          <w:szCs w:val="20"/>
        </w:rPr>
        <w:t>Introduction</w:t>
      </w:r>
    </w:p>
    <w:p w14:paraId="72CEB469" w14:textId="7E3497F4" w:rsidR="009A022E" w:rsidRPr="007A7698" w:rsidRDefault="007A7698" w:rsidP="006B1468">
      <w:pPr>
        <w:tabs>
          <w:tab w:val="left" w:pos="567"/>
        </w:tabs>
        <w:spacing w:after="0" w:line="240" w:lineRule="auto"/>
        <w:jc w:val="both"/>
        <w:rPr>
          <w:rFonts w:asciiTheme="majorBidi" w:hAnsiTheme="majorBidi" w:cstheme="majorBidi"/>
          <w:sz w:val="20"/>
          <w:szCs w:val="20"/>
          <w:highlight w:val="yellow"/>
        </w:rPr>
      </w:pPr>
      <w:r>
        <w:rPr>
          <w:rFonts w:asciiTheme="majorBidi" w:hAnsiTheme="majorBidi" w:cstheme="majorBidi"/>
          <w:sz w:val="20"/>
          <w:szCs w:val="20"/>
        </w:rPr>
        <w:tab/>
      </w:r>
      <w:r w:rsidR="009A022E" w:rsidRPr="005760E7">
        <w:rPr>
          <w:rFonts w:asciiTheme="majorBidi" w:hAnsiTheme="majorBidi" w:cstheme="majorBidi"/>
          <w:sz w:val="20"/>
          <w:szCs w:val="20"/>
        </w:rPr>
        <w:t xml:space="preserve">The development of selective and sensitive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is an important assignment for detecting transition metal ions, which play important roles in chemical, biological, medicinal, and environmental processes [1, 2]. Among them, the most toxic and ubiquitous heavy-metal ions of pollutants, Mercury 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aris</w:t>
      </w:r>
      <w:r w:rsidR="005760E7" w:rsidRPr="005760E7">
        <w:rPr>
          <w:rFonts w:asciiTheme="majorBidi" w:hAnsiTheme="majorBidi" w:cstheme="majorBidi"/>
          <w:sz w:val="20"/>
          <w:szCs w:val="20"/>
        </w:rPr>
        <w:t>i</w:t>
      </w:r>
      <w:r w:rsidR="009A022E" w:rsidRPr="005760E7">
        <w:rPr>
          <w:rFonts w:asciiTheme="majorBidi" w:hAnsiTheme="majorBidi" w:cstheme="majorBidi"/>
          <w:sz w:val="20"/>
          <w:szCs w:val="20"/>
        </w:rPr>
        <w:t>n</w:t>
      </w:r>
      <w:r w:rsidR="005760E7" w:rsidRPr="005760E7">
        <w:rPr>
          <w:rFonts w:asciiTheme="majorBidi" w:hAnsiTheme="majorBidi" w:cstheme="majorBidi"/>
          <w:sz w:val="20"/>
          <w:szCs w:val="20"/>
        </w:rPr>
        <w:t>g</w:t>
      </w:r>
      <w:r w:rsidR="009A022E" w:rsidRPr="005760E7">
        <w:rPr>
          <w:rFonts w:asciiTheme="majorBidi" w:hAnsiTheme="majorBidi" w:cstheme="majorBidi"/>
          <w:sz w:val="20"/>
          <w:szCs w:val="20"/>
        </w:rPr>
        <w:t xml:space="preserve"> from a variety of natural and anthropogenic sources, has attracted a</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particular attention [3, 4]. Water-soluble divalent mercuric</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can cause several serious diseases such as the brain damage, gastrointestinal system diseases, nephropathy and neurological diseases even at very low concentrations since they can easily enter the body through the skin or the esophagus [5, 6]. The United States Environmental Protection Agency (EPA) has set a maximum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xml:space="preserve"> contaminant level in food and drinking water</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 xml:space="preserve">at 0.002 ppm (0.01 µM) [7].  </w:t>
      </w:r>
    </w:p>
    <w:p w14:paraId="7EEC2806" w14:textId="27E6BD7D" w:rsidR="009A022E" w:rsidRPr="00AD071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5760E7">
        <w:rPr>
          <w:rFonts w:asciiTheme="majorBidi" w:hAnsiTheme="majorBidi" w:cstheme="majorBidi"/>
          <w:sz w:val="20"/>
          <w:szCs w:val="20"/>
        </w:rPr>
        <w:tab/>
      </w:r>
      <w:r w:rsidR="009A022E" w:rsidRPr="005760E7">
        <w:rPr>
          <w:rFonts w:asciiTheme="majorBidi" w:hAnsiTheme="majorBidi" w:cstheme="majorBidi"/>
          <w:sz w:val="20"/>
          <w:szCs w:val="20"/>
        </w:rPr>
        <w:t>Common methods for detecting Hg</w:t>
      </w:r>
      <w:r w:rsidR="009A022E" w:rsidRPr="005760E7">
        <w:rPr>
          <w:rFonts w:asciiTheme="majorBidi" w:hAnsiTheme="majorBidi" w:cstheme="majorBidi"/>
          <w:sz w:val="20"/>
          <w:szCs w:val="20"/>
          <w:vertAlign w:val="superscript"/>
        </w:rPr>
        <w:t xml:space="preserve">2+ </w:t>
      </w:r>
      <w:r w:rsidR="009A022E" w:rsidRPr="005760E7">
        <w:rPr>
          <w:rFonts w:asciiTheme="majorBidi" w:hAnsiTheme="majorBidi" w:cstheme="majorBidi"/>
          <w:sz w:val="20"/>
          <w:szCs w:val="20"/>
        </w:rPr>
        <w:t>include atomic absorption spectrometry (AAS) [8], inductively coupled plasma optical emission spectrometry (ICP-AES) [9], inductively coupled plasma mass spectrometry (ICP-MS) [10] and High-Performance Liquid chromatography (HPLC) [11] have been explored. These practices do not offer a cost-effective, rapid and real time-monitoring system for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[12]. In this regard the colorimetric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are a powerful tool for the sensing of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[13]. Therefore, development of simple colorimetric </w:t>
      </w:r>
      <w:proofErr w:type="spellStart"/>
      <w:r w:rsidR="009A022E" w:rsidRPr="005760E7">
        <w:rPr>
          <w:rFonts w:asciiTheme="majorBidi" w:hAnsiTheme="majorBidi" w:cstheme="majorBidi"/>
          <w:sz w:val="20"/>
          <w:szCs w:val="20"/>
        </w:rPr>
        <w:t>chemosensor</w:t>
      </w:r>
      <w:proofErr w:type="spellEnd"/>
      <w:r w:rsidR="009A022E" w:rsidRPr="005760E7">
        <w:rPr>
          <w:rFonts w:asciiTheme="majorBidi" w:hAnsiTheme="majorBidi" w:cstheme="majorBidi"/>
          <w:sz w:val="20"/>
          <w:szCs w:val="20"/>
        </w:rPr>
        <w:t xml:space="preserve"> </w:t>
      </w:r>
      <w:r w:rsidR="009A022E" w:rsidRPr="00AD071E">
        <w:rPr>
          <w:rFonts w:asciiTheme="majorBidi" w:hAnsiTheme="majorBidi" w:cstheme="majorBidi"/>
          <w:sz w:val="20"/>
          <w:szCs w:val="20"/>
        </w:rPr>
        <w:t>that can selectively sense Hg</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aqueous media is significant. </w:t>
      </w:r>
    </w:p>
    <w:p w14:paraId="44C86AC9" w14:textId="44A3371B" w:rsidR="009A022E" w:rsidRPr="009A022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AD071E">
        <w:rPr>
          <w:rFonts w:asciiTheme="majorBidi" w:hAnsiTheme="majorBidi" w:cstheme="majorBidi"/>
          <w:sz w:val="20"/>
          <w:szCs w:val="20"/>
        </w:rPr>
        <w:tab/>
      </w:r>
      <w:r w:rsidR="009A022E" w:rsidRPr="00AD071E">
        <w:rPr>
          <w:rFonts w:asciiTheme="majorBidi" w:hAnsiTheme="majorBidi" w:cstheme="majorBidi"/>
          <w:sz w:val="20"/>
          <w:szCs w:val="20"/>
        </w:rPr>
        <w:t>Indigo carmine (3,3'-dioxo-2,2'-bis-indolyden-5,5'-disulfonic acid, IC) (</w:t>
      </w:r>
      <w:bookmarkStart w:id="0" w:name="_Hlk50914819"/>
      <w:r w:rsidR="009A022E" w:rsidRPr="00AD071E">
        <w:rPr>
          <w:rFonts w:asciiTheme="majorBidi" w:hAnsiTheme="majorBidi" w:cstheme="majorBidi"/>
          <w:sz w:val="20"/>
          <w:szCs w:val="20"/>
        </w:rPr>
        <w:t>scheme 1</w:t>
      </w:r>
      <w:bookmarkEnd w:id="0"/>
      <w:r w:rsidR="009A022E" w:rsidRPr="00AD071E">
        <w:rPr>
          <w:rFonts w:asciiTheme="majorBidi" w:hAnsiTheme="majorBidi" w:cstheme="majorBidi"/>
          <w:sz w:val="20"/>
          <w:szCs w:val="20"/>
        </w:rPr>
        <w:t xml:space="preserve">) is an available commercial dye with promising features </w:t>
      </w:r>
      <w:r w:rsidR="005760E7" w:rsidRPr="00AD071E">
        <w:rPr>
          <w:rFonts w:asciiTheme="majorBidi" w:hAnsiTheme="majorBidi" w:cstheme="majorBidi"/>
          <w:sz w:val="20"/>
          <w:szCs w:val="20"/>
        </w:rPr>
        <w:t xml:space="preserve">that </w:t>
      </w:r>
      <w:r w:rsidR="009A022E" w:rsidRPr="00AD071E">
        <w:rPr>
          <w:rFonts w:asciiTheme="majorBidi" w:hAnsiTheme="majorBidi" w:cstheme="majorBidi"/>
          <w:sz w:val="20"/>
          <w:szCs w:val="20"/>
        </w:rPr>
        <w:t>make it suitable for us</w:t>
      </w:r>
      <w:r w:rsidR="005760E7" w:rsidRPr="00AD071E">
        <w:rPr>
          <w:rFonts w:asciiTheme="majorBidi" w:hAnsiTheme="majorBidi" w:cstheme="majorBidi"/>
          <w:sz w:val="20"/>
          <w:szCs w:val="20"/>
        </w:rPr>
        <w:t>e</w:t>
      </w:r>
      <w:r w:rsidR="009A022E" w:rsidRPr="00AD071E">
        <w:rPr>
          <w:rFonts w:asciiTheme="majorBidi" w:hAnsiTheme="majorBidi" w:cstheme="majorBidi"/>
          <w:sz w:val="20"/>
          <w:szCs w:val="20"/>
        </w:rPr>
        <w:t xml:space="preserve"> as a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Previously we have reported some spectroscopic application</w:t>
      </w:r>
      <w:r w:rsidR="005760E7" w:rsidRPr="00AD071E">
        <w:rPr>
          <w:rFonts w:asciiTheme="majorBidi" w:hAnsiTheme="majorBidi" w:cstheme="majorBidi"/>
          <w:sz w:val="20"/>
          <w:szCs w:val="20"/>
        </w:rPr>
        <w:t>s</w:t>
      </w:r>
      <w:r w:rsidR="009A022E" w:rsidRPr="00AD071E">
        <w:rPr>
          <w:rFonts w:asciiTheme="majorBidi" w:hAnsiTheme="majorBidi" w:cstheme="majorBidi"/>
          <w:sz w:val="20"/>
          <w:szCs w:val="20"/>
        </w:rPr>
        <w:t xml:space="preserve"> of Indigo Carmine in </w:t>
      </w:r>
      <w:r w:rsidR="005760E7" w:rsidRPr="00AD071E">
        <w:rPr>
          <w:rFonts w:asciiTheme="majorBidi" w:hAnsiTheme="majorBidi" w:cstheme="majorBidi"/>
          <w:sz w:val="20"/>
          <w:szCs w:val="20"/>
        </w:rPr>
        <w:t xml:space="preserve">the </w:t>
      </w:r>
      <w:r w:rsidR="009A022E" w:rsidRPr="00AD071E">
        <w:rPr>
          <w:rFonts w:asciiTheme="majorBidi" w:hAnsiTheme="majorBidi" w:cstheme="majorBidi"/>
          <w:sz w:val="20"/>
          <w:szCs w:val="20"/>
        </w:rPr>
        <w:t xml:space="preserve">determination of some cations [14-16]. IC as a fluorescent and colorimetric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xml:space="preserve"> was used for</w:t>
      </w:r>
      <w:r w:rsidR="005760E7" w:rsidRPr="00AD071E">
        <w:rPr>
          <w:rFonts w:asciiTheme="majorBidi" w:hAnsiTheme="majorBidi" w:cstheme="majorBidi"/>
          <w:sz w:val="20"/>
          <w:szCs w:val="20"/>
        </w:rPr>
        <w:t xml:space="preserve"> the</w:t>
      </w:r>
      <w:r w:rsidR="009A022E" w:rsidRPr="00AD071E">
        <w:rPr>
          <w:rFonts w:asciiTheme="majorBidi" w:hAnsiTheme="majorBidi" w:cstheme="majorBidi"/>
          <w:sz w:val="20"/>
          <w:szCs w:val="20"/>
        </w:rPr>
        <w:t xml:space="preserve"> detection of Cu</w:t>
      </w:r>
      <w:r w:rsidR="009A022E" w:rsidRPr="00AD071E">
        <w:rPr>
          <w:rFonts w:asciiTheme="majorBidi" w:hAnsiTheme="majorBidi" w:cstheme="majorBidi"/>
          <w:sz w:val="20"/>
          <w:szCs w:val="20"/>
          <w:vertAlign w:val="superscript"/>
        </w:rPr>
        <w:t xml:space="preserve">2+ </w:t>
      </w:r>
      <w:r w:rsidR="009A022E" w:rsidRPr="00AD071E">
        <w:rPr>
          <w:rFonts w:asciiTheme="majorBidi" w:hAnsiTheme="majorBidi" w:cstheme="majorBidi"/>
          <w:sz w:val="20"/>
          <w:szCs w:val="20"/>
        </w:rPr>
        <w:t>and HPO</w:t>
      </w:r>
      <w:r w:rsidR="009A022E" w:rsidRPr="00AD071E">
        <w:rPr>
          <w:rFonts w:asciiTheme="majorBidi" w:hAnsiTheme="majorBidi" w:cstheme="majorBidi"/>
          <w:sz w:val="20"/>
          <w:szCs w:val="20"/>
          <w:vertAlign w:val="subscript"/>
        </w:rPr>
        <w:t>4</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H</w:t>
      </w:r>
      <w:r w:rsidR="009A022E" w:rsidRPr="00AD071E">
        <w:rPr>
          <w:rFonts w:asciiTheme="majorBidi" w:hAnsiTheme="majorBidi" w:cstheme="majorBidi"/>
          <w:sz w:val="20"/>
          <w:szCs w:val="20"/>
          <w:vertAlign w:val="subscript"/>
        </w:rPr>
        <w:t>2</w:t>
      </w:r>
      <w:r w:rsidR="009A022E" w:rsidRPr="00AD071E">
        <w:rPr>
          <w:rFonts w:asciiTheme="majorBidi" w:hAnsiTheme="majorBidi" w:cstheme="majorBidi"/>
          <w:sz w:val="20"/>
          <w:szCs w:val="20"/>
        </w:rPr>
        <w:t>O/DMSO media [17].</w:t>
      </w:r>
    </w:p>
    <w:p w14:paraId="57B57D8E"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271153AD" w14:textId="00DAACBB" w:rsidR="009A022E" w:rsidRPr="005531A1" w:rsidRDefault="009A022E" w:rsidP="005531A1">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lastRenderedPageBreak/>
        <w:drawing>
          <wp:inline distT="0" distB="0" distL="0" distR="0" wp14:anchorId="03B6E300" wp14:editId="697D23FE">
            <wp:extent cx="2757053" cy="1010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9938" cy="1019311"/>
                    </a:xfrm>
                    <a:prstGeom prst="rect">
                      <a:avLst/>
                    </a:prstGeom>
                    <a:noFill/>
                    <a:ln>
                      <a:noFill/>
                    </a:ln>
                  </pic:spPr>
                </pic:pic>
              </a:graphicData>
            </a:graphic>
          </wp:inline>
        </w:drawing>
      </w:r>
    </w:p>
    <w:p w14:paraId="180A6998" w14:textId="3CA575E3" w:rsidR="009A022E" w:rsidRDefault="009A022E"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Scheme 1. Structure of IC</w:t>
      </w:r>
      <w:r w:rsidR="005912B8">
        <w:rPr>
          <w:rFonts w:asciiTheme="majorBidi" w:hAnsiTheme="majorBidi" w:cstheme="majorBidi"/>
          <w:b/>
          <w:bCs/>
          <w:sz w:val="20"/>
          <w:szCs w:val="20"/>
        </w:rPr>
        <w:t>.</w:t>
      </w:r>
    </w:p>
    <w:p w14:paraId="019EF687" w14:textId="77777777" w:rsidR="005912B8" w:rsidRPr="006571CB" w:rsidRDefault="005912B8"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p>
    <w:p w14:paraId="6281AB4E" w14:textId="13A8BD8C" w:rsidR="009A022E" w:rsidRPr="009A022E" w:rsidRDefault="005531A1" w:rsidP="005531A1">
      <w:pPr>
        <w:pStyle w:val="ListParagraph"/>
        <w:numPr>
          <w:ilvl w:val="0"/>
          <w:numId w:val="5"/>
        </w:numPr>
        <w:tabs>
          <w:tab w:val="left" w:pos="567"/>
        </w:tabs>
        <w:bidi w:val="0"/>
        <w:spacing w:after="0" w:line="240" w:lineRule="auto"/>
        <w:jc w:val="center"/>
        <w:rPr>
          <w:rFonts w:asciiTheme="majorBidi" w:eastAsia="GKDOO L+ MTSY" w:hAnsiTheme="majorBidi" w:cstheme="majorBidi"/>
          <w:b/>
          <w:bCs/>
          <w:sz w:val="20"/>
          <w:szCs w:val="20"/>
        </w:rPr>
      </w:pPr>
      <w:r>
        <w:rPr>
          <w:rFonts w:asciiTheme="majorBidi" w:eastAsia="GKDOO L+ MTSY" w:hAnsiTheme="majorBidi" w:cstheme="majorBidi"/>
          <w:b/>
          <w:bCs/>
          <w:sz w:val="20"/>
          <w:szCs w:val="20"/>
        </w:rPr>
        <w:t xml:space="preserve"> </w:t>
      </w:r>
      <w:r w:rsidR="009A022E" w:rsidRPr="009A022E">
        <w:rPr>
          <w:rFonts w:asciiTheme="majorBidi" w:eastAsia="GKDOO L+ MTSY" w:hAnsiTheme="majorBidi" w:cstheme="majorBidi"/>
          <w:b/>
          <w:bCs/>
          <w:sz w:val="20"/>
          <w:szCs w:val="20"/>
        </w:rPr>
        <w:t>Experimental</w:t>
      </w:r>
    </w:p>
    <w:p w14:paraId="2395CD4B" w14:textId="3517FD31"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Chemical</w:t>
      </w:r>
      <w:r w:rsidR="00BA5019">
        <w:rPr>
          <w:rFonts w:asciiTheme="majorBidi" w:eastAsia="GKDOO L+ MTSY" w:hAnsiTheme="majorBidi" w:cstheme="majorBidi"/>
          <w:b/>
          <w:bCs/>
          <w:sz w:val="20"/>
          <w:szCs w:val="20"/>
        </w:rPr>
        <w:t xml:space="preserve"> </w:t>
      </w:r>
      <w:r w:rsidRPr="009A022E">
        <w:rPr>
          <w:rFonts w:asciiTheme="majorBidi" w:eastAsia="GKDOO L+ MTSY" w:hAnsiTheme="majorBidi" w:cstheme="majorBidi"/>
          <w:b/>
          <w:bCs/>
          <w:sz w:val="20"/>
          <w:szCs w:val="20"/>
        </w:rPr>
        <w:t>s</w:t>
      </w:r>
      <w:r w:rsidR="00BA5019">
        <w:rPr>
          <w:rFonts w:asciiTheme="majorBidi" w:eastAsia="GKDOO L+ MTSY" w:hAnsiTheme="majorBidi" w:cstheme="majorBidi"/>
          <w:b/>
          <w:bCs/>
          <w:sz w:val="20"/>
          <w:szCs w:val="20"/>
        </w:rPr>
        <w:t>ubst</w:t>
      </w:r>
      <w:r w:rsidR="007A7698">
        <w:rPr>
          <w:rFonts w:asciiTheme="majorBidi" w:eastAsia="GKDOO L+ MTSY" w:hAnsiTheme="majorBidi" w:cstheme="majorBidi"/>
          <w:b/>
          <w:bCs/>
          <w:sz w:val="20"/>
          <w:szCs w:val="20"/>
        </w:rPr>
        <w:t>a</w:t>
      </w:r>
      <w:r w:rsidR="00BA5019">
        <w:rPr>
          <w:rFonts w:asciiTheme="majorBidi" w:eastAsia="GKDOO L+ MTSY" w:hAnsiTheme="majorBidi" w:cstheme="majorBidi"/>
          <w:b/>
          <w:bCs/>
          <w:sz w:val="20"/>
          <w:szCs w:val="20"/>
        </w:rPr>
        <w:t>nces</w:t>
      </w:r>
      <w:r w:rsidRPr="009A022E">
        <w:rPr>
          <w:rFonts w:asciiTheme="majorBidi" w:eastAsia="GKDOO L+ MTSY" w:hAnsiTheme="majorBidi" w:cstheme="majorBidi"/>
          <w:b/>
          <w:bCs/>
          <w:sz w:val="20"/>
          <w:szCs w:val="20"/>
        </w:rPr>
        <w:t xml:space="preserve"> and reagents</w:t>
      </w:r>
      <w:r w:rsidR="00BA5019">
        <w:rPr>
          <w:rFonts w:asciiTheme="majorBidi" w:eastAsia="GKDOO L+ MTSY" w:hAnsiTheme="majorBidi" w:cstheme="majorBidi" w:hint="cs"/>
          <w:b/>
          <w:bCs/>
          <w:sz w:val="20"/>
          <w:szCs w:val="20"/>
          <w:rtl/>
        </w:rPr>
        <w:t xml:space="preserve"> </w:t>
      </w:r>
      <w:r w:rsidR="00BA5019">
        <w:rPr>
          <w:rFonts w:asciiTheme="majorBidi" w:eastAsia="GKDOO L+ MTSY" w:hAnsiTheme="majorBidi" w:cstheme="majorBidi"/>
          <w:b/>
          <w:bCs/>
          <w:sz w:val="20"/>
          <w:szCs w:val="20"/>
        </w:rPr>
        <w:t xml:space="preserve"> </w:t>
      </w:r>
    </w:p>
    <w:p w14:paraId="44F176AF" w14:textId="275670CA" w:rsidR="009A022E" w:rsidRDefault="006B1468" w:rsidP="006B1468">
      <w:pPr>
        <w:pStyle w:val="ListParagraph"/>
        <w:tabs>
          <w:tab w:val="left" w:pos="567"/>
        </w:tabs>
        <w:bidi w:val="0"/>
        <w:spacing w:after="0" w:line="240" w:lineRule="auto"/>
        <w:ind w:left="0"/>
        <w:jc w:val="both"/>
        <w:rPr>
          <w:rFonts w:asciiTheme="majorBidi" w:eastAsia="GKDOO L+ MTSY" w:hAnsiTheme="majorBidi" w:cstheme="majorBidi"/>
          <w:sz w:val="20"/>
          <w:szCs w:val="20"/>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All </w:t>
      </w:r>
      <w:r w:rsidR="00BA5019">
        <w:rPr>
          <w:rFonts w:asciiTheme="majorBidi" w:eastAsia="GKDOO L+ MTSY" w:hAnsiTheme="majorBidi" w:cstheme="majorBidi"/>
          <w:sz w:val="20"/>
          <w:szCs w:val="20"/>
        </w:rPr>
        <w:t>chemical</w:t>
      </w:r>
      <w:r w:rsidR="009A022E" w:rsidRPr="009A022E">
        <w:rPr>
          <w:rFonts w:asciiTheme="majorBidi" w:eastAsia="GKDOO L+ MTSY" w:hAnsiTheme="majorBidi" w:cstheme="majorBidi"/>
          <w:sz w:val="20"/>
          <w:szCs w:val="20"/>
        </w:rPr>
        <w:t xml:space="preserve">s </w:t>
      </w:r>
      <w:r w:rsidR="00BA5019">
        <w:rPr>
          <w:rFonts w:asciiTheme="majorBidi" w:eastAsia="GKDOO L+ MTSY" w:hAnsiTheme="majorBidi" w:cstheme="majorBidi"/>
          <w:sz w:val="20"/>
          <w:szCs w:val="20"/>
        </w:rPr>
        <w:t xml:space="preserve">with </w:t>
      </w:r>
      <w:r w:rsidR="009A022E" w:rsidRPr="009A022E">
        <w:rPr>
          <w:rFonts w:asciiTheme="majorBidi" w:eastAsia="GKDOO L+ MTSY" w:hAnsiTheme="majorBidi" w:cstheme="majorBidi"/>
          <w:sz w:val="20"/>
          <w:szCs w:val="20"/>
        </w:rPr>
        <w:t>analytical grade were purchased from Merck and used as</w:t>
      </w:r>
      <w:r w:rsidR="00BA5019">
        <w:rPr>
          <w:rFonts w:asciiTheme="majorBidi" w:eastAsia="GKDOO L+ MTSY" w:hAnsiTheme="majorBidi" w:cstheme="majorBidi"/>
          <w:sz w:val="20"/>
          <w:szCs w:val="20"/>
        </w:rPr>
        <w:t xml:space="preserve"> soon as</w:t>
      </w:r>
      <w:r w:rsidR="009A022E" w:rsidRPr="009A022E">
        <w:rPr>
          <w:rFonts w:asciiTheme="majorBidi" w:eastAsia="GKDOO L+ MTSY" w:hAnsiTheme="majorBidi" w:cstheme="majorBidi"/>
          <w:sz w:val="20"/>
          <w:szCs w:val="20"/>
        </w:rPr>
        <w:t xml:space="preserve"> received. Indigo Carmine dye, di sodium salt, was used for preparing the solutions. The solution of Hg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xml:space="preserve"> and all cations, including Na</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K</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Mg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Sr</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Ba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3+</w:t>
      </w:r>
      <w:r w:rsidR="009A022E" w:rsidRPr="009A022E">
        <w:rPr>
          <w:rFonts w:asciiTheme="majorBidi" w:eastAsia="GKDOO L+ MTSY" w:hAnsiTheme="majorBidi" w:cstheme="majorBidi"/>
          <w:sz w:val="20"/>
          <w:szCs w:val="20"/>
        </w:rPr>
        <w:t>, Co</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Ni</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Cu</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Zn</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Ag</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Cd</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Pb</w:t>
      </w:r>
      <w:r w:rsidR="009A022E" w:rsidRPr="009A022E">
        <w:rPr>
          <w:rFonts w:asciiTheme="majorBidi" w:eastAsia="GKDOO L+ MTSY" w:hAnsiTheme="majorBidi" w:cstheme="majorBidi"/>
          <w:sz w:val="20"/>
          <w:szCs w:val="20"/>
          <w:vertAlign w:val="superscript"/>
        </w:rPr>
        <w:t xml:space="preserve">2+ </w:t>
      </w:r>
      <w:r w:rsidR="009A022E" w:rsidRPr="009A022E">
        <w:rPr>
          <w:rFonts w:asciiTheme="majorBidi" w:eastAsia="GKDOO L+ MTSY" w:hAnsiTheme="majorBidi" w:cstheme="majorBidi"/>
          <w:sz w:val="20"/>
          <w:szCs w:val="20"/>
        </w:rPr>
        <w:t xml:space="preserve">was prepared with its nitrate salt in deionized water.  </w:t>
      </w:r>
    </w:p>
    <w:p w14:paraId="4BF3E72E" w14:textId="77777777" w:rsidR="00BA5019" w:rsidRDefault="00BA5019"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E62F981" w14:textId="0FE4E7B2" w:rsidR="009A022E" w:rsidRPr="005531A1" w:rsidRDefault="004C2AB4" w:rsidP="005531A1">
      <w:pPr>
        <w:pStyle w:val="ListParagraph"/>
        <w:numPr>
          <w:ilvl w:val="0"/>
          <w:numId w:val="6"/>
        </w:numPr>
        <w:tabs>
          <w:tab w:val="left" w:pos="567"/>
        </w:tabs>
        <w:autoSpaceDE w:val="0"/>
        <w:autoSpaceDN w:val="0"/>
        <w:bidi w:val="0"/>
        <w:adjustRightInd w:val="0"/>
        <w:spacing w:after="0" w:line="240" w:lineRule="auto"/>
        <w:jc w:val="both"/>
        <w:rPr>
          <w:rFonts w:asciiTheme="majorBidi" w:eastAsia="GKDOO L+ MTSY" w:hAnsiTheme="majorBidi" w:cstheme="majorBidi"/>
          <w:b/>
          <w:bCs/>
          <w:sz w:val="20"/>
          <w:szCs w:val="20"/>
        </w:rPr>
      </w:pPr>
      <w:r>
        <w:rPr>
          <w:rFonts w:asciiTheme="majorBidi" w:eastAsia="GKDOO L+ MTSY" w:hAnsiTheme="majorBidi" w:cstheme="majorBidi"/>
          <w:b/>
          <w:bCs/>
          <w:sz w:val="20"/>
          <w:szCs w:val="20"/>
        </w:rPr>
        <w:t>A</w:t>
      </w:r>
      <w:r w:rsidRPr="004C2AB4">
        <w:rPr>
          <w:rFonts w:asciiTheme="majorBidi" w:eastAsia="GKDOO L+ MTSY" w:hAnsiTheme="majorBidi" w:cstheme="majorBidi"/>
          <w:b/>
          <w:bCs/>
          <w:sz w:val="20"/>
          <w:szCs w:val="20"/>
        </w:rPr>
        <w:t>pparatus</w:t>
      </w:r>
    </w:p>
    <w:p w14:paraId="4E95C036" w14:textId="77777777" w:rsidR="002E60B3" w:rsidRDefault="006B1468" w:rsidP="002E60B3">
      <w:pPr>
        <w:tabs>
          <w:tab w:val="left" w:pos="567"/>
        </w:tabs>
        <w:autoSpaceDE w:val="0"/>
        <w:autoSpaceDN w:val="0"/>
        <w:adjustRightInd w:val="0"/>
        <w:spacing w:after="0" w:line="240" w:lineRule="auto"/>
        <w:jc w:val="both"/>
        <w:rPr>
          <w:rFonts w:asciiTheme="majorBidi" w:eastAsia="GKDOO L+ MTSY" w:hAnsiTheme="majorBidi" w:cstheme="majorBidi"/>
          <w:sz w:val="20"/>
          <w:szCs w:val="20"/>
          <w:rtl/>
          <w:lang w:bidi="fa-IR"/>
        </w:rPr>
      </w:pPr>
      <w:r>
        <w:rPr>
          <w:rFonts w:asciiTheme="majorBidi" w:eastAsia="GKDOO L+ MTSY" w:hAnsiTheme="majorBidi" w:cstheme="majorBidi"/>
          <w:sz w:val="20"/>
          <w:szCs w:val="20"/>
        </w:rPr>
        <w:tab/>
      </w:r>
      <w:r w:rsidR="002E60B3" w:rsidRPr="004C2AB4">
        <w:rPr>
          <w:rFonts w:asciiTheme="majorBidi" w:eastAsia="GKDOO L+ MTSY" w:hAnsiTheme="majorBidi" w:cstheme="majorBidi"/>
          <w:sz w:val="20"/>
          <w:szCs w:val="20"/>
        </w:rPr>
        <w:t>Shimadzu 1601 PC UV-</w:t>
      </w:r>
      <w:proofErr w:type="gramStart"/>
      <w:r w:rsidR="002E60B3" w:rsidRPr="004C2AB4">
        <w:rPr>
          <w:rFonts w:asciiTheme="majorBidi" w:eastAsia="GKDOO L+ MTSY" w:hAnsiTheme="majorBidi" w:cstheme="majorBidi"/>
          <w:sz w:val="20"/>
          <w:szCs w:val="20"/>
        </w:rPr>
        <w:t>Vis</w:t>
      </w:r>
      <w:proofErr w:type="gramEnd"/>
      <w:r w:rsidR="002E60B3" w:rsidRPr="004C2AB4">
        <w:rPr>
          <w:rFonts w:asciiTheme="majorBidi" w:eastAsia="GKDOO L+ MTSY" w:hAnsiTheme="majorBidi" w:cstheme="majorBidi"/>
          <w:sz w:val="20"/>
          <w:szCs w:val="20"/>
        </w:rPr>
        <w:t xml:space="preserve"> spectrophotometer with 10.0 mm diameter quartz cuvettes was used to record and measure all absorption spectra. Deionized water was used in the reference cell. A </w:t>
      </w:r>
      <w:proofErr w:type="spellStart"/>
      <w:r w:rsidR="002E60B3" w:rsidRPr="004C2AB4">
        <w:rPr>
          <w:rFonts w:asciiTheme="majorBidi" w:eastAsia="GKDOO L+ MTSY" w:hAnsiTheme="majorBidi" w:cstheme="majorBidi"/>
          <w:sz w:val="20"/>
          <w:szCs w:val="20"/>
        </w:rPr>
        <w:t>Jenway</w:t>
      </w:r>
      <w:proofErr w:type="spellEnd"/>
      <w:r w:rsidR="002E60B3" w:rsidRPr="004C2AB4">
        <w:rPr>
          <w:rFonts w:asciiTheme="majorBidi" w:eastAsia="GKDOO L+ MTSY" w:hAnsiTheme="majorBidi" w:cstheme="majorBidi"/>
          <w:sz w:val="20"/>
          <w:szCs w:val="20"/>
        </w:rPr>
        <w:t xml:space="preserve"> 3510 digital pH meter calibrated with </w:t>
      </w:r>
      <w:r w:rsidR="002E60B3">
        <w:rPr>
          <w:rFonts w:asciiTheme="majorBidi" w:eastAsia="GKDOO L+ MTSY" w:hAnsiTheme="majorBidi" w:cstheme="majorBidi"/>
          <w:sz w:val="20"/>
          <w:szCs w:val="20"/>
        </w:rPr>
        <w:t xml:space="preserve">two </w:t>
      </w:r>
      <w:r w:rsidR="002E60B3" w:rsidRPr="004C2AB4">
        <w:rPr>
          <w:rFonts w:asciiTheme="majorBidi" w:eastAsia="GKDOO L+ MTSY" w:hAnsiTheme="majorBidi" w:cstheme="majorBidi"/>
          <w:sz w:val="20"/>
          <w:szCs w:val="20"/>
        </w:rPr>
        <w:t>standard buffer solutions was used to measure pH</w:t>
      </w:r>
      <w:r w:rsidR="002E60B3">
        <w:rPr>
          <w:rFonts w:asciiTheme="majorBidi" w:eastAsia="GKDOO L+ MTSY" w:hAnsiTheme="majorBidi" w:cstheme="majorBidi"/>
          <w:sz w:val="20"/>
          <w:szCs w:val="20"/>
        </w:rPr>
        <w:t>s</w:t>
      </w:r>
      <w:r w:rsidR="002E60B3" w:rsidRPr="004C2AB4">
        <w:rPr>
          <w:rFonts w:asciiTheme="majorBidi" w:eastAsia="GKDOO L+ MTSY" w:hAnsiTheme="majorBidi" w:cstheme="majorBidi"/>
          <w:sz w:val="20"/>
          <w:szCs w:val="20"/>
        </w:rPr>
        <w:t xml:space="preserve">. Using a 50 </w:t>
      </w:r>
      <w:proofErr w:type="spellStart"/>
      <w:r w:rsidR="002E60B3" w:rsidRPr="009A022E">
        <w:rPr>
          <w:rFonts w:asciiTheme="majorBidi" w:eastAsia="GKDOO L+ MTSY" w:hAnsiTheme="majorBidi" w:cstheme="majorBidi"/>
          <w:sz w:val="20"/>
          <w:szCs w:val="20"/>
        </w:rPr>
        <w:t>μL</w:t>
      </w:r>
      <w:proofErr w:type="spellEnd"/>
      <w:r w:rsidR="002E60B3" w:rsidRPr="004C2AB4">
        <w:rPr>
          <w:rFonts w:asciiTheme="majorBidi" w:eastAsia="GKDOO L+ MTSY" w:hAnsiTheme="majorBidi" w:cstheme="majorBidi"/>
          <w:sz w:val="20"/>
          <w:szCs w:val="20"/>
        </w:rPr>
        <w:t xml:space="preserve"> Hamilton syringe, the desired amount of analyte solution was introduced into the cuvette.</w:t>
      </w:r>
    </w:p>
    <w:p w14:paraId="538A0771" w14:textId="77777777" w:rsidR="009A022E" w:rsidRPr="009A022E" w:rsidRDefault="009A022E"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14C584F" w14:textId="07F421F3"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 xml:space="preserve">Measurement </w:t>
      </w:r>
      <w:r w:rsidR="005E379F">
        <w:rPr>
          <w:rFonts w:asciiTheme="majorBidi" w:eastAsia="GKDOO L+ MTSY" w:hAnsiTheme="majorBidi" w:cstheme="majorBidi"/>
          <w:b/>
          <w:bCs/>
          <w:sz w:val="20"/>
          <w:szCs w:val="20"/>
        </w:rPr>
        <w:t>method</w:t>
      </w:r>
      <w:r w:rsidRPr="009A022E">
        <w:rPr>
          <w:rFonts w:asciiTheme="majorBidi" w:eastAsia="GKDOO L+ MTSY" w:hAnsiTheme="majorBidi" w:cstheme="majorBidi"/>
          <w:b/>
          <w:bCs/>
          <w:sz w:val="20"/>
          <w:szCs w:val="20"/>
        </w:rPr>
        <w:t xml:space="preserve">s </w:t>
      </w:r>
    </w:p>
    <w:p w14:paraId="18E4BBDF" w14:textId="7DF8EB21" w:rsidR="009A022E" w:rsidRDefault="006B1468"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lang w:val="en"/>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Stock solutions of IC and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2</w:t>
      </w:r>
      <w:r w:rsidR="009A022E" w:rsidRPr="009A022E">
        <w:rPr>
          <w:rFonts w:asciiTheme="majorBidi" w:eastAsia="GKDOO L+ MTSY" w:hAnsiTheme="majorBidi" w:cstheme="majorBidi"/>
          <w:sz w:val="20"/>
          <w:szCs w:val="20"/>
        </w:rPr>
        <w:t xml:space="preserve"> were prepared </w:t>
      </w:r>
      <w:r w:rsidR="00480C49" w:rsidRPr="00480C49">
        <w:rPr>
          <w:rFonts w:asciiTheme="majorBidi" w:eastAsia="GKDOO L+ MTSY" w:hAnsiTheme="majorBidi" w:cstheme="majorBidi"/>
          <w:sz w:val="20"/>
          <w:szCs w:val="20"/>
        </w:rPr>
        <w:t xml:space="preserve">with concentrations of </w:t>
      </w:r>
      <w:r w:rsidR="00480C49" w:rsidRPr="009A022E">
        <w:rPr>
          <w:rFonts w:asciiTheme="majorBidi" w:eastAsia="GKDOO L+ MTSY" w:hAnsiTheme="majorBidi" w:cstheme="majorBidi"/>
          <w:sz w:val="20"/>
          <w:szCs w:val="20"/>
        </w:rPr>
        <w:t>1.0 × 10</w:t>
      </w:r>
      <w:r w:rsidR="00480C49" w:rsidRPr="009A022E">
        <w:rPr>
          <w:rFonts w:asciiTheme="majorBidi" w:eastAsia="GKDOO L+ MTSY" w:hAnsiTheme="majorBidi" w:cstheme="majorBidi"/>
          <w:sz w:val="20"/>
          <w:szCs w:val="20"/>
          <w:vertAlign w:val="superscript"/>
        </w:rPr>
        <w:t>-3</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 xml:space="preserve">M and </w:t>
      </w:r>
      <w:r w:rsidR="00480C49" w:rsidRPr="009A022E">
        <w:rPr>
          <w:rFonts w:asciiTheme="majorBidi" w:eastAsia="GKDOO L+ MTSY" w:hAnsiTheme="majorBidi" w:cstheme="majorBidi"/>
          <w:sz w:val="20"/>
          <w:szCs w:val="20"/>
        </w:rPr>
        <w:t xml:space="preserve"> 1.0 × 10</w:t>
      </w:r>
      <w:r w:rsidR="00480C49" w:rsidRPr="009A022E">
        <w:rPr>
          <w:rFonts w:asciiTheme="majorBidi" w:eastAsia="GKDOO L+ MTSY" w:hAnsiTheme="majorBidi" w:cstheme="majorBidi"/>
          <w:sz w:val="20"/>
          <w:szCs w:val="20"/>
          <w:vertAlign w:val="superscript"/>
        </w:rPr>
        <w:t>-2</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M</w:t>
      </w:r>
      <w:r w:rsidR="00480C49" w:rsidRPr="009A022E">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in deionized </w:t>
      </w:r>
      <w:r w:rsidR="00480C49" w:rsidRPr="00480C49">
        <w:rPr>
          <w:rFonts w:asciiTheme="majorBidi" w:eastAsia="GKDOO L+ MTSY" w:hAnsiTheme="majorBidi" w:cstheme="majorBidi"/>
          <w:sz w:val="20"/>
          <w:szCs w:val="20"/>
        </w:rPr>
        <w:t xml:space="preserve">water, respectively. </w:t>
      </w:r>
      <w:r w:rsidR="00480C49">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Then, 3-540.0 µL of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 xml:space="preserve">2 </w:t>
      </w:r>
      <w:r w:rsidR="009A022E" w:rsidRPr="009A022E">
        <w:rPr>
          <w:rFonts w:asciiTheme="majorBidi" w:eastAsia="GKDOO L+ MTSY" w:hAnsiTheme="majorBidi" w:cstheme="majorBidi"/>
          <w:sz w:val="20"/>
          <w:szCs w:val="20"/>
        </w:rPr>
        <w:t xml:space="preserve">solution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0.1 mM was added to 2.0 mL of IC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25.0 µM. </w:t>
      </w:r>
      <w:r w:rsidR="009569DA" w:rsidRPr="009569DA">
        <w:rPr>
          <w:rStyle w:val="rynqvb"/>
          <w:rFonts w:asciiTheme="majorBidi" w:hAnsiTheme="majorBidi" w:cstheme="majorBidi"/>
          <w:sz w:val="20"/>
          <w:szCs w:val="20"/>
          <w:lang w:val="en"/>
        </w:rPr>
        <w:t>They were mixed and then the UV-vis spectr</w:t>
      </w:r>
      <w:r w:rsidR="005E379F">
        <w:rPr>
          <w:rStyle w:val="rynqvb"/>
          <w:rFonts w:asciiTheme="majorBidi" w:hAnsiTheme="majorBidi" w:cstheme="majorBidi"/>
          <w:sz w:val="20"/>
          <w:szCs w:val="20"/>
          <w:lang w:val="en"/>
        </w:rPr>
        <w:t>a</w:t>
      </w:r>
      <w:r w:rsidR="009569DA" w:rsidRPr="009569DA">
        <w:rPr>
          <w:rStyle w:val="rynqvb"/>
          <w:rFonts w:asciiTheme="majorBidi" w:hAnsiTheme="majorBidi" w:cstheme="majorBidi"/>
          <w:sz w:val="20"/>
          <w:szCs w:val="20"/>
          <w:lang w:val="en"/>
        </w:rPr>
        <w:t xml:space="preserve"> </w:t>
      </w:r>
      <w:r w:rsidR="005E379F">
        <w:rPr>
          <w:rStyle w:val="rynqvb"/>
          <w:rFonts w:asciiTheme="majorBidi" w:hAnsiTheme="majorBidi" w:cstheme="majorBidi"/>
          <w:sz w:val="20"/>
          <w:szCs w:val="20"/>
          <w:lang w:val="en"/>
        </w:rPr>
        <w:t>were</w:t>
      </w:r>
      <w:r w:rsidR="009569DA" w:rsidRPr="009569DA">
        <w:rPr>
          <w:rStyle w:val="rynqvb"/>
          <w:rFonts w:asciiTheme="majorBidi" w:hAnsiTheme="majorBidi" w:cstheme="majorBidi"/>
          <w:sz w:val="20"/>
          <w:szCs w:val="20"/>
          <w:lang w:val="en"/>
        </w:rPr>
        <w:t xml:space="preserve"> taken at room temperature.</w:t>
      </w:r>
      <w:r w:rsidR="009569DA">
        <w:rPr>
          <w:rStyle w:val="rynqvb"/>
          <w:rFonts w:asciiTheme="majorBidi" w:hAnsiTheme="majorBidi" w:cstheme="majorBidi"/>
          <w:sz w:val="20"/>
          <w:szCs w:val="20"/>
          <w:lang w:val="en"/>
        </w:rPr>
        <w:t xml:space="preserve"> </w:t>
      </w:r>
    </w:p>
    <w:p w14:paraId="55693AE4" w14:textId="77777777" w:rsidR="0085671E" w:rsidRDefault="0085671E"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rtl/>
          <w:lang w:val="en" w:bidi="fa-IR"/>
        </w:rPr>
      </w:pPr>
    </w:p>
    <w:p w14:paraId="45BA5AE3" w14:textId="478E1C4F" w:rsidR="009A022E" w:rsidRPr="005531A1" w:rsidRDefault="009A022E" w:rsidP="005531A1">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sz w:val="20"/>
          <w:szCs w:val="20"/>
        </w:rPr>
      </w:pPr>
      <w:r w:rsidRPr="005531A1">
        <w:rPr>
          <w:rFonts w:asciiTheme="majorBidi" w:hAnsiTheme="majorBidi" w:cstheme="majorBidi"/>
          <w:b/>
          <w:bCs/>
          <w:sz w:val="20"/>
          <w:szCs w:val="20"/>
        </w:rPr>
        <w:t>Results and discussion</w:t>
      </w:r>
    </w:p>
    <w:p w14:paraId="57551EE4" w14:textId="778EEB57" w:rsidR="00A963A0" w:rsidRDefault="00A963A0" w:rsidP="00A963A0">
      <w:pPr>
        <w:tabs>
          <w:tab w:val="left" w:pos="567"/>
        </w:tabs>
        <w:autoSpaceDE w:val="0"/>
        <w:autoSpaceDN w:val="0"/>
        <w:adjustRightInd w:val="0"/>
        <w:spacing w:after="0" w:line="240" w:lineRule="auto"/>
        <w:ind w:left="720"/>
        <w:jc w:val="both"/>
        <w:rPr>
          <w:rFonts w:asciiTheme="majorBidi" w:hAnsiTheme="majorBidi" w:cstheme="majorBidi"/>
          <w:sz w:val="20"/>
          <w:szCs w:val="20"/>
        </w:rPr>
      </w:pPr>
    </w:p>
    <w:p w14:paraId="798D0F63" w14:textId="5494EC9C" w:rsidR="00125971" w:rsidRPr="00FC1D88" w:rsidRDefault="00EF7E0D" w:rsidP="00FC1D88">
      <w:pPr>
        <w:spacing w:after="0" w:line="240" w:lineRule="auto"/>
        <w:ind w:firstLine="720"/>
        <w:jc w:val="both"/>
        <w:rPr>
          <w:rFonts w:asciiTheme="majorBidi" w:hAnsiTheme="majorBidi" w:cstheme="majorBidi"/>
          <w:sz w:val="20"/>
          <w:szCs w:val="20"/>
        </w:rPr>
      </w:pPr>
      <w:r w:rsidRPr="00EF7E0D">
        <w:rPr>
          <w:rFonts w:asciiTheme="majorBidi" w:hAnsiTheme="majorBidi" w:cstheme="majorBidi"/>
          <w:sz w:val="20"/>
          <w:szCs w:val="20"/>
        </w:rPr>
        <w:t xml:space="preserve">Different metal ions were added to the </w:t>
      </w:r>
      <w:r>
        <w:rPr>
          <w:rFonts w:asciiTheme="majorBidi" w:hAnsiTheme="majorBidi" w:cstheme="majorBidi"/>
          <w:sz w:val="20"/>
          <w:szCs w:val="20"/>
        </w:rPr>
        <w:t>solution of</w:t>
      </w:r>
      <w:r w:rsidRPr="00A963A0">
        <w:rPr>
          <w:rFonts w:asciiTheme="majorBidi" w:hAnsiTheme="majorBidi" w:cstheme="majorBidi"/>
          <w:sz w:val="20"/>
          <w:szCs w:val="20"/>
        </w:rPr>
        <w:t xml:space="preserve"> </w:t>
      </w:r>
      <w:r w:rsidRPr="00EF7E0D">
        <w:rPr>
          <w:rFonts w:asciiTheme="majorBidi" w:hAnsiTheme="majorBidi" w:cstheme="majorBidi"/>
          <w:sz w:val="20"/>
          <w:szCs w:val="20"/>
        </w:rPr>
        <w:t xml:space="preserve">IC, and the UV-Vis absorption spectrum was investigated. Among various metal species such as </w:t>
      </w:r>
      <w:r w:rsidRPr="009A022E">
        <w:rPr>
          <w:rFonts w:asciiTheme="majorBidi" w:hAnsiTheme="majorBidi" w:cstheme="majorBidi"/>
          <w:sz w:val="20"/>
          <w:szCs w:val="20"/>
        </w:rPr>
        <w:t>Na</w:t>
      </w:r>
      <w:r w:rsidRPr="009A022E">
        <w:rPr>
          <w:rFonts w:asciiTheme="majorBidi" w:hAnsiTheme="majorBidi" w:cstheme="majorBidi"/>
          <w:sz w:val="20"/>
          <w:szCs w:val="20"/>
          <w:vertAlign w:val="superscript"/>
        </w:rPr>
        <w:t>+</w:t>
      </w:r>
      <w:r w:rsidRPr="009A022E">
        <w:rPr>
          <w:rFonts w:asciiTheme="majorBidi" w:hAnsiTheme="majorBidi" w:cstheme="majorBidi"/>
          <w:sz w:val="20"/>
          <w:szCs w:val="20"/>
        </w:rPr>
        <w:t>, K</w:t>
      </w:r>
      <w:r w:rsidRPr="009A022E">
        <w:rPr>
          <w:rFonts w:asciiTheme="majorBidi" w:hAnsiTheme="majorBidi" w:cstheme="majorBidi"/>
          <w:sz w:val="20"/>
          <w:szCs w:val="20"/>
          <w:vertAlign w:val="superscript"/>
        </w:rPr>
        <w:t>+</w:t>
      </w:r>
      <w:r w:rsidRPr="009A022E">
        <w:rPr>
          <w:rFonts w:asciiTheme="majorBidi" w:hAnsiTheme="majorBidi" w:cstheme="majorBidi"/>
          <w:sz w:val="20"/>
          <w:szCs w:val="20"/>
        </w:rPr>
        <w:t>, Mg</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Ca</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Sr</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Ba</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Al</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Cd</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Sn</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Pb</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Bi</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Ti</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Cr</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Mn</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Fe</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Fe</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Co</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w:t>
      </w:r>
      <w:r w:rsidRPr="009A022E">
        <w:rPr>
          <w:rFonts w:asciiTheme="majorBidi" w:hAnsiTheme="majorBidi" w:cstheme="majorBidi"/>
          <w:sz w:val="20"/>
          <w:szCs w:val="20"/>
          <w:vertAlign w:val="superscript"/>
        </w:rPr>
        <w:t xml:space="preserve"> </w:t>
      </w:r>
      <w:r w:rsidRPr="009A022E">
        <w:rPr>
          <w:rFonts w:asciiTheme="majorBidi" w:hAnsiTheme="majorBidi" w:cstheme="majorBidi"/>
          <w:sz w:val="20"/>
          <w:szCs w:val="20"/>
        </w:rPr>
        <w:t>Ni</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Cu</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Zn</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Ag</w:t>
      </w:r>
      <w:r w:rsidRPr="009A022E">
        <w:rPr>
          <w:rFonts w:asciiTheme="majorBidi" w:hAnsiTheme="majorBidi" w:cstheme="majorBidi"/>
          <w:sz w:val="20"/>
          <w:szCs w:val="20"/>
          <w:vertAlign w:val="superscript"/>
        </w:rPr>
        <w:t>+</w:t>
      </w:r>
      <w:r w:rsidRPr="009A022E">
        <w:rPr>
          <w:rFonts w:asciiTheme="majorBidi" w:hAnsiTheme="majorBidi" w:cstheme="majorBidi"/>
          <w:sz w:val="20"/>
          <w:szCs w:val="20"/>
        </w:rPr>
        <w:t>, and Ce</w:t>
      </w:r>
      <w:r w:rsidRPr="009A022E">
        <w:rPr>
          <w:rFonts w:asciiTheme="majorBidi" w:hAnsiTheme="majorBidi" w:cstheme="majorBidi"/>
          <w:sz w:val="20"/>
          <w:szCs w:val="20"/>
          <w:vertAlign w:val="superscript"/>
        </w:rPr>
        <w:t>3+</w:t>
      </w:r>
      <w:r>
        <w:rPr>
          <w:rFonts w:asciiTheme="majorBidi" w:hAnsiTheme="majorBidi" w:cstheme="majorBidi"/>
          <w:sz w:val="20"/>
          <w:szCs w:val="20"/>
        </w:rPr>
        <w:t>,</w:t>
      </w:r>
      <w:r w:rsidRPr="009A022E">
        <w:rPr>
          <w:rFonts w:asciiTheme="majorBidi" w:hAnsiTheme="majorBidi" w:cstheme="majorBidi"/>
          <w:sz w:val="20"/>
          <w:szCs w:val="20"/>
        </w:rPr>
        <w:t xml:space="preserve"> </w:t>
      </w:r>
      <w:r w:rsidRPr="00EF7E0D">
        <w:rPr>
          <w:rFonts w:asciiTheme="majorBidi" w:hAnsiTheme="majorBidi" w:cstheme="majorBidi"/>
          <w:sz w:val="20"/>
          <w:szCs w:val="20"/>
        </w:rPr>
        <w:t>only Hg</w:t>
      </w:r>
      <w:r w:rsidRPr="00EF7E0D">
        <w:rPr>
          <w:rFonts w:asciiTheme="majorBidi" w:hAnsiTheme="majorBidi" w:cstheme="majorBidi"/>
          <w:sz w:val="20"/>
          <w:szCs w:val="20"/>
          <w:vertAlign w:val="superscript"/>
        </w:rPr>
        <w:t>2+</w:t>
      </w:r>
      <w:r w:rsidRPr="00EF7E0D">
        <w:rPr>
          <w:rFonts w:asciiTheme="majorBidi" w:hAnsiTheme="majorBidi" w:cstheme="majorBidi"/>
          <w:sz w:val="20"/>
          <w:szCs w:val="20"/>
        </w:rPr>
        <w:t xml:space="preserve"> showed a color change from indigo to light blue accompanied by a distinct spectral shift at 610.0 nm. Other species did not show changes in the spectrum and color of IC solution (Fig</w:t>
      </w:r>
      <w:r w:rsidR="00FC1D88">
        <w:rPr>
          <w:rFonts w:asciiTheme="majorBidi" w:hAnsiTheme="majorBidi" w:cstheme="majorBidi"/>
          <w:sz w:val="20"/>
          <w:szCs w:val="20"/>
        </w:rPr>
        <w:t>.</w:t>
      </w:r>
      <w:r w:rsidRPr="00EF7E0D">
        <w:rPr>
          <w:rFonts w:asciiTheme="majorBidi" w:hAnsiTheme="majorBidi" w:cstheme="majorBidi"/>
          <w:sz w:val="20"/>
          <w:szCs w:val="20"/>
        </w:rPr>
        <w:t xml:space="preserve"> 1).</w:t>
      </w:r>
    </w:p>
    <w:p w14:paraId="6A4D99FE" w14:textId="3F429CFB" w:rsidR="009A022E" w:rsidRPr="00125971" w:rsidRDefault="009A022E" w:rsidP="006B1468">
      <w:pPr>
        <w:tabs>
          <w:tab w:val="left" w:pos="567"/>
        </w:tabs>
        <w:autoSpaceDE w:val="0"/>
        <w:autoSpaceDN w:val="0"/>
        <w:adjustRightInd w:val="0"/>
        <w:spacing w:after="0" w:line="240" w:lineRule="auto"/>
        <w:jc w:val="center"/>
        <w:rPr>
          <w:rFonts w:asciiTheme="majorBidi" w:hAnsiTheme="majorBidi" w:cstheme="majorBidi"/>
          <w:sz w:val="16"/>
          <w:szCs w:val="16"/>
        </w:rPr>
      </w:pPr>
      <w:r w:rsidRPr="009A022E">
        <w:rPr>
          <w:rFonts w:asciiTheme="majorBidi" w:hAnsiTheme="majorBidi" w:cstheme="majorBidi"/>
          <w:sz w:val="20"/>
          <w:szCs w:val="20"/>
        </w:rPr>
        <w:t>(a)</w:t>
      </w:r>
      <w:r w:rsidRPr="009A022E">
        <w:rPr>
          <w:rFonts w:asciiTheme="majorBidi" w:hAnsiTheme="majorBidi" w:cstheme="majorBidi"/>
          <w:sz w:val="20"/>
          <w:szCs w:val="20"/>
        </w:rPr>
        <w:br w:type="textWrapping" w:clear="all"/>
      </w:r>
      <w:r w:rsidRPr="009A022E">
        <w:rPr>
          <w:rFonts w:asciiTheme="majorBidi" w:hAnsiTheme="majorBidi" w:cstheme="majorBidi"/>
          <w:noProof/>
          <w:sz w:val="20"/>
          <w:szCs w:val="20"/>
        </w:rPr>
        <w:drawing>
          <wp:inline distT="0" distB="0" distL="0" distR="0" wp14:anchorId="1FF30B2F" wp14:editId="4A00BE73">
            <wp:extent cx="3103418" cy="185177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508" cy="1921639"/>
                    </a:xfrm>
                    <a:prstGeom prst="rect">
                      <a:avLst/>
                    </a:prstGeom>
                    <a:noFill/>
                    <a:ln>
                      <a:noFill/>
                    </a:ln>
                  </pic:spPr>
                </pic:pic>
              </a:graphicData>
            </a:graphic>
          </wp:inline>
        </w:drawing>
      </w:r>
    </w:p>
    <w:p w14:paraId="3E19887B"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t>(b)</w:t>
      </w:r>
    </w:p>
    <w:p w14:paraId="74959D0A"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9971A58" wp14:editId="54DA7045">
            <wp:extent cx="5502102" cy="658934"/>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965" cy="664786"/>
                    </a:xfrm>
                    <a:prstGeom prst="rect">
                      <a:avLst/>
                    </a:prstGeom>
                    <a:noFill/>
                    <a:ln>
                      <a:noFill/>
                    </a:ln>
                  </pic:spPr>
                </pic:pic>
              </a:graphicData>
            </a:graphic>
          </wp:inline>
        </w:drawing>
      </w:r>
    </w:p>
    <w:p w14:paraId="28CF60DD" w14:textId="4D5B5555" w:rsidR="0085671E" w:rsidRPr="0085671E" w:rsidRDefault="009A022E" w:rsidP="0085671E">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1. (a) Absorption spectr</w:t>
      </w:r>
      <w:r w:rsidR="0085671E">
        <w:rPr>
          <w:rFonts w:asciiTheme="majorBidi" w:hAnsiTheme="majorBidi" w:cstheme="majorBidi"/>
          <w:b/>
          <w:bCs/>
          <w:sz w:val="20"/>
          <w:szCs w:val="20"/>
        </w:rPr>
        <w:t>um</w:t>
      </w:r>
      <w:r w:rsidRPr="009A022E">
        <w:rPr>
          <w:rFonts w:asciiTheme="majorBidi" w:hAnsiTheme="majorBidi" w:cstheme="majorBidi"/>
          <w:b/>
          <w:bCs/>
          <w:sz w:val="20"/>
          <w:szCs w:val="20"/>
        </w:rPr>
        <w:t xml:space="preserve">, (b) The color changes of IC (25.0 µM) </w:t>
      </w:r>
      <w:r w:rsidR="0085671E">
        <w:rPr>
          <w:rFonts w:asciiTheme="majorBidi" w:hAnsiTheme="majorBidi" w:cstheme="majorBidi"/>
          <w:b/>
          <w:bCs/>
          <w:sz w:val="20"/>
          <w:szCs w:val="20"/>
        </w:rPr>
        <w:t xml:space="preserve">with the different </w:t>
      </w:r>
      <w:r w:rsidRPr="009A022E">
        <w:rPr>
          <w:rFonts w:asciiTheme="majorBidi" w:hAnsiTheme="majorBidi" w:cstheme="majorBidi"/>
          <w:b/>
          <w:bCs/>
          <w:sz w:val="20"/>
          <w:szCs w:val="20"/>
        </w:rPr>
        <w:t>metal ions (1.0 equiv.).</w:t>
      </w:r>
    </w:p>
    <w:p w14:paraId="1640BB35" w14:textId="77777777" w:rsidR="007A7698" w:rsidRDefault="0085671E" w:rsidP="00E1485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p>
    <w:p w14:paraId="6608623F" w14:textId="2C718224" w:rsidR="00BE26E5" w:rsidRPr="000B4594" w:rsidRDefault="007A7698" w:rsidP="00BE26E5">
      <w:pPr>
        <w:tabs>
          <w:tab w:val="left" w:pos="567"/>
        </w:tabs>
        <w:autoSpaceDE w:val="0"/>
        <w:autoSpaceDN w:val="0"/>
        <w:adjustRightInd w:val="0"/>
        <w:spacing w:after="0" w:line="240" w:lineRule="auto"/>
        <w:jc w:val="both"/>
        <w:rPr>
          <w:rStyle w:val="rynqvb"/>
          <w:rtl/>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of IC 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Pr>
          <w:rFonts w:asciiTheme="majorBidi" w:hAnsiTheme="majorBidi" w:cstheme="majorBidi"/>
          <w:sz w:val="20"/>
          <w:szCs w:val="20"/>
        </w:rPr>
        <w:t>was</w:t>
      </w:r>
      <w:r w:rsidR="009A022E" w:rsidRPr="009A022E">
        <w:rPr>
          <w:rFonts w:asciiTheme="majorBidi" w:hAnsiTheme="majorBidi" w:cstheme="majorBidi"/>
          <w:sz w:val="20"/>
          <w:szCs w:val="20"/>
        </w:rPr>
        <w:t xml:space="preserve"> </w:t>
      </w:r>
      <w:r w:rsidR="00BE26E5" w:rsidRPr="00BE26E5">
        <w:rPr>
          <w:rFonts w:asciiTheme="majorBidi" w:hAnsiTheme="majorBidi" w:cstheme="majorBidi"/>
          <w:sz w:val="20"/>
          <w:szCs w:val="20"/>
        </w:rPr>
        <w:t xml:space="preserve">investigated </w:t>
      </w:r>
      <w:r w:rsidR="009A022E" w:rsidRPr="009A022E">
        <w:rPr>
          <w:rFonts w:asciiTheme="majorBidi" w:hAnsiTheme="majorBidi" w:cstheme="majorBidi"/>
          <w:sz w:val="20"/>
          <w:szCs w:val="20"/>
        </w:rPr>
        <w:t xml:space="preserve">by UV–vis titration (Fig. 2). </w:t>
      </w:r>
      <w:r w:rsidR="00BE26E5" w:rsidRPr="00BE26E5">
        <w:rPr>
          <w:rFonts w:asciiTheme="majorBidi" w:hAnsiTheme="majorBidi" w:cstheme="majorBidi"/>
          <w:sz w:val="20"/>
          <w:szCs w:val="20"/>
        </w:rPr>
        <w:t xml:space="preserve">When </w:t>
      </w:r>
      <w:r w:rsidR="009A022E" w:rsidRPr="009A022E">
        <w:rPr>
          <w:rFonts w:asciiTheme="majorBidi" w:hAnsiTheme="majorBidi" w:cstheme="majorBidi"/>
          <w:sz w:val="20"/>
          <w:szCs w:val="20"/>
        </w:rPr>
        <w:t>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sidR="00BE26E5" w:rsidRPr="00BE26E5">
        <w:rPr>
          <w:rFonts w:asciiTheme="majorBidi" w:hAnsiTheme="majorBidi" w:cstheme="majorBidi"/>
          <w:sz w:val="20"/>
          <w:szCs w:val="20"/>
        </w:rPr>
        <w:t xml:space="preserve">was added </w:t>
      </w:r>
      <w:r w:rsidR="009A022E" w:rsidRPr="009A022E">
        <w:rPr>
          <w:rFonts w:asciiTheme="majorBidi" w:hAnsiTheme="majorBidi" w:cstheme="majorBidi"/>
          <w:sz w:val="20"/>
          <w:szCs w:val="20"/>
        </w:rPr>
        <w:t xml:space="preserve">to IC, the absorption band at 610.0 nm gradually decreased and a new absorption band appeared at 666.5 nm. </w:t>
      </w:r>
      <w:r w:rsidR="00BE26E5" w:rsidRPr="00BE26E5">
        <w:rPr>
          <w:rFonts w:asciiTheme="majorBidi" w:hAnsiTheme="majorBidi" w:cstheme="majorBidi"/>
          <w:sz w:val="20"/>
          <w:szCs w:val="20"/>
        </w:rPr>
        <w:t xml:space="preserve">In such a curve, an </w:t>
      </w:r>
      <w:r w:rsidR="006D55E8" w:rsidRPr="006D55E8">
        <w:rPr>
          <w:rStyle w:val="rynqvb"/>
          <w:rFonts w:asciiTheme="majorBidi" w:hAnsiTheme="majorBidi" w:cstheme="majorBidi"/>
          <w:sz w:val="20"/>
          <w:szCs w:val="20"/>
          <w:lang w:val="en"/>
        </w:rPr>
        <w:t>obvious</w:t>
      </w:r>
      <w:r w:rsidR="006D55E8">
        <w:rPr>
          <w:rStyle w:val="rynqvb"/>
          <w:lang w:val="en"/>
        </w:rPr>
        <w:t xml:space="preserve"> </w:t>
      </w:r>
      <w:r w:rsidR="009A022E" w:rsidRPr="009A022E">
        <w:rPr>
          <w:rFonts w:asciiTheme="majorBidi" w:hAnsiTheme="majorBidi" w:cstheme="majorBidi"/>
          <w:sz w:val="20"/>
          <w:szCs w:val="20"/>
        </w:rPr>
        <w:t xml:space="preserve">isosbestic point at 640.5 nm </w:t>
      </w:r>
      <w:r w:rsidR="00BE26E5" w:rsidRPr="00BE26E5">
        <w:rPr>
          <w:rFonts w:asciiTheme="majorBidi" w:hAnsiTheme="majorBidi" w:cstheme="majorBidi"/>
          <w:sz w:val="20"/>
          <w:szCs w:val="20"/>
        </w:rPr>
        <w:t xml:space="preserve">was observed, indicating </w:t>
      </w:r>
      <w:r w:rsidR="009A022E" w:rsidRPr="009A022E">
        <w:rPr>
          <w:rFonts w:asciiTheme="majorBidi" w:hAnsiTheme="majorBidi" w:cstheme="majorBidi"/>
          <w:sz w:val="20"/>
          <w:szCs w:val="20"/>
        </w:rPr>
        <w:t xml:space="preserve">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between 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The molar extinction coefficient of the peak at 610.0 nm is 3.58 × 10</w:t>
      </w:r>
      <w:r w:rsidR="009A022E" w:rsidRPr="009A022E">
        <w:rPr>
          <w:rFonts w:asciiTheme="majorBidi" w:hAnsiTheme="majorBidi" w:cstheme="majorBidi"/>
          <w:sz w:val="20"/>
          <w:szCs w:val="20"/>
          <w:vertAlign w:val="superscript"/>
        </w:rPr>
        <w:t>4</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 xml:space="preserve">-1 </w:t>
      </w:r>
      <w:r w:rsidR="009A022E" w:rsidRPr="009A022E">
        <w:rPr>
          <w:rFonts w:asciiTheme="majorBidi" w:hAnsiTheme="majorBidi" w:cstheme="majorBidi"/>
          <w:sz w:val="20"/>
          <w:szCs w:val="20"/>
        </w:rPr>
        <w:t>and the new peak at 666.5 nm is 4.36 × 10</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 xml:space="preserve">, </w:t>
      </w:r>
      <w:r w:rsidR="00E14859" w:rsidRPr="00E14859">
        <w:rPr>
          <w:rStyle w:val="rynqvb"/>
          <w:rFonts w:asciiTheme="majorBidi" w:hAnsiTheme="majorBidi" w:cstheme="majorBidi"/>
          <w:sz w:val="20"/>
          <w:szCs w:val="20"/>
          <w:lang w:val="en"/>
        </w:rPr>
        <w:t>indicating a mercury-based d-d transition</w:t>
      </w:r>
      <w:r w:rsidR="00BE26E5" w:rsidRPr="00BE26E5">
        <w:rPr>
          <w:rFonts w:asciiTheme="majorBidi" w:hAnsiTheme="majorBidi" w:cstheme="majorBidi"/>
          <w:sz w:val="20"/>
          <w:szCs w:val="20"/>
        </w:rPr>
        <w:t xml:space="preserve"> </w:t>
      </w:r>
      <w:r w:rsidR="00BE26E5" w:rsidRPr="00BE26E5">
        <w:rPr>
          <w:rFonts w:asciiTheme="majorBidi" w:hAnsiTheme="majorBidi" w:cstheme="majorBidi"/>
          <w:sz w:val="20"/>
          <w:szCs w:val="20"/>
        </w:rPr>
        <w:t>and can be considered as the metal-to-ligand charge transfer mechanism. (MLCT) mechanism.</w:t>
      </w:r>
    </w:p>
    <w:p w14:paraId="3E52AFBC" w14:textId="199A624B" w:rsidR="00E14859" w:rsidRPr="000B4594" w:rsidRDefault="00BE26E5" w:rsidP="00BE26E5">
      <w:pPr>
        <w:tabs>
          <w:tab w:val="left" w:pos="567"/>
        </w:tabs>
        <w:autoSpaceDE w:val="0"/>
        <w:autoSpaceDN w:val="0"/>
        <w:adjustRightInd w:val="0"/>
        <w:spacing w:after="0" w:line="240" w:lineRule="auto"/>
        <w:jc w:val="both"/>
        <w:rPr>
          <w:rStyle w:val="rynqvb"/>
          <w:rtl/>
        </w:rPr>
      </w:pPr>
      <w:r>
        <w:rPr>
          <w:rFonts w:asciiTheme="majorBidi" w:hAnsiTheme="majorBidi" w:cstheme="majorBidi"/>
          <w:sz w:val="20"/>
          <w:szCs w:val="20"/>
        </w:rPr>
        <w:tab/>
      </w:r>
    </w:p>
    <w:p w14:paraId="60D245C6" w14:textId="68D7EAAC"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B11D9C9" wp14:editId="56DCE23D">
            <wp:extent cx="3579669" cy="2202873"/>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4560" cy="2236652"/>
                    </a:xfrm>
                    <a:prstGeom prst="rect">
                      <a:avLst/>
                    </a:prstGeom>
                    <a:noFill/>
                    <a:ln>
                      <a:noFill/>
                    </a:ln>
                  </pic:spPr>
                </pic:pic>
              </a:graphicData>
            </a:graphic>
          </wp:inline>
        </w:drawing>
      </w:r>
    </w:p>
    <w:p w14:paraId="7DCB9BB6" w14:textId="77777777" w:rsidR="009A022E" w:rsidRPr="009A022E" w:rsidRDefault="009A022E" w:rsidP="006B1468">
      <w:pPr>
        <w:tabs>
          <w:tab w:val="left" w:pos="567"/>
        </w:tabs>
        <w:autoSpaceDE w:val="0"/>
        <w:autoSpaceDN w:val="0"/>
        <w:adjustRightInd w:val="0"/>
        <w:spacing w:after="0" w:line="240" w:lineRule="auto"/>
        <w:rPr>
          <w:rFonts w:asciiTheme="majorBidi" w:hAnsiTheme="majorBidi" w:cstheme="majorBidi"/>
          <w:sz w:val="20"/>
          <w:szCs w:val="20"/>
        </w:rPr>
      </w:pPr>
    </w:p>
    <w:p w14:paraId="2D5AA27B" w14:textId="77777777" w:rsidR="009B1D6C"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2. UV–vis IC </w:t>
      </w:r>
      <w:r w:rsidR="00EB2595" w:rsidRPr="009A022E">
        <w:rPr>
          <w:rFonts w:asciiTheme="majorBidi" w:hAnsiTheme="majorBidi" w:cstheme="majorBidi"/>
          <w:b/>
          <w:bCs/>
          <w:sz w:val="20"/>
          <w:szCs w:val="20"/>
        </w:rPr>
        <w:t>spectr</w:t>
      </w:r>
      <w:r w:rsidR="00EB2595">
        <w:rPr>
          <w:rFonts w:asciiTheme="majorBidi" w:hAnsiTheme="majorBidi" w:cstheme="majorBidi"/>
          <w:b/>
          <w:bCs/>
          <w:sz w:val="20"/>
          <w:szCs w:val="20"/>
        </w:rPr>
        <w:t>um</w:t>
      </w:r>
      <w:r w:rsidR="00EB2595" w:rsidRPr="009A022E">
        <w:rPr>
          <w:rFonts w:asciiTheme="majorBidi" w:hAnsiTheme="majorBidi" w:cstheme="majorBidi"/>
          <w:b/>
          <w:bCs/>
          <w:sz w:val="20"/>
          <w:szCs w:val="20"/>
        </w:rPr>
        <w:t xml:space="preserve"> </w:t>
      </w:r>
      <w:r w:rsidRPr="009A022E">
        <w:rPr>
          <w:rFonts w:asciiTheme="majorBidi" w:hAnsiTheme="majorBidi" w:cstheme="majorBidi"/>
          <w:b/>
          <w:bCs/>
          <w:sz w:val="20"/>
          <w:szCs w:val="20"/>
        </w:rPr>
        <w:t xml:space="preserve">(25.0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sidR="00EB2595">
        <w:rPr>
          <w:rFonts w:asciiTheme="majorBidi" w:hAnsiTheme="majorBidi" w:cstheme="majorBidi"/>
          <w:b/>
          <w:bCs/>
          <w:sz w:val="20"/>
          <w:szCs w:val="20"/>
        </w:rPr>
        <w:t>with stepwise</w:t>
      </w:r>
      <w:r w:rsidRPr="009A022E">
        <w:rPr>
          <w:rFonts w:asciiTheme="majorBidi" w:hAnsiTheme="majorBidi" w:cstheme="majorBidi"/>
          <w:b/>
          <w:bCs/>
          <w:sz w:val="20"/>
          <w:szCs w:val="20"/>
        </w:rPr>
        <w:t xml:space="preserve"> addition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(0.15–21.26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w:t>
      </w:r>
      <w:r w:rsidR="00BE26E5">
        <w:rPr>
          <w:rFonts w:asciiTheme="majorBidi" w:hAnsiTheme="majorBidi" w:cstheme="majorBidi"/>
          <w:b/>
          <w:bCs/>
          <w:sz w:val="20"/>
          <w:szCs w:val="20"/>
        </w:rPr>
        <w:t xml:space="preserve"> and</w:t>
      </w:r>
    </w:p>
    <w:p w14:paraId="2D1FAB56" w14:textId="7CC64DCC" w:rsidR="009A022E" w:rsidRDefault="009B1D6C" w:rsidP="009B1D6C">
      <w:pPr>
        <w:tabs>
          <w:tab w:val="left" w:pos="567"/>
        </w:tabs>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 xml:space="preserve">the </w:t>
      </w:r>
      <w:r w:rsidRPr="009A022E">
        <w:rPr>
          <w:rFonts w:asciiTheme="majorBidi" w:hAnsiTheme="majorBidi" w:cstheme="majorBidi"/>
          <w:b/>
          <w:bCs/>
          <w:sz w:val="20"/>
          <w:szCs w:val="20"/>
        </w:rPr>
        <w:t>color change</w:t>
      </w:r>
      <w:r>
        <w:rPr>
          <w:rFonts w:asciiTheme="majorBidi" w:hAnsiTheme="majorBidi" w:cstheme="majorBidi"/>
          <w:b/>
          <w:bCs/>
          <w:sz w:val="20"/>
          <w:szCs w:val="20"/>
        </w:rPr>
        <w:t xml:space="preserve"> of </w:t>
      </w:r>
      <w:r w:rsidR="00EB2595" w:rsidRPr="009A022E">
        <w:rPr>
          <w:rFonts w:asciiTheme="majorBidi" w:hAnsiTheme="majorBidi" w:cstheme="majorBidi"/>
          <w:b/>
          <w:bCs/>
          <w:sz w:val="20"/>
          <w:szCs w:val="20"/>
        </w:rPr>
        <w:t>IC</w:t>
      </w:r>
      <w:r w:rsidR="009A022E" w:rsidRPr="009A022E">
        <w:rPr>
          <w:rFonts w:asciiTheme="majorBidi" w:hAnsiTheme="majorBidi" w:cstheme="majorBidi"/>
          <w:b/>
          <w:bCs/>
          <w:sz w:val="20"/>
          <w:szCs w:val="20"/>
        </w:rPr>
        <w:t>.</w:t>
      </w:r>
    </w:p>
    <w:p w14:paraId="7ED27535" w14:textId="28C7DA5A" w:rsidR="009A022E" w:rsidRDefault="009A022E" w:rsidP="00A07D0A">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t xml:space="preserve"> </w:t>
      </w:r>
    </w:p>
    <w:p w14:paraId="1F3F45E1" w14:textId="6DE843F2" w:rsidR="00A07D0A" w:rsidRDefault="00A07D0A" w:rsidP="005912B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proofErr w:type="spellStart"/>
      <w:r w:rsidRPr="00A07D0A">
        <w:rPr>
          <w:rFonts w:asciiTheme="majorBidi" w:hAnsiTheme="majorBidi" w:cstheme="majorBidi"/>
          <w:sz w:val="20"/>
          <w:szCs w:val="20"/>
        </w:rPr>
        <w:t>Benesi</w:t>
      </w:r>
      <w:proofErr w:type="spellEnd"/>
      <w:r w:rsidRPr="00A07D0A">
        <w:rPr>
          <w:rFonts w:asciiTheme="majorBidi" w:hAnsiTheme="majorBidi" w:cstheme="majorBidi"/>
          <w:sz w:val="20"/>
          <w:szCs w:val="20"/>
        </w:rPr>
        <w:t>-Hildebrand analysis [18] was used to determine the stoichiometry of IC binding to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A</w:t>
      </w:r>
      <w:r>
        <w:rPr>
          <w:rFonts w:asciiTheme="majorBidi" w:hAnsiTheme="majorBidi" w:cstheme="majorBidi"/>
          <w:sz w:val="20"/>
          <w:szCs w:val="20"/>
        </w:rPr>
        <w:t>b</w:t>
      </w:r>
      <w:r w:rsidRPr="00A07D0A">
        <w:rPr>
          <w:rFonts w:asciiTheme="majorBidi" w:hAnsiTheme="majorBidi" w:cstheme="majorBidi"/>
          <w:sz w:val="20"/>
          <w:szCs w:val="20"/>
        </w:rPr>
        <w:t>sorption titration data (Fig</w:t>
      </w:r>
      <w:r>
        <w:rPr>
          <w:rFonts w:asciiTheme="majorBidi" w:hAnsiTheme="majorBidi" w:cstheme="majorBidi"/>
          <w:sz w:val="20"/>
          <w:szCs w:val="20"/>
        </w:rPr>
        <w:t>.</w:t>
      </w:r>
      <w:r w:rsidRPr="00A07D0A">
        <w:rPr>
          <w:rFonts w:asciiTheme="majorBidi" w:hAnsiTheme="majorBidi" w:cstheme="majorBidi"/>
          <w:sz w:val="20"/>
          <w:szCs w:val="20"/>
        </w:rPr>
        <w:t xml:space="preserve"> 3) show that the complex formed between IC and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xml:space="preserve"> has a stoichiometric ratio of 1:1 (Eq</w:t>
      </w:r>
      <w:r>
        <w:rPr>
          <w:rFonts w:asciiTheme="majorBidi" w:hAnsiTheme="majorBidi" w:cstheme="majorBidi"/>
          <w:sz w:val="20"/>
          <w:szCs w:val="20"/>
        </w:rPr>
        <w:t>.</w:t>
      </w:r>
      <w:r w:rsidRPr="00A07D0A">
        <w:rPr>
          <w:rFonts w:asciiTheme="majorBidi" w:hAnsiTheme="majorBidi" w:cstheme="majorBidi"/>
          <w:sz w:val="20"/>
          <w:szCs w:val="20"/>
        </w:rPr>
        <w:t xml:space="preserve"> 1) and the binding constant of Hg</w:t>
      </w:r>
      <w:r w:rsidRPr="00A07D0A">
        <w:rPr>
          <w:rFonts w:asciiTheme="majorBidi" w:hAnsiTheme="majorBidi" w:cstheme="majorBidi"/>
          <w:sz w:val="20"/>
          <w:szCs w:val="20"/>
          <w:vertAlign w:val="superscript"/>
        </w:rPr>
        <w:t>2+</w:t>
      </w:r>
      <w:r w:rsidRPr="00A07D0A">
        <w:rPr>
          <w:rFonts w:asciiTheme="majorBidi" w:hAnsiTheme="majorBidi" w:cstheme="majorBidi"/>
          <w:sz w:val="20"/>
          <w:szCs w:val="20"/>
        </w:rPr>
        <w:t xml:space="preserve"> is </w:t>
      </w:r>
      <w:r w:rsidRPr="009A022E">
        <w:rPr>
          <w:rFonts w:asciiTheme="majorBidi" w:hAnsiTheme="majorBidi" w:cstheme="majorBidi"/>
          <w:sz w:val="20"/>
          <w:szCs w:val="20"/>
        </w:rPr>
        <w:t>2.77×10</w:t>
      </w:r>
      <w:r w:rsidRPr="009A022E">
        <w:rPr>
          <w:rFonts w:asciiTheme="majorBidi" w:hAnsiTheme="majorBidi" w:cstheme="majorBidi"/>
          <w:sz w:val="20"/>
          <w:szCs w:val="20"/>
          <w:vertAlign w:val="superscript"/>
        </w:rPr>
        <w:t>3</w:t>
      </w:r>
      <w:r w:rsidRPr="009A022E">
        <w:rPr>
          <w:rFonts w:asciiTheme="majorBidi" w:hAnsiTheme="majorBidi" w:cstheme="majorBidi"/>
          <w:sz w:val="20"/>
          <w:szCs w:val="20"/>
        </w:rPr>
        <w:t xml:space="preserve"> M</w:t>
      </w:r>
      <w:r w:rsidRPr="009A022E">
        <w:rPr>
          <w:rFonts w:asciiTheme="majorBidi" w:hAnsiTheme="majorBidi" w:cstheme="majorBidi"/>
          <w:sz w:val="20"/>
          <w:szCs w:val="20"/>
          <w:vertAlign w:val="superscript"/>
        </w:rPr>
        <w:t>-1</w:t>
      </w:r>
      <w:r w:rsidRPr="00A07D0A">
        <w:rPr>
          <w:rFonts w:asciiTheme="majorBidi" w:hAnsiTheme="majorBidi" w:cstheme="majorBidi"/>
          <w:sz w:val="20"/>
          <w:szCs w:val="20"/>
        </w:rPr>
        <w:t>.</w:t>
      </w:r>
    </w:p>
    <w:p w14:paraId="76BE62D5" w14:textId="77777777" w:rsidR="00826DAB" w:rsidRDefault="00826DAB" w:rsidP="005912B8">
      <w:pPr>
        <w:tabs>
          <w:tab w:val="left" w:pos="567"/>
        </w:tabs>
        <w:autoSpaceDE w:val="0"/>
        <w:autoSpaceDN w:val="0"/>
        <w:adjustRightInd w:val="0"/>
        <w:spacing w:after="0" w:line="240" w:lineRule="auto"/>
        <w:jc w:val="both"/>
        <w:rPr>
          <w:rStyle w:val="rynqvb"/>
          <w:lang w:val="en"/>
        </w:rPr>
      </w:pPr>
    </w:p>
    <w:p w14:paraId="48B4EB91" w14:textId="04991ED7" w:rsidR="009A022E" w:rsidRPr="009A022E" w:rsidRDefault="009A022E" w:rsidP="005912B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r w:rsidRPr="009A022E">
        <w:rPr>
          <w:rFonts w:asciiTheme="majorBidi" w:hAnsiTheme="majorBidi" w:cstheme="majorBidi"/>
          <w:sz w:val="20"/>
          <w:szCs w:val="20"/>
        </w:rPr>
        <w:t xml:space="preserve">Eq. 1                </w:t>
      </w:r>
      <w:r w:rsidRPr="009A022E">
        <w:rPr>
          <w:rFonts w:asciiTheme="majorBidi" w:eastAsia="Calibri" w:hAnsiTheme="majorBidi" w:cstheme="majorBidi"/>
          <w:sz w:val="20"/>
          <w:szCs w:val="20"/>
          <w:lang w:bidi="fa-IR"/>
        </w:rPr>
        <w:tab/>
      </w:r>
      <m:oMath>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r>
              <w:rPr>
                <w:rFonts w:ascii="Cambria Math" w:eastAsia="Calibri" w:hAnsi="Cambria Math" w:cstheme="majorBidi"/>
                <w:sz w:val="20"/>
                <w:szCs w:val="20"/>
                <w:rtl/>
              </w:rPr>
              <m:t>(</m:t>
            </m:r>
            <m:r>
              <w:rPr>
                <w:rFonts w:ascii="Cambria Math" w:eastAsia="Calibri" w:hAnsi="Cambria Math" w:cstheme="majorBidi"/>
                <w:sz w:val="20"/>
                <w:szCs w:val="20"/>
              </w:rPr>
              <m:t>A</m:t>
            </m:r>
            <m:sSub>
              <m:sSubPr>
                <m:ctrlPr>
                  <w:rPr>
                    <w:rFonts w:ascii="Cambria Math" w:eastAsia="Calibri" w:hAnsi="Cambria Math" w:cstheme="majorBidi"/>
                    <w:i/>
                    <w:sz w:val="20"/>
                    <w:szCs w:val="20"/>
                  </w:rPr>
                </m:ctrlPr>
              </m:sSubPr>
              <m:e>
                <m:r>
                  <w:rPr>
                    <w:rFonts w:ascii="Cambria Math" w:eastAsia="Calibri" w:hAnsi="Cambria Math" w:cstheme="majorBidi"/>
                    <w:sz w:val="20"/>
                    <w:szCs w:val="20"/>
                  </w:rPr>
                  <m:t>-A</m:t>
                </m:r>
              </m:e>
              <m:sub>
                <m:r>
                  <w:rPr>
                    <w:rFonts w:ascii="Cambria Math" w:eastAsia="Calibri" w:hAnsi="Cambria Math" w:cstheme="majorBidi"/>
                    <w:sz w:val="20"/>
                    <w:szCs w:val="20"/>
                  </w:rPr>
                  <m:t>0</m:t>
                </m:r>
              </m:sub>
            </m:sSub>
            <m:r>
              <w:rPr>
                <w:rFonts w:ascii="Cambria Math" w:eastAsia="Calibri" w:hAnsi="Cambria Math" w:cstheme="majorBidi"/>
                <w:sz w:val="20"/>
                <w:szCs w:val="20"/>
                <w:rtl/>
              </w:rPr>
              <m:t>)</m:t>
            </m:r>
          </m:den>
        </m:f>
        <m:r>
          <w:rPr>
            <w:rFonts w:ascii="Cambria Math" w:eastAsia="Calibri" w:hAnsi="Cambria Math" w:cstheme="majorBidi"/>
            <w:sz w:val="20"/>
            <w:szCs w:val="20"/>
            <w:lang w:bidi="fa-IR"/>
          </w:rPr>
          <m:t>=</m:t>
        </m:r>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m:t>
                </m:r>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A</m:t>
                    </m:r>
                  </m:e>
                  <m:sub>
                    <m:r>
                      <w:rPr>
                        <w:rFonts w:ascii="Cambria Math" w:eastAsia="Calibri" w:hAnsi="Cambria Math" w:cstheme="majorBidi"/>
                        <w:sz w:val="20"/>
                        <w:szCs w:val="20"/>
                        <w:lang w:bidi="fa-IR"/>
                      </w:rPr>
                      <m:t>max</m:t>
                    </m:r>
                  </m:sub>
                </m:sSub>
                <m:r>
                  <w:rPr>
                    <w:rFonts w:ascii="Cambria Math" w:eastAsia="Calibri" w:hAnsi="Cambria Math" w:cstheme="majorBidi"/>
                    <w:sz w:val="20"/>
                    <w:szCs w:val="20"/>
                    <w:lang w:bidi="fa-IR"/>
                  </w:rPr>
                  <m:t>-A</m:t>
                </m:r>
              </m:e>
              <m:sub>
                <m:r>
                  <w:rPr>
                    <w:rFonts w:ascii="Cambria Math" w:eastAsia="Calibri" w:hAnsi="Cambria Math" w:cstheme="majorBidi"/>
                    <w:sz w:val="20"/>
                    <w:szCs w:val="20"/>
                  </w:rPr>
                  <m:t>0</m:t>
                </m:r>
              </m:sub>
            </m:sSub>
            <m:r>
              <w:rPr>
                <w:rFonts w:ascii="Cambria Math" w:eastAsia="Calibri" w:hAnsi="Cambria Math" w:cstheme="majorBidi"/>
                <w:sz w:val="20"/>
                <w:szCs w:val="20"/>
                <w:lang w:bidi="fa-IR"/>
              </w:rPr>
              <m:t>)</m:t>
            </m:r>
          </m:den>
        </m:f>
        <m:d>
          <m:dPr>
            <m:begChr m:val="["/>
            <m:endChr m:val="]"/>
            <m:ctrlPr>
              <w:rPr>
                <w:rFonts w:ascii="Cambria Math" w:eastAsia="Calibri" w:hAnsi="Cambria Math" w:cstheme="majorBidi"/>
                <w:i/>
                <w:sz w:val="20"/>
                <w:szCs w:val="20"/>
                <w:lang w:bidi="fa-IR"/>
              </w:rPr>
            </m:ctrlPr>
          </m:dPr>
          <m:e>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K</m:t>
                    </m:r>
                  </m:e>
                  <m:sub>
                    <m:r>
                      <w:rPr>
                        <w:rFonts w:ascii="Cambria Math" w:eastAsia="Calibri" w:hAnsi="Cambria Math" w:cstheme="majorBidi"/>
                        <w:sz w:val="20"/>
                        <w:szCs w:val="20"/>
                        <w:lang w:bidi="fa-IR"/>
                      </w:rPr>
                      <m:t>ass</m:t>
                    </m:r>
                  </m:sub>
                </m:sSub>
                <m:sSup>
                  <m:sSupPr>
                    <m:ctrlPr>
                      <w:rPr>
                        <w:rFonts w:ascii="Cambria Math" w:eastAsia="Calibri" w:hAnsi="Cambria Math" w:cstheme="majorBidi"/>
                        <w:i/>
                        <w:sz w:val="20"/>
                        <w:szCs w:val="20"/>
                        <w:lang w:bidi="fa-IR"/>
                      </w:rPr>
                    </m:ctrlPr>
                  </m:sSupPr>
                  <m:e>
                    <m:d>
                      <m:dPr>
                        <m:begChr m:val="["/>
                        <m:endChr m:val="]"/>
                        <m:ctrlPr>
                          <w:rPr>
                            <w:rFonts w:ascii="Cambria Math" w:eastAsia="Calibri" w:hAnsi="Cambria Math" w:cstheme="majorBidi"/>
                            <w:i/>
                            <w:sz w:val="20"/>
                            <w:szCs w:val="20"/>
                            <w:lang w:bidi="fa-IR"/>
                          </w:rPr>
                        </m:ctrlPr>
                      </m:dPr>
                      <m:e>
                        <m:sSup>
                          <m:sSupPr>
                            <m:ctrlPr>
                              <w:rPr>
                                <w:rFonts w:ascii="Cambria Math" w:hAnsi="Cambria Math" w:cstheme="majorBidi"/>
                                <w:i/>
                                <w:sz w:val="20"/>
                                <w:szCs w:val="20"/>
                                <w:lang w:bidi="fa-IR"/>
                              </w:rPr>
                            </m:ctrlPr>
                          </m:sSupPr>
                          <m:e>
                            <m:r>
                              <w:rPr>
                                <w:rFonts w:ascii="Cambria Math" w:hAnsi="Cambria Math" w:cstheme="majorBidi"/>
                                <w:sz w:val="20"/>
                                <w:szCs w:val="20"/>
                                <w:lang w:bidi="fa-IR"/>
                              </w:rPr>
                              <m:t>Hg</m:t>
                            </m:r>
                          </m:e>
                          <m:sup>
                            <m:r>
                              <w:rPr>
                                <w:rFonts w:ascii="Cambria Math" w:hAnsi="Cambria Math" w:cstheme="majorBidi"/>
                                <w:sz w:val="20"/>
                                <w:szCs w:val="20"/>
                                <w:lang w:bidi="fa-IR"/>
                              </w:rPr>
                              <m:t>2+</m:t>
                            </m:r>
                          </m:sup>
                        </m:sSup>
                      </m:e>
                    </m:d>
                  </m:e>
                  <m:sup>
                    <m:r>
                      <w:rPr>
                        <w:rFonts w:ascii="Cambria Math" w:eastAsia="Calibri" w:hAnsi="Cambria Math" w:cstheme="majorBidi"/>
                        <w:sz w:val="20"/>
                        <w:szCs w:val="20"/>
                        <w:lang w:bidi="fa-IR"/>
                      </w:rPr>
                      <m:t>n</m:t>
                    </m:r>
                  </m:sup>
                </m:sSup>
              </m:den>
            </m:f>
            <m:r>
              <w:rPr>
                <w:rFonts w:ascii="Cambria Math" w:eastAsia="Calibri" w:hAnsi="Cambria Math" w:cstheme="majorBidi"/>
                <w:sz w:val="20"/>
                <w:szCs w:val="20"/>
                <w:lang w:bidi="fa-IR"/>
              </w:rPr>
              <m:t>+1</m:t>
            </m:r>
          </m:e>
        </m:d>
      </m:oMath>
    </w:p>
    <w:p w14:paraId="5FBDECEB"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436EC02"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A08CD24"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72E01F6A" wp14:editId="1B221CDF">
            <wp:extent cx="3931689" cy="2323638"/>
            <wp:effectExtent l="0" t="0" r="0" b="635"/>
            <wp:docPr id="7" name="Chart 7">
              <a:extLst xmlns:a="http://schemas.openxmlformats.org/drawingml/2006/main">
                <a:ext uri="{FF2B5EF4-FFF2-40B4-BE49-F238E27FC236}">
                  <a16:creationId xmlns:a16="http://schemas.microsoft.com/office/drawing/2014/main" id="{03DA5D23-8757-7D41-83CA-A945B61DE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B28B55" w14:textId="13109454"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3. </w:t>
      </w:r>
      <w:proofErr w:type="spellStart"/>
      <w:r w:rsidRPr="009A022E">
        <w:rPr>
          <w:rFonts w:asciiTheme="majorBidi" w:hAnsiTheme="majorBidi" w:cstheme="majorBidi"/>
          <w:b/>
          <w:bCs/>
          <w:sz w:val="20"/>
          <w:szCs w:val="20"/>
        </w:rPr>
        <w:t>Benesi</w:t>
      </w:r>
      <w:proofErr w:type="spellEnd"/>
      <w:r w:rsidRPr="009A022E">
        <w:rPr>
          <w:rFonts w:asciiTheme="majorBidi" w:hAnsiTheme="majorBidi" w:cstheme="majorBidi"/>
          <w:b/>
          <w:bCs/>
          <w:sz w:val="20"/>
          <w:szCs w:val="20"/>
        </w:rPr>
        <w:t>-Hildebrand plot of IC (1/(A</w:t>
      </w:r>
      <w:r w:rsidRPr="009A022E">
        <w:rPr>
          <w:rFonts w:asciiTheme="majorBidi" w:hAnsiTheme="majorBidi" w:cstheme="majorBidi"/>
          <w:b/>
          <w:bCs/>
          <w:sz w:val="20"/>
          <w:szCs w:val="20"/>
          <w:vertAlign w:val="subscript"/>
        </w:rPr>
        <w:t>0</w:t>
      </w:r>
      <w:r w:rsidRPr="009A022E">
        <w:rPr>
          <w:rFonts w:asciiTheme="majorBidi" w:hAnsiTheme="majorBidi" w:cstheme="majorBidi"/>
          <w:b/>
          <w:bCs/>
          <w:sz w:val="20"/>
          <w:szCs w:val="20"/>
        </w:rPr>
        <w:t xml:space="preserve">-A) </w:t>
      </w:r>
      <w:r w:rsidR="00826DAB">
        <w:rPr>
          <w:rFonts w:asciiTheme="majorBidi" w:hAnsiTheme="majorBidi" w:cstheme="majorBidi"/>
          <w:b/>
          <w:bCs/>
          <w:sz w:val="20"/>
          <w:szCs w:val="20"/>
        </w:rPr>
        <w:t xml:space="preserve">change </w:t>
      </w:r>
      <w:r w:rsidRPr="009A022E">
        <w:rPr>
          <w:rFonts w:asciiTheme="majorBidi" w:hAnsiTheme="majorBidi" w:cstheme="majorBidi"/>
          <w:b/>
          <w:bCs/>
          <w:sz w:val="20"/>
          <w:szCs w:val="20"/>
        </w:rPr>
        <w:t>at 610.0 nm versus 1/[Hg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r w:rsidR="00826DAB">
        <w:rPr>
          <w:rFonts w:asciiTheme="majorBidi" w:hAnsiTheme="majorBidi" w:cstheme="majorBidi"/>
          <w:b/>
          <w:bCs/>
          <w:sz w:val="20"/>
          <w:szCs w:val="20"/>
        </w:rPr>
        <w:t xml:space="preserve"> </w:t>
      </w:r>
      <w:r w:rsidR="00826DAB" w:rsidRPr="009A022E">
        <w:rPr>
          <w:rFonts w:asciiTheme="majorBidi" w:hAnsiTheme="majorBidi" w:cstheme="majorBidi"/>
          <w:b/>
          <w:bCs/>
          <w:sz w:val="20"/>
          <w:szCs w:val="20"/>
        </w:rPr>
        <w:t>function</w:t>
      </w:r>
      <w:r w:rsidRPr="009A022E">
        <w:rPr>
          <w:rFonts w:asciiTheme="majorBidi" w:hAnsiTheme="majorBidi" w:cstheme="majorBidi"/>
          <w:b/>
          <w:bCs/>
          <w:sz w:val="20"/>
          <w:szCs w:val="20"/>
        </w:rPr>
        <w:t>) based on 1:1 binding stoichiometry with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14:paraId="029830FF"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FAD028C" w14:textId="2CD081B2" w:rsidR="009A022E" w:rsidRDefault="00C63E3C" w:rsidP="005636D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In order to apply to the environmental systems, the pH dependence of IC in the absence and presence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was </w:t>
      </w:r>
      <w:r w:rsidR="005636D9">
        <w:rPr>
          <w:rFonts w:asciiTheme="majorBidi" w:hAnsiTheme="majorBidi" w:cstheme="majorBidi"/>
          <w:sz w:val="20"/>
          <w:szCs w:val="20"/>
        </w:rPr>
        <w:t>perform</w:t>
      </w:r>
      <w:r w:rsidR="009A022E" w:rsidRPr="009A022E">
        <w:rPr>
          <w:rFonts w:asciiTheme="majorBidi" w:hAnsiTheme="majorBidi" w:cstheme="majorBidi"/>
          <w:sz w:val="20"/>
          <w:szCs w:val="20"/>
        </w:rPr>
        <w:t xml:space="preserve">ed at </w:t>
      </w:r>
      <w:r w:rsidR="005636D9">
        <w:rPr>
          <w:rFonts w:asciiTheme="majorBidi" w:hAnsiTheme="majorBidi" w:cstheme="majorBidi"/>
          <w:sz w:val="20"/>
          <w:szCs w:val="20"/>
        </w:rPr>
        <w:t>different</w:t>
      </w:r>
      <w:r w:rsidR="009A022E" w:rsidRPr="009A022E">
        <w:rPr>
          <w:rFonts w:asciiTheme="majorBidi" w:hAnsiTheme="majorBidi" w:cstheme="majorBidi"/>
          <w:sz w:val="20"/>
          <w:szCs w:val="20"/>
        </w:rPr>
        <w:t xml:space="preserve"> pH (2.5-12.6) (Fig. 4). In </w:t>
      </w:r>
      <w:r w:rsidR="005636D9">
        <w:rPr>
          <w:rFonts w:asciiTheme="majorBidi" w:hAnsiTheme="majorBidi" w:cstheme="majorBidi"/>
          <w:sz w:val="20"/>
          <w:szCs w:val="20"/>
        </w:rPr>
        <w:t>the</w:t>
      </w:r>
      <w:r w:rsidR="009A022E" w:rsidRPr="009A022E">
        <w:rPr>
          <w:rFonts w:asciiTheme="majorBidi" w:hAnsiTheme="majorBidi" w:cstheme="majorBidi"/>
          <w:sz w:val="20"/>
          <w:szCs w:val="20"/>
        </w:rPr>
        <w:t xml:space="preserve"> pH</w:t>
      </w:r>
      <w:r w:rsidR="005636D9">
        <w:rPr>
          <w:rFonts w:asciiTheme="majorBidi" w:hAnsiTheme="majorBidi" w:cstheme="majorBidi"/>
          <w:sz w:val="20"/>
          <w:szCs w:val="20"/>
        </w:rPr>
        <w:t xml:space="preserve"> range</w:t>
      </w:r>
      <w:r w:rsidR="009A022E" w:rsidRPr="009A022E">
        <w:rPr>
          <w:rFonts w:asciiTheme="majorBidi" w:hAnsiTheme="majorBidi" w:cstheme="majorBidi"/>
          <w:sz w:val="20"/>
          <w:szCs w:val="20"/>
        </w:rPr>
        <w:t xml:space="preserve"> (2.5-7.0)</w:t>
      </w:r>
      <w:r w:rsidR="00714216">
        <w:rPr>
          <w:rFonts w:asciiTheme="majorBidi" w:hAnsiTheme="majorBidi" w:cstheme="majorBidi"/>
          <w:sz w:val="20"/>
          <w:szCs w:val="20"/>
        </w:rPr>
        <w:t>,</w:t>
      </w:r>
      <w:r w:rsidR="009A022E" w:rsidRPr="009A022E">
        <w:rPr>
          <w:rFonts w:asciiTheme="majorBidi" w:hAnsiTheme="majorBidi" w:cstheme="majorBidi"/>
          <w:sz w:val="20"/>
          <w:szCs w:val="20"/>
        </w:rPr>
        <w:t xml:space="preserve"> IC showed no change without the presence </w:t>
      </w:r>
      <w:r w:rsidR="009A022E" w:rsidRPr="009A022E">
        <w:rPr>
          <w:rFonts w:asciiTheme="majorBidi" w:hAnsiTheme="majorBidi" w:cstheme="majorBidi"/>
          <w:sz w:val="20"/>
          <w:szCs w:val="20"/>
        </w:rPr>
        <w:lastRenderedPageBreak/>
        <w:t>of the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ions. The increase of </w:t>
      </w:r>
      <w:r w:rsidR="005636D9">
        <w:rPr>
          <w:rFonts w:asciiTheme="majorBidi" w:hAnsiTheme="majorBidi" w:cstheme="majorBidi"/>
          <w:sz w:val="20"/>
          <w:szCs w:val="20"/>
        </w:rPr>
        <w:t xml:space="preserve">in </w:t>
      </w:r>
      <w:r w:rsidR="009A022E" w:rsidRPr="009A022E">
        <w:rPr>
          <w:rFonts w:asciiTheme="majorBidi" w:hAnsiTheme="majorBidi" w:cstheme="majorBidi"/>
          <w:sz w:val="20"/>
          <w:szCs w:val="20"/>
        </w:rPr>
        <w:t>absor</w:t>
      </w:r>
      <w:r w:rsidR="005636D9">
        <w:rPr>
          <w:rFonts w:asciiTheme="majorBidi" w:hAnsiTheme="majorBidi" w:cstheme="majorBidi"/>
          <w:sz w:val="20"/>
          <w:szCs w:val="20"/>
        </w:rPr>
        <w:t>ption</w:t>
      </w:r>
      <w:r w:rsidR="009A022E" w:rsidRPr="009A022E">
        <w:rPr>
          <w:rFonts w:asciiTheme="majorBidi" w:hAnsiTheme="majorBidi" w:cstheme="majorBidi"/>
          <w:sz w:val="20"/>
          <w:szCs w:val="20"/>
        </w:rPr>
        <w:t xml:space="preserve"> caused by </w:t>
      </w:r>
      <w:r w:rsidR="00714216">
        <w:rPr>
          <w:rFonts w:asciiTheme="majorBidi" w:hAnsiTheme="majorBidi" w:cstheme="majorBidi"/>
          <w:sz w:val="20"/>
          <w:szCs w:val="20"/>
        </w:rPr>
        <w:t xml:space="preserve">the </w:t>
      </w:r>
      <w:r w:rsidR="009A022E" w:rsidRPr="009A022E">
        <w:rPr>
          <w:rFonts w:asciiTheme="majorBidi" w:hAnsiTheme="majorBidi" w:cstheme="majorBidi"/>
          <w:sz w:val="20"/>
          <w:szCs w:val="20"/>
        </w:rPr>
        <w:t>addition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 was observed at pH 7.0. This result </w:t>
      </w:r>
      <w:r w:rsidR="005636D9">
        <w:rPr>
          <w:rFonts w:asciiTheme="majorBidi" w:hAnsiTheme="majorBidi" w:cstheme="majorBidi"/>
          <w:sz w:val="20"/>
          <w:szCs w:val="20"/>
        </w:rPr>
        <w:t>guarantees</w:t>
      </w:r>
      <w:r w:rsidR="009A022E" w:rsidRPr="009A022E">
        <w:rPr>
          <w:rFonts w:asciiTheme="majorBidi" w:hAnsiTheme="majorBidi" w:cstheme="majorBidi"/>
          <w:sz w:val="20"/>
          <w:szCs w:val="20"/>
        </w:rPr>
        <w:t xml:space="preserve"> its </w:t>
      </w:r>
      <w:r w:rsidR="005636D9">
        <w:rPr>
          <w:rFonts w:asciiTheme="majorBidi" w:hAnsiTheme="majorBidi" w:cstheme="majorBidi"/>
          <w:sz w:val="20"/>
          <w:szCs w:val="20"/>
        </w:rPr>
        <w:t>use</w:t>
      </w:r>
      <w:r w:rsidR="009A022E" w:rsidRPr="009A022E">
        <w:rPr>
          <w:rFonts w:asciiTheme="majorBidi" w:hAnsiTheme="majorBidi" w:cstheme="majorBidi"/>
          <w:sz w:val="20"/>
          <w:szCs w:val="20"/>
        </w:rPr>
        <w:t xml:space="preserve"> </w:t>
      </w:r>
      <w:r w:rsidR="005636D9">
        <w:rPr>
          <w:rFonts w:asciiTheme="majorBidi" w:hAnsiTheme="majorBidi" w:cstheme="majorBidi"/>
          <w:sz w:val="20"/>
          <w:szCs w:val="20"/>
        </w:rPr>
        <w:t>in</w:t>
      </w:r>
      <w:r w:rsidR="009A022E" w:rsidRPr="009A022E">
        <w:rPr>
          <w:rFonts w:asciiTheme="majorBidi" w:hAnsiTheme="majorBidi" w:cstheme="majorBidi"/>
          <w:sz w:val="20"/>
          <w:szCs w:val="20"/>
        </w:rPr>
        <w:t xml:space="preserve"> environmental conditions (pH 5.2-9.0) without any change in Hg</w:t>
      </w:r>
      <w:r w:rsidR="009A022E" w:rsidRPr="009A022E">
        <w:rPr>
          <w:rFonts w:asciiTheme="majorBidi" w:hAnsiTheme="majorBidi" w:cstheme="majorBidi"/>
          <w:sz w:val="20"/>
          <w:szCs w:val="20"/>
          <w:vertAlign w:val="superscript"/>
        </w:rPr>
        <w:t>2+</w:t>
      </w:r>
      <w:r w:rsidR="005636D9">
        <w:rPr>
          <w:rFonts w:asciiTheme="majorBidi" w:hAnsiTheme="majorBidi" w:cstheme="majorBidi"/>
          <w:sz w:val="20"/>
          <w:szCs w:val="20"/>
        </w:rPr>
        <w:t xml:space="preserve"> </w:t>
      </w:r>
      <w:r w:rsidR="005636D9" w:rsidRPr="009A022E">
        <w:rPr>
          <w:rFonts w:asciiTheme="majorBidi" w:hAnsiTheme="majorBidi" w:cstheme="majorBidi"/>
          <w:sz w:val="20"/>
          <w:szCs w:val="20"/>
        </w:rPr>
        <w:t>detection</w:t>
      </w:r>
      <w:r w:rsidR="009A022E" w:rsidRPr="009A022E">
        <w:rPr>
          <w:rFonts w:asciiTheme="majorBidi" w:hAnsiTheme="majorBidi" w:cstheme="majorBidi"/>
          <w:sz w:val="20"/>
          <w:szCs w:val="20"/>
        </w:rPr>
        <w:t>. Therefore, pH 7.0 was chosen for all colorimetric measurements.</w:t>
      </w:r>
    </w:p>
    <w:p w14:paraId="2F86B4C2" w14:textId="629D027C" w:rsidR="005636D9" w:rsidRDefault="00952629" w:rsidP="0095262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lang w:bidi="fa-IR"/>
        </w:rPr>
        <w:tab/>
      </w:r>
      <w:r w:rsidRPr="00952629">
        <w:rPr>
          <w:rFonts w:asciiTheme="majorBidi" w:hAnsiTheme="majorBidi" w:cstheme="majorBidi"/>
          <w:sz w:val="20"/>
          <w:szCs w:val="20"/>
        </w:rPr>
        <w:t>To investigate the application of the proposed method in environmental systems, the effect of pH was studied. It was performed in the absence and presence of Hg</w:t>
      </w:r>
      <w:r w:rsidRPr="00952629">
        <w:rPr>
          <w:rFonts w:asciiTheme="majorBidi" w:hAnsiTheme="majorBidi" w:cstheme="majorBidi"/>
          <w:sz w:val="20"/>
          <w:szCs w:val="20"/>
          <w:vertAlign w:val="superscript"/>
        </w:rPr>
        <w:t>2+</w:t>
      </w:r>
      <w:r w:rsidRPr="00952629">
        <w:rPr>
          <w:rFonts w:asciiTheme="majorBidi" w:hAnsiTheme="majorBidi" w:cstheme="majorBidi"/>
          <w:sz w:val="20"/>
          <w:szCs w:val="20"/>
        </w:rPr>
        <w:t xml:space="preserve"> at different pH (2.5-12.6) (Fig</w:t>
      </w:r>
      <w:r>
        <w:rPr>
          <w:rFonts w:asciiTheme="majorBidi" w:hAnsiTheme="majorBidi" w:cstheme="majorBidi"/>
          <w:sz w:val="20"/>
          <w:szCs w:val="20"/>
        </w:rPr>
        <w:t>.</w:t>
      </w:r>
      <w:r w:rsidRPr="00952629">
        <w:rPr>
          <w:rFonts w:asciiTheme="majorBidi" w:hAnsiTheme="majorBidi" w:cstheme="majorBidi"/>
          <w:sz w:val="20"/>
          <w:szCs w:val="20"/>
        </w:rPr>
        <w:t xml:space="preserve"> 4). The IC did not change in the pH range (2.5-7.0) without the presence of Hg</w:t>
      </w:r>
      <w:r w:rsidRPr="00952629">
        <w:rPr>
          <w:rFonts w:asciiTheme="majorBidi" w:hAnsiTheme="majorBidi" w:cstheme="majorBidi"/>
          <w:sz w:val="20"/>
          <w:szCs w:val="20"/>
          <w:vertAlign w:val="superscript"/>
        </w:rPr>
        <w:t>2+</w:t>
      </w:r>
      <w:r w:rsidRPr="00952629">
        <w:rPr>
          <w:rFonts w:asciiTheme="majorBidi" w:hAnsiTheme="majorBidi" w:cstheme="majorBidi"/>
          <w:sz w:val="20"/>
          <w:szCs w:val="20"/>
        </w:rPr>
        <w:t xml:space="preserve"> ions, but in its presence an increase in the absorbance was observed at pH 7.0. Therefore, pH 7.0 was selected for the proposed method.</w:t>
      </w:r>
    </w:p>
    <w:p w14:paraId="0D85E0A2" w14:textId="29723429" w:rsidR="00952629" w:rsidRPr="009A022E" w:rsidRDefault="00952629" w:rsidP="0095262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952629">
        <w:rPr>
          <w:rFonts w:asciiTheme="majorBidi" w:hAnsiTheme="majorBidi" w:cstheme="majorBidi"/>
          <w:sz w:val="20"/>
          <w:szCs w:val="20"/>
        </w:rPr>
        <w:t xml:space="preserve"> </w:t>
      </w:r>
    </w:p>
    <w:p w14:paraId="6B478900"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6BA5821" wp14:editId="35D3978C">
            <wp:extent cx="4838700" cy="2559050"/>
            <wp:effectExtent l="0" t="0" r="0" b="0"/>
            <wp:docPr id="500131630" name="Chart 500131630">
              <a:extLst xmlns:a="http://schemas.openxmlformats.org/drawingml/2006/main">
                <a:ext uri="{FF2B5EF4-FFF2-40B4-BE49-F238E27FC236}">
                  <a16:creationId xmlns:a16="http://schemas.microsoft.com/office/drawing/2014/main" id="{329B0C99-6E0A-465E-B093-B358F1D31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034EE1" w14:textId="5FA86903" w:rsidR="009A022E" w:rsidRDefault="009A022E" w:rsidP="00335FB4">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4. </w:t>
      </w:r>
      <w:r w:rsidR="00172E17">
        <w:rPr>
          <w:rFonts w:asciiTheme="majorBidi" w:hAnsiTheme="majorBidi" w:cstheme="majorBidi"/>
          <w:b/>
          <w:bCs/>
          <w:sz w:val="20"/>
          <w:szCs w:val="20"/>
        </w:rPr>
        <w:t>T</w:t>
      </w:r>
      <w:r w:rsidR="00172E17" w:rsidRPr="009A022E">
        <w:rPr>
          <w:rFonts w:asciiTheme="majorBidi" w:hAnsiTheme="majorBidi" w:cstheme="majorBidi"/>
          <w:b/>
          <w:bCs/>
          <w:sz w:val="20"/>
          <w:szCs w:val="20"/>
        </w:rPr>
        <w:t xml:space="preserve">he </w:t>
      </w:r>
      <w:r w:rsidR="00172E17">
        <w:rPr>
          <w:rFonts w:asciiTheme="majorBidi" w:hAnsiTheme="majorBidi" w:cstheme="majorBidi"/>
          <w:b/>
          <w:bCs/>
          <w:sz w:val="20"/>
          <w:szCs w:val="20"/>
        </w:rPr>
        <w:t>e</w:t>
      </w:r>
      <w:r w:rsidRPr="009A022E">
        <w:rPr>
          <w:rFonts w:asciiTheme="majorBidi" w:hAnsiTheme="majorBidi" w:cstheme="majorBidi"/>
          <w:b/>
          <w:bCs/>
          <w:sz w:val="20"/>
          <w:szCs w:val="20"/>
        </w:rPr>
        <w:t xml:space="preserve">ffect </w:t>
      </w:r>
      <w:r w:rsidR="00335FB4" w:rsidRPr="009A022E">
        <w:rPr>
          <w:rFonts w:asciiTheme="majorBidi" w:hAnsiTheme="majorBidi" w:cstheme="majorBidi"/>
          <w:b/>
          <w:bCs/>
          <w:sz w:val="20"/>
          <w:szCs w:val="20"/>
        </w:rPr>
        <w:t xml:space="preserve">pH on the </w:t>
      </w:r>
      <w:r w:rsidR="00335FB4">
        <w:rPr>
          <w:rFonts w:asciiTheme="majorBidi" w:hAnsiTheme="majorBidi" w:cstheme="majorBidi"/>
          <w:b/>
          <w:bCs/>
          <w:sz w:val="20"/>
          <w:szCs w:val="20"/>
        </w:rPr>
        <w:t>proposal method</w:t>
      </w:r>
      <w:r w:rsidR="00172E17">
        <w:rPr>
          <w:rFonts w:asciiTheme="majorBidi" w:hAnsiTheme="majorBidi" w:cstheme="majorBidi"/>
          <w:b/>
          <w:bCs/>
          <w:sz w:val="20"/>
          <w:szCs w:val="20"/>
        </w:rPr>
        <w:t>.</w:t>
      </w:r>
    </w:p>
    <w:p w14:paraId="5CF5CD6D"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54AD5FDC" w14:textId="68344D7D" w:rsidR="00A10F2F" w:rsidRDefault="0086105E" w:rsidP="00A10F2F">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72E17" w:rsidRPr="00172E17">
        <w:rPr>
          <w:rFonts w:asciiTheme="majorBidi" w:hAnsiTheme="majorBidi" w:cstheme="majorBidi"/>
          <w:sz w:val="20"/>
          <w:szCs w:val="20"/>
        </w:rPr>
        <w:t>The interaction time of the IC sensor with Hg</w:t>
      </w:r>
      <w:r w:rsidR="00172E17" w:rsidRPr="00335FB4">
        <w:rPr>
          <w:rFonts w:asciiTheme="majorBidi" w:hAnsiTheme="majorBidi" w:cstheme="majorBidi"/>
          <w:sz w:val="20"/>
          <w:szCs w:val="20"/>
          <w:vertAlign w:val="superscript"/>
        </w:rPr>
        <w:t>2+</w:t>
      </w:r>
      <w:r w:rsidR="00172E17" w:rsidRPr="00172E17">
        <w:rPr>
          <w:rFonts w:asciiTheme="majorBidi" w:hAnsiTheme="majorBidi" w:cstheme="majorBidi"/>
          <w:sz w:val="20"/>
          <w:szCs w:val="20"/>
        </w:rPr>
        <w:t xml:space="preserve"> was investigated (Figure 5). The results showed that the reaction occurs in the first few seconds and remains constant for the next 40 minutes at the absorption wavelength of 610.0 nm.</w:t>
      </w:r>
    </w:p>
    <w:p w14:paraId="44B86FDB" w14:textId="77777777" w:rsidR="005636D9" w:rsidRDefault="005636D9" w:rsidP="00A10F2F">
      <w:pPr>
        <w:tabs>
          <w:tab w:val="left" w:pos="567"/>
        </w:tabs>
        <w:autoSpaceDE w:val="0"/>
        <w:autoSpaceDN w:val="0"/>
        <w:adjustRightInd w:val="0"/>
        <w:spacing w:after="0" w:line="240" w:lineRule="auto"/>
        <w:jc w:val="both"/>
        <w:rPr>
          <w:rFonts w:asciiTheme="majorBidi" w:hAnsiTheme="majorBidi" w:cstheme="majorBidi"/>
          <w:sz w:val="20"/>
          <w:szCs w:val="20"/>
        </w:rPr>
      </w:pPr>
    </w:p>
    <w:p w14:paraId="13D90ABA"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1699A1F" wp14:editId="1B4A5CF3">
            <wp:extent cx="4572000" cy="2743200"/>
            <wp:effectExtent l="0" t="0" r="0" b="0"/>
            <wp:docPr id="26" name="Chart 26">
              <a:extLst xmlns:a="http://schemas.openxmlformats.org/drawingml/2006/main">
                <a:ext uri="{FF2B5EF4-FFF2-40B4-BE49-F238E27FC236}">
                  <a16:creationId xmlns:a16="http://schemas.microsoft.com/office/drawing/2014/main" id="{923A1A99-C749-0A43-9A1B-9EB8B7BF9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42D2AC" w14:textId="0E466781" w:rsidR="009A022E" w:rsidRDefault="009A022E" w:rsidP="00335FB4">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5. </w:t>
      </w:r>
      <w:r w:rsidR="00172E17">
        <w:rPr>
          <w:rFonts w:asciiTheme="majorBidi" w:hAnsiTheme="majorBidi" w:cstheme="majorBidi"/>
          <w:b/>
          <w:bCs/>
          <w:sz w:val="20"/>
          <w:szCs w:val="20"/>
        </w:rPr>
        <w:t xml:space="preserve">The </w:t>
      </w:r>
      <w:r w:rsidR="00172E17">
        <w:rPr>
          <w:rFonts w:asciiTheme="majorBidi" w:hAnsiTheme="majorBidi" w:cstheme="majorBidi"/>
          <w:b/>
          <w:bCs/>
          <w:sz w:val="20"/>
          <w:szCs w:val="20"/>
        </w:rPr>
        <w:t xml:space="preserve">effect </w:t>
      </w:r>
      <w:r w:rsidR="00172E17">
        <w:rPr>
          <w:rFonts w:asciiTheme="majorBidi" w:hAnsiTheme="majorBidi" w:cstheme="majorBidi"/>
          <w:b/>
          <w:bCs/>
          <w:sz w:val="20"/>
          <w:szCs w:val="20"/>
        </w:rPr>
        <w:t>of t</w:t>
      </w:r>
      <w:r w:rsidRPr="009A022E">
        <w:rPr>
          <w:rFonts w:asciiTheme="majorBidi" w:hAnsiTheme="majorBidi" w:cstheme="majorBidi"/>
          <w:b/>
          <w:bCs/>
          <w:sz w:val="20"/>
          <w:szCs w:val="20"/>
        </w:rPr>
        <w:t xml:space="preserve">ime on the </w:t>
      </w:r>
      <w:r w:rsidR="00335FB4">
        <w:rPr>
          <w:rFonts w:asciiTheme="majorBidi" w:hAnsiTheme="majorBidi" w:cstheme="majorBidi"/>
          <w:b/>
          <w:bCs/>
          <w:sz w:val="20"/>
          <w:szCs w:val="20"/>
        </w:rPr>
        <w:t>proposal method</w:t>
      </w:r>
      <w:r w:rsidRPr="009A022E">
        <w:rPr>
          <w:rFonts w:asciiTheme="majorBidi" w:hAnsiTheme="majorBidi" w:cstheme="majorBidi"/>
          <w:b/>
          <w:bCs/>
          <w:sz w:val="20"/>
          <w:szCs w:val="20"/>
        </w:rPr>
        <w:t>.</w:t>
      </w:r>
    </w:p>
    <w:p w14:paraId="0098EFCC" w14:textId="77777777" w:rsid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5755A5DB" w14:textId="0B4A32D5" w:rsidR="0087138E" w:rsidRPr="009A022E" w:rsidRDefault="0087138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87138E">
        <w:rPr>
          <w:rFonts w:asciiTheme="majorBidi" w:hAnsiTheme="majorBidi" w:cstheme="majorBidi"/>
          <w:sz w:val="20"/>
          <w:szCs w:val="20"/>
        </w:rPr>
        <w:t>To verify the linear range of the proposed method, a calibration curve was plotted (Fig</w:t>
      </w:r>
      <w:r>
        <w:rPr>
          <w:rFonts w:asciiTheme="majorBidi" w:hAnsiTheme="majorBidi" w:cstheme="majorBidi"/>
          <w:sz w:val="20"/>
          <w:szCs w:val="20"/>
        </w:rPr>
        <w:t>.</w:t>
      </w:r>
      <w:r w:rsidRPr="0087138E">
        <w:rPr>
          <w:rFonts w:asciiTheme="majorBidi" w:hAnsiTheme="majorBidi" w:cstheme="majorBidi"/>
          <w:sz w:val="20"/>
          <w:szCs w:val="20"/>
        </w:rPr>
        <w:t xml:space="preserve"> 6). The linear range was 0.15-17.36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xml:space="preserve">, and the regression equation for the data was </w:t>
      </w:r>
      <w:r w:rsidR="001E472D" w:rsidRPr="009A022E">
        <w:rPr>
          <w:rFonts w:asciiTheme="majorBidi" w:hAnsiTheme="majorBidi" w:cstheme="majorBidi"/>
          <w:sz w:val="20"/>
          <w:szCs w:val="20"/>
        </w:rPr>
        <w:t>A</w:t>
      </w:r>
      <w:r w:rsidR="001E472D" w:rsidRPr="009A022E">
        <w:rPr>
          <w:rFonts w:asciiTheme="majorBidi" w:hAnsiTheme="majorBidi" w:cstheme="majorBidi"/>
          <w:sz w:val="20"/>
          <w:szCs w:val="20"/>
          <w:vertAlign w:val="subscript"/>
        </w:rPr>
        <w:t>610.0</w:t>
      </w:r>
      <w:r w:rsidR="001E472D" w:rsidRPr="009A022E">
        <w:rPr>
          <w:rFonts w:asciiTheme="majorBidi" w:hAnsiTheme="majorBidi" w:cstheme="majorBidi"/>
          <w:sz w:val="20"/>
          <w:szCs w:val="20"/>
        </w:rPr>
        <w:t xml:space="preserve"> = 0.8766–0.025C</w:t>
      </w:r>
      <w:r w:rsidR="001E472D" w:rsidRPr="009A022E">
        <w:rPr>
          <w:rFonts w:asciiTheme="majorBidi" w:hAnsiTheme="majorBidi" w:cstheme="majorBidi"/>
          <w:sz w:val="20"/>
          <w:szCs w:val="20"/>
          <w:vertAlign w:val="subscript"/>
        </w:rPr>
        <w:t>Hg</w:t>
      </w:r>
      <w:r w:rsidR="001E472D" w:rsidRPr="009A022E">
        <w:rPr>
          <w:rFonts w:asciiTheme="majorBidi" w:hAnsiTheme="majorBidi" w:cstheme="majorBidi"/>
          <w:sz w:val="20"/>
          <w:szCs w:val="20"/>
        </w:rPr>
        <w:t xml:space="preserve"> (</w:t>
      </w:r>
      <w:proofErr w:type="spellStart"/>
      <w:r w:rsidR="001E472D" w:rsidRPr="009A022E">
        <w:rPr>
          <w:rFonts w:asciiTheme="majorBidi" w:hAnsiTheme="majorBidi" w:cstheme="majorBidi"/>
          <w:sz w:val="20"/>
          <w:szCs w:val="20"/>
        </w:rPr>
        <w:t>μM</w:t>
      </w:r>
      <w:proofErr w:type="spellEnd"/>
      <w:r w:rsidR="001E472D" w:rsidRPr="009A022E">
        <w:rPr>
          <w:rFonts w:asciiTheme="majorBidi" w:hAnsiTheme="majorBidi" w:cstheme="majorBidi"/>
          <w:sz w:val="20"/>
          <w:szCs w:val="20"/>
        </w:rPr>
        <w:t>)</w:t>
      </w:r>
      <w:r w:rsidR="001E472D">
        <w:rPr>
          <w:rFonts w:asciiTheme="majorBidi" w:hAnsiTheme="majorBidi" w:cstheme="majorBidi"/>
          <w:sz w:val="20"/>
          <w:szCs w:val="20"/>
        </w:rPr>
        <w:t xml:space="preserve"> </w:t>
      </w:r>
      <w:r w:rsidRPr="0087138E">
        <w:rPr>
          <w:rFonts w:asciiTheme="majorBidi" w:hAnsiTheme="majorBidi" w:cstheme="majorBidi"/>
          <w:sz w:val="20"/>
          <w:szCs w:val="20"/>
        </w:rPr>
        <w:t>with R</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 0.9901. The limit of detection and limit of quantification for the measurement of Hg</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were calculated to be 0.06 and 0.22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xml:space="preserve">, </w:t>
      </w:r>
      <w:r w:rsidRPr="0087138E">
        <w:rPr>
          <w:rFonts w:asciiTheme="majorBidi" w:hAnsiTheme="majorBidi" w:cstheme="majorBidi"/>
          <w:sz w:val="20"/>
          <w:szCs w:val="20"/>
        </w:rPr>
        <w:lastRenderedPageBreak/>
        <w:t>respectively. The relative standard deviation for two concentrations of Hg</w:t>
      </w:r>
      <w:r w:rsidRPr="001E472D">
        <w:rPr>
          <w:rFonts w:asciiTheme="majorBidi" w:hAnsiTheme="majorBidi" w:cstheme="majorBidi"/>
          <w:sz w:val="20"/>
          <w:szCs w:val="20"/>
          <w:vertAlign w:val="superscript"/>
        </w:rPr>
        <w:t>2+</w:t>
      </w:r>
      <w:r w:rsidRPr="0087138E">
        <w:rPr>
          <w:rFonts w:asciiTheme="majorBidi" w:hAnsiTheme="majorBidi" w:cstheme="majorBidi"/>
          <w:sz w:val="20"/>
          <w:szCs w:val="20"/>
        </w:rPr>
        <w:t xml:space="preserve">, 7.4 and 15.8 </w:t>
      </w:r>
      <w:proofErr w:type="spellStart"/>
      <w:r w:rsidRPr="0087138E">
        <w:rPr>
          <w:rFonts w:asciiTheme="majorBidi" w:hAnsiTheme="majorBidi" w:cstheme="majorBidi"/>
          <w:sz w:val="20"/>
          <w:szCs w:val="20"/>
        </w:rPr>
        <w:t>μM</w:t>
      </w:r>
      <w:proofErr w:type="spellEnd"/>
      <w:r w:rsidRPr="0087138E">
        <w:rPr>
          <w:rFonts w:asciiTheme="majorBidi" w:hAnsiTheme="majorBidi" w:cstheme="majorBidi"/>
          <w:sz w:val="20"/>
          <w:szCs w:val="20"/>
        </w:rPr>
        <w:t xml:space="preserve"> and 10 replicate measurements, was 2.1% and 1.4%, respectively.</w:t>
      </w:r>
    </w:p>
    <w:p w14:paraId="17E50110" w14:textId="0CC8A24F" w:rsidR="009A022E" w:rsidRPr="009A022E" w:rsidRDefault="0086105E" w:rsidP="001E472D">
      <w:pPr>
        <w:tabs>
          <w:tab w:val="left" w:pos="567"/>
        </w:tabs>
        <w:autoSpaceDE w:val="0"/>
        <w:autoSpaceDN w:val="0"/>
        <w:adjustRightInd w:val="0"/>
        <w:spacing w:after="0" w:line="240" w:lineRule="auto"/>
        <w:jc w:val="both"/>
        <w:rPr>
          <w:rFonts w:asciiTheme="majorBidi" w:hAnsiTheme="majorBidi" w:cstheme="majorBidi"/>
          <w:color w:val="FF0000"/>
          <w:sz w:val="20"/>
          <w:szCs w:val="20"/>
        </w:rPr>
      </w:pPr>
      <w:r>
        <w:rPr>
          <w:rFonts w:asciiTheme="majorBidi" w:hAnsiTheme="majorBidi" w:cstheme="majorBidi"/>
          <w:sz w:val="20"/>
          <w:szCs w:val="20"/>
        </w:rPr>
        <w:tab/>
      </w:r>
      <w:r w:rsidR="0087138E">
        <w:rPr>
          <w:rFonts w:asciiTheme="majorBidi" w:hAnsiTheme="majorBidi" w:cstheme="majorBidi"/>
          <w:color w:val="FF0000"/>
          <w:sz w:val="20"/>
          <w:szCs w:val="20"/>
        </w:rPr>
        <w:tab/>
      </w:r>
    </w:p>
    <w:p w14:paraId="47669185"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EDC86E9" wp14:editId="3D3047B3">
            <wp:extent cx="5207000" cy="2598420"/>
            <wp:effectExtent l="0" t="0" r="0" b="0"/>
            <wp:docPr id="210351488" name="Chart 210351488">
              <a:extLst xmlns:a="http://schemas.openxmlformats.org/drawingml/2006/main">
                <a:ext uri="{FF2B5EF4-FFF2-40B4-BE49-F238E27FC236}">
                  <a16:creationId xmlns:a16="http://schemas.microsoft.com/office/drawing/2014/main" id="{8A80A7BA-8B80-497C-A9F1-A92DFA2BC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E9798F" w14:textId="6D722E4C"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6. </w:t>
      </w:r>
      <w:r w:rsidR="00257F8F">
        <w:rPr>
          <w:rFonts w:asciiTheme="majorBidi" w:hAnsiTheme="majorBidi" w:cstheme="majorBidi"/>
          <w:b/>
          <w:bCs/>
          <w:sz w:val="20"/>
          <w:szCs w:val="20"/>
        </w:rPr>
        <w:t>Calibration curve.</w:t>
      </w:r>
    </w:p>
    <w:p w14:paraId="3F90C7C4" w14:textId="05DA765B" w:rsid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04C8D56" w14:textId="7855924C" w:rsidR="009A022E" w:rsidRPr="009A022E" w:rsidRDefault="00A651BA"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A651BA">
        <w:rPr>
          <w:rFonts w:asciiTheme="majorBidi" w:hAnsiTheme="majorBidi" w:cstheme="majorBidi"/>
          <w:sz w:val="20"/>
          <w:szCs w:val="20"/>
        </w:rPr>
        <w:t>Different metal cations were used to determine the selectivity for Hg</w:t>
      </w:r>
      <w:r w:rsidRPr="00A651BA">
        <w:rPr>
          <w:rFonts w:asciiTheme="majorBidi" w:hAnsiTheme="majorBidi" w:cstheme="majorBidi"/>
          <w:sz w:val="20"/>
          <w:szCs w:val="20"/>
          <w:vertAlign w:val="superscript"/>
        </w:rPr>
        <w:t>2+</w:t>
      </w:r>
      <w:r w:rsidRPr="00A651BA">
        <w:rPr>
          <w:rFonts w:asciiTheme="majorBidi" w:hAnsiTheme="majorBidi" w:cstheme="majorBidi"/>
          <w:sz w:val="20"/>
          <w:szCs w:val="20"/>
        </w:rPr>
        <w:t xml:space="preserve"> (Fig</w:t>
      </w:r>
      <w:r>
        <w:rPr>
          <w:rFonts w:asciiTheme="majorBidi" w:hAnsiTheme="majorBidi" w:cstheme="majorBidi"/>
          <w:sz w:val="20"/>
          <w:szCs w:val="20"/>
        </w:rPr>
        <w:t>.</w:t>
      </w:r>
      <w:r w:rsidRPr="00A651BA">
        <w:rPr>
          <w:rFonts w:asciiTheme="majorBidi" w:hAnsiTheme="majorBidi" w:cstheme="majorBidi"/>
          <w:sz w:val="20"/>
          <w:szCs w:val="20"/>
        </w:rPr>
        <w:t xml:space="preserve"> 7). The results showed that the proposed method has good selectivity and the IC can be used as a potential </w:t>
      </w:r>
      <w:proofErr w:type="spellStart"/>
      <w:r w:rsidRPr="00A651BA">
        <w:rPr>
          <w:rFonts w:asciiTheme="majorBidi" w:hAnsiTheme="majorBidi" w:cstheme="majorBidi"/>
          <w:sz w:val="20"/>
          <w:szCs w:val="20"/>
        </w:rPr>
        <w:t>chemosensor</w:t>
      </w:r>
      <w:proofErr w:type="spellEnd"/>
      <w:r w:rsidRPr="00A651BA">
        <w:rPr>
          <w:rFonts w:asciiTheme="majorBidi" w:hAnsiTheme="majorBidi" w:cstheme="majorBidi"/>
          <w:sz w:val="20"/>
          <w:szCs w:val="20"/>
        </w:rPr>
        <w:t xml:space="preserve"> for the detection of Hg</w:t>
      </w:r>
      <w:r w:rsidRPr="00A651BA">
        <w:rPr>
          <w:rFonts w:asciiTheme="majorBidi" w:hAnsiTheme="majorBidi" w:cstheme="majorBidi"/>
          <w:sz w:val="20"/>
          <w:szCs w:val="20"/>
          <w:vertAlign w:val="superscript"/>
        </w:rPr>
        <w:t>2+</w:t>
      </w:r>
      <w:r w:rsidRPr="00A651BA">
        <w:rPr>
          <w:rFonts w:asciiTheme="majorBidi" w:hAnsiTheme="majorBidi" w:cstheme="majorBidi"/>
          <w:sz w:val="20"/>
          <w:szCs w:val="20"/>
        </w:rPr>
        <w:t>.</w:t>
      </w:r>
    </w:p>
    <w:p w14:paraId="03D6DBA3"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color w:val="000000"/>
          <w:sz w:val="20"/>
          <w:szCs w:val="20"/>
        </w:rPr>
        <w:drawing>
          <wp:inline distT="0" distB="0" distL="0" distR="0" wp14:anchorId="003B7A91" wp14:editId="04D9CCAB">
            <wp:extent cx="5680591" cy="215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4632" cy="2168137"/>
                    </a:xfrm>
                    <a:prstGeom prst="rect">
                      <a:avLst/>
                    </a:prstGeom>
                    <a:noFill/>
                    <a:ln>
                      <a:noFill/>
                    </a:ln>
                  </pic:spPr>
                </pic:pic>
              </a:graphicData>
            </a:graphic>
          </wp:inline>
        </w:drawing>
      </w:r>
    </w:p>
    <w:p w14:paraId="1C149613" w14:textId="77777777" w:rsidR="00A651BA"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7. Effect of coexisting substances on (a) Absorption spectr</w:t>
      </w:r>
      <w:r w:rsidR="00D07525">
        <w:rPr>
          <w:rFonts w:asciiTheme="majorBidi" w:hAnsiTheme="majorBidi" w:cstheme="majorBidi"/>
          <w:b/>
          <w:bCs/>
          <w:sz w:val="20"/>
          <w:szCs w:val="20"/>
        </w:rPr>
        <w:t>um</w:t>
      </w:r>
      <w:r w:rsidRPr="009A022E">
        <w:rPr>
          <w:rFonts w:asciiTheme="majorBidi" w:hAnsiTheme="majorBidi" w:cstheme="majorBidi"/>
          <w:b/>
          <w:bCs/>
          <w:sz w:val="20"/>
          <w:szCs w:val="20"/>
        </w:rPr>
        <w:t xml:space="preserve">, </w:t>
      </w:r>
    </w:p>
    <w:p w14:paraId="64B4A2F3" w14:textId="68C30145"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(b) absorbance of IC in the presence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14:paraId="00DC40F6"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5950AE97" w14:textId="54CFE1FA"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ED68FF">
        <w:rPr>
          <w:rFonts w:asciiTheme="majorBidi" w:hAnsiTheme="majorBidi" w:cstheme="majorBidi"/>
          <w:sz w:val="20"/>
          <w:szCs w:val="20"/>
        </w:rPr>
        <w:t>To determine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the proposed method was used in real samples, but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could not be detected in the samples. Therefore, the spiking method was carried out. The measurement of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in the samples was repeated three times, and the recovery values between 96.00 and 103.90% showed good accuracy of the proposed method (Table 1). The results show that this method can be used to measure Hg</w:t>
      </w:r>
      <w:r w:rsidRPr="00ED68FF">
        <w:rPr>
          <w:rFonts w:asciiTheme="majorBidi" w:hAnsiTheme="majorBidi" w:cstheme="majorBidi"/>
          <w:sz w:val="20"/>
          <w:szCs w:val="20"/>
          <w:vertAlign w:val="superscript"/>
        </w:rPr>
        <w:t>2+</w:t>
      </w:r>
      <w:r w:rsidRPr="00ED68FF">
        <w:rPr>
          <w:rFonts w:asciiTheme="majorBidi" w:hAnsiTheme="majorBidi" w:cstheme="majorBidi"/>
          <w:sz w:val="20"/>
          <w:szCs w:val="20"/>
        </w:rPr>
        <w:t xml:space="preserve"> in real samples.</w:t>
      </w:r>
      <w:r w:rsidR="0086105E">
        <w:rPr>
          <w:rFonts w:asciiTheme="majorBidi" w:hAnsiTheme="majorBidi" w:cstheme="majorBidi"/>
          <w:sz w:val="20"/>
          <w:szCs w:val="20"/>
        </w:rPr>
        <w:tab/>
      </w:r>
    </w:p>
    <w:p w14:paraId="6A356265" w14:textId="63C45C83" w:rsidR="00B5106D" w:rsidRDefault="00B5106D"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3D494A56"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32F2D957"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7BC58E58"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4EBAEDFA"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1702017A"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5B7C7F12"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3EDAE499" w14:textId="77777777" w:rsidR="00ED68FF" w:rsidRDefault="00ED68FF"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612CAF96" w14:textId="45C65306" w:rsidR="009A022E" w:rsidRPr="009A022E" w:rsidRDefault="009A022E"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0A58FBFA" w14:textId="165163FD"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lastRenderedPageBreak/>
        <w:t xml:space="preserve">Table. 1. </w:t>
      </w:r>
      <w:r w:rsidR="00ED68FF">
        <w:rPr>
          <w:rFonts w:asciiTheme="majorBidi" w:hAnsiTheme="majorBidi" w:cstheme="majorBidi"/>
          <w:b/>
          <w:bCs/>
          <w:sz w:val="20"/>
          <w:szCs w:val="20"/>
        </w:rPr>
        <w:t xml:space="preserve">Determination of </w:t>
      </w:r>
      <w:r w:rsidRPr="009A022E">
        <w:rPr>
          <w:rFonts w:asciiTheme="majorBidi" w:hAnsiTheme="majorBidi" w:cstheme="majorBidi"/>
          <w:b/>
          <w:bCs/>
          <w:sz w:val="20"/>
          <w:szCs w:val="20"/>
        </w:rPr>
        <w:t>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in real samples </w:t>
      </w:r>
      <w:r w:rsidR="00ED68FF">
        <w:rPr>
          <w:rFonts w:asciiTheme="majorBidi" w:hAnsiTheme="majorBidi" w:cstheme="majorBidi"/>
          <w:b/>
          <w:bCs/>
          <w:sz w:val="20"/>
          <w:szCs w:val="20"/>
        </w:rPr>
        <w:t>by</w:t>
      </w:r>
      <w:r w:rsidRPr="009A022E">
        <w:rPr>
          <w:rFonts w:asciiTheme="majorBidi" w:hAnsiTheme="majorBidi" w:cstheme="majorBidi"/>
          <w:b/>
          <w:bCs/>
          <w:sz w:val="20"/>
          <w:szCs w:val="20"/>
        </w:rPr>
        <w:t xml:space="preserve"> spiking </w:t>
      </w:r>
      <w:r w:rsidR="00ED68FF">
        <w:rPr>
          <w:rFonts w:asciiTheme="majorBidi" w:hAnsiTheme="majorBidi" w:cstheme="majorBidi"/>
          <w:b/>
          <w:bCs/>
          <w:sz w:val="20"/>
          <w:szCs w:val="20"/>
        </w:rPr>
        <w:t>method</w:t>
      </w:r>
      <w:r w:rsidRPr="009A022E">
        <w:rPr>
          <w:rFonts w:asciiTheme="majorBidi" w:hAnsiTheme="majorBidi" w:cstheme="majorBidi"/>
          <w:b/>
          <w:bCs/>
          <w:sz w:val="20"/>
          <w:szCs w:val="20"/>
        </w:rPr>
        <w:t>.</w:t>
      </w:r>
    </w:p>
    <w:tbl>
      <w:tblPr>
        <w:tblStyle w:val="TableGrid"/>
        <w:tblW w:w="73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134"/>
      </w:tblGrid>
      <w:tr w:rsidR="009A022E" w:rsidRPr="0063284B" w14:paraId="6EA79B8D" w14:textId="77777777" w:rsidTr="00C541C4">
        <w:trPr>
          <w:jc w:val="center"/>
        </w:trPr>
        <w:tc>
          <w:tcPr>
            <w:tcW w:w="1558" w:type="dxa"/>
            <w:vMerge w:val="restart"/>
            <w:vAlign w:val="center"/>
          </w:tcPr>
          <w:p w14:paraId="12C765F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Sample</w:t>
            </w:r>
          </w:p>
          <w:p w14:paraId="069F546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(n = 3)</w:t>
            </w:r>
          </w:p>
        </w:tc>
        <w:tc>
          <w:tcPr>
            <w:tcW w:w="3116" w:type="dxa"/>
            <w:gridSpan w:val="2"/>
            <w:tcBorders>
              <w:top w:val="single" w:sz="4" w:space="0" w:color="auto"/>
              <w:bottom w:val="single" w:sz="4" w:space="0" w:color="auto"/>
            </w:tcBorders>
            <w:vAlign w:val="center"/>
          </w:tcPr>
          <w:p w14:paraId="2976AD1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Hg</w:t>
            </w:r>
            <w:r w:rsidRPr="0063284B">
              <w:rPr>
                <w:rFonts w:asciiTheme="majorBidi" w:hAnsiTheme="majorBidi" w:cstheme="majorBidi"/>
                <w:sz w:val="20"/>
                <w:szCs w:val="20"/>
                <w:vertAlign w:val="superscript"/>
              </w:rPr>
              <w:t>2+</w:t>
            </w:r>
            <w:r w:rsidRPr="0063284B">
              <w:rPr>
                <w:rFonts w:asciiTheme="majorBidi" w:hAnsiTheme="majorBidi" w:cstheme="majorBidi"/>
                <w:sz w:val="20"/>
                <w:szCs w:val="20"/>
              </w:rPr>
              <w:t xml:space="preserve"> (</w:t>
            </w:r>
            <w:proofErr w:type="spellStart"/>
            <w:r w:rsidRPr="0063284B">
              <w:rPr>
                <w:rFonts w:asciiTheme="majorBidi" w:hAnsiTheme="majorBidi" w:cstheme="majorBidi"/>
                <w:sz w:val="20"/>
                <w:szCs w:val="20"/>
              </w:rPr>
              <w:t>μM</w:t>
            </w:r>
            <w:proofErr w:type="spellEnd"/>
            <w:r w:rsidRPr="0063284B">
              <w:rPr>
                <w:rFonts w:asciiTheme="majorBidi" w:hAnsiTheme="majorBidi" w:cstheme="majorBidi"/>
                <w:sz w:val="20"/>
                <w:szCs w:val="20"/>
              </w:rPr>
              <w:t>)</w:t>
            </w:r>
          </w:p>
        </w:tc>
        <w:tc>
          <w:tcPr>
            <w:tcW w:w="1558" w:type="dxa"/>
            <w:vMerge w:val="restart"/>
            <w:vAlign w:val="center"/>
          </w:tcPr>
          <w:p w14:paraId="48DA4C5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Average recovery (%)</w:t>
            </w:r>
          </w:p>
        </w:tc>
        <w:tc>
          <w:tcPr>
            <w:tcW w:w="1134" w:type="dxa"/>
            <w:vMerge w:val="restart"/>
            <w:vAlign w:val="center"/>
          </w:tcPr>
          <w:p w14:paraId="79AFF71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Relative error (%)</w:t>
            </w:r>
          </w:p>
        </w:tc>
      </w:tr>
      <w:tr w:rsidR="009A022E" w:rsidRPr="0063284B" w14:paraId="087AA83C" w14:textId="77777777" w:rsidTr="00C541C4">
        <w:trPr>
          <w:jc w:val="center"/>
        </w:trPr>
        <w:tc>
          <w:tcPr>
            <w:tcW w:w="1558" w:type="dxa"/>
            <w:vMerge/>
            <w:tcBorders>
              <w:bottom w:val="single" w:sz="4" w:space="0" w:color="auto"/>
            </w:tcBorders>
            <w:vAlign w:val="center"/>
          </w:tcPr>
          <w:p w14:paraId="2F075AD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single" w:sz="4" w:space="0" w:color="auto"/>
              <w:bottom w:val="single" w:sz="4" w:space="0" w:color="auto"/>
            </w:tcBorders>
            <w:vAlign w:val="center"/>
          </w:tcPr>
          <w:p w14:paraId="4834FC9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added</w:t>
            </w:r>
          </w:p>
        </w:tc>
        <w:tc>
          <w:tcPr>
            <w:tcW w:w="1558" w:type="dxa"/>
            <w:tcBorders>
              <w:top w:val="single" w:sz="4" w:space="0" w:color="auto"/>
              <w:bottom w:val="single" w:sz="4" w:space="0" w:color="auto"/>
            </w:tcBorders>
            <w:vAlign w:val="center"/>
          </w:tcPr>
          <w:p w14:paraId="33CB0A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found</w:t>
            </w:r>
          </w:p>
        </w:tc>
        <w:tc>
          <w:tcPr>
            <w:tcW w:w="1558" w:type="dxa"/>
            <w:vMerge/>
            <w:tcBorders>
              <w:bottom w:val="single" w:sz="4" w:space="0" w:color="auto"/>
            </w:tcBorders>
            <w:vAlign w:val="center"/>
          </w:tcPr>
          <w:p w14:paraId="0F6AC5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134" w:type="dxa"/>
            <w:vMerge/>
            <w:tcBorders>
              <w:bottom w:val="single" w:sz="4" w:space="0" w:color="auto"/>
            </w:tcBorders>
            <w:vAlign w:val="center"/>
          </w:tcPr>
          <w:p w14:paraId="0E1CF89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r>
      <w:tr w:rsidR="009A022E" w:rsidRPr="0063284B" w14:paraId="299C179C" w14:textId="77777777" w:rsidTr="00C541C4">
        <w:trPr>
          <w:jc w:val="center"/>
        </w:trPr>
        <w:tc>
          <w:tcPr>
            <w:tcW w:w="1558" w:type="dxa"/>
            <w:vMerge w:val="restart"/>
            <w:tcBorders>
              <w:top w:val="single" w:sz="4" w:space="0" w:color="auto"/>
              <w:bottom w:val="nil"/>
            </w:tcBorders>
          </w:tcPr>
          <w:p w14:paraId="6494A95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Tap water</w:t>
            </w:r>
          </w:p>
        </w:tc>
        <w:tc>
          <w:tcPr>
            <w:tcW w:w="1558" w:type="dxa"/>
            <w:tcBorders>
              <w:top w:val="single" w:sz="4" w:space="0" w:color="auto"/>
              <w:bottom w:val="nil"/>
            </w:tcBorders>
            <w:vAlign w:val="center"/>
          </w:tcPr>
          <w:p w14:paraId="36303FA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tcBorders>
              <w:top w:val="single" w:sz="4" w:space="0" w:color="auto"/>
              <w:bottom w:val="nil"/>
            </w:tcBorders>
            <w:vAlign w:val="center"/>
          </w:tcPr>
          <w:p w14:paraId="7406981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tcBorders>
              <w:top w:val="single" w:sz="4" w:space="0" w:color="auto"/>
              <w:bottom w:val="nil"/>
            </w:tcBorders>
            <w:vAlign w:val="center"/>
          </w:tcPr>
          <w:p w14:paraId="3C06CE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tcBorders>
              <w:top w:val="single" w:sz="4" w:space="0" w:color="auto"/>
              <w:bottom w:val="nil"/>
            </w:tcBorders>
            <w:vAlign w:val="center"/>
          </w:tcPr>
          <w:p w14:paraId="6C37895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1553B6A1" w14:textId="77777777" w:rsidTr="00C541C4">
        <w:trPr>
          <w:jc w:val="center"/>
        </w:trPr>
        <w:tc>
          <w:tcPr>
            <w:tcW w:w="1558" w:type="dxa"/>
            <w:vMerge/>
            <w:tcBorders>
              <w:top w:val="nil"/>
            </w:tcBorders>
          </w:tcPr>
          <w:p w14:paraId="6442893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nil"/>
            </w:tcBorders>
            <w:vAlign w:val="center"/>
          </w:tcPr>
          <w:p w14:paraId="6797297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tcBorders>
              <w:top w:val="nil"/>
            </w:tcBorders>
            <w:vAlign w:val="center"/>
          </w:tcPr>
          <w:p w14:paraId="2D1ED1A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3.98 ± 0.02</w:t>
            </w:r>
          </w:p>
        </w:tc>
        <w:tc>
          <w:tcPr>
            <w:tcW w:w="1558" w:type="dxa"/>
            <w:tcBorders>
              <w:top w:val="nil"/>
            </w:tcBorders>
            <w:vAlign w:val="center"/>
          </w:tcPr>
          <w:p w14:paraId="125E1DE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99.50 </w:t>
            </w:r>
          </w:p>
        </w:tc>
        <w:tc>
          <w:tcPr>
            <w:tcW w:w="1134" w:type="dxa"/>
            <w:tcBorders>
              <w:top w:val="nil"/>
            </w:tcBorders>
            <w:vAlign w:val="center"/>
          </w:tcPr>
          <w:p w14:paraId="3FAE1B2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-0.50</w:t>
            </w:r>
          </w:p>
        </w:tc>
      </w:tr>
      <w:tr w:rsidR="009A022E" w:rsidRPr="0063284B" w14:paraId="6DFFE053" w14:textId="77777777" w:rsidTr="00C541C4">
        <w:trPr>
          <w:jc w:val="center"/>
        </w:trPr>
        <w:tc>
          <w:tcPr>
            <w:tcW w:w="1558" w:type="dxa"/>
            <w:vMerge/>
          </w:tcPr>
          <w:p w14:paraId="4791F8B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5FF16C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6191CF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8.31 ± 0.05</w:t>
            </w:r>
          </w:p>
        </w:tc>
        <w:tc>
          <w:tcPr>
            <w:tcW w:w="1558" w:type="dxa"/>
            <w:vAlign w:val="center"/>
          </w:tcPr>
          <w:p w14:paraId="6C791FA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103.90</w:t>
            </w:r>
          </w:p>
        </w:tc>
        <w:tc>
          <w:tcPr>
            <w:tcW w:w="1134" w:type="dxa"/>
            <w:vAlign w:val="center"/>
          </w:tcPr>
          <w:p w14:paraId="7DC0F18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3.00</w:t>
            </w:r>
          </w:p>
        </w:tc>
      </w:tr>
      <w:tr w:rsidR="009A022E" w:rsidRPr="0063284B" w14:paraId="2527A209" w14:textId="77777777" w:rsidTr="00C541C4">
        <w:trPr>
          <w:jc w:val="center"/>
        </w:trPr>
        <w:tc>
          <w:tcPr>
            <w:tcW w:w="1558" w:type="dxa"/>
            <w:vMerge/>
          </w:tcPr>
          <w:p w14:paraId="0C4DC73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1EE0549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1F19BC8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 ± 0.03</w:t>
            </w:r>
          </w:p>
        </w:tc>
        <w:tc>
          <w:tcPr>
            <w:tcW w:w="1558" w:type="dxa"/>
            <w:vAlign w:val="center"/>
          </w:tcPr>
          <w:p w14:paraId="3962968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101.50</w:t>
            </w:r>
          </w:p>
        </w:tc>
        <w:tc>
          <w:tcPr>
            <w:tcW w:w="1134" w:type="dxa"/>
            <w:vAlign w:val="center"/>
          </w:tcPr>
          <w:p w14:paraId="1635B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3.88</w:t>
            </w:r>
          </w:p>
        </w:tc>
      </w:tr>
      <w:tr w:rsidR="009A022E" w:rsidRPr="0063284B" w14:paraId="3A5F29BF" w14:textId="77777777" w:rsidTr="00C541C4">
        <w:trPr>
          <w:jc w:val="center"/>
        </w:trPr>
        <w:tc>
          <w:tcPr>
            <w:tcW w:w="1558" w:type="dxa"/>
            <w:vMerge w:val="restart"/>
          </w:tcPr>
          <w:p w14:paraId="7C80013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Mineral water</w:t>
            </w:r>
          </w:p>
        </w:tc>
        <w:tc>
          <w:tcPr>
            <w:tcW w:w="1558" w:type="dxa"/>
            <w:vAlign w:val="center"/>
          </w:tcPr>
          <w:p w14:paraId="55BAB16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7634BF5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609C6C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6C05ECE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6764D73B" w14:textId="77777777" w:rsidTr="00C541C4">
        <w:trPr>
          <w:jc w:val="center"/>
        </w:trPr>
        <w:tc>
          <w:tcPr>
            <w:tcW w:w="1558" w:type="dxa"/>
            <w:vMerge/>
          </w:tcPr>
          <w:p w14:paraId="6FD162B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EC520F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B8F2C0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3.95 ± 0.03</w:t>
            </w:r>
          </w:p>
        </w:tc>
        <w:tc>
          <w:tcPr>
            <w:tcW w:w="1558" w:type="dxa"/>
            <w:vAlign w:val="center"/>
          </w:tcPr>
          <w:p w14:paraId="3E97EEA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98.75 </w:t>
            </w:r>
          </w:p>
        </w:tc>
        <w:tc>
          <w:tcPr>
            <w:tcW w:w="1134" w:type="dxa"/>
            <w:vAlign w:val="center"/>
          </w:tcPr>
          <w:p w14:paraId="65AAE01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-1.25</w:t>
            </w:r>
          </w:p>
        </w:tc>
      </w:tr>
      <w:tr w:rsidR="009A022E" w:rsidRPr="0063284B" w14:paraId="5EF12191" w14:textId="77777777" w:rsidTr="00C541C4">
        <w:trPr>
          <w:jc w:val="center"/>
        </w:trPr>
        <w:tc>
          <w:tcPr>
            <w:tcW w:w="1558" w:type="dxa"/>
            <w:vMerge/>
          </w:tcPr>
          <w:p w14:paraId="22A1E7B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38427BC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99301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8.08 ± 0.02</w:t>
            </w:r>
          </w:p>
        </w:tc>
        <w:tc>
          <w:tcPr>
            <w:tcW w:w="1558" w:type="dxa"/>
            <w:vAlign w:val="center"/>
          </w:tcPr>
          <w:p w14:paraId="47B99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355026E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w:t>
            </w:r>
          </w:p>
        </w:tc>
      </w:tr>
      <w:tr w:rsidR="009A022E" w:rsidRPr="0063284B" w14:paraId="17B3EDAA" w14:textId="77777777" w:rsidTr="00C541C4">
        <w:trPr>
          <w:jc w:val="center"/>
        </w:trPr>
        <w:tc>
          <w:tcPr>
            <w:tcW w:w="1558" w:type="dxa"/>
            <w:vMerge/>
          </w:tcPr>
          <w:p w14:paraId="63A1939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8A8C30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0D4DD67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9.76 ± 0.04</w:t>
            </w:r>
          </w:p>
        </w:tc>
        <w:tc>
          <w:tcPr>
            <w:tcW w:w="1558" w:type="dxa"/>
            <w:vAlign w:val="center"/>
          </w:tcPr>
          <w:p w14:paraId="7E28F8D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96.00 </w:t>
            </w:r>
          </w:p>
        </w:tc>
        <w:tc>
          <w:tcPr>
            <w:tcW w:w="1134" w:type="dxa"/>
            <w:vAlign w:val="center"/>
          </w:tcPr>
          <w:p w14:paraId="04DFC5C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-2.40</w:t>
            </w:r>
          </w:p>
        </w:tc>
      </w:tr>
      <w:tr w:rsidR="009A022E" w:rsidRPr="0063284B" w14:paraId="2534C690" w14:textId="77777777" w:rsidTr="00C541C4">
        <w:trPr>
          <w:jc w:val="center"/>
        </w:trPr>
        <w:tc>
          <w:tcPr>
            <w:tcW w:w="1558" w:type="dxa"/>
            <w:vMerge w:val="restart"/>
          </w:tcPr>
          <w:p w14:paraId="6CB1625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plasma</w:t>
            </w:r>
          </w:p>
        </w:tc>
        <w:tc>
          <w:tcPr>
            <w:tcW w:w="1558" w:type="dxa"/>
            <w:vAlign w:val="center"/>
          </w:tcPr>
          <w:p w14:paraId="6C162CF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29C81B0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7CC2D6C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59B58E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3D02D83C" w14:textId="77777777" w:rsidTr="00C541C4">
        <w:trPr>
          <w:jc w:val="center"/>
        </w:trPr>
        <w:tc>
          <w:tcPr>
            <w:tcW w:w="1558" w:type="dxa"/>
            <w:vMerge/>
            <w:vAlign w:val="center"/>
          </w:tcPr>
          <w:p w14:paraId="74B2459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7624DCC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F36317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4.01 ± 0.04</w:t>
            </w:r>
          </w:p>
        </w:tc>
        <w:tc>
          <w:tcPr>
            <w:tcW w:w="1558" w:type="dxa"/>
            <w:vAlign w:val="center"/>
          </w:tcPr>
          <w:p w14:paraId="5D15134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100.25</w:t>
            </w:r>
          </w:p>
        </w:tc>
        <w:tc>
          <w:tcPr>
            <w:tcW w:w="1134" w:type="dxa"/>
            <w:vAlign w:val="center"/>
          </w:tcPr>
          <w:p w14:paraId="0C914B4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0.25</w:t>
            </w:r>
          </w:p>
        </w:tc>
      </w:tr>
      <w:tr w:rsidR="009A022E" w:rsidRPr="0063284B" w14:paraId="68391CAF" w14:textId="77777777" w:rsidTr="00C541C4">
        <w:trPr>
          <w:jc w:val="center"/>
        </w:trPr>
        <w:tc>
          <w:tcPr>
            <w:tcW w:w="1558" w:type="dxa"/>
            <w:vMerge/>
            <w:vAlign w:val="center"/>
          </w:tcPr>
          <w:p w14:paraId="312E5B0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5A66DE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37684A3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8.06 ± 0.05</w:t>
            </w:r>
          </w:p>
        </w:tc>
        <w:tc>
          <w:tcPr>
            <w:tcW w:w="1558" w:type="dxa"/>
            <w:vAlign w:val="center"/>
          </w:tcPr>
          <w:p w14:paraId="36F4C09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100.75</w:t>
            </w:r>
          </w:p>
        </w:tc>
        <w:tc>
          <w:tcPr>
            <w:tcW w:w="1134" w:type="dxa"/>
            <w:vAlign w:val="center"/>
          </w:tcPr>
          <w:p w14:paraId="668DC7D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0.75</w:t>
            </w:r>
          </w:p>
        </w:tc>
      </w:tr>
      <w:tr w:rsidR="009A022E" w:rsidRPr="0063284B" w14:paraId="1AFF8736" w14:textId="77777777" w:rsidTr="00C541C4">
        <w:trPr>
          <w:jc w:val="center"/>
        </w:trPr>
        <w:tc>
          <w:tcPr>
            <w:tcW w:w="1558" w:type="dxa"/>
            <w:vMerge/>
            <w:vAlign w:val="center"/>
          </w:tcPr>
          <w:p w14:paraId="720E56A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2B1EAF1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532FD33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 ± 0.06</w:t>
            </w:r>
          </w:p>
        </w:tc>
        <w:tc>
          <w:tcPr>
            <w:tcW w:w="1558" w:type="dxa"/>
            <w:vAlign w:val="center"/>
          </w:tcPr>
          <w:p w14:paraId="6CC6678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127E86A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0.06</w:t>
            </w:r>
          </w:p>
        </w:tc>
      </w:tr>
    </w:tbl>
    <w:p w14:paraId="57F2E959"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CEEE728"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872D3AC" w14:textId="42E7D4D7" w:rsidR="00E67175" w:rsidRPr="00E67175" w:rsidRDefault="009A022E" w:rsidP="00E67175">
      <w:pPr>
        <w:pStyle w:val="ListParagraph"/>
        <w:numPr>
          <w:ilvl w:val="0"/>
          <w:numId w:val="5"/>
        </w:numPr>
        <w:tabs>
          <w:tab w:val="left" w:pos="567"/>
        </w:tabs>
        <w:bidi w:val="0"/>
        <w:spacing w:after="0" w:line="240" w:lineRule="auto"/>
        <w:jc w:val="center"/>
        <w:rPr>
          <w:rFonts w:asciiTheme="majorBidi" w:hAnsiTheme="majorBidi" w:cstheme="majorBidi"/>
          <w:b/>
          <w:bCs/>
          <w:sz w:val="20"/>
          <w:szCs w:val="20"/>
        </w:rPr>
      </w:pPr>
      <w:r w:rsidRPr="008B13E7">
        <w:rPr>
          <w:rFonts w:asciiTheme="majorBidi" w:hAnsiTheme="majorBidi" w:cstheme="majorBidi"/>
          <w:b/>
          <w:bCs/>
          <w:sz w:val="20"/>
          <w:szCs w:val="20"/>
        </w:rPr>
        <w:t>Conclusion</w:t>
      </w:r>
    </w:p>
    <w:p w14:paraId="14B6DC08" w14:textId="77777777" w:rsidR="00E67175" w:rsidRDefault="00E67175" w:rsidP="00E67175">
      <w:pPr>
        <w:tabs>
          <w:tab w:val="left" w:pos="567"/>
        </w:tabs>
        <w:autoSpaceDE w:val="0"/>
        <w:autoSpaceDN w:val="0"/>
        <w:adjustRightInd w:val="0"/>
        <w:spacing w:after="0" w:line="240" w:lineRule="auto"/>
        <w:jc w:val="both"/>
        <w:rPr>
          <w:rFonts w:asciiTheme="majorBidi" w:hAnsiTheme="majorBidi" w:cstheme="majorBidi"/>
          <w:sz w:val="20"/>
          <w:szCs w:val="20"/>
        </w:rPr>
      </w:pPr>
    </w:p>
    <w:p w14:paraId="3D944DBD" w14:textId="4C97F970" w:rsidR="009F40FB" w:rsidRPr="00E67175" w:rsidRDefault="00E67175" w:rsidP="00E67175">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Pr="00E67175">
        <w:rPr>
          <w:rFonts w:asciiTheme="majorBidi" w:hAnsiTheme="majorBidi" w:cstheme="majorBidi"/>
          <w:sz w:val="20"/>
          <w:szCs w:val="20"/>
        </w:rPr>
        <w:t xml:space="preserve">A method for the determination of the toxic substance </w:t>
      </w:r>
      <w:r w:rsidRPr="008B13E7">
        <w:rPr>
          <w:rFonts w:asciiTheme="majorBidi" w:hAnsiTheme="majorBidi" w:cstheme="majorBidi"/>
          <w:sz w:val="20"/>
          <w:szCs w:val="20"/>
        </w:rPr>
        <w:t>Hg</w:t>
      </w:r>
      <w:r w:rsidRPr="008B13E7">
        <w:rPr>
          <w:rFonts w:asciiTheme="majorBidi" w:hAnsiTheme="majorBidi" w:cstheme="majorBidi"/>
          <w:sz w:val="20"/>
          <w:szCs w:val="20"/>
          <w:vertAlign w:val="superscript"/>
        </w:rPr>
        <w:t>2+</w:t>
      </w:r>
      <w:r w:rsidRPr="00E67175">
        <w:rPr>
          <w:rFonts w:asciiTheme="majorBidi" w:hAnsiTheme="majorBidi" w:cstheme="majorBidi"/>
          <w:sz w:val="20"/>
          <w:szCs w:val="20"/>
        </w:rPr>
        <w:t xml:space="preserve"> was proposed, which has advantages over other methods, such as simple, fast, no separation and preconcentration, low cost, high accuracy, wide linear concentration range, low detection limit, high sensitivity, compatibility</w:t>
      </w:r>
      <w:r>
        <w:rPr>
          <w:rFonts w:asciiTheme="majorBidi" w:hAnsiTheme="majorBidi" w:cstheme="majorBidi"/>
          <w:sz w:val="20"/>
          <w:szCs w:val="20"/>
        </w:rPr>
        <w:t>, a</w:t>
      </w:r>
      <w:r w:rsidRPr="00E67175">
        <w:rPr>
          <w:rFonts w:asciiTheme="majorBidi" w:hAnsiTheme="majorBidi" w:cstheme="majorBidi"/>
          <w:sz w:val="20"/>
          <w:szCs w:val="20"/>
        </w:rPr>
        <w:t xml:space="preserve">nd the selectivity is excellent. Therefore, these results show that IC as a </w:t>
      </w:r>
      <w:proofErr w:type="spellStart"/>
      <w:r w:rsidRPr="00E67175">
        <w:rPr>
          <w:rFonts w:asciiTheme="majorBidi" w:hAnsiTheme="majorBidi" w:cstheme="majorBidi"/>
          <w:sz w:val="20"/>
          <w:szCs w:val="20"/>
        </w:rPr>
        <w:t>chemosensor</w:t>
      </w:r>
      <w:proofErr w:type="spellEnd"/>
      <w:r w:rsidRPr="00E67175">
        <w:rPr>
          <w:rFonts w:asciiTheme="majorBidi" w:hAnsiTheme="majorBidi" w:cstheme="majorBidi"/>
          <w:sz w:val="20"/>
          <w:szCs w:val="20"/>
        </w:rPr>
        <w:t xml:space="preserve"> can be used to detect Hg</w:t>
      </w:r>
      <w:r w:rsidRPr="00E67175">
        <w:rPr>
          <w:rFonts w:asciiTheme="majorBidi" w:hAnsiTheme="majorBidi" w:cstheme="majorBidi"/>
          <w:sz w:val="20"/>
          <w:szCs w:val="20"/>
          <w:vertAlign w:val="superscript"/>
        </w:rPr>
        <w:t>2+</w:t>
      </w:r>
      <w:r w:rsidRPr="00E67175">
        <w:rPr>
          <w:rFonts w:asciiTheme="majorBidi" w:hAnsiTheme="majorBidi" w:cstheme="majorBidi"/>
          <w:sz w:val="20"/>
          <w:szCs w:val="20"/>
        </w:rPr>
        <w:t xml:space="preserve"> by a colorimetric method in an aqueous solution at room temperature.</w:t>
      </w:r>
    </w:p>
    <w:p w14:paraId="695EF42D" w14:textId="04D36D0F" w:rsidR="009A022E" w:rsidRDefault="009A022E" w:rsidP="005531A1">
      <w:pPr>
        <w:tabs>
          <w:tab w:val="left" w:pos="567"/>
        </w:tabs>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References</w:t>
      </w:r>
    </w:p>
    <w:p w14:paraId="5A128B24" w14:textId="77777777" w:rsidR="005531A1" w:rsidRPr="005531A1" w:rsidRDefault="005531A1" w:rsidP="005531A1">
      <w:pPr>
        <w:tabs>
          <w:tab w:val="left" w:pos="567"/>
        </w:tabs>
        <w:spacing w:after="0" w:line="240" w:lineRule="auto"/>
        <w:jc w:val="center"/>
        <w:rPr>
          <w:rFonts w:asciiTheme="majorBidi" w:hAnsiTheme="majorBidi" w:cstheme="majorBidi"/>
          <w:b/>
          <w:bCs/>
          <w:sz w:val="16"/>
          <w:szCs w:val="16"/>
        </w:rPr>
      </w:pPr>
    </w:p>
    <w:p w14:paraId="7ACA5848" w14:textId="1781FF66"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N.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Kumar,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Colorimetric metal ion sensors – A comprehensive review of the years 2011–2016</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Coord. Chem. Rev.</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358,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13</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69</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2018</w:t>
      </w:r>
      <w:r w:rsidR="009A022E" w:rsidRPr="009A022E">
        <w:rPr>
          <w:rFonts w:asciiTheme="majorBidi" w:eastAsia="Times New Roman" w:hAnsiTheme="majorBidi" w:cstheme="majorBidi"/>
          <w:sz w:val="16"/>
          <w:szCs w:val="16"/>
        </w:rPr>
        <w:t>.</w:t>
      </w:r>
    </w:p>
    <w:p w14:paraId="3FA9BE9D" w14:textId="44759253"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Guzzi,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Ronchi,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Pigatto</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 xml:space="preserve"> “</w:t>
      </w:r>
      <w:r w:rsidR="009A022E" w:rsidRPr="009A022E">
        <w:rPr>
          <w:rFonts w:asciiTheme="majorBidi" w:hAnsiTheme="majorBidi" w:cstheme="majorBidi"/>
          <w:sz w:val="16"/>
          <w:szCs w:val="16"/>
        </w:rPr>
        <w:t>Toxic effects of mercury in humans and mammals,</w:t>
      </w:r>
      <w:r>
        <w:rPr>
          <w:rFonts w:asciiTheme="majorBidi" w:hAnsiTheme="majorBidi" w:cstheme="majorBidi"/>
          <w:sz w:val="16"/>
          <w:szCs w:val="16"/>
        </w:rPr>
        <w:t>”</w:t>
      </w:r>
      <w:r w:rsidR="009A022E" w:rsidRPr="009A022E">
        <w:rPr>
          <w:rFonts w:asciiTheme="majorBidi" w:hAnsiTheme="majorBidi" w:cstheme="majorBidi"/>
          <w:sz w:val="16"/>
          <w:szCs w:val="16"/>
        </w:rPr>
        <w:t xml:space="preserve"> Chemosphere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263,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127990</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6E025BA2" w14:textId="272AA1D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H.F. </w:t>
      </w:r>
      <w:r w:rsidR="009A022E" w:rsidRPr="009A022E">
        <w:rPr>
          <w:rFonts w:asciiTheme="majorBidi" w:eastAsia="Times New Roman" w:hAnsiTheme="majorBidi" w:cstheme="majorBidi"/>
          <w:sz w:val="16"/>
          <w:szCs w:val="16"/>
        </w:rPr>
        <w:t xml:space="preserve">Cheng, </w:t>
      </w:r>
      <w:r w:rsidRPr="009A022E">
        <w:rPr>
          <w:rFonts w:asciiTheme="majorBidi" w:eastAsia="Times New Roman" w:hAnsiTheme="majorBidi" w:cstheme="majorBidi"/>
          <w:sz w:val="16"/>
          <w:szCs w:val="16"/>
        </w:rPr>
        <w:t xml:space="preserve">Y.A. </w:t>
      </w:r>
      <w:r w:rsidR="009A022E" w:rsidRPr="009A022E">
        <w:rPr>
          <w:rFonts w:asciiTheme="majorBidi" w:eastAsia="Times New Roman" w:hAnsiTheme="majorBidi" w:cstheme="majorBidi"/>
          <w:sz w:val="16"/>
          <w:szCs w:val="16"/>
        </w:rPr>
        <w:t xml:space="preserve">Hu,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Mercury in municipal solid waste in China and its control:</w:t>
      </w:r>
      <w:r>
        <w:rPr>
          <w:rFonts w:asciiTheme="majorBidi" w:eastAsia="Times New Roman" w:hAnsiTheme="majorBidi" w:cstheme="majorBidi"/>
          <w:sz w:val="16"/>
          <w:szCs w:val="16"/>
        </w:rPr>
        <w:t xml:space="preserve"> </w:t>
      </w:r>
      <w:r w:rsidR="009A022E" w:rsidRPr="009A022E">
        <w:rPr>
          <w:rFonts w:asciiTheme="majorBidi" w:eastAsia="Times New Roman" w:hAnsiTheme="majorBidi" w:cstheme="majorBidi"/>
          <w:sz w:val="16"/>
          <w:szCs w:val="16"/>
        </w:rPr>
        <w:t>a review,</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Environ. Sci. Technol.</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46,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4695</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4696</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2012</w:t>
      </w:r>
      <w:r w:rsidR="009A022E" w:rsidRPr="009A022E">
        <w:rPr>
          <w:rFonts w:asciiTheme="majorBidi" w:eastAsia="Times New Roman" w:hAnsiTheme="majorBidi" w:cstheme="majorBidi"/>
          <w:sz w:val="16"/>
          <w:szCs w:val="16"/>
        </w:rPr>
        <w:t>.</w:t>
      </w:r>
    </w:p>
    <w:p w14:paraId="6B824472" w14:textId="5F79B26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D. </w:t>
      </w:r>
      <w:proofErr w:type="spellStart"/>
      <w:r w:rsidR="009A022E" w:rsidRPr="009A022E">
        <w:rPr>
          <w:rFonts w:asciiTheme="majorBidi" w:eastAsia="Times New Roman" w:hAnsiTheme="majorBidi" w:cstheme="majorBidi"/>
          <w:sz w:val="16"/>
          <w:szCs w:val="16"/>
        </w:rPr>
        <w:t>Naftz</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C. </w:t>
      </w:r>
      <w:proofErr w:type="spellStart"/>
      <w:r w:rsidR="009A022E" w:rsidRPr="009A022E">
        <w:rPr>
          <w:rFonts w:asciiTheme="majorBidi" w:eastAsia="Times New Roman" w:hAnsiTheme="majorBidi" w:cstheme="majorBidi"/>
          <w:sz w:val="16"/>
          <w:szCs w:val="16"/>
        </w:rPr>
        <w:t>Angeroth</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T. </w:t>
      </w:r>
      <w:r w:rsidR="009A022E" w:rsidRPr="009A022E">
        <w:rPr>
          <w:rFonts w:asciiTheme="majorBidi" w:eastAsia="Times New Roman" w:hAnsiTheme="majorBidi" w:cstheme="majorBidi"/>
          <w:sz w:val="16"/>
          <w:szCs w:val="16"/>
        </w:rPr>
        <w:t xml:space="preserve">Kenney, </w:t>
      </w: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Waddell, </w:t>
      </w:r>
      <w:r w:rsidRPr="009A022E">
        <w:rPr>
          <w:rFonts w:asciiTheme="majorBidi" w:eastAsia="Times New Roman" w:hAnsiTheme="majorBidi" w:cstheme="majorBidi"/>
          <w:sz w:val="16"/>
          <w:szCs w:val="16"/>
        </w:rPr>
        <w:t xml:space="preserve">N. </w:t>
      </w:r>
      <w:proofErr w:type="spellStart"/>
      <w:r w:rsidR="009A022E" w:rsidRPr="009A022E">
        <w:rPr>
          <w:rFonts w:asciiTheme="majorBidi" w:eastAsia="Times New Roman" w:hAnsiTheme="majorBidi" w:cstheme="majorBidi"/>
          <w:sz w:val="16"/>
          <w:szCs w:val="16"/>
        </w:rPr>
        <w:t>Darnall</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Silva, </w:t>
      </w:r>
      <w:r w:rsidRPr="009A022E">
        <w:rPr>
          <w:rFonts w:asciiTheme="majorBidi" w:eastAsia="Times New Roman" w:hAnsiTheme="majorBidi" w:cstheme="majorBidi"/>
          <w:sz w:val="16"/>
          <w:szCs w:val="16"/>
        </w:rPr>
        <w:t xml:space="preserve">C. </w:t>
      </w:r>
      <w:r w:rsidR="009A022E" w:rsidRPr="009A022E">
        <w:rPr>
          <w:rFonts w:asciiTheme="majorBidi" w:eastAsia="Times New Roman" w:hAnsiTheme="majorBidi" w:cstheme="majorBidi"/>
          <w:sz w:val="16"/>
          <w:szCs w:val="16"/>
        </w:rPr>
        <w:t xml:space="preserve">Perschon, </w:t>
      </w:r>
      <w:r w:rsidRPr="009A022E">
        <w:rPr>
          <w:rFonts w:asciiTheme="majorBidi" w:eastAsia="Times New Roman" w:hAnsiTheme="majorBidi" w:cstheme="majorBidi"/>
          <w:sz w:val="16"/>
          <w:szCs w:val="16"/>
        </w:rPr>
        <w:t xml:space="preserve">J. </w:t>
      </w:r>
      <w:r w:rsidR="009A022E" w:rsidRPr="009A022E">
        <w:rPr>
          <w:rFonts w:asciiTheme="majorBidi" w:eastAsia="Times New Roman" w:hAnsiTheme="majorBidi" w:cstheme="majorBidi"/>
          <w:sz w:val="16"/>
          <w:szCs w:val="16"/>
        </w:rPr>
        <w:t xml:space="preserve">Whitehead,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Anthropogenic influences on the input and bio-geo-chemical-cycling of nutrients and mercury in Great Salt Lake, Utah USA,</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Appl. Geochem.</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23,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1731</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1744</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2008</w:t>
      </w:r>
      <w:r w:rsidR="009A022E" w:rsidRPr="009A022E">
        <w:rPr>
          <w:rFonts w:asciiTheme="majorBidi" w:eastAsia="Times New Roman" w:hAnsiTheme="majorBidi" w:cstheme="majorBidi"/>
          <w:sz w:val="16"/>
          <w:szCs w:val="16"/>
        </w:rPr>
        <w:t>.</w:t>
      </w:r>
    </w:p>
    <w:p w14:paraId="2C09B9E1" w14:textId="08733D9E" w:rsidR="00D24C65"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D24C65">
        <w:rPr>
          <w:rFonts w:ascii="Times New Roman" w:hAnsi="Times New Roman" w:cstheme="majorBidi"/>
          <w:sz w:val="16"/>
          <w:szCs w:val="16"/>
        </w:rPr>
        <w:t xml:space="preserve">T. Takeuchi, N. Morikawa, H. Matsumoto, Y. Shiraishi, </w:t>
      </w:r>
      <w:r>
        <w:rPr>
          <w:rFonts w:ascii="Times New Roman" w:hAnsi="Times New Roman" w:cstheme="majorBidi"/>
          <w:sz w:val="16"/>
          <w:szCs w:val="16"/>
        </w:rPr>
        <w:t>“</w:t>
      </w:r>
      <w:r w:rsidRPr="00D24C65">
        <w:rPr>
          <w:rFonts w:ascii="Times New Roman" w:hAnsi="Times New Roman" w:cstheme="majorBidi"/>
          <w:sz w:val="16"/>
          <w:szCs w:val="16"/>
        </w:rPr>
        <w:t>A pathological study of Minamata disease in Japan</w:t>
      </w:r>
      <w:r>
        <w:rPr>
          <w:rFonts w:ascii="Times New Roman" w:hAnsi="Times New Roman" w:cstheme="majorBidi"/>
          <w:sz w:val="16"/>
          <w:szCs w:val="16"/>
        </w:rPr>
        <w:t>,”</w:t>
      </w:r>
      <w:r w:rsidRPr="00D24C65">
        <w:rPr>
          <w:rFonts w:ascii="Times New Roman" w:hAnsi="Times New Roman" w:cstheme="majorBidi"/>
          <w:sz w:val="16"/>
          <w:szCs w:val="16"/>
        </w:rPr>
        <w:t xml:space="preserve"> Acta </w:t>
      </w:r>
      <w:proofErr w:type="spellStart"/>
      <w:r w:rsidRPr="00D24C65">
        <w:rPr>
          <w:rFonts w:ascii="Times New Roman" w:hAnsi="Times New Roman" w:cstheme="majorBidi"/>
          <w:sz w:val="16"/>
          <w:szCs w:val="16"/>
        </w:rPr>
        <w:t>Neuropathol</w:t>
      </w:r>
      <w:proofErr w:type="spellEnd"/>
      <w:r>
        <w:rPr>
          <w:rFonts w:ascii="Times New Roman" w:hAnsi="Times New Roman" w:cstheme="majorBidi"/>
          <w:sz w:val="16"/>
          <w:szCs w:val="16"/>
        </w:rPr>
        <w:t>.,</w:t>
      </w:r>
      <w:r w:rsidRPr="00D24C65">
        <w:rPr>
          <w:rFonts w:ascii="Times New Roman" w:hAnsi="Times New Roman"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D24C65">
        <w:rPr>
          <w:rFonts w:ascii="Times New Roman" w:hAnsi="Times New Roman" w:cstheme="majorBidi"/>
          <w:sz w:val="16"/>
          <w:szCs w:val="16"/>
        </w:rPr>
        <w:t xml:space="preserve">2, </w:t>
      </w:r>
      <w:r>
        <w:rPr>
          <w:rFonts w:ascii="Times New Roman" w:hAnsi="Times New Roman" w:cstheme="majorBidi"/>
          <w:sz w:val="16"/>
          <w:szCs w:val="16"/>
        </w:rPr>
        <w:t xml:space="preserve">pp. </w:t>
      </w:r>
      <w:r w:rsidRPr="00D24C65">
        <w:rPr>
          <w:rFonts w:ascii="Times New Roman" w:hAnsi="Times New Roman" w:cstheme="majorBidi"/>
          <w:sz w:val="16"/>
          <w:szCs w:val="16"/>
        </w:rPr>
        <w:t>40</w:t>
      </w:r>
      <w:r>
        <w:rPr>
          <w:rFonts w:ascii="Times New Roman" w:hAnsi="Times New Roman" w:cstheme="majorBidi"/>
          <w:sz w:val="16"/>
          <w:szCs w:val="16"/>
        </w:rPr>
        <w:t>-</w:t>
      </w:r>
      <w:r w:rsidRPr="00D24C65">
        <w:rPr>
          <w:rFonts w:ascii="Times New Roman" w:hAnsi="Times New Roman" w:cstheme="majorBidi"/>
          <w:sz w:val="16"/>
          <w:szCs w:val="16"/>
        </w:rPr>
        <w:t>57</w:t>
      </w:r>
      <w:r>
        <w:rPr>
          <w:rFonts w:ascii="Times New Roman" w:hAnsi="Times New Roman" w:cstheme="majorBidi"/>
          <w:sz w:val="16"/>
          <w:szCs w:val="16"/>
        </w:rPr>
        <w:t xml:space="preserve">, </w:t>
      </w:r>
      <w:r w:rsidRPr="00D24C65">
        <w:rPr>
          <w:rFonts w:ascii="Times New Roman" w:hAnsi="Times New Roman" w:cstheme="majorBidi"/>
          <w:sz w:val="16"/>
          <w:szCs w:val="16"/>
        </w:rPr>
        <w:t>1962.</w:t>
      </w:r>
    </w:p>
    <w:p w14:paraId="38813FA3" w14:textId="20634F86" w:rsidR="009A022E" w:rsidRPr="009A022E" w:rsidRDefault="00D24C65" w:rsidP="00D24C65">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V. </w:t>
      </w:r>
      <w:r w:rsidR="009A022E" w:rsidRPr="009A022E">
        <w:rPr>
          <w:rFonts w:asciiTheme="majorBidi" w:hAnsiTheme="majorBidi" w:cstheme="majorBidi"/>
          <w:sz w:val="16"/>
          <w:szCs w:val="16"/>
        </w:rPr>
        <w:t xml:space="preserve">Bhardwaj, </w:t>
      </w:r>
      <w:r w:rsidRPr="009A022E">
        <w:rPr>
          <w:rFonts w:asciiTheme="majorBidi" w:hAnsiTheme="majorBidi" w:cstheme="majorBidi"/>
          <w:sz w:val="16"/>
          <w:szCs w:val="16"/>
        </w:rPr>
        <w:t xml:space="preserve">V.M. </w:t>
      </w:r>
      <w:proofErr w:type="spellStart"/>
      <w:r w:rsidR="009A022E" w:rsidRPr="009A022E">
        <w:rPr>
          <w:rFonts w:asciiTheme="majorBidi" w:hAnsiTheme="majorBidi" w:cstheme="majorBidi"/>
          <w:sz w:val="16"/>
          <w:szCs w:val="16"/>
        </w:rPr>
        <w:t>Nurchi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S.K. </w:t>
      </w:r>
      <w:r w:rsidR="009A022E" w:rsidRPr="009A022E">
        <w:rPr>
          <w:rFonts w:asciiTheme="majorBidi" w:hAnsiTheme="majorBidi" w:cstheme="majorBidi"/>
          <w:sz w:val="16"/>
          <w:szCs w:val="16"/>
        </w:rPr>
        <w:t xml:space="preserve">Sahoo, </w:t>
      </w:r>
      <w:r>
        <w:rPr>
          <w:rFonts w:asciiTheme="majorBidi" w:hAnsiTheme="majorBidi" w:cstheme="majorBidi"/>
          <w:sz w:val="16"/>
          <w:szCs w:val="16"/>
        </w:rPr>
        <w:t>“</w:t>
      </w:r>
      <w:r w:rsidR="009A022E" w:rsidRPr="009A022E">
        <w:rPr>
          <w:rFonts w:asciiTheme="majorBidi" w:hAnsiTheme="majorBidi" w:cstheme="majorBidi"/>
          <w:sz w:val="16"/>
          <w:szCs w:val="16"/>
        </w:rPr>
        <w:t xml:space="preserve">Mercury toxicity and detection using chromo-fluorogenic </w:t>
      </w:r>
      <w:proofErr w:type="spellStart"/>
      <w:r w:rsidR="009A022E" w:rsidRPr="009A022E">
        <w:rPr>
          <w:rFonts w:asciiTheme="majorBidi" w:hAnsiTheme="majorBidi" w:cstheme="majorBidi"/>
          <w:sz w:val="16"/>
          <w:szCs w:val="16"/>
        </w:rPr>
        <w:t>chemosensors</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Pharmaceuticals</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14,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123</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 xml:space="preserve">. </w:t>
      </w:r>
    </w:p>
    <w:p w14:paraId="51731A2B" w14:textId="77777777" w:rsidR="009A022E" w:rsidRPr="009A022E" w:rsidRDefault="009A022E"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Mercury Update: Impact on Fish Advisories, EPA Fact Sheet EPA-823-S2-01-011, EPA, Office of Water, Washington, DC, 2001.</w:t>
      </w:r>
    </w:p>
    <w:p w14:paraId="47BFC82D" w14:textId="5F539291" w:rsidR="009A022E" w:rsidRPr="009A022E"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C. </w:t>
      </w:r>
      <w:r w:rsidR="009A022E" w:rsidRPr="009A022E">
        <w:rPr>
          <w:rFonts w:asciiTheme="majorBidi" w:hAnsiTheme="majorBidi" w:cstheme="majorBidi"/>
          <w:sz w:val="16"/>
          <w:szCs w:val="16"/>
        </w:rPr>
        <w:t>Yu</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Pr>
          <w:rFonts w:asciiTheme="majorBidi" w:hAnsiTheme="majorBidi" w:cstheme="majorBidi"/>
          <w:sz w:val="16"/>
          <w:szCs w:val="16"/>
        </w:rPr>
        <w:t>“</w:t>
      </w:r>
      <w:r w:rsidR="009A022E" w:rsidRPr="009A022E">
        <w:rPr>
          <w:rFonts w:asciiTheme="majorBidi" w:hAnsiTheme="majorBidi" w:cstheme="majorBidi"/>
          <w:sz w:val="16"/>
          <w:szCs w:val="16"/>
        </w:rPr>
        <w:t>Interference from soluble iron on mercury determination in water by cold vapor atomic absorption spectrometry (CV-AAS) with sodium borohydride as reductant,</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Anal. Sci.</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sidRPr="00643CE6">
        <w:rPr>
          <w:rFonts w:asciiTheme="majorBidi" w:eastAsia="MS Mincho" w:hAnsiTheme="majorBidi" w:cstheme="majorBidi"/>
          <w:sz w:val="16"/>
          <w:szCs w:val="16"/>
        </w:rPr>
        <w:t>vol.</w:t>
      </w:r>
      <w:r w:rsidR="00922A60">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1181</w:t>
      </w:r>
      <w:r>
        <w:rPr>
          <w:rFonts w:asciiTheme="majorBidi" w:hAnsiTheme="majorBidi" w:cstheme="majorBidi"/>
          <w:sz w:val="16"/>
          <w:szCs w:val="16"/>
        </w:rPr>
        <w:t>-</w:t>
      </w:r>
      <w:r w:rsidR="009A022E" w:rsidRPr="009A022E">
        <w:rPr>
          <w:rFonts w:asciiTheme="majorBidi" w:hAnsiTheme="majorBidi" w:cstheme="majorBidi"/>
          <w:sz w:val="16"/>
          <w:szCs w:val="16"/>
        </w:rPr>
        <w:t>1184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236F370C" w14:textId="0CE6BB92"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Faraji, </w:t>
      </w:r>
      <w:r w:rsidRPr="009A022E">
        <w:rPr>
          <w:rFonts w:asciiTheme="majorBidi" w:hAnsiTheme="majorBidi" w:cstheme="majorBidi"/>
          <w:sz w:val="16"/>
          <w:szCs w:val="16"/>
        </w:rPr>
        <w:t xml:space="preserve">Y. </w:t>
      </w:r>
      <w:r w:rsidR="009A022E" w:rsidRPr="009A022E">
        <w:rPr>
          <w:rFonts w:asciiTheme="majorBidi" w:hAnsiTheme="majorBidi" w:cstheme="majorBidi"/>
          <w:sz w:val="16"/>
          <w:szCs w:val="16"/>
        </w:rPr>
        <w:t xml:space="preserve">Yamini, </w:t>
      </w: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Rezaee, </w:t>
      </w:r>
      <w:r>
        <w:rPr>
          <w:rFonts w:asciiTheme="majorBidi" w:hAnsiTheme="majorBidi" w:cstheme="majorBidi"/>
          <w:sz w:val="16"/>
          <w:szCs w:val="16"/>
        </w:rPr>
        <w:t>“</w:t>
      </w:r>
      <w:r w:rsidR="009A022E" w:rsidRPr="009A022E">
        <w:rPr>
          <w:rFonts w:asciiTheme="majorBidi" w:hAnsiTheme="majorBidi" w:cstheme="majorBidi"/>
          <w:sz w:val="16"/>
          <w:szCs w:val="16"/>
        </w:rPr>
        <w:t xml:space="preserve">Extraction of trace amounts of mercury with sodium </w:t>
      </w:r>
      <w:proofErr w:type="spellStart"/>
      <w:r w:rsidR="009A022E" w:rsidRPr="009A022E">
        <w:rPr>
          <w:rFonts w:asciiTheme="majorBidi" w:hAnsiTheme="majorBidi" w:cstheme="majorBidi"/>
          <w:sz w:val="16"/>
          <w:szCs w:val="16"/>
        </w:rPr>
        <w:t>dodecyle</w:t>
      </w:r>
      <w:proofErr w:type="spellEnd"/>
      <w:r w:rsidR="009A022E" w:rsidRPr="009A022E">
        <w:rPr>
          <w:rFonts w:asciiTheme="majorBidi" w:hAnsiTheme="majorBidi" w:cstheme="majorBidi"/>
          <w:sz w:val="16"/>
          <w:szCs w:val="16"/>
        </w:rPr>
        <w:t xml:space="preserve"> sulphate-coated magnetite nanoparticles and its determination by flow injection inductively coupled plasma-optical emission spectrometry</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831-836</w:t>
      </w:r>
      <w:r>
        <w:rPr>
          <w:rFonts w:asciiTheme="majorBidi" w:hAnsiTheme="majorBidi" w:cstheme="majorBidi"/>
          <w:sz w:val="16"/>
          <w:szCs w:val="16"/>
        </w:rPr>
        <w:t xml:space="preserve">, </w:t>
      </w:r>
      <w:r w:rsidRPr="009A022E">
        <w:rPr>
          <w:rFonts w:asciiTheme="majorBidi" w:hAnsiTheme="majorBidi" w:cstheme="majorBidi"/>
          <w:sz w:val="16"/>
          <w:szCs w:val="16"/>
        </w:rPr>
        <w:t>2010</w:t>
      </w:r>
      <w:r w:rsidR="009A022E" w:rsidRPr="009A022E">
        <w:rPr>
          <w:rFonts w:asciiTheme="majorBidi" w:hAnsiTheme="majorBidi" w:cstheme="majorBidi"/>
          <w:sz w:val="16"/>
          <w:szCs w:val="16"/>
        </w:rPr>
        <w:t>.</w:t>
      </w:r>
    </w:p>
    <w:p w14:paraId="7C9F92E2" w14:textId="625C86A6"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H.W.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X.Z. </w:t>
      </w:r>
      <w:r w:rsidR="009A022E" w:rsidRPr="009A022E">
        <w:rPr>
          <w:rFonts w:asciiTheme="majorBidi" w:hAnsiTheme="majorBidi" w:cstheme="majorBidi"/>
          <w:sz w:val="16"/>
          <w:szCs w:val="16"/>
        </w:rPr>
        <w:t xml:space="preserve">Jin, </w:t>
      </w:r>
      <w:r w:rsidRPr="009A022E">
        <w:rPr>
          <w:rFonts w:asciiTheme="majorBidi" w:hAnsiTheme="majorBidi" w:cstheme="majorBidi"/>
          <w:sz w:val="16"/>
          <w:szCs w:val="16"/>
        </w:rPr>
        <w:t xml:space="preserve">H.T. </w:t>
      </w:r>
      <w:r w:rsidR="009A022E" w:rsidRPr="009A022E">
        <w:rPr>
          <w:rFonts w:asciiTheme="majorBidi" w:hAnsiTheme="majorBidi" w:cstheme="majorBidi"/>
          <w:sz w:val="16"/>
          <w:szCs w:val="16"/>
        </w:rPr>
        <w:t xml:space="preserve">Chen, </w:t>
      </w:r>
      <w:r>
        <w:rPr>
          <w:rFonts w:asciiTheme="majorBidi" w:hAnsiTheme="majorBidi" w:cstheme="majorBidi"/>
          <w:sz w:val="16"/>
          <w:szCs w:val="16"/>
        </w:rPr>
        <w:t>“</w:t>
      </w:r>
      <w:r w:rsidR="009A022E" w:rsidRPr="009A022E">
        <w:rPr>
          <w:rFonts w:asciiTheme="majorBidi" w:hAnsiTheme="majorBidi" w:cstheme="majorBidi"/>
          <w:sz w:val="16"/>
          <w:szCs w:val="16"/>
        </w:rPr>
        <w:t>Determination of ultra-trace amount methyl-, phenyl- and inorganic mercury in environmental and biological samples by liquid chromatography with inductively coupled plasma mass spectrometry after cloud point extraction preconcentration</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1381-1387</w:t>
      </w:r>
      <w:r>
        <w:rPr>
          <w:rFonts w:asciiTheme="majorBidi" w:hAnsiTheme="majorBidi" w:cstheme="majorBidi"/>
          <w:sz w:val="16"/>
          <w:szCs w:val="16"/>
        </w:rPr>
        <w:t>, 2009</w:t>
      </w:r>
      <w:r w:rsidR="009A022E" w:rsidRPr="009A022E">
        <w:rPr>
          <w:rFonts w:asciiTheme="majorBidi" w:hAnsiTheme="majorBidi" w:cstheme="majorBidi"/>
          <w:sz w:val="16"/>
          <w:szCs w:val="16"/>
        </w:rPr>
        <w:t>.</w:t>
      </w:r>
    </w:p>
    <w:p w14:paraId="10D2EBE7" w14:textId="05A6D6BB"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Z.B. </w:t>
      </w:r>
      <w:r w:rsidR="009A022E" w:rsidRPr="009A022E">
        <w:rPr>
          <w:rFonts w:asciiTheme="majorBidi" w:hAnsiTheme="majorBidi" w:cstheme="majorBidi"/>
          <w:sz w:val="16"/>
          <w:szCs w:val="16"/>
        </w:rPr>
        <w:t xml:space="preserve">Gao, </w:t>
      </w:r>
      <w:r w:rsidRPr="009A022E">
        <w:rPr>
          <w:rFonts w:asciiTheme="majorBidi" w:hAnsiTheme="majorBidi" w:cstheme="majorBidi"/>
          <w:sz w:val="16"/>
          <w:szCs w:val="16"/>
        </w:rPr>
        <w:t xml:space="preserve">X.G. </w:t>
      </w:r>
      <w:r w:rsidR="009A022E" w:rsidRPr="009A022E">
        <w:rPr>
          <w:rFonts w:asciiTheme="majorBidi" w:hAnsiTheme="majorBidi" w:cstheme="majorBidi"/>
          <w:sz w:val="16"/>
          <w:szCs w:val="16"/>
        </w:rPr>
        <w:t xml:space="preserve">Ma, </w:t>
      </w:r>
      <w:r>
        <w:rPr>
          <w:rFonts w:asciiTheme="majorBidi" w:hAnsiTheme="majorBidi" w:cstheme="majorBidi"/>
          <w:sz w:val="16"/>
          <w:szCs w:val="16"/>
        </w:rPr>
        <w:t>“</w:t>
      </w:r>
      <w:r w:rsidR="009A022E" w:rsidRPr="009A022E">
        <w:rPr>
          <w:rFonts w:asciiTheme="majorBidi" w:hAnsiTheme="majorBidi" w:cstheme="majorBidi"/>
          <w:sz w:val="16"/>
          <w:szCs w:val="16"/>
        </w:rPr>
        <w:t>Speciation analysis of mercury in water samples using dispersive liquid-liquid microextraction combined with high-performance liquid chromatography,</w:t>
      </w:r>
      <w:r>
        <w:rPr>
          <w:rFonts w:asciiTheme="majorBidi" w:hAnsiTheme="majorBidi" w:cstheme="majorBidi"/>
          <w:sz w:val="16"/>
          <w:szCs w:val="16"/>
        </w:rPr>
        <w:t>”</w:t>
      </w:r>
      <w:r w:rsidR="009A022E" w:rsidRPr="009A022E">
        <w:rPr>
          <w:rFonts w:asciiTheme="majorBidi" w:hAnsiTheme="majorBidi" w:cstheme="majorBidi"/>
          <w:sz w:val="16"/>
          <w:szCs w:val="16"/>
        </w:rPr>
        <w:t xml:space="preserve"> Anal. Chim. Acta</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702, </w:t>
      </w:r>
      <w:r>
        <w:rPr>
          <w:rFonts w:asciiTheme="majorBidi" w:hAnsiTheme="majorBidi" w:cstheme="majorBidi"/>
          <w:sz w:val="16"/>
          <w:szCs w:val="16"/>
        </w:rPr>
        <w:t xml:space="preserve">pp. </w:t>
      </w:r>
      <w:r w:rsidR="009A022E" w:rsidRPr="009A022E">
        <w:rPr>
          <w:rFonts w:asciiTheme="majorBidi" w:hAnsiTheme="majorBidi" w:cstheme="majorBidi"/>
          <w:sz w:val="16"/>
          <w:szCs w:val="16"/>
        </w:rPr>
        <w:t>50-55</w:t>
      </w:r>
      <w:r>
        <w:rPr>
          <w:rFonts w:asciiTheme="majorBidi" w:hAnsiTheme="majorBidi" w:cstheme="majorBidi"/>
          <w:sz w:val="16"/>
          <w:szCs w:val="16"/>
        </w:rPr>
        <w:t xml:space="preserve">, </w:t>
      </w:r>
      <w:r w:rsidRPr="009A022E">
        <w:rPr>
          <w:rFonts w:asciiTheme="majorBidi" w:hAnsiTheme="majorBidi" w:cstheme="majorBidi"/>
          <w:sz w:val="16"/>
          <w:szCs w:val="16"/>
        </w:rPr>
        <w:t>2011</w:t>
      </w:r>
      <w:r w:rsidR="009A022E" w:rsidRPr="009A022E">
        <w:rPr>
          <w:rFonts w:asciiTheme="majorBidi" w:hAnsiTheme="majorBidi" w:cstheme="majorBidi"/>
          <w:sz w:val="16"/>
          <w:szCs w:val="16"/>
        </w:rPr>
        <w:t>.</w:t>
      </w:r>
    </w:p>
    <w:p w14:paraId="47BD6414" w14:textId="77777777" w:rsidR="00715DC4" w:rsidRPr="00715DC4" w:rsidRDefault="00715DC4" w:rsidP="00715DC4">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L.N. </w:t>
      </w:r>
      <w:proofErr w:type="spellStart"/>
      <w:r w:rsidRPr="009A022E">
        <w:rPr>
          <w:rFonts w:asciiTheme="majorBidi" w:hAnsiTheme="majorBidi" w:cstheme="majorBidi"/>
          <w:sz w:val="16"/>
          <w:szCs w:val="16"/>
        </w:rPr>
        <w:t>Suvarapu</w:t>
      </w:r>
      <w:proofErr w:type="spellEnd"/>
      <w:r w:rsidRPr="009A022E">
        <w:rPr>
          <w:rFonts w:asciiTheme="majorBidi" w:hAnsiTheme="majorBidi" w:cstheme="majorBidi"/>
          <w:sz w:val="16"/>
          <w:szCs w:val="16"/>
        </w:rPr>
        <w:t xml:space="preserve">, S.O. Baek, </w:t>
      </w:r>
      <w:r>
        <w:rPr>
          <w:rFonts w:asciiTheme="majorBidi" w:hAnsiTheme="majorBidi" w:cstheme="majorBidi"/>
          <w:sz w:val="16"/>
          <w:szCs w:val="16"/>
        </w:rPr>
        <w:t>“</w:t>
      </w:r>
      <w:r w:rsidRPr="009A022E">
        <w:rPr>
          <w:rFonts w:asciiTheme="majorBidi" w:hAnsiTheme="majorBidi" w:cstheme="majorBidi"/>
          <w:sz w:val="16"/>
          <w:szCs w:val="16"/>
        </w:rPr>
        <w:t>Recent studies on the speciation and determination of mercury in different environmental matrices using various analytical techniques,</w:t>
      </w:r>
      <w:r>
        <w:rPr>
          <w:rFonts w:asciiTheme="majorBidi" w:hAnsiTheme="majorBidi" w:cstheme="majorBidi"/>
          <w:sz w:val="16"/>
          <w:szCs w:val="16"/>
        </w:rPr>
        <w:t>”</w:t>
      </w:r>
      <w:r w:rsidRPr="009A022E">
        <w:rPr>
          <w:rFonts w:asciiTheme="majorBidi" w:hAnsiTheme="majorBidi" w:cstheme="majorBidi"/>
          <w:sz w:val="16"/>
          <w:szCs w:val="16"/>
        </w:rPr>
        <w:t xml:space="preserve"> Int. J. Anal. </w:t>
      </w:r>
      <w:r w:rsidRPr="00715DC4">
        <w:rPr>
          <w:rFonts w:asciiTheme="majorBidi" w:hAnsiTheme="majorBidi" w:cstheme="majorBidi"/>
          <w:sz w:val="16"/>
          <w:szCs w:val="16"/>
        </w:rPr>
        <w:t>Chem., Vol. 2017, pp</w:t>
      </w:r>
      <w:r>
        <w:rPr>
          <w:rFonts w:asciiTheme="majorBidi" w:hAnsiTheme="majorBidi" w:cstheme="majorBidi"/>
          <w:sz w:val="16"/>
          <w:szCs w:val="16"/>
        </w:rPr>
        <w:t xml:space="preserve">. </w:t>
      </w:r>
      <w:r w:rsidRPr="009A022E">
        <w:rPr>
          <w:rFonts w:asciiTheme="majorBidi" w:hAnsiTheme="majorBidi" w:cstheme="majorBidi"/>
          <w:sz w:val="16"/>
          <w:szCs w:val="16"/>
        </w:rPr>
        <w:t>1-28</w:t>
      </w:r>
      <w:r>
        <w:rPr>
          <w:rFonts w:asciiTheme="majorBidi" w:hAnsiTheme="majorBidi" w:cstheme="majorBidi"/>
          <w:sz w:val="16"/>
          <w:szCs w:val="16"/>
        </w:rPr>
        <w:t xml:space="preserve">, </w:t>
      </w:r>
      <w:r w:rsidRPr="009A022E">
        <w:rPr>
          <w:rFonts w:asciiTheme="majorBidi" w:hAnsiTheme="majorBidi" w:cstheme="majorBidi"/>
          <w:sz w:val="16"/>
          <w:szCs w:val="16"/>
        </w:rPr>
        <w:t>2017.</w:t>
      </w:r>
    </w:p>
    <w:p w14:paraId="465742BD" w14:textId="0682EEA1"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Loredo, </w:t>
      </w:r>
      <w:r w:rsidRPr="009A022E">
        <w:rPr>
          <w:rFonts w:asciiTheme="majorBidi" w:hAnsiTheme="majorBidi" w:cstheme="majorBidi"/>
          <w:sz w:val="16"/>
          <w:szCs w:val="16"/>
        </w:rPr>
        <w:t xml:space="preserve">L.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S.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H. </w:t>
      </w:r>
      <w:r w:rsidR="009A022E" w:rsidRPr="009A022E">
        <w:rPr>
          <w:rFonts w:asciiTheme="majorBidi" w:hAnsiTheme="majorBidi" w:cstheme="majorBidi"/>
          <w:sz w:val="16"/>
          <w:szCs w:val="16"/>
        </w:rPr>
        <w:t xml:space="preserve">Xiao, </w:t>
      </w:r>
      <w:r>
        <w:rPr>
          <w:rFonts w:asciiTheme="majorBidi" w:hAnsiTheme="majorBidi" w:cstheme="majorBidi"/>
          <w:sz w:val="16"/>
          <w:szCs w:val="16"/>
        </w:rPr>
        <w:t>“</w:t>
      </w:r>
      <w:r w:rsidR="009A022E" w:rsidRPr="009A022E">
        <w:rPr>
          <w:rFonts w:asciiTheme="majorBidi" w:hAnsiTheme="majorBidi" w:cstheme="majorBidi"/>
          <w:sz w:val="16"/>
          <w:szCs w:val="16"/>
        </w:rPr>
        <w:t>Single atom switching as a general approach to designing colorimetric and fluorogenic probes for mercury ions,</w:t>
      </w:r>
      <w:r>
        <w:rPr>
          <w:rFonts w:asciiTheme="majorBidi" w:hAnsiTheme="majorBidi" w:cstheme="majorBidi"/>
          <w:sz w:val="16"/>
          <w:szCs w:val="16"/>
        </w:rPr>
        <w:t>”</w:t>
      </w:r>
      <w:r w:rsidR="009A022E" w:rsidRPr="009A022E">
        <w:rPr>
          <w:rFonts w:asciiTheme="majorBidi" w:hAnsiTheme="majorBidi" w:cstheme="majorBidi"/>
          <w:sz w:val="16"/>
          <w:szCs w:val="16"/>
        </w:rPr>
        <w:t xml:space="preserve"> Dyes </w:t>
      </w:r>
      <w:proofErr w:type="spellStart"/>
      <w:r w:rsidR="009A022E" w:rsidRPr="009A022E">
        <w:rPr>
          <w:rFonts w:asciiTheme="majorBidi" w:hAnsiTheme="majorBidi" w:cstheme="majorBidi"/>
          <w:sz w:val="16"/>
          <w:szCs w:val="16"/>
        </w:rPr>
        <w:t>Pigm</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186,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109014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1CA828C0" w14:textId="03F4D41A"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E. </w:t>
      </w:r>
      <w:proofErr w:type="spellStart"/>
      <w:r w:rsidR="009A022E" w:rsidRPr="009A022E">
        <w:rPr>
          <w:rFonts w:asciiTheme="majorBidi" w:hAnsiTheme="majorBidi" w:cstheme="majorBidi"/>
          <w:sz w:val="16"/>
          <w:szCs w:val="16"/>
        </w:rPr>
        <w:t>Shaabanpur</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Vahdati</w:t>
      </w:r>
      <w:proofErr w:type="spellEnd"/>
      <w:r w:rsidR="009A022E" w:rsidRPr="009A022E">
        <w:rPr>
          <w:rFonts w:asciiTheme="majorBidi" w:hAnsiTheme="majorBidi" w:cstheme="majorBidi"/>
          <w:sz w:val="16"/>
          <w:szCs w:val="16"/>
        </w:rPr>
        <w:t xml:space="preserve">, </w:t>
      </w:r>
      <w:r>
        <w:rPr>
          <w:rFonts w:asciiTheme="majorBidi" w:hAnsiTheme="majorBidi" w:cstheme="majorBidi"/>
          <w:sz w:val="16"/>
          <w:szCs w:val="16"/>
        </w:rPr>
        <w:t>“</w:t>
      </w:r>
      <w:r w:rsidR="009A022E" w:rsidRPr="009A022E">
        <w:rPr>
          <w:rFonts w:asciiTheme="majorBidi" w:hAnsiTheme="majorBidi" w:cstheme="majorBidi"/>
          <w:sz w:val="16"/>
          <w:szCs w:val="16"/>
        </w:rPr>
        <w:t xml:space="preserve">A highly selective </w:t>
      </w:r>
      <w:proofErr w:type="spellStart"/>
      <w:r w:rsidR="009A022E" w:rsidRPr="009A022E">
        <w:rPr>
          <w:rFonts w:asciiTheme="majorBidi" w:hAnsiTheme="majorBidi" w:cstheme="majorBidi"/>
          <w:sz w:val="16"/>
          <w:szCs w:val="16"/>
        </w:rPr>
        <w:t>optode</w:t>
      </w:r>
      <w:proofErr w:type="spellEnd"/>
      <w:r w:rsidR="009A022E" w:rsidRPr="009A022E">
        <w:rPr>
          <w:rFonts w:asciiTheme="majorBidi" w:hAnsiTheme="majorBidi" w:cstheme="majorBidi"/>
          <w:sz w:val="16"/>
          <w:szCs w:val="16"/>
        </w:rPr>
        <w:t xml:space="preserve"> for determination of Hg (II) by a modified immobilization of indigo carmine on a </w:t>
      </w:r>
      <w:proofErr w:type="spellStart"/>
      <w:r w:rsidR="009A022E" w:rsidRPr="009A022E">
        <w:rPr>
          <w:rFonts w:asciiTheme="majorBidi" w:hAnsiTheme="majorBidi" w:cstheme="majorBidi"/>
          <w:sz w:val="16"/>
          <w:szCs w:val="16"/>
        </w:rPr>
        <w:t>triacetylcellulose</w:t>
      </w:r>
      <w:proofErr w:type="spellEnd"/>
      <w:r w:rsidR="009A022E" w:rsidRPr="009A022E">
        <w:rPr>
          <w:rFonts w:asciiTheme="majorBidi" w:hAnsiTheme="majorBidi" w:cstheme="majorBidi"/>
          <w:sz w:val="16"/>
          <w:szCs w:val="16"/>
        </w:rPr>
        <w:t xml:space="preserve"> membrane,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Spectrochim</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Acta A Mol. </w:t>
      </w:r>
      <w:proofErr w:type="spellStart"/>
      <w:r w:rsidR="009A022E" w:rsidRPr="009A022E">
        <w:rPr>
          <w:rFonts w:asciiTheme="majorBidi" w:hAnsiTheme="majorBidi" w:cstheme="majorBidi"/>
          <w:sz w:val="16"/>
          <w:szCs w:val="16"/>
        </w:rPr>
        <w:t>Biomol</w:t>
      </w:r>
      <w:proofErr w:type="spellEnd"/>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Spectrosc</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89, </w:t>
      </w:r>
      <w:r>
        <w:rPr>
          <w:rFonts w:asciiTheme="majorBidi" w:hAnsiTheme="majorBidi" w:cstheme="majorBidi"/>
          <w:sz w:val="16"/>
          <w:szCs w:val="16"/>
        </w:rPr>
        <w:t xml:space="preserve">pp. </w:t>
      </w:r>
      <w:r w:rsidR="009A022E" w:rsidRPr="009A022E">
        <w:rPr>
          <w:rFonts w:asciiTheme="majorBidi" w:hAnsiTheme="majorBidi" w:cstheme="majorBidi"/>
          <w:sz w:val="16"/>
          <w:szCs w:val="16"/>
        </w:rPr>
        <w:t>216-221</w:t>
      </w:r>
      <w:r>
        <w:rPr>
          <w:rFonts w:asciiTheme="majorBidi" w:hAnsiTheme="majorBidi" w:cstheme="majorBidi"/>
          <w:sz w:val="16"/>
          <w:szCs w:val="16"/>
        </w:rPr>
        <w:t xml:space="preserve">, </w:t>
      </w:r>
      <w:r w:rsidRPr="009A022E">
        <w:rPr>
          <w:rFonts w:asciiTheme="majorBidi" w:hAnsiTheme="majorBidi" w:cstheme="majorBidi"/>
          <w:sz w:val="16"/>
          <w:szCs w:val="16"/>
        </w:rPr>
        <w:t>2012</w:t>
      </w:r>
      <w:r w:rsidR="009A022E" w:rsidRPr="009A022E">
        <w:rPr>
          <w:rFonts w:asciiTheme="majorBidi" w:hAnsiTheme="majorBidi" w:cstheme="majorBidi"/>
          <w:sz w:val="16"/>
          <w:szCs w:val="16"/>
        </w:rPr>
        <w:t>.</w:t>
      </w:r>
    </w:p>
    <w:p w14:paraId="7A300A4A" w14:textId="710B4CC5"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w:t>
      </w:r>
      <w:r w:rsidR="009A022E" w:rsidRPr="009A022E">
        <w:rPr>
          <w:rFonts w:asciiTheme="majorBidi" w:hAnsiTheme="majorBidi" w:cstheme="majorBidi"/>
          <w:sz w:val="16"/>
          <w:szCs w:val="16"/>
          <w:lang w:bidi="fa-IR"/>
        </w:rPr>
        <w:t xml:space="preserve"> </w:t>
      </w:r>
      <w:r>
        <w:rPr>
          <w:rFonts w:asciiTheme="majorBidi" w:hAnsiTheme="majorBidi" w:cstheme="majorBidi"/>
          <w:sz w:val="16"/>
          <w:szCs w:val="16"/>
          <w:lang w:bidi="fa-IR"/>
        </w:rPr>
        <w:t>“</w:t>
      </w:r>
      <w:r w:rsidR="009A022E" w:rsidRPr="009A022E">
        <w:rPr>
          <w:rFonts w:asciiTheme="majorBidi" w:hAnsiTheme="majorBidi" w:cstheme="majorBidi"/>
          <w:sz w:val="16"/>
          <w:szCs w:val="16"/>
          <w:lang w:bidi="fa-IR"/>
        </w:rPr>
        <w:t>Kinetic Spectrophotometric Determination of Vanadium by Catalytic Effect on the Indigo Carmine-Bromate Reaction</w:t>
      </w:r>
      <w:r>
        <w:rPr>
          <w:rFonts w:asciiTheme="majorBidi" w:hAnsiTheme="majorBidi" w:cstheme="majorBidi"/>
          <w:sz w:val="16"/>
          <w:szCs w:val="16"/>
          <w:lang w:bidi="fa-IR"/>
        </w:rPr>
        <w:t>,”</w:t>
      </w:r>
      <w:r w:rsidR="009A022E" w:rsidRPr="009A022E">
        <w:rPr>
          <w:rFonts w:asciiTheme="majorBidi" w:hAnsiTheme="majorBidi" w:cstheme="majorBidi"/>
          <w:sz w:val="16"/>
          <w:szCs w:val="16"/>
        </w:rPr>
        <w:t xml:space="preserve"> Anal. Lett.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193</w:t>
      </w:r>
      <w:r>
        <w:rPr>
          <w:rFonts w:asciiTheme="majorBidi" w:hAnsiTheme="majorBidi" w:cstheme="majorBidi"/>
          <w:sz w:val="16"/>
          <w:szCs w:val="16"/>
        </w:rPr>
        <w:t>-</w:t>
      </w:r>
      <w:r w:rsidR="009A022E" w:rsidRPr="009A022E">
        <w:rPr>
          <w:rFonts w:asciiTheme="majorBidi" w:hAnsiTheme="majorBidi" w:cstheme="majorBidi"/>
          <w:sz w:val="16"/>
          <w:szCs w:val="16"/>
        </w:rPr>
        <w:t>206</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2007B019" w14:textId="263F5D00"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Simultaneous kinetic spectrophotometric determination of vanadium(V) and </w:t>
      </w:r>
      <w:proofErr w:type="gramStart"/>
      <w:r w:rsidR="009A022E" w:rsidRPr="009A022E">
        <w:rPr>
          <w:rFonts w:asciiTheme="majorBidi" w:hAnsiTheme="majorBidi" w:cstheme="majorBidi"/>
          <w:sz w:val="16"/>
          <w:szCs w:val="16"/>
        </w:rPr>
        <w:t>iron(</w:t>
      </w:r>
      <w:proofErr w:type="gramEnd"/>
      <w:r w:rsidR="009A022E" w:rsidRPr="009A022E">
        <w:rPr>
          <w:rFonts w:asciiTheme="majorBidi" w:hAnsiTheme="majorBidi" w:cstheme="majorBidi"/>
          <w:sz w:val="16"/>
          <w:szCs w:val="16"/>
        </w:rPr>
        <w:t>III)</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47,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479</w:t>
      </w:r>
      <w:r>
        <w:rPr>
          <w:rFonts w:asciiTheme="majorBidi" w:hAnsiTheme="majorBidi" w:cstheme="majorBidi"/>
          <w:sz w:val="16"/>
          <w:szCs w:val="16"/>
        </w:rPr>
        <w:t>-</w:t>
      </w:r>
      <w:r w:rsidR="009A022E" w:rsidRPr="009A022E">
        <w:rPr>
          <w:rFonts w:asciiTheme="majorBidi" w:hAnsiTheme="majorBidi" w:cstheme="majorBidi"/>
          <w:sz w:val="16"/>
          <w:szCs w:val="16"/>
        </w:rPr>
        <w:t>485</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61FB6242" w14:textId="04187340"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w:t>
      </w:r>
      <w:proofErr w:type="spellStart"/>
      <w:r w:rsidR="009A022E" w:rsidRPr="009A022E">
        <w:rPr>
          <w:rFonts w:asciiTheme="majorBidi" w:eastAsia="ArialMT" w:hAnsiTheme="majorBidi" w:cstheme="majorBidi"/>
          <w:sz w:val="16"/>
          <w:szCs w:val="16"/>
        </w:rPr>
        <w:t>Tavallali</w:t>
      </w:r>
      <w:proofErr w:type="spellEnd"/>
      <w:r w:rsidR="009A022E" w:rsidRPr="009A022E">
        <w:rPr>
          <w:rFonts w:asciiTheme="majorBidi" w:eastAsia="ArialMT" w:hAnsiTheme="majorBidi" w:cstheme="majorBidi"/>
          <w:sz w:val="16"/>
          <w:szCs w:val="16"/>
        </w:rPr>
        <w:t xml:space="preserve">, </w:t>
      </w:r>
      <w:proofErr w:type="spellStart"/>
      <w:proofErr w:type="gramStart"/>
      <w:r w:rsidRPr="009A022E">
        <w:rPr>
          <w:rFonts w:asciiTheme="majorBidi" w:eastAsia="ArialMT" w:hAnsiTheme="majorBidi" w:cstheme="majorBidi"/>
          <w:sz w:val="16"/>
          <w:szCs w:val="16"/>
        </w:rPr>
        <w:t>G.</w:t>
      </w:r>
      <w:r w:rsidR="009A022E" w:rsidRPr="009A022E">
        <w:rPr>
          <w:rFonts w:asciiTheme="majorBidi" w:eastAsia="ArialMT" w:hAnsiTheme="majorBidi" w:cstheme="majorBidi"/>
          <w:sz w:val="16"/>
          <w:szCs w:val="16"/>
        </w:rPr>
        <w:t>Deilamy</w:t>
      </w:r>
      <w:proofErr w:type="spellEnd"/>
      <w:proofErr w:type="gramEnd"/>
      <w:r w:rsidR="009A022E" w:rsidRPr="009A022E">
        <w:rPr>
          <w:rFonts w:asciiTheme="majorBidi" w:eastAsia="ArialMT" w:hAnsiTheme="majorBidi" w:cstheme="majorBidi"/>
          <w:sz w:val="16"/>
          <w:szCs w:val="16"/>
        </w:rPr>
        <w:t xml:space="preserve">-Rad, </w:t>
      </w:r>
      <w:r w:rsidRPr="009A022E">
        <w:rPr>
          <w:rFonts w:asciiTheme="majorBidi" w:eastAsia="ArialMT" w:hAnsiTheme="majorBidi" w:cstheme="majorBidi"/>
          <w:sz w:val="16"/>
          <w:szCs w:val="16"/>
        </w:rPr>
        <w:t xml:space="preserve">A. </w:t>
      </w:r>
      <w:proofErr w:type="spellStart"/>
      <w:r w:rsidR="009A022E" w:rsidRPr="009A022E">
        <w:rPr>
          <w:rFonts w:asciiTheme="majorBidi" w:eastAsia="ArialMT" w:hAnsiTheme="majorBidi" w:cstheme="majorBidi"/>
          <w:sz w:val="16"/>
          <w:szCs w:val="16"/>
        </w:rPr>
        <w:t>Moaddeli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K. </w:t>
      </w:r>
      <w:r w:rsidR="009A022E" w:rsidRPr="009A022E">
        <w:rPr>
          <w:rFonts w:asciiTheme="majorBidi" w:eastAsia="ArialMT" w:hAnsiTheme="majorBidi" w:cstheme="majorBidi"/>
          <w:sz w:val="16"/>
          <w:szCs w:val="16"/>
        </w:rPr>
        <w:t xml:space="preserve">Asghari,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Indigo Carmine-Cu complex probe exhibiting dual colorimetric/ </w:t>
      </w:r>
      <w:proofErr w:type="spellStart"/>
      <w:r w:rsidR="009A022E" w:rsidRPr="009A022E">
        <w:rPr>
          <w:rFonts w:asciiTheme="majorBidi" w:eastAsia="ArialMT" w:hAnsiTheme="majorBidi" w:cstheme="majorBidi"/>
          <w:sz w:val="16"/>
          <w:szCs w:val="16"/>
        </w:rPr>
        <w:t>fluorimetric</w:t>
      </w:r>
      <w:proofErr w:type="spellEnd"/>
      <w:r w:rsidR="009A022E" w:rsidRPr="009A022E">
        <w:rPr>
          <w:rFonts w:asciiTheme="majorBidi" w:eastAsia="ArialMT" w:hAnsiTheme="majorBidi" w:cstheme="majorBidi"/>
          <w:sz w:val="16"/>
          <w:szCs w:val="16"/>
        </w:rPr>
        <w:t xml:space="preserve"> sensing for selective determination of mono hydrogen phosphate ion and its logic behavior</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Spectrochim</w:t>
      </w:r>
      <w:proofErr w:type="spellEnd"/>
      <w:r w:rsidR="009A022E" w:rsidRPr="009A022E">
        <w:rPr>
          <w:rFonts w:asciiTheme="majorBidi" w:eastAsia="ArialMT" w:hAnsiTheme="majorBidi" w:cstheme="majorBidi"/>
          <w:sz w:val="16"/>
          <w:szCs w:val="16"/>
        </w:rPr>
        <w:t xml:space="preserve">. Acta A Mol. </w:t>
      </w:r>
      <w:proofErr w:type="spellStart"/>
      <w:r w:rsidR="009A022E" w:rsidRPr="009A022E">
        <w:rPr>
          <w:rFonts w:asciiTheme="majorBidi" w:eastAsia="ArialMT" w:hAnsiTheme="majorBidi" w:cstheme="majorBidi"/>
          <w:sz w:val="16"/>
          <w:szCs w:val="16"/>
        </w:rPr>
        <w:t>Biomol</w:t>
      </w:r>
      <w:proofErr w:type="spellEnd"/>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Spectrosc</w:t>
      </w:r>
      <w:proofErr w:type="spellEnd"/>
      <w:r w:rsidR="009A022E" w:rsidRPr="009A022E">
        <w:rPr>
          <w:rFonts w:asciiTheme="majorBidi" w:eastAsia="ArialMT" w:hAnsiTheme="majorBidi" w:cstheme="majorBidi"/>
          <w:sz w:val="16"/>
          <w:szCs w:val="16"/>
        </w:rPr>
        <w:t>.</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183,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319-331</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2017</w:t>
      </w:r>
      <w:r w:rsidR="009A022E" w:rsidRPr="009A022E">
        <w:rPr>
          <w:rFonts w:asciiTheme="majorBidi" w:eastAsia="ArialMT" w:hAnsiTheme="majorBidi" w:cstheme="majorBidi"/>
          <w:sz w:val="16"/>
          <w:szCs w:val="16"/>
        </w:rPr>
        <w:t xml:space="preserve">. </w:t>
      </w:r>
    </w:p>
    <w:p w14:paraId="03F55A24" w14:textId="56178C2C"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lastRenderedPageBreak/>
        <w:t xml:space="preserve">H. A. </w:t>
      </w:r>
      <w:proofErr w:type="spellStart"/>
      <w:r w:rsidR="009A022E" w:rsidRPr="009A022E">
        <w:rPr>
          <w:rFonts w:asciiTheme="majorBidi" w:eastAsia="ArialMT" w:hAnsiTheme="majorBidi" w:cstheme="majorBidi"/>
          <w:sz w:val="16"/>
          <w:szCs w:val="16"/>
        </w:rPr>
        <w:t>Benesi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J. H. </w:t>
      </w:r>
      <w:r w:rsidR="009A022E" w:rsidRPr="009A022E">
        <w:rPr>
          <w:rFonts w:asciiTheme="majorBidi" w:eastAsia="ArialMT" w:hAnsiTheme="majorBidi" w:cstheme="majorBidi"/>
          <w:sz w:val="16"/>
          <w:szCs w:val="16"/>
        </w:rPr>
        <w:t xml:space="preserve">Hildebrand,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A spectrophotometric investigation of the interaction of iodine with aromatic hydrocarbons</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J. Amer. Chem. Soc.</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71,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2703</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2707</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1949</w:t>
      </w:r>
      <w:r w:rsidR="009A022E" w:rsidRPr="009A022E">
        <w:rPr>
          <w:rFonts w:asciiTheme="majorBidi" w:eastAsia="ArialMT" w:hAnsiTheme="majorBidi" w:cstheme="majorBidi"/>
          <w:sz w:val="16"/>
          <w:szCs w:val="16"/>
        </w:rPr>
        <w:t>.</w:t>
      </w:r>
    </w:p>
    <w:p w14:paraId="768FDA96" w14:textId="77777777" w:rsidR="008E24D4" w:rsidRPr="009A022E" w:rsidRDefault="008E24D4" w:rsidP="006B1468">
      <w:pPr>
        <w:tabs>
          <w:tab w:val="left" w:pos="567"/>
        </w:tabs>
        <w:spacing w:after="0" w:line="240" w:lineRule="auto"/>
        <w:rPr>
          <w:sz w:val="16"/>
          <w:szCs w:val="16"/>
        </w:rPr>
      </w:pPr>
    </w:p>
    <w:sectPr w:rsidR="008E24D4" w:rsidRPr="009A022E" w:rsidSect="009E62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KDOO L+ MTSY">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45D4"/>
    <w:multiLevelType w:val="hybridMultilevel"/>
    <w:tmpl w:val="D936AD3E"/>
    <w:lvl w:ilvl="0" w:tplc="7F8CC124">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50239ED"/>
    <w:multiLevelType w:val="hybridMultilevel"/>
    <w:tmpl w:val="F62C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34E4875"/>
    <w:multiLevelType w:val="hybridMultilevel"/>
    <w:tmpl w:val="CB946ACE"/>
    <w:lvl w:ilvl="0" w:tplc="F66E6FF0">
      <w:start w:val="1"/>
      <w:numFmt w:val="decimal"/>
      <w:lvlText w:val="[%1]"/>
      <w:lvlJc w:val="left"/>
      <w:pPr>
        <w:ind w:left="360" w:hanging="360"/>
      </w:pPr>
      <w:rPr>
        <w:rFonts w:ascii="Times New Roman" w:hAnsi="Times New Roman" w:cs="Times New Roman"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42781A"/>
    <w:multiLevelType w:val="hybridMultilevel"/>
    <w:tmpl w:val="600AECDA"/>
    <w:lvl w:ilvl="0" w:tplc="4C9437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2473">
    <w:abstractNumId w:val="4"/>
  </w:num>
  <w:num w:numId="2" w16cid:durableId="946620976">
    <w:abstractNumId w:val="1"/>
  </w:num>
  <w:num w:numId="3" w16cid:durableId="2120441576">
    <w:abstractNumId w:val="3"/>
  </w:num>
  <w:num w:numId="4" w16cid:durableId="2142534379">
    <w:abstractNumId w:val="2"/>
  </w:num>
  <w:num w:numId="5" w16cid:durableId="617835125">
    <w:abstractNumId w:val="5"/>
  </w:num>
  <w:num w:numId="6" w16cid:durableId="13773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E"/>
    <w:rsid w:val="000439B6"/>
    <w:rsid w:val="00082874"/>
    <w:rsid w:val="00092FF1"/>
    <w:rsid w:val="000B4594"/>
    <w:rsid w:val="00110D99"/>
    <w:rsid w:val="00125971"/>
    <w:rsid w:val="00162F03"/>
    <w:rsid w:val="00172E17"/>
    <w:rsid w:val="001918D8"/>
    <w:rsid w:val="001A3E2D"/>
    <w:rsid w:val="001B7965"/>
    <w:rsid w:val="001E1436"/>
    <w:rsid w:val="001E472D"/>
    <w:rsid w:val="00225FBE"/>
    <w:rsid w:val="00257F8F"/>
    <w:rsid w:val="0027598B"/>
    <w:rsid w:val="00291195"/>
    <w:rsid w:val="002E60B3"/>
    <w:rsid w:val="00335FB4"/>
    <w:rsid w:val="003B1CB8"/>
    <w:rsid w:val="0040552E"/>
    <w:rsid w:val="004712BB"/>
    <w:rsid w:val="00480C49"/>
    <w:rsid w:val="004C2AB4"/>
    <w:rsid w:val="004F2A3A"/>
    <w:rsid w:val="005531A1"/>
    <w:rsid w:val="005636D9"/>
    <w:rsid w:val="005760E7"/>
    <w:rsid w:val="005912B8"/>
    <w:rsid w:val="005D34A3"/>
    <w:rsid w:val="005E379F"/>
    <w:rsid w:val="005E4D3D"/>
    <w:rsid w:val="00614799"/>
    <w:rsid w:val="0063284B"/>
    <w:rsid w:val="00643CE6"/>
    <w:rsid w:val="0065413C"/>
    <w:rsid w:val="006571CB"/>
    <w:rsid w:val="006B1468"/>
    <w:rsid w:val="006D55E8"/>
    <w:rsid w:val="00714141"/>
    <w:rsid w:val="00714216"/>
    <w:rsid w:val="00715DC4"/>
    <w:rsid w:val="007A7698"/>
    <w:rsid w:val="008152A5"/>
    <w:rsid w:val="00826DAB"/>
    <w:rsid w:val="0085671E"/>
    <w:rsid w:val="0086105E"/>
    <w:rsid w:val="0087138E"/>
    <w:rsid w:val="008B13E7"/>
    <w:rsid w:val="008E24D4"/>
    <w:rsid w:val="009058B5"/>
    <w:rsid w:val="00922A60"/>
    <w:rsid w:val="00952629"/>
    <w:rsid w:val="009569DA"/>
    <w:rsid w:val="0098212A"/>
    <w:rsid w:val="009A022E"/>
    <w:rsid w:val="009B1D6C"/>
    <w:rsid w:val="009E627C"/>
    <w:rsid w:val="009F40FB"/>
    <w:rsid w:val="00A07D0A"/>
    <w:rsid w:val="00A10F2F"/>
    <w:rsid w:val="00A1387E"/>
    <w:rsid w:val="00A651BA"/>
    <w:rsid w:val="00A963A0"/>
    <w:rsid w:val="00AC5944"/>
    <w:rsid w:val="00AD071E"/>
    <w:rsid w:val="00B5106D"/>
    <w:rsid w:val="00BA5019"/>
    <w:rsid w:val="00BE26E5"/>
    <w:rsid w:val="00C62407"/>
    <w:rsid w:val="00C63E3C"/>
    <w:rsid w:val="00CD4A89"/>
    <w:rsid w:val="00D07525"/>
    <w:rsid w:val="00D24C65"/>
    <w:rsid w:val="00D27EAA"/>
    <w:rsid w:val="00E04D6E"/>
    <w:rsid w:val="00E14859"/>
    <w:rsid w:val="00E66E28"/>
    <w:rsid w:val="00E67175"/>
    <w:rsid w:val="00EB2595"/>
    <w:rsid w:val="00ED247B"/>
    <w:rsid w:val="00ED68FF"/>
    <w:rsid w:val="00EF7E0D"/>
    <w:rsid w:val="00F764F3"/>
    <w:rsid w:val="00FC1D88"/>
    <w:rsid w:val="00FF3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7CC7"/>
  <w15:chartTrackingRefBased/>
  <w15:docId w15:val="{AB4340F6-0086-46E4-866C-FEF928C5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2E"/>
  </w:style>
  <w:style w:type="paragraph" w:styleId="Heading3">
    <w:name w:val="heading 3"/>
    <w:basedOn w:val="Normal"/>
    <w:link w:val="Heading3Char"/>
    <w:uiPriority w:val="9"/>
    <w:qFormat/>
    <w:rsid w:val="00E04D6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D6E"/>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E04D6E"/>
    <w:pPr>
      <w:bidi/>
      <w:spacing w:after="200" w:line="276" w:lineRule="auto"/>
      <w:ind w:left="720"/>
      <w:contextualSpacing/>
    </w:pPr>
    <w:rPr>
      <w:rFonts w:ascii="Calibri" w:eastAsia="Calibri" w:hAnsi="Calibri" w:cs="Arial"/>
      <w:kern w:val="0"/>
      <w:lang w:bidi="fa-IR"/>
      <w14:ligatures w14:val="none"/>
    </w:rPr>
  </w:style>
  <w:style w:type="paragraph" w:styleId="FootnoteText">
    <w:name w:val="footnote text"/>
    <w:basedOn w:val="Normal"/>
    <w:link w:val="FootnoteTextChar"/>
    <w:uiPriority w:val="99"/>
    <w:unhideWhenUsed/>
    <w:rsid w:val="009A022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A022E"/>
    <w:rPr>
      <w:kern w:val="0"/>
      <w:sz w:val="20"/>
      <w:szCs w:val="20"/>
      <w14:ligatures w14:val="none"/>
    </w:rPr>
  </w:style>
  <w:style w:type="table" w:styleId="TableGrid">
    <w:name w:val="Table Grid"/>
    <w:basedOn w:val="TableNormal"/>
    <w:uiPriority w:val="99"/>
    <w:rsid w:val="009A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22E"/>
    <w:pPr>
      <w:autoSpaceDE w:val="0"/>
      <w:autoSpaceDN w:val="0"/>
      <w:adjustRightInd w:val="0"/>
      <w:spacing w:after="0" w:line="240" w:lineRule="auto"/>
    </w:pPr>
    <w:rPr>
      <w:rFonts w:ascii="Charis SIL" w:hAnsi="Charis SIL" w:cs="Charis SIL"/>
      <w:color w:val="000000"/>
      <w:kern w:val="0"/>
      <w:sz w:val="24"/>
      <w:szCs w:val="24"/>
    </w:rPr>
  </w:style>
  <w:style w:type="paragraph" w:customStyle="1" w:styleId="references">
    <w:name w:val="references"/>
    <w:uiPriority w:val="99"/>
    <w:rsid w:val="00643CE6"/>
    <w:pPr>
      <w:numPr>
        <w:numId w:val="2"/>
      </w:numPr>
      <w:spacing w:after="50" w:line="180" w:lineRule="exact"/>
      <w:jc w:val="both"/>
    </w:pPr>
    <w:rPr>
      <w:rFonts w:ascii="Times New Roman" w:eastAsia="Times New Roman" w:hAnsi="Times New Roman" w:cs="Times New Roman"/>
      <w:noProof/>
      <w:kern w:val="0"/>
      <w:sz w:val="16"/>
      <w:szCs w:val="16"/>
      <w14:ligatures w14:val="none"/>
    </w:rPr>
  </w:style>
  <w:style w:type="paragraph" w:customStyle="1" w:styleId="Affiliation">
    <w:name w:val="Affiliation"/>
    <w:uiPriority w:val="99"/>
    <w:rsid w:val="009E627C"/>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9E627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figurecaption">
    <w:name w:val="figure caption"/>
    <w:rsid w:val="009E627C"/>
    <w:pPr>
      <w:numPr>
        <w:numId w:val="3"/>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14:ligatures w14:val="none"/>
    </w:rPr>
  </w:style>
  <w:style w:type="character" w:styleId="Hyperlink">
    <w:name w:val="Hyperlink"/>
    <w:basedOn w:val="DefaultParagraphFont"/>
    <w:uiPriority w:val="99"/>
    <w:unhideWhenUsed/>
    <w:rsid w:val="005912B8"/>
    <w:rPr>
      <w:color w:val="0563C1" w:themeColor="hyperlink"/>
      <w:u w:val="single"/>
    </w:rPr>
  </w:style>
  <w:style w:type="character" w:styleId="UnresolvedMention">
    <w:name w:val="Unresolved Mention"/>
    <w:basedOn w:val="DefaultParagraphFont"/>
    <w:uiPriority w:val="99"/>
    <w:semiHidden/>
    <w:unhideWhenUsed/>
    <w:rsid w:val="005912B8"/>
    <w:rPr>
      <w:color w:val="605E5C"/>
      <w:shd w:val="clear" w:color="auto" w:fill="E1DFDD"/>
    </w:rPr>
  </w:style>
  <w:style w:type="character" w:customStyle="1" w:styleId="rynqvb">
    <w:name w:val="rynqvb"/>
    <w:basedOn w:val="DefaultParagraphFont"/>
    <w:rsid w:val="001A3E2D"/>
  </w:style>
  <w:style w:type="character" w:customStyle="1" w:styleId="hwtze">
    <w:name w:val="hwtze"/>
    <w:basedOn w:val="DefaultParagraphFont"/>
    <w:rsid w:val="00A9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6889">
      <w:bodyDiv w:val="1"/>
      <w:marLeft w:val="0"/>
      <w:marRight w:val="0"/>
      <w:marTop w:val="0"/>
      <w:marBottom w:val="0"/>
      <w:divBdr>
        <w:top w:val="none" w:sz="0" w:space="0" w:color="auto"/>
        <w:left w:val="none" w:sz="0" w:space="0" w:color="auto"/>
        <w:bottom w:val="none" w:sz="0" w:space="0" w:color="auto"/>
        <w:right w:val="none" w:sz="0" w:space="0" w:color="auto"/>
      </w:divBdr>
      <w:divsChild>
        <w:div w:id="1736857019">
          <w:marLeft w:val="0"/>
          <w:marRight w:val="0"/>
          <w:marTop w:val="0"/>
          <w:marBottom w:val="0"/>
          <w:divBdr>
            <w:top w:val="none" w:sz="0" w:space="0" w:color="auto"/>
            <w:left w:val="none" w:sz="0" w:space="0" w:color="auto"/>
            <w:bottom w:val="none" w:sz="0" w:space="0" w:color="auto"/>
            <w:right w:val="none" w:sz="0" w:space="0" w:color="auto"/>
          </w:divBdr>
          <w:divsChild>
            <w:div w:id="2065563814">
              <w:marLeft w:val="0"/>
              <w:marRight w:val="0"/>
              <w:marTop w:val="0"/>
              <w:marBottom w:val="0"/>
              <w:divBdr>
                <w:top w:val="none" w:sz="0" w:space="0" w:color="auto"/>
                <w:left w:val="none" w:sz="0" w:space="0" w:color="auto"/>
                <w:bottom w:val="none" w:sz="0" w:space="0" w:color="auto"/>
                <w:right w:val="none" w:sz="0" w:space="0" w:color="auto"/>
              </w:divBdr>
              <w:divsChild>
                <w:div w:id="1609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5294">
      <w:bodyDiv w:val="1"/>
      <w:marLeft w:val="0"/>
      <w:marRight w:val="0"/>
      <w:marTop w:val="0"/>
      <w:marBottom w:val="0"/>
      <w:divBdr>
        <w:top w:val="none" w:sz="0" w:space="0" w:color="auto"/>
        <w:left w:val="none" w:sz="0" w:space="0" w:color="auto"/>
        <w:bottom w:val="none" w:sz="0" w:space="0" w:color="auto"/>
        <w:right w:val="none" w:sz="0" w:space="0" w:color="auto"/>
      </w:divBdr>
      <w:divsChild>
        <w:div w:id="1119108872">
          <w:marLeft w:val="0"/>
          <w:marRight w:val="0"/>
          <w:marTop w:val="0"/>
          <w:marBottom w:val="0"/>
          <w:divBdr>
            <w:top w:val="none" w:sz="0" w:space="0" w:color="auto"/>
            <w:left w:val="none" w:sz="0" w:space="0" w:color="auto"/>
            <w:bottom w:val="none" w:sz="0" w:space="0" w:color="auto"/>
            <w:right w:val="none" w:sz="0" w:space="0" w:color="auto"/>
          </w:divBdr>
          <w:divsChild>
            <w:div w:id="436752855">
              <w:marLeft w:val="0"/>
              <w:marRight w:val="0"/>
              <w:marTop w:val="0"/>
              <w:marBottom w:val="0"/>
              <w:divBdr>
                <w:top w:val="none" w:sz="0" w:space="0" w:color="auto"/>
                <w:left w:val="none" w:sz="0" w:space="0" w:color="auto"/>
                <w:bottom w:val="none" w:sz="0" w:space="0" w:color="auto"/>
                <w:right w:val="none" w:sz="0" w:space="0" w:color="auto"/>
              </w:divBdr>
              <w:divsChild>
                <w:div w:id="544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640">
      <w:bodyDiv w:val="1"/>
      <w:marLeft w:val="0"/>
      <w:marRight w:val="0"/>
      <w:marTop w:val="0"/>
      <w:marBottom w:val="0"/>
      <w:divBdr>
        <w:top w:val="none" w:sz="0" w:space="0" w:color="auto"/>
        <w:left w:val="none" w:sz="0" w:space="0" w:color="auto"/>
        <w:bottom w:val="none" w:sz="0" w:space="0" w:color="auto"/>
        <w:right w:val="none" w:sz="0" w:space="0" w:color="auto"/>
      </w:divBdr>
      <w:divsChild>
        <w:div w:id="1150251053">
          <w:marLeft w:val="0"/>
          <w:marRight w:val="0"/>
          <w:marTop w:val="0"/>
          <w:marBottom w:val="0"/>
          <w:divBdr>
            <w:top w:val="none" w:sz="0" w:space="0" w:color="auto"/>
            <w:left w:val="none" w:sz="0" w:space="0" w:color="auto"/>
            <w:bottom w:val="none" w:sz="0" w:space="0" w:color="auto"/>
            <w:right w:val="none" w:sz="0" w:space="0" w:color="auto"/>
          </w:divBdr>
          <w:divsChild>
            <w:div w:id="1575703326">
              <w:marLeft w:val="0"/>
              <w:marRight w:val="0"/>
              <w:marTop w:val="0"/>
              <w:marBottom w:val="0"/>
              <w:divBdr>
                <w:top w:val="none" w:sz="0" w:space="0" w:color="auto"/>
                <w:left w:val="none" w:sz="0" w:space="0" w:color="auto"/>
                <w:bottom w:val="none" w:sz="0" w:space="0" w:color="auto"/>
                <w:right w:val="none" w:sz="0" w:space="0" w:color="auto"/>
              </w:divBdr>
              <w:divsChild>
                <w:div w:id="19127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5364">
      <w:bodyDiv w:val="1"/>
      <w:marLeft w:val="0"/>
      <w:marRight w:val="0"/>
      <w:marTop w:val="0"/>
      <w:marBottom w:val="0"/>
      <w:divBdr>
        <w:top w:val="none" w:sz="0" w:space="0" w:color="auto"/>
        <w:left w:val="none" w:sz="0" w:space="0" w:color="auto"/>
        <w:bottom w:val="none" w:sz="0" w:space="0" w:color="auto"/>
        <w:right w:val="none" w:sz="0" w:space="0" w:color="auto"/>
      </w:divBdr>
      <w:divsChild>
        <w:div w:id="1171137619">
          <w:marLeft w:val="0"/>
          <w:marRight w:val="0"/>
          <w:marTop w:val="0"/>
          <w:marBottom w:val="0"/>
          <w:divBdr>
            <w:top w:val="none" w:sz="0" w:space="0" w:color="auto"/>
            <w:left w:val="none" w:sz="0" w:space="0" w:color="auto"/>
            <w:bottom w:val="none" w:sz="0" w:space="0" w:color="auto"/>
            <w:right w:val="none" w:sz="0" w:space="0" w:color="auto"/>
          </w:divBdr>
          <w:divsChild>
            <w:div w:id="754396221">
              <w:marLeft w:val="0"/>
              <w:marRight w:val="0"/>
              <w:marTop w:val="0"/>
              <w:marBottom w:val="0"/>
              <w:divBdr>
                <w:top w:val="none" w:sz="0" w:space="0" w:color="auto"/>
                <w:left w:val="none" w:sz="0" w:space="0" w:color="auto"/>
                <w:bottom w:val="none" w:sz="0" w:space="0" w:color="auto"/>
                <w:right w:val="none" w:sz="0" w:space="0" w:color="auto"/>
              </w:divBdr>
              <w:divsChild>
                <w:div w:id="275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6328">
      <w:bodyDiv w:val="1"/>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sChild>
            <w:div w:id="1004014858">
              <w:marLeft w:val="0"/>
              <w:marRight w:val="0"/>
              <w:marTop w:val="0"/>
              <w:marBottom w:val="0"/>
              <w:divBdr>
                <w:top w:val="none" w:sz="0" w:space="0" w:color="auto"/>
                <w:left w:val="none" w:sz="0" w:space="0" w:color="auto"/>
                <w:bottom w:val="none" w:sz="0" w:space="0" w:color="auto"/>
                <w:right w:val="none" w:sz="0" w:space="0" w:color="auto"/>
              </w:divBdr>
              <w:divsChild>
                <w:div w:id="73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9591">
      <w:bodyDiv w:val="1"/>
      <w:marLeft w:val="0"/>
      <w:marRight w:val="0"/>
      <w:marTop w:val="0"/>
      <w:marBottom w:val="0"/>
      <w:divBdr>
        <w:top w:val="none" w:sz="0" w:space="0" w:color="auto"/>
        <w:left w:val="none" w:sz="0" w:space="0" w:color="auto"/>
        <w:bottom w:val="none" w:sz="0" w:space="0" w:color="auto"/>
        <w:right w:val="none" w:sz="0" w:space="0" w:color="auto"/>
      </w:divBdr>
      <w:divsChild>
        <w:div w:id="1675457469">
          <w:marLeft w:val="0"/>
          <w:marRight w:val="0"/>
          <w:marTop w:val="0"/>
          <w:marBottom w:val="0"/>
          <w:divBdr>
            <w:top w:val="none" w:sz="0" w:space="0" w:color="auto"/>
            <w:left w:val="none" w:sz="0" w:space="0" w:color="auto"/>
            <w:bottom w:val="none" w:sz="0" w:space="0" w:color="auto"/>
            <w:right w:val="none" w:sz="0" w:space="0" w:color="auto"/>
          </w:divBdr>
          <w:divsChild>
            <w:div w:id="1443917898">
              <w:marLeft w:val="0"/>
              <w:marRight w:val="0"/>
              <w:marTop w:val="0"/>
              <w:marBottom w:val="0"/>
              <w:divBdr>
                <w:top w:val="none" w:sz="0" w:space="0" w:color="auto"/>
                <w:left w:val="none" w:sz="0" w:space="0" w:color="auto"/>
                <w:bottom w:val="none" w:sz="0" w:space="0" w:color="auto"/>
                <w:right w:val="none" w:sz="0" w:space="0" w:color="auto"/>
              </w:divBdr>
              <w:divsChild>
                <w:div w:id="3516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6340">
      <w:bodyDiv w:val="1"/>
      <w:marLeft w:val="0"/>
      <w:marRight w:val="0"/>
      <w:marTop w:val="0"/>
      <w:marBottom w:val="0"/>
      <w:divBdr>
        <w:top w:val="none" w:sz="0" w:space="0" w:color="auto"/>
        <w:left w:val="none" w:sz="0" w:space="0" w:color="auto"/>
        <w:bottom w:val="none" w:sz="0" w:space="0" w:color="auto"/>
        <w:right w:val="none" w:sz="0" w:space="0" w:color="auto"/>
      </w:divBdr>
      <w:divsChild>
        <w:div w:id="142698022">
          <w:marLeft w:val="0"/>
          <w:marRight w:val="0"/>
          <w:marTop w:val="0"/>
          <w:marBottom w:val="0"/>
          <w:divBdr>
            <w:top w:val="none" w:sz="0" w:space="0" w:color="auto"/>
            <w:left w:val="none" w:sz="0" w:space="0" w:color="auto"/>
            <w:bottom w:val="none" w:sz="0" w:space="0" w:color="auto"/>
            <w:right w:val="none" w:sz="0" w:space="0" w:color="auto"/>
          </w:divBdr>
          <w:divsChild>
            <w:div w:id="1483696519">
              <w:marLeft w:val="0"/>
              <w:marRight w:val="0"/>
              <w:marTop w:val="0"/>
              <w:marBottom w:val="0"/>
              <w:divBdr>
                <w:top w:val="none" w:sz="0" w:space="0" w:color="auto"/>
                <w:left w:val="none" w:sz="0" w:space="0" w:color="auto"/>
                <w:bottom w:val="none" w:sz="0" w:space="0" w:color="auto"/>
                <w:right w:val="none" w:sz="0" w:space="0" w:color="auto"/>
              </w:divBdr>
              <w:divsChild>
                <w:div w:id="181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7693">
      <w:bodyDiv w:val="1"/>
      <w:marLeft w:val="0"/>
      <w:marRight w:val="0"/>
      <w:marTop w:val="0"/>
      <w:marBottom w:val="0"/>
      <w:divBdr>
        <w:top w:val="none" w:sz="0" w:space="0" w:color="auto"/>
        <w:left w:val="none" w:sz="0" w:space="0" w:color="auto"/>
        <w:bottom w:val="none" w:sz="0" w:space="0" w:color="auto"/>
        <w:right w:val="none" w:sz="0" w:space="0" w:color="auto"/>
      </w:divBdr>
      <w:divsChild>
        <w:div w:id="14114231">
          <w:marLeft w:val="0"/>
          <w:marRight w:val="0"/>
          <w:marTop w:val="0"/>
          <w:marBottom w:val="0"/>
          <w:divBdr>
            <w:top w:val="none" w:sz="0" w:space="0" w:color="auto"/>
            <w:left w:val="none" w:sz="0" w:space="0" w:color="auto"/>
            <w:bottom w:val="none" w:sz="0" w:space="0" w:color="auto"/>
            <w:right w:val="none" w:sz="0" w:space="0" w:color="auto"/>
          </w:divBdr>
          <w:divsChild>
            <w:div w:id="1941327167">
              <w:marLeft w:val="0"/>
              <w:marRight w:val="0"/>
              <w:marTop w:val="0"/>
              <w:marBottom w:val="0"/>
              <w:divBdr>
                <w:top w:val="none" w:sz="0" w:space="0" w:color="auto"/>
                <w:left w:val="none" w:sz="0" w:space="0" w:color="auto"/>
                <w:bottom w:val="none" w:sz="0" w:space="0" w:color="auto"/>
                <w:right w:val="none" w:sz="0" w:space="0" w:color="auto"/>
              </w:divBdr>
              <w:divsChild>
                <w:div w:id="904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42688">
          <w:marLeft w:val="0"/>
          <w:marRight w:val="0"/>
          <w:marTop w:val="0"/>
          <w:marBottom w:val="0"/>
          <w:divBdr>
            <w:top w:val="none" w:sz="0" w:space="0" w:color="auto"/>
            <w:left w:val="none" w:sz="0" w:space="0" w:color="auto"/>
            <w:bottom w:val="none" w:sz="0" w:space="0" w:color="auto"/>
            <w:right w:val="none" w:sz="0" w:space="0" w:color="auto"/>
          </w:divBdr>
          <w:divsChild>
            <w:div w:id="1085801492">
              <w:marLeft w:val="0"/>
              <w:marRight w:val="0"/>
              <w:marTop w:val="0"/>
              <w:marBottom w:val="0"/>
              <w:divBdr>
                <w:top w:val="none" w:sz="0" w:space="0" w:color="auto"/>
                <w:left w:val="none" w:sz="0" w:space="0" w:color="auto"/>
                <w:bottom w:val="none" w:sz="0" w:space="0" w:color="auto"/>
                <w:right w:val="none" w:sz="0" w:space="0" w:color="auto"/>
              </w:divBdr>
              <w:divsChild>
                <w:div w:id="389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3890">
      <w:bodyDiv w:val="1"/>
      <w:marLeft w:val="0"/>
      <w:marRight w:val="0"/>
      <w:marTop w:val="0"/>
      <w:marBottom w:val="0"/>
      <w:divBdr>
        <w:top w:val="none" w:sz="0" w:space="0" w:color="auto"/>
        <w:left w:val="none" w:sz="0" w:space="0" w:color="auto"/>
        <w:bottom w:val="none" w:sz="0" w:space="0" w:color="auto"/>
        <w:right w:val="none" w:sz="0" w:space="0" w:color="auto"/>
      </w:divBdr>
      <w:divsChild>
        <w:div w:id="1613323310">
          <w:marLeft w:val="0"/>
          <w:marRight w:val="0"/>
          <w:marTop w:val="0"/>
          <w:marBottom w:val="0"/>
          <w:divBdr>
            <w:top w:val="none" w:sz="0" w:space="0" w:color="auto"/>
            <w:left w:val="none" w:sz="0" w:space="0" w:color="auto"/>
            <w:bottom w:val="none" w:sz="0" w:space="0" w:color="auto"/>
            <w:right w:val="none" w:sz="0" w:space="0" w:color="auto"/>
          </w:divBdr>
          <w:divsChild>
            <w:div w:id="1080982349">
              <w:marLeft w:val="0"/>
              <w:marRight w:val="0"/>
              <w:marTop w:val="0"/>
              <w:marBottom w:val="0"/>
              <w:divBdr>
                <w:top w:val="none" w:sz="0" w:space="0" w:color="auto"/>
                <w:left w:val="none" w:sz="0" w:space="0" w:color="auto"/>
                <w:bottom w:val="none" w:sz="0" w:space="0" w:color="auto"/>
                <w:right w:val="none" w:sz="0" w:space="0" w:color="auto"/>
              </w:divBdr>
              <w:divsChild>
                <w:div w:id="5763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0903">
      <w:bodyDiv w:val="1"/>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none" w:sz="0" w:space="0" w:color="auto"/>
            <w:left w:val="none" w:sz="0" w:space="0" w:color="auto"/>
            <w:bottom w:val="none" w:sz="0" w:space="0" w:color="auto"/>
            <w:right w:val="none" w:sz="0" w:space="0" w:color="auto"/>
          </w:divBdr>
          <w:divsChild>
            <w:div w:id="1616787485">
              <w:marLeft w:val="0"/>
              <w:marRight w:val="0"/>
              <w:marTop w:val="0"/>
              <w:marBottom w:val="0"/>
              <w:divBdr>
                <w:top w:val="none" w:sz="0" w:space="0" w:color="auto"/>
                <w:left w:val="none" w:sz="0" w:space="0" w:color="auto"/>
                <w:bottom w:val="none" w:sz="0" w:space="0" w:color="auto"/>
                <w:right w:val="none" w:sz="0" w:space="0" w:color="auto"/>
              </w:divBdr>
              <w:divsChild>
                <w:div w:id="595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hyperlink" Target="mailto:tavallali@yahoo.com" TargetMode="Externa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3&#1601;&#1589;&#1604;%20&#1587;&#1608;&#1605;%20&#1575;&#1740;&#1606;&#1583;&#1740;&#1711;&#1608;&#1705;&#1575;&#1585;&#1605;&#1740;&#1606;\finals%20IC\curves%20IC\curves%20IC2\changing%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740;&#1583;&#1740;\&#1662;&#1740;&#1575;&#1605;%20&#1606;&#1608;&#1585;\&#1601;&#1593;&#1575;&#1604;&#1740;&#1578;%20&#1607;&#1575;&#1740;%20&#1662;&#1688;&#1608;&#1607;&#1588;&#1740;%20&#1578;&#1575;%20&#1575;&#1585;&#1740;&#1608;%20&#1578;&#1740;\shiv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rgbClr val="7E0407"/>
              </a:solidFill>
              <a:ln w="9525">
                <a:solidFill>
                  <a:srgbClr val="001A2E"/>
                </a:solidFill>
              </a:ln>
              <a:effectLst/>
            </c:spPr>
          </c:marker>
          <c:trendline>
            <c:spPr>
              <a:ln w="19050" cap="rnd">
                <a:solidFill>
                  <a:srgbClr val="7E0407"/>
                </a:solidFill>
                <a:prstDash val="solid"/>
              </a:ln>
              <a:effectLst/>
            </c:spPr>
            <c:trendlineType val="linear"/>
            <c:dispRSqr val="1"/>
            <c:dispEq val="1"/>
            <c:trendlineLbl>
              <c:layout>
                <c:manualLayout>
                  <c:x val="-0.20876660766241428"/>
                  <c:y val="9.9935646683445706E-2"/>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'Benesi Hg'!$E$6:$E$110</c:f>
              <c:numCache>
                <c:formatCode>General</c:formatCode>
                <c:ptCount val="105"/>
                <c:pt idx="0">
                  <c:v>6.6766666666666659</c:v>
                </c:pt>
                <c:pt idx="1">
                  <c:v>3.3433333333333324</c:v>
                </c:pt>
                <c:pt idx="2">
                  <c:v>2.2322222222222217</c:v>
                </c:pt>
                <c:pt idx="3">
                  <c:v>1.6766666666666665</c:v>
                </c:pt>
                <c:pt idx="4">
                  <c:v>1.3433333333333333</c:v>
                </c:pt>
                <c:pt idx="5">
                  <c:v>1.1211111111111107</c:v>
                </c:pt>
                <c:pt idx="6">
                  <c:v>0.96238095238095223</c:v>
                </c:pt>
                <c:pt idx="7">
                  <c:v>0.84333333333333327</c:v>
                </c:pt>
                <c:pt idx="8">
                  <c:v>0.75074074074074071</c:v>
                </c:pt>
                <c:pt idx="9">
                  <c:v>0.67666666666666653</c:v>
                </c:pt>
                <c:pt idx="10">
                  <c:v>0.58142857142857129</c:v>
                </c:pt>
                <c:pt idx="11">
                  <c:v>0.5099999999999999</c:v>
                </c:pt>
                <c:pt idx="12">
                  <c:v>0.45444444444444437</c:v>
                </c:pt>
                <c:pt idx="13">
                  <c:v>0.40999999999999992</c:v>
                </c:pt>
                <c:pt idx="14">
                  <c:v>0.37363636363636366</c:v>
                </c:pt>
                <c:pt idx="15">
                  <c:v>0.34333333333333332</c:v>
                </c:pt>
                <c:pt idx="16">
                  <c:v>0.31769230769230766</c:v>
                </c:pt>
                <c:pt idx="17">
                  <c:v>0.29571428571428565</c:v>
                </c:pt>
                <c:pt idx="18">
                  <c:v>0.27666666666666667</c:v>
                </c:pt>
                <c:pt idx="19">
                  <c:v>0.25999999999999995</c:v>
                </c:pt>
                <c:pt idx="20">
                  <c:v>0.23988505747126435</c:v>
                </c:pt>
                <c:pt idx="21">
                  <c:v>0.22276595744680849</c:v>
                </c:pt>
                <c:pt idx="22">
                  <c:v>0.20801980198019798</c:v>
                </c:pt>
                <c:pt idx="23">
                  <c:v>0.19518518518518518</c:v>
                </c:pt>
                <c:pt idx="24">
                  <c:v>0.18391304347826085</c:v>
                </c:pt>
                <c:pt idx="25">
                  <c:v>0.17393442622950817</c:v>
                </c:pt>
                <c:pt idx="26">
                  <c:v>0.16503875968992246</c:v>
                </c:pt>
                <c:pt idx="27">
                  <c:v>0.15705882352941175</c:v>
                </c:pt>
                <c:pt idx="28">
                  <c:v>0.1498601398601398</c:v>
                </c:pt>
                <c:pt idx="29">
                  <c:v>0.14333333333333331</c:v>
                </c:pt>
                <c:pt idx="30">
                  <c:v>0.13738853503184711</c:v>
                </c:pt>
                <c:pt idx="31">
                  <c:v>0.13195121951219513</c:v>
                </c:pt>
                <c:pt idx="32">
                  <c:v>0.12695906432748535</c:v>
                </c:pt>
                <c:pt idx="33">
                  <c:v>0.12235955056179774</c:v>
                </c:pt>
                <c:pt idx="34">
                  <c:v>0.11810810810810811</c:v>
                </c:pt>
                <c:pt idx="35">
                  <c:v>0.11526315789473683</c:v>
                </c:pt>
                <c:pt idx="36">
                  <c:v>0.11256410256410253</c:v>
                </c:pt>
                <c:pt idx="37">
                  <c:v>0.11</c:v>
                </c:pt>
                <c:pt idx="38">
                  <c:v>0.10756097560975608</c:v>
                </c:pt>
                <c:pt idx="39">
                  <c:v>0.10523809523809523</c:v>
                </c:pt>
                <c:pt idx="40">
                  <c:v>0.10302325581395348</c:v>
                </c:pt>
                <c:pt idx="41">
                  <c:v>0.10090909090909091</c:v>
                </c:pt>
                <c:pt idx="42">
                  <c:v>9.8888888888888887E-2</c:v>
                </c:pt>
                <c:pt idx="43">
                  <c:v>9.6956521739130427E-2</c:v>
                </c:pt>
                <c:pt idx="44">
                  <c:v>9.5106382978723397E-2</c:v>
                </c:pt>
                <c:pt idx="45">
                  <c:v>9.3333333333333324E-2</c:v>
                </c:pt>
                <c:pt idx="46">
                  <c:v>9.1632653061224492E-2</c:v>
                </c:pt>
                <c:pt idx="47">
                  <c:v>0.09</c:v>
                </c:pt>
                <c:pt idx="48">
                  <c:v>8.8431372549019588E-2</c:v>
                </c:pt>
                <c:pt idx="49">
                  <c:v>8.6923076923076908E-2</c:v>
                </c:pt>
                <c:pt idx="50">
                  <c:v>8.5471698113207525E-2</c:v>
                </c:pt>
                <c:pt idx="51">
                  <c:v>8.4074074074074051E-2</c:v>
                </c:pt>
                <c:pt idx="52">
                  <c:v>8.2727272727272705E-2</c:v>
                </c:pt>
                <c:pt idx="53">
                  <c:v>8.1428571428571433E-2</c:v>
                </c:pt>
                <c:pt idx="54">
                  <c:v>8.0175438596491219E-2</c:v>
                </c:pt>
                <c:pt idx="55">
                  <c:v>7.8965517241379318E-2</c:v>
                </c:pt>
                <c:pt idx="56">
                  <c:v>7.779661016949152E-2</c:v>
                </c:pt>
                <c:pt idx="57">
                  <c:v>7.6666666666666647E-2</c:v>
                </c:pt>
                <c:pt idx="58">
                  <c:v>7.5573770491803277E-2</c:v>
                </c:pt>
                <c:pt idx="59">
                  <c:v>7.4516129032258058E-2</c:v>
                </c:pt>
                <c:pt idx="60">
                  <c:v>7.3492063492063484E-2</c:v>
                </c:pt>
                <c:pt idx="61">
                  <c:v>7.2499999999999981E-2</c:v>
                </c:pt>
                <c:pt idx="62">
                  <c:v>7.1538461538461523E-2</c:v>
                </c:pt>
                <c:pt idx="63">
                  <c:v>7.0606060606060603E-2</c:v>
                </c:pt>
                <c:pt idx="64">
                  <c:v>6.9701492537313434E-2</c:v>
                </c:pt>
                <c:pt idx="65">
                  <c:v>6.8823529411764686E-2</c:v>
                </c:pt>
                <c:pt idx="66">
                  <c:v>6.7971014492753612E-2</c:v>
                </c:pt>
                <c:pt idx="67">
                  <c:v>6.7142857142857129E-2</c:v>
                </c:pt>
                <c:pt idx="68">
                  <c:v>6.6338028169014074E-2</c:v>
                </c:pt>
                <c:pt idx="69">
                  <c:v>6.5555555555555547E-2</c:v>
                </c:pt>
                <c:pt idx="70">
                  <c:v>6.4794520547945197E-2</c:v>
                </c:pt>
                <c:pt idx="71">
                  <c:v>6.4054054054054052E-2</c:v>
                </c:pt>
                <c:pt idx="72">
                  <c:v>6.3333333333333325E-2</c:v>
                </c:pt>
                <c:pt idx="73">
                  <c:v>6.2631578947368413E-2</c:v>
                </c:pt>
                <c:pt idx="74">
                  <c:v>6.1948051948051933E-2</c:v>
                </c:pt>
                <c:pt idx="75">
                  <c:v>6.1282051282051268E-2</c:v>
                </c:pt>
                <c:pt idx="76">
                  <c:v>6.0632911392405044E-2</c:v>
                </c:pt>
                <c:pt idx="77">
                  <c:v>0.06</c:v>
                </c:pt>
                <c:pt idx="78">
                  <c:v>5.9382716049382715E-2</c:v>
                </c:pt>
                <c:pt idx="79">
                  <c:v>5.8780487804878032E-2</c:v>
                </c:pt>
                <c:pt idx="80">
                  <c:v>5.8192771084337347E-2</c:v>
                </c:pt>
                <c:pt idx="81">
                  <c:v>5.7619047619047625E-2</c:v>
                </c:pt>
                <c:pt idx="82">
                  <c:v>5.7058823529411752E-2</c:v>
                </c:pt>
                <c:pt idx="83">
                  <c:v>5.6511627906976745E-2</c:v>
                </c:pt>
                <c:pt idx="84">
                  <c:v>5.5977011494252868E-2</c:v>
                </c:pt>
                <c:pt idx="85">
                  <c:v>5.5454545454545444E-2</c:v>
                </c:pt>
                <c:pt idx="86">
                  <c:v>5.4943820224719088E-2</c:v>
                </c:pt>
                <c:pt idx="87">
                  <c:v>5.4444444444444434E-2</c:v>
                </c:pt>
                <c:pt idx="88">
                  <c:v>5.3956043956043954E-2</c:v>
                </c:pt>
                <c:pt idx="89">
                  <c:v>5.3478260869565211E-2</c:v>
                </c:pt>
                <c:pt idx="90">
                  <c:v>5.3010752688172041E-2</c:v>
                </c:pt>
                <c:pt idx="91">
                  <c:v>5.2553191489361703E-2</c:v>
                </c:pt>
                <c:pt idx="92">
                  <c:v>5.2105263157894738E-2</c:v>
                </c:pt>
                <c:pt idx="93">
                  <c:v>5.1666666666666659E-2</c:v>
                </c:pt>
                <c:pt idx="94">
                  <c:v>5.1237113402061843E-2</c:v>
                </c:pt>
                <c:pt idx="95">
                  <c:v>5.0816326530612244E-2</c:v>
                </c:pt>
                <c:pt idx="96">
                  <c:v>5.0404040404040402E-2</c:v>
                </c:pt>
                <c:pt idx="97">
                  <c:v>4.9999999999999989E-2</c:v>
                </c:pt>
                <c:pt idx="98">
                  <c:v>4.9603960396039593E-2</c:v>
                </c:pt>
                <c:pt idx="99">
                  <c:v>4.9215686274509785E-2</c:v>
                </c:pt>
                <c:pt idx="100">
                  <c:v>4.8834951456310678E-2</c:v>
                </c:pt>
                <c:pt idx="101">
                  <c:v>4.8461538461538459E-2</c:v>
                </c:pt>
                <c:pt idx="102">
                  <c:v>4.8095238095238087E-2</c:v>
                </c:pt>
                <c:pt idx="103">
                  <c:v>4.7735849056603767E-2</c:v>
                </c:pt>
                <c:pt idx="104">
                  <c:v>4.7037037037037037E-2</c:v>
                </c:pt>
              </c:numCache>
            </c:numRef>
          </c:xVal>
          <c:yVal>
            <c:numRef>
              <c:f>'Benesi Hg'!$I$6:$I$110</c:f>
              <c:numCache>
                <c:formatCode>General</c:formatCode>
                <c:ptCount val="105"/>
                <c:pt idx="0">
                  <c:v>188.6792452830199</c:v>
                </c:pt>
                <c:pt idx="1">
                  <c:v>88.495575221239122</c:v>
                </c:pt>
                <c:pt idx="2">
                  <c:v>56.818181818181984</c:v>
                </c:pt>
                <c:pt idx="3">
                  <c:v>50.50505050505069</c:v>
                </c:pt>
                <c:pt idx="4">
                  <c:v>41.32231404958678</c:v>
                </c:pt>
                <c:pt idx="5">
                  <c:v>31.446540880503203</c:v>
                </c:pt>
                <c:pt idx="6">
                  <c:v>25.706940874036032</c:v>
                </c:pt>
                <c:pt idx="7">
                  <c:v>22.026431718061676</c:v>
                </c:pt>
                <c:pt idx="8">
                  <c:v>20.120724346076472</c:v>
                </c:pt>
                <c:pt idx="9">
                  <c:v>17.331022530329296</c:v>
                </c:pt>
                <c:pt idx="10">
                  <c:v>14.727540500736385</c:v>
                </c:pt>
                <c:pt idx="11">
                  <c:v>12.468827930174573</c:v>
                </c:pt>
                <c:pt idx="12">
                  <c:v>12.690355329949242</c:v>
                </c:pt>
                <c:pt idx="13">
                  <c:v>12.853470437017998</c:v>
                </c:pt>
                <c:pt idx="14">
                  <c:v>12.755102040816322</c:v>
                </c:pt>
                <c:pt idx="15">
                  <c:v>11.778563015312136</c:v>
                </c:pt>
                <c:pt idx="16">
                  <c:v>10.787486515641856</c:v>
                </c:pt>
                <c:pt idx="17">
                  <c:v>10.834236186348869</c:v>
                </c:pt>
                <c:pt idx="18">
                  <c:v>9.6525096525096501</c:v>
                </c:pt>
                <c:pt idx="19">
                  <c:v>8.6730268863833508</c:v>
                </c:pt>
                <c:pt idx="20">
                  <c:v>8.9686098654708566</c:v>
                </c:pt>
                <c:pt idx="21">
                  <c:v>7.9428117553613973</c:v>
                </c:pt>
                <c:pt idx="22">
                  <c:v>7.4404761904761925</c:v>
                </c:pt>
                <c:pt idx="23">
                  <c:v>7.4404761904761925</c:v>
                </c:pt>
                <c:pt idx="24">
                  <c:v>6.8634179821551164</c:v>
                </c:pt>
                <c:pt idx="25">
                  <c:v>6.195786864931847</c:v>
                </c:pt>
                <c:pt idx="26">
                  <c:v>5.7208237986270039</c:v>
                </c:pt>
                <c:pt idx="27">
                  <c:v>5.6980056980056988</c:v>
                </c:pt>
                <c:pt idx="28">
                  <c:v>5.2603892688058931</c:v>
                </c:pt>
                <c:pt idx="29">
                  <c:v>4.9309664694280082</c:v>
                </c:pt>
                <c:pt idx="30">
                  <c:v>4.909180166912126</c:v>
                </c:pt>
                <c:pt idx="31">
                  <c:v>4.677268475210477</c:v>
                </c:pt>
                <c:pt idx="32">
                  <c:v>4.6425255338904377</c:v>
                </c:pt>
                <c:pt idx="33">
                  <c:v>4.409171075837742</c:v>
                </c:pt>
                <c:pt idx="34">
                  <c:v>4.2283298097251594</c:v>
                </c:pt>
                <c:pt idx="35">
                  <c:v>4.1152263374485596</c:v>
                </c:pt>
                <c:pt idx="36">
                  <c:v>3.9729837107667869</c:v>
                </c:pt>
                <c:pt idx="37">
                  <c:v>3.7481259370314852</c:v>
                </c:pt>
                <c:pt idx="38">
                  <c:v>3.6523009495982479</c:v>
                </c:pt>
                <c:pt idx="39">
                  <c:v>3.6036036036036041</c:v>
                </c:pt>
                <c:pt idx="40">
                  <c:v>3.5198873636043646</c:v>
                </c:pt>
                <c:pt idx="41">
                  <c:v>3.443526170798898</c:v>
                </c:pt>
                <c:pt idx="42">
                  <c:v>3.4411562284927739</c:v>
                </c:pt>
                <c:pt idx="43">
                  <c:v>3.3749578130273372</c:v>
                </c:pt>
                <c:pt idx="44">
                  <c:v>3.3046926635822871</c:v>
                </c:pt>
                <c:pt idx="45">
                  <c:v>3.2992411745298589</c:v>
                </c:pt>
                <c:pt idx="46">
                  <c:v>3.2362459546925573</c:v>
                </c:pt>
                <c:pt idx="47">
                  <c:v>3.1826861871419485</c:v>
                </c:pt>
                <c:pt idx="48">
                  <c:v>3.125976867771179</c:v>
                </c:pt>
                <c:pt idx="49">
                  <c:v>3.0835646006783848</c:v>
                </c:pt>
                <c:pt idx="50">
                  <c:v>3.0367446097783182</c:v>
                </c:pt>
                <c:pt idx="51">
                  <c:v>2.9850746268656718</c:v>
                </c:pt>
                <c:pt idx="52">
                  <c:v>2.9463759575721871</c:v>
                </c:pt>
                <c:pt idx="53">
                  <c:v>2.9095141111434391</c:v>
                </c:pt>
                <c:pt idx="54">
                  <c:v>2.9120559114735007</c:v>
                </c:pt>
                <c:pt idx="55">
                  <c:v>2.8710881424059722</c:v>
                </c:pt>
                <c:pt idx="56">
                  <c:v>2.8320589068252624</c:v>
                </c:pt>
                <c:pt idx="57">
                  <c:v>2.8074115665356545</c:v>
                </c:pt>
                <c:pt idx="58">
                  <c:v>2.8097780275358248</c:v>
                </c:pt>
                <c:pt idx="59">
                  <c:v>2.7716186252771617</c:v>
                </c:pt>
                <c:pt idx="60">
                  <c:v>2.7412280701754383</c:v>
                </c:pt>
                <c:pt idx="61">
                  <c:v>2.7070925825663243</c:v>
                </c:pt>
                <c:pt idx="62">
                  <c:v>2.679528403001072</c:v>
                </c:pt>
                <c:pt idx="63">
                  <c:v>2.656748140276302</c:v>
                </c:pt>
                <c:pt idx="64">
                  <c:v>2.6315789473684212</c:v>
                </c:pt>
                <c:pt idx="65">
                  <c:v>2.6048450117218023</c:v>
                </c:pt>
                <c:pt idx="66">
                  <c:v>2.6034886748242645</c:v>
                </c:pt>
                <c:pt idx="67">
                  <c:v>2.5799793601651189</c:v>
                </c:pt>
                <c:pt idx="68">
                  <c:v>2.556237218813906</c:v>
                </c:pt>
                <c:pt idx="69">
                  <c:v>2.5284450063211126</c:v>
                </c:pt>
                <c:pt idx="70">
                  <c:v>2.5322866548493286</c:v>
                </c:pt>
                <c:pt idx="71">
                  <c:v>2.5113008538422905</c:v>
                </c:pt>
                <c:pt idx="72">
                  <c:v>2.4943876278373662</c:v>
                </c:pt>
                <c:pt idx="73">
                  <c:v>2.4709661477637761</c:v>
                </c:pt>
                <c:pt idx="74">
                  <c:v>2.4479804161566707</c:v>
                </c:pt>
                <c:pt idx="75">
                  <c:v>2.4319066147859925</c:v>
                </c:pt>
                <c:pt idx="76">
                  <c:v>2.4125452352231607</c:v>
                </c:pt>
                <c:pt idx="77">
                  <c:v>2.4061597690086622</c:v>
                </c:pt>
                <c:pt idx="78">
                  <c:v>2.4044241404183699</c:v>
                </c:pt>
                <c:pt idx="79">
                  <c:v>2.3872045834328004</c:v>
                </c:pt>
                <c:pt idx="80">
                  <c:v>2.3866348448687353</c:v>
                </c:pt>
                <c:pt idx="81">
                  <c:v>2.3803856224708406</c:v>
                </c:pt>
                <c:pt idx="82">
                  <c:v>2.3663038334122102</c:v>
                </c:pt>
                <c:pt idx="83">
                  <c:v>2.346866932644919</c:v>
                </c:pt>
                <c:pt idx="84">
                  <c:v>2.3310023310023311</c:v>
                </c:pt>
                <c:pt idx="85">
                  <c:v>2.3185717597959661</c:v>
                </c:pt>
                <c:pt idx="86">
                  <c:v>2.3046784973496202</c:v>
                </c:pt>
                <c:pt idx="87">
                  <c:v>2.2893772893772897</c:v>
                </c:pt>
                <c:pt idx="88">
                  <c:v>2.292000916800367</c:v>
                </c:pt>
                <c:pt idx="89">
                  <c:v>2.2784233310549102</c:v>
                </c:pt>
                <c:pt idx="90">
                  <c:v>2.2639800769753227</c:v>
                </c:pt>
                <c:pt idx="91">
                  <c:v>2.2522522522522523</c:v>
                </c:pt>
                <c:pt idx="92">
                  <c:v>2.2381378692927485</c:v>
                </c:pt>
                <c:pt idx="93">
                  <c:v>2.238638907544213</c:v>
                </c:pt>
                <c:pt idx="94">
                  <c:v>2.2291573785109229</c:v>
                </c:pt>
                <c:pt idx="95">
                  <c:v>2.2182786157941439</c:v>
                </c:pt>
                <c:pt idx="96">
                  <c:v>2.2089684117517119</c:v>
                </c:pt>
                <c:pt idx="97">
                  <c:v>2.1992522542335604</c:v>
                </c:pt>
                <c:pt idx="98">
                  <c:v>2.1862702229995628</c:v>
                </c:pt>
                <c:pt idx="99">
                  <c:v>2.1853146853146854</c:v>
                </c:pt>
                <c:pt idx="100">
                  <c:v>2.1767522855899002</c:v>
                </c:pt>
                <c:pt idx="101">
                  <c:v>2.1635655560363478</c:v>
                </c:pt>
                <c:pt idx="102">
                  <c:v>2.1537798836958864</c:v>
                </c:pt>
                <c:pt idx="103">
                  <c:v>2.1445421402530562</c:v>
                </c:pt>
                <c:pt idx="104">
                  <c:v>2.1249468763280919</c:v>
                </c:pt>
              </c:numCache>
            </c:numRef>
          </c:yVal>
          <c:smooth val="0"/>
          <c:extLst>
            <c:ext xmlns:c16="http://schemas.microsoft.com/office/drawing/2014/chart" uri="{C3380CC4-5D6E-409C-BE32-E72D297353CC}">
              <c16:uniqueId val="{00000001-A1D6-40FB-95D8-4EA8E0CF33D3}"/>
            </c:ext>
          </c:extLst>
        </c:ser>
        <c:dLbls>
          <c:showLegendKey val="0"/>
          <c:showVal val="0"/>
          <c:showCatName val="0"/>
          <c:showSerName val="0"/>
          <c:showPercent val="0"/>
          <c:showBubbleSize val="0"/>
        </c:dLbls>
        <c:axId val="1727219151"/>
        <c:axId val="1727219983"/>
      </c:scatterChart>
      <c:valAx>
        <c:axId val="1727219151"/>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Hg</a:t>
                </a:r>
                <a:r>
                  <a:rPr lang="en-US" sz="1000" b="1" i="0" u="none" strike="noStrike" baseline="30000">
                    <a:effectLst/>
                    <a:latin typeface="Times New Roman" panose="02020603050405020304" pitchFamily="18" charset="0"/>
                    <a:cs typeface="Times New Roman" panose="02020603050405020304" pitchFamily="18" charset="0"/>
                  </a:rPr>
                  <a:t>2+</a:t>
                </a:r>
                <a:r>
                  <a:rPr lang="en-US" sz="1000">
                    <a:latin typeface="Times New Roman" panose="02020603050405020304" pitchFamily="18" charset="0"/>
                    <a:cs typeface="Times New Roman" panose="02020603050405020304" pitchFamily="18" charset="0"/>
                  </a:rPr>
                  <a:t>]) (µM</a:t>
                </a:r>
                <a:r>
                  <a:rPr lang="en-US" sz="1000" baseline="30000">
                    <a:latin typeface="Times New Roman" panose="02020603050405020304" pitchFamily="18" charset="0"/>
                    <a:cs typeface="Times New Roman" panose="02020603050405020304" pitchFamily="18" charset="0"/>
                  </a:rPr>
                  <a:t>-1</a:t>
                </a:r>
                <a:r>
                  <a:rPr lang="en-US" sz="1000">
                    <a:latin typeface="Times New Roman" panose="02020603050405020304" pitchFamily="18" charset="0"/>
                    <a:cs typeface="Times New Roman" panose="02020603050405020304" pitchFamily="18" charset="0"/>
                  </a:rPr>
                  <a:t>) </a:t>
                </a:r>
              </a:p>
            </c:rich>
          </c:tx>
          <c:layout>
            <c:manualLayout>
              <c:xMode val="edge"/>
              <c:yMode val="edge"/>
              <c:x val="0.41678346214713324"/>
              <c:y val="0.87513116474291708"/>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983"/>
        <c:crosses val="autoZero"/>
        <c:crossBetween val="midCat"/>
        <c:majorUnit val="1"/>
      </c:valAx>
      <c:valAx>
        <c:axId val="1727219983"/>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effectLst/>
                  </a:rPr>
                  <a:t>1/(A</a:t>
                </a:r>
                <a:r>
                  <a:rPr lang="en-US" sz="1000" b="1" i="0" baseline="-25000">
                    <a:effectLst/>
                  </a:rPr>
                  <a:t>0</a:t>
                </a:r>
                <a:r>
                  <a:rPr lang="en-US" sz="1000" b="1" i="0" baseline="0">
                    <a:effectLst/>
                  </a:rPr>
                  <a:t>-A)  at  610.0 nm</a:t>
                </a:r>
              </a:p>
            </c:rich>
          </c:tx>
          <c:layout>
            <c:manualLayout>
              <c:xMode val="edge"/>
              <c:yMode val="edge"/>
              <c:x val="7.5811843931380173E-3"/>
              <c:y val="0.1169033891440747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151"/>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'curve of pH'!$M$11</c:f>
              <c:strCache>
                <c:ptCount val="1"/>
                <c:pt idx="0">
                  <c:v>IC</c:v>
                </c:pt>
              </c:strCache>
            </c:strRef>
          </c:tx>
          <c:spPr>
            <a:ln w="19050" cap="rnd">
              <a:solidFill>
                <a:srgbClr val="002060"/>
              </a:solidFill>
              <a:round/>
            </a:ln>
            <a:effectLst/>
          </c:spPr>
          <c:marker>
            <c:symbol val="square"/>
            <c:size val="5"/>
            <c:spPr>
              <a:solidFill>
                <a:srgbClr val="002060"/>
              </a:solidFill>
              <a:ln w="9525">
                <a:solidFill>
                  <a:srgbClr val="00206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pH'!$M$12:$M$17</c:f>
              <c:numCache>
                <c:formatCode>General</c:formatCode>
                <c:ptCount val="6"/>
                <c:pt idx="0">
                  <c:v>0.80400000000000005</c:v>
                </c:pt>
                <c:pt idx="1">
                  <c:v>0.8387</c:v>
                </c:pt>
                <c:pt idx="2">
                  <c:v>0.88600000000000001</c:v>
                </c:pt>
                <c:pt idx="3">
                  <c:v>0.79349999999999998</c:v>
                </c:pt>
                <c:pt idx="4">
                  <c:v>0.76449999999999996</c:v>
                </c:pt>
                <c:pt idx="5">
                  <c:v>0.39279999999999998</c:v>
                </c:pt>
              </c:numCache>
            </c:numRef>
          </c:yVal>
          <c:smooth val="0"/>
          <c:extLst>
            <c:ext xmlns:c16="http://schemas.microsoft.com/office/drawing/2014/chart" uri="{C3380CC4-5D6E-409C-BE32-E72D297353CC}">
              <c16:uniqueId val="{00000000-82C5-4382-848D-5C219B9C5B3A}"/>
            </c:ext>
          </c:extLst>
        </c:ser>
        <c:ser>
          <c:idx val="1"/>
          <c:order val="1"/>
          <c:tx>
            <c:strRef>
              <c:f>'curve of pH'!$N$11</c:f>
              <c:strCache>
                <c:ptCount val="1"/>
                <c:pt idx="0">
                  <c:v>Hg</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pH'!$N$12:$N$17</c:f>
              <c:numCache>
                <c:formatCode>General</c:formatCode>
                <c:ptCount val="6"/>
                <c:pt idx="0">
                  <c:v>0.2228</c:v>
                </c:pt>
                <c:pt idx="1">
                  <c:v>0.52339999999999998</c:v>
                </c:pt>
                <c:pt idx="2">
                  <c:v>0.5575</c:v>
                </c:pt>
                <c:pt idx="3">
                  <c:v>0.46749999999999997</c:v>
                </c:pt>
                <c:pt idx="4">
                  <c:v>0.46009999999999995</c:v>
                </c:pt>
                <c:pt idx="5">
                  <c:v>0.21269999999999997</c:v>
                </c:pt>
              </c:numCache>
            </c:numRef>
          </c:yVal>
          <c:smooth val="0"/>
          <c:extLst>
            <c:ext xmlns:c16="http://schemas.microsoft.com/office/drawing/2014/chart" uri="{C3380CC4-5D6E-409C-BE32-E72D297353CC}">
              <c16:uniqueId val="{00000001-82C5-4382-848D-5C219B9C5B3A}"/>
            </c:ext>
          </c:extLst>
        </c:ser>
        <c:dLbls>
          <c:showLegendKey val="0"/>
          <c:showVal val="0"/>
          <c:showCatName val="0"/>
          <c:showSerName val="0"/>
          <c:showPercent val="0"/>
          <c:showBubbleSize val="0"/>
        </c:dLbls>
        <c:axId val="1662483840"/>
        <c:axId val="1662484672"/>
      </c:scatterChart>
      <c:valAx>
        <c:axId val="166248384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pH</a:t>
                </a:r>
              </a:p>
            </c:rich>
          </c:tx>
          <c:layout>
            <c:manualLayout>
              <c:xMode val="edge"/>
              <c:yMode val="edge"/>
              <c:x val="0.43710872755078845"/>
              <c:y val="0.8621879212989195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4672"/>
        <c:crosses val="autoZero"/>
        <c:crossBetween val="midCat"/>
        <c:majorUnit val="2"/>
      </c:valAx>
      <c:valAx>
        <c:axId val="1662484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 at 610.0 nm</a:t>
                </a:r>
              </a:p>
            </c:rich>
          </c:tx>
          <c:layout>
            <c:manualLayout>
              <c:xMode val="edge"/>
              <c:yMode val="edge"/>
              <c:x val="7.6018352036704073E-3"/>
              <c:y val="0.17202321173873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3840"/>
        <c:crosses val="autoZero"/>
        <c:crossBetween val="midCat"/>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'time effect'!$J$4</c:f>
              <c:strCache>
                <c:ptCount val="1"/>
                <c:pt idx="0">
                  <c:v>Hg 610nm</c:v>
                </c:pt>
              </c:strCache>
            </c:strRef>
          </c:tx>
          <c:spPr>
            <a:ln w="19050" cap="rnd">
              <a:solidFill>
                <a:srgbClr val="7E0407"/>
              </a:solidFill>
              <a:round/>
            </a:ln>
            <a:effectLst/>
          </c:spPr>
          <c:marker>
            <c:symbol val="circle"/>
            <c:size val="5"/>
            <c:spPr>
              <a:solidFill>
                <a:srgbClr val="C00000"/>
              </a:solidFill>
              <a:ln w="9525">
                <a:solidFill>
                  <a:srgbClr val="7E0407"/>
                </a:solidFill>
              </a:ln>
              <a:effectLst/>
            </c:spPr>
          </c:marker>
          <c:xVal>
            <c:numRef>
              <c:f>'time effect'!$I$5:$I$28</c:f>
              <c:numCache>
                <c:formatCode>General</c:formatCode>
                <c:ptCount val="24"/>
                <c:pt idx="0">
                  <c:v>0</c:v>
                </c:pt>
                <c:pt idx="1">
                  <c:v>0</c:v>
                </c:pt>
                <c:pt idx="2">
                  <c:v>0</c:v>
                </c:pt>
                <c:pt idx="3">
                  <c:v>0</c:v>
                </c:pt>
                <c:pt idx="4">
                  <c:v>2</c:v>
                </c:pt>
                <c:pt idx="5">
                  <c:v>4</c:v>
                </c:pt>
                <c:pt idx="6">
                  <c:v>6</c:v>
                </c:pt>
                <c:pt idx="7">
                  <c:v>8</c:v>
                </c:pt>
                <c:pt idx="8">
                  <c:v>10</c:v>
                </c:pt>
                <c:pt idx="9">
                  <c:v>12</c:v>
                </c:pt>
                <c:pt idx="10">
                  <c:v>14</c:v>
                </c:pt>
                <c:pt idx="11">
                  <c:v>16</c:v>
                </c:pt>
                <c:pt idx="12">
                  <c:v>18</c:v>
                </c:pt>
                <c:pt idx="13">
                  <c:v>20</c:v>
                </c:pt>
                <c:pt idx="14">
                  <c:v>22</c:v>
                </c:pt>
                <c:pt idx="15">
                  <c:v>24</c:v>
                </c:pt>
                <c:pt idx="16">
                  <c:v>26</c:v>
                </c:pt>
                <c:pt idx="17">
                  <c:v>28</c:v>
                </c:pt>
                <c:pt idx="18">
                  <c:v>30</c:v>
                </c:pt>
                <c:pt idx="19">
                  <c:v>32</c:v>
                </c:pt>
                <c:pt idx="20">
                  <c:v>34</c:v>
                </c:pt>
                <c:pt idx="21">
                  <c:v>36</c:v>
                </c:pt>
                <c:pt idx="22">
                  <c:v>38</c:v>
                </c:pt>
                <c:pt idx="23">
                  <c:v>40</c:v>
                </c:pt>
              </c:numCache>
            </c:numRef>
          </c:xVal>
          <c:yVal>
            <c:numRef>
              <c:f>'time effect'!$J$5:$J$28</c:f>
              <c:numCache>
                <c:formatCode>General</c:formatCode>
                <c:ptCount val="24"/>
                <c:pt idx="0">
                  <c:v>0.89639999999999997</c:v>
                </c:pt>
                <c:pt idx="1">
                  <c:v>0.87880000000000003</c:v>
                </c:pt>
                <c:pt idx="2">
                  <c:v>0.85099999999999998</c:v>
                </c:pt>
                <c:pt idx="3">
                  <c:v>0.81799999999999995</c:v>
                </c:pt>
                <c:pt idx="4">
                  <c:v>0.42580000000000001</c:v>
                </c:pt>
                <c:pt idx="5">
                  <c:v>0.42580000000000001</c:v>
                </c:pt>
                <c:pt idx="6">
                  <c:v>0.42580000000000001</c:v>
                </c:pt>
                <c:pt idx="7">
                  <c:v>0.42580000000000001</c:v>
                </c:pt>
                <c:pt idx="8">
                  <c:v>0.42580000000000001</c:v>
                </c:pt>
                <c:pt idx="9">
                  <c:v>0.42580000000000001</c:v>
                </c:pt>
                <c:pt idx="10">
                  <c:v>0.42580000000000001</c:v>
                </c:pt>
                <c:pt idx="11">
                  <c:v>0.42580000000000001</c:v>
                </c:pt>
                <c:pt idx="12">
                  <c:v>0.42580000000000001</c:v>
                </c:pt>
                <c:pt idx="13">
                  <c:v>0.42580000000000001</c:v>
                </c:pt>
                <c:pt idx="14">
                  <c:v>0.42580000000000001</c:v>
                </c:pt>
                <c:pt idx="15">
                  <c:v>0.42580000000000001</c:v>
                </c:pt>
                <c:pt idx="16">
                  <c:v>0.42580000000000001</c:v>
                </c:pt>
                <c:pt idx="17">
                  <c:v>0.42580000000000001</c:v>
                </c:pt>
                <c:pt idx="18">
                  <c:v>0.42580000000000001</c:v>
                </c:pt>
                <c:pt idx="19">
                  <c:v>0.42580000000000001</c:v>
                </c:pt>
                <c:pt idx="20">
                  <c:v>0.42580000000000001</c:v>
                </c:pt>
                <c:pt idx="21">
                  <c:v>0.42580000000000001</c:v>
                </c:pt>
                <c:pt idx="22">
                  <c:v>0.42580000000000001</c:v>
                </c:pt>
                <c:pt idx="23">
                  <c:v>0.42580000000000001</c:v>
                </c:pt>
              </c:numCache>
            </c:numRef>
          </c:yVal>
          <c:smooth val="1"/>
          <c:extLst>
            <c:ext xmlns:c16="http://schemas.microsoft.com/office/drawing/2014/chart" uri="{C3380CC4-5D6E-409C-BE32-E72D297353CC}">
              <c16:uniqueId val="{00000000-3EEC-48F0-AA77-64D3A53B5779}"/>
            </c:ext>
          </c:extLst>
        </c:ser>
        <c:dLbls>
          <c:showLegendKey val="0"/>
          <c:showVal val="0"/>
          <c:showCatName val="0"/>
          <c:showSerName val="0"/>
          <c:showPercent val="0"/>
          <c:showBubbleSize val="0"/>
        </c:dLbls>
        <c:axId val="2017893104"/>
        <c:axId val="2017893520"/>
      </c:scatterChart>
      <c:valAx>
        <c:axId val="2017893104"/>
        <c:scaling>
          <c:orientation val="minMax"/>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520"/>
        <c:crosses val="autoZero"/>
        <c:crossBetween val="midCat"/>
      </c:valAx>
      <c:valAx>
        <c:axId val="201789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1111111111111112E-2"/>
              <c:y val="0.283140492855059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104"/>
        <c:crosses val="autoZero"/>
        <c:crossBetween val="midCat"/>
        <c:majorUnit val="0.2"/>
      </c:valAx>
      <c:spPr>
        <a:noFill/>
        <a:ln>
          <a:noFill/>
        </a:ln>
        <a:effectLst/>
      </c:spPr>
    </c:plotArea>
    <c:legend>
      <c:legendPos val="r"/>
      <c:layout>
        <c:manualLayout>
          <c:xMode val="edge"/>
          <c:yMode val="edge"/>
          <c:x val="0.54513867016622908"/>
          <c:y val="0.31512649460484105"/>
          <c:w val="0.19375021872265966"/>
          <c:h val="7.34507144940215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diamond"/>
            <c:size val="3"/>
            <c:spPr>
              <a:solidFill>
                <a:srgbClr val="C00000"/>
              </a:solidFill>
              <a:ln w="9525">
                <a:solidFill>
                  <a:schemeClr val="tx1"/>
                </a:solidFill>
              </a:ln>
              <a:effectLst/>
            </c:spPr>
          </c:marker>
          <c:trendline>
            <c:spPr>
              <a:ln w="19050" cap="rnd">
                <a:solidFill>
                  <a:schemeClr val="tx1"/>
                </a:solidFill>
                <a:prstDash val="solid"/>
              </a:ln>
              <a:effectLst/>
            </c:spPr>
            <c:trendlineType val="linear"/>
            <c:dispRSqr val="1"/>
            <c:dispEq val="1"/>
            <c:trendlineLbl>
              <c:layout>
                <c:manualLayout>
                  <c:x val="-0.13584912147990236"/>
                  <c:y val="-0.25345941926750681"/>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rendlineLbl>
          </c:trendline>
          <c:xVal>
            <c:numRef>
              <c:f>'cal. curve Hg'!$E$6:$E$87</c:f>
              <c:numCache>
                <c:formatCode>General</c:formatCode>
                <c:ptCount val="82"/>
                <c:pt idx="0">
                  <c:v>0.14977533699450823</c:v>
                </c:pt>
                <c:pt idx="1">
                  <c:v>0.29910269192422739</c:v>
                </c:pt>
                <c:pt idx="2">
                  <c:v>0.44798407167745158</c:v>
                </c:pt>
                <c:pt idx="3">
                  <c:v>0.59642147117296229</c:v>
                </c:pt>
                <c:pt idx="4">
                  <c:v>0.74441687344913154</c:v>
                </c:pt>
                <c:pt idx="5">
                  <c:v>0.89197224975223022</c:v>
                </c:pt>
                <c:pt idx="6">
                  <c:v>1.0390895596239487</c:v>
                </c:pt>
                <c:pt idx="7">
                  <c:v>1.1857707509881423</c:v>
                </c:pt>
                <c:pt idx="8">
                  <c:v>1.3320177602368031</c:v>
                </c:pt>
                <c:pt idx="9">
                  <c:v>1.4778325123152711</c:v>
                </c:pt>
                <c:pt idx="10">
                  <c:v>1.7199017199017199</c:v>
                </c:pt>
                <c:pt idx="11">
                  <c:v>1.9607843137254906</c:v>
                </c:pt>
                <c:pt idx="12">
                  <c:v>2.2004889975550124</c:v>
                </c:pt>
                <c:pt idx="13">
                  <c:v>2.4390243902439028</c:v>
                </c:pt>
                <c:pt idx="14">
                  <c:v>2.6763990267639901</c:v>
                </c:pt>
                <c:pt idx="15">
                  <c:v>2.912621359223301</c:v>
                </c:pt>
                <c:pt idx="16">
                  <c:v>3.1476997578692494</c:v>
                </c:pt>
                <c:pt idx="17">
                  <c:v>3.381642512077295</c:v>
                </c:pt>
                <c:pt idx="18">
                  <c:v>3.6144578313253009</c:v>
                </c:pt>
                <c:pt idx="19">
                  <c:v>3.8461538461538467</c:v>
                </c:pt>
                <c:pt idx="20">
                  <c:v>4.1686631528509821</c:v>
                </c:pt>
                <c:pt idx="21">
                  <c:v>4.4890162368672399</c:v>
                </c:pt>
                <c:pt idx="22">
                  <c:v>4.8072346501665884</c:v>
                </c:pt>
                <c:pt idx="23">
                  <c:v>5.1233396584440225</c:v>
                </c:pt>
                <c:pt idx="24">
                  <c:v>5.4373522458628845</c:v>
                </c:pt>
                <c:pt idx="25">
                  <c:v>5.7492931196983985</c:v>
                </c:pt>
                <c:pt idx="26">
                  <c:v>6.0591827148896193</c:v>
                </c:pt>
                <c:pt idx="27">
                  <c:v>6.3670411985018731</c:v>
                </c:pt>
                <c:pt idx="28">
                  <c:v>6.672888474101728</c:v>
                </c:pt>
                <c:pt idx="29">
                  <c:v>6.9767441860465116</c:v>
                </c:pt>
                <c:pt idx="30">
                  <c:v>7.2786277236903114</c:v>
                </c:pt>
                <c:pt idx="31">
                  <c:v>7.5785582255083179</c:v>
                </c:pt>
                <c:pt idx="32">
                  <c:v>7.8765545831414103</c:v>
                </c:pt>
                <c:pt idx="33">
                  <c:v>8.1726354453627188</c:v>
                </c:pt>
                <c:pt idx="34">
                  <c:v>8.4668192219679614</c:v>
                </c:pt>
                <c:pt idx="35">
                  <c:v>8.6757990867579906</c:v>
                </c:pt>
                <c:pt idx="36">
                  <c:v>8.8838268792710728</c:v>
                </c:pt>
                <c:pt idx="37">
                  <c:v>9.0909090909090917</c:v>
                </c:pt>
                <c:pt idx="38">
                  <c:v>9.2970521541950131</c:v>
                </c:pt>
                <c:pt idx="39">
                  <c:v>9.502262443438914</c:v>
                </c:pt>
                <c:pt idx="40">
                  <c:v>9.7065462753950342</c:v>
                </c:pt>
                <c:pt idx="41">
                  <c:v>9.9099099099099099</c:v>
                </c:pt>
                <c:pt idx="42">
                  <c:v>10.112359550561798</c:v>
                </c:pt>
                <c:pt idx="43">
                  <c:v>10.31390134529148</c:v>
                </c:pt>
                <c:pt idx="44">
                  <c:v>10.514541387024609</c:v>
                </c:pt>
                <c:pt idx="45">
                  <c:v>10.714285714285714</c:v>
                </c:pt>
                <c:pt idx="46">
                  <c:v>10.913140311804009</c:v>
                </c:pt>
                <c:pt idx="47">
                  <c:v>11.111111111111112</c:v>
                </c:pt>
                <c:pt idx="48">
                  <c:v>11.308203991130823</c:v>
                </c:pt>
                <c:pt idx="49">
                  <c:v>11.504424778761063</c:v>
                </c:pt>
                <c:pt idx="50">
                  <c:v>11.699779249448126</c:v>
                </c:pt>
                <c:pt idx="51">
                  <c:v>11.894273127753305</c:v>
                </c:pt>
                <c:pt idx="52">
                  <c:v>12.087912087912091</c:v>
                </c:pt>
                <c:pt idx="53">
                  <c:v>12.280701754385964</c:v>
                </c:pt>
                <c:pt idx="54">
                  <c:v>12.472647702407002</c:v>
                </c:pt>
                <c:pt idx="55">
                  <c:v>12.663755458515283</c:v>
                </c:pt>
                <c:pt idx="56">
                  <c:v>12.854030501089325</c:v>
                </c:pt>
                <c:pt idx="57">
                  <c:v>13.043478260869566</c:v>
                </c:pt>
                <c:pt idx="58">
                  <c:v>13.232104121475052</c:v>
                </c:pt>
                <c:pt idx="59">
                  <c:v>13.419913419913419</c:v>
                </c:pt>
                <c:pt idx="60">
                  <c:v>13.606911447084235</c:v>
                </c:pt>
                <c:pt idx="61">
                  <c:v>13.793103448275865</c:v>
                </c:pt>
                <c:pt idx="62">
                  <c:v>13.978494623655914</c:v>
                </c:pt>
                <c:pt idx="63">
                  <c:v>14.163090128755366</c:v>
                </c:pt>
                <c:pt idx="64">
                  <c:v>14.346895074946467</c:v>
                </c:pt>
                <c:pt idx="65">
                  <c:v>14.529914529914533</c:v>
                </c:pt>
                <c:pt idx="66">
                  <c:v>14.712153518123667</c:v>
                </c:pt>
                <c:pt idx="67">
                  <c:v>14.893617021276597</c:v>
                </c:pt>
                <c:pt idx="68">
                  <c:v>15.074309978768579</c:v>
                </c:pt>
                <c:pt idx="69">
                  <c:v>15.254237288135593</c:v>
                </c:pt>
                <c:pt idx="70">
                  <c:v>15.433403805496829</c:v>
                </c:pt>
                <c:pt idx="71">
                  <c:v>15.61181434599156</c:v>
                </c:pt>
                <c:pt idx="72">
                  <c:v>15.789473684210529</c:v>
                </c:pt>
                <c:pt idx="73">
                  <c:v>15.966386554621851</c:v>
                </c:pt>
                <c:pt idx="74">
                  <c:v>16.142557651991616</c:v>
                </c:pt>
                <c:pt idx="75">
                  <c:v>16.317991631799167</c:v>
                </c:pt>
                <c:pt idx="76">
                  <c:v>16.492693110647185</c:v>
                </c:pt>
                <c:pt idx="77">
                  <c:v>16.666666666666668</c:v>
                </c:pt>
                <c:pt idx="78">
                  <c:v>16.839916839916839</c:v>
                </c:pt>
                <c:pt idx="79">
                  <c:v>17.012448132780086</c:v>
                </c:pt>
                <c:pt idx="80">
                  <c:v>17.184265010351968</c:v>
                </c:pt>
                <c:pt idx="81">
                  <c:v>17.355371900826444</c:v>
                </c:pt>
              </c:numCache>
            </c:numRef>
          </c:xVal>
          <c:yVal>
            <c:numRef>
              <c:f>'cal. curve Hg'!$F$6:$F$87</c:f>
              <c:numCache>
                <c:formatCode>General</c:formatCode>
                <c:ptCount val="82"/>
                <c:pt idx="0">
                  <c:v>0.8911</c:v>
                </c:pt>
                <c:pt idx="1">
                  <c:v>0.8851</c:v>
                </c:pt>
                <c:pt idx="2">
                  <c:v>0.87880000000000003</c:v>
                </c:pt>
                <c:pt idx="3">
                  <c:v>0.87660000000000005</c:v>
                </c:pt>
                <c:pt idx="4">
                  <c:v>0.87219999999999998</c:v>
                </c:pt>
                <c:pt idx="5">
                  <c:v>0.86460000000000004</c:v>
                </c:pt>
                <c:pt idx="6">
                  <c:v>0.85750000000000004</c:v>
                </c:pt>
                <c:pt idx="7">
                  <c:v>0.85099999999999998</c:v>
                </c:pt>
                <c:pt idx="8">
                  <c:v>0.84670000000000001</c:v>
                </c:pt>
                <c:pt idx="9">
                  <c:v>0.8387</c:v>
                </c:pt>
                <c:pt idx="10">
                  <c:v>0.82850000000000001</c:v>
                </c:pt>
                <c:pt idx="11">
                  <c:v>0.81620000000000004</c:v>
                </c:pt>
                <c:pt idx="12">
                  <c:v>0.81759999999999999</c:v>
                </c:pt>
                <c:pt idx="13">
                  <c:v>0.81859999999999999</c:v>
                </c:pt>
                <c:pt idx="14">
                  <c:v>0.81799999999999995</c:v>
                </c:pt>
                <c:pt idx="15">
                  <c:v>0.8115</c:v>
                </c:pt>
                <c:pt idx="16">
                  <c:v>0.80410000000000004</c:v>
                </c:pt>
                <c:pt idx="17">
                  <c:v>0.80369999999999997</c:v>
                </c:pt>
                <c:pt idx="18">
                  <c:v>0.79279999999999995</c:v>
                </c:pt>
                <c:pt idx="19">
                  <c:v>0.78110000000000002</c:v>
                </c:pt>
                <c:pt idx="20">
                  <c:v>0.78490000000000004</c:v>
                </c:pt>
                <c:pt idx="21">
                  <c:v>0.77049999999999996</c:v>
                </c:pt>
                <c:pt idx="22">
                  <c:v>0.76200000000000001</c:v>
                </c:pt>
                <c:pt idx="23">
                  <c:v>0.75819999999999999</c:v>
                </c:pt>
                <c:pt idx="24">
                  <c:v>0.75070000000000003</c:v>
                </c:pt>
                <c:pt idx="25">
                  <c:v>0.73499999999999999</c:v>
                </c:pt>
                <c:pt idx="26">
                  <c:v>0.72160000000000002</c:v>
                </c:pt>
                <c:pt idx="27">
                  <c:v>0.72089999999999999</c:v>
                </c:pt>
                <c:pt idx="28">
                  <c:v>0.70630000000000004</c:v>
                </c:pt>
                <c:pt idx="29">
                  <c:v>0.69359999999999999</c:v>
                </c:pt>
                <c:pt idx="30">
                  <c:v>0.69269999999999998</c:v>
                </c:pt>
                <c:pt idx="31">
                  <c:v>0.68259999999999998</c:v>
                </c:pt>
                <c:pt idx="32">
                  <c:v>0.68100000000000005</c:v>
                </c:pt>
                <c:pt idx="33">
                  <c:v>0.66959999999999997</c:v>
                </c:pt>
                <c:pt idx="34">
                  <c:v>0.65990000000000004</c:v>
                </c:pt>
                <c:pt idx="35">
                  <c:v>0.65339999999999998</c:v>
                </c:pt>
                <c:pt idx="36">
                  <c:v>0.64470000000000005</c:v>
                </c:pt>
                <c:pt idx="37">
                  <c:v>0.62960000000000005</c:v>
                </c:pt>
                <c:pt idx="38">
                  <c:v>0.62260000000000004</c:v>
                </c:pt>
                <c:pt idx="39">
                  <c:v>0.61890000000000001</c:v>
                </c:pt>
                <c:pt idx="40">
                  <c:v>0.61229999999999996</c:v>
                </c:pt>
                <c:pt idx="41">
                  <c:v>0.60599999999999998</c:v>
                </c:pt>
                <c:pt idx="42">
                  <c:v>0.60580000000000001</c:v>
                </c:pt>
                <c:pt idx="43">
                  <c:v>0.60009999999999997</c:v>
                </c:pt>
                <c:pt idx="44">
                  <c:v>0.59379999999999999</c:v>
                </c:pt>
                <c:pt idx="45">
                  <c:v>0.59330000000000005</c:v>
                </c:pt>
                <c:pt idx="46">
                  <c:v>0.58740000000000003</c:v>
                </c:pt>
                <c:pt idx="47">
                  <c:v>0.58220000000000005</c:v>
                </c:pt>
                <c:pt idx="48">
                  <c:v>0.57650000000000001</c:v>
                </c:pt>
                <c:pt idx="49">
                  <c:v>0.57210000000000005</c:v>
                </c:pt>
                <c:pt idx="50">
                  <c:v>0.56710000000000005</c:v>
                </c:pt>
                <c:pt idx="51">
                  <c:v>0.56140000000000001</c:v>
                </c:pt>
                <c:pt idx="52">
                  <c:v>0.55700000000000005</c:v>
                </c:pt>
                <c:pt idx="53">
                  <c:v>0.55269999999999997</c:v>
                </c:pt>
                <c:pt idx="54">
                  <c:v>0.55300000000000005</c:v>
                </c:pt>
                <c:pt idx="55">
                  <c:v>0.54810000000000003</c:v>
                </c:pt>
                <c:pt idx="56">
                  <c:v>0.54330000000000001</c:v>
                </c:pt>
                <c:pt idx="57">
                  <c:v>0.54049999999999998</c:v>
                </c:pt>
                <c:pt idx="58">
                  <c:v>0.54020000000000001</c:v>
                </c:pt>
                <c:pt idx="59">
                  <c:v>0.53559999999999997</c:v>
                </c:pt>
                <c:pt idx="60">
                  <c:v>0.53159999999999996</c:v>
                </c:pt>
                <c:pt idx="61">
                  <c:v>0.52700000000000002</c:v>
                </c:pt>
                <c:pt idx="62">
                  <c:v>0.5232</c:v>
                </c:pt>
                <c:pt idx="63">
                  <c:v>0.52</c:v>
                </c:pt>
                <c:pt idx="64">
                  <c:v>0.51639999999999997</c:v>
                </c:pt>
                <c:pt idx="65">
                  <c:v>0.51249999999999996</c:v>
                </c:pt>
                <c:pt idx="66">
                  <c:v>0.51229999999999998</c:v>
                </c:pt>
                <c:pt idx="67">
                  <c:v>0.50880000000000003</c:v>
                </c:pt>
                <c:pt idx="68">
                  <c:v>0.50519999999999998</c:v>
                </c:pt>
                <c:pt idx="69">
                  <c:v>0.50090000000000001</c:v>
                </c:pt>
                <c:pt idx="70">
                  <c:v>0.50149999999999995</c:v>
                </c:pt>
                <c:pt idx="71">
                  <c:v>0.49819999999999998</c:v>
                </c:pt>
                <c:pt idx="72">
                  <c:v>0.4955</c:v>
                </c:pt>
                <c:pt idx="73">
                  <c:v>0.49170000000000003</c:v>
                </c:pt>
                <c:pt idx="74">
                  <c:v>0.4879</c:v>
                </c:pt>
                <c:pt idx="75">
                  <c:v>0.48520000000000002</c:v>
                </c:pt>
                <c:pt idx="76">
                  <c:v>0.4819</c:v>
                </c:pt>
                <c:pt idx="77">
                  <c:v>0.48080000000000001</c:v>
                </c:pt>
                <c:pt idx="78">
                  <c:v>0.48049999999999998</c:v>
                </c:pt>
                <c:pt idx="79">
                  <c:v>0.47749999999999998</c:v>
                </c:pt>
                <c:pt idx="80">
                  <c:v>0.47739999999999999</c:v>
                </c:pt>
                <c:pt idx="81">
                  <c:v>0.4763</c:v>
                </c:pt>
              </c:numCache>
            </c:numRef>
          </c:yVal>
          <c:smooth val="0"/>
          <c:extLst>
            <c:ext xmlns:c16="http://schemas.microsoft.com/office/drawing/2014/chart" uri="{C3380CC4-5D6E-409C-BE32-E72D297353CC}">
              <c16:uniqueId val="{00000001-7DF2-49C4-AF5A-B7E281287ED8}"/>
            </c:ext>
          </c:extLst>
        </c:ser>
        <c:dLbls>
          <c:showLegendKey val="0"/>
          <c:showVal val="0"/>
          <c:showCatName val="0"/>
          <c:showSerName val="0"/>
          <c:showPercent val="0"/>
          <c:showBubbleSize val="0"/>
        </c:dLbls>
        <c:axId val="731909136"/>
        <c:axId val="731913712"/>
      </c:scatterChart>
      <c:valAx>
        <c:axId val="731909136"/>
        <c:scaling>
          <c:orientation val="minMax"/>
        </c:scaling>
        <c:delete val="0"/>
        <c:axPos val="b"/>
        <c:title>
          <c:tx>
            <c:rich>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[Hg</a:t>
                </a:r>
                <a:r>
                  <a:rPr lang="en-US" sz="1050" baseline="30000">
                    <a:solidFill>
                      <a:sysClr val="windowText" lastClr="000000"/>
                    </a:solidFill>
                    <a:latin typeface="Times New Roman" panose="02020603050405020304" pitchFamily="18" charset="0"/>
                    <a:cs typeface="Times New Roman" panose="02020603050405020304" pitchFamily="18" charset="0"/>
                  </a:rPr>
                  <a:t>2+</a:t>
                </a:r>
                <a:r>
                  <a:rPr lang="en-US" sz="1050">
                    <a:solidFill>
                      <a:sysClr val="windowText" lastClr="000000"/>
                    </a:solidFill>
                    <a:latin typeface="Times New Roman" panose="02020603050405020304" pitchFamily="18" charset="0"/>
                    <a:cs typeface="Times New Roman" panose="02020603050405020304" pitchFamily="18" charset="0"/>
                  </a:rPr>
                  <a:t>]</a:t>
                </a:r>
                <a:r>
                  <a:rPr lang="en-US" sz="105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µM</a:t>
                </a:r>
                <a:endParaRPr lang="en-US" sz="1050" baseline="30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2125542538889954"/>
              <c:y val="0.90211744059851751"/>
            </c:manualLayout>
          </c:layout>
          <c:overlay val="0"/>
          <c:spPr>
            <a:noFill/>
            <a:ln>
              <a:noFill/>
            </a:ln>
            <a:effectLst/>
          </c:spPr>
          <c:txPr>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13712"/>
        <c:crosses val="autoZero"/>
        <c:crossBetween val="midCat"/>
        <c:majorUnit val="2"/>
      </c:valAx>
      <c:valAx>
        <c:axId val="731913712"/>
        <c:scaling>
          <c:orientation val="minMax"/>
        </c:scaling>
        <c:delete val="0"/>
        <c:axPos val="l"/>
        <c:title>
          <c:tx>
            <c:rich>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00"/>
                  <a:t>Abs. at 610.0 nm</a:t>
                </a:r>
              </a:p>
            </c:rich>
          </c:tx>
          <c:layout>
            <c:manualLayout>
              <c:xMode val="edge"/>
              <c:yMode val="edge"/>
              <c:x val="7.3170731707317077E-3"/>
              <c:y val="0.22268878780181797"/>
            </c:manualLayout>
          </c:layout>
          <c:overlay val="0"/>
          <c:spPr>
            <a:noFill/>
            <a:ln>
              <a:noFill/>
            </a:ln>
            <a:effectLst/>
          </c:spPr>
          <c:txPr>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09136"/>
        <c:crosses val="autoZero"/>
        <c:crossBetween val="midCat"/>
        <c:majorUnit val="0.2"/>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7</Pages>
  <Words>2043</Words>
  <Characters>11646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 max</dc:creator>
  <cp:keywords/>
  <dc:description/>
  <cp:lastModifiedBy>digi max</cp:lastModifiedBy>
  <cp:revision>9</cp:revision>
  <cp:lastPrinted>2023-07-30T08:33:00Z</cp:lastPrinted>
  <dcterms:created xsi:type="dcterms:W3CDTF">2023-09-16T10:15:00Z</dcterms:created>
  <dcterms:modified xsi:type="dcterms:W3CDTF">2023-10-02T06:50:00Z</dcterms:modified>
</cp:coreProperties>
</file>