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5" Type="http://schemas.openxmlformats.org/officeDocument/2006/relationships/custom-properties" Target="docProps/custom.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F1214" w14:textId="4D5BE90D" w:rsidR="00D96854" w:rsidRPr="00F3795D" w:rsidRDefault="000075FE" w:rsidP="00372EFD">
      <w:pPr>
        <w:tabs>
          <w:tab w:val="left" w:pos="6942"/>
        </w:tabs>
        <w:spacing w:after="0" w:line="276" w:lineRule="auto"/>
        <w:jc w:val="both"/>
        <w:rPr>
          <w:rFonts w:ascii="Times New Roman" w:hAnsi="Times New Roman" w:cs="Times New Roman"/>
          <w:b/>
          <w:bCs/>
          <w:color w:val="000000" w:themeColor="text1"/>
          <w:sz w:val="24"/>
          <w:szCs w:val="24"/>
        </w:rPr>
      </w:pPr>
      <w:r w:rsidRPr="00F3795D">
        <w:rPr>
          <w:rFonts w:ascii="Times New Roman" w:hAnsi="Times New Roman" w:cs="Times New Roman"/>
          <w:b/>
          <w:bCs/>
          <w:color w:val="000000" w:themeColor="text1"/>
          <w:sz w:val="24"/>
          <w:szCs w:val="24"/>
        </w:rPr>
        <w:t>“</w:t>
      </w:r>
      <w:r w:rsidR="00EB5448" w:rsidRPr="00F3795D">
        <w:rPr>
          <w:rFonts w:ascii="Times New Roman" w:hAnsi="Times New Roman" w:cs="Times New Roman"/>
          <w:b/>
          <w:bCs/>
          <w:color w:val="000000" w:themeColor="text1"/>
          <w:sz w:val="24"/>
          <w:szCs w:val="24"/>
        </w:rPr>
        <w:t>U</w:t>
      </w:r>
      <w:r w:rsidR="008C70DB" w:rsidRPr="00F3795D">
        <w:rPr>
          <w:rFonts w:ascii="Times New Roman" w:hAnsi="Times New Roman" w:cs="Times New Roman"/>
          <w:b/>
          <w:bCs/>
          <w:color w:val="000000" w:themeColor="text1"/>
          <w:sz w:val="24"/>
          <w:szCs w:val="24"/>
        </w:rPr>
        <w:t>n</w:t>
      </w:r>
      <w:r w:rsidR="00EB5448" w:rsidRPr="00F3795D">
        <w:rPr>
          <w:rFonts w:ascii="Times New Roman" w:hAnsi="Times New Roman" w:cs="Times New Roman"/>
          <w:b/>
          <w:bCs/>
          <w:color w:val="000000" w:themeColor="text1"/>
          <w:sz w:val="24"/>
          <w:szCs w:val="24"/>
        </w:rPr>
        <w:t xml:space="preserve">masking the </w:t>
      </w:r>
      <w:r w:rsidR="004F4898" w:rsidRPr="00F3795D">
        <w:rPr>
          <w:rFonts w:ascii="Times New Roman" w:hAnsi="Times New Roman" w:cs="Times New Roman"/>
          <w:b/>
          <w:bCs/>
          <w:color w:val="000000" w:themeColor="text1"/>
          <w:sz w:val="24"/>
          <w:szCs w:val="24"/>
        </w:rPr>
        <w:t xml:space="preserve">Indian </w:t>
      </w:r>
      <w:r w:rsidR="00EB5448" w:rsidRPr="00F3795D">
        <w:rPr>
          <w:rFonts w:ascii="Times New Roman" w:hAnsi="Times New Roman" w:cs="Times New Roman"/>
          <w:b/>
          <w:bCs/>
          <w:color w:val="000000" w:themeColor="text1"/>
          <w:sz w:val="24"/>
          <w:szCs w:val="24"/>
        </w:rPr>
        <w:t xml:space="preserve">burden of </w:t>
      </w:r>
      <w:r w:rsidR="00581055" w:rsidRPr="00F3795D">
        <w:rPr>
          <w:rFonts w:ascii="Times New Roman" w:hAnsi="Times New Roman" w:cs="Times New Roman"/>
          <w:b/>
          <w:bCs/>
          <w:color w:val="000000" w:themeColor="text1"/>
          <w:sz w:val="24"/>
          <w:szCs w:val="24"/>
        </w:rPr>
        <w:t>M</w:t>
      </w:r>
      <w:r w:rsidR="00EB5448" w:rsidRPr="00F3795D">
        <w:rPr>
          <w:rFonts w:ascii="Times New Roman" w:hAnsi="Times New Roman" w:cs="Times New Roman"/>
          <w:b/>
          <w:bCs/>
          <w:color w:val="000000" w:themeColor="text1"/>
          <w:sz w:val="24"/>
          <w:szCs w:val="24"/>
        </w:rPr>
        <w:t xml:space="preserve">alaria: </w:t>
      </w:r>
      <w:r w:rsidR="00EF45A0" w:rsidRPr="00F3795D">
        <w:rPr>
          <w:rFonts w:ascii="Times New Roman" w:hAnsi="Times New Roman" w:cs="Times New Roman"/>
          <w:b/>
          <w:bCs/>
          <w:color w:val="000000" w:themeColor="text1"/>
          <w:sz w:val="24"/>
          <w:szCs w:val="24"/>
        </w:rPr>
        <w:t xml:space="preserve"> </w:t>
      </w:r>
      <w:r w:rsidR="00F03CD5" w:rsidRPr="00F3795D">
        <w:rPr>
          <w:rFonts w:ascii="Times New Roman" w:hAnsi="Times New Roman" w:cs="Times New Roman"/>
          <w:b/>
          <w:bCs/>
          <w:color w:val="000000" w:themeColor="text1"/>
          <w:sz w:val="24"/>
          <w:szCs w:val="24"/>
        </w:rPr>
        <w:t>A</w:t>
      </w:r>
      <w:r w:rsidR="00EF45A0" w:rsidRPr="00F3795D">
        <w:rPr>
          <w:rFonts w:ascii="Times New Roman" w:hAnsi="Times New Roman" w:cs="Times New Roman"/>
          <w:b/>
          <w:bCs/>
          <w:color w:val="000000" w:themeColor="text1"/>
          <w:sz w:val="24"/>
          <w:szCs w:val="24"/>
        </w:rPr>
        <w:t xml:space="preserve"> </w:t>
      </w:r>
      <w:r w:rsidR="00FF17AC" w:rsidRPr="00F3795D">
        <w:rPr>
          <w:rFonts w:ascii="Times New Roman" w:hAnsi="Times New Roman" w:cs="Times New Roman"/>
          <w:b/>
          <w:bCs/>
          <w:color w:val="000000" w:themeColor="text1"/>
          <w:sz w:val="24"/>
          <w:szCs w:val="24"/>
        </w:rPr>
        <w:t xml:space="preserve">review on </w:t>
      </w:r>
      <w:r w:rsidR="00112701" w:rsidRPr="00F3795D">
        <w:rPr>
          <w:rFonts w:ascii="Times New Roman" w:hAnsi="Times New Roman" w:cs="Times New Roman"/>
          <w:b/>
          <w:bCs/>
          <w:color w:val="000000" w:themeColor="text1"/>
          <w:sz w:val="24"/>
          <w:szCs w:val="24"/>
        </w:rPr>
        <w:t>C</w:t>
      </w:r>
      <w:r w:rsidR="00EF45A0" w:rsidRPr="00F3795D">
        <w:rPr>
          <w:rFonts w:ascii="Times New Roman" w:hAnsi="Times New Roman" w:cs="Times New Roman"/>
          <w:b/>
          <w:bCs/>
          <w:color w:val="000000" w:themeColor="text1"/>
          <w:sz w:val="24"/>
          <w:szCs w:val="24"/>
        </w:rPr>
        <w:t xml:space="preserve">omprehensive </w:t>
      </w:r>
      <w:r w:rsidR="00EC2984" w:rsidRPr="00F3795D">
        <w:rPr>
          <w:rFonts w:ascii="Times New Roman" w:hAnsi="Times New Roman" w:cs="Times New Roman"/>
          <w:b/>
          <w:bCs/>
          <w:color w:val="000000" w:themeColor="text1"/>
          <w:sz w:val="24"/>
          <w:szCs w:val="24"/>
        </w:rPr>
        <w:t>A</w:t>
      </w:r>
      <w:r w:rsidR="004F4898" w:rsidRPr="00F3795D">
        <w:rPr>
          <w:rFonts w:ascii="Times New Roman" w:hAnsi="Times New Roman" w:cs="Times New Roman"/>
          <w:b/>
          <w:bCs/>
          <w:color w:val="000000" w:themeColor="text1"/>
          <w:sz w:val="24"/>
          <w:szCs w:val="24"/>
        </w:rPr>
        <w:t xml:space="preserve">pproach to eliminate </w:t>
      </w:r>
      <w:r w:rsidR="00EF45A0" w:rsidRPr="00F3795D">
        <w:rPr>
          <w:rFonts w:ascii="Times New Roman" w:hAnsi="Times New Roman" w:cs="Times New Roman"/>
          <w:b/>
          <w:bCs/>
          <w:color w:val="000000" w:themeColor="text1"/>
          <w:sz w:val="24"/>
          <w:szCs w:val="24"/>
        </w:rPr>
        <w:t>protozoa</w:t>
      </w:r>
      <w:r w:rsidRPr="00F3795D">
        <w:rPr>
          <w:rFonts w:ascii="Times New Roman" w:hAnsi="Times New Roman" w:cs="Times New Roman"/>
          <w:b/>
          <w:bCs/>
          <w:color w:val="000000" w:themeColor="text1"/>
          <w:sz w:val="24"/>
          <w:szCs w:val="24"/>
        </w:rPr>
        <w:t>”</w:t>
      </w:r>
      <w:r w:rsidR="00C005CA" w:rsidRPr="00F3795D">
        <w:rPr>
          <w:rFonts w:ascii="Times New Roman" w:hAnsi="Times New Roman" w:cs="Times New Roman"/>
          <w:b/>
          <w:bCs/>
          <w:color w:val="000000" w:themeColor="text1"/>
          <w:sz w:val="24"/>
          <w:szCs w:val="24"/>
        </w:rPr>
        <w:tab/>
      </w:r>
    </w:p>
    <w:p w14:paraId="2F629176" w14:textId="77777777" w:rsidR="000075FE" w:rsidRPr="00F3795D" w:rsidRDefault="000075FE" w:rsidP="00372EFD">
      <w:pPr>
        <w:autoSpaceDE w:val="0"/>
        <w:autoSpaceDN w:val="0"/>
        <w:adjustRightInd w:val="0"/>
        <w:spacing w:after="0" w:line="276" w:lineRule="auto"/>
        <w:jc w:val="both"/>
        <w:rPr>
          <w:rFonts w:ascii="Times New Roman" w:hAnsi="Times New Roman" w:cs="Times New Roman"/>
          <w:color w:val="000000" w:themeColor="text1"/>
          <w:sz w:val="24"/>
          <w:szCs w:val="24"/>
          <w:shd w:val="clear" w:color="auto" w:fill="FFFFFF"/>
        </w:rPr>
      </w:pPr>
    </w:p>
    <w:p w14:paraId="2DF5C0A7" w14:textId="4E616BC3" w:rsidR="00A11C6A" w:rsidRPr="00F3795D" w:rsidRDefault="000075FE" w:rsidP="00372EFD">
      <w:pPr>
        <w:autoSpaceDE w:val="0"/>
        <w:autoSpaceDN w:val="0"/>
        <w:adjustRightInd w:val="0"/>
        <w:spacing w:after="0" w:line="276" w:lineRule="auto"/>
        <w:jc w:val="both"/>
        <w:rPr>
          <w:rFonts w:ascii="Times New Roman" w:hAnsi="Times New Roman" w:cs="Times New Roman"/>
          <w:color w:val="000000" w:themeColor="text1"/>
          <w:sz w:val="24"/>
          <w:szCs w:val="24"/>
          <w:shd w:val="clear" w:color="auto" w:fill="FFFFFF"/>
        </w:rPr>
      </w:pPr>
      <w:r w:rsidRPr="00F3795D">
        <w:rPr>
          <w:rFonts w:ascii="Times New Roman" w:hAnsi="Times New Roman" w:cs="Times New Roman"/>
          <w:color w:val="000000" w:themeColor="text1"/>
          <w:sz w:val="24"/>
          <w:szCs w:val="24"/>
          <w:shd w:val="clear" w:color="auto" w:fill="FFFFFF"/>
        </w:rPr>
        <w:t xml:space="preserve">Dr </w:t>
      </w:r>
      <w:r w:rsidR="0018692A" w:rsidRPr="00F3795D">
        <w:rPr>
          <w:rFonts w:ascii="Times New Roman" w:hAnsi="Times New Roman" w:cs="Times New Roman"/>
          <w:color w:val="000000" w:themeColor="text1"/>
          <w:sz w:val="24"/>
          <w:szCs w:val="24"/>
          <w:shd w:val="clear" w:color="auto" w:fill="FFFFFF"/>
        </w:rPr>
        <w:t>Devid Chutia</w:t>
      </w:r>
    </w:p>
    <w:p w14:paraId="457F5152" w14:textId="30E81F01" w:rsidR="0018692A" w:rsidRPr="00F3795D" w:rsidRDefault="0018692A" w:rsidP="00372EFD">
      <w:pPr>
        <w:autoSpaceDE w:val="0"/>
        <w:autoSpaceDN w:val="0"/>
        <w:adjustRightInd w:val="0"/>
        <w:spacing w:after="0" w:line="276" w:lineRule="auto"/>
        <w:jc w:val="both"/>
        <w:rPr>
          <w:rFonts w:ascii="Times New Roman" w:hAnsi="Times New Roman" w:cs="Times New Roman"/>
          <w:color w:val="000000" w:themeColor="text1"/>
          <w:sz w:val="24"/>
          <w:szCs w:val="24"/>
          <w:shd w:val="clear" w:color="auto" w:fill="FFFFFF"/>
        </w:rPr>
      </w:pPr>
      <w:r w:rsidRPr="00F3795D">
        <w:rPr>
          <w:rFonts w:ascii="Times New Roman" w:hAnsi="Times New Roman" w:cs="Times New Roman"/>
          <w:color w:val="000000" w:themeColor="text1"/>
          <w:sz w:val="24"/>
          <w:szCs w:val="24"/>
          <w:shd w:val="clear" w:color="auto" w:fill="FFFFFF"/>
        </w:rPr>
        <w:t>Department of Pharmacology, Himalayan Pharmacy Institute, Majhitar, Sikkim, Pin 737136</w:t>
      </w:r>
    </w:p>
    <w:p w14:paraId="6ED56F2C" w14:textId="573506E1" w:rsidR="00B43316" w:rsidRPr="00F3795D" w:rsidRDefault="00B43316" w:rsidP="00372EFD">
      <w:pPr>
        <w:autoSpaceDE w:val="0"/>
        <w:autoSpaceDN w:val="0"/>
        <w:adjustRightInd w:val="0"/>
        <w:spacing w:after="0" w:line="276" w:lineRule="auto"/>
        <w:jc w:val="both"/>
        <w:rPr>
          <w:rFonts w:ascii="Times New Roman" w:hAnsi="Times New Roman" w:cs="Times New Roman"/>
          <w:color w:val="000000" w:themeColor="text1"/>
          <w:sz w:val="24"/>
          <w:szCs w:val="24"/>
          <w:shd w:val="clear" w:color="auto" w:fill="FFFFFF"/>
        </w:rPr>
      </w:pPr>
    </w:p>
    <w:p w14:paraId="3EB1B727" w14:textId="3E8A080E" w:rsidR="00B43316" w:rsidRPr="00F3795D" w:rsidRDefault="00B43316" w:rsidP="00372EFD">
      <w:pPr>
        <w:autoSpaceDE w:val="0"/>
        <w:autoSpaceDN w:val="0"/>
        <w:adjustRightInd w:val="0"/>
        <w:spacing w:after="0" w:line="276" w:lineRule="auto"/>
        <w:jc w:val="both"/>
        <w:rPr>
          <w:rFonts w:ascii="Times New Roman" w:hAnsi="Times New Roman" w:cs="Times New Roman"/>
          <w:b/>
          <w:bCs/>
          <w:color w:val="000000" w:themeColor="text1"/>
          <w:sz w:val="24"/>
          <w:szCs w:val="24"/>
          <w:shd w:val="clear" w:color="auto" w:fill="FFFFFF"/>
        </w:rPr>
      </w:pPr>
      <w:r w:rsidRPr="00F3795D">
        <w:rPr>
          <w:rFonts w:ascii="Times New Roman" w:hAnsi="Times New Roman" w:cs="Times New Roman"/>
          <w:b/>
          <w:bCs/>
          <w:color w:val="000000" w:themeColor="text1"/>
          <w:sz w:val="24"/>
          <w:szCs w:val="24"/>
          <w:shd w:val="clear" w:color="auto" w:fill="FFFFFF"/>
        </w:rPr>
        <w:t xml:space="preserve">Introduction </w:t>
      </w:r>
    </w:p>
    <w:p w14:paraId="57CA42B4" w14:textId="77777777" w:rsidR="00F313DF" w:rsidRDefault="00F313DF" w:rsidP="00372EFD">
      <w:pPr>
        <w:autoSpaceDE w:val="0"/>
        <w:autoSpaceDN w:val="0"/>
        <w:adjustRightInd w:val="0"/>
        <w:spacing w:after="0" w:line="276" w:lineRule="auto"/>
        <w:jc w:val="both"/>
        <w:rPr>
          <w:rFonts w:ascii="Times New Roman" w:hAnsi="Times New Roman" w:cs="Times New Roman"/>
          <w:color w:val="000000" w:themeColor="text1"/>
          <w:sz w:val="24"/>
          <w:szCs w:val="24"/>
          <w:shd w:val="clear" w:color="auto" w:fill="FFFFFF"/>
        </w:rPr>
      </w:pPr>
    </w:p>
    <w:p w14:paraId="60990545" w14:textId="238B08DF" w:rsidR="00E60E69" w:rsidRDefault="006D356F" w:rsidP="00372EFD">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The history of malaria outbreaks is believed to go</w:t>
      </w:r>
      <w:r w:rsidR="00F313DF" w:rsidRPr="00F313DF">
        <w:rPr>
          <w:rFonts w:ascii="Times New Roman" w:hAnsi="Times New Roman" w:cs="Times New Roman"/>
          <w:sz w:val="24"/>
          <w:szCs w:val="24"/>
        </w:rPr>
        <w:t xml:space="preserve"> back to the beginnings of civilization. It is the most widespread disease due to which many people have lost lives and is even thought to have been the cause of major military defeats</w:t>
      </w:r>
      <w:r>
        <w:rPr>
          <w:rFonts w:ascii="Times New Roman" w:hAnsi="Times New Roman" w:cs="Times New Roman"/>
          <w:sz w:val="24"/>
          <w:szCs w:val="24"/>
        </w:rPr>
        <w:t xml:space="preserve"> and</w:t>
      </w:r>
      <w:r w:rsidR="00F313DF" w:rsidRPr="00F313DF">
        <w:rPr>
          <w:rFonts w:ascii="Times New Roman" w:hAnsi="Times New Roman" w:cs="Times New Roman"/>
          <w:sz w:val="24"/>
          <w:szCs w:val="24"/>
        </w:rPr>
        <w:t xml:space="preserve"> the disappearance of some nations. </w:t>
      </w:r>
      <w:r w:rsidR="003044D7" w:rsidRPr="003044D7">
        <w:rPr>
          <w:rFonts w:ascii="Times New Roman" w:hAnsi="Times New Roman" w:cs="Times New Roman"/>
          <w:sz w:val="24"/>
          <w:szCs w:val="24"/>
        </w:rPr>
        <w:t xml:space="preserve">Early Chinese medical records from 2700 BC and the Ebers Papyrus, written 1200 years later, provide the earliest descriptions of malaria. Hippocrates, who lived in the fourth century BC, </w:t>
      </w:r>
      <w:r w:rsidR="003044D7">
        <w:rPr>
          <w:rFonts w:ascii="Times New Roman" w:hAnsi="Times New Roman" w:cs="Times New Roman"/>
          <w:sz w:val="24"/>
          <w:szCs w:val="24"/>
        </w:rPr>
        <w:t>described</w:t>
      </w:r>
      <w:r w:rsidR="003044D7" w:rsidRPr="003044D7">
        <w:rPr>
          <w:rFonts w:ascii="Times New Roman" w:hAnsi="Times New Roman" w:cs="Times New Roman"/>
          <w:sz w:val="24"/>
          <w:szCs w:val="24"/>
        </w:rPr>
        <w:t xml:space="preserve"> this illness that finally disregarded its demonic roots and connected it to the evaporation from wetlands, which</w:t>
      </w:r>
      <w:r w:rsidR="003044D7">
        <w:rPr>
          <w:rFonts w:ascii="Times New Roman" w:hAnsi="Times New Roman" w:cs="Times New Roman"/>
          <w:sz w:val="24"/>
          <w:szCs w:val="24"/>
        </w:rPr>
        <w:t>,</w:t>
      </w:r>
      <w:r w:rsidR="003044D7" w:rsidRPr="003044D7">
        <w:rPr>
          <w:rFonts w:ascii="Times New Roman" w:hAnsi="Times New Roman" w:cs="Times New Roman"/>
          <w:sz w:val="24"/>
          <w:szCs w:val="24"/>
        </w:rPr>
        <w:t xml:space="preserve"> when breathed in, led to the infection. This idea persisted until Laveran identified the disease's origin in 1880. In the blood of malaria victims, Laveran, a French military surgeon, </w:t>
      </w:r>
      <w:r w:rsidR="003044D7">
        <w:rPr>
          <w:rFonts w:ascii="Times New Roman" w:hAnsi="Times New Roman" w:cs="Times New Roman"/>
          <w:sz w:val="24"/>
          <w:szCs w:val="24"/>
        </w:rPr>
        <w:t>initially observed</w:t>
      </w:r>
      <w:r w:rsidR="003044D7" w:rsidRPr="003044D7">
        <w:rPr>
          <w:rFonts w:ascii="Times New Roman" w:hAnsi="Times New Roman" w:cs="Times New Roman"/>
          <w:sz w:val="24"/>
          <w:szCs w:val="24"/>
        </w:rPr>
        <w:t xml:space="preserve"> parasites. For this discovery, he was awarded the Nobel Prize in 1907. The most common disease in Africa, according to Cartwright and </w:t>
      </w:r>
      <w:proofErr w:type="spellStart"/>
      <w:r w:rsidR="003044D7" w:rsidRPr="003044D7">
        <w:rPr>
          <w:rFonts w:ascii="Times New Roman" w:hAnsi="Times New Roman" w:cs="Times New Roman"/>
          <w:sz w:val="24"/>
          <w:szCs w:val="24"/>
        </w:rPr>
        <w:t>Biddis</w:t>
      </w:r>
      <w:proofErr w:type="spellEnd"/>
      <w:r w:rsidR="003044D7" w:rsidRPr="003044D7">
        <w:rPr>
          <w:rFonts w:ascii="Times New Roman" w:hAnsi="Times New Roman" w:cs="Times New Roman"/>
          <w:sz w:val="24"/>
          <w:szCs w:val="24"/>
        </w:rPr>
        <w:t>, is malaria. A tiny protozoon that belongs to the Plasmodium species group and has multiple subspecies is the primary cause of malaria.</w:t>
      </w:r>
    </w:p>
    <w:p w14:paraId="04EE5102" w14:textId="6664D731" w:rsidR="003F15D6" w:rsidRPr="00BD76B8" w:rsidRDefault="00514C18" w:rsidP="00372EFD">
      <w:pPr>
        <w:autoSpaceDE w:val="0"/>
        <w:autoSpaceDN w:val="0"/>
        <w:adjustRightInd w:val="0"/>
        <w:spacing w:after="0" w:line="276" w:lineRule="auto"/>
        <w:jc w:val="both"/>
        <w:rPr>
          <w:rFonts w:ascii="Times New Roman" w:hAnsi="Times New Roman" w:cs="Times New Roman"/>
          <w:color w:val="000000" w:themeColor="text1"/>
          <w:sz w:val="24"/>
          <w:szCs w:val="24"/>
        </w:rPr>
      </w:pPr>
      <w:r w:rsidRPr="00F3795D">
        <w:rPr>
          <w:rFonts w:ascii="Times New Roman" w:hAnsi="Times New Roman" w:cs="Times New Roman"/>
          <w:color w:val="000000" w:themeColor="text1"/>
          <w:sz w:val="24"/>
          <w:szCs w:val="24"/>
          <w:shd w:val="clear" w:color="auto" w:fill="FFFFFF"/>
        </w:rPr>
        <w:t>The Plasmodium parasite, which threatens human life, spreads to humans through female Anopheles mosquito bites. Malaria's clinical manifestations might be anything from asymptomatic to severe and life-threatening</w:t>
      </w:r>
      <w:r w:rsidR="00702943">
        <w:rPr>
          <w:rFonts w:ascii="Times New Roman" w:hAnsi="Times New Roman" w:cs="Times New Roman"/>
          <w:color w:val="000000" w:themeColor="text1"/>
          <w:sz w:val="24"/>
          <w:szCs w:val="24"/>
          <w:shd w:val="clear" w:color="auto" w:fill="FFFFFF"/>
        </w:rPr>
        <w:t xml:space="preserve"> </w:t>
      </w:r>
      <w:r w:rsidR="00702943">
        <w:rPr>
          <w:rFonts w:ascii="Times New Roman" w:hAnsi="Times New Roman" w:cs="Times New Roman"/>
          <w:color w:val="000000" w:themeColor="text1"/>
          <w:sz w:val="24"/>
          <w:szCs w:val="24"/>
          <w:shd w:val="clear" w:color="auto" w:fill="FFFFFF"/>
        </w:rPr>
        <w:fldChar w:fldCharType="begin" w:fldLock="1"/>
      </w:r>
      <w:r w:rsidR="00651851">
        <w:rPr>
          <w:rFonts w:ascii="Times New Roman" w:hAnsi="Times New Roman" w:cs="Times New Roman"/>
          <w:color w:val="000000" w:themeColor="text1"/>
          <w:sz w:val="24"/>
          <w:szCs w:val="24"/>
          <w:shd w:val="clear" w:color="auto" w:fill="FFFFFF"/>
        </w:rPr>
        <w:instrText>ADDIN CSL_CITATION {"citationItems":[{"id":"ITEM-1","itemData":{"author":[{"dropping-particle":"","family":"Rahman","given":"Lutfur","non-dropping-particle":"","parse-names":false,"suffix":""},{"dropping-particle":"","family":"Ul","given":"Zaheer","non-dropping-particle":"","parse-names":false,"suffix":""}],"id":"ITEM-1","issued":{"date-parts":[["2019"]]},"page":"1401-1410","title":"Nano-biotechnology : a new approach to treat and prevent malaria","type":"article-journal"},"uris":["http://www.mendeley.com/documents/?uuid=925c7a1e-e24f-4ffa-8ca3-35acfceea4dc"]}],"mendeley":{"formattedCitation":"(Rahman and Ul, 2019)","plainTextFormattedCitation":"(Rahman and Ul, 2019)","previouslyFormattedCitation":"(Rahman and Ul, 2019)"},"properties":{"noteIndex":0},"schema":"https://github.com/citation-style-language/schema/raw/master/csl-citation.json"}</w:instrText>
      </w:r>
      <w:r w:rsidR="00702943">
        <w:rPr>
          <w:rFonts w:ascii="Times New Roman" w:hAnsi="Times New Roman" w:cs="Times New Roman"/>
          <w:color w:val="000000" w:themeColor="text1"/>
          <w:sz w:val="24"/>
          <w:szCs w:val="24"/>
          <w:shd w:val="clear" w:color="auto" w:fill="FFFFFF"/>
        </w:rPr>
        <w:fldChar w:fldCharType="separate"/>
      </w:r>
      <w:r w:rsidR="00702943" w:rsidRPr="00702943">
        <w:rPr>
          <w:rFonts w:ascii="Times New Roman" w:hAnsi="Times New Roman" w:cs="Times New Roman"/>
          <w:noProof/>
          <w:color w:val="000000" w:themeColor="text1"/>
          <w:sz w:val="24"/>
          <w:szCs w:val="24"/>
          <w:shd w:val="clear" w:color="auto" w:fill="FFFFFF"/>
        </w:rPr>
        <w:t>(Rahman and Ul, 2019)</w:t>
      </w:r>
      <w:r w:rsidR="00702943">
        <w:rPr>
          <w:rFonts w:ascii="Times New Roman" w:hAnsi="Times New Roman" w:cs="Times New Roman"/>
          <w:color w:val="000000" w:themeColor="text1"/>
          <w:sz w:val="24"/>
          <w:szCs w:val="24"/>
          <w:shd w:val="clear" w:color="auto" w:fill="FFFFFF"/>
        </w:rPr>
        <w:fldChar w:fldCharType="end"/>
      </w:r>
      <w:r w:rsidRPr="00F3795D">
        <w:rPr>
          <w:rFonts w:ascii="Times New Roman" w:hAnsi="Times New Roman" w:cs="Times New Roman"/>
          <w:color w:val="000000" w:themeColor="text1"/>
          <w:sz w:val="24"/>
          <w:szCs w:val="24"/>
          <w:shd w:val="clear" w:color="auto" w:fill="FFFFFF"/>
        </w:rPr>
        <w:t xml:space="preserve">. </w:t>
      </w:r>
      <w:r w:rsidR="003044D7">
        <w:rPr>
          <w:rFonts w:ascii="Times New Roman" w:hAnsi="Times New Roman" w:cs="Times New Roman"/>
          <w:sz w:val="24"/>
          <w:szCs w:val="24"/>
        </w:rPr>
        <w:t>Today'</w:t>
      </w:r>
      <w:r w:rsidR="00E60E69">
        <w:rPr>
          <w:rFonts w:ascii="Times New Roman" w:hAnsi="Times New Roman" w:cs="Times New Roman"/>
          <w:sz w:val="24"/>
          <w:szCs w:val="24"/>
        </w:rPr>
        <w:t xml:space="preserve">s emergence of malaria </w:t>
      </w:r>
      <w:r w:rsidR="003044D7">
        <w:rPr>
          <w:rFonts w:ascii="Times New Roman" w:hAnsi="Times New Roman" w:cs="Times New Roman"/>
          <w:sz w:val="24"/>
          <w:szCs w:val="24"/>
        </w:rPr>
        <w:t xml:space="preserve">is </w:t>
      </w:r>
      <w:r w:rsidR="00E60E69">
        <w:rPr>
          <w:rFonts w:ascii="Times New Roman" w:hAnsi="Times New Roman" w:cs="Times New Roman"/>
          <w:sz w:val="24"/>
          <w:szCs w:val="24"/>
        </w:rPr>
        <w:t>observed due to mutation in parasitic gene</w:t>
      </w:r>
      <w:r w:rsidR="003044D7">
        <w:rPr>
          <w:rFonts w:ascii="Times New Roman" w:hAnsi="Times New Roman" w:cs="Times New Roman"/>
          <w:sz w:val="24"/>
          <w:szCs w:val="24"/>
        </w:rPr>
        <w:t>s</w:t>
      </w:r>
      <w:r w:rsidR="00E60E69">
        <w:rPr>
          <w:rFonts w:ascii="Times New Roman" w:hAnsi="Times New Roman" w:cs="Times New Roman"/>
          <w:sz w:val="24"/>
          <w:szCs w:val="24"/>
        </w:rPr>
        <w:t xml:space="preserve">, abnormality in enzymes, and drug resistance. These became </w:t>
      </w:r>
      <w:r w:rsidR="003044D7">
        <w:rPr>
          <w:rFonts w:ascii="Times New Roman" w:hAnsi="Times New Roman" w:cs="Times New Roman"/>
          <w:sz w:val="24"/>
          <w:szCs w:val="24"/>
        </w:rPr>
        <w:t xml:space="preserve">the </w:t>
      </w:r>
      <w:r w:rsidR="00E60E69">
        <w:rPr>
          <w:rFonts w:ascii="Times New Roman" w:hAnsi="Times New Roman" w:cs="Times New Roman"/>
          <w:sz w:val="24"/>
          <w:szCs w:val="24"/>
        </w:rPr>
        <w:t xml:space="preserve">talk of </w:t>
      </w:r>
      <w:r w:rsidR="003044D7">
        <w:rPr>
          <w:rFonts w:ascii="Times New Roman" w:hAnsi="Times New Roman" w:cs="Times New Roman"/>
          <w:sz w:val="24"/>
          <w:szCs w:val="24"/>
        </w:rPr>
        <w:t xml:space="preserve">the </w:t>
      </w:r>
      <w:r w:rsidR="00E60E69">
        <w:rPr>
          <w:rFonts w:ascii="Times New Roman" w:hAnsi="Times New Roman" w:cs="Times New Roman"/>
          <w:sz w:val="24"/>
          <w:szCs w:val="24"/>
        </w:rPr>
        <w:t xml:space="preserve">town, and most </w:t>
      </w:r>
      <w:r w:rsidR="003044D7">
        <w:rPr>
          <w:rFonts w:ascii="Times New Roman" w:hAnsi="Times New Roman" w:cs="Times New Roman"/>
          <w:sz w:val="24"/>
          <w:szCs w:val="24"/>
        </w:rPr>
        <w:t>scientists were trying to find</w:t>
      </w:r>
      <w:r w:rsidR="00E60E69">
        <w:rPr>
          <w:rFonts w:ascii="Times New Roman" w:hAnsi="Times New Roman" w:cs="Times New Roman"/>
          <w:sz w:val="24"/>
          <w:szCs w:val="24"/>
        </w:rPr>
        <w:t xml:space="preserve"> alternative treatment</w:t>
      </w:r>
      <w:r w:rsidR="003044D7">
        <w:rPr>
          <w:rFonts w:ascii="Times New Roman" w:hAnsi="Times New Roman" w:cs="Times New Roman"/>
          <w:sz w:val="24"/>
          <w:szCs w:val="24"/>
        </w:rPr>
        <w:t>s</w:t>
      </w:r>
      <w:r w:rsidR="00E60E69">
        <w:rPr>
          <w:rFonts w:ascii="Times New Roman" w:hAnsi="Times New Roman" w:cs="Times New Roman"/>
          <w:sz w:val="24"/>
          <w:szCs w:val="24"/>
        </w:rPr>
        <w:t xml:space="preserve"> for treating malaria. </w:t>
      </w:r>
      <w:r w:rsidRPr="00F3795D">
        <w:rPr>
          <w:rFonts w:ascii="Times New Roman" w:hAnsi="Times New Roman" w:cs="Times New Roman"/>
          <w:color w:val="000000" w:themeColor="text1"/>
          <w:sz w:val="24"/>
          <w:szCs w:val="24"/>
          <w:shd w:val="clear" w:color="auto" w:fill="FFFFFF"/>
        </w:rPr>
        <w:t xml:space="preserve">The most typical signs and symptoms include fever, headache, and flu-like symptoms such </w:t>
      </w:r>
      <w:r w:rsidR="00065D52" w:rsidRPr="00F3795D">
        <w:rPr>
          <w:rFonts w:ascii="Times New Roman" w:hAnsi="Times New Roman" w:cs="Times New Roman"/>
          <w:color w:val="000000" w:themeColor="text1"/>
          <w:sz w:val="24"/>
          <w:szCs w:val="24"/>
          <w:shd w:val="clear" w:color="auto" w:fill="FFFFFF"/>
        </w:rPr>
        <w:t xml:space="preserve">as </w:t>
      </w:r>
      <w:r w:rsidRPr="00F3795D">
        <w:rPr>
          <w:rFonts w:ascii="Times New Roman" w:hAnsi="Times New Roman" w:cs="Times New Roman"/>
          <w:color w:val="000000" w:themeColor="text1"/>
          <w:sz w:val="24"/>
          <w:szCs w:val="24"/>
          <w:shd w:val="clear" w:color="auto" w:fill="FFFFFF"/>
        </w:rPr>
        <w:t xml:space="preserve">nausea, vomiting, and muscular aches. In </w:t>
      </w:r>
      <w:r w:rsidR="00F55F21">
        <w:rPr>
          <w:rFonts w:ascii="Times New Roman" w:hAnsi="Times New Roman" w:cs="Times New Roman"/>
          <w:color w:val="000000" w:themeColor="text1"/>
          <w:sz w:val="24"/>
          <w:szCs w:val="24"/>
          <w:shd w:val="clear" w:color="auto" w:fill="FFFFFF"/>
        </w:rPr>
        <w:t>extrem</w:t>
      </w:r>
      <w:r w:rsidRPr="00F3795D">
        <w:rPr>
          <w:rFonts w:ascii="Times New Roman" w:hAnsi="Times New Roman" w:cs="Times New Roman"/>
          <w:color w:val="000000" w:themeColor="text1"/>
          <w:sz w:val="24"/>
          <w:szCs w:val="24"/>
          <w:shd w:val="clear" w:color="auto" w:fill="FFFFFF"/>
        </w:rPr>
        <w:t xml:space="preserve">e circumstances, the patient may experience problems such </w:t>
      </w:r>
      <w:r w:rsidR="00065D52" w:rsidRPr="00F3795D">
        <w:rPr>
          <w:rFonts w:ascii="Times New Roman" w:hAnsi="Times New Roman" w:cs="Times New Roman"/>
          <w:color w:val="000000" w:themeColor="text1"/>
          <w:sz w:val="24"/>
          <w:szCs w:val="24"/>
          <w:shd w:val="clear" w:color="auto" w:fill="FFFFFF"/>
        </w:rPr>
        <w:t xml:space="preserve">as </w:t>
      </w:r>
      <w:r w:rsidRPr="00F3795D">
        <w:rPr>
          <w:rFonts w:ascii="Times New Roman" w:hAnsi="Times New Roman" w:cs="Times New Roman"/>
          <w:color w:val="000000" w:themeColor="text1"/>
          <w:sz w:val="24"/>
          <w:szCs w:val="24"/>
          <w:shd w:val="clear" w:color="auto" w:fill="FFFFFF"/>
        </w:rPr>
        <w:t xml:space="preserve">cerebral </w:t>
      </w:r>
      <w:r w:rsidR="0017399E" w:rsidRPr="00F3795D">
        <w:rPr>
          <w:rFonts w:ascii="Times New Roman" w:hAnsi="Times New Roman" w:cs="Times New Roman"/>
          <w:color w:val="000000" w:themeColor="text1"/>
          <w:sz w:val="24"/>
          <w:szCs w:val="24"/>
          <w:shd w:val="clear" w:color="auto" w:fill="FFFFFF"/>
        </w:rPr>
        <w:t>M</w:t>
      </w:r>
      <w:r w:rsidRPr="00F3795D">
        <w:rPr>
          <w:rFonts w:ascii="Times New Roman" w:hAnsi="Times New Roman" w:cs="Times New Roman"/>
          <w:color w:val="000000" w:themeColor="text1"/>
          <w:sz w:val="24"/>
          <w:szCs w:val="24"/>
          <w:shd w:val="clear" w:color="auto" w:fill="FFFFFF"/>
        </w:rPr>
        <w:t>alaria, anaemia, kidney failure, respiratory distress, and in the worst cases, death</w:t>
      </w:r>
      <w:r w:rsidR="00A83BD6">
        <w:rPr>
          <w:rFonts w:ascii="Times New Roman" w:hAnsi="Times New Roman" w:cs="Times New Roman"/>
          <w:color w:val="000000" w:themeColor="text1"/>
          <w:sz w:val="24"/>
          <w:szCs w:val="24"/>
          <w:shd w:val="clear" w:color="auto" w:fill="FFFFFF"/>
        </w:rPr>
        <w:t xml:space="preserve">. </w:t>
      </w:r>
      <w:r w:rsidR="00C1410B">
        <w:rPr>
          <w:rFonts w:ascii="Times New Roman" w:hAnsi="Times New Roman" w:cs="Times New Roman"/>
          <w:color w:val="000000" w:themeColor="text1"/>
          <w:sz w:val="24"/>
          <w:szCs w:val="24"/>
          <w:shd w:val="clear" w:color="auto" w:fill="FFFFFF"/>
        </w:rPr>
        <w:t>Therefore, the</w:t>
      </w:r>
      <w:r w:rsidR="001F6492" w:rsidRPr="00F3795D">
        <w:rPr>
          <w:rFonts w:ascii="Times New Roman" w:hAnsi="Times New Roman" w:cs="Times New Roman"/>
          <w:color w:val="000000" w:themeColor="text1"/>
          <w:sz w:val="24"/>
          <w:szCs w:val="24"/>
          <w:shd w:val="clear" w:color="auto" w:fill="FFFFFF"/>
        </w:rPr>
        <w:t xml:space="preserve"> plan strongly emphasises interventions such as indoor residual spraying</w:t>
      </w:r>
      <w:r w:rsidR="006F4127">
        <w:rPr>
          <w:rFonts w:ascii="Times New Roman" w:hAnsi="Times New Roman" w:cs="Times New Roman"/>
          <w:color w:val="000000" w:themeColor="text1"/>
          <w:sz w:val="24"/>
          <w:szCs w:val="24"/>
          <w:shd w:val="clear" w:color="auto" w:fill="FFFFFF"/>
        </w:rPr>
        <w:t xml:space="preserve"> (IRS)</w:t>
      </w:r>
      <w:r w:rsidR="001F6492" w:rsidRPr="00F3795D">
        <w:rPr>
          <w:rFonts w:ascii="Times New Roman" w:hAnsi="Times New Roman" w:cs="Times New Roman"/>
          <w:color w:val="000000" w:themeColor="text1"/>
          <w:sz w:val="24"/>
          <w:szCs w:val="24"/>
          <w:shd w:val="clear" w:color="auto" w:fill="FFFFFF"/>
        </w:rPr>
        <w:t>, insecticide-treated bed nets</w:t>
      </w:r>
      <w:r w:rsidR="00955E23">
        <w:rPr>
          <w:rFonts w:ascii="Times New Roman" w:hAnsi="Times New Roman" w:cs="Times New Roman"/>
          <w:color w:val="000000" w:themeColor="text1"/>
          <w:sz w:val="24"/>
          <w:szCs w:val="24"/>
          <w:shd w:val="clear" w:color="auto" w:fill="FFFFFF"/>
        </w:rPr>
        <w:t xml:space="preserve"> (ITN)</w:t>
      </w:r>
      <w:r w:rsidR="001F6492" w:rsidRPr="00F3795D">
        <w:rPr>
          <w:rFonts w:ascii="Times New Roman" w:hAnsi="Times New Roman" w:cs="Times New Roman"/>
          <w:color w:val="000000" w:themeColor="text1"/>
          <w:sz w:val="24"/>
          <w:szCs w:val="24"/>
          <w:shd w:val="clear" w:color="auto" w:fill="FFFFFF"/>
        </w:rPr>
        <w:t xml:space="preserve">, and early diagnosis and treatment of malaria cases. Malaria is the most serious and harmful of all parasitic human diseases. </w:t>
      </w:r>
      <w:r w:rsidR="00D75C90" w:rsidRPr="00F3795D">
        <w:rPr>
          <w:rFonts w:ascii="Times New Roman" w:hAnsi="Times New Roman" w:cs="Times New Roman"/>
          <w:color w:val="000000" w:themeColor="text1"/>
          <w:sz w:val="24"/>
          <w:szCs w:val="24"/>
          <w:shd w:val="clear" w:color="auto" w:fill="FFFFFF"/>
        </w:rPr>
        <w:t xml:space="preserve">Additionally, </w:t>
      </w:r>
      <w:r w:rsidR="0017399E" w:rsidRPr="00F3795D">
        <w:rPr>
          <w:rFonts w:ascii="Times New Roman" w:hAnsi="Times New Roman" w:cs="Times New Roman"/>
          <w:color w:val="000000" w:themeColor="text1"/>
          <w:sz w:val="24"/>
          <w:szCs w:val="24"/>
          <w:shd w:val="clear" w:color="auto" w:fill="FFFFFF"/>
        </w:rPr>
        <w:t>M</w:t>
      </w:r>
      <w:r w:rsidR="00D75C90" w:rsidRPr="00F3795D">
        <w:rPr>
          <w:rFonts w:ascii="Times New Roman" w:hAnsi="Times New Roman" w:cs="Times New Roman"/>
          <w:color w:val="000000" w:themeColor="text1"/>
          <w:sz w:val="24"/>
          <w:szCs w:val="24"/>
          <w:shd w:val="clear" w:color="auto" w:fill="FFFFFF"/>
        </w:rPr>
        <w:t xml:space="preserve">alaria during pregnancy is linked to anaemia, low birth weight, maternal and foetal deaths, and patients with HIV/AIDS are particularly at risk. </w:t>
      </w:r>
      <w:r w:rsidR="003837D3">
        <w:rPr>
          <w:rFonts w:ascii="Times New Roman" w:hAnsi="Times New Roman" w:cs="Times New Roman"/>
          <w:color w:val="000000" w:themeColor="text1"/>
          <w:sz w:val="24"/>
          <w:szCs w:val="24"/>
          <w:shd w:val="clear" w:color="auto" w:fill="FFFFFF"/>
        </w:rPr>
        <w:t xml:space="preserve"> </w:t>
      </w:r>
      <w:r w:rsidR="00426C6A" w:rsidRPr="00F3795D">
        <w:rPr>
          <w:rFonts w:ascii="Times New Roman" w:hAnsi="Times New Roman" w:cs="Times New Roman"/>
          <w:color w:val="000000" w:themeColor="text1"/>
          <w:sz w:val="24"/>
          <w:szCs w:val="24"/>
          <w:shd w:val="clear" w:color="auto" w:fill="FFFFFF"/>
        </w:rPr>
        <w:t xml:space="preserve">Other vulnerable groups include migrants, mobile communities, and travellers who visit areas with high malaria transmission rates and who have not yet partially recovered from the disease after prolonged exposure to it or are not taking </w:t>
      </w:r>
      <w:proofErr w:type="spellStart"/>
      <w:r w:rsidR="00426C6A" w:rsidRPr="00F3795D">
        <w:rPr>
          <w:rFonts w:ascii="Times New Roman" w:hAnsi="Times New Roman" w:cs="Times New Roman"/>
          <w:color w:val="000000" w:themeColor="text1"/>
          <w:sz w:val="24"/>
          <w:szCs w:val="24"/>
          <w:shd w:val="clear" w:color="auto" w:fill="FFFFFF"/>
        </w:rPr>
        <w:t>chemopreventive</w:t>
      </w:r>
      <w:proofErr w:type="spellEnd"/>
      <w:r w:rsidR="00426C6A" w:rsidRPr="00F3795D">
        <w:rPr>
          <w:rFonts w:ascii="Times New Roman" w:hAnsi="Times New Roman" w:cs="Times New Roman"/>
          <w:color w:val="000000" w:themeColor="text1"/>
          <w:sz w:val="24"/>
          <w:szCs w:val="24"/>
          <w:shd w:val="clear" w:color="auto" w:fill="FFFFFF"/>
        </w:rPr>
        <w:t xml:space="preserve"> medications. </w:t>
      </w:r>
      <w:r w:rsidR="006B105D">
        <w:rPr>
          <w:rFonts w:ascii="Times New Roman" w:hAnsi="Times New Roman" w:cs="Times New Roman"/>
          <w:color w:val="000000" w:themeColor="text1"/>
          <w:sz w:val="24"/>
          <w:szCs w:val="24"/>
          <w:shd w:val="clear" w:color="auto" w:fill="FFFFFF"/>
        </w:rPr>
        <w:t>Currently</w:t>
      </w:r>
      <w:r w:rsidR="00F55F21">
        <w:rPr>
          <w:rFonts w:ascii="Times New Roman" w:hAnsi="Times New Roman" w:cs="Times New Roman"/>
          <w:color w:val="000000" w:themeColor="text1"/>
          <w:sz w:val="24"/>
          <w:szCs w:val="24"/>
          <w:shd w:val="clear" w:color="auto" w:fill="FFFFFF"/>
        </w:rPr>
        <w:t>,</w:t>
      </w:r>
      <w:r w:rsidR="00426C6A" w:rsidRPr="00F3795D">
        <w:rPr>
          <w:rFonts w:ascii="Times New Roman" w:hAnsi="Times New Roman" w:cs="Times New Roman"/>
          <w:color w:val="000000" w:themeColor="text1"/>
          <w:sz w:val="24"/>
          <w:szCs w:val="24"/>
          <w:shd w:val="clear" w:color="auto" w:fill="FFFFFF"/>
        </w:rPr>
        <w:t xml:space="preserve"> four types of treatment</w:t>
      </w:r>
      <w:r w:rsidR="0062756B">
        <w:rPr>
          <w:rFonts w:ascii="Times New Roman" w:hAnsi="Times New Roman" w:cs="Times New Roman"/>
          <w:color w:val="000000" w:themeColor="text1"/>
          <w:sz w:val="24"/>
          <w:szCs w:val="24"/>
          <w:shd w:val="clear" w:color="auto" w:fill="FFFFFF"/>
        </w:rPr>
        <w:t xml:space="preserve"> </w:t>
      </w:r>
      <w:r w:rsidR="00F55F21">
        <w:rPr>
          <w:rFonts w:ascii="Times New Roman" w:hAnsi="Times New Roman" w:cs="Times New Roman"/>
          <w:color w:val="000000" w:themeColor="text1"/>
          <w:sz w:val="24"/>
          <w:szCs w:val="24"/>
          <w:shd w:val="clear" w:color="auto" w:fill="FFFFFF"/>
        </w:rPr>
        <w:t>a</w:t>
      </w:r>
      <w:r w:rsidR="006B105D">
        <w:rPr>
          <w:rFonts w:ascii="Times New Roman" w:hAnsi="Times New Roman" w:cs="Times New Roman"/>
          <w:color w:val="000000" w:themeColor="text1"/>
          <w:sz w:val="24"/>
          <w:szCs w:val="24"/>
          <w:shd w:val="clear" w:color="auto" w:fill="FFFFFF"/>
        </w:rPr>
        <w:t xml:space="preserve">re recommended </w:t>
      </w:r>
      <w:r w:rsidR="005A65AF">
        <w:rPr>
          <w:rFonts w:ascii="Times New Roman" w:hAnsi="Times New Roman" w:cs="Times New Roman"/>
          <w:color w:val="000000" w:themeColor="text1"/>
          <w:sz w:val="24"/>
          <w:szCs w:val="24"/>
          <w:shd w:val="clear" w:color="auto" w:fill="FFFFFF"/>
        </w:rPr>
        <w:t xml:space="preserve">for </w:t>
      </w:r>
      <w:r w:rsidR="00644F7D">
        <w:rPr>
          <w:rFonts w:ascii="Times New Roman" w:hAnsi="Times New Roman" w:cs="Times New Roman"/>
          <w:color w:val="000000" w:themeColor="text1"/>
          <w:sz w:val="24"/>
          <w:szCs w:val="24"/>
          <w:shd w:val="clear" w:color="auto" w:fill="FFFFFF"/>
        </w:rPr>
        <w:t>M</w:t>
      </w:r>
      <w:r w:rsidR="005A65AF">
        <w:rPr>
          <w:rFonts w:ascii="Times New Roman" w:hAnsi="Times New Roman" w:cs="Times New Roman"/>
          <w:color w:val="000000" w:themeColor="text1"/>
          <w:sz w:val="24"/>
          <w:szCs w:val="24"/>
          <w:shd w:val="clear" w:color="auto" w:fill="FFFFFF"/>
        </w:rPr>
        <w:t>alaria</w:t>
      </w:r>
      <w:r w:rsidR="00F15D6D">
        <w:rPr>
          <w:rFonts w:ascii="Times New Roman" w:hAnsi="Times New Roman" w:cs="Times New Roman"/>
          <w:color w:val="000000" w:themeColor="text1"/>
          <w:sz w:val="24"/>
          <w:szCs w:val="24"/>
          <w:shd w:val="clear" w:color="auto" w:fill="FFFFFF"/>
        </w:rPr>
        <w:t>:</w:t>
      </w:r>
      <w:r w:rsidR="00226649">
        <w:rPr>
          <w:rFonts w:ascii="Times New Roman" w:hAnsi="Times New Roman" w:cs="Times New Roman"/>
          <w:color w:val="000000" w:themeColor="text1"/>
          <w:sz w:val="24"/>
          <w:szCs w:val="24"/>
          <w:shd w:val="clear" w:color="auto" w:fill="FFFFFF"/>
        </w:rPr>
        <w:t xml:space="preserve"> </w:t>
      </w:r>
      <w:r w:rsidR="00452585">
        <w:rPr>
          <w:rFonts w:ascii="Times New Roman" w:hAnsi="Times New Roman" w:cs="Times New Roman"/>
          <w:color w:val="000000" w:themeColor="text1"/>
          <w:sz w:val="24"/>
          <w:szCs w:val="24"/>
          <w:shd w:val="clear" w:color="auto" w:fill="FFFFFF"/>
        </w:rPr>
        <w:t>ITN</w:t>
      </w:r>
      <w:r w:rsidR="00104B53">
        <w:rPr>
          <w:rFonts w:ascii="Times New Roman" w:hAnsi="Times New Roman" w:cs="Times New Roman"/>
          <w:color w:val="000000" w:themeColor="text1"/>
          <w:sz w:val="24"/>
          <w:szCs w:val="24"/>
          <w:shd w:val="clear" w:color="auto" w:fill="FFFFFF"/>
        </w:rPr>
        <w:t xml:space="preserve">, Larvicides, small molecules, vaccines, and naturally obtained </w:t>
      </w:r>
      <w:r w:rsidR="007D70C6">
        <w:rPr>
          <w:rFonts w:ascii="Times New Roman" w:hAnsi="Times New Roman" w:cs="Times New Roman"/>
          <w:color w:val="000000" w:themeColor="text1"/>
          <w:sz w:val="24"/>
          <w:szCs w:val="24"/>
          <w:shd w:val="clear" w:color="auto" w:fill="FFFFFF"/>
        </w:rPr>
        <w:t xml:space="preserve">drugs. </w:t>
      </w:r>
      <w:r w:rsidR="002F4853">
        <w:rPr>
          <w:rFonts w:ascii="Times New Roman" w:hAnsi="Times New Roman" w:cs="Times New Roman"/>
          <w:color w:val="000000" w:themeColor="text1"/>
          <w:sz w:val="24"/>
          <w:szCs w:val="24"/>
          <w:shd w:val="clear" w:color="auto" w:fill="FFFFFF"/>
        </w:rPr>
        <w:t xml:space="preserve">Bed nets are </w:t>
      </w:r>
      <w:r w:rsidR="00F55F21">
        <w:rPr>
          <w:rFonts w:ascii="Times New Roman" w:hAnsi="Times New Roman" w:cs="Times New Roman"/>
          <w:color w:val="000000" w:themeColor="text1"/>
          <w:sz w:val="24"/>
          <w:szCs w:val="24"/>
          <w:shd w:val="clear" w:color="auto" w:fill="FFFFFF"/>
        </w:rPr>
        <w:t>read</w:t>
      </w:r>
      <w:r w:rsidR="002F4853">
        <w:rPr>
          <w:rFonts w:ascii="Times New Roman" w:hAnsi="Times New Roman" w:cs="Times New Roman"/>
          <w:color w:val="000000" w:themeColor="text1"/>
          <w:sz w:val="24"/>
          <w:szCs w:val="24"/>
          <w:shd w:val="clear" w:color="auto" w:fill="FFFFFF"/>
        </w:rPr>
        <w:t xml:space="preserve">ily available, </w:t>
      </w:r>
      <w:r w:rsidR="00F55F21">
        <w:rPr>
          <w:rFonts w:ascii="Times New Roman" w:hAnsi="Times New Roman" w:cs="Times New Roman"/>
          <w:color w:val="000000" w:themeColor="text1"/>
          <w:sz w:val="24"/>
          <w:szCs w:val="24"/>
          <w:shd w:val="clear" w:color="auto" w:fill="FFFFFF"/>
        </w:rPr>
        <w:t xml:space="preserve">a </w:t>
      </w:r>
      <w:r w:rsidR="002F4853">
        <w:rPr>
          <w:rFonts w:ascii="Times New Roman" w:hAnsi="Times New Roman" w:cs="Times New Roman"/>
          <w:color w:val="000000" w:themeColor="text1"/>
          <w:sz w:val="24"/>
          <w:szCs w:val="24"/>
          <w:shd w:val="clear" w:color="auto" w:fill="FFFFFF"/>
        </w:rPr>
        <w:t xml:space="preserve">physical barrier between </w:t>
      </w:r>
      <w:r w:rsidR="00D310DC">
        <w:rPr>
          <w:rFonts w:ascii="Times New Roman" w:hAnsi="Times New Roman" w:cs="Times New Roman"/>
          <w:color w:val="000000" w:themeColor="text1"/>
          <w:sz w:val="24"/>
          <w:szCs w:val="24"/>
          <w:shd w:val="clear" w:color="auto" w:fill="FFFFFF"/>
        </w:rPr>
        <w:t xml:space="preserve">men and parasites. </w:t>
      </w:r>
      <w:r w:rsidR="00426C6A" w:rsidRPr="00F3795D">
        <w:rPr>
          <w:rFonts w:ascii="Times New Roman" w:hAnsi="Times New Roman" w:cs="Times New Roman"/>
          <w:color w:val="000000" w:themeColor="text1"/>
          <w:sz w:val="24"/>
          <w:szCs w:val="24"/>
          <w:shd w:val="clear" w:color="auto" w:fill="FFFFFF"/>
        </w:rPr>
        <w:t xml:space="preserve">Utilising bed nets treated with </w:t>
      </w:r>
      <w:r w:rsidR="00E11711">
        <w:rPr>
          <w:rFonts w:ascii="Times New Roman" w:hAnsi="Times New Roman" w:cs="Times New Roman"/>
          <w:color w:val="000000" w:themeColor="text1"/>
          <w:sz w:val="24"/>
          <w:szCs w:val="24"/>
          <w:shd w:val="clear" w:color="auto" w:fill="FFFFFF"/>
        </w:rPr>
        <w:t>pesticides</w:t>
      </w:r>
      <w:r w:rsidR="00426C6A" w:rsidRPr="00F3795D">
        <w:rPr>
          <w:rFonts w:ascii="Times New Roman" w:hAnsi="Times New Roman" w:cs="Times New Roman"/>
          <w:color w:val="000000" w:themeColor="text1"/>
          <w:sz w:val="24"/>
          <w:szCs w:val="24"/>
          <w:shd w:val="clear" w:color="auto" w:fill="FFFFFF"/>
        </w:rPr>
        <w:t xml:space="preserve"> </w:t>
      </w:r>
      <w:r w:rsidR="00242AD8">
        <w:rPr>
          <w:rFonts w:ascii="Times New Roman" w:hAnsi="Times New Roman" w:cs="Times New Roman"/>
          <w:color w:val="000000" w:themeColor="text1"/>
          <w:sz w:val="24"/>
          <w:szCs w:val="24"/>
          <w:shd w:val="clear" w:color="auto" w:fill="FFFFFF"/>
        </w:rPr>
        <w:t xml:space="preserve">as </w:t>
      </w:r>
      <w:r w:rsidR="00426C6A" w:rsidRPr="00F3795D">
        <w:rPr>
          <w:rFonts w:ascii="Times New Roman" w:hAnsi="Times New Roman" w:cs="Times New Roman"/>
          <w:color w:val="000000" w:themeColor="text1"/>
          <w:sz w:val="24"/>
          <w:szCs w:val="24"/>
          <w:shd w:val="clear" w:color="auto" w:fill="FFFFFF"/>
        </w:rPr>
        <w:t>a vector control measure</w:t>
      </w:r>
      <w:r w:rsidR="004F4898" w:rsidRPr="00F3795D">
        <w:rPr>
          <w:rFonts w:ascii="Times New Roman" w:eastAsia="Times New Roman" w:hAnsi="Times New Roman" w:cs="Times New Roman"/>
          <w:color w:val="000000" w:themeColor="text1"/>
          <w:sz w:val="24"/>
          <w:szCs w:val="24"/>
          <w:lang w:eastAsia="en-IN"/>
        </w:rPr>
        <w:t xml:space="preserve"> </w:t>
      </w:r>
      <w:r w:rsidR="008F6602" w:rsidRPr="00F3795D">
        <w:rPr>
          <w:rFonts w:ascii="Times New Roman" w:eastAsia="Times New Roman" w:hAnsi="Times New Roman" w:cs="Times New Roman"/>
          <w:color w:val="000000" w:themeColor="text1"/>
          <w:sz w:val="24"/>
          <w:szCs w:val="24"/>
          <w:lang w:eastAsia="en-IN"/>
        </w:rPr>
        <w:fldChar w:fldCharType="begin" w:fldLock="1"/>
      </w:r>
      <w:r w:rsidR="008B28D0" w:rsidRPr="00F3795D">
        <w:rPr>
          <w:rFonts w:ascii="Times New Roman" w:eastAsia="Times New Roman" w:hAnsi="Times New Roman" w:cs="Times New Roman"/>
          <w:color w:val="000000" w:themeColor="text1"/>
          <w:sz w:val="24"/>
          <w:szCs w:val="24"/>
          <w:lang w:eastAsia="en-IN"/>
        </w:rPr>
        <w:instrText>ADDIN CSL_CITATION {"citationItems":[{"id":"ITEM-1","itemData":{"DOI":"10.7759/cureus.29210","abstract":"BACKGROUND: Malaria remains a serious public health problem in India. According  to the World Health Organization (WHO), as per the 2021 report, India accounts for 83% of malaria cases in Southeast Asia. Various interventions have been implemented to control malaria's burden in India. In October 2021, the WHO approved the RTS,S/AS01 (RTS,S) malaria vaccine for administration in four scheduled doses in children five months of age to reduce the burden and severity of malaria. The objectives of this study were to assess public awareness about the vaccine among residents of India and determine any associations with demographic characteristics. METHODS: The study was a web-based, cross-sectional survey. The survey questionnaire was sent out electronically using Qualtrics® (Provo, UT) and remained active for 12 weeks (December 2021 to March 2022). The questionnaire was self-administered anonymously, using a link that was shared with people across India through social media platforms. A total of 2,371 respondents above 18 years of age and current residents of India participated in the study. The chi-square test was used to examine the association between awareness about the vaccine and demographic characteristics. A p-value of &lt;0.05 was used to describe a statistically significant association. RESULTS: Most participants (71.95%) had heard about the malaria vaccine, and 68.75% favored making it a required childhood vaccine. Similarly, 67.27% indicated that they would encourage caregivers to get their children/wards vaccinated. Age, gender, educational status, residence, and caregiver status were associated with the awareness regarding the malaria vaccine (p &lt; 0.05). Males, participants between 18 and 24 years old, and caregivers of children aged five years or less were more likely to be aware of the vaccine. Participants with higher education and residing in urban localities had more awareness of the vaccine. CONCLUSION: The malaria vaccine has the potential to eradicate malaria in India, especially if included in the immunization schedule for children. However, it is critical that health policymakers target populations that are less aware of information on any intended rollout of the malaria vaccine to ensure rapid uptake toward the goal of eliminating malaria from India.","author":[{"dropping-particle":"","family":"Singhal","given":"Chinar","non-dropping-particle":"","parse-names":false,"suffix":""},{"dropping-particle":"","family":"Aremu","given":"Taiwo O","non-dropping-particle":"","parse-names":false,"suffix":""},{"dropping-particle":"","family":"Garg","given":"Pranjal","non-dropping-particle":"","parse-names":false,"suffix":""},{"dropping-particle":"","family":"Shah","given":"Kunal","non-dropping-particle":"","parse-names":false,"suffix":""},{"dropping-particle":"","family":"Okoro","given":"Olihe N","non-dropping-particle":"","parse-names":false,"suffix":""}],"container-title":"Cureus","id":"ITEM-1","issue":"9","issued":{"date-parts":[["2022"]]},"page":"3-10","title":"Awareness of the Malaria Vaccine in India","type":"article-journal","volume":"14"},"uris":["http://www.mendeley.com/documents/?uuid=1eface0d-8237-4cbd-84e4-d174a60184c4","http://www.mendeley.com/documents/?uuid=f05cf3bc-764c-4167-b7b6-de6cb98a9edc"]}],"mendeley":{"formattedCitation":"(Singhal et al., 2022)","plainTextFormattedCitation":"(Singhal et al., 2022)","previouslyFormattedCitation":"(Singhal et al., 2022)"},"properties":{"noteIndex":0},"schema":"https://github.com/citation-style-language/schema/raw/master/csl-citation.json"}</w:instrText>
      </w:r>
      <w:r w:rsidR="008F6602" w:rsidRPr="00F3795D">
        <w:rPr>
          <w:rFonts w:ascii="Times New Roman" w:eastAsia="Times New Roman" w:hAnsi="Times New Roman" w:cs="Times New Roman"/>
          <w:color w:val="000000" w:themeColor="text1"/>
          <w:sz w:val="24"/>
          <w:szCs w:val="24"/>
          <w:lang w:eastAsia="en-IN"/>
        </w:rPr>
        <w:fldChar w:fldCharType="separate"/>
      </w:r>
      <w:r w:rsidR="005D682C" w:rsidRPr="00F3795D">
        <w:rPr>
          <w:rFonts w:ascii="Times New Roman" w:eastAsia="Times New Roman" w:hAnsi="Times New Roman" w:cs="Times New Roman"/>
          <w:noProof/>
          <w:color w:val="000000" w:themeColor="text1"/>
          <w:sz w:val="24"/>
          <w:szCs w:val="24"/>
          <w:lang w:eastAsia="en-IN"/>
        </w:rPr>
        <w:t>(Singhal et al., 2022)</w:t>
      </w:r>
      <w:r w:rsidR="008F6602" w:rsidRPr="00F3795D">
        <w:rPr>
          <w:rFonts w:ascii="Times New Roman" w:eastAsia="Times New Roman" w:hAnsi="Times New Roman" w:cs="Times New Roman"/>
          <w:color w:val="000000" w:themeColor="text1"/>
          <w:sz w:val="24"/>
          <w:szCs w:val="24"/>
          <w:lang w:eastAsia="en-IN"/>
        </w:rPr>
        <w:fldChar w:fldCharType="end"/>
      </w:r>
      <w:r w:rsidR="00C41588" w:rsidRPr="00F3795D">
        <w:rPr>
          <w:rFonts w:ascii="Times New Roman" w:eastAsia="Times New Roman" w:hAnsi="Times New Roman" w:cs="Times New Roman"/>
          <w:color w:val="000000" w:themeColor="text1"/>
          <w:sz w:val="24"/>
          <w:szCs w:val="24"/>
          <w:lang w:eastAsia="en-IN"/>
        </w:rPr>
        <w:t xml:space="preserve">. </w:t>
      </w:r>
      <w:r w:rsidR="00936AF5" w:rsidRPr="00F3795D">
        <w:rPr>
          <w:rFonts w:ascii="Times New Roman" w:hAnsi="Times New Roman" w:cs="Times New Roman"/>
          <w:color w:val="000000" w:themeColor="text1"/>
          <w:sz w:val="24"/>
          <w:szCs w:val="24"/>
        </w:rPr>
        <w:t xml:space="preserve">For more than 20 years, the impact of pyrethroid resistance on managing </w:t>
      </w:r>
      <w:r w:rsidR="0017399E" w:rsidRPr="00F3795D">
        <w:rPr>
          <w:rFonts w:ascii="Times New Roman" w:hAnsi="Times New Roman" w:cs="Times New Roman"/>
          <w:color w:val="000000" w:themeColor="text1"/>
          <w:sz w:val="24"/>
          <w:szCs w:val="24"/>
        </w:rPr>
        <w:t>M</w:t>
      </w:r>
      <w:r w:rsidR="00936AF5" w:rsidRPr="00F3795D">
        <w:rPr>
          <w:rFonts w:ascii="Times New Roman" w:hAnsi="Times New Roman" w:cs="Times New Roman"/>
          <w:color w:val="000000" w:themeColor="text1"/>
          <w:sz w:val="24"/>
          <w:szCs w:val="24"/>
        </w:rPr>
        <w:t xml:space="preserve">alaria has been a major issue. The evidence of control failure caused by physiological resistance against ITNs is varied, despite the </w:t>
      </w:r>
      <w:r w:rsidR="00237F45" w:rsidRPr="00F3795D">
        <w:rPr>
          <w:rFonts w:ascii="Times New Roman" w:hAnsi="Times New Roman" w:cs="Times New Roman"/>
          <w:color w:val="000000" w:themeColor="text1"/>
          <w:sz w:val="24"/>
          <w:szCs w:val="24"/>
        </w:rPr>
        <w:t>rapid</w:t>
      </w:r>
      <w:r w:rsidR="00936AF5" w:rsidRPr="00F3795D">
        <w:rPr>
          <w:rFonts w:ascii="Times New Roman" w:hAnsi="Times New Roman" w:cs="Times New Roman"/>
          <w:color w:val="000000" w:themeColor="text1"/>
          <w:sz w:val="24"/>
          <w:szCs w:val="24"/>
        </w:rPr>
        <w:t xml:space="preserve"> and predicted growth of resistance in response to the widespread deployment of ITNs. Numerous laboratory and semi-field studies show that </w:t>
      </w:r>
      <w:r w:rsidR="0095545A" w:rsidRPr="00F3795D">
        <w:rPr>
          <w:rFonts w:ascii="Times New Roman" w:hAnsi="Times New Roman" w:cs="Times New Roman"/>
          <w:color w:val="000000" w:themeColor="text1"/>
          <w:sz w:val="24"/>
          <w:szCs w:val="24"/>
        </w:rPr>
        <w:t>ITN</w:t>
      </w:r>
      <w:r w:rsidR="00936AF5" w:rsidRPr="00F3795D">
        <w:rPr>
          <w:rFonts w:ascii="Times New Roman" w:hAnsi="Times New Roman" w:cs="Times New Roman"/>
          <w:color w:val="000000" w:themeColor="text1"/>
          <w:sz w:val="24"/>
          <w:szCs w:val="24"/>
        </w:rPr>
        <w:t>s have a less immediate impact on resistant mosquito populations' death and blood feeding than susceptible populations</w:t>
      </w:r>
      <w:r w:rsidR="00D01065">
        <w:rPr>
          <w:rFonts w:ascii="Times New Roman" w:hAnsi="Times New Roman" w:cs="Times New Roman"/>
          <w:color w:val="000000" w:themeColor="text1"/>
          <w:sz w:val="24"/>
          <w:szCs w:val="24"/>
        </w:rPr>
        <w:t xml:space="preserve"> </w:t>
      </w:r>
      <w:r w:rsidR="000324BE" w:rsidRPr="00F3795D">
        <w:rPr>
          <w:rFonts w:ascii="Times New Roman" w:hAnsi="Times New Roman" w:cs="Times New Roman"/>
          <w:color w:val="000000" w:themeColor="text1"/>
          <w:sz w:val="24"/>
          <w:szCs w:val="24"/>
        </w:rPr>
        <w:fldChar w:fldCharType="begin" w:fldLock="1"/>
      </w:r>
      <w:r w:rsidR="008B28D0" w:rsidRPr="00F3795D">
        <w:rPr>
          <w:rFonts w:ascii="Times New Roman" w:hAnsi="Times New Roman" w:cs="Times New Roman"/>
          <w:color w:val="000000" w:themeColor="text1"/>
          <w:sz w:val="24"/>
          <w:szCs w:val="24"/>
        </w:rPr>
        <w:instrText>ADDIN CSL_CITATION {"citationItems":[{"id":"ITEM-1","itemData":{"DOI":"10.1186/s12936-019-2799-6","ISSN":"14752875","PMID":"31072344","abstract":"Background: Malaria prevention in Cameroon mainly relies on the use of ITNs. Although several free distribution campaigns of treated nets have been conducted across the country, bed net usage remains very low. A household survey was conducted to assess knowledge of the population and practices affecting treated net usage in the city of Yaoundé. Methods: A community-based descriptive cross-sectional survey was conducted in January 2017 in 32 districts of the city of Yaoundé. Parents (household head, spouse or an elder representative) who consented to the study, were interviewed using a structured pre-tested questionnaire. Interviews were conducted in French or English. A questionnaire consisting of 22 questions was administered to know (i) people's knowledge and attitude on preventive measures; and, (ii) attitudes concerning the treatment of malaria and estimated amount spent for malaria prevention and treatment. Results: A total of 1643 household heads were interviewed. Over 94% of people interviewed associated malaria transmission to mosquito bites. The main methods used against mosquito bites were: treated bed nets (94%; n = 1526) and insecticide spray or coils (32.2%; n = 523). The majority of people interviewed reported using bed nets mainly to prevent from mosquito bites (84.4%, n = 1257), rather than for malaria prevention (47.3%). Knowledge and attitude analysis revealed that people with university or secondary level of education have better knowledge of malaria, prevention and treatment measures compared to those with the primary level (OR = 7.03; P &lt; 0.001). Also, wealthy households were more aware of good practices concerning malaria prevention and treatment compared to poor ones. In the majority of districts of Yaoundé, over 50% of people interviewed per district, had good knowledge of malaria and prevention measures but less than 50% applied good practices concerning malaria treatment and prevention. The amount spent annually by a household for vector control was CFAF 11,589 ± 1133 (US21.87 ± 2.14) and CFAF 66,403 ± 4012 (US125.29 ± 7.57) for malaria treatment. Conclusion: The study indicated that, despite good knowledge of malaria and prevention measures, few people apply good practices. More sensitization needs to be done to improve adherence to good practices concerning malaria prevention and treatment.","author":[{"dropping-particle":"","family":"Talipouo","given":"Abdou","non-dropping-particle":"","parse-names":false,"suffix":""},{"dropping-particle":"","family":"Ngadjeu","given":"Carmene S.","non-dropping-particle":"","parse-names":false,"suffix":""},{"dropping-particle":"","family":"Doumbe-Belisse","given":"Patricia","non-dropping-particle":"","parse-names":false,"suffix":""},{"dropping-particle":"","family":"Djamouko-Djonkam","given":"Landre","non-dropping-particle":"","parse-names":false,"suffix":""},{"dropping-particle":"","family":"Sonhafouo-Chiana","given":"Nadege","non-dropping-particle":"","parse-names":false,"suffix":""},{"dropping-particle":"","family":"Kopya","given":"Edmond","non-dropping-particle":"","parse-names":false,"suffix":""},{"dropping-particle":"","family":"Bamou","given":"Roland","non-dropping-particle":"","parse-names":false,"suffix":""},{"dropping-particle":"","family":"Awono-Ambene","given":"Parfait","non-dropping-particle":"","parse-names":false,"suffix":""},{"dropping-particle":"","family":"Woromogo","given":"Sylvain","non-dropping-particle":"","parse-names":false,"suffix":""},{"dropping-particle":"","family":"Kekeunou","given":"Sevilor","non-dropping-particle":"","parse-names":false,"suffix":""},{"dropping-particle":"","family":"Wondji","given":"Charles S.","non-dropping-particle":"","parse-names":false,"suffix":""},{"dropping-particle":"","family":"Antonio-Nkondjio","given":"Christophe","non-dropping-particle":"","parse-names":false,"suffix":""}],"container-title":"Malaria Journal","id":"ITEM-1","issue":"1","issued":{"date-parts":[["2019"]]},"page":"1-13","publisher":"BioMed Central","title":"Malaria prevention in the city of Yaoundé: Knowledge and practices of urban dwellers","type":"article-journal","volume":"18"},"uris":["http://www.mendeley.com/documents/?uuid=6ae814fc-c9e1-4ed2-af76-4316f62654aa"]}],"mendeley":{"formattedCitation":"(Talipouo et al., 2019)","plainTextFormattedCitation":"(Talipouo et al., 2019)","previouslyFormattedCitation":"(Talipouo et al., 2019)"},"properties":{"noteIndex":0},"schema":"https://github.com/citation-style-language/schema/raw/master/csl-citation.json"}</w:instrText>
      </w:r>
      <w:r w:rsidR="000324BE" w:rsidRPr="00F3795D">
        <w:rPr>
          <w:rFonts w:ascii="Times New Roman" w:hAnsi="Times New Roman" w:cs="Times New Roman"/>
          <w:color w:val="000000" w:themeColor="text1"/>
          <w:sz w:val="24"/>
          <w:szCs w:val="24"/>
        </w:rPr>
        <w:fldChar w:fldCharType="separate"/>
      </w:r>
      <w:r w:rsidR="005D682C" w:rsidRPr="00F3795D">
        <w:rPr>
          <w:rFonts w:ascii="Times New Roman" w:hAnsi="Times New Roman" w:cs="Times New Roman"/>
          <w:noProof/>
          <w:color w:val="000000" w:themeColor="text1"/>
          <w:sz w:val="24"/>
          <w:szCs w:val="24"/>
        </w:rPr>
        <w:t>(Talipouo et al., 2019)</w:t>
      </w:r>
      <w:r w:rsidR="000324BE" w:rsidRPr="00F3795D">
        <w:rPr>
          <w:rFonts w:ascii="Times New Roman" w:hAnsi="Times New Roman" w:cs="Times New Roman"/>
          <w:color w:val="000000" w:themeColor="text1"/>
          <w:sz w:val="24"/>
          <w:szCs w:val="24"/>
        </w:rPr>
        <w:fldChar w:fldCharType="end"/>
      </w:r>
      <w:r w:rsidR="004F4898" w:rsidRPr="00F3795D">
        <w:rPr>
          <w:rFonts w:ascii="Times New Roman" w:hAnsi="Times New Roman" w:cs="Times New Roman"/>
          <w:color w:val="000000" w:themeColor="text1"/>
          <w:sz w:val="24"/>
          <w:szCs w:val="24"/>
        </w:rPr>
        <w:t xml:space="preserve">. </w:t>
      </w:r>
      <w:r w:rsidR="00CD2858">
        <w:rPr>
          <w:rFonts w:ascii="Times New Roman" w:hAnsi="Times New Roman" w:cs="Times New Roman"/>
          <w:color w:val="000000" w:themeColor="text1"/>
          <w:sz w:val="24"/>
          <w:szCs w:val="24"/>
        </w:rPr>
        <w:t xml:space="preserve">The use of </w:t>
      </w:r>
      <w:r w:rsidR="004F4898" w:rsidRPr="00F3795D">
        <w:rPr>
          <w:rFonts w:ascii="Times New Roman" w:hAnsi="Times New Roman" w:cs="Times New Roman"/>
          <w:color w:val="000000" w:themeColor="text1"/>
          <w:sz w:val="24"/>
          <w:szCs w:val="24"/>
        </w:rPr>
        <w:lastRenderedPageBreak/>
        <w:t>larvicides</w:t>
      </w:r>
      <w:r w:rsidR="00CD2858">
        <w:rPr>
          <w:rFonts w:ascii="Times New Roman" w:hAnsi="Times New Roman" w:cs="Times New Roman"/>
          <w:color w:val="000000" w:themeColor="text1"/>
          <w:sz w:val="24"/>
          <w:szCs w:val="24"/>
        </w:rPr>
        <w:t xml:space="preserve"> </w:t>
      </w:r>
      <w:r w:rsidR="00F55F21">
        <w:rPr>
          <w:rFonts w:ascii="Times New Roman" w:hAnsi="Times New Roman" w:cs="Times New Roman"/>
          <w:color w:val="000000" w:themeColor="text1"/>
          <w:sz w:val="24"/>
          <w:szCs w:val="24"/>
        </w:rPr>
        <w:t xml:space="preserve">is </w:t>
      </w:r>
      <w:r w:rsidR="00CD2858">
        <w:rPr>
          <w:rFonts w:ascii="Times New Roman" w:hAnsi="Times New Roman" w:cs="Times New Roman"/>
          <w:color w:val="000000" w:themeColor="text1"/>
          <w:sz w:val="24"/>
          <w:szCs w:val="24"/>
        </w:rPr>
        <w:t xml:space="preserve">as </w:t>
      </w:r>
      <w:r w:rsidR="00C53069">
        <w:rPr>
          <w:rFonts w:ascii="Times New Roman" w:hAnsi="Times New Roman" w:cs="Times New Roman"/>
          <w:color w:val="000000" w:themeColor="text1"/>
          <w:sz w:val="24"/>
          <w:szCs w:val="24"/>
        </w:rPr>
        <w:t>older as civilisation</w:t>
      </w:r>
      <w:r w:rsidR="00F55F21">
        <w:rPr>
          <w:rFonts w:ascii="Times New Roman" w:hAnsi="Times New Roman" w:cs="Times New Roman"/>
          <w:color w:val="000000" w:themeColor="text1"/>
          <w:sz w:val="24"/>
          <w:szCs w:val="24"/>
        </w:rPr>
        <w:t>. L</w:t>
      </w:r>
      <w:r w:rsidR="00C53069">
        <w:rPr>
          <w:rFonts w:ascii="Times New Roman" w:hAnsi="Times New Roman" w:cs="Times New Roman"/>
          <w:color w:val="000000" w:themeColor="text1"/>
          <w:sz w:val="24"/>
          <w:szCs w:val="24"/>
        </w:rPr>
        <w:t xml:space="preserve">arvicides </w:t>
      </w:r>
      <w:r w:rsidR="009726F5">
        <w:rPr>
          <w:rFonts w:ascii="Times New Roman" w:hAnsi="Times New Roman" w:cs="Times New Roman"/>
          <w:color w:val="000000" w:themeColor="text1"/>
          <w:sz w:val="24"/>
          <w:szCs w:val="24"/>
        </w:rPr>
        <w:t xml:space="preserve">either </w:t>
      </w:r>
      <w:r w:rsidR="00C53069">
        <w:rPr>
          <w:rFonts w:ascii="Times New Roman" w:hAnsi="Times New Roman" w:cs="Times New Roman"/>
          <w:color w:val="000000" w:themeColor="text1"/>
          <w:sz w:val="24"/>
          <w:szCs w:val="24"/>
        </w:rPr>
        <w:t>may come from natural</w:t>
      </w:r>
      <w:r w:rsidR="009726F5">
        <w:rPr>
          <w:rFonts w:ascii="Times New Roman" w:hAnsi="Times New Roman" w:cs="Times New Roman"/>
          <w:color w:val="000000" w:themeColor="text1"/>
          <w:sz w:val="24"/>
          <w:szCs w:val="24"/>
        </w:rPr>
        <w:t xml:space="preserve"> or synthetic sources. </w:t>
      </w:r>
      <w:r w:rsidR="00D42544">
        <w:rPr>
          <w:rFonts w:ascii="Times New Roman" w:hAnsi="Times New Roman" w:cs="Times New Roman"/>
          <w:color w:val="000000" w:themeColor="text1"/>
          <w:sz w:val="24"/>
          <w:szCs w:val="24"/>
        </w:rPr>
        <w:t xml:space="preserve">Additionally, </w:t>
      </w:r>
      <w:r w:rsidR="00D42544" w:rsidRPr="00F3795D">
        <w:rPr>
          <w:rFonts w:ascii="Times New Roman" w:hAnsi="Times New Roman" w:cs="Times New Roman"/>
          <w:color w:val="000000" w:themeColor="text1"/>
          <w:sz w:val="24"/>
          <w:szCs w:val="24"/>
        </w:rPr>
        <w:t xml:space="preserve">Plants, bacteria, algae, lichen, and fungi are frequently sought-after sources of larvicides </w:t>
      </w:r>
      <w:r w:rsidR="00D42544" w:rsidRPr="00F3795D">
        <w:rPr>
          <w:rFonts w:ascii="Times New Roman" w:hAnsi="Times New Roman" w:cs="Times New Roman"/>
          <w:color w:val="000000" w:themeColor="text1"/>
          <w:sz w:val="24"/>
          <w:szCs w:val="24"/>
        </w:rPr>
        <w:fldChar w:fldCharType="begin" w:fldLock="1"/>
      </w:r>
      <w:r w:rsidR="00D42544" w:rsidRPr="00F3795D">
        <w:rPr>
          <w:rFonts w:ascii="Times New Roman" w:hAnsi="Times New Roman" w:cs="Times New Roman"/>
          <w:color w:val="000000" w:themeColor="text1"/>
          <w:sz w:val="24"/>
          <w:szCs w:val="24"/>
        </w:rPr>
        <w:instrText>ADDIN CSL_CITATION {"citationItems":[{"id":"ITEM-1","itemData":{"DOI":"10.3389/fitd.2021.718804","abstract":" Female Anopheles mosquitoes transmit Plasmodium parasites that cause human malaria. Currently, vector control is the most widely deployed approach to reduce mosquito population and hence disease transmission. This relies on use of insecticide-based interventions including Long-lasting Insecticide-treated Nets (LLINs) and Indoor Residual Spraying (IRS) where scale-up has contributed to a dramatic decline in malaria deaths and morbidity over the past decade. Challenges to their effective use include the emergence and spread of insecticide resistance by malaria vector populations coupled with the inability to curb outdoor transmission. Under these situations, use of larvicides through larval source management (LSM) can complement these existing measures. The need to minimize environmental impact and effect on non-target organisms has spurred interest in the development of eco-friendly larvicides of natural origin. Here, we review literature published in the last five years to highlight compounds of natural origin found to exhibit larvicidal activity against malaria mosquitoes. Specifically, the larvicidal activity of different classes of compounds is discussed including their effect on non-target organisms. Additionally, we provide suggestions for future research into mosquito larvicides including the use of chemical synthesis to improve the bioactivity of known natural compounds. ","author":[{"dropping-particle":"","family":"Milugo","given":"Trizah K.","non-dropping-particle":"","parse-names":false,"suffix":""},{"dropping-particle":"","family":"Tchouassi","given":"David P.","non-dropping-particle":"","parse-names":false,"suffix":""},{"dropping-particle":"","family":"Kavishe","given":"Reginald A.","non-dropping-particle":"","parse-names":false,"suffix":""},{"dropping-particle":"","family":"Dinglasan","given":"Rhoel R.","non-dropping-particle":"","parse-names":false,"suffix":""},{"dropping-particle":"","family":"Torto","given":"Baldwyn","non-dropping-particle":"","parse-names":false,"suffix":""}],"container-title":"Frontiers in Tropical Diseases","id":"ITEM-1","issue":"August","issued":{"date-parts":[["2021"]]},"page":"1-10","title":"Naturally Occurring Compounds With Larvicidal Activity Against Malaria Mosquitoes","type":"article-journal","volume":"2"},"uris":["http://www.mendeley.com/documents/?uuid=fa3db7a2-5b77-40c1-992d-ebcddbe60458","http://www.mendeley.com/documents/?uuid=6dbbcc7b-3c75-40ee-99cb-f4059e09dc7e"]}],"mendeley":{"formattedCitation":"(Milugo et al., 2021)","plainTextFormattedCitation":"(Milugo et al., 2021)","previouslyFormattedCitation":"(Milugo et al., 2021)"},"properties":{"noteIndex":0},"schema":"https://github.com/citation-style-language/schema/raw/master/csl-citation.json"}</w:instrText>
      </w:r>
      <w:r w:rsidR="00D42544" w:rsidRPr="00F3795D">
        <w:rPr>
          <w:rFonts w:ascii="Times New Roman" w:hAnsi="Times New Roman" w:cs="Times New Roman"/>
          <w:color w:val="000000" w:themeColor="text1"/>
          <w:sz w:val="24"/>
          <w:szCs w:val="24"/>
        </w:rPr>
        <w:fldChar w:fldCharType="separate"/>
      </w:r>
      <w:r w:rsidR="00D42544" w:rsidRPr="00F3795D">
        <w:rPr>
          <w:rFonts w:ascii="Times New Roman" w:hAnsi="Times New Roman" w:cs="Times New Roman"/>
          <w:noProof/>
          <w:color w:val="000000" w:themeColor="text1"/>
          <w:sz w:val="24"/>
          <w:szCs w:val="24"/>
        </w:rPr>
        <w:t>(Milugo et al., 2021)</w:t>
      </w:r>
      <w:r w:rsidR="00D42544" w:rsidRPr="00F3795D">
        <w:rPr>
          <w:rFonts w:ascii="Times New Roman" w:hAnsi="Times New Roman" w:cs="Times New Roman"/>
          <w:color w:val="000000" w:themeColor="text1"/>
          <w:sz w:val="24"/>
          <w:szCs w:val="24"/>
        </w:rPr>
        <w:fldChar w:fldCharType="end"/>
      </w:r>
      <w:r w:rsidR="00D42544" w:rsidRPr="00F3795D">
        <w:rPr>
          <w:rFonts w:ascii="Times New Roman" w:hAnsi="Times New Roman" w:cs="Times New Roman"/>
          <w:color w:val="000000" w:themeColor="text1"/>
          <w:sz w:val="24"/>
          <w:szCs w:val="24"/>
        </w:rPr>
        <w:t>.</w:t>
      </w:r>
      <w:r w:rsidR="00BD76B8">
        <w:rPr>
          <w:rFonts w:ascii="Times New Roman" w:hAnsi="Times New Roman" w:cs="Times New Roman"/>
          <w:color w:val="000000" w:themeColor="text1"/>
          <w:sz w:val="24"/>
          <w:szCs w:val="24"/>
        </w:rPr>
        <w:t xml:space="preserve"> </w:t>
      </w:r>
      <w:r w:rsidR="00A70FFB" w:rsidRPr="00A70FFB">
        <w:rPr>
          <w:rFonts w:ascii="Times New Roman" w:hAnsi="Times New Roman" w:cs="Times New Roman"/>
          <w:sz w:val="24"/>
          <w:szCs w:val="24"/>
          <w:shd w:val="clear" w:color="auto" w:fill="FFFFFF"/>
        </w:rPr>
        <w:t xml:space="preserve">There were many antimalarial studies have been carried out using isolated compounds of plants such as Quinine from </w:t>
      </w:r>
      <w:r w:rsidR="00A70FFB" w:rsidRPr="00A70FFB">
        <w:rPr>
          <w:rFonts w:ascii="Times New Roman" w:hAnsi="Times New Roman" w:cs="Times New Roman"/>
          <w:i/>
          <w:iCs/>
          <w:sz w:val="24"/>
          <w:szCs w:val="24"/>
          <w:shd w:val="clear" w:color="auto" w:fill="FFFFFF"/>
        </w:rPr>
        <w:t>Cinchona officinalis</w:t>
      </w:r>
      <w:r w:rsidR="00A70FFB" w:rsidRPr="00A70FFB">
        <w:rPr>
          <w:rFonts w:ascii="Times New Roman" w:hAnsi="Times New Roman" w:cs="Times New Roman"/>
          <w:b/>
          <w:bCs/>
          <w:i/>
          <w:iCs/>
          <w:sz w:val="24"/>
          <w:szCs w:val="24"/>
          <w:shd w:val="clear" w:color="auto" w:fill="FFFFFF"/>
        </w:rPr>
        <w:fldChar w:fldCharType="begin" w:fldLock="1"/>
      </w:r>
      <w:r w:rsidR="00A70FFB" w:rsidRPr="00A70FFB">
        <w:rPr>
          <w:rFonts w:ascii="Times New Roman" w:hAnsi="Times New Roman" w:cs="Times New Roman"/>
          <w:i/>
          <w:iCs/>
          <w:sz w:val="24"/>
          <w:szCs w:val="24"/>
          <w:shd w:val="clear" w:color="auto" w:fill="FFFFFF"/>
        </w:rPr>
        <w:instrText>ADDIN CSL_CITATION {"citationItems":[{"id":"ITEM-1","itemData":{"DOI":"10.1155/2020/8749083","ISSN":"17414288","abstract":"Malaria is one of the major health problems in developing countries. The disease kills a large number of people every year and also affects financial status of many countries. Resistance of the plasmodium parasite, the causative agent, to the existing drugs, including chloroquine, mefloquine, and artemisinin based combination therapy (ACT), is a serious global issue in malaria treatment and control. This warrants an urgent quest for novel compounds, particularly from natural sources such as medicinal plants. Alkaloids have over the years been recognized as important phytoconstituents with interesting biological properties. In fact, the first successful antimalarial drug was quinine, an alkaloid, which was extracted from Cinchona tree. In the present review work, the alkaloids isolated and reported recently (2013 till 2019) to possess antimalarial activity are presented. Several classes of alkaloids, including terpenoidal, indole, bisindole, quinolone, and isoquinoline alkaloids, were identified with a promising antimalarial activity. It is hoped that the reports of the review work will spur further research into the structural modification and/or development of the interesting compounds as novel antimalarial drugs.","author":[{"dropping-particle":"","family":"Uzor","given":"Philip F.","non-dropping-particle":"","parse-names":false,"suffix":""}],"container-title":"Evidence-based Complementary and Alternative Medicine","id":"ITEM-1","issued":{"date-parts":[["2020"]]},"title":"Alkaloids from Plants with Antimalarial Activity: A Review of Recent Studies","type":"article-journal","volume":"2020"},"uris":["http://www.mendeley.com/documents/?uuid=d800b918-cbb0-43c1-863d-a0b1bf6e54fb"]}],"mendeley":{"formattedCitation":"[2]","plainTextFormattedCitation":"[2]","previouslyFormattedCitation":"[1]"},"properties":{"noteIndex":0},"schema":"https://github.com/citation-style-language/schema/raw/master/csl-citation.json"}</w:instrText>
      </w:r>
      <w:r w:rsidR="00A70FFB" w:rsidRPr="00A70FFB">
        <w:rPr>
          <w:rFonts w:ascii="Times New Roman" w:hAnsi="Times New Roman" w:cs="Times New Roman"/>
          <w:b/>
          <w:bCs/>
          <w:i/>
          <w:iCs/>
          <w:sz w:val="24"/>
          <w:szCs w:val="24"/>
          <w:shd w:val="clear" w:color="auto" w:fill="FFFFFF"/>
        </w:rPr>
        <w:fldChar w:fldCharType="separate"/>
      </w:r>
      <w:r w:rsidR="00A70FFB" w:rsidRPr="00A70FFB">
        <w:rPr>
          <w:rFonts w:ascii="Times New Roman" w:hAnsi="Times New Roman" w:cs="Times New Roman"/>
          <w:iCs/>
          <w:noProof/>
          <w:sz w:val="24"/>
          <w:szCs w:val="24"/>
          <w:shd w:val="clear" w:color="auto" w:fill="FFFFFF"/>
        </w:rPr>
        <w:t>[2]</w:t>
      </w:r>
      <w:r w:rsidR="00A70FFB" w:rsidRPr="00A70FFB">
        <w:rPr>
          <w:rFonts w:ascii="Times New Roman" w:hAnsi="Times New Roman" w:cs="Times New Roman"/>
          <w:b/>
          <w:bCs/>
          <w:i/>
          <w:iCs/>
          <w:sz w:val="24"/>
          <w:szCs w:val="24"/>
          <w:shd w:val="clear" w:color="auto" w:fill="FFFFFF"/>
        </w:rPr>
        <w:fldChar w:fldCharType="end"/>
      </w:r>
      <w:r w:rsidR="00A70FFB" w:rsidRPr="00A70FFB">
        <w:rPr>
          <w:rFonts w:ascii="Times New Roman" w:hAnsi="Times New Roman" w:cs="Times New Roman"/>
          <w:sz w:val="24"/>
          <w:szCs w:val="24"/>
          <w:shd w:val="clear" w:color="auto" w:fill="FFFFFF"/>
        </w:rPr>
        <w:t xml:space="preserve">, (2,4-dihydroxy phenyl)-3-[8-hydroxy-2-methyl-2-(4-methyl-3- </w:t>
      </w:r>
      <w:proofErr w:type="spellStart"/>
      <w:r w:rsidR="00A70FFB" w:rsidRPr="00A70FFB">
        <w:rPr>
          <w:rFonts w:ascii="Times New Roman" w:hAnsi="Times New Roman" w:cs="Times New Roman"/>
          <w:sz w:val="24"/>
          <w:szCs w:val="24"/>
          <w:shd w:val="clear" w:color="auto" w:fill="FFFFFF"/>
        </w:rPr>
        <w:t>pentenyl</w:t>
      </w:r>
      <w:proofErr w:type="spellEnd"/>
      <w:r w:rsidR="00A70FFB" w:rsidRPr="00A70FFB">
        <w:rPr>
          <w:rFonts w:ascii="Times New Roman" w:hAnsi="Times New Roman" w:cs="Times New Roman"/>
          <w:sz w:val="24"/>
          <w:szCs w:val="24"/>
          <w:shd w:val="clear" w:color="auto" w:fill="FFFFFF"/>
        </w:rPr>
        <w:t>)-2H-1-benzopyran-5-yl]-1-propanone from</w:t>
      </w:r>
      <w:r w:rsidR="00A70FFB" w:rsidRPr="00A70FFB">
        <w:rPr>
          <w:rFonts w:ascii="Times New Roman" w:hAnsi="Times New Roman" w:cs="Times New Roman"/>
          <w:i/>
          <w:iCs/>
          <w:sz w:val="24"/>
          <w:szCs w:val="24"/>
        </w:rPr>
        <w:t xml:space="preserve"> </w:t>
      </w:r>
      <w:proofErr w:type="spellStart"/>
      <w:r w:rsidR="00A70FFB" w:rsidRPr="00A70FFB">
        <w:rPr>
          <w:rFonts w:ascii="Times New Roman" w:hAnsi="Times New Roman" w:cs="Times New Roman"/>
          <w:i/>
          <w:iCs/>
          <w:sz w:val="24"/>
          <w:szCs w:val="24"/>
        </w:rPr>
        <w:t>Artocarpus</w:t>
      </w:r>
      <w:proofErr w:type="spellEnd"/>
      <w:r w:rsidR="00A70FFB" w:rsidRPr="00A70FFB">
        <w:rPr>
          <w:rFonts w:ascii="Times New Roman" w:hAnsi="Times New Roman" w:cs="Times New Roman"/>
          <w:i/>
          <w:iCs/>
          <w:sz w:val="24"/>
          <w:szCs w:val="24"/>
        </w:rPr>
        <w:t xml:space="preserve"> </w:t>
      </w:r>
      <w:proofErr w:type="spellStart"/>
      <w:r w:rsidR="00A70FFB" w:rsidRPr="00A70FFB">
        <w:rPr>
          <w:rFonts w:ascii="Times New Roman" w:hAnsi="Times New Roman" w:cs="Times New Roman"/>
          <w:i/>
          <w:iCs/>
          <w:sz w:val="24"/>
          <w:szCs w:val="24"/>
        </w:rPr>
        <w:t>altilis</w:t>
      </w:r>
      <w:proofErr w:type="spellEnd"/>
      <w:r w:rsidR="00A70FFB" w:rsidRPr="00A70FFB">
        <w:rPr>
          <w:rFonts w:ascii="Times New Roman" w:hAnsi="Times New Roman" w:cs="Times New Roman"/>
          <w:b/>
          <w:bCs/>
          <w:sz w:val="24"/>
          <w:szCs w:val="24"/>
          <w:shd w:val="clear" w:color="auto" w:fill="FFFFFF"/>
        </w:rPr>
        <w:fldChar w:fldCharType="begin" w:fldLock="1"/>
      </w:r>
      <w:r w:rsidR="00A70FFB" w:rsidRPr="00A70FFB">
        <w:rPr>
          <w:rFonts w:ascii="Times New Roman" w:hAnsi="Times New Roman" w:cs="Times New Roman"/>
          <w:sz w:val="24"/>
          <w:szCs w:val="24"/>
          <w:shd w:val="clear" w:color="auto" w:fill="FFFFFF"/>
        </w:rPr>
        <w:instrText>ADDIN CSL_CITATION {"citationItems":[{"id":"ITEM-1","itemData":{"abstract":"&lt;p class=\"rtejustify\"&gt;&lt;strong&gt;Introduction: &lt;/strong&gt;&lt;em&gt;Artocarpus altilis&lt;/em&gt; leaves extract has previously been reported as a potential antimalarial drug. Inhibition concentration (IC&lt;sub&gt;50&lt;/sub&gt;) against &lt;em&gt;P. falciparum&lt;/em&gt; and effective dose values (ED&lt;sub&gt;50&lt;/sub&gt;) against P. berghei have been reported at 1.32 μg/ml and 0.82 mg/kg, respectively. The aim of this study is to identify the active compound from the ethanol extract of &lt;em&gt;A. Altilis&lt;/em&gt; leaves against &lt;em&gt;P. falciparum.&lt;/em&gt; Materials and Methods: The isolation of the active compound from the ethanol extract of&lt;em&gt; A. altilis &lt;/em&gt;were conducted using chromatography methods, and the chemical structure of the isolated compounds was determined based on NMR and MS spectra data. Antimalarial assay was determined using microscopic method against &lt;em&gt;P. falciparum&lt;/em&gt; 3D7 and molecular docking studies was performed using Molegro Virtual Docker version 5.5 program. &lt;strong&gt;Results:&lt;/strong&gt; A flavonoid compound, class of dihydrochalcone was finally isolated from &lt;em&gt;A. altilis &lt;/em&gt;and identified as&lt;em&gt; 1-(2,4-dihydroxy phenyl)-3-[8-hydroxy-2-methyl-2-(4-methyl-3- pentenyl)-2H-1-benzopyran-5-yl]-1-propanone&lt;/em&gt; (Compound-1). Antimalarial activity test revealed that the compound strongly inhibited &lt;em&gt;P. falciparum&lt;/em&gt; growth, with IC&lt;sub&gt;50&lt;/sub&gt; value of 1.05 μM. An in silico study to determine the mechanism of action of the compound revealed the existence a 3.BPF receptor that possesses a cysteine protease inhibitor of falcipain-2. &lt;strong&gt;Conclusion: &lt;/strong&gt;Compound-1 were isolated from the leaves of &lt;em&gt;A. Altilis&lt;/em&gt; is a good candidate of new source in the development of antimalarial drugs. An animal study using this compound is recommended before a clinical trial.&lt;/p&gt;","author":[{"dropping-particle":"","family":"Hidayati","given":"Agriana Rosmalina","non-dropping-particle":"","parse-names":false,"suffix":""},{"dropping-particle":"","family":"Widyawaruyanti","given":"Aty","non-dropping-particle":"","parse-names":false,"suffix":""},{"dropping-particle":"","family":"Ilmi","given":"Hilkatul","non-dropping-particle":"","parse-names":false,"suffix":""},{"dropping-particle":"","family":"Tanjung","given":"Mulyadi","non-dropping-particle":"","parse-names":false,"suffix":""},{"dropping-particle":"","family":"Widiandani","given":"Tri","non-dropping-particle":"","parse-names":false,"suffix":""},{"dropping-particle":"","family":"Siswandono","given":"","non-dropping-particle":"","parse-names":false,"suffix":""},{"dropping-particle":"","family":"Syafruddin","given":"Din","non-dropping-particle":"","parse-names":false,"suffix":""},{"dropping-particle":"","family":"Hafid","given":"Achmad Fuad","non-dropping-particle":"","parse-names":false,"suffix":""}],"container-title":"Pharmacognosy Journal","id":"ITEM-1","issue":"4","issued":{"date-parts":[["2020"]]},"title":"Antimalarial Activity of Flavonoid Compound Isolated from Leaves of Artocarpus altilis","type":"article-journal","volume":"12"},"uris":["http://www.mendeley.com/documents/?uuid=9f6c3d01-7c34-43ae-9ef0-832c3356085c"]}],"mendeley":{"formattedCitation":"[3]","plainTextFormattedCitation":"[3]","previouslyFormattedCitation":"[2]"},"properties":{"noteIndex":0},"schema":"https://github.com/citation-style-language/schema/raw/master/csl-citation.json"}</w:instrText>
      </w:r>
      <w:r w:rsidR="00A70FFB" w:rsidRPr="00A70FFB">
        <w:rPr>
          <w:rFonts w:ascii="Times New Roman" w:hAnsi="Times New Roman" w:cs="Times New Roman"/>
          <w:b/>
          <w:bCs/>
          <w:sz w:val="24"/>
          <w:szCs w:val="24"/>
          <w:shd w:val="clear" w:color="auto" w:fill="FFFFFF"/>
        </w:rPr>
        <w:fldChar w:fldCharType="separate"/>
      </w:r>
      <w:r w:rsidR="00A70FFB" w:rsidRPr="00A70FFB">
        <w:rPr>
          <w:rFonts w:ascii="Times New Roman" w:hAnsi="Times New Roman" w:cs="Times New Roman"/>
          <w:noProof/>
          <w:sz w:val="24"/>
          <w:szCs w:val="24"/>
          <w:shd w:val="clear" w:color="auto" w:fill="FFFFFF"/>
        </w:rPr>
        <w:t>[3]</w:t>
      </w:r>
      <w:r w:rsidR="00A70FFB" w:rsidRPr="00A70FFB">
        <w:rPr>
          <w:rFonts w:ascii="Times New Roman" w:hAnsi="Times New Roman" w:cs="Times New Roman"/>
          <w:b/>
          <w:bCs/>
          <w:sz w:val="24"/>
          <w:szCs w:val="24"/>
          <w:shd w:val="clear" w:color="auto" w:fill="FFFFFF"/>
        </w:rPr>
        <w:fldChar w:fldCharType="end"/>
      </w:r>
      <w:r w:rsidR="00A70FFB" w:rsidRPr="00A70FFB">
        <w:rPr>
          <w:rFonts w:ascii="Times New Roman" w:hAnsi="Times New Roman" w:cs="Times New Roman"/>
          <w:sz w:val="24"/>
          <w:szCs w:val="24"/>
          <w:shd w:val="clear" w:color="auto" w:fill="FFFFFF"/>
        </w:rPr>
        <w:t>, Naphthoquinone from</w:t>
      </w:r>
      <w:r w:rsidR="00A70FFB" w:rsidRPr="00A70FFB">
        <w:rPr>
          <w:rStyle w:val="hlfld-title"/>
          <w:rFonts w:ascii="Times New Roman" w:hAnsi="Times New Roman" w:cs="Times New Roman"/>
          <w:i/>
          <w:iCs/>
          <w:sz w:val="24"/>
          <w:szCs w:val="24"/>
        </w:rPr>
        <w:t xml:space="preserve"> </w:t>
      </w:r>
      <w:proofErr w:type="spellStart"/>
      <w:r w:rsidR="00A70FFB" w:rsidRPr="00A70FFB">
        <w:rPr>
          <w:rStyle w:val="hlfld-title"/>
          <w:rFonts w:ascii="Times New Roman" w:hAnsi="Times New Roman" w:cs="Times New Roman"/>
          <w:i/>
          <w:iCs/>
          <w:sz w:val="24"/>
          <w:szCs w:val="24"/>
        </w:rPr>
        <w:t>Daldinia</w:t>
      </w:r>
      <w:proofErr w:type="spellEnd"/>
      <w:r w:rsidR="00A70FFB" w:rsidRPr="00A70FFB">
        <w:rPr>
          <w:rStyle w:val="hlfld-title"/>
          <w:rFonts w:ascii="Times New Roman" w:hAnsi="Times New Roman" w:cs="Times New Roman"/>
          <w:i/>
          <w:iCs/>
          <w:sz w:val="24"/>
          <w:szCs w:val="24"/>
        </w:rPr>
        <w:t xml:space="preserve"> </w:t>
      </w:r>
      <w:proofErr w:type="spellStart"/>
      <w:r w:rsidR="00A70FFB" w:rsidRPr="00A70FFB">
        <w:rPr>
          <w:rStyle w:val="hlfld-title"/>
          <w:rFonts w:ascii="Times New Roman" w:hAnsi="Times New Roman" w:cs="Times New Roman"/>
          <w:i/>
          <w:iCs/>
          <w:sz w:val="24"/>
          <w:szCs w:val="24"/>
        </w:rPr>
        <w:t>concentrica</w:t>
      </w:r>
      <w:proofErr w:type="spellEnd"/>
      <w:r w:rsidR="00A70FFB" w:rsidRPr="00A70FFB">
        <w:rPr>
          <w:rFonts w:ascii="Times New Roman" w:hAnsi="Times New Roman" w:cs="Times New Roman"/>
          <w:sz w:val="24"/>
          <w:szCs w:val="24"/>
          <w:shd w:val="clear" w:color="auto" w:fill="FFFFFF"/>
        </w:rPr>
        <w:t xml:space="preserve"> </w:t>
      </w:r>
      <w:r w:rsidR="00A70FFB" w:rsidRPr="00A70FFB">
        <w:rPr>
          <w:rFonts w:ascii="Times New Roman" w:hAnsi="Times New Roman" w:cs="Times New Roman"/>
          <w:b/>
          <w:bCs/>
          <w:sz w:val="24"/>
          <w:szCs w:val="24"/>
          <w:shd w:val="clear" w:color="auto" w:fill="FFFFFF"/>
        </w:rPr>
        <w:fldChar w:fldCharType="begin" w:fldLock="1"/>
      </w:r>
      <w:r w:rsidR="00A70FFB" w:rsidRPr="00A70FFB">
        <w:rPr>
          <w:rFonts w:ascii="Times New Roman" w:hAnsi="Times New Roman" w:cs="Times New Roman"/>
          <w:sz w:val="24"/>
          <w:szCs w:val="24"/>
          <w:shd w:val="clear" w:color="auto" w:fill="FFFFFF"/>
        </w:rPr>
        <w:instrText>ADDIN CSL_CITATION {"citationItems":[{"id":"ITEM-1","itemData":{"DOI":"10.1007/s00044-019-02498-z","ISSN":"1554-8120","abstract":"Plasmodium falciparum is the cause of malaria and has become resistant to the drugs used to treat the disease. Therefore, the development for novel compounds with antimalarial activity has become urgent. Plant species, such as naphthoquinone-rich Eleutherine plicata, may provide novel substances that exhibit antimalarial activity and serve as an alternative for the treatment of this disease. From this plant species, ethanol extracts were obtained, fractionated, and the isolated substances eleutherin, and isoleutherin were characterized by nuclear magnetic resonance. There in vitro activity against Plasmodium falciparum was examined using the traditional Microtest method using the extract, fractions, and isolated molecules. Eleutherin and isoleutherin showed the best activity toward the parasite with IC50 values of 10.45 and 8.70 µg/mL, respectively. Characterization of the binding mode of the compounds with a target enzyme and identification of the molecular interactions were revealed via molecular docking results. Eleutherin and isoeleutherin interacted with highly conserved residues from the binding cavity of the cytochrome bc1 complex, a protein found in mitochondria. Therefore, the eleutherin and isoeleutherin naphthoquinones showed antiplasmodial activity with a similar mechanism to that of atovaquone were able to interact with the cytochrome bc1 complex, and showed promise for antimalarial treatments.","author":[{"dropping-particle":"","family":"Vale","given":"Valdicley Vieira","non-dropping-particle":"","parse-names":false,"suffix":""},{"dropping-particle":"","family":"Cruz","given":"Jorddy Neves","non-dropping-particle":"","parse-names":false,"suffix":""},{"dropping-particle":"","family":"Viana","given":"Giselle Maria Rachid","non-dropping-particle":"","parse-names":false,"suffix":""},{"dropping-particle":"","family":"Póvoa","given":"Marinete Marins","non-dropping-particle":"","parse-names":false,"suffix":""},{"dropping-particle":"","family":"Brasil","given":"Davi do Socorro Barros","non-dropping-particle":"","parse-names":false,"suffix":""},{"dropping-particle":"","family":"Dolabela","given":"Maria Fani","non-dropping-particle":"","parse-names":false,"suffix":""}],"container-title":"Medicinal Chemistry Research","id":"ITEM-1","issue":"3","issued":{"date-parts":[["2020"]]},"page":"487-494","title":"Naphthoquinones isolated from Eleutherine plicata herb: in vitro antimalarial activity and molecular modeling to investigate their binding modes","type":"article-journal","volume":"29"},"uris":["http://www.mendeley.com/documents/?uuid=0edb01e1-b7d2-4041-be83-db5f2c05c297"]}],"mendeley":{"formattedCitation":"[4]","plainTextFormattedCitation":"[4]","previouslyFormattedCitation":"[3]"},"properties":{"noteIndex":0},"schema":"https://github.com/citation-style-language/schema/raw/master/csl-citation.json"}</w:instrText>
      </w:r>
      <w:r w:rsidR="00A70FFB" w:rsidRPr="00A70FFB">
        <w:rPr>
          <w:rFonts w:ascii="Times New Roman" w:hAnsi="Times New Roman" w:cs="Times New Roman"/>
          <w:b/>
          <w:bCs/>
          <w:sz w:val="24"/>
          <w:szCs w:val="24"/>
          <w:shd w:val="clear" w:color="auto" w:fill="FFFFFF"/>
        </w:rPr>
        <w:fldChar w:fldCharType="separate"/>
      </w:r>
      <w:r w:rsidR="00A70FFB" w:rsidRPr="00A70FFB">
        <w:rPr>
          <w:rFonts w:ascii="Times New Roman" w:hAnsi="Times New Roman" w:cs="Times New Roman"/>
          <w:noProof/>
          <w:sz w:val="24"/>
          <w:szCs w:val="24"/>
          <w:shd w:val="clear" w:color="auto" w:fill="FFFFFF"/>
        </w:rPr>
        <w:t>[4]</w:t>
      </w:r>
      <w:r w:rsidR="00A70FFB" w:rsidRPr="00A70FFB">
        <w:rPr>
          <w:rFonts w:ascii="Times New Roman" w:hAnsi="Times New Roman" w:cs="Times New Roman"/>
          <w:b/>
          <w:bCs/>
          <w:sz w:val="24"/>
          <w:szCs w:val="24"/>
          <w:shd w:val="clear" w:color="auto" w:fill="FFFFFF"/>
        </w:rPr>
        <w:fldChar w:fldCharType="end"/>
      </w:r>
      <w:r w:rsidR="00A70FFB" w:rsidRPr="00A70FFB">
        <w:rPr>
          <w:rFonts w:ascii="Times New Roman" w:hAnsi="Times New Roman" w:cs="Times New Roman"/>
          <w:sz w:val="24"/>
          <w:szCs w:val="24"/>
          <w:shd w:val="clear" w:color="auto" w:fill="FFFFFF"/>
        </w:rPr>
        <w:t xml:space="preserve">, </w:t>
      </w:r>
      <w:proofErr w:type="spellStart"/>
      <w:r w:rsidR="00A70FFB" w:rsidRPr="00A70FFB">
        <w:rPr>
          <w:rFonts w:ascii="Times New Roman" w:hAnsi="Times New Roman" w:cs="Times New Roman"/>
          <w:sz w:val="24"/>
          <w:szCs w:val="24"/>
          <w:shd w:val="clear" w:color="auto" w:fill="FFFFFF"/>
        </w:rPr>
        <w:t>Kozupeptins</w:t>
      </w:r>
      <w:proofErr w:type="spellEnd"/>
      <w:r w:rsidR="00A70FFB" w:rsidRPr="00A70FFB">
        <w:rPr>
          <w:rFonts w:ascii="Times New Roman" w:hAnsi="Times New Roman" w:cs="Times New Roman"/>
          <w:sz w:val="24"/>
          <w:szCs w:val="24"/>
          <w:shd w:val="clear" w:color="auto" w:fill="FFFFFF"/>
        </w:rPr>
        <w:t xml:space="preserve"> A and B  from </w:t>
      </w:r>
      <w:proofErr w:type="spellStart"/>
      <w:r w:rsidR="00A70FFB" w:rsidRPr="00A70FFB">
        <w:rPr>
          <w:rFonts w:ascii="Times New Roman" w:hAnsi="Times New Roman" w:cs="Times New Roman"/>
          <w:i/>
          <w:iCs/>
          <w:sz w:val="24"/>
          <w:szCs w:val="24"/>
          <w:shd w:val="clear" w:color="auto" w:fill="FFFFFF"/>
        </w:rPr>
        <w:t>Paracamarosporium</w:t>
      </w:r>
      <w:proofErr w:type="spellEnd"/>
      <w:r w:rsidR="00A70FFB" w:rsidRPr="00A70FFB">
        <w:rPr>
          <w:rFonts w:ascii="Times New Roman" w:hAnsi="Times New Roman" w:cs="Times New Roman"/>
          <w:i/>
          <w:iCs/>
          <w:sz w:val="24"/>
          <w:szCs w:val="24"/>
          <w:shd w:val="clear" w:color="auto" w:fill="FFFFFF"/>
        </w:rPr>
        <w:t> sp</w:t>
      </w:r>
      <w:r w:rsidR="00A70FFB" w:rsidRPr="00A70FFB">
        <w:rPr>
          <w:rFonts w:ascii="Times New Roman" w:hAnsi="Times New Roman" w:cs="Times New Roman"/>
          <w:sz w:val="24"/>
          <w:szCs w:val="24"/>
          <w:shd w:val="clear" w:color="auto" w:fill="FFFFFF"/>
        </w:rPr>
        <w:t>.</w:t>
      </w:r>
      <w:r w:rsidR="00A70FFB" w:rsidRPr="00A70FFB">
        <w:rPr>
          <w:rFonts w:ascii="Times New Roman" w:hAnsi="Times New Roman" w:cs="Times New Roman"/>
          <w:b/>
          <w:bCs/>
          <w:sz w:val="24"/>
          <w:szCs w:val="24"/>
          <w:shd w:val="clear" w:color="auto" w:fill="FFFFFF"/>
        </w:rPr>
        <w:fldChar w:fldCharType="begin" w:fldLock="1"/>
      </w:r>
      <w:r w:rsidR="00A70FFB" w:rsidRPr="00A70FFB">
        <w:rPr>
          <w:rFonts w:ascii="Times New Roman" w:hAnsi="Times New Roman" w:cs="Times New Roman"/>
          <w:sz w:val="24"/>
          <w:szCs w:val="24"/>
          <w:shd w:val="clear" w:color="auto" w:fill="FFFFFF"/>
        </w:rPr>
        <w:instrText>ADDIN CSL_CITATION {"citationItems":[{"id":"ITEM-1","itemData":{"DOI":"10.1021/acs.orglett.9b00483","ISSN":"1523-7060","author":[{"dropping-particle":"","family":"Hayashi","given":"Yumi","non-dropping-particle":"","parse-names":false,"suffix":""},{"dropping-particle":"","family":"Fukasawa","given":"Wataru","non-dropping-particle":"","parse-names":false,"suffix":""},{"dropping-particle":"","family":"Hirose","given":"Tomoyasu","non-dropping-particle":"","parse-names":false,"suffix":""},{"dropping-particle":"","family":"Iwatsuki","given":"Masato","non-dropping-particle":"","parse-names":false,"suffix":""},{"dropping-particle":"","family":"Hokari","given":"Rei","non-dropping-particle":"","parse-names":false,"suffix":""},{"dropping-particle":"","family":"Ishiyama","given":"Aki","non-dropping-particle":"","parse-names":false,"suffix":""},{"dropping-particle":"","family":"Kanaida","given":"Masahiro","non-dropping-particle":"","parse-names":false,"suffix":""},{"dropping-particle":"","family":"Nonaka","given":"Kenichi","non-dropping-particle":"","parse-names":false,"suffix":""},{"dropping-particle":"","family":"Také","given":"Akira","non-dropping-particle":"","parse-names":false,"suffix":""},{"dropping-particle":"","family":"Otoguro","given":"Kazuhiko","non-dropping-particle":"","parse-names":false,"suffix":""},{"dropping-particle":"","family":"O̅mura","given":"Satoshi","non-dropping-particle":"","parse-names":false,"suffix":""},{"dropping-particle":"","family":"Shiomi","given":"Kazuro","non-dropping-particle":"","parse-names":false,"suffix":""},{"dropping-particle":"","family":"Sunazuka","given":"Toshiaki","non-dropping-particle":"","parse-names":false,"suffix":""}],"container-title":"Organic Letters","id":"ITEM-1","issue":"7","issued":{"date-parts":[["2019","4","5"]]},"note":"doi: 10.1021/acs.orglett.9b00483","page":"2180-2184","publisher":"American Chemical Society","title":"Kozupeptins, Antimalarial Agents Produced by Paracamarosporium Species: Isolation, Structural Elucidation, Total Synthesis, and Bioactivity","type":"article-journal","volume":"21"},"uris":["http://www.mendeley.com/documents/?uuid=aeaa1297-610d-461a-af05-696ddda78fe8"]}],"mendeley":{"formattedCitation":"[5]","plainTextFormattedCitation":"[5]","previouslyFormattedCitation":"[4]"},"properties":{"noteIndex":0},"schema":"https://github.com/citation-style-language/schema/raw/master/csl-citation.json"}</w:instrText>
      </w:r>
      <w:r w:rsidR="00A70FFB" w:rsidRPr="00A70FFB">
        <w:rPr>
          <w:rFonts w:ascii="Times New Roman" w:hAnsi="Times New Roman" w:cs="Times New Roman"/>
          <w:b/>
          <w:bCs/>
          <w:sz w:val="24"/>
          <w:szCs w:val="24"/>
          <w:shd w:val="clear" w:color="auto" w:fill="FFFFFF"/>
        </w:rPr>
        <w:fldChar w:fldCharType="separate"/>
      </w:r>
      <w:r w:rsidR="00A70FFB" w:rsidRPr="00A70FFB">
        <w:rPr>
          <w:rFonts w:ascii="Times New Roman" w:hAnsi="Times New Roman" w:cs="Times New Roman"/>
          <w:noProof/>
          <w:sz w:val="24"/>
          <w:szCs w:val="24"/>
          <w:shd w:val="clear" w:color="auto" w:fill="FFFFFF"/>
        </w:rPr>
        <w:t>[5]</w:t>
      </w:r>
      <w:r w:rsidR="00A70FFB" w:rsidRPr="00A70FFB">
        <w:rPr>
          <w:rFonts w:ascii="Times New Roman" w:hAnsi="Times New Roman" w:cs="Times New Roman"/>
          <w:b/>
          <w:bCs/>
          <w:sz w:val="24"/>
          <w:szCs w:val="24"/>
          <w:shd w:val="clear" w:color="auto" w:fill="FFFFFF"/>
        </w:rPr>
        <w:fldChar w:fldCharType="end"/>
      </w:r>
      <w:r w:rsidR="00A70FFB" w:rsidRPr="00A70FFB">
        <w:rPr>
          <w:rFonts w:ascii="Times New Roman" w:hAnsi="Times New Roman" w:cs="Times New Roman"/>
          <w:sz w:val="24"/>
          <w:szCs w:val="24"/>
          <w:shd w:val="clear" w:color="auto" w:fill="FFFFFF"/>
        </w:rPr>
        <w:t xml:space="preserve">, </w:t>
      </w:r>
      <w:proofErr w:type="spellStart"/>
      <w:r w:rsidR="00A70FFB" w:rsidRPr="00A70FFB">
        <w:rPr>
          <w:rFonts w:ascii="Times New Roman" w:hAnsi="Times New Roman" w:cs="Times New Roman"/>
          <w:sz w:val="24"/>
          <w:szCs w:val="24"/>
          <w:shd w:val="clear" w:color="auto" w:fill="FFFFFF"/>
        </w:rPr>
        <w:t>Diterpenoids</w:t>
      </w:r>
      <w:proofErr w:type="spellEnd"/>
      <w:r w:rsidR="00A70FFB" w:rsidRPr="00A70FFB">
        <w:rPr>
          <w:rFonts w:ascii="Times New Roman" w:hAnsi="Times New Roman" w:cs="Times New Roman"/>
          <w:sz w:val="24"/>
          <w:szCs w:val="24"/>
          <w:shd w:val="clear" w:color="auto" w:fill="FFFFFF"/>
        </w:rPr>
        <w:t xml:space="preserve"> from</w:t>
      </w:r>
      <w:r w:rsidR="00A70FFB" w:rsidRPr="00A70FFB">
        <w:rPr>
          <w:rFonts w:ascii="Times New Roman" w:hAnsi="Times New Roman" w:cs="Times New Roman"/>
          <w:i/>
          <w:iCs/>
          <w:sz w:val="24"/>
          <w:szCs w:val="24"/>
        </w:rPr>
        <w:t xml:space="preserve"> </w:t>
      </w:r>
      <w:proofErr w:type="spellStart"/>
      <w:r w:rsidR="00A70FFB" w:rsidRPr="00A70FFB">
        <w:rPr>
          <w:rFonts w:ascii="Times New Roman" w:hAnsi="Times New Roman" w:cs="Times New Roman"/>
          <w:i/>
          <w:iCs/>
          <w:sz w:val="24"/>
          <w:szCs w:val="24"/>
        </w:rPr>
        <w:t>Andrographis</w:t>
      </w:r>
      <w:proofErr w:type="spellEnd"/>
      <w:r w:rsidR="00A70FFB" w:rsidRPr="00A70FFB">
        <w:rPr>
          <w:rFonts w:ascii="Times New Roman" w:hAnsi="Times New Roman" w:cs="Times New Roman"/>
          <w:i/>
          <w:iCs/>
          <w:sz w:val="24"/>
          <w:szCs w:val="24"/>
        </w:rPr>
        <w:t xml:space="preserve"> </w:t>
      </w:r>
      <w:proofErr w:type="spellStart"/>
      <w:r w:rsidR="00A70FFB" w:rsidRPr="00A70FFB">
        <w:rPr>
          <w:rFonts w:ascii="Times New Roman" w:hAnsi="Times New Roman" w:cs="Times New Roman"/>
          <w:i/>
          <w:iCs/>
          <w:sz w:val="24"/>
          <w:szCs w:val="24"/>
        </w:rPr>
        <w:t>paniculata</w:t>
      </w:r>
      <w:proofErr w:type="spellEnd"/>
      <w:r w:rsidR="00A70FFB" w:rsidRPr="00A70FFB">
        <w:rPr>
          <w:rFonts w:ascii="Times New Roman" w:hAnsi="Times New Roman" w:cs="Times New Roman"/>
          <w:sz w:val="24"/>
          <w:szCs w:val="24"/>
          <w:shd w:val="clear" w:color="auto" w:fill="FFFFFF"/>
        </w:rPr>
        <w:t xml:space="preserve"> </w:t>
      </w:r>
      <w:r w:rsidR="00A70FFB" w:rsidRPr="00A70FFB">
        <w:rPr>
          <w:rFonts w:ascii="Times New Roman" w:hAnsi="Times New Roman" w:cs="Times New Roman"/>
          <w:b/>
          <w:bCs/>
          <w:sz w:val="24"/>
          <w:szCs w:val="24"/>
          <w:shd w:val="clear" w:color="auto" w:fill="FFFFFF"/>
        </w:rPr>
        <w:fldChar w:fldCharType="begin" w:fldLock="1"/>
      </w:r>
      <w:r w:rsidR="00A70FFB" w:rsidRPr="00A70FFB">
        <w:rPr>
          <w:rFonts w:ascii="Times New Roman" w:hAnsi="Times New Roman" w:cs="Times New Roman"/>
          <w:sz w:val="24"/>
          <w:szCs w:val="24"/>
          <w:shd w:val="clear" w:color="auto" w:fill="FFFFFF"/>
        </w:rPr>
        <w:instrText>ADDIN CSL_CITATION {"citationItems":[{"id":"ITEM-1","itemData":{"DOI":"https://doi.org/10.1016/j.bioorg.2020.103925","ISSN":"0045-2068","abstract":"Vitex rotundifolia is an important medicinal plant frequently employed in traditional medicines for the treatment of various ailments. Although this plant species has been under exploration for its constituents by various research groups including our own group, no reports were found regarding the antimalarial potential of this plant or of its purified phytochemicals. Phytochemical investigation of this plant yielded three new (1–3) and five known (4–8) diterpenoids. These compounds were purified by modern chromatographic techniques and their structures were determined by advanced spectroscopic techniques such as nuclear magnetic resonance (NMR) and high-resolution mass spectrometry (HRMS). The in vitro antiplasmodial activities were encouraging, as compounds 2, 6, and 8 were found to have significant IC50 values of 1.2, 1.3 and 11.0 µM, respectively against Plasmodium falciparum.","author":[{"dropping-particle":"","family":"Kim","given":"You Ah","non-dropping-particle":"","parse-names":false,"suffix":""},{"dropping-particle":"","family":"Latif","given":"Abdul","non-dropping-particle":"","parse-names":false,"suffix":""},{"dropping-particle":"","family":"Kong","given":"Chang-Suk","non-dropping-particle":"","parse-names":false,"suffix":""},{"dropping-particle":"","family":"Seo","given":"Youngwan","non-dropping-particle":"","parse-names":false,"suffix":""},{"dropping-particle":"","family":"Dalal","given":"Seema R","non-dropping-particle":"","parse-names":false,"suffix":""},{"dropping-particle":"","family":"Cassera","given":"Maria B","non-dropping-particle":"","parse-names":false,"suffix":""},{"dropping-particle":"","family":"Kingston","given":"David G I","non-dropping-particle":"","parse-names":false,"suffix":""}],"container-title":"Bioorganic Chemistry","id":"ITEM-1","issued":{"date-parts":[["2020"]]},"page":"103925","title":"Antimalarial diterpenoids from Vitex rotundifolia: Isolation, structure elucidation, and in vitro antiplasmodial activity","type":"article-journal","volume":"100"},"uris":["http://www.mendeley.com/documents/?uuid=a009132c-c92f-45e3-bdc5-1471807f73ff"]}],"mendeley":{"formattedCitation":"[6]","plainTextFormattedCitation":"[6]","previouslyFormattedCitation":"[5]"},"properties":{"noteIndex":0},"schema":"https://github.com/citation-style-language/schema/raw/master/csl-citation.json"}</w:instrText>
      </w:r>
      <w:r w:rsidR="00A70FFB" w:rsidRPr="00A70FFB">
        <w:rPr>
          <w:rFonts w:ascii="Times New Roman" w:hAnsi="Times New Roman" w:cs="Times New Roman"/>
          <w:b/>
          <w:bCs/>
          <w:sz w:val="24"/>
          <w:szCs w:val="24"/>
          <w:shd w:val="clear" w:color="auto" w:fill="FFFFFF"/>
        </w:rPr>
        <w:fldChar w:fldCharType="separate"/>
      </w:r>
      <w:r w:rsidR="00A70FFB" w:rsidRPr="00A70FFB">
        <w:rPr>
          <w:rFonts w:ascii="Times New Roman" w:hAnsi="Times New Roman" w:cs="Times New Roman"/>
          <w:noProof/>
          <w:sz w:val="24"/>
          <w:szCs w:val="24"/>
          <w:shd w:val="clear" w:color="auto" w:fill="FFFFFF"/>
        </w:rPr>
        <w:t>[6]</w:t>
      </w:r>
      <w:r w:rsidR="00A70FFB" w:rsidRPr="00A70FFB">
        <w:rPr>
          <w:rFonts w:ascii="Times New Roman" w:hAnsi="Times New Roman" w:cs="Times New Roman"/>
          <w:b/>
          <w:bCs/>
          <w:sz w:val="24"/>
          <w:szCs w:val="24"/>
          <w:shd w:val="clear" w:color="auto" w:fill="FFFFFF"/>
        </w:rPr>
        <w:fldChar w:fldCharType="end"/>
      </w:r>
      <w:r w:rsidR="00A70FFB" w:rsidRPr="00A70FFB">
        <w:rPr>
          <w:rFonts w:ascii="Times New Roman" w:hAnsi="Times New Roman" w:cs="Times New Roman"/>
          <w:sz w:val="24"/>
          <w:szCs w:val="24"/>
          <w:shd w:val="clear" w:color="auto" w:fill="FFFFFF"/>
        </w:rPr>
        <w:t xml:space="preserve">, </w:t>
      </w:r>
      <w:proofErr w:type="spellStart"/>
      <w:r w:rsidR="00A70FFB" w:rsidRPr="00A70FFB">
        <w:rPr>
          <w:rFonts w:ascii="Times New Roman" w:hAnsi="Times New Roman" w:cs="Times New Roman"/>
          <w:sz w:val="24"/>
          <w:szCs w:val="24"/>
          <w:shd w:val="clear" w:color="auto" w:fill="FFFFFF"/>
        </w:rPr>
        <w:t>Strasseriolides</w:t>
      </w:r>
      <w:proofErr w:type="spellEnd"/>
      <w:r w:rsidR="00A70FFB" w:rsidRPr="00A70FFB">
        <w:rPr>
          <w:rFonts w:ascii="Times New Roman" w:hAnsi="Times New Roman" w:cs="Times New Roman"/>
          <w:sz w:val="24"/>
          <w:szCs w:val="24"/>
          <w:shd w:val="clear" w:color="auto" w:fill="FFFFFF"/>
        </w:rPr>
        <w:t xml:space="preserve"> </w:t>
      </w:r>
      <w:r w:rsidR="00A70FFB" w:rsidRPr="00A70FFB">
        <w:rPr>
          <w:rStyle w:val="hlfld-title"/>
          <w:rFonts w:ascii="Times New Roman" w:hAnsi="Times New Roman" w:cs="Times New Roman"/>
          <w:sz w:val="24"/>
          <w:szCs w:val="24"/>
        </w:rPr>
        <w:t>from the Fungus </w:t>
      </w:r>
      <w:proofErr w:type="spellStart"/>
      <w:r w:rsidR="00A70FFB" w:rsidRPr="00A70FFB">
        <w:rPr>
          <w:rStyle w:val="hlfld-title"/>
          <w:rFonts w:ascii="Times New Roman" w:hAnsi="Times New Roman" w:cs="Times New Roman"/>
          <w:i/>
          <w:iCs/>
          <w:sz w:val="24"/>
          <w:szCs w:val="24"/>
        </w:rPr>
        <w:t>Strasseria</w:t>
      </w:r>
      <w:proofErr w:type="spellEnd"/>
      <w:r w:rsidR="00A70FFB" w:rsidRPr="00A70FFB">
        <w:rPr>
          <w:rStyle w:val="hlfld-title"/>
          <w:rFonts w:ascii="Times New Roman" w:hAnsi="Times New Roman" w:cs="Times New Roman"/>
          <w:i/>
          <w:iCs/>
          <w:sz w:val="24"/>
          <w:szCs w:val="24"/>
        </w:rPr>
        <w:t xml:space="preserve"> </w:t>
      </w:r>
      <w:proofErr w:type="spellStart"/>
      <w:r w:rsidR="00A70FFB" w:rsidRPr="00A70FFB">
        <w:rPr>
          <w:rStyle w:val="hlfld-title"/>
          <w:rFonts w:ascii="Times New Roman" w:hAnsi="Times New Roman" w:cs="Times New Roman"/>
          <w:i/>
          <w:iCs/>
          <w:sz w:val="24"/>
          <w:szCs w:val="24"/>
        </w:rPr>
        <w:t>geniculata</w:t>
      </w:r>
      <w:proofErr w:type="spellEnd"/>
      <w:r w:rsidR="00A70FFB" w:rsidRPr="00A70FFB">
        <w:rPr>
          <w:rStyle w:val="hlfld-title"/>
          <w:rFonts w:ascii="Times New Roman" w:hAnsi="Times New Roman" w:cs="Times New Roman"/>
          <w:sz w:val="24"/>
          <w:szCs w:val="24"/>
        </w:rPr>
        <w:t> </w:t>
      </w:r>
      <w:r w:rsidR="00A70FFB" w:rsidRPr="00A70FFB">
        <w:rPr>
          <w:rFonts w:ascii="Times New Roman" w:hAnsi="Times New Roman" w:cs="Times New Roman"/>
          <w:b/>
          <w:bCs/>
          <w:sz w:val="24"/>
          <w:szCs w:val="24"/>
          <w:shd w:val="clear" w:color="auto" w:fill="FFFFFF"/>
        </w:rPr>
        <w:fldChar w:fldCharType="begin" w:fldLock="1"/>
      </w:r>
      <w:r w:rsidR="00A70FFB" w:rsidRPr="00A70FFB">
        <w:rPr>
          <w:rFonts w:ascii="Times New Roman" w:hAnsi="Times New Roman" w:cs="Times New Roman"/>
          <w:sz w:val="24"/>
          <w:szCs w:val="24"/>
          <w:shd w:val="clear" w:color="auto" w:fill="FFFFFF"/>
        </w:rPr>
        <w:instrText>ADDIN CSL_CITATION {"citationItems":[{"id":"ITEM-1","itemData":{"DOI":"10.1021/acs.orglett.0c01665","ISSN":"1523-7060","author":[{"dropping-particle":"","family":"Annang","given":"Frederick","non-dropping-particle":"","parse-names":false,"suffix":""},{"dropping-particle":"","family":"Pérez-Moreno","given":"Guiomar","non-dropping-particle":"","parse-names":false,"suffix":""},{"dropping-particle":"","family":"González-Menéndez","given":"Víctor","non-dropping-particle":"","parse-names":false,"suffix":""},{"dropping-particle":"","family":"Lacret","given":"Rodney","non-dropping-particle":"","parse-names":false,"suffix":""},{"dropping-particle":"","family":"Pérez-Victoria","given":"Ignacio","non-dropping-particle":"","parse-names":false,"suffix":""},{"dropping-particle":"","family":"Martín","given":"Jesús","non-dropping-particle":"","parse-names":false,"suffix":""},{"dropping-particle":"","family":"Cantizani","given":"Juan","non-dropping-particle":"","parse-names":false,"suffix":""},{"dropping-particle":"","family":"Pedro","given":"Nuria","non-dropping-particle":"de","parse-names":false,"suffix":""},{"dropping-particle":"","family":"Choquesillo-Lazarte","given":"Duane","non-dropping-particle":"","parse-names":false,"suffix":""},{"dropping-particle":"","family":"Ruiz-Pérez","given":"Luis M","non-dropping-particle":"","parse-names":false,"suffix":""},{"dropping-particle":"","family":"González-Pacanowska","given":"Dolores","non-dropping-particle":"","parse-names":false,"suffix":""},{"dropping-particle":"","family":"Genilloud","given":"Olga","non-dropping-particle":"","parse-names":false,"suffix":""},{"dropping-particle":"","family":"Vicente","given":"Francisca","non-dropping-particle":"","parse-names":false,"suffix":""},{"dropping-particle":"","family":"Reyes","given":"Fernando","non-dropping-particle":"","parse-names":false,"suffix":""}],"container-title":"Organic Letters","id":"ITEM-1","issue":"17","issued":{"date-parts":[["2020","9","4"]]},"note":"doi: 10.1021/acs.orglett.0c01665","page":"6709-6713","publisher":"American Chemical Society","title":"Strasseriolides A–D, A Family of Antiplasmodial Macrolides Isolated from the Fungus Strasseria geniculata CF-247251","type":"article-journal","volume":"22"},"uris":["http://www.mendeley.com/documents/?uuid=5ed684b8-b23f-49d0-a125-aa2c8d711ca2"]}],"mendeley":{"formattedCitation":"[7]","plainTextFormattedCitation":"[7]","previouslyFormattedCitation":"[6]"},"properties":{"noteIndex":0},"schema":"https://github.com/citation-style-language/schema/raw/master/csl-citation.json"}</w:instrText>
      </w:r>
      <w:r w:rsidR="00A70FFB" w:rsidRPr="00A70FFB">
        <w:rPr>
          <w:rFonts w:ascii="Times New Roman" w:hAnsi="Times New Roman" w:cs="Times New Roman"/>
          <w:b/>
          <w:bCs/>
          <w:sz w:val="24"/>
          <w:szCs w:val="24"/>
          <w:shd w:val="clear" w:color="auto" w:fill="FFFFFF"/>
        </w:rPr>
        <w:fldChar w:fldCharType="separate"/>
      </w:r>
      <w:r w:rsidR="00A70FFB" w:rsidRPr="00A70FFB">
        <w:rPr>
          <w:rFonts w:ascii="Times New Roman" w:hAnsi="Times New Roman" w:cs="Times New Roman"/>
          <w:noProof/>
          <w:sz w:val="24"/>
          <w:szCs w:val="24"/>
          <w:shd w:val="clear" w:color="auto" w:fill="FFFFFF"/>
        </w:rPr>
        <w:t>[7]</w:t>
      </w:r>
      <w:r w:rsidR="00A70FFB" w:rsidRPr="00A70FFB">
        <w:rPr>
          <w:rFonts w:ascii="Times New Roman" w:hAnsi="Times New Roman" w:cs="Times New Roman"/>
          <w:b/>
          <w:bCs/>
          <w:sz w:val="24"/>
          <w:szCs w:val="24"/>
          <w:shd w:val="clear" w:color="auto" w:fill="FFFFFF"/>
        </w:rPr>
        <w:fldChar w:fldCharType="end"/>
      </w:r>
      <w:r w:rsidR="00A70FFB" w:rsidRPr="00A70FFB">
        <w:rPr>
          <w:rFonts w:ascii="Times New Roman" w:hAnsi="Times New Roman" w:cs="Times New Roman"/>
          <w:sz w:val="24"/>
          <w:szCs w:val="24"/>
          <w:shd w:val="clear" w:color="auto" w:fill="FFFFFF"/>
        </w:rPr>
        <w:t xml:space="preserve">, </w:t>
      </w:r>
      <w:proofErr w:type="spellStart"/>
      <w:r w:rsidR="00A70FFB" w:rsidRPr="00A70FFB">
        <w:rPr>
          <w:rFonts w:ascii="Times New Roman" w:hAnsi="Times New Roman" w:cs="Times New Roman"/>
          <w:sz w:val="24"/>
          <w:szCs w:val="24"/>
          <w:shd w:val="clear" w:color="auto" w:fill="FFFFFF"/>
        </w:rPr>
        <w:t>Norcaesalpin</w:t>
      </w:r>
      <w:proofErr w:type="spellEnd"/>
      <w:r w:rsidR="00A70FFB" w:rsidRPr="00A70FFB">
        <w:rPr>
          <w:rFonts w:ascii="Times New Roman" w:hAnsi="Times New Roman" w:cs="Times New Roman"/>
          <w:sz w:val="24"/>
          <w:szCs w:val="24"/>
          <w:shd w:val="clear" w:color="auto" w:fill="FFFFFF"/>
        </w:rPr>
        <w:t xml:space="preserve"> D from</w:t>
      </w:r>
      <w:r w:rsidR="00A70FFB" w:rsidRPr="00A70FFB">
        <w:rPr>
          <w:rFonts w:ascii="Times New Roman" w:hAnsi="Times New Roman" w:cs="Times New Roman"/>
          <w:i/>
          <w:iCs/>
          <w:sz w:val="24"/>
          <w:szCs w:val="24"/>
          <w:shd w:val="clear" w:color="auto" w:fill="FCFCFC"/>
        </w:rPr>
        <w:t xml:space="preserve"> </w:t>
      </w:r>
      <w:proofErr w:type="spellStart"/>
      <w:r w:rsidR="00A70FFB" w:rsidRPr="00A70FFB">
        <w:rPr>
          <w:rFonts w:ascii="Times New Roman" w:hAnsi="Times New Roman" w:cs="Times New Roman"/>
          <w:i/>
          <w:iCs/>
          <w:sz w:val="24"/>
          <w:szCs w:val="24"/>
          <w:shd w:val="clear" w:color="auto" w:fill="FCFCFC"/>
        </w:rPr>
        <w:t>Caesalpinia</w:t>
      </w:r>
      <w:proofErr w:type="spellEnd"/>
      <w:r w:rsidR="00A70FFB" w:rsidRPr="00A70FFB">
        <w:rPr>
          <w:rFonts w:ascii="Times New Roman" w:hAnsi="Times New Roman" w:cs="Times New Roman"/>
          <w:i/>
          <w:iCs/>
          <w:sz w:val="24"/>
          <w:szCs w:val="24"/>
          <w:shd w:val="clear" w:color="auto" w:fill="FCFCFC"/>
        </w:rPr>
        <w:t xml:space="preserve"> </w:t>
      </w:r>
      <w:proofErr w:type="spellStart"/>
      <w:r w:rsidR="00A70FFB" w:rsidRPr="00A70FFB">
        <w:rPr>
          <w:rFonts w:ascii="Times New Roman" w:hAnsi="Times New Roman" w:cs="Times New Roman"/>
          <w:i/>
          <w:iCs/>
          <w:sz w:val="24"/>
          <w:szCs w:val="24"/>
          <w:shd w:val="clear" w:color="auto" w:fill="FCFCFC"/>
        </w:rPr>
        <w:t>bonducella</w:t>
      </w:r>
      <w:proofErr w:type="spellEnd"/>
      <w:r w:rsidR="00A70FFB" w:rsidRPr="00A70FFB">
        <w:rPr>
          <w:rFonts w:ascii="Times New Roman" w:hAnsi="Times New Roman" w:cs="Times New Roman"/>
          <w:sz w:val="24"/>
          <w:szCs w:val="24"/>
          <w:shd w:val="clear" w:color="auto" w:fill="FFFFFF"/>
        </w:rPr>
        <w:t xml:space="preserve"> </w:t>
      </w:r>
      <w:r w:rsidR="00A70FFB" w:rsidRPr="00A70FFB">
        <w:rPr>
          <w:rFonts w:ascii="Times New Roman" w:hAnsi="Times New Roman" w:cs="Times New Roman"/>
          <w:b/>
          <w:bCs/>
          <w:sz w:val="24"/>
          <w:szCs w:val="24"/>
          <w:shd w:val="clear" w:color="auto" w:fill="FFFFFF"/>
        </w:rPr>
        <w:fldChar w:fldCharType="begin" w:fldLock="1"/>
      </w:r>
      <w:r w:rsidR="00A70FFB" w:rsidRPr="00A70FFB">
        <w:rPr>
          <w:rFonts w:ascii="Times New Roman" w:hAnsi="Times New Roman" w:cs="Times New Roman"/>
          <w:sz w:val="24"/>
          <w:szCs w:val="24"/>
          <w:shd w:val="clear" w:color="auto" w:fill="FFFFFF"/>
        </w:rPr>
        <w:instrText>ADDIN CSL_CITATION {"citationItems":[{"id":"ITEM-1","itemData":{"DOI":"10.1186/s12906-017-1673-8","ISSN":"14726882","PMID":"28340622","abstract":"Background: Malaria is an old life-threatening parasitic disease that is still affecting many people, mainly children living in sub-Saharan Africa. Availability of effective antimalarial drugs played a significant role in the treatment and control of malaria. However, recent information on the emergence of P. falciparum parasites resistant to one of the artemisinin-based combination therapies suggests the need for discovery of new drug molecules. Therefore, this study aimed to evaluate the antiplasmodial activity of extracts, fractions and isolated compound from medicinal plants traditionally used in the treatment of malaria in Tanzania. Methods: Dry powdered plant materials were extracted by cold macerations using different solvents. Norcaesalpin D was isolated by column chromatography from dichloromethane root extract of Caesalpinia bonducella and its structure was assigned based on the spectral data. Crude extracts, fractions and isolated compound were evaluated for antiplasmodial activity against chloroquine-sensitive P. falciparum (3D7), chloroquine-resistant P. falciparum (Dd2, K1) and artemisinin-resistant P. falciparum (IPC 5202 Battambang, IPC 4912 Mondolkiri) strains using the parasite lactate dehydrogenase assay. Results: The results indicated that extracts of Erythrina schliebenii, Holarrhena pubescens, Dissotis melleri and C. bonducella exhibited antiplasmodial activity against Dd2 parasites. Ethanolic root extract of E. schliebenii had an IC50 of 1.87 μg/mL while methanolic and ethanolic root extracts of H. pubescens exhibited an IC50 = 2.05 μg/mL and IC50 = 2.43 μg/mL, respectively. Fractions from H. pubescens and C. bonducella roots were found to be highly active against K1, Dd2 and artemisinin-resistant parasites. Norcaesalpin D from C. bonducella root extract was active with IC50 of 0.98, 1.85 and 2.13 μg/mL against 3D7, Dd2 and IPC 4912-Mondolkiri parasites, respectively. Conclusions: Antiplasmodial activity of norcaesalpin D and extracts of E. schliebenii, H. pubescens, D. melleri and C. bonducella reported in this study requires further attention for the discovery of antimalarial lead compounds for future drug development.","author":[{"dropping-particle":"","family":"Nondo","given":"Ramadhani Selemani Omari","non-dropping-particle":"","parse-names":false,"suffix":""},{"dropping-particle":"","family":"Moshi","given":"Mainen Julius","non-dropping-particle":"","parse-names":false,"suffix":""},{"dropping-particle":"","family":"Erasto","given":"Paul","non-dropping-particle":"","parse-names":false,"suffix":""},{"dropping-particle":"","family":"Masimba","given":"Pax Jessey","non-dropping-particle":"","parse-names":false,"suffix":""},{"dropping-particle":"","family":"Machumi","given":"Francis","non-dropping-particle":"","parse-names":false,"suffix":""},{"dropping-particle":"","family":"Kidukuli","given":"Abdul Waziri","non-dropping-particle":"","parse-names":false,"suffix":""},{"dropping-particle":"","family":"Heydenreich","given":"Matthias","non-dropping-particle":"","parse-names":false,"suffix":""},{"dropping-particle":"","family":"Zofou","given":"Denis","non-dropping-particle":"","parse-names":false,"suffix":""}],"container-title":"BMC Complementary and Alternative Medicine","id":"ITEM-1","issue":"1","issued":{"date-parts":[["2017"]]},"page":"1-8","publisher":"BMC Complementary and Alternative Medicine","title":"Anti-plasmodial activity of Norcaesalpin D and extracts of four medicinal plants used traditionally for treatment of malaria","type":"article-journal","volume":"17"},"uris":["http://www.mendeley.com/documents/?uuid=28449bec-03ab-4e87-9f62-480beb05a12f"]}],"mendeley":{"formattedCitation":"[8]","plainTextFormattedCitation":"[8]","previouslyFormattedCitation":"[7]"},"properties":{"noteIndex":0},"schema":"https://github.com/citation-style-language/schema/raw/master/csl-citation.json"}</w:instrText>
      </w:r>
      <w:r w:rsidR="00A70FFB" w:rsidRPr="00A70FFB">
        <w:rPr>
          <w:rFonts w:ascii="Times New Roman" w:hAnsi="Times New Roman" w:cs="Times New Roman"/>
          <w:b/>
          <w:bCs/>
          <w:sz w:val="24"/>
          <w:szCs w:val="24"/>
          <w:shd w:val="clear" w:color="auto" w:fill="FFFFFF"/>
        </w:rPr>
        <w:fldChar w:fldCharType="separate"/>
      </w:r>
      <w:r w:rsidR="00A70FFB" w:rsidRPr="00A70FFB">
        <w:rPr>
          <w:rFonts w:ascii="Times New Roman" w:hAnsi="Times New Roman" w:cs="Times New Roman"/>
          <w:noProof/>
          <w:sz w:val="24"/>
          <w:szCs w:val="24"/>
          <w:shd w:val="clear" w:color="auto" w:fill="FFFFFF"/>
        </w:rPr>
        <w:t>[8]</w:t>
      </w:r>
      <w:r w:rsidR="00A70FFB" w:rsidRPr="00A70FFB">
        <w:rPr>
          <w:rFonts w:ascii="Times New Roman" w:hAnsi="Times New Roman" w:cs="Times New Roman"/>
          <w:b/>
          <w:bCs/>
          <w:sz w:val="24"/>
          <w:szCs w:val="24"/>
          <w:shd w:val="clear" w:color="auto" w:fill="FFFFFF"/>
        </w:rPr>
        <w:fldChar w:fldCharType="end"/>
      </w:r>
      <w:r w:rsidR="00A70FFB" w:rsidRPr="00A70FFB">
        <w:rPr>
          <w:rFonts w:ascii="Times New Roman" w:hAnsi="Times New Roman" w:cs="Times New Roman"/>
          <w:sz w:val="24"/>
          <w:szCs w:val="24"/>
          <w:shd w:val="clear" w:color="auto" w:fill="FFFFFF"/>
        </w:rPr>
        <w:t xml:space="preserve">, </w:t>
      </w:r>
      <w:proofErr w:type="spellStart"/>
      <w:r w:rsidR="00A70FFB" w:rsidRPr="00A70FFB">
        <w:rPr>
          <w:rFonts w:ascii="Times New Roman" w:hAnsi="Times New Roman" w:cs="Times New Roman"/>
          <w:sz w:val="24"/>
          <w:szCs w:val="24"/>
        </w:rPr>
        <w:t>Xanthone</w:t>
      </w:r>
      <w:proofErr w:type="spellEnd"/>
      <w:r w:rsidR="00A70FFB" w:rsidRPr="00A70FFB">
        <w:rPr>
          <w:rFonts w:ascii="Times New Roman" w:hAnsi="Times New Roman" w:cs="Times New Roman"/>
          <w:sz w:val="24"/>
          <w:szCs w:val="24"/>
        </w:rPr>
        <w:t xml:space="preserve"> from</w:t>
      </w:r>
      <w:r w:rsidR="00A70FFB" w:rsidRPr="00A70FFB">
        <w:rPr>
          <w:rStyle w:val="Emphasis"/>
          <w:rFonts w:ascii="Times New Roman" w:hAnsi="Times New Roman" w:cs="Times New Roman"/>
          <w:sz w:val="24"/>
          <w:szCs w:val="24"/>
        </w:rPr>
        <w:t xml:space="preserve"> </w:t>
      </w:r>
      <w:proofErr w:type="spellStart"/>
      <w:r w:rsidR="00A70FFB" w:rsidRPr="00A70FFB">
        <w:rPr>
          <w:rStyle w:val="Emphasis"/>
          <w:rFonts w:ascii="Times New Roman" w:hAnsi="Times New Roman" w:cs="Times New Roman"/>
          <w:sz w:val="24"/>
          <w:szCs w:val="24"/>
        </w:rPr>
        <w:t>Andrographis</w:t>
      </w:r>
      <w:proofErr w:type="spellEnd"/>
      <w:r w:rsidR="00A70FFB" w:rsidRPr="00A70FFB">
        <w:rPr>
          <w:rStyle w:val="Emphasis"/>
          <w:rFonts w:ascii="Times New Roman" w:hAnsi="Times New Roman" w:cs="Times New Roman"/>
          <w:sz w:val="24"/>
          <w:szCs w:val="24"/>
        </w:rPr>
        <w:t xml:space="preserve"> </w:t>
      </w:r>
      <w:proofErr w:type="spellStart"/>
      <w:r w:rsidR="00A70FFB" w:rsidRPr="00A70FFB">
        <w:rPr>
          <w:rStyle w:val="Emphasis"/>
          <w:rFonts w:ascii="Times New Roman" w:hAnsi="Times New Roman" w:cs="Times New Roman"/>
          <w:sz w:val="24"/>
          <w:szCs w:val="24"/>
        </w:rPr>
        <w:t>paniculata</w:t>
      </w:r>
      <w:proofErr w:type="spellEnd"/>
      <w:r w:rsidR="00A70FFB" w:rsidRPr="00A70FFB">
        <w:rPr>
          <w:rFonts w:ascii="Times New Roman" w:hAnsi="Times New Roman" w:cs="Times New Roman"/>
          <w:sz w:val="24"/>
          <w:szCs w:val="24"/>
        </w:rPr>
        <w:t xml:space="preserve"> </w:t>
      </w:r>
      <w:r w:rsidR="00A70FFB" w:rsidRPr="00A70FFB">
        <w:rPr>
          <w:rFonts w:ascii="Times New Roman" w:hAnsi="Times New Roman" w:cs="Times New Roman"/>
          <w:b/>
          <w:bCs/>
          <w:sz w:val="24"/>
          <w:szCs w:val="24"/>
        </w:rPr>
        <w:fldChar w:fldCharType="begin" w:fldLock="1"/>
      </w:r>
      <w:r w:rsidR="00A70FFB" w:rsidRPr="00A70FFB">
        <w:rPr>
          <w:rFonts w:ascii="Times New Roman" w:hAnsi="Times New Roman" w:cs="Times New Roman"/>
          <w:sz w:val="24"/>
          <w:szCs w:val="24"/>
        </w:rPr>
        <w:instrText>ADDIN CSL_CITATION {"citationItems":[{"id":"ITEM-1","itemData":{"DOI":"https://doi.org/10.1016/j.jep.2004.07.008","ISSN":"0378-8741","abstract":"Four xanthones were isolated from the roots of Andrographis paniculata using a combination of column and thin-layer chromatographic methods. They were characterized as (i) 1,8-di-hydroxy-3,7-dimethoxy-xanthone, (ii) 4,8-dihydroxy-2,7-dimethoxy-xanthone, (iii)1,2-dihydroxy-6,8-dimethoxy-xanthone and (iv) 3,7,8-trimethoxy-1-hydroxy xanthone by IR, MS and NMR spectroscopic methods. In vitro study revealed that compound 1,2-dihydroxy-6,8-dimethoxy-xanthone possessed substantial anti-plasmodial activity against Plasmodium falciparum with its IC50 value of 4μgml−1. Xanthones bearing hydroxyl group at 2 position demonstrated most potent activity while xanthones with hydroxyl group at 1,4 or 8 position possessed very low activity. In vivo anti-malarial sensitivity test of this compound on Swiss Albino mice with Plasmodium berghei infection using Peters’ 4-day test gave substantial reduction (62%) in parasitaemia after treating the mice with 30mgkg−1 dose. In vitro cytotoxicity against mammalian cells revealed that 1,2-dihydroxy-6,8-dimethoxy-xanthone is non-cytotoxic with its IC50 &gt; 32μgml−1.","author":[{"dropping-particle":"","family":"Dua","given":"V K","non-dropping-particle":"","parse-names":false,"suffix":""},{"dropping-particle":"","family":"Ojha","given":"V P","non-dropping-particle":"","parse-names":false,"suffix":""},{"dropping-particle":"","family":"Roy","given":"R","non-dropping-particle":"","parse-names":false,"suffix":""},{"dropping-particle":"","family":"Joshi","given":"B C","non-dropping-particle":"","parse-names":false,"suffix":""},{"dropping-particle":"","family":"Valecha","given":"N","non-dropping-particle":"","parse-names":false,"suffix":""},{"dropping-particle":"","family":"Devi","given":"C Usha","non-dropping-particle":"","parse-names":false,"suffix":""},{"dropping-particle":"","family":"Bhatnagar","given":"M C","non-dropping-particle":"","parse-names":false,"suffix":""},{"dropping-particle":"","family":"Sharma","given":"V P","non-dropping-particle":"","parse-names":false,"suffix":""},{"dropping-particle":"","family":"Subbarao","given":"S K","non-dropping-particle":"","parse-names":false,"suffix":""}],"container-title":"Journal of Ethnopharmacology","id":"ITEM-1","issue":"2","issued":{"date-parts":[["2004"]]},"page":"247-251","title":"Anti-malarial activity of some xanthones isolated from the roots of Andrographis paniculata","type":"article-journal","volume":"95"},"uris":["http://www.mendeley.com/documents/?uuid=9b819657-1e82-440e-a04e-8337702ee7aa"]}],"mendeley":{"formattedCitation":"[9]","plainTextFormattedCitation":"[9]","previouslyFormattedCitation":"[8]"},"properties":{"noteIndex":0},"schema":"https://github.com/citation-style-language/schema/raw/master/csl-citation.json"}</w:instrText>
      </w:r>
      <w:r w:rsidR="00A70FFB" w:rsidRPr="00A70FFB">
        <w:rPr>
          <w:rFonts w:ascii="Times New Roman" w:hAnsi="Times New Roman" w:cs="Times New Roman"/>
          <w:b/>
          <w:bCs/>
          <w:sz w:val="24"/>
          <w:szCs w:val="24"/>
        </w:rPr>
        <w:fldChar w:fldCharType="separate"/>
      </w:r>
      <w:r w:rsidR="00A70FFB" w:rsidRPr="00A70FFB">
        <w:rPr>
          <w:rFonts w:ascii="Times New Roman" w:hAnsi="Times New Roman" w:cs="Times New Roman"/>
          <w:noProof/>
          <w:sz w:val="24"/>
          <w:szCs w:val="24"/>
        </w:rPr>
        <w:t>[9]</w:t>
      </w:r>
      <w:r w:rsidR="00A70FFB" w:rsidRPr="00A70FFB">
        <w:rPr>
          <w:rFonts w:ascii="Times New Roman" w:hAnsi="Times New Roman" w:cs="Times New Roman"/>
          <w:b/>
          <w:bCs/>
          <w:sz w:val="24"/>
          <w:szCs w:val="24"/>
        </w:rPr>
        <w:fldChar w:fldCharType="end"/>
      </w:r>
      <w:r w:rsidR="00A70FFB" w:rsidRPr="00A70FFB">
        <w:rPr>
          <w:rFonts w:ascii="Times New Roman" w:hAnsi="Times New Roman" w:cs="Times New Roman"/>
          <w:sz w:val="24"/>
          <w:szCs w:val="24"/>
        </w:rPr>
        <w:t xml:space="preserve">, </w:t>
      </w:r>
      <w:proofErr w:type="spellStart"/>
      <w:r w:rsidR="00A70FFB" w:rsidRPr="00A70FFB">
        <w:rPr>
          <w:rFonts w:ascii="Times New Roman" w:hAnsi="Times New Roman" w:cs="Times New Roman"/>
          <w:sz w:val="24"/>
          <w:szCs w:val="24"/>
          <w:shd w:val="clear" w:color="auto" w:fill="FFFFFF"/>
        </w:rPr>
        <w:t>Conessine</w:t>
      </w:r>
      <w:proofErr w:type="spellEnd"/>
      <w:r w:rsidR="00A70FFB" w:rsidRPr="00A70FFB">
        <w:rPr>
          <w:rFonts w:ascii="Times New Roman" w:hAnsi="Times New Roman" w:cs="Times New Roman"/>
          <w:sz w:val="24"/>
          <w:szCs w:val="24"/>
          <w:shd w:val="clear" w:color="auto" w:fill="FFFFFF"/>
        </w:rPr>
        <w:t xml:space="preserve"> from</w:t>
      </w:r>
      <w:r w:rsidR="00A70FFB" w:rsidRPr="00A70FFB">
        <w:rPr>
          <w:rFonts w:ascii="Times New Roman" w:hAnsi="Times New Roman" w:cs="Times New Roman"/>
          <w:i/>
          <w:iCs/>
          <w:sz w:val="24"/>
          <w:szCs w:val="24"/>
        </w:rPr>
        <w:t xml:space="preserve"> </w:t>
      </w:r>
      <w:proofErr w:type="spellStart"/>
      <w:r w:rsidR="00A70FFB" w:rsidRPr="00A70FFB">
        <w:rPr>
          <w:rFonts w:ascii="Times New Roman" w:hAnsi="Times New Roman" w:cs="Times New Roman"/>
          <w:i/>
          <w:iCs/>
          <w:sz w:val="24"/>
          <w:szCs w:val="24"/>
        </w:rPr>
        <w:t>Holarrhena</w:t>
      </w:r>
      <w:proofErr w:type="spellEnd"/>
      <w:r w:rsidR="00A70FFB" w:rsidRPr="00A70FFB">
        <w:rPr>
          <w:rFonts w:ascii="Times New Roman" w:hAnsi="Times New Roman" w:cs="Times New Roman"/>
          <w:i/>
          <w:iCs/>
          <w:sz w:val="24"/>
          <w:szCs w:val="24"/>
        </w:rPr>
        <w:t xml:space="preserve"> </w:t>
      </w:r>
      <w:proofErr w:type="spellStart"/>
      <w:r w:rsidR="00A70FFB" w:rsidRPr="00A70FFB">
        <w:rPr>
          <w:rFonts w:ascii="Times New Roman" w:hAnsi="Times New Roman" w:cs="Times New Roman"/>
          <w:i/>
          <w:iCs/>
          <w:sz w:val="24"/>
          <w:szCs w:val="24"/>
        </w:rPr>
        <w:t>antidysenterica</w:t>
      </w:r>
      <w:proofErr w:type="spellEnd"/>
      <w:r w:rsidR="00A70FFB" w:rsidRPr="00A70FFB">
        <w:rPr>
          <w:rFonts w:ascii="Times New Roman" w:hAnsi="Times New Roman" w:cs="Times New Roman"/>
          <w:sz w:val="24"/>
          <w:szCs w:val="24"/>
        </w:rPr>
        <w:t xml:space="preserve"> </w:t>
      </w:r>
      <w:r w:rsidR="00A70FFB" w:rsidRPr="00A70FFB">
        <w:rPr>
          <w:rFonts w:ascii="Times New Roman" w:hAnsi="Times New Roman" w:cs="Times New Roman"/>
          <w:b/>
          <w:bCs/>
          <w:sz w:val="24"/>
          <w:szCs w:val="24"/>
          <w:shd w:val="clear" w:color="auto" w:fill="FFFFFF"/>
        </w:rPr>
        <w:fldChar w:fldCharType="begin" w:fldLock="1"/>
      </w:r>
      <w:r w:rsidR="00A70FFB" w:rsidRPr="00A70FFB">
        <w:rPr>
          <w:rFonts w:ascii="Times New Roman" w:hAnsi="Times New Roman" w:cs="Times New Roman"/>
          <w:sz w:val="24"/>
          <w:szCs w:val="24"/>
          <w:shd w:val="clear" w:color="auto" w:fill="FFFFFF"/>
        </w:rPr>
        <w:instrText>ADDIN CSL_CITATION {"citationItems":[{"id":"ITEM-1","itemData":{"DOI":"10.1186/1475-2875-12-194","ISSN":"14752875","PMID":"23758861","abstract":"Background: In the face of chronic and emerging resistance of parasites to currently available drugs and constant need for new anti-malarials, natural plant products have been the bastion of anti-malarials for thousands of years. Moreover natural plant products and their derivatives have traditionally been a common source of drugs, and represent more than 30% of the current pharmaceutical market. The present study shows evaluation of anti-malarial effects of compound conessine isolated from plant Holarrhena antidysenterica frequently used against malaria in the Garhwal region of north-west Himalaya. Methods. In vitro anti-plasmodial activity of compound was assessed using schizont maturation and parasite lactate dehydrogenase (pLDH) assay. Cytotoxic activities of the examined compound were determined on L-6 cells of rat skeletal muscle myoblast. The four-day test for anti-malarial activity against a chloroquine-sensitive Plasmodium berghei NK65 strain in BALB/c mice was used for monitoring in vivo activity of compound. In liver and kidney function test, the activity of alkaline phosphatase (ALP) was examined by p-NPP method, bilirubin by Jendrassik and Grof method. The urea percentage was determined by modified Berthelot method and creatinine by alkaline picrate method in serum of mice using ENZOPAK/CHEMPAK reagent kits. Results: Compound conessine showed in vitro anti-plasmodial activity with its IC§ssub§50§esub§ value 1.9 μg/ml and 1.3 μg/ml using schizont maturation and pLDH assay respectively. The compound showed cytotoxity IC§ssub§50§ esub§= 14 μg/ml against L6 cells of rat skeletal muscle myoblast. The isolated compound from plant H. antidysenterica significantly reduced parasitaemia (at 10 mg/kg exhibited 88.95% parasite inhibition) in P. berghei-infected mice. Due to slightly toxic nature (cytotoxicity = 14), biochemical analysis (liver and kidney function test) of the serum from mice after administration of conessine were also observed. Conclusion: The present investigation demonstrates that the compound conessine exhibited substantial anti-malarial property. The isolated compound could be chemically modified to obtain a more potent chemical entity with improved characteristics against malaria. © 2013 Dua et al.; licensee BioMed Central Ltd.","author":[{"dropping-particle":"","family":"Dua","given":"Virendra K.","non-dropping-particle":"","parse-names":false,"suffix":""},{"dropping-particle":"","family":"Verma","given":"Gaurav","non-dropping-particle":"","parse-names":false,"suffix":""},{"dropping-particle":"","family":"Singh","given":"Bikram","non-dropping-particle":"","parse-names":false,"suffix":""},{"dropping-particle":"","family":"Rajan","given":"Aswathy","non-dropping-particle":"","parse-names":false,"suffix":""},{"dropping-particle":"","family":"Bagai","given":"Upma","non-dropping-particle":"","parse-names":false,"suffix":""},{"dropping-particle":"","family":"Agarwal","given":"Dau Dayal","non-dropping-particle":"","parse-names":false,"suffix":""},{"dropping-particle":"","family":"Gupta","given":"Nc","non-dropping-particle":"","parse-names":false,"suffix":""},{"dropping-particle":"","family":"Kumar","given":"Sandeep","non-dropping-particle":"","parse-names":false,"suffix":""},{"dropping-particle":"","family":"Rastogi","given":"Ayushi","non-dropping-particle":"","parse-names":false,"suffix":""}],"container-title":"Malaria Journal","id":"ITEM-1","issue":"1","issued":{"date-parts":[["2013"]]},"page":"1-6","title":"Anti-malarial property of steroidal alkaloid conessine isolated from the bark of Holarrhena antidysenterica","type":"article-journal","volume":"12"},"uris":["http://www.mendeley.com/documents/?uuid=c152b3dc-1acb-45c4-ac9e-1520fecb0ab1"]}],"mendeley":{"formattedCitation":"[10]","plainTextFormattedCitation":"[10]","previouslyFormattedCitation":"[9]"},"properties":{"noteIndex":0},"schema":"https://github.com/citation-style-language/schema/raw/master/csl-citation.json"}</w:instrText>
      </w:r>
      <w:r w:rsidR="00A70FFB" w:rsidRPr="00A70FFB">
        <w:rPr>
          <w:rFonts w:ascii="Times New Roman" w:hAnsi="Times New Roman" w:cs="Times New Roman"/>
          <w:b/>
          <w:bCs/>
          <w:sz w:val="24"/>
          <w:szCs w:val="24"/>
          <w:shd w:val="clear" w:color="auto" w:fill="FFFFFF"/>
        </w:rPr>
        <w:fldChar w:fldCharType="separate"/>
      </w:r>
      <w:r w:rsidR="00A70FFB" w:rsidRPr="00A70FFB">
        <w:rPr>
          <w:rFonts w:ascii="Times New Roman" w:hAnsi="Times New Roman" w:cs="Times New Roman"/>
          <w:noProof/>
          <w:sz w:val="24"/>
          <w:szCs w:val="24"/>
          <w:shd w:val="clear" w:color="auto" w:fill="FFFFFF"/>
        </w:rPr>
        <w:t>[10]</w:t>
      </w:r>
      <w:r w:rsidR="00A70FFB" w:rsidRPr="00A70FFB">
        <w:rPr>
          <w:rFonts w:ascii="Times New Roman" w:hAnsi="Times New Roman" w:cs="Times New Roman"/>
          <w:b/>
          <w:bCs/>
          <w:sz w:val="24"/>
          <w:szCs w:val="24"/>
          <w:shd w:val="clear" w:color="auto" w:fill="FFFFFF"/>
        </w:rPr>
        <w:fldChar w:fldCharType="end"/>
      </w:r>
      <w:r w:rsidR="00A70FFB" w:rsidRPr="00A70FFB">
        <w:rPr>
          <w:rFonts w:ascii="Times New Roman" w:hAnsi="Times New Roman" w:cs="Times New Roman"/>
          <w:sz w:val="24"/>
          <w:szCs w:val="24"/>
          <w:shd w:val="clear" w:color="auto" w:fill="FFFFFF"/>
        </w:rPr>
        <w:t xml:space="preserve">, </w:t>
      </w:r>
      <w:proofErr w:type="spellStart"/>
      <w:r w:rsidR="00A70FFB" w:rsidRPr="00A70FFB">
        <w:rPr>
          <w:rFonts w:ascii="Times New Roman" w:hAnsi="Times New Roman" w:cs="Times New Roman"/>
          <w:sz w:val="24"/>
          <w:szCs w:val="24"/>
          <w:shd w:val="clear" w:color="auto" w:fill="FCFCFC"/>
        </w:rPr>
        <w:t>Aspidoscarpine</w:t>
      </w:r>
      <w:proofErr w:type="spellEnd"/>
      <w:r w:rsidR="00A70FFB" w:rsidRPr="00A70FFB">
        <w:rPr>
          <w:rFonts w:ascii="Times New Roman" w:hAnsi="Times New Roman" w:cs="Times New Roman"/>
          <w:sz w:val="24"/>
          <w:szCs w:val="24"/>
          <w:shd w:val="clear" w:color="auto" w:fill="FCFCFC"/>
        </w:rPr>
        <w:t xml:space="preserve"> from</w:t>
      </w:r>
      <w:r w:rsidR="00A70FFB" w:rsidRPr="00A70FFB">
        <w:rPr>
          <w:rFonts w:ascii="Times New Roman" w:hAnsi="Times New Roman" w:cs="Times New Roman"/>
          <w:i/>
          <w:iCs/>
          <w:sz w:val="24"/>
          <w:szCs w:val="24"/>
        </w:rPr>
        <w:t xml:space="preserve"> </w:t>
      </w:r>
      <w:proofErr w:type="spellStart"/>
      <w:r w:rsidR="00A70FFB" w:rsidRPr="00A70FFB">
        <w:rPr>
          <w:rFonts w:ascii="Times New Roman" w:hAnsi="Times New Roman" w:cs="Times New Roman"/>
          <w:i/>
          <w:iCs/>
          <w:sz w:val="24"/>
          <w:szCs w:val="24"/>
        </w:rPr>
        <w:t>Aspidosperma</w:t>
      </w:r>
      <w:proofErr w:type="spellEnd"/>
      <w:r w:rsidR="00A70FFB" w:rsidRPr="00A70FFB">
        <w:rPr>
          <w:rFonts w:ascii="Times New Roman" w:hAnsi="Times New Roman" w:cs="Times New Roman"/>
          <w:i/>
          <w:iCs/>
          <w:sz w:val="24"/>
          <w:szCs w:val="24"/>
        </w:rPr>
        <w:t xml:space="preserve"> </w:t>
      </w:r>
      <w:proofErr w:type="spellStart"/>
      <w:r w:rsidR="00A70FFB" w:rsidRPr="00A70FFB">
        <w:rPr>
          <w:rFonts w:ascii="Times New Roman" w:hAnsi="Times New Roman" w:cs="Times New Roman"/>
          <w:i/>
          <w:iCs/>
          <w:sz w:val="24"/>
          <w:szCs w:val="24"/>
        </w:rPr>
        <w:t>olivaceum</w:t>
      </w:r>
      <w:proofErr w:type="spellEnd"/>
      <w:r w:rsidR="00A70FFB" w:rsidRPr="00A70FFB">
        <w:rPr>
          <w:rFonts w:ascii="Times New Roman" w:hAnsi="Times New Roman" w:cs="Times New Roman"/>
          <w:b/>
          <w:bCs/>
          <w:sz w:val="24"/>
          <w:szCs w:val="24"/>
          <w:shd w:val="clear" w:color="auto" w:fill="FCFCFC"/>
        </w:rPr>
        <w:fldChar w:fldCharType="begin" w:fldLock="1"/>
      </w:r>
      <w:r w:rsidR="00A70FFB" w:rsidRPr="00A70FFB">
        <w:rPr>
          <w:rFonts w:ascii="Times New Roman" w:hAnsi="Times New Roman" w:cs="Times New Roman"/>
          <w:sz w:val="24"/>
          <w:szCs w:val="24"/>
          <w:shd w:val="clear" w:color="auto" w:fill="FCFCFC"/>
        </w:rPr>
        <w:instrText>ADDIN CSL_CITATION {"citationItems":[{"id":"ITEM-1","itemData":{"DOI":"10.1186/1475-2875-13-142","ISSN":"14752875","PMID":"24731256","abstract":"Background: Several species of Aspidosperma (Apocynaceae) are used as treatments for human diseases in the tropics. Aspidosperma olivaceum, which is used to treat fevers in some regions of Brazil, contains the monoterpenoid indole alkaloids (MIAs) aspidoscarpine, uleine, apparicine, and N-methyl-tetrahydrolivacine. Using bio-guided fractionation and cytotoxicity testing in a human hepatoma cell line, several plant fractions and compounds purified from the bark and leaves of the plant were characterized for specific therapeutic activity (and selectivity index, SI) in vitro against the blood forms of Plasmodium falciparum. Methods. The activity of A. olivaceum extracts, fractions, and isolated compounds was evaluated against chloroquine (CQ)-resistant P. falciparum blood parasites by in vitro testing with radiolabelled [3H]-hypoxanthine and a monoclonal anti-histidine-rich protein (HRPII) antibody. The cytotoxicity of these fractions and compounds was evaluated in a human hepatoma cell line using a 3-[4,5-dimethylthiazol-2-yl]-2,5 diphenyl tetrazolium bromide (MTT) assay, and the SI was calculated as the ratio between the toxicity and activity. Two leaf fractions were tested in mice with Plasmodium berghei. Results: All six fractions from the bark and leaf extracts were active in vitro at low doses (IC50 &lt; 5.0 μg/mL) using the anti-HRPII test, and only two (the neutral and basic bark fractions) were toxic to a human cell line (HepG2). The most promising fractions were the crude leaf extract and its basic residue, which had SIs above 50. Among the four pure compounds evaluated, aspidoscarpine in the bark and leaf extracts showed the highest SI at 56; this compound, therefore, represents a possible anti-malarial drug that requires further study. The acidic leaf fraction administered by gavage to mice with blood-induced malaria was also active. Conclusion: Using a bio-monitoring approach, it was possible to attribute the anti-P. falciparum activity of A. olivaceum to aspidoscarpine and, to a lesser extent, N-methyl-tetrahydrolivacine; other isolated MIA molecules were active but had lower SIs due to their higher toxicities. These results stood in contrast to previous work in which the anti-malarial activity of other Aspidosperma species was attributed to uleine. © 2014 Chierrito et al.; licensee BioMed Central Ltd.","author":[{"dropping-particle":"","family":"Chierrito","given":"Talita Pc","non-dropping-particle":"","parse-names":false,"suffix":""},{"dropping-particle":"","family":"Aguiar","given":"Anna Cc","non-dropping-particle":"","parse-names":false,"suffix":""},{"dropping-particle":"","family":"Andrade","given":"Isabel M.","non-dropping-particle":"De","parse-names":false,"suffix":""},{"dropping-particle":"","family":"Ceravolo","given":"Isabela P.","non-dropping-particle":"","parse-names":false,"suffix":""},{"dropping-particle":"","family":"Gonçalves","given":"Regina Ac","non-dropping-particle":"","parse-names":false,"suffix":""},{"dropping-particle":"","family":"Oliveira","given":"Arildo Jb","non-dropping-particle":"De","parse-names":false,"suffix":""},{"dropping-particle":"","family":"Krettli","given":"Antoniana U.","non-dropping-particle":"","parse-names":false,"suffix":""}],"container-title":"Malaria Journal","id":"ITEM-1","issue":"1","issued":{"date-parts":[["2014"]]},"page":"1-10","title":"Anti-malarial activity of indole alkaloids isolated from Aspidosperma olivaceum","type":"article-journal","volume":"13"},"uris":["http://www.mendeley.com/documents/?uuid=e30d8a42-cbfb-4d38-980a-c4ae1ee40101"]}],"mendeley":{"formattedCitation":"[11]","plainTextFormattedCitation":"[11]","previouslyFormattedCitation":"[10]"},"properties":{"noteIndex":0},"schema":"https://github.com/citation-style-language/schema/raw/master/csl-citation.json"}</w:instrText>
      </w:r>
      <w:r w:rsidR="00A70FFB" w:rsidRPr="00A70FFB">
        <w:rPr>
          <w:rFonts w:ascii="Times New Roman" w:hAnsi="Times New Roman" w:cs="Times New Roman"/>
          <w:b/>
          <w:bCs/>
          <w:sz w:val="24"/>
          <w:szCs w:val="24"/>
          <w:shd w:val="clear" w:color="auto" w:fill="FCFCFC"/>
        </w:rPr>
        <w:fldChar w:fldCharType="separate"/>
      </w:r>
      <w:r w:rsidR="00A70FFB" w:rsidRPr="00A70FFB">
        <w:rPr>
          <w:rFonts w:ascii="Times New Roman" w:hAnsi="Times New Roman" w:cs="Times New Roman"/>
          <w:noProof/>
          <w:sz w:val="24"/>
          <w:szCs w:val="24"/>
          <w:shd w:val="clear" w:color="auto" w:fill="FCFCFC"/>
        </w:rPr>
        <w:t>[11]</w:t>
      </w:r>
      <w:r w:rsidR="00A70FFB" w:rsidRPr="00A70FFB">
        <w:rPr>
          <w:rFonts w:ascii="Times New Roman" w:hAnsi="Times New Roman" w:cs="Times New Roman"/>
          <w:b/>
          <w:bCs/>
          <w:sz w:val="24"/>
          <w:szCs w:val="24"/>
          <w:shd w:val="clear" w:color="auto" w:fill="FCFCFC"/>
        </w:rPr>
        <w:fldChar w:fldCharType="end"/>
      </w:r>
      <w:r w:rsidR="00A70FFB" w:rsidRPr="00A70FFB">
        <w:rPr>
          <w:rFonts w:ascii="Times New Roman" w:hAnsi="Times New Roman" w:cs="Times New Roman"/>
          <w:sz w:val="24"/>
          <w:szCs w:val="24"/>
          <w:shd w:val="clear" w:color="auto" w:fill="FCFCFC"/>
        </w:rPr>
        <w:t xml:space="preserve">, </w:t>
      </w:r>
      <w:proofErr w:type="spellStart"/>
      <w:r w:rsidR="00A70FFB" w:rsidRPr="00A70FFB">
        <w:rPr>
          <w:rFonts w:ascii="Times New Roman" w:hAnsi="Times New Roman" w:cs="Times New Roman"/>
          <w:sz w:val="24"/>
          <w:szCs w:val="24"/>
          <w:shd w:val="clear" w:color="auto" w:fill="FFFFFF"/>
        </w:rPr>
        <w:t>Gymnemagenol</w:t>
      </w:r>
      <w:proofErr w:type="spellEnd"/>
      <w:r w:rsidR="00A70FFB" w:rsidRPr="00A70FFB">
        <w:rPr>
          <w:rFonts w:ascii="Times New Roman" w:hAnsi="Times New Roman" w:cs="Times New Roman"/>
          <w:sz w:val="24"/>
          <w:szCs w:val="24"/>
          <w:shd w:val="clear" w:color="auto" w:fill="FFFFFF"/>
        </w:rPr>
        <w:t xml:space="preserve"> from </w:t>
      </w:r>
      <w:proofErr w:type="spellStart"/>
      <w:r w:rsidR="00A70FFB" w:rsidRPr="00A70FFB">
        <w:rPr>
          <w:rFonts w:ascii="Times New Roman" w:hAnsi="Times New Roman" w:cs="Times New Roman"/>
          <w:i/>
          <w:iCs/>
          <w:sz w:val="24"/>
          <w:szCs w:val="24"/>
          <w:shd w:val="clear" w:color="auto" w:fill="FFFFFF"/>
        </w:rPr>
        <w:t>Gymnema</w:t>
      </w:r>
      <w:proofErr w:type="spellEnd"/>
      <w:r w:rsidR="00A70FFB" w:rsidRPr="00A70FFB">
        <w:rPr>
          <w:rFonts w:ascii="Times New Roman" w:hAnsi="Times New Roman" w:cs="Times New Roman"/>
          <w:i/>
          <w:iCs/>
          <w:sz w:val="24"/>
          <w:szCs w:val="24"/>
          <w:shd w:val="clear" w:color="auto" w:fill="FFFFFF"/>
        </w:rPr>
        <w:t xml:space="preserve"> </w:t>
      </w:r>
      <w:proofErr w:type="spellStart"/>
      <w:r w:rsidR="00A70FFB" w:rsidRPr="00A70FFB">
        <w:rPr>
          <w:rFonts w:ascii="Times New Roman" w:hAnsi="Times New Roman" w:cs="Times New Roman"/>
          <w:i/>
          <w:iCs/>
          <w:sz w:val="24"/>
          <w:szCs w:val="24"/>
          <w:shd w:val="clear" w:color="auto" w:fill="FFFFFF"/>
        </w:rPr>
        <w:t>sylvestre</w:t>
      </w:r>
      <w:proofErr w:type="spellEnd"/>
      <w:r w:rsidR="00A70FFB" w:rsidRPr="00A70FFB">
        <w:rPr>
          <w:rFonts w:ascii="Times New Roman" w:hAnsi="Times New Roman" w:cs="Times New Roman"/>
          <w:b/>
          <w:bCs/>
          <w:sz w:val="24"/>
          <w:szCs w:val="24"/>
          <w:shd w:val="clear" w:color="auto" w:fill="FFFFFF"/>
        </w:rPr>
        <w:fldChar w:fldCharType="begin" w:fldLock="1"/>
      </w:r>
      <w:r w:rsidR="00A70FFB" w:rsidRPr="00A70FFB">
        <w:rPr>
          <w:rFonts w:ascii="Times New Roman" w:hAnsi="Times New Roman" w:cs="Times New Roman"/>
          <w:sz w:val="24"/>
          <w:szCs w:val="24"/>
          <w:shd w:val="clear" w:color="auto" w:fill="FFFFFF"/>
        </w:rPr>
        <w:instrText>ADDIN CSL_CITATION {"citationItems":[{"id":"ITEM-1","itemData":{"DOI":"10.1007/s00436-011-2384-6","ISSN":"1432-1955","abstract":"Owing to the fact that the application of synthetic larvicide has envenomed the surroundings as well as non-target organisms, natural products of plant origin with insecticidal properties have been tried as an indigenous method for the control of a variety of insect pests and vectors in the recent past. Insecticides of plant origin have been extensively used on agricultural pests and, to a very limited extent, against insect vectors of public health importance, which deserve careful and thorough screening. The use of plant extracts for insect control has several appealing features as these are generally more biodegradable, less hazardous and a rich storehouse of chemicals of diverse biological activities. Moreover, herbal sources give a lead for discovering new insecticides. Therefore, biologically active plant materials have attracted considerable interest in mosquito control study in recent times. The crude leaf extracts of Gymnema sylvestre (Retz) Schult (Asclepiadaceae) and purified gymnemagenol compound were studied against the early fourth-instar larvae of Anopheles subpictus Grassi and Culex quinquefasciatus Say (Diptera: Culicidae). In the present study, bioassay-guided fractionation of petroleum ether leaf extract of G. sylvestre led to the separation and identification of gymnemagenol as a potential new antiparasitic compound. Phytochemical analysis of G. sylvestre leaves revealed the presence of active constituents such as carbohydrates, saponins, phytosterols, phenols, flavonoids and tannins. However, cardiac glycosides and phlobatannins are absent in the plant extracts. Quantitative analysis results suggested that saponin (5%) was present in a high concentration followed by tannins (1.0%). The 50 g powder was loaded on silica gel column and eluted with chloroform–methanol–water as eluents. From that, 16 mg pure saponin compound was isolated and analysed by thin layer chromatography using chloroform and methanol as the solvent systems. The structure of the purified triterpenoid fraction was established from infrared (IR), ultraviolet (UV), 1H nuclear magnetic resonance (NMR), 13C NMR and mass spectral data. The carbon skeleton of the compound was obtained by 13C NMR spectroscopy. The chemical shift assignments obtained for gymnemagenol from 1H NMR correspond to the molecular formula C30H50O4. The compound was identified as 3β, 16β, 28, 29-tetrahydroxyolean-12-ene (gymnemagenol sapogenin). Parasite larvae were exposed to varying concentration…","author":[{"dropping-particle":"","family":"Gopiesh Khanna","given":"Venkatesan","non-dropping-particle":"","parse-names":false,"suffix":""},{"dropping-particle":"","family":"Kannabiran","given":"Krishnan","non-dropping-particle":"","parse-names":false,"suffix":""},{"dropping-particle":"","family":"Rajakumar","given":"Govindasamy","non-dropping-particle":"","parse-names":false,"suffix":""},{"dropping-particle":"","family":"Rahuman","given":"Abdul Abdul","non-dropping-particle":"","parse-names":false,"suffix":""},{"dropping-particle":"","family":"Santhoshkumar","given":"Thirunavukkarasu","non-dropping-particle":"","parse-names":false,"suffix":""}],"container-title":"Parasitology Research","id":"ITEM-1","issue":"5","issued":{"date-parts":[["2011"]]},"page":"1373-1386","title":"Biolarvicidal compound gymnemagenol isolated from leaf extract of miracle fruit plant, Gymnema sylvestre (Retz) Schult against malaria and filariasis vectors","type":"article-journal","volume":"109"},"uris":["http://www.mendeley.com/documents/?uuid=4e5c091a-7487-4719-9fe9-98722ad10450"]}],"mendeley":{"formattedCitation":"[12]","plainTextFormattedCitation":"[12]","previouslyFormattedCitation":"[11]"},"properties":{"noteIndex":0},"schema":"https://github.com/citation-style-language/schema/raw/master/csl-citation.json"}</w:instrText>
      </w:r>
      <w:r w:rsidR="00A70FFB" w:rsidRPr="00A70FFB">
        <w:rPr>
          <w:rFonts w:ascii="Times New Roman" w:hAnsi="Times New Roman" w:cs="Times New Roman"/>
          <w:b/>
          <w:bCs/>
          <w:sz w:val="24"/>
          <w:szCs w:val="24"/>
          <w:shd w:val="clear" w:color="auto" w:fill="FFFFFF"/>
        </w:rPr>
        <w:fldChar w:fldCharType="separate"/>
      </w:r>
      <w:r w:rsidR="00A70FFB" w:rsidRPr="00A70FFB">
        <w:rPr>
          <w:rFonts w:ascii="Times New Roman" w:hAnsi="Times New Roman" w:cs="Times New Roman"/>
          <w:noProof/>
          <w:sz w:val="24"/>
          <w:szCs w:val="24"/>
          <w:shd w:val="clear" w:color="auto" w:fill="FFFFFF"/>
        </w:rPr>
        <w:t>[12]</w:t>
      </w:r>
      <w:r w:rsidR="00A70FFB" w:rsidRPr="00A70FFB">
        <w:rPr>
          <w:rFonts w:ascii="Times New Roman" w:hAnsi="Times New Roman" w:cs="Times New Roman"/>
          <w:b/>
          <w:bCs/>
          <w:sz w:val="24"/>
          <w:szCs w:val="24"/>
          <w:shd w:val="clear" w:color="auto" w:fill="FFFFFF"/>
        </w:rPr>
        <w:fldChar w:fldCharType="end"/>
      </w:r>
      <w:r w:rsidR="00A70FFB" w:rsidRPr="00A70FFB">
        <w:rPr>
          <w:rFonts w:ascii="Times New Roman" w:hAnsi="Times New Roman" w:cs="Times New Roman"/>
          <w:sz w:val="24"/>
          <w:szCs w:val="24"/>
          <w:shd w:val="clear" w:color="auto" w:fill="FFFFFF"/>
        </w:rPr>
        <w:t xml:space="preserve">, </w:t>
      </w:r>
      <w:proofErr w:type="spellStart"/>
      <w:r w:rsidR="00A70FFB" w:rsidRPr="00A70FFB">
        <w:rPr>
          <w:rFonts w:ascii="Times New Roman" w:hAnsi="Times New Roman" w:cs="Times New Roman"/>
          <w:sz w:val="24"/>
          <w:szCs w:val="24"/>
          <w:shd w:val="clear" w:color="auto" w:fill="FFFFFF"/>
        </w:rPr>
        <w:t>Cedrol</w:t>
      </w:r>
      <w:proofErr w:type="spellEnd"/>
      <w:r w:rsidR="00A70FFB" w:rsidRPr="00A70FFB">
        <w:rPr>
          <w:rFonts w:ascii="Times New Roman" w:hAnsi="Times New Roman" w:cs="Times New Roman"/>
          <w:sz w:val="24"/>
          <w:szCs w:val="24"/>
          <w:shd w:val="clear" w:color="auto" w:fill="FFFFFF"/>
        </w:rPr>
        <w:t xml:space="preserve"> from </w:t>
      </w:r>
      <w:proofErr w:type="spellStart"/>
      <w:r w:rsidR="00A70FFB" w:rsidRPr="00A70FFB">
        <w:rPr>
          <w:rFonts w:ascii="Times New Roman" w:hAnsi="Times New Roman" w:cs="Times New Roman"/>
          <w:i/>
          <w:iCs/>
          <w:sz w:val="24"/>
          <w:szCs w:val="24"/>
          <w:shd w:val="clear" w:color="auto" w:fill="FFFFFF"/>
        </w:rPr>
        <w:t>Cyperus</w:t>
      </w:r>
      <w:proofErr w:type="spellEnd"/>
      <w:r w:rsidR="00A70FFB" w:rsidRPr="00A70FFB">
        <w:rPr>
          <w:rFonts w:ascii="Times New Roman" w:hAnsi="Times New Roman" w:cs="Times New Roman"/>
          <w:i/>
          <w:iCs/>
          <w:sz w:val="24"/>
          <w:szCs w:val="24"/>
          <w:shd w:val="clear" w:color="auto" w:fill="FFFFFF"/>
        </w:rPr>
        <w:t xml:space="preserve"> </w:t>
      </w:r>
      <w:proofErr w:type="spellStart"/>
      <w:r w:rsidR="00A70FFB" w:rsidRPr="00A70FFB">
        <w:rPr>
          <w:rFonts w:ascii="Times New Roman" w:hAnsi="Times New Roman" w:cs="Times New Roman"/>
          <w:i/>
          <w:iCs/>
          <w:sz w:val="24"/>
          <w:szCs w:val="24"/>
          <w:shd w:val="clear" w:color="auto" w:fill="FFFFFF"/>
        </w:rPr>
        <w:t>rotundus</w:t>
      </w:r>
      <w:proofErr w:type="spellEnd"/>
      <w:r w:rsidR="00A70FFB" w:rsidRPr="00A70FFB">
        <w:rPr>
          <w:rFonts w:ascii="Times New Roman" w:hAnsi="Times New Roman" w:cs="Times New Roman"/>
          <w:sz w:val="24"/>
          <w:szCs w:val="24"/>
          <w:shd w:val="clear" w:color="auto" w:fill="FFFFFF"/>
        </w:rPr>
        <w:t xml:space="preserve"> </w:t>
      </w:r>
      <w:r w:rsidR="00A70FFB" w:rsidRPr="00A70FFB">
        <w:rPr>
          <w:rFonts w:ascii="Times New Roman" w:hAnsi="Times New Roman" w:cs="Times New Roman"/>
          <w:b/>
          <w:bCs/>
          <w:sz w:val="24"/>
          <w:szCs w:val="24"/>
          <w:shd w:val="clear" w:color="auto" w:fill="FFFFFF"/>
        </w:rPr>
        <w:fldChar w:fldCharType="begin" w:fldLock="1"/>
      </w:r>
      <w:r w:rsidR="00A70FFB" w:rsidRPr="00A70FFB">
        <w:rPr>
          <w:rFonts w:ascii="Times New Roman" w:hAnsi="Times New Roman" w:cs="Times New Roman"/>
          <w:sz w:val="24"/>
          <w:szCs w:val="24"/>
          <w:shd w:val="clear" w:color="auto" w:fill="FFFFFF"/>
        </w:rPr>
        <w:instrText>ADDIN CSL_CITATION {"citationItems":[{"id":"ITEM-1","itemData":{"DOI":"10.1186/s12936-016-1536-7","ISSN":"14752875","PMID":"27639972","abstract":"Background: Cedrol, a sesquiterpene alcohol, is the first identified oviposition attractant for African malaria vectors. Finding the natural source of this compound might help to elucidate why Anopheles gambiae and Anopheles arabiensis prefer to lay eggs in habitats containing it. Previous studies suggest that cedrol may be a fungal metabolite and the essential oil of grass rhizomes have been described to contain a high amount of different sesquiterpenes. Results: Rhizomes of the grass Cyperus rotundus were collected in a natural malaria mosquito breeding site. Two fungi were isolated from an aqueous infusion with these rhizomes. They were identified as Fusarium falciforme and a species in the Fusarium fujikuroi species complex. Volatile compounds were collected from the headspace above fungal cultures on Tenax traps which were analysed by gas chromatography-mass spectrometry (GCMS). Cedrol and a cedrol isomer were detected in the headspace above the F. fujikuroi culture, while only cedrol was detected above the F. falciforme culture. Conclusion: Cedrol an oviposition attractant for African malaria vectors is produced by two fungi species isolated from grass rhizomes collected from a natural mosquito breeding site.","author":[{"dropping-particle":"","family":"Eneh","given":"Lynda K.","non-dropping-particle":"","parse-names":false,"suffix":""},{"dropping-particle":"","family":"Saijo","given":"Hiromi","non-dropping-particle":"","parse-names":false,"suffix":""},{"dropping-particle":"","family":"Borg-Karlson","given":"Anna Karin","non-dropping-particle":"","parse-names":false,"suffix":""},{"dropping-particle":"","family":"Lindh","given":"Jenny M.","non-dropping-particle":"","parse-names":false,"suffix":""},{"dropping-particle":"","family":"Rajarao","given":"Gunaratna Kuttuva","non-dropping-particle":"","parse-names":false,"suffix":""}],"container-title":"Malaria Journal","id":"ITEM-1","issue":"1","issued":{"date-parts":[["2016"]]},"page":"1-4","publisher":"BioMed Central","title":"Cedrol, a malaria mosquito oviposition attractant is produced by fungi isolated from rhizomes of the grass Cyperus rotundus","type":"article-journal","volume":"15"},"uris":["http://www.mendeley.com/documents/?uuid=b22edb51-7f37-4604-8456-7736bb6ff467"]}],"mendeley":{"formattedCitation":"[13]","plainTextFormattedCitation":"[13]","previouslyFormattedCitation":"[12]"},"properties":{"noteIndex":0},"schema":"https://github.com/citation-style-language/schema/raw/master/csl-citation.json"}</w:instrText>
      </w:r>
      <w:r w:rsidR="00A70FFB" w:rsidRPr="00A70FFB">
        <w:rPr>
          <w:rFonts w:ascii="Times New Roman" w:hAnsi="Times New Roman" w:cs="Times New Roman"/>
          <w:b/>
          <w:bCs/>
          <w:sz w:val="24"/>
          <w:szCs w:val="24"/>
          <w:shd w:val="clear" w:color="auto" w:fill="FFFFFF"/>
        </w:rPr>
        <w:fldChar w:fldCharType="separate"/>
      </w:r>
      <w:r w:rsidR="00A70FFB" w:rsidRPr="00A70FFB">
        <w:rPr>
          <w:rFonts w:ascii="Times New Roman" w:hAnsi="Times New Roman" w:cs="Times New Roman"/>
          <w:noProof/>
          <w:sz w:val="24"/>
          <w:szCs w:val="24"/>
          <w:shd w:val="clear" w:color="auto" w:fill="FFFFFF"/>
        </w:rPr>
        <w:t>[13]</w:t>
      </w:r>
      <w:r w:rsidR="00A70FFB" w:rsidRPr="00A70FFB">
        <w:rPr>
          <w:rFonts w:ascii="Times New Roman" w:hAnsi="Times New Roman" w:cs="Times New Roman"/>
          <w:b/>
          <w:bCs/>
          <w:sz w:val="24"/>
          <w:szCs w:val="24"/>
          <w:shd w:val="clear" w:color="auto" w:fill="FFFFFF"/>
        </w:rPr>
        <w:fldChar w:fldCharType="end"/>
      </w:r>
      <w:r w:rsidR="00A70FFB" w:rsidRPr="00A70FFB">
        <w:rPr>
          <w:rFonts w:ascii="Times New Roman" w:hAnsi="Times New Roman" w:cs="Times New Roman"/>
          <w:sz w:val="24"/>
          <w:szCs w:val="24"/>
          <w:shd w:val="clear" w:color="auto" w:fill="FFFFFF"/>
        </w:rPr>
        <w:t xml:space="preserve">, </w:t>
      </w:r>
      <w:proofErr w:type="spellStart"/>
      <w:r w:rsidR="00A70FFB" w:rsidRPr="00A70FFB">
        <w:rPr>
          <w:rFonts w:ascii="Times New Roman" w:hAnsi="Times New Roman" w:cs="Times New Roman"/>
          <w:sz w:val="24"/>
          <w:szCs w:val="24"/>
          <w:shd w:val="clear" w:color="auto" w:fill="FFFFFF"/>
        </w:rPr>
        <w:t>Guaianolide</w:t>
      </w:r>
      <w:proofErr w:type="spellEnd"/>
      <w:r w:rsidR="00A70FFB" w:rsidRPr="00A70FFB">
        <w:rPr>
          <w:rFonts w:ascii="Times New Roman" w:hAnsi="Times New Roman" w:cs="Times New Roman"/>
          <w:sz w:val="24"/>
          <w:szCs w:val="24"/>
          <w:shd w:val="clear" w:color="auto" w:fill="FFFFFF"/>
        </w:rPr>
        <w:t xml:space="preserve"> </w:t>
      </w:r>
      <w:proofErr w:type="spellStart"/>
      <w:r w:rsidR="00A70FFB" w:rsidRPr="00A70FFB">
        <w:rPr>
          <w:rFonts w:ascii="Times New Roman" w:hAnsi="Times New Roman" w:cs="Times New Roman"/>
          <w:sz w:val="24"/>
          <w:szCs w:val="24"/>
          <w:shd w:val="clear" w:color="auto" w:fill="FFFFFF"/>
        </w:rPr>
        <w:t>sesquiterpene</w:t>
      </w:r>
      <w:proofErr w:type="spellEnd"/>
      <w:r w:rsidR="00A70FFB" w:rsidRPr="00A70FFB">
        <w:rPr>
          <w:rFonts w:ascii="Times New Roman" w:hAnsi="Times New Roman" w:cs="Times New Roman"/>
          <w:sz w:val="24"/>
          <w:szCs w:val="24"/>
          <w:shd w:val="clear" w:color="auto" w:fill="FFFFFF"/>
        </w:rPr>
        <w:t xml:space="preserve"> lactones from </w:t>
      </w:r>
      <w:r w:rsidR="00A70FFB" w:rsidRPr="00A70FFB">
        <w:rPr>
          <w:rFonts w:ascii="Times New Roman" w:hAnsi="Times New Roman" w:cs="Times New Roman"/>
          <w:i/>
          <w:iCs/>
          <w:sz w:val="24"/>
          <w:szCs w:val="24"/>
          <w:shd w:val="clear" w:color="auto" w:fill="FFFFFF"/>
        </w:rPr>
        <w:t xml:space="preserve">Artemisia </w:t>
      </w:r>
      <w:proofErr w:type="spellStart"/>
      <w:r w:rsidR="00A70FFB" w:rsidRPr="00A70FFB">
        <w:rPr>
          <w:rFonts w:ascii="Times New Roman" w:hAnsi="Times New Roman" w:cs="Times New Roman"/>
          <w:i/>
          <w:iCs/>
          <w:sz w:val="24"/>
          <w:szCs w:val="24"/>
          <w:shd w:val="clear" w:color="auto" w:fill="FFFFFF"/>
        </w:rPr>
        <w:t>afra</w:t>
      </w:r>
      <w:proofErr w:type="spellEnd"/>
      <w:r w:rsidR="00A70FFB" w:rsidRPr="00A70FFB">
        <w:rPr>
          <w:rFonts w:ascii="Times New Roman" w:hAnsi="Times New Roman" w:cs="Times New Roman"/>
          <w:b/>
          <w:bCs/>
          <w:sz w:val="24"/>
          <w:szCs w:val="24"/>
          <w:shd w:val="clear" w:color="auto" w:fill="FFFFFF"/>
        </w:rPr>
        <w:fldChar w:fldCharType="begin" w:fldLock="1"/>
      </w:r>
      <w:r w:rsidR="00A70FFB" w:rsidRPr="00A70FFB">
        <w:rPr>
          <w:rFonts w:ascii="Times New Roman" w:hAnsi="Times New Roman" w:cs="Times New Roman"/>
          <w:sz w:val="24"/>
          <w:szCs w:val="24"/>
          <w:shd w:val="clear" w:color="auto" w:fill="FFFFFF"/>
        </w:rPr>
        <w:instrText>ADDIN CSL_CITATION {"citationItems":[{"id":"ITEM-1","itemData":{"DOI":"10.1186/s12936-019-2694-1","ISBN":"1293601926","ISSN":"14752875","PMID":"30849984","abstract":"Background: Optimal adoption of the malaria transmission-blocking strategy is currently limited by lack of safe and efficacious drugs. This has sparked the exploration of different sources of drugs in search of transmission-blocking agents. While plant species have been extensively investigated in search of malaria chemotherapeutic agents, comparatively less effort has been channelled towards exploring them in search of transmission-blocking drugs. Artemisia afra (Asteraceae), a prominent feature of South African folk medicine, is used for the treatment of a number of diseases, including malaria. In search of transmission-blocking compounds aimed against Plasmodium parasites, the current study endeavoured to isolate and identify gametocytocidal compounds from A. afra. Methods: A bioassay-guided isolation approach was adopted wherein a combination of solvent-solvent partitioning and gravity column chromatography was used. Collected fractions were continuously screened in vitro for their ability to inhibit the viability of primarily late-stage gametocytes of Plasmodium falciparum (NF54 strain), using a parasite lactate dehydrogenase assay. Chemical structures of isolated compounds were elucidated using UPLC-MS/MS and NMR data analysis. Results: Two guaianolide sesquiterpene lactones, 1α,4α-dihydroxybishopsolicepolide and yomogiartemin, were isolated and shown to be active (IC50 &lt; 10 μg/ml; ~ 10 μM) against both gametocytes and intra-erythrocytic asexual P. falciparum parasites. Interestingly, 1α,4α-dihydroxybishopsolicepolide was significantly more potent against late-stage gametocytes than to early-stage gametocytes and intra-erythrocytic asexual P. falciparum parasites. Additionally, both isolated compounds were not overly cytotoxic against HepG2 cells in vitro. Conclusion: This study provides the first instance of isolated compounds from A. afra against P. falciparum gametocytes as a starting point for further investigations on more plant species in search of transmission-blocking compounds.","author":[{"dropping-particle":"","family":"Moyo","given":"Phanankosi","non-dropping-particle":"","parse-names":false,"suffix":""},{"dropping-particle":"","family":"Kunyane","given":"Phaladi","non-dropping-particle":"","parse-names":false,"suffix":""},{"dropping-particle":"","family":"Selepe","given":"Mamoalosi A.","non-dropping-particle":"","parse-names":false,"suffix":""},{"dropping-particle":"","family":"Eloff","given":"Jacobus N.","non-dropping-particle":"","parse-names":false,"suffix":""},{"dropping-particle":"","family":"Niemand","given":"Jandeli","non-dropping-particle":"","parse-names":false,"suffix":""},{"dropping-particle":"","family":"Louw","given":"Abraham I.","non-dropping-particle":"","parse-names":false,"suffix":""},{"dropping-particle":"","family":"Maharaj","given":"Vinesh J.","non-dropping-particle":"","parse-names":false,"suffix":""},{"dropping-particle":"","family":"Birkholtz","given":"Lyn Marie","non-dropping-particle":"","parse-names":false,"suffix":""}],"container-title":"Malaria Journal","id":"ITEM-1","issue":"1","issued":{"date-parts":[["2019"]]},"page":"1-11","publisher":"BioMed Central","title":"Bioassay-guided isolation and identification of gametocytocidal compounds from Artemisia afra (Asteraceae)","type":"article-journal","volume":"18"},"uris":["http://www.mendeley.com/documents/?uuid=1cf0676d-d259-4089-91ff-d667eab4585c"]}],"mendeley":{"formattedCitation":"[14]","plainTextFormattedCitation":"[14]","previouslyFormattedCitation":"[13]"},"properties":{"noteIndex":0},"schema":"https://github.com/citation-style-language/schema/raw/master/csl-citation.json"}</w:instrText>
      </w:r>
      <w:r w:rsidR="00A70FFB" w:rsidRPr="00A70FFB">
        <w:rPr>
          <w:rFonts w:ascii="Times New Roman" w:hAnsi="Times New Roman" w:cs="Times New Roman"/>
          <w:b/>
          <w:bCs/>
          <w:sz w:val="24"/>
          <w:szCs w:val="24"/>
          <w:shd w:val="clear" w:color="auto" w:fill="FFFFFF"/>
        </w:rPr>
        <w:fldChar w:fldCharType="separate"/>
      </w:r>
      <w:r w:rsidR="00A70FFB" w:rsidRPr="00A70FFB">
        <w:rPr>
          <w:rFonts w:ascii="Times New Roman" w:hAnsi="Times New Roman" w:cs="Times New Roman"/>
          <w:noProof/>
          <w:sz w:val="24"/>
          <w:szCs w:val="24"/>
          <w:shd w:val="clear" w:color="auto" w:fill="FFFFFF"/>
        </w:rPr>
        <w:t>[14]</w:t>
      </w:r>
      <w:r w:rsidR="00A70FFB" w:rsidRPr="00A70FFB">
        <w:rPr>
          <w:rFonts w:ascii="Times New Roman" w:hAnsi="Times New Roman" w:cs="Times New Roman"/>
          <w:b/>
          <w:bCs/>
          <w:sz w:val="24"/>
          <w:szCs w:val="24"/>
          <w:shd w:val="clear" w:color="auto" w:fill="FFFFFF"/>
        </w:rPr>
        <w:fldChar w:fldCharType="end"/>
      </w:r>
      <w:r w:rsidR="00A70FFB" w:rsidRPr="00A70FFB">
        <w:rPr>
          <w:rFonts w:ascii="Times New Roman" w:hAnsi="Times New Roman" w:cs="Times New Roman"/>
          <w:sz w:val="24"/>
          <w:szCs w:val="24"/>
          <w:shd w:val="clear" w:color="auto" w:fill="FFFFFF"/>
        </w:rPr>
        <w:t xml:space="preserve">, </w:t>
      </w:r>
      <w:proofErr w:type="spellStart"/>
      <w:r w:rsidR="00A70FFB" w:rsidRPr="00A70FFB">
        <w:rPr>
          <w:rFonts w:ascii="Times New Roman" w:hAnsi="Times New Roman" w:cs="Times New Roman"/>
          <w:sz w:val="24"/>
          <w:szCs w:val="24"/>
          <w:shd w:val="clear" w:color="auto" w:fill="FFFFFF"/>
        </w:rPr>
        <w:t>Cassane</w:t>
      </w:r>
      <w:proofErr w:type="spellEnd"/>
      <w:r w:rsidR="00A70FFB" w:rsidRPr="00A70FFB">
        <w:rPr>
          <w:rFonts w:ascii="Times New Roman" w:hAnsi="Times New Roman" w:cs="Times New Roman"/>
          <w:sz w:val="24"/>
          <w:szCs w:val="24"/>
          <w:shd w:val="clear" w:color="auto" w:fill="FFFFFF"/>
        </w:rPr>
        <w:t xml:space="preserve">, and </w:t>
      </w:r>
      <w:proofErr w:type="spellStart"/>
      <w:r w:rsidR="00A70FFB" w:rsidRPr="00A70FFB">
        <w:rPr>
          <w:rFonts w:ascii="Times New Roman" w:hAnsi="Times New Roman" w:cs="Times New Roman"/>
          <w:sz w:val="24"/>
          <w:szCs w:val="24"/>
          <w:shd w:val="clear" w:color="auto" w:fill="FFFFFF"/>
        </w:rPr>
        <w:t>Norcassane</w:t>
      </w:r>
      <w:proofErr w:type="spellEnd"/>
      <w:r w:rsidR="00A70FFB" w:rsidRPr="00A70FFB">
        <w:rPr>
          <w:rFonts w:ascii="Times New Roman" w:hAnsi="Times New Roman" w:cs="Times New Roman"/>
          <w:sz w:val="24"/>
          <w:szCs w:val="24"/>
          <w:shd w:val="clear" w:color="auto" w:fill="FFFFFF"/>
        </w:rPr>
        <w:t xml:space="preserve"> from </w:t>
      </w:r>
      <w:proofErr w:type="spellStart"/>
      <w:r w:rsidR="00A70FFB" w:rsidRPr="00A70FFB">
        <w:rPr>
          <w:rFonts w:ascii="Times New Roman" w:hAnsi="Times New Roman" w:cs="Times New Roman"/>
          <w:i/>
          <w:iCs/>
          <w:sz w:val="24"/>
          <w:szCs w:val="24"/>
          <w:shd w:val="clear" w:color="auto" w:fill="FFFFFF"/>
        </w:rPr>
        <w:t>Caesalpinia</w:t>
      </w:r>
      <w:proofErr w:type="spellEnd"/>
      <w:r w:rsidR="00A70FFB" w:rsidRPr="00A70FFB">
        <w:rPr>
          <w:rFonts w:ascii="Times New Roman" w:hAnsi="Times New Roman" w:cs="Times New Roman"/>
          <w:i/>
          <w:iCs/>
          <w:sz w:val="24"/>
          <w:szCs w:val="24"/>
          <w:shd w:val="clear" w:color="auto" w:fill="FFFFFF"/>
        </w:rPr>
        <w:t xml:space="preserve"> crista</w:t>
      </w:r>
      <w:r w:rsidR="00A70FFB" w:rsidRPr="00A70FFB">
        <w:rPr>
          <w:rFonts w:ascii="Times New Roman" w:hAnsi="Times New Roman" w:cs="Times New Roman"/>
          <w:b/>
          <w:bCs/>
          <w:sz w:val="24"/>
          <w:szCs w:val="24"/>
          <w:shd w:val="clear" w:color="auto" w:fill="FFFFFF"/>
        </w:rPr>
        <w:fldChar w:fldCharType="begin" w:fldLock="1"/>
      </w:r>
      <w:r w:rsidR="00A70FFB" w:rsidRPr="00A70FFB">
        <w:rPr>
          <w:rFonts w:ascii="Times New Roman" w:hAnsi="Times New Roman" w:cs="Times New Roman"/>
          <w:sz w:val="24"/>
          <w:szCs w:val="24"/>
          <w:shd w:val="clear" w:color="auto" w:fill="FFFFFF"/>
        </w:rPr>
        <w:instrText>ADDIN CSL_CITATION {"citationItems":[{"id":"ITEM-1","itemData":{"DOI":"10.1248/bpb.29.1050","ISSN":"09186158","PMID":"16651745","abstract":"Malaria is one of the most life-threatening infectious diseases worldwide and claims the millions of peoples life each year. The appearance of drug-resistance Plasmodium falciparum has made the treatment of malaria increasingly problematic, and thus, it is a dire need to search the new alternatives of current drugs. In the present study, 44 cassane- and norcassane-type diterpenes isolated from Caesalpinia crista of Myanmar and Indonesia were evaluated for their antimalarial activity against the malaria parasite Plasmodium falciparum FCR-3/A2 clone in vitro. Most of the tested diterpenes displayed antimalarial activity, and norcaesalpinin E (28) showed the most potent activity with an IC50 value of 0.090 μM, more potent than the clinically used drug chloroquine (IC50, 0.29 μM). Based on the observed results, a structure-activity relationship has been established. © 2006 Pharmaceutical Society of Japan.","author":[{"dropping-particle":"","family":"Kalauni","given":"Surya Kant","non-dropping-particle":"","parse-names":false,"suffix":""},{"dropping-particle":"","family":"Awale","given":"Suresh","non-dropping-particle":"","parse-names":false,"suffix":""},{"dropping-particle":"","family":"Tezuka","given":"Yasuhiro","non-dropping-particle":"","parse-names":false,"suffix":""},{"dropping-particle":"","family":"Banskota","given":"Arjun Hari","non-dropping-particle":"","parse-names":false,"suffix":""},{"dropping-particle":"","family":"Linn","given":"Thein Zaw","non-dropping-particle":"","parse-names":false,"suffix":""},{"dropping-particle":"","family":"Asih","given":"Puji Budi Setia","non-dropping-particle":"","parse-names":false,"suffix":""},{"dropping-particle":"","family":"Syafruddin","given":"Din","non-dropping-particle":"","parse-names":false,"suffix":""},{"dropping-particle":"","family":"Kadota","given":"Shigetoshi","non-dropping-particle":"","parse-names":false,"suffix":""}],"container-title":"Biological and Pharmaceutical Bulletin","id":"ITEM-1","issue":"5","issued":{"date-parts":[["2006"]]},"page":"1050-1052","title":"Antimalarial activity of cassane- and norcassane-type diterpenes from Caesalpinia crista and their structure-activity relationship","type":"article-journal","volume":"29"},"uris":["http://www.mendeley.com/documents/?uuid=fd1e0a01-df32-4ac9-8ec9-3178d1ba6c9e"]}],"mendeley":{"formattedCitation":"[15]","plainTextFormattedCitation":"[15]","previouslyFormattedCitation":"[14]"},"properties":{"noteIndex":0},"schema":"https://github.com/citation-style-language/schema/raw/master/csl-citation.json"}</w:instrText>
      </w:r>
      <w:r w:rsidR="00A70FFB" w:rsidRPr="00A70FFB">
        <w:rPr>
          <w:rFonts w:ascii="Times New Roman" w:hAnsi="Times New Roman" w:cs="Times New Roman"/>
          <w:b/>
          <w:bCs/>
          <w:sz w:val="24"/>
          <w:szCs w:val="24"/>
          <w:shd w:val="clear" w:color="auto" w:fill="FFFFFF"/>
        </w:rPr>
        <w:fldChar w:fldCharType="separate"/>
      </w:r>
      <w:r w:rsidR="00A70FFB" w:rsidRPr="00A70FFB">
        <w:rPr>
          <w:rFonts w:ascii="Times New Roman" w:hAnsi="Times New Roman" w:cs="Times New Roman"/>
          <w:noProof/>
          <w:sz w:val="24"/>
          <w:szCs w:val="24"/>
          <w:shd w:val="clear" w:color="auto" w:fill="FFFFFF"/>
        </w:rPr>
        <w:t>[15]</w:t>
      </w:r>
      <w:r w:rsidR="00A70FFB" w:rsidRPr="00A70FFB">
        <w:rPr>
          <w:rFonts w:ascii="Times New Roman" w:hAnsi="Times New Roman" w:cs="Times New Roman"/>
          <w:b/>
          <w:bCs/>
          <w:sz w:val="24"/>
          <w:szCs w:val="24"/>
          <w:shd w:val="clear" w:color="auto" w:fill="FFFFFF"/>
        </w:rPr>
        <w:fldChar w:fldCharType="end"/>
      </w:r>
      <w:r w:rsidR="00A70FFB" w:rsidRPr="00A70FFB">
        <w:rPr>
          <w:rFonts w:ascii="Times New Roman" w:hAnsi="Times New Roman" w:cs="Times New Roman"/>
          <w:sz w:val="24"/>
          <w:szCs w:val="24"/>
          <w:shd w:val="clear" w:color="auto" w:fill="FFFFFF"/>
        </w:rPr>
        <w:t xml:space="preserve">, </w:t>
      </w:r>
      <w:proofErr w:type="spellStart"/>
      <w:r w:rsidR="00A70FFB" w:rsidRPr="00A70FFB">
        <w:rPr>
          <w:rFonts w:ascii="Times New Roman" w:hAnsi="Times New Roman" w:cs="Times New Roman"/>
          <w:sz w:val="24"/>
          <w:szCs w:val="24"/>
          <w:shd w:val="clear" w:color="auto" w:fill="FFFFFF"/>
        </w:rPr>
        <w:t>Jacaranone</w:t>
      </w:r>
      <w:proofErr w:type="spellEnd"/>
      <w:r w:rsidR="00A70FFB" w:rsidRPr="00A70FFB">
        <w:rPr>
          <w:rFonts w:ascii="Times New Roman" w:hAnsi="Times New Roman" w:cs="Times New Roman"/>
          <w:sz w:val="24"/>
          <w:szCs w:val="24"/>
          <w:shd w:val="clear" w:color="auto" w:fill="FFFFFF"/>
        </w:rPr>
        <w:t xml:space="preserve"> from </w:t>
      </w:r>
      <w:proofErr w:type="spellStart"/>
      <w:r w:rsidR="00A70FFB" w:rsidRPr="00A70FFB">
        <w:rPr>
          <w:rFonts w:ascii="Times New Roman" w:hAnsi="Times New Roman" w:cs="Times New Roman"/>
          <w:i/>
          <w:iCs/>
          <w:sz w:val="24"/>
          <w:szCs w:val="24"/>
        </w:rPr>
        <w:t>Pentacalia</w:t>
      </w:r>
      <w:proofErr w:type="spellEnd"/>
      <w:r w:rsidR="00A70FFB" w:rsidRPr="00A70FFB">
        <w:rPr>
          <w:rFonts w:ascii="Times New Roman" w:hAnsi="Times New Roman" w:cs="Times New Roman"/>
          <w:i/>
          <w:iCs/>
          <w:sz w:val="24"/>
          <w:szCs w:val="24"/>
        </w:rPr>
        <w:t xml:space="preserve"> </w:t>
      </w:r>
      <w:proofErr w:type="spellStart"/>
      <w:r w:rsidR="00A70FFB" w:rsidRPr="00A70FFB">
        <w:rPr>
          <w:rFonts w:ascii="Times New Roman" w:hAnsi="Times New Roman" w:cs="Times New Roman"/>
          <w:i/>
          <w:iCs/>
          <w:sz w:val="24"/>
          <w:szCs w:val="24"/>
        </w:rPr>
        <w:t>desiderabilis</w:t>
      </w:r>
      <w:proofErr w:type="spellEnd"/>
      <w:r w:rsidR="00A70FFB" w:rsidRPr="00A70FFB">
        <w:rPr>
          <w:rFonts w:ascii="Times New Roman" w:hAnsi="Times New Roman" w:cs="Times New Roman"/>
          <w:sz w:val="24"/>
          <w:szCs w:val="24"/>
        </w:rPr>
        <w:t> </w:t>
      </w:r>
      <w:r w:rsidR="00A70FFB" w:rsidRPr="00A70FFB">
        <w:rPr>
          <w:rFonts w:ascii="Times New Roman" w:hAnsi="Times New Roman" w:cs="Times New Roman"/>
          <w:b/>
          <w:bCs/>
          <w:sz w:val="24"/>
          <w:szCs w:val="24"/>
        </w:rPr>
        <w:fldChar w:fldCharType="begin" w:fldLock="1"/>
      </w:r>
      <w:r w:rsidR="00A70FFB" w:rsidRPr="00A70FFB">
        <w:rPr>
          <w:rFonts w:ascii="Times New Roman" w:hAnsi="Times New Roman" w:cs="Times New Roman"/>
          <w:sz w:val="24"/>
          <w:szCs w:val="24"/>
        </w:rPr>
        <w:instrText>ADDIN CSL_CITATION {"citationItems":[{"id":"ITEM-1","itemData":{"DOI":"10.1007/s00436-011-2454-9","ISSN":"1432-1955","abstract":"Leishmaniasis, Chagas disease, and malaria affect the poorest population around the world, with an elevated mortality and morbidity. In addition, the therapeutic alternatives are usually toxic or ineffective drugs especially those against the trypanosomatids. In the course of selection of new anti-protozoal compounds from Brazilian flora, the CH2Cl2 phase from MeOH extract obtained from the leaves of Pentacalia desiderabilis (Vell.) Cuatrec. (Asteraceae) showed in vitro anti-leishmanial, anti-malarial, and anti-trypanosomal activities. The chromatographic fractionation of the CH2Cl2 phase led to the isolation of the bioactive compound, which was characterized as jacaranone [methyl (1-hydroxy-4-oxo-2,5-cyclohexandienyl)acetate], by spectroscopic methods. This compound showed activity against promastigotes of Leishmania (L.) chagasi, Leishmania (V.) braziliensis, and Leishmania (L.). amazonensis showing an IC50 of 17.22, 12.93, and 11.86 μg/mL, respectively. Jacaranone was also tested in vitro against the Trypanosoma cruzi trypomastigotes and Plasmodium falciparum chloroquine-resistant parasites (K1 strain) showing an IC50 of 13 and 7.82 μg/mL, respectively, and was 3.5-fold more effective than benznidazole in anti-Trypanosoma cruzi assay. However, despite of the potential against promatigotes forms, this compound was not effective against amastigotes of L. (L.) chagasi and T. cruzi. The cytotoxicity study using Kidney Rhesus monkey cells, demonstrated that jacaranone showed selectivity against P. falciparum (21.75 μg/mL) and a selectivity index of 3. The obtained results suggested that jacaranone, as other similar secondary metabolites or synthetic analogs, might be useful tolls for drug design for in vivo studies against protozoan diseases.","author":[{"dropping-particle":"","family":"Morais","given":"Thiago R","non-dropping-particle":"","parse-names":false,"suffix":""},{"dropping-particle":"","family":"Romoff","given":"Paulete","non-dropping-particle":"","parse-names":false,"suffix":""},{"dropping-particle":"","family":"Fávero","given":"Oriana A","non-dropping-particle":"","parse-names":false,"suffix":""},{"dropping-particle":"","family":"Reimão","given":"Juliana Q","non-dropping-particle":"","parse-names":false,"suffix":""},{"dropping-particle":"","family":"Lourenço","given":"Walkyria C","non-dropping-particle":"","parse-names":false,"suffix":""},{"dropping-particle":"","family":"Tempone","given":"André G","non-dropping-particle":"","parse-names":false,"suffix":""},{"dropping-particle":"","family":"Hristov","given":"Angelica D","non-dropping-particle":"","parse-names":false,"suffix":""},{"dropping-particle":"","family":"Santi","given":"Silvia M","non-dropping-particle":"Di","parse-names":false,"suffix":""},{"dropping-particle":"","family":"Lago","given":"João Henrique G","non-dropping-particle":"","parse-names":false,"suffix":""},{"dropping-particle":"","family":"Sartorelli","given":"Patricia","non-dropping-particle":"","parse-names":false,"suffix":""},{"dropping-particle":"","family":"Ferreira","given":"Marcelo J P","non-dropping-particle":"","parse-names":false,"suffix":""}],"container-title":"Parasitology Research","id":"ITEM-1","issue":"1","issued":{"date-parts":[["2012"]]},"page":"95-101","title":"Anti-malarial, anti-trypanosomal, and anti-leishmanial activities of jacaranone isolated from Pentacalia desiderabilis (Vell.) Cuatrec. (Asteraceae)","type":"article-journal","volume":"110"},"uris":["http://www.mendeley.com/documents/?uuid=7614c6b5-f319-410f-a45e-1f9e13fed872"]}],"mendeley":{"formattedCitation":"[16]","plainTextFormattedCitation":"[16]","previouslyFormattedCitation":"[15]"},"properties":{"noteIndex":0},"schema":"https://github.com/citation-style-language/schema/raw/master/csl-citation.json"}</w:instrText>
      </w:r>
      <w:r w:rsidR="00A70FFB" w:rsidRPr="00A70FFB">
        <w:rPr>
          <w:rFonts w:ascii="Times New Roman" w:hAnsi="Times New Roman" w:cs="Times New Roman"/>
          <w:b/>
          <w:bCs/>
          <w:sz w:val="24"/>
          <w:szCs w:val="24"/>
        </w:rPr>
        <w:fldChar w:fldCharType="separate"/>
      </w:r>
      <w:r w:rsidR="00A70FFB" w:rsidRPr="00A70FFB">
        <w:rPr>
          <w:rFonts w:ascii="Times New Roman" w:hAnsi="Times New Roman" w:cs="Times New Roman"/>
          <w:noProof/>
          <w:sz w:val="24"/>
          <w:szCs w:val="24"/>
        </w:rPr>
        <w:t>[16]</w:t>
      </w:r>
      <w:r w:rsidR="00A70FFB" w:rsidRPr="00A70FFB">
        <w:rPr>
          <w:rFonts w:ascii="Times New Roman" w:hAnsi="Times New Roman" w:cs="Times New Roman"/>
          <w:b/>
          <w:bCs/>
          <w:sz w:val="24"/>
          <w:szCs w:val="24"/>
        </w:rPr>
        <w:fldChar w:fldCharType="end"/>
      </w:r>
      <w:r w:rsidR="00A70FFB" w:rsidRPr="00A70FFB">
        <w:rPr>
          <w:rFonts w:ascii="Times New Roman" w:hAnsi="Times New Roman" w:cs="Times New Roman"/>
          <w:sz w:val="24"/>
          <w:szCs w:val="24"/>
        </w:rPr>
        <w:t xml:space="preserve">, </w:t>
      </w:r>
      <w:proofErr w:type="spellStart"/>
      <w:r w:rsidR="00A70FFB" w:rsidRPr="00A70FFB">
        <w:rPr>
          <w:rFonts w:ascii="Times New Roman" w:hAnsi="Times New Roman" w:cs="Times New Roman"/>
          <w:sz w:val="24"/>
          <w:szCs w:val="24"/>
          <w:shd w:val="clear" w:color="auto" w:fill="FFFFFF"/>
        </w:rPr>
        <w:t>Dehydrobrachylaenolide</w:t>
      </w:r>
      <w:proofErr w:type="spellEnd"/>
      <w:r w:rsidR="00A70FFB" w:rsidRPr="00A70FFB">
        <w:rPr>
          <w:rFonts w:ascii="Times New Roman" w:hAnsi="Times New Roman" w:cs="Times New Roman"/>
          <w:sz w:val="24"/>
          <w:szCs w:val="24"/>
          <w:shd w:val="clear" w:color="auto" w:fill="FFFFFF"/>
        </w:rPr>
        <w:t xml:space="preserve"> from </w:t>
      </w:r>
      <w:proofErr w:type="spellStart"/>
      <w:r w:rsidR="00A70FFB" w:rsidRPr="00A70FFB">
        <w:rPr>
          <w:rFonts w:ascii="Times New Roman" w:hAnsi="Times New Roman" w:cs="Times New Roman"/>
          <w:i/>
          <w:iCs/>
          <w:sz w:val="24"/>
          <w:szCs w:val="24"/>
        </w:rPr>
        <w:t>Dicoma</w:t>
      </w:r>
      <w:proofErr w:type="spellEnd"/>
      <w:r w:rsidR="00A70FFB" w:rsidRPr="00A70FFB">
        <w:rPr>
          <w:rFonts w:ascii="Times New Roman" w:hAnsi="Times New Roman" w:cs="Times New Roman"/>
          <w:i/>
          <w:iCs/>
          <w:sz w:val="24"/>
          <w:szCs w:val="24"/>
        </w:rPr>
        <w:t xml:space="preserve"> </w:t>
      </w:r>
      <w:proofErr w:type="spellStart"/>
      <w:r w:rsidR="00A70FFB" w:rsidRPr="00A70FFB">
        <w:rPr>
          <w:rFonts w:ascii="Times New Roman" w:hAnsi="Times New Roman" w:cs="Times New Roman"/>
          <w:i/>
          <w:iCs/>
          <w:sz w:val="24"/>
          <w:szCs w:val="24"/>
        </w:rPr>
        <w:t>anomala</w:t>
      </w:r>
      <w:proofErr w:type="spellEnd"/>
      <w:r w:rsidR="00A70FFB" w:rsidRPr="00A70FFB">
        <w:rPr>
          <w:rFonts w:ascii="Times New Roman" w:hAnsi="Times New Roman" w:cs="Times New Roman"/>
          <w:b/>
          <w:bCs/>
          <w:i/>
          <w:iCs/>
          <w:sz w:val="24"/>
          <w:szCs w:val="24"/>
        </w:rPr>
        <w:fldChar w:fldCharType="begin" w:fldLock="1"/>
      </w:r>
      <w:r w:rsidR="00A70FFB" w:rsidRPr="00A70FFB">
        <w:rPr>
          <w:rFonts w:ascii="Times New Roman" w:hAnsi="Times New Roman" w:cs="Times New Roman"/>
          <w:i/>
          <w:iCs/>
          <w:sz w:val="24"/>
          <w:szCs w:val="24"/>
        </w:rPr>
        <w:instrText>ADDIN CSL_CITATION {"citationItems":[{"id":"ITEM-1","itemData":{"DOI":"10.1186/1475-2875-10-295","ISSN":"14752875","PMID":"21985233","abstract":"Background: Anti-malarial drug resistance threatens to undermine efforts to eliminate this deadly disease. The resulting omnipresent requirement for drugs with novel modes of action prompted a national consortium initiative to discover new anti-plasmodial agents from South African medicinal plants. One of the plants selected for investigation was Dicoma anomala subsp. gerrardii, based on its ethnomedicinal profile. Methods. Standard phytochemical analysis techniques, including solvent-solvent extraction, thin-layer- and column chromatography, were used to isolate the main active constituent of Dicoma anomala subsp. gerrardii. The crystallized pure compound was identified using nuclear magnetic resonance spectroscopy, mass spectrometry and X-ray crystallography. The compound was tested in vitro on Plasmodium falciparum cultures using the parasite lactate dehydrogenase (pLDH) assay and was found to have anti-malarial activity. To determine the functional groups responsible for the activity, a small collection of synthetic analogues was generated - the aim being to vary features proposed as likely to be related to the anti-malarial activity and to quantify the effect of the modifications in vitro using the pLDH assay. The effects of the pure compound on the P. falciparum transcriptome were subsequently investigated by treating ring-stage parasites (alongside untreated controls), followed by oligonucleotide microarray- and data analysis. Results: The main active constituent was identified as dehydrobrachylaenolide, a eudesmanolide-type sesquiterpene lactone. The compound demonstrated an in vitro IC50of 1.865 M against a chloroquine-sensitive strain (D10) of P. falciparum. Synthetic analogues of the compound confirmed an absolute requirement that the -methylene lactone be present in the eudesmanolide before significant anti-malarial activity was observed. This feature is absent in the artemisinins and suggests a different mode of action. Microarray data analysis identified 572 unique genes that were differentially expressed as a result of the treatment and gene ontology analysis identified various biological processes and molecular functions that were significantly affected. Comparison of the dehydrobrachylaenolide treatment transcriptional dataset with a published artesunate (also a sesquiterpene lactone) dataset revealed little overlap. These results strengthen the notion that the isolated compound and the artemisinins have differentiated modes of action. …","author":[{"dropping-particle":"","family":"Becker","given":"John Vw","non-dropping-particle":"","parse-names":false,"suffix":""},{"dropping-particle":"","family":"Merwe","given":"Marina M.","non-dropping-particle":"Van Der","parse-names":false,"suffix":""},{"dropping-particle":"","family":"Brummelen","given":"Anna C.","non-dropping-particle":"Van","parse-names":false,"suffix":""},{"dropping-particle":"","family":"Pillay","given":"Pamisha","non-dropping-particle":"","parse-names":false,"suffix":""},{"dropping-particle":"","family":"Crampton","given":"Bridget G.","non-dropping-particle":"","parse-names":false,"suffix":""},{"dropping-particle":"","family":"Mmutlane","given":"Edwin M.","non-dropping-particle":"","parse-names":false,"suffix":""},{"dropping-particle":"","family":"Parkinson","given":"Chris","non-dropping-particle":"","parse-names":false,"suffix":""},{"dropping-particle":"","family":"Heerden","given":"Fanie R.","non-dropping-particle":"Van","parse-names":false,"suffix":""},{"dropping-particle":"","family":"Crouch","given":"Neil R.","non-dropping-particle":"","parse-names":false,"suffix":""},{"dropping-particle":"","family":"Smith","given":"Peter J.","non-dropping-particle":"","parse-names":false,"suffix":""},{"dropping-particle":"","family":"Mancama","given":"Dalu T.","non-dropping-particle":"","parse-names":false,"suffix":""},{"dropping-particle":"","family":"Maharaj","given":"Vinesh J.","non-dropping-particle":"","parse-names":false,"suffix":""}],"container-title":"Malaria Journal","id":"ITEM-1","issued":{"date-parts":[["2011"]]},"page":"1-11","title":"In vitro anti-plasmodial activity of Dicoma anomala subsp. gerrardii (Asteraceae): Identification of its main active constituent, structure-activity relationship studies and gene expression profiling","type":"article-journal","volume":"10"},"uris":["http://www.mendeley.com/documents/?uuid=06b0832a-4833-43bc-bfad-3a6e613dce5b"]}],"mendeley":{"formattedCitation":"[17]","plainTextFormattedCitation":"[17]","previouslyFormattedCitation":"[16]"},"properties":{"noteIndex":0},"schema":"https://github.com/citation-style-language/schema/raw/master/csl-citation.json"}</w:instrText>
      </w:r>
      <w:r w:rsidR="00A70FFB" w:rsidRPr="00A70FFB">
        <w:rPr>
          <w:rFonts w:ascii="Times New Roman" w:hAnsi="Times New Roman" w:cs="Times New Roman"/>
          <w:b/>
          <w:bCs/>
          <w:i/>
          <w:iCs/>
          <w:sz w:val="24"/>
          <w:szCs w:val="24"/>
        </w:rPr>
        <w:fldChar w:fldCharType="separate"/>
      </w:r>
      <w:r w:rsidR="00A70FFB" w:rsidRPr="00A70FFB">
        <w:rPr>
          <w:rFonts w:ascii="Times New Roman" w:hAnsi="Times New Roman" w:cs="Times New Roman"/>
          <w:iCs/>
          <w:noProof/>
          <w:sz w:val="24"/>
          <w:szCs w:val="24"/>
        </w:rPr>
        <w:t>[17]</w:t>
      </w:r>
      <w:r w:rsidR="00A70FFB" w:rsidRPr="00A70FFB">
        <w:rPr>
          <w:rFonts w:ascii="Times New Roman" w:hAnsi="Times New Roman" w:cs="Times New Roman"/>
          <w:b/>
          <w:bCs/>
          <w:i/>
          <w:iCs/>
          <w:sz w:val="24"/>
          <w:szCs w:val="24"/>
        </w:rPr>
        <w:fldChar w:fldCharType="end"/>
      </w:r>
      <w:r w:rsidR="00A70FFB" w:rsidRPr="00A70FFB">
        <w:rPr>
          <w:rFonts w:ascii="Times New Roman" w:hAnsi="Times New Roman" w:cs="Times New Roman"/>
          <w:i/>
          <w:iCs/>
          <w:sz w:val="24"/>
          <w:szCs w:val="24"/>
        </w:rPr>
        <w:t xml:space="preserve">, </w:t>
      </w:r>
      <w:r w:rsidR="00A70FFB" w:rsidRPr="00A70FFB">
        <w:rPr>
          <w:rFonts w:ascii="Times New Roman" w:hAnsi="Times New Roman" w:cs="Times New Roman"/>
          <w:sz w:val="24"/>
          <w:szCs w:val="24"/>
          <w:shd w:val="clear" w:color="auto" w:fill="FFFFFF"/>
        </w:rPr>
        <w:t>Halogenated Compounds from </w:t>
      </w:r>
      <w:proofErr w:type="spellStart"/>
      <w:r w:rsidR="00A70FFB" w:rsidRPr="00A70FFB">
        <w:rPr>
          <w:rFonts w:ascii="Times New Roman" w:hAnsi="Times New Roman" w:cs="Times New Roman"/>
          <w:i/>
          <w:iCs/>
          <w:sz w:val="24"/>
          <w:szCs w:val="24"/>
          <w:shd w:val="clear" w:color="auto" w:fill="FFFFFF"/>
        </w:rPr>
        <w:t>Halimeda</w:t>
      </w:r>
      <w:proofErr w:type="spellEnd"/>
      <w:r w:rsidR="00A70FFB" w:rsidRPr="00A70FFB">
        <w:rPr>
          <w:rFonts w:ascii="Times New Roman" w:hAnsi="Times New Roman" w:cs="Times New Roman"/>
          <w:i/>
          <w:iCs/>
          <w:sz w:val="24"/>
          <w:szCs w:val="24"/>
          <w:shd w:val="clear" w:color="auto" w:fill="FFFFFF"/>
        </w:rPr>
        <w:t xml:space="preserve"> </w:t>
      </w:r>
      <w:proofErr w:type="spellStart"/>
      <w:r w:rsidR="00A70FFB" w:rsidRPr="00A70FFB">
        <w:rPr>
          <w:rFonts w:ascii="Times New Roman" w:hAnsi="Times New Roman" w:cs="Times New Roman"/>
          <w:i/>
          <w:iCs/>
          <w:sz w:val="24"/>
          <w:szCs w:val="24"/>
          <w:shd w:val="clear" w:color="auto" w:fill="FFFFFF"/>
        </w:rPr>
        <w:t>macroloba</w:t>
      </w:r>
      <w:proofErr w:type="spellEnd"/>
      <w:r w:rsidR="00A70FFB" w:rsidRPr="00A70FFB">
        <w:rPr>
          <w:rFonts w:ascii="Times New Roman" w:hAnsi="Times New Roman" w:cs="Times New Roman"/>
          <w:sz w:val="24"/>
          <w:szCs w:val="24"/>
          <w:shd w:val="clear" w:color="auto" w:fill="FFFFFF"/>
        </w:rPr>
        <w:t> Seaweed</w:t>
      </w:r>
      <w:r w:rsidR="00A70FFB" w:rsidRPr="00A70FFB">
        <w:rPr>
          <w:rFonts w:ascii="Times New Roman" w:hAnsi="Times New Roman" w:cs="Times New Roman"/>
          <w:b/>
          <w:bCs/>
          <w:sz w:val="24"/>
          <w:szCs w:val="24"/>
          <w:shd w:val="clear" w:color="auto" w:fill="FFFFFF"/>
        </w:rPr>
        <w:fldChar w:fldCharType="begin" w:fldLock="1"/>
      </w:r>
      <w:r w:rsidR="00A70FFB" w:rsidRPr="00A70FFB">
        <w:rPr>
          <w:rFonts w:ascii="Times New Roman" w:hAnsi="Times New Roman" w:cs="Times New Roman"/>
          <w:sz w:val="24"/>
          <w:szCs w:val="24"/>
          <w:shd w:val="clear" w:color="auto" w:fill="FFFFFF"/>
        </w:rPr>
        <w:instrText>ADDIN CSL_CITATION {"citationItems":[{"id":"ITEM-1","itemData":{"DOI":"10.3390/molecules27175617","ISSN":"14203049","PMID":"36080381","abstract":"Malaria is one of the most important infectious diseases worldwide. The causative of the most severe forms of malaria, Plasmodium falciparum, has developed resistances against all the available antimalarial drugs. In the present study, the phytochemical investigation of the green seaweed Halimeda macroloba has afforded two new compounds 1–2, along with 4 known ones 3–6. The structures of the compounds had been confirmed using 1&amp; 2D-NMR and HRESIMS analyses. Extensive machine-learning-supported virtual-screening suggested cytochrome-C enzyme as a potential target for compound 2. Docking, absolute-binding-free-energy (ΔGbinding) and molecular-dynamics-simulation (MDS) of compound 2 revealed the strong binding interaction of this compound with cytochrome-C. In vitro testing for crude extract and isolated compounds revealed the potential in vitro inhibitory activity of both extract and compound 2 against P. falciparum. The crude extract was able to inhibit the parasite growth with an IC50 value of 1.8 ± 0.35 µg/mL. Compound 2 also showed good inhibitory activity with an IC50 value of 3.2 ± 0.23 µg/mL. Meanwhile, compound 6 showed moderate inhibitory activity with an IC50 value of 19.3 ± 0.51 µg/mL. Accordingly, the scaffold of compound 2 can be considered as a good lead compound for the future development of new antimalarial agents.","author":[{"dropping-particle":"","family":"Elmaidomy","given":"Abeer H.","non-dropping-particle":"","parse-names":false,"suffix":""},{"dropping-particle":"","family":"Zahran","given":"Eman Maher","non-dropping-particle":"","parse-names":false,"suffix":""},{"dropping-particle":"","family":"Soltane","given":"Raya","non-dropping-particle":"","parse-names":false,"suffix":""},{"dropping-particle":"","family":"Alasiri","given":"Ahlam","non-dropping-particle":"","parse-names":false,"suffix":""},{"dropping-particle":"","family":"Saber","given":"Hani","non-dropping-particle":"","parse-names":false,"suffix":""},{"dropping-particle":"","family":"Ngwa","given":"Che Julius","non-dropping-particle":"","parse-names":false,"suffix":""},{"dropping-particle":"","family":"Pradel","given":"Gabriele","non-dropping-particle":"","parse-names":false,"suffix":""},{"dropping-particle":"","family":"Alsenani","given":"Faisal","non-dropping-particle":"","parse-names":false,"suffix":""},{"dropping-particle":"","family":"Sayed","given":"Ahmed M.","non-dropping-particle":"","parse-names":false,"suffix":""},{"dropping-particle":"","family":"Abdelmohsen","given":"Usama Ramadan","non-dropping-particle":"","parse-names":false,"suffix":""}],"container-title":"Molecules","id":"ITEM-1","issue":"17","issued":{"date-parts":[["2022"]]},"title":"New Halogenated Compounds from Halimeda macroloba Seaweed with Potential Inhibitory Activity against Malaria","type":"article-journal","volume":"27"},"uris":["http://www.mendeley.com/documents/?uuid=77ca46f4-11c5-4f30-9d71-b9994aec440f"]}],"mendeley":{"formattedCitation":"[18]","plainTextFormattedCitation":"[18]","previouslyFormattedCitation":"[17]"},"properties":{"noteIndex":0},"schema":"https://github.com/citation-style-language/schema/raw/master/csl-citation.json"}</w:instrText>
      </w:r>
      <w:r w:rsidR="00A70FFB" w:rsidRPr="00A70FFB">
        <w:rPr>
          <w:rFonts w:ascii="Times New Roman" w:hAnsi="Times New Roman" w:cs="Times New Roman"/>
          <w:b/>
          <w:bCs/>
          <w:sz w:val="24"/>
          <w:szCs w:val="24"/>
          <w:shd w:val="clear" w:color="auto" w:fill="FFFFFF"/>
        </w:rPr>
        <w:fldChar w:fldCharType="separate"/>
      </w:r>
      <w:r w:rsidR="00A70FFB" w:rsidRPr="00A70FFB">
        <w:rPr>
          <w:rFonts w:ascii="Times New Roman" w:hAnsi="Times New Roman" w:cs="Times New Roman"/>
          <w:noProof/>
          <w:sz w:val="24"/>
          <w:szCs w:val="24"/>
          <w:shd w:val="clear" w:color="auto" w:fill="FFFFFF"/>
        </w:rPr>
        <w:t>[18]</w:t>
      </w:r>
      <w:r w:rsidR="00A70FFB" w:rsidRPr="00A70FFB">
        <w:rPr>
          <w:rFonts w:ascii="Times New Roman" w:hAnsi="Times New Roman" w:cs="Times New Roman"/>
          <w:b/>
          <w:bCs/>
          <w:sz w:val="24"/>
          <w:szCs w:val="24"/>
          <w:shd w:val="clear" w:color="auto" w:fill="FFFFFF"/>
        </w:rPr>
        <w:fldChar w:fldCharType="end"/>
      </w:r>
      <w:r w:rsidR="00A70FFB" w:rsidRPr="00A70FFB">
        <w:rPr>
          <w:rFonts w:ascii="Times New Roman" w:hAnsi="Times New Roman" w:cs="Times New Roman"/>
          <w:sz w:val="24"/>
          <w:szCs w:val="24"/>
          <w:shd w:val="clear" w:color="auto" w:fill="FFFFFF"/>
        </w:rPr>
        <w:t xml:space="preserve">, </w:t>
      </w:r>
      <w:proofErr w:type="spellStart"/>
      <w:r w:rsidR="00A70FFB" w:rsidRPr="00A70FFB">
        <w:rPr>
          <w:rFonts w:ascii="Times New Roman" w:hAnsi="Times New Roman" w:cs="Times New Roman"/>
          <w:sz w:val="24"/>
          <w:szCs w:val="24"/>
          <w:shd w:val="clear" w:color="auto" w:fill="FFFFFF"/>
        </w:rPr>
        <w:t>Aristolochic</w:t>
      </w:r>
      <w:proofErr w:type="spellEnd"/>
      <w:r w:rsidR="00A70FFB" w:rsidRPr="00A70FFB">
        <w:rPr>
          <w:rFonts w:ascii="Times New Roman" w:hAnsi="Times New Roman" w:cs="Times New Roman"/>
          <w:sz w:val="24"/>
          <w:szCs w:val="24"/>
          <w:shd w:val="clear" w:color="auto" w:fill="FFFFFF"/>
        </w:rPr>
        <w:t xml:space="preserve"> acids isolated from </w:t>
      </w:r>
      <w:proofErr w:type="spellStart"/>
      <w:r w:rsidR="00A70FFB" w:rsidRPr="00A70FFB">
        <w:rPr>
          <w:rFonts w:ascii="Times New Roman" w:hAnsi="Times New Roman" w:cs="Times New Roman"/>
          <w:i/>
          <w:iCs/>
          <w:sz w:val="24"/>
          <w:szCs w:val="24"/>
          <w:shd w:val="clear" w:color="auto" w:fill="FFFFFF"/>
        </w:rPr>
        <w:t>Aristolochia</w:t>
      </w:r>
      <w:proofErr w:type="spellEnd"/>
      <w:r w:rsidR="00A70FFB" w:rsidRPr="00A70FFB">
        <w:rPr>
          <w:rFonts w:ascii="Times New Roman" w:hAnsi="Times New Roman" w:cs="Times New Roman"/>
          <w:i/>
          <w:iCs/>
          <w:sz w:val="24"/>
          <w:szCs w:val="24"/>
          <w:shd w:val="clear" w:color="auto" w:fill="FFFFFF"/>
        </w:rPr>
        <w:t xml:space="preserve"> </w:t>
      </w:r>
      <w:proofErr w:type="spellStart"/>
      <w:r w:rsidR="00A70FFB" w:rsidRPr="00A70FFB">
        <w:rPr>
          <w:rFonts w:ascii="Times New Roman" w:hAnsi="Times New Roman" w:cs="Times New Roman"/>
          <w:i/>
          <w:iCs/>
          <w:sz w:val="24"/>
          <w:szCs w:val="24"/>
          <w:shd w:val="clear" w:color="auto" w:fill="FFFFFF"/>
        </w:rPr>
        <w:t>indica</w:t>
      </w:r>
      <w:proofErr w:type="spellEnd"/>
      <w:r w:rsidR="00A70FFB" w:rsidRPr="00A70FFB">
        <w:rPr>
          <w:rFonts w:ascii="Times New Roman" w:hAnsi="Times New Roman" w:cs="Times New Roman"/>
          <w:sz w:val="24"/>
          <w:szCs w:val="24"/>
          <w:shd w:val="clear" w:color="auto" w:fill="FFFFFF"/>
        </w:rPr>
        <w:t> Linn</w:t>
      </w:r>
      <w:r w:rsidR="00A70FFB" w:rsidRPr="00A70FFB">
        <w:rPr>
          <w:rFonts w:ascii="Times New Roman" w:hAnsi="Times New Roman" w:cs="Times New Roman"/>
          <w:b/>
          <w:bCs/>
          <w:sz w:val="24"/>
          <w:szCs w:val="24"/>
          <w:shd w:val="clear" w:color="auto" w:fill="FFFFFF"/>
        </w:rPr>
        <w:fldChar w:fldCharType="begin" w:fldLock="1"/>
      </w:r>
      <w:r w:rsidR="00A70FFB" w:rsidRPr="00A70FFB">
        <w:rPr>
          <w:rFonts w:ascii="Times New Roman" w:hAnsi="Times New Roman" w:cs="Times New Roman"/>
          <w:sz w:val="24"/>
          <w:szCs w:val="24"/>
          <w:shd w:val="clear" w:color="auto" w:fill="FFFFFF"/>
        </w:rPr>
        <w:instrText>ADDIN CSL_CITATION {"citationItems":[{"id":"ITEM-1","itemData":{"DOI":"https://doi.org/10.1016/j.exppara.2015.01.017","ISSN":"0014-4894","abstract":"With the growth of resistance to overused insecticides, vector management has become highly problematic. Hence more concentration has been focused on botanicals. Therefore our present study was aimed to evaluate the toxicity of compounds, aristolochic acid I and aristolochic acid II from the methanol extract of Aristolochia indica L. (Aristolochiaceae) leaves on larvae of Anopheles stephensi L. (Diptera: Culicidae) employing World Health Organization standard larvicide testing procedures. The soxhlet extraction was carried out using polar solvent, methanol. The isolated toxic compounds were purified through RP-HPLC. The FTIR spectroscopic studies revealed different peak values with functional groups in the mixed compounds (AA-I and AA- II). These two aristolochic acids were further studied through 13C and 1HNMR analysis with confirmed by structures. Bioassay-guided fractionation through flash chromatography lead to the isolation of two larvicidal compounds namely aristolochic acid I and II. In these bioassays, the larvae were exposed to concentrations of 100, 250, 500,750 and 1000 ppm for each compound. Between the two, AA-I exerted no significant toxicity difference (P &lt; 0.05) on mosquito larvae with LC50- 171.3, 209.8, 269.1, 502.3 ppm and LC90-751.6, 963.8, 972.7, 990.8 ppm compared to AA-II with LC50-134.8, 166.7, 240.4,543.2 ppm and LC90- 636.7, 792.5, 990.8, 986.2 ppm against first, second, third and fourth instars, respectively. Further, the isolated compounds were severely affecting the mosquito gut. From the results, A. indica toxic compounds could be considered as one of the influential applicant to bring about useful botanicals so as to prevent the resurrection of mosquito vectors.","author":[{"dropping-particle":"","family":"Pradeepa","given":"Venkatraman","non-dropping-particle":"","parse-names":false,"suffix":""},{"dropping-particle":"","family":"Sathish-Narayanan","given":"Subbiah","non-dropping-particle":"","parse-names":false,"suffix":""},{"dropping-particle":"","family":"Kirubakaran","given":"Suyambulingam Arunachalam","non-dropping-particle":"","parse-names":false,"suffix":""},{"dropping-particle":"","family":"Thanigaivel","given":"Annamalai","non-dropping-particle":"","parse-names":false,"suffix":""},{"dropping-particle":"","family":"Senthil-Nathan","given":"Sengottayan","non-dropping-particle":"","parse-names":false,"suffix":""}],"container-title":"Experimental Parasitology","id":"ITEM-1","issued":{"date-parts":[["2015"]]},"page":"8-16","title":"Toxicity of aristolochic acids isolated from Aristolochia indica Linn (Aristolochiaceae) against the malarial vector Anopheles stephensi Liston (Diptera: Culicidae)","type":"article-journal","volume":"153"},"uris":["http://www.mendeley.com/documents/?uuid=0098b617-bc62-439c-a100-b9df22920609"]}],"mendeley":{"formattedCitation":"[19]","plainTextFormattedCitation":"[19]","previouslyFormattedCitation":"[18]"},"properties":{"noteIndex":0},"schema":"https://github.com/citation-style-language/schema/raw/master/csl-citation.json"}</w:instrText>
      </w:r>
      <w:r w:rsidR="00A70FFB" w:rsidRPr="00A70FFB">
        <w:rPr>
          <w:rFonts w:ascii="Times New Roman" w:hAnsi="Times New Roman" w:cs="Times New Roman"/>
          <w:b/>
          <w:bCs/>
          <w:sz w:val="24"/>
          <w:szCs w:val="24"/>
          <w:shd w:val="clear" w:color="auto" w:fill="FFFFFF"/>
        </w:rPr>
        <w:fldChar w:fldCharType="separate"/>
      </w:r>
      <w:r w:rsidR="00A70FFB" w:rsidRPr="00A70FFB">
        <w:rPr>
          <w:rFonts w:ascii="Times New Roman" w:hAnsi="Times New Roman" w:cs="Times New Roman"/>
          <w:noProof/>
          <w:sz w:val="24"/>
          <w:szCs w:val="24"/>
          <w:shd w:val="clear" w:color="auto" w:fill="FFFFFF"/>
        </w:rPr>
        <w:t>[19]</w:t>
      </w:r>
      <w:r w:rsidR="00A70FFB" w:rsidRPr="00A70FFB">
        <w:rPr>
          <w:rFonts w:ascii="Times New Roman" w:hAnsi="Times New Roman" w:cs="Times New Roman"/>
          <w:b/>
          <w:bCs/>
          <w:sz w:val="24"/>
          <w:szCs w:val="24"/>
          <w:shd w:val="clear" w:color="auto" w:fill="FFFFFF"/>
        </w:rPr>
        <w:fldChar w:fldCharType="end"/>
      </w:r>
      <w:r w:rsidR="00A70FFB" w:rsidRPr="00A70FFB">
        <w:rPr>
          <w:rFonts w:ascii="Times New Roman" w:hAnsi="Times New Roman" w:cs="Times New Roman"/>
          <w:sz w:val="24"/>
          <w:szCs w:val="24"/>
          <w:shd w:val="clear" w:color="auto" w:fill="FFFFFF"/>
        </w:rPr>
        <w:t xml:space="preserve">, </w:t>
      </w:r>
      <w:proofErr w:type="spellStart"/>
      <w:r w:rsidR="00A70FFB" w:rsidRPr="00A70FFB">
        <w:rPr>
          <w:rFonts w:ascii="Times New Roman" w:hAnsi="Times New Roman" w:cs="Times New Roman"/>
          <w:sz w:val="24"/>
          <w:szCs w:val="24"/>
          <w:shd w:val="clear" w:color="auto" w:fill="FFFFFF"/>
        </w:rPr>
        <w:t>Atalaphillinine</w:t>
      </w:r>
      <w:proofErr w:type="spellEnd"/>
      <w:r w:rsidR="00A70FFB" w:rsidRPr="00A70FFB">
        <w:rPr>
          <w:rFonts w:ascii="Times New Roman" w:hAnsi="Times New Roman" w:cs="Times New Roman"/>
          <w:sz w:val="24"/>
          <w:szCs w:val="24"/>
          <w:shd w:val="clear" w:color="auto" w:fill="FFFFFF"/>
        </w:rPr>
        <w:t xml:space="preserve"> from Citrus, </w:t>
      </w:r>
      <w:proofErr w:type="spellStart"/>
      <w:r w:rsidR="00A70FFB" w:rsidRPr="00A70FFB">
        <w:rPr>
          <w:rFonts w:ascii="Times New Roman" w:hAnsi="Times New Roman" w:cs="Times New Roman"/>
          <w:sz w:val="24"/>
          <w:szCs w:val="24"/>
          <w:shd w:val="clear" w:color="auto" w:fill="FFFFFF"/>
        </w:rPr>
        <w:t>Glycosmis</w:t>
      </w:r>
      <w:proofErr w:type="spellEnd"/>
      <w:r w:rsidR="00A70FFB" w:rsidRPr="00A70FFB">
        <w:rPr>
          <w:rFonts w:ascii="Times New Roman" w:hAnsi="Times New Roman" w:cs="Times New Roman"/>
          <w:sz w:val="24"/>
          <w:szCs w:val="24"/>
          <w:shd w:val="clear" w:color="auto" w:fill="FFFFFF"/>
        </w:rPr>
        <w:t xml:space="preserve">, or </w:t>
      </w:r>
      <w:proofErr w:type="spellStart"/>
      <w:r w:rsidR="00A70FFB" w:rsidRPr="00A70FFB">
        <w:rPr>
          <w:rFonts w:ascii="Times New Roman" w:hAnsi="Times New Roman" w:cs="Times New Roman"/>
          <w:sz w:val="24"/>
          <w:szCs w:val="24"/>
          <w:shd w:val="clear" w:color="auto" w:fill="FFFFFF"/>
        </w:rPr>
        <w:t>Severinia</w:t>
      </w:r>
      <w:proofErr w:type="spellEnd"/>
      <w:r w:rsidR="00A70FFB" w:rsidRPr="00A70FFB">
        <w:rPr>
          <w:rFonts w:ascii="Times New Roman" w:hAnsi="Times New Roman" w:cs="Times New Roman"/>
          <w:sz w:val="24"/>
          <w:szCs w:val="24"/>
          <w:shd w:val="clear" w:color="auto" w:fill="FFFFFF"/>
        </w:rPr>
        <w:t xml:space="preserve"> plants</w:t>
      </w:r>
      <w:r w:rsidR="00A70FFB" w:rsidRPr="00A70FFB">
        <w:rPr>
          <w:rFonts w:ascii="Times New Roman" w:hAnsi="Times New Roman" w:cs="Times New Roman"/>
          <w:b/>
          <w:bCs/>
          <w:sz w:val="24"/>
          <w:szCs w:val="24"/>
          <w:shd w:val="clear" w:color="auto" w:fill="FFFFFF"/>
        </w:rPr>
        <w:fldChar w:fldCharType="begin" w:fldLock="1"/>
      </w:r>
      <w:r w:rsidR="00A70FFB" w:rsidRPr="00A70FFB">
        <w:rPr>
          <w:rFonts w:ascii="Times New Roman" w:hAnsi="Times New Roman" w:cs="Times New Roman"/>
          <w:sz w:val="24"/>
          <w:szCs w:val="24"/>
          <w:shd w:val="clear" w:color="auto" w:fill="FFFFFF"/>
        </w:rPr>
        <w:instrText>ADDIN CSL_CITATION {"citationItems":[{"id":"ITEM-1","itemData":{"DOI":"10.1128/AAC.33.1.6","ISSN":"00664804","PMID":"2653215","abstract":"Thirty acridone alkaloids obtained from Citrus, Glycosmis, or Severinia plants (members of the family Rutaceae) were tested for their antimalarial activities in vitro and in vivo. At a concentration of 10 μg/ml in vitro, seven of these alkaloids suppressed 90% or more of Plasmodium yoelii, which causes malaria rodents. Atalaphilinine, when injected intraperitoneally in a daily dose of 50 mg/kg for 3 days into mice infected with 107 erythrocytes parasitized with Plasmodium berghei or Plasmodium vinckei, completely suppressed the development of malaria parasites, with there being no obvious acute effects from the tested dose.","author":[{"dropping-particle":"","family":"Fujioka","given":"H.","non-dropping-particle":"","parse-names":false,"suffix":""},{"dropping-particle":"","family":"Nishiyama","given":"Y.","non-dropping-particle":"","parse-names":false,"suffix":""},{"dropping-particle":"","family":"Furukawa","given":"H.","non-dropping-particle":"","parse-names":false,"suffix":""},{"dropping-particle":"","family":"Kumada","given":"N.","non-dropping-particle":"","parse-names":false,"suffix":""}],"container-title":"Antimicrobial Agents and Chemotherapy","id":"ITEM-1","issue":"1","issued":{"date-parts":[["1989"]]},"page":"6-9","title":"In vitro and in vivo activities of Atalaphillinine and related acridone alkaloids against rodent malaria","type":"article-journal","volume":"33"},"uris":["http://www.mendeley.com/documents/?uuid=6ae9aea4-ff1c-41b3-b662-715830cb2611"]}],"mendeley":{"formattedCitation":"[20]","plainTextFormattedCitation":"[20]","previouslyFormattedCitation":"[19]"},"properties":{"noteIndex":0},"schema":"https://github.com/citation-style-language/schema/raw/master/csl-citation.json"}</w:instrText>
      </w:r>
      <w:r w:rsidR="00A70FFB" w:rsidRPr="00A70FFB">
        <w:rPr>
          <w:rFonts w:ascii="Times New Roman" w:hAnsi="Times New Roman" w:cs="Times New Roman"/>
          <w:b/>
          <w:bCs/>
          <w:sz w:val="24"/>
          <w:szCs w:val="24"/>
          <w:shd w:val="clear" w:color="auto" w:fill="FFFFFF"/>
        </w:rPr>
        <w:fldChar w:fldCharType="separate"/>
      </w:r>
      <w:r w:rsidR="00A70FFB" w:rsidRPr="00A70FFB">
        <w:rPr>
          <w:rFonts w:ascii="Times New Roman" w:hAnsi="Times New Roman" w:cs="Times New Roman"/>
          <w:noProof/>
          <w:sz w:val="24"/>
          <w:szCs w:val="24"/>
          <w:shd w:val="clear" w:color="auto" w:fill="FFFFFF"/>
        </w:rPr>
        <w:t>[20]</w:t>
      </w:r>
      <w:r w:rsidR="00A70FFB" w:rsidRPr="00A70FFB">
        <w:rPr>
          <w:rFonts w:ascii="Times New Roman" w:hAnsi="Times New Roman" w:cs="Times New Roman"/>
          <w:b/>
          <w:bCs/>
          <w:sz w:val="24"/>
          <w:szCs w:val="24"/>
          <w:shd w:val="clear" w:color="auto" w:fill="FFFFFF"/>
        </w:rPr>
        <w:fldChar w:fldCharType="end"/>
      </w:r>
      <w:r w:rsidR="00A70FFB" w:rsidRPr="00A70FFB">
        <w:rPr>
          <w:rFonts w:ascii="Times New Roman" w:hAnsi="Times New Roman" w:cs="Times New Roman"/>
          <w:sz w:val="24"/>
          <w:szCs w:val="24"/>
          <w:shd w:val="clear" w:color="auto" w:fill="FFFFFF"/>
        </w:rPr>
        <w:t xml:space="preserve">, </w:t>
      </w:r>
      <w:r w:rsidR="00A70FFB" w:rsidRPr="00A70FFB">
        <w:rPr>
          <w:rFonts w:ascii="Times New Roman" w:hAnsi="Times New Roman" w:cs="Times New Roman"/>
          <w:sz w:val="24"/>
          <w:szCs w:val="24"/>
          <w:shd w:val="clear" w:color="auto" w:fill="FCFCFC"/>
        </w:rPr>
        <w:t xml:space="preserve">2β, 3β, 19α-trihydroxy-urs-12-en-28-oic acid from </w:t>
      </w:r>
      <w:proofErr w:type="spellStart"/>
      <w:r w:rsidR="00A70FFB" w:rsidRPr="00A70FFB">
        <w:rPr>
          <w:rFonts w:ascii="Times New Roman" w:hAnsi="Times New Roman" w:cs="Times New Roman"/>
          <w:i/>
          <w:iCs/>
          <w:sz w:val="24"/>
          <w:szCs w:val="24"/>
          <w:shd w:val="clear" w:color="auto" w:fill="FCFCFC"/>
        </w:rPr>
        <w:t>Kigelia</w:t>
      </w:r>
      <w:proofErr w:type="spellEnd"/>
      <w:r w:rsidR="00A70FFB" w:rsidRPr="00A70FFB">
        <w:rPr>
          <w:rFonts w:ascii="Times New Roman" w:hAnsi="Times New Roman" w:cs="Times New Roman"/>
          <w:i/>
          <w:iCs/>
          <w:sz w:val="24"/>
          <w:szCs w:val="24"/>
          <w:shd w:val="clear" w:color="auto" w:fill="FCFCFC"/>
        </w:rPr>
        <w:t xml:space="preserve"> Africana </w:t>
      </w:r>
      <w:r w:rsidR="00A70FFB" w:rsidRPr="00A70FFB">
        <w:rPr>
          <w:rFonts w:ascii="Times New Roman" w:hAnsi="Times New Roman" w:cs="Times New Roman"/>
          <w:b/>
          <w:bCs/>
          <w:i/>
          <w:iCs/>
          <w:sz w:val="24"/>
          <w:szCs w:val="24"/>
          <w:shd w:val="clear" w:color="auto" w:fill="FCFCFC"/>
        </w:rPr>
        <w:fldChar w:fldCharType="begin" w:fldLock="1"/>
      </w:r>
      <w:r w:rsidR="00A70FFB" w:rsidRPr="00A70FFB">
        <w:rPr>
          <w:rFonts w:ascii="Times New Roman" w:hAnsi="Times New Roman" w:cs="Times New Roman"/>
          <w:i/>
          <w:iCs/>
          <w:sz w:val="24"/>
          <w:szCs w:val="24"/>
          <w:shd w:val="clear" w:color="auto" w:fill="FCFCFC"/>
        </w:rPr>
        <w:instrText>ADDIN CSL_CITATION {"citationItems":[{"id":"ITEM-1","itemData":{"DOI":"10.1007/s00436-011-2519-9","ISSN":"1432-1955","abstract":"For decades, drug resistance has been the major obstacle in the fight against malaria, and the search for new drugs together with the combination therapy constitutes the major approach in responding to this situation. The present study aims at assessing the in vitro antimalarial activity of four compounds isolated from Kigelia africana stem bark (atranorin - KAE1, specicoside - KAE7, 2β,3β,19α-trihydroxy-urs-12-20-en-28-oic acid – KAE3, and p-hydroxy-cinnamic acid – KAE10) and their drug interactions among themselves and their combination effects with quinine and artemether. The antiplasmodial activity and drug interactions were evaluated against the multidrug-resistant W2mef strain of Plasmodium falciparum using the parasite lactate dehydrogenase assay. Three of the four compounds tested were significantly active against W2mef: specicoside (IC50 = 1.02 ± 0.17 μM), 2β,3β,19α-trihydroxy-urs-12-en-28-oic acid (IC50 = 1.86 ± 0.15 μM) and atranorin (IC50 = 1.78 ± 0.18 μM), whereas p-hydroxy-cinnamic acid showed a weak activity (IC50 = 12.89 ± 0.87 μM). A slight synergistic effect was observed between atranorin and 2β,3β,19α-trihydroxy-urs-12-en-28-oic acid (Combination index, CI = 0.82) whereas the interaction between specicoside and p-hydroxy-cinnamic acid were instead antagonistic (CI = 2.67). All the three compounds showed synergistic effects with artemether, unlike the slight antagonistic interactions of atranorin and 2β,3β,19α-trihydroxy-urs-12-en-28-oic acid in combination with quinine. K. africana compounds are therefore likely to serve as leads in the development of new partner drugs in artemether-based combination therapy.","author":[{"dropping-particle":"","family":"Zofou","given":"Denis","non-dropping-particle":"","parse-names":false,"suffix":""},{"dropping-particle":"","family":"Tene","given":"Mathieu","non-dropping-particle":"","parse-names":false,"suffix":""},{"dropping-particle":"","family":"Tane","given":"Pierre","non-dropping-particle":"","parse-names":false,"suffix":""},{"dropping-particle":"","family":"Titanji","given":"Vincent P K","non-dropping-particle":"","parse-names":false,"suffix":""}],"container-title":"Parasitology Research","id":"ITEM-1","issue":"2","issued":{"date-parts":[["2012"]]},"page":"539-544","title":"Antimalarial drug interactions of compounds isolated from Kigelia africana (Bignoniaceae) and their synergism with artemether, against the multidrug-resistant W2mef Plasmodium falciparum strain","type":"article-journal","volume":"110"},"uris":["http://www.mendeley.com/documents/?uuid=bec15dc4-1ad7-465e-916b-ce0504e3134a"]}],"mendeley":{"formattedCitation":"[21]","plainTextFormattedCitation":"[21]","previouslyFormattedCitation":"[20]"},"properties":{"noteIndex":0},"schema":"https://github.com/citation-style-language/schema/raw/master/csl-citation.json"}</w:instrText>
      </w:r>
      <w:r w:rsidR="00A70FFB" w:rsidRPr="00A70FFB">
        <w:rPr>
          <w:rFonts w:ascii="Times New Roman" w:hAnsi="Times New Roman" w:cs="Times New Roman"/>
          <w:b/>
          <w:bCs/>
          <w:i/>
          <w:iCs/>
          <w:sz w:val="24"/>
          <w:szCs w:val="24"/>
          <w:shd w:val="clear" w:color="auto" w:fill="FCFCFC"/>
        </w:rPr>
        <w:fldChar w:fldCharType="separate"/>
      </w:r>
      <w:r w:rsidR="00A70FFB" w:rsidRPr="00A70FFB">
        <w:rPr>
          <w:rFonts w:ascii="Times New Roman" w:hAnsi="Times New Roman" w:cs="Times New Roman"/>
          <w:iCs/>
          <w:noProof/>
          <w:sz w:val="24"/>
          <w:szCs w:val="24"/>
          <w:shd w:val="clear" w:color="auto" w:fill="FCFCFC"/>
        </w:rPr>
        <w:t>[21]</w:t>
      </w:r>
      <w:r w:rsidR="00A70FFB" w:rsidRPr="00A70FFB">
        <w:rPr>
          <w:rFonts w:ascii="Times New Roman" w:hAnsi="Times New Roman" w:cs="Times New Roman"/>
          <w:b/>
          <w:bCs/>
          <w:i/>
          <w:iCs/>
          <w:sz w:val="24"/>
          <w:szCs w:val="24"/>
          <w:shd w:val="clear" w:color="auto" w:fill="FCFCFC"/>
        </w:rPr>
        <w:fldChar w:fldCharType="end"/>
      </w:r>
      <w:r w:rsidR="00A70FFB" w:rsidRPr="00A70FFB">
        <w:rPr>
          <w:rFonts w:ascii="Times New Roman" w:hAnsi="Times New Roman" w:cs="Times New Roman"/>
          <w:i/>
          <w:iCs/>
          <w:sz w:val="24"/>
          <w:szCs w:val="24"/>
          <w:shd w:val="clear" w:color="auto" w:fill="FCFCFC"/>
        </w:rPr>
        <w:t xml:space="preserve">, </w:t>
      </w:r>
      <w:proofErr w:type="spellStart"/>
      <w:r w:rsidR="00A70FFB" w:rsidRPr="00A70FFB">
        <w:rPr>
          <w:rFonts w:ascii="Times New Roman" w:hAnsi="Times New Roman" w:cs="Times New Roman"/>
          <w:sz w:val="24"/>
          <w:szCs w:val="24"/>
        </w:rPr>
        <w:t>Sesquiterpene</w:t>
      </w:r>
      <w:proofErr w:type="spellEnd"/>
      <w:r w:rsidR="00A70FFB" w:rsidRPr="00A70FFB">
        <w:rPr>
          <w:rFonts w:ascii="Times New Roman" w:hAnsi="Times New Roman" w:cs="Times New Roman"/>
          <w:sz w:val="24"/>
          <w:szCs w:val="24"/>
        </w:rPr>
        <w:t xml:space="preserve"> artemisinin from </w:t>
      </w:r>
      <w:r w:rsidR="00A70FFB" w:rsidRPr="00A70FFB">
        <w:rPr>
          <w:rFonts w:ascii="Times New Roman" w:hAnsi="Times New Roman" w:cs="Times New Roman"/>
          <w:i/>
          <w:iCs/>
          <w:sz w:val="24"/>
          <w:szCs w:val="24"/>
        </w:rPr>
        <w:t>Artemisia annua</w:t>
      </w:r>
      <w:r w:rsidR="00A70FFB" w:rsidRPr="00A70FFB">
        <w:rPr>
          <w:rFonts w:ascii="Times New Roman" w:hAnsi="Times New Roman" w:cs="Times New Roman"/>
          <w:sz w:val="24"/>
          <w:szCs w:val="24"/>
        </w:rPr>
        <w:t xml:space="preserve"> L </w:t>
      </w:r>
      <w:r w:rsidR="00A70FFB" w:rsidRPr="00A70FFB">
        <w:rPr>
          <w:rFonts w:ascii="Times New Roman" w:hAnsi="Times New Roman" w:cs="Times New Roman"/>
          <w:b/>
          <w:bCs/>
          <w:sz w:val="24"/>
          <w:szCs w:val="24"/>
        </w:rPr>
        <w:fldChar w:fldCharType="begin" w:fldLock="1"/>
      </w:r>
      <w:r w:rsidR="00A70FFB" w:rsidRPr="00A70FFB">
        <w:rPr>
          <w:rFonts w:ascii="Times New Roman" w:hAnsi="Times New Roman" w:cs="Times New Roman"/>
          <w:sz w:val="24"/>
          <w:szCs w:val="24"/>
        </w:rPr>
        <w:instrText>ADDIN CSL_CITATION {"citationItems":[{"id":"ITEM-1","itemData":{"DOI":"10.1556/1646.2020.00001","ISSN":"2061-1617","abstract":"This study was carried out to investigate antiplasmodial activities of Diospyros mespiliformis (DM) and Mondia whitei (MW) in Plasmodium berghei-infected mice. Air-dried stem of DM and root of MW were soaked in methanol, decanted and concentrated to give extracts. Parts of these extracts were partitioned successively to give dichloromethane, ethylacetate and methanol fractions. Mice (18 ± 3 g) were infected with Plasmodium berghei-infected erythrocytes from a donor mouse and were treated with the extracts, while the drug control group received 10 mg/kg body weight of artesunate and the parasitized control received the vehicle (5% v/v DMSO). Percentage parasitemia and clearance were estimated from thin films of blood smear. Hematological parameters were determined using standard methods. Both extracts were also tested on in vitro inhibition of β-hematin formation. Results showed that DM had the least percentage parasitemia (0.67%) and highest percentage parasite clearance (84.7%) while the MW had 0.89% percentage parasitemia and 79.7% clearance at the highest dose used after the seventh day relative to untreated control. The cell free antiplasmodial activity of the fractions and extracts of both DM and MW revealed that DM significantly inhibited β-hematin formation than MW. The packed cell volume, white blood cell count, Lymphocyte, Eosinophil, Monocyte and Neutrophil significantly increased in the treated groups compared with the control. The results showed that the DM had higher antiplasmodial activity.","author":[{"dropping-particle":"","family":"Olanlokun","given":"John Oludele","non-dropping-particle":"","parse-names":false,"suffix":""},{"dropping-particle":"","family":"Adetutu","given":"Janet Adenike","non-dropping-particle":"","parse-names":false,"suffix":""},{"dropping-particle":"","family":"Olorunsogo","given":"Olabode Olufunso","non-dropping-particle":"","parse-names":false,"suffix":""}],"container-title":"Interventional Medicine and Applied Science","id":"ITEM-1","issue":"4","issued":{"date-parts":[["2021"]]},"page":"197-206","title":"ln vitro inhibition of beta-hematin formation and in vivo effects of Diospyros mespiliformis and Mondia whitei methanol extracts on chloroquine-susceptible Plasmodium berghei-induced malaria in mice","type":"article-journal","volume":"11"},"uris":["http://www.mendeley.com/documents/?uuid=97633c13-f3e5-484e-9075-149c153a210f"]}],"mendeley":{"formattedCitation":"[22]","plainTextFormattedCitation":"[22]","previouslyFormattedCitation":"[21]"},"properties":{"noteIndex":0},"schema":"https://github.com/citation-style-language/schema/raw/master/csl-citation.json"}</w:instrText>
      </w:r>
      <w:r w:rsidR="00A70FFB" w:rsidRPr="00A70FFB">
        <w:rPr>
          <w:rFonts w:ascii="Times New Roman" w:hAnsi="Times New Roman" w:cs="Times New Roman"/>
          <w:b/>
          <w:bCs/>
          <w:sz w:val="24"/>
          <w:szCs w:val="24"/>
        </w:rPr>
        <w:fldChar w:fldCharType="separate"/>
      </w:r>
      <w:r w:rsidR="00A70FFB" w:rsidRPr="00A70FFB">
        <w:rPr>
          <w:rFonts w:ascii="Times New Roman" w:hAnsi="Times New Roman" w:cs="Times New Roman"/>
          <w:noProof/>
          <w:sz w:val="24"/>
          <w:szCs w:val="24"/>
        </w:rPr>
        <w:t>[22]</w:t>
      </w:r>
      <w:r w:rsidR="00A70FFB" w:rsidRPr="00A70FFB">
        <w:rPr>
          <w:rFonts w:ascii="Times New Roman" w:hAnsi="Times New Roman" w:cs="Times New Roman"/>
          <w:b/>
          <w:bCs/>
          <w:sz w:val="24"/>
          <w:szCs w:val="24"/>
        </w:rPr>
        <w:fldChar w:fldCharType="end"/>
      </w:r>
      <w:r w:rsidR="00A70FFB" w:rsidRPr="00CA0DAD">
        <w:rPr>
          <w:sz w:val="24"/>
          <w:szCs w:val="24"/>
        </w:rPr>
        <w:t>.</w:t>
      </w:r>
      <w:r w:rsidR="00BD76B8">
        <w:rPr>
          <w:rFonts w:ascii="Times New Roman" w:hAnsi="Times New Roman" w:cs="Times New Roman"/>
          <w:color w:val="000000" w:themeColor="text1"/>
          <w:sz w:val="24"/>
          <w:szCs w:val="24"/>
        </w:rPr>
        <w:t xml:space="preserve"> </w:t>
      </w:r>
      <w:r w:rsidR="00A35954" w:rsidRPr="00F3795D">
        <w:rPr>
          <w:rFonts w:ascii="Times New Roman" w:hAnsi="Times New Roman" w:cs="Times New Roman"/>
          <w:color w:val="000000" w:themeColor="text1"/>
          <w:sz w:val="24"/>
          <w:szCs w:val="24"/>
        </w:rPr>
        <w:t>Conversely, Larvicides are increasingly a preferred substitute due to mosquitoes' extensive tolerance to them and their detrimental impact on non-target creatures and the environment</w:t>
      </w:r>
      <w:r w:rsidR="007B0DCF">
        <w:rPr>
          <w:rFonts w:ascii="Times New Roman" w:hAnsi="Times New Roman" w:cs="Times New Roman"/>
          <w:color w:val="000000" w:themeColor="text1"/>
          <w:sz w:val="24"/>
          <w:szCs w:val="24"/>
        </w:rPr>
        <w:t xml:space="preserve"> </w:t>
      </w:r>
      <w:r w:rsidR="007B0DCF">
        <w:rPr>
          <w:rFonts w:ascii="Times New Roman" w:hAnsi="Times New Roman" w:cs="Times New Roman"/>
          <w:color w:val="000000" w:themeColor="text1"/>
          <w:sz w:val="24"/>
          <w:szCs w:val="24"/>
        </w:rPr>
        <w:fldChar w:fldCharType="begin" w:fldLock="1"/>
      </w:r>
      <w:r w:rsidR="00E957EF">
        <w:rPr>
          <w:rFonts w:ascii="Times New Roman" w:hAnsi="Times New Roman" w:cs="Times New Roman"/>
          <w:color w:val="000000" w:themeColor="text1"/>
          <w:sz w:val="24"/>
          <w:szCs w:val="24"/>
        </w:rPr>
        <w:instrText>ADDIN CSL_CITATION {"citationItems":[{"id":"ITEM-1","itemData":{"DOI":"10.1007/s00436-010-2115-4","ISSN":"1432-1955","abstract":"The aim of this study was to investigate the larvicidal potential of the hexane, chloroform, ethyl acetate, acetone, methanol, and aqueous leaf extracts of Nelumbo nucifera Gaertn. (Nymphaeaceae) and synthesized silver nanoparticles using aqueous leaf extract against fourth instar larvae of Anopheles subpictus Grassi and Culex quinquefasciatus Say (Diptera: Culicidae). Nanoparticles are being used in many commercial applications. It was found that aqueous silver ions can be reduced by aqueous extract of plant parts to generate extremely stable silver nanoparticles in water. The results recorded from UV–vis spectrum, scanning electron microscopy, X-ray diffraction, and Fourier transform infrared support the biosynthesis and characterization of silver nanoparticles. Larvae were exposed to varying concentrations of plant extracts and synthesized silver nanoparticles for 24 h. All extracts showed moderate larvicidal effects; however, the maximum efficacy was observed in crude methanol, aqueous, and synthesized silver nanoparticles against the larvae of A. subpictus (LC50 = 8.89, 11.82, and 0.69 ppm; LC90 = 28.65, 36.06, and 2.15 ppm) and against the larvae of C. quinquefasciatus (LC50 = 9.51, 13.65, and 1.10 ppm; LC90 = 28.13, 35.83, and 3.59 ppm), respectively. These results suggest that the leaf methanol, aqueous extracts of N. nucifera, and green synthesis of silver nanoparticles have the potential to be used as an ideal eco-friendly approach for the control of the A. subpictus and C. quinquefasciatus. This is the first report on the mosquito larvicidal activity of the plant extracts and synthesized nanoparticles.","author":[{"dropping-particle":"","family":"Santhoshkumar","given":"Thirunavukkarasu","non-dropping-particle":"","parse-names":false,"suffix":""},{"dropping-particle":"","family":"Rahuman","given":"Abdul Abdul","non-dropping-particle":"","parse-names":false,"suffix":""},{"dropping-particle":"","family":"Rajakumar","given":"Govindasamy","non-dropping-particle":"","parse-names":false,"suffix":""},{"dropping-particle":"","family":"Marimuthu","given":"Sampath","non-dropping-particle":"","parse-names":false,"suffix":""},{"dropping-particle":"","family":"Bagavan","given":"Asokan","non-dropping-particle":"","parse-names":false,"suffix":""},{"dropping-particle":"","family":"Jayaseelan","given":"Chidambaram","non-dropping-particle":"","parse-names":false,"suffix":""},{"dropping-particle":"","family":"Zahir","given":"Abdul Abduz","non-dropping-particle":"","parse-names":false,"suffix":""},{"dropping-particle":"","family":"Elango","given":"Gandhi","non-dropping-particle":"","parse-names":false,"suffix":""},{"dropping-particle":"","family":"Kamaraj","given":"Chinnaperumal","non-dropping-particle":"","parse-names":false,"suffix":""}],"container-title":"Parasitology Research","id":"ITEM-1","issue":"3","issued":{"date-parts":[["2011"]]},"page":"693-702","title":"Synthesis of silver nanoparticles using Nelumbo nucifera leaf extract and its larvicidal activity against malaria and filariasis vectors","type":"article-journal","volume":"108"},"uris":["http://www.mendeley.com/documents/?uuid=6ceedf7c-c902-4c55-b2a4-b82f1f06e29b"]}],"mendeley":{"formattedCitation":"(Santhoshkumar et al., 2011b)","plainTextFormattedCitation":"(Santhoshkumar et al., 2011b)","previouslyFormattedCitation":"(Santhoshkumar et al., 2011b)"},"properties":{"noteIndex":0},"schema":"https://github.com/citation-style-language/schema/raw/master/csl-citation.json"}</w:instrText>
      </w:r>
      <w:r w:rsidR="007B0DCF">
        <w:rPr>
          <w:rFonts w:ascii="Times New Roman" w:hAnsi="Times New Roman" w:cs="Times New Roman"/>
          <w:color w:val="000000" w:themeColor="text1"/>
          <w:sz w:val="24"/>
          <w:szCs w:val="24"/>
        </w:rPr>
        <w:fldChar w:fldCharType="separate"/>
      </w:r>
      <w:r w:rsidR="007B0DCF" w:rsidRPr="007B0DCF">
        <w:rPr>
          <w:rFonts w:ascii="Times New Roman" w:hAnsi="Times New Roman" w:cs="Times New Roman"/>
          <w:noProof/>
          <w:color w:val="000000" w:themeColor="text1"/>
          <w:sz w:val="24"/>
          <w:szCs w:val="24"/>
        </w:rPr>
        <w:t>(Santhoshkumar et al., 2011b)</w:t>
      </w:r>
      <w:r w:rsidR="007B0DCF">
        <w:rPr>
          <w:rFonts w:ascii="Times New Roman" w:hAnsi="Times New Roman" w:cs="Times New Roman"/>
          <w:color w:val="000000" w:themeColor="text1"/>
          <w:sz w:val="24"/>
          <w:szCs w:val="24"/>
        </w:rPr>
        <w:fldChar w:fldCharType="end"/>
      </w:r>
      <w:r w:rsidR="00A35954" w:rsidRPr="00F3795D">
        <w:rPr>
          <w:rFonts w:ascii="Times New Roman" w:hAnsi="Times New Roman" w:cs="Times New Roman"/>
          <w:color w:val="000000" w:themeColor="text1"/>
          <w:sz w:val="24"/>
          <w:szCs w:val="24"/>
        </w:rPr>
        <w:t xml:space="preserve">. </w:t>
      </w:r>
      <w:r w:rsidR="004F4898" w:rsidRPr="00F3795D">
        <w:rPr>
          <w:rFonts w:ascii="Times New Roman" w:eastAsia="Times New Roman" w:hAnsi="Times New Roman" w:cs="Times New Roman"/>
          <w:color w:val="000000" w:themeColor="text1"/>
          <w:sz w:val="24"/>
          <w:szCs w:val="24"/>
          <w:lang w:eastAsia="en-IN"/>
        </w:rPr>
        <w:t>Small-molecule drugs</w:t>
      </w:r>
      <w:r w:rsidR="00C41588" w:rsidRPr="00F3795D">
        <w:rPr>
          <w:rFonts w:ascii="Times New Roman" w:hAnsi="Times New Roman" w:cs="Times New Roman"/>
          <w:color w:val="000000" w:themeColor="text1"/>
          <w:sz w:val="24"/>
          <w:szCs w:val="24"/>
        </w:rPr>
        <w:t xml:space="preserve"> include endoperoxides, 4-aminoquinolines, and amino alcohols </w:t>
      </w:r>
      <w:r w:rsidR="00003668" w:rsidRPr="00F3795D">
        <w:rPr>
          <w:rFonts w:ascii="Times New Roman" w:hAnsi="Times New Roman" w:cs="Times New Roman"/>
          <w:color w:val="000000" w:themeColor="text1"/>
          <w:sz w:val="24"/>
          <w:szCs w:val="24"/>
        </w:rPr>
        <w:fldChar w:fldCharType="begin" w:fldLock="1"/>
      </w:r>
      <w:r w:rsidR="008B28D0" w:rsidRPr="00F3795D">
        <w:rPr>
          <w:rFonts w:ascii="Times New Roman" w:hAnsi="Times New Roman" w:cs="Times New Roman"/>
          <w:color w:val="000000" w:themeColor="text1"/>
          <w:sz w:val="24"/>
          <w:szCs w:val="24"/>
        </w:rPr>
        <w:instrText>ADDIN CSL_CITATION {"citationItems":[{"id":"ITEM-1","itemData":{"DOI":"10.1016/j.chom.2015.12.001","ISSN":"19346069","PMID":"26749441","abstract":"Preventing transmission is an important element of malaria control. However, most of the current available methods to assay for malaria transmission blocking are relatively low throughput and cannot be applied to large chemical libraries. We have developed a high-throughput and cost-effective assay, the Saponin-lysis Sexual Stage Assay (SaLSSA), for identifying small molecules with transmission-blocking capacity. SaLSSA analysis of 13,983 unique compounds uncovered that &gt;90% of well-characterized antimalarials, including endoperoxides and 4-aminoquinolines, as well as compounds active against asexual blood stages, lost most of their killing activity when parasites developed into metabolically quiescent stage V gametocytes. On the other hand, we identified compounds with consistent low nanomolar transmission-blocking activity, some of which showed cross-reactivity against asexual blood and liver stages. The data clearly emphasize substantial physiological differences between sexual and asexual parasites and provide a tool and starting points for the discovery and development of transmission-blocking drugs.","author":[{"dropping-particle":"","family":"Plouffe","given":"David M.","non-dropping-particle":"","parse-names":false,"suffix":""},{"dropping-particle":"","family":"Wree","given":"Melanie","non-dropping-particle":"","parse-names":false,"suffix":""},{"dropping-particle":"","family":"Du","given":"Alan Y.","non-dropping-particle":"","parse-names":false,"suffix":""},{"dropping-particle":"","family":"Meister","given":"Stephan","non-dropping-particle":"","parse-names":false,"suffix":""},{"dropping-particle":"","family":"Li","given":"Fengwu","non-dropping-particle":"","parse-names":false,"suffix":""},{"dropping-particle":"","family":"Patra","given":"Kailash","non-dropping-particle":"","parse-names":false,"suffix":""},{"dropping-particle":"","family":"Lubar","given":"Aristea","non-dropping-particle":"","parse-names":false,"suffix":""},{"dropping-particle":"","family":"Okitsu","given":"Shinji L.","non-dropping-particle":"","parse-names":false,"suffix":""},{"dropping-particle":"","family":"Flannery","given":"Erika L.","non-dropping-particle":"","parse-names":false,"suffix":""},{"dropping-particle":"","family":"Kato","given":"Nobutaka","non-dropping-particle":"","parse-names":false,"suffix":""},{"dropping-particle":"","family":"Tanaseichuk","given":"Olga","non-dropping-particle":"","parse-names":false,"suffix":""},{"dropping-particle":"","family":"Comer","given":"Eamon","non-dropping-particle":"","parse-names":false,"suffix":""},{"dropping-particle":"","family":"Zhou","given":"Bin","non-dropping-particle":"","parse-names":false,"suffix":""},{"dropping-particle":"","family":"Kuhen","given":"Kelli","non-dropping-particle":"","parse-names":false,"suffix":""},{"dropping-particle":"","family":"Zhou","given":"Yingyao","non-dropping-particle":"","parse-names":false,"suffix":""},{"dropping-particle":"","family":"Leroy","given":"Didier","non-dropping-particle":"","parse-names":false,"suffix":""},{"dropping-particle":"","family":"Schreiber","given":"Stuart L.","non-dropping-particle":"","parse-names":false,"suffix":""},{"dropping-particle":"","family":"Scherer","given":"Christina A.","non-dropping-particle":"","parse-names":false,"suffix":""},{"dropping-particle":"","family":"Vinetz","given":"Joseph","non-dropping-particle":"","parse-names":false,"suffix":""},{"dropping-particle":"","family":"Winzeler","given":"Elizabeth A.","non-dropping-particle":"","parse-names":false,"suffix":""}],"container-title":"Cell Host and Microbe","id":"ITEM-1","issue":"1","issued":{"date-parts":[["2016"]]},"page":"114-126","publisher":"Elsevier Ltd","title":"High-Throughput Assay and Discovery of Small Molecules that Interrupt Malaria Transmission","type":"article-journal","volume":"19"},"uris":["http://www.mendeley.com/documents/?uuid=86c2c662-d6d8-4b36-a705-63ace8049bf6","http://www.mendeley.com/documents/?uuid=0d1d329e-5817-4a03-b191-249ca032782a"]}],"mendeley":{"formattedCitation":"(Plouffe et al., 2016)","plainTextFormattedCitation":"(Plouffe et al., 2016)","previouslyFormattedCitation":"(Plouffe et al., 2016)"},"properties":{"noteIndex":0},"schema":"https://github.com/citation-style-language/schema/raw/master/csl-citation.json"}</w:instrText>
      </w:r>
      <w:r w:rsidR="00003668" w:rsidRPr="00F3795D">
        <w:rPr>
          <w:rFonts w:ascii="Times New Roman" w:hAnsi="Times New Roman" w:cs="Times New Roman"/>
          <w:color w:val="000000" w:themeColor="text1"/>
          <w:sz w:val="24"/>
          <w:szCs w:val="24"/>
        </w:rPr>
        <w:fldChar w:fldCharType="separate"/>
      </w:r>
      <w:r w:rsidR="005D682C" w:rsidRPr="00F3795D">
        <w:rPr>
          <w:rFonts w:ascii="Times New Roman" w:hAnsi="Times New Roman" w:cs="Times New Roman"/>
          <w:noProof/>
          <w:color w:val="000000" w:themeColor="text1"/>
          <w:sz w:val="24"/>
          <w:szCs w:val="24"/>
        </w:rPr>
        <w:t>(Plouffe et al., 2016)</w:t>
      </w:r>
      <w:r w:rsidR="00003668" w:rsidRPr="00F3795D">
        <w:rPr>
          <w:rFonts w:ascii="Times New Roman" w:hAnsi="Times New Roman" w:cs="Times New Roman"/>
          <w:color w:val="000000" w:themeColor="text1"/>
          <w:sz w:val="24"/>
          <w:szCs w:val="24"/>
        </w:rPr>
        <w:fldChar w:fldCharType="end"/>
      </w:r>
      <w:r w:rsidR="004F4898" w:rsidRPr="00F3795D">
        <w:rPr>
          <w:rFonts w:ascii="Times New Roman" w:hAnsi="Times New Roman" w:cs="Times New Roman"/>
          <w:color w:val="000000" w:themeColor="text1"/>
          <w:sz w:val="24"/>
          <w:szCs w:val="24"/>
        </w:rPr>
        <w:t xml:space="preserve">. </w:t>
      </w:r>
      <w:r w:rsidR="004C1AD3" w:rsidRPr="00F3795D">
        <w:rPr>
          <w:rFonts w:ascii="Times New Roman" w:hAnsi="Times New Roman" w:cs="Times New Roman"/>
          <w:color w:val="000000" w:themeColor="text1"/>
          <w:sz w:val="24"/>
          <w:szCs w:val="24"/>
        </w:rPr>
        <w:t>U</w:t>
      </w:r>
      <w:r w:rsidR="00CE7052" w:rsidRPr="00F3795D">
        <w:rPr>
          <w:rFonts w:ascii="Times New Roman" w:hAnsi="Times New Roman" w:cs="Times New Roman"/>
          <w:color w:val="000000" w:themeColor="text1"/>
          <w:sz w:val="24"/>
          <w:szCs w:val="24"/>
        </w:rPr>
        <w:t xml:space="preserve">ncovered chemicals consistently exhibited weak transmission-blocking efficacy at the nanomolar level and cross-reactivity with asexual blood and liver stages. </w:t>
      </w:r>
      <w:r w:rsidR="0057026B">
        <w:rPr>
          <w:rFonts w:ascii="Times New Roman" w:hAnsi="Times New Roman" w:cs="Times New Roman"/>
          <w:color w:val="000000" w:themeColor="text1"/>
          <w:sz w:val="24"/>
          <w:szCs w:val="24"/>
        </w:rPr>
        <w:t>V</w:t>
      </w:r>
      <w:r w:rsidR="00CE7052" w:rsidRPr="00F3795D">
        <w:rPr>
          <w:rFonts w:ascii="Times New Roman" w:hAnsi="Times New Roman" w:cs="Times New Roman"/>
          <w:color w:val="000000" w:themeColor="text1"/>
          <w:sz w:val="24"/>
          <w:szCs w:val="24"/>
        </w:rPr>
        <w:t>accines</w:t>
      </w:r>
      <w:r w:rsidR="0057026B">
        <w:rPr>
          <w:rFonts w:ascii="Times New Roman" w:hAnsi="Times New Roman" w:cs="Times New Roman"/>
          <w:color w:val="000000" w:themeColor="text1"/>
          <w:sz w:val="24"/>
          <w:szCs w:val="24"/>
        </w:rPr>
        <w:t xml:space="preserve"> are antigeni</w:t>
      </w:r>
      <w:r w:rsidR="00F55F21">
        <w:rPr>
          <w:rFonts w:ascii="Times New Roman" w:hAnsi="Times New Roman" w:cs="Times New Roman"/>
          <w:color w:val="000000" w:themeColor="text1"/>
          <w:sz w:val="24"/>
          <w:szCs w:val="24"/>
        </w:rPr>
        <w:t>c</w:t>
      </w:r>
      <w:r w:rsidR="0057026B">
        <w:rPr>
          <w:rFonts w:ascii="Times New Roman" w:hAnsi="Times New Roman" w:cs="Times New Roman"/>
          <w:color w:val="000000" w:themeColor="text1"/>
          <w:sz w:val="24"/>
          <w:szCs w:val="24"/>
        </w:rPr>
        <w:t xml:space="preserve"> preparation conta</w:t>
      </w:r>
      <w:r w:rsidR="00F55F21">
        <w:rPr>
          <w:rFonts w:ascii="Times New Roman" w:hAnsi="Times New Roman" w:cs="Times New Roman"/>
          <w:color w:val="000000" w:themeColor="text1"/>
          <w:sz w:val="24"/>
          <w:szCs w:val="24"/>
        </w:rPr>
        <w:t>in</w:t>
      </w:r>
      <w:r w:rsidR="0057026B">
        <w:rPr>
          <w:rFonts w:ascii="Times New Roman" w:hAnsi="Times New Roman" w:cs="Times New Roman"/>
          <w:color w:val="000000" w:themeColor="text1"/>
          <w:sz w:val="24"/>
          <w:szCs w:val="24"/>
        </w:rPr>
        <w:t>ing weak and inactivated micr</w:t>
      </w:r>
      <w:r w:rsidR="00F55F21">
        <w:rPr>
          <w:rFonts w:ascii="Times New Roman" w:hAnsi="Times New Roman" w:cs="Times New Roman"/>
          <w:color w:val="000000" w:themeColor="text1"/>
          <w:sz w:val="24"/>
          <w:szCs w:val="24"/>
        </w:rPr>
        <w:t>o</w:t>
      </w:r>
      <w:r w:rsidR="0061454F">
        <w:rPr>
          <w:rFonts w:ascii="Times New Roman" w:hAnsi="Times New Roman" w:cs="Times New Roman"/>
          <w:color w:val="000000" w:themeColor="text1"/>
          <w:sz w:val="24"/>
          <w:szCs w:val="24"/>
        </w:rPr>
        <w:t>organisms</w:t>
      </w:r>
      <w:r w:rsidR="003044D7">
        <w:rPr>
          <w:rFonts w:ascii="Times New Roman" w:hAnsi="Times New Roman" w:cs="Times New Roman"/>
          <w:color w:val="000000" w:themeColor="text1"/>
          <w:sz w:val="24"/>
          <w:szCs w:val="24"/>
        </w:rPr>
        <w:t>,</w:t>
      </w:r>
      <w:r w:rsidR="0061454F">
        <w:rPr>
          <w:rFonts w:ascii="Times New Roman" w:hAnsi="Times New Roman" w:cs="Times New Roman"/>
          <w:color w:val="000000" w:themeColor="text1"/>
          <w:sz w:val="24"/>
          <w:szCs w:val="24"/>
        </w:rPr>
        <w:t xml:space="preserve"> including </w:t>
      </w:r>
      <w:r w:rsidR="00CE7052" w:rsidRPr="00F3795D">
        <w:rPr>
          <w:rFonts w:ascii="Times New Roman" w:hAnsi="Times New Roman" w:cs="Times New Roman"/>
          <w:color w:val="000000" w:themeColor="text1"/>
          <w:sz w:val="24"/>
          <w:szCs w:val="24"/>
        </w:rPr>
        <w:t xml:space="preserve"> RTS, s/as01 vaccine, r21, viral-vectored vaccine, </w:t>
      </w:r>
      <w:proofErr w:type="spellStart"/>
      <w:r w:rsidR="00CE7052" w:rsidRPr="00F3795D">
        <w:rPr>
          <w:rFonts w:ascii="Times New Roman" w:hAnsi="Times New Roman" w:cs="Times New Roman"/>
          <w:color w:val="000000" w:themeColor="text1"/>
          <w:sz w:val="24"/>
          <w:szCs w:val="24"/>
        </w:rPr>
        <w:t>celtos</w:t>
      </w:r>
      <w:proofErr w:type="spellEnd"/>
      <w:r w:rsidR="00CE7052" w:rsidRPr="00F3795D">
        <w:rPr>
          <w:rFonts w:ascii="Times New Roman" w:hAnsi="Times New Roman" w:cs="Times New Roman"/>
          <w:color w:val="000000" w:themeColor="text1"/>
          <w:sz w:val="24"/>
          <w:szCs w:val="24"/>
        </w:rPr>
        <w:t xml:space="preserve">, whole </w:t>
      </w:r>
      <w:proofErr w:type="spellStart"/>
      <w:r w:rsidR="00CE7052" w:rsidRPr="00F3795D">
        <w:rPr>
          <w:rFonts w:ascii="Times New Roman" w:hAnsi="Times New Roman" w:cs="Times New Roman"/>
          <w:color w:val="000000" w:themeColor="text1"/>
          <w:sz w:val="24"/>
          <w:szCs w:val="24"/>
        </w:rPr>
        <w:t>sporozoite</w:t>
      </w:r>
      <w:proofErr w:type="spellEnd"/>
      <w:r w:rsidR="00CE7052" w:rsidRPr="00F3795D">
        <w:rPr>
          <w:rFonts w:ascii="Times New Roman" w:hAnsi="Times New Roman" w:cs="Times New Roman"/>
          <w:color w:val="000000" w:themeColor="text1"/>
          <w:sz w:val="24"/>
          <w:szCs w:val="24"/>
        </w:rPr>
        <w:t xml:space="preserve"> vaccines, </w:t>
      </w:r>
      <w:proofErr w:type="spellStart"/>
      <w:r w:rsidR="00CE7052" w:rsidRPr="00F3795D">
        <w:rPr>
          <w:rFonts w:ascii="Times New Roman" w:hAnsi="Times New Roman" w:cs="Times New Roman"/>
          <w:color w:val="000000" w:themeColor="text1"/>
          <w:sz w:val="24"/>
          <w:szCs w:val="24"/>
        </w:rPr>
        <w:t>pfspz</w:t>
      </w:r>
      <w:proofErr w:type="spellEnd"/>
      <w:r w:rsidR="00CE7052" w:rsidRPr="00F3795D">
        <w:rPr>
          <w:rFonts w:ascii="Times New Roman" w:hAnsi="Times New Roman" w:cs="Times New Roman"/>
          <w:color w:val="000000" w:themeColor="text1"/>
          <w:sz w:val="24"/>
          <w:szCs w:val="24"/>
        </w:rPr>
        <w:t xml:space="preserve"> with chemoprophylaxis, radiation attenuated sporozoites, genetically-attenuated parasites, immune responses help apparent plasmodium infection in the liver to prevent the onset of blood-stage </w:t>
      </w:r>
      <w:r w:rsidR="0017399E" w:rsidRPr="00F3795D">
        <w:rPr>
          <w:rFonts w:ascii="Times New Roman" w:hAnsi="Times New Roman" w:cs="Times New Roman"/>
          <w:color w:val="000000" w:themeColor="text1"/>
          <w:sz w:val="24"/>
          <w:szCs w:val="24"/>
        </w:rPr>
        <w:t>M</w:t>
      </w:r>
      <w:r w:rsidR="00CE7052" w:rsidRPr="00F3795D">
        <w:rPr>
          <w:rFonts w:ascii="Times New Roman" w:hAnsi="Times New Roman" w:cs="Times New Roman"/>
          <w:color w:val="000000" w:themeColor="text1"/>
          <w:sz w:val="24"/>
          <w:szCs w:val="24"/>
        </w:rPr>
        <w:t xml:space="preserve">alaria, the possibility of developing a clinically applicable, highly effective, conventional subunit vaccine against </w:t>
      </w:r>
      <w:r w:rsidR="0017399E" w:rsidRPr="00F3795D">
        <w:rPr>
          <w:rFonts w:ascii="Times New Roman" w:hAnsi="Times New Roman" w:cs="Times New Roman"/>
          <w:color w:val="000000" w:themeColor="text1"/>
          <w:sz w:val="24"/>
          <w:szCs w:val="24"/>
        </w:rPr>
        <w:t>M</w:t>
      </w:r>
      <w:r w:rsidR="00CE7052" w:rsidRPr="00F3795D">
        <w:rPr>
          <w:rFonts w:ascii="Times New Roman" w:hAnsi="Times New Roman" w:cs="Times New Roman"/>
          <w:color w:val="000000" w:themeColor="text1"/>
          <w:sz w:val="24"/>
          <w:szCs w:val="24"/>
        </w:rPr>
        <w:t>alaria appears less likely. Although live-attenuated vaccination strategies show the most potential for eliciting protective immune responses</w:t>
      </w:r>
      <w:r w:rsidR="00802BFF">
        <w:rPr>
          <w:rFonts w:ascii="Times New Roman" w:hAnsi="Times New Roman" w:cs="Times New Roman"/>
          <w:color w:val="000000" w:themeColor="text1"/>
          <w:sz w:val="24"/>
          <w:szCs w:val="24"/>
        </w:rPr>
        <w:t xml:space="preserve"> </w:t>
      </w:r>
      <w:r w:rsidR="002E226A" w:rsidRPr="00F3795D">
        <w:rPr>
          <w:rFonts w:ascii="Times New Roman" w:hAnsi="Times New Roman" w:cs="Times New Roman"/>
          <w:color w:val="000000" w:themeColor="text1"/>
          <w:sz w:val="24"/>
          <w:szCs w:val="24"/>
          <w:shd w:val="clear" w:color="auto" w:fill="FFFFFF"/>
        </w:rPr>
        <w:fldChar w:fldCharType="begin" w:fldLock="1"/>
      </w:r>
      <w:r w:rsidR="008B28D0" w:rsidRPr="00F3795D">
        <w:rPr>
          <w:rFonts w:ascii="Times New Roman" w:hAnsi="Times New Roman" w:cs="Times New Roman"/>
          <w:color w:val="000000" w:themeColor="text1"/>
          <w:sz w:val="24"/>
          <w:szCs w:val="24"/>
          <w:shd w:val="clear" w:color="auto" w:fill="FFFFFF"/>
        </w:rPr>
        <w:instrText>ADDIN CSL_CITATION {"citationItems":[{"id":"ITEM-1","itemData":{"DOI":"10.3390/vaccines8030400","ISSN":"2076393X","abstract":"Malaria, caused by the protozoan Plasmodium, is a devastating disease with over 200 million new cases reported globally every year. Although immunization is arguably the best strategy to eliminate malaria, despite decades of research in this area we do not have an effective, clinically approved antimalarial vaccine. The current impetus in the field is to develop vaccines directed at the pre-erythrocytic developmental stages of Plasmodium, utilizing novel vaccination platforms. We here review the most promising pre-erythrocytic stage antimalarial vaccine candidates.","author":[{"dropping-particle":"","family":"Marques-Da-silva","given":"Camila","non-dropping-particle":"","parse-names":false,"suffix":""},{"dropping-particle":"","family":"Peissig","given":"Kristen","non-dropping-particle":"","parse-names":false,"suffix":""},{"dropping-particle":"","family":"Kurup","given":"Samarchith P.","non-dropping-particle":"","parse-names":false,"suffix":""}],"container-title":"Vaccines","id":"ITEM-1","issue":"3","issued":{"date-parts":[["2020"]]},"page":"1-16","title":"Pre-erythrocytic vaccines against malaria","type":"article-journal","volume":"8"},"uris":["http://www.mendeley.com/documents/?uuid=989d36f2-4c0f-4885-8d73-2cb1b57cb27d","http://www.mendeley.com/documents/?uuid=39f65da4-6004-408a-b4c5-015593887c8d"]}],"mendeley":{"formattedCitation":"(Marques-Da-silva et al., 2020)","plainTextFormattedCitation":"(Marques-Da-silva et al., 2020)","previouslyFormattedCitation":"(Marques-Da-silva et al., 2020)"},"properties":{"noteIndex":0},"schema":"https://github.com/citation-style-language/schema/raw/master/csl-citation.json"}</w:instrText>
      </w:r>
      <w:r w:rsidR="002E226A" w:rsidRPr="00F3795D">
        <w:rPr>
          <w:rFonts w:ascii="Times New Roman" w:hAnsi="Times New Roman" w:cs="Times New Roman"/>
          <w:color w:val="000000" w:themeColor="text1"/>
          <w:sz w:val="24"/>
          <w:szCs w:val="24"/>
          <w:shd w:val="clear" w:color="auto" w:fill="FFFFFF"/>
        </w:rPr>
        <w:fldChar w:fldCharType="separate"/>
      </w:r>
      <w:r w:rsidR="005D682C" w:rsidRPr="00F3795D">
        <w:rPr>
          <w:rFonts w:ascii="Times New Roman" w:hAnsi="Times New Roman" w:cs="Times New Roman"/>
          <w:noProof/>
          <w:color w:val="000000" w:themeColor="text1"/>
          <w:sz w:val="24"/>
          <w:szCs w:val="24"/>
          <w:shd w:val="clear" w:color="auto" w:fill="FFFFFF"/>
        </w:rPr>
        <w:t>(Marques-Da-silva et al., 2020)</w:t>
      </w:r>
      <w:r w:rsidR="002E226A" w:rsidRPr="00F3795D">
        <w:rPr>
          <w:rFonts w:ascii="Times New Roman" w:hAnsi="Times New Roman" w:cs="Times New Roman"/>
          <w:color w:val="000000" w:themeColor="text1"/>
          <w:sz w:val="24"/>
          <w:szCs w:val="24"/>
          <w:shd w:val="clear" w:color="auto" w:fill="FFFFFF"/>
        </w:rPr>
        <w:fldChar w:fldCharType="end"/>
      </w:r>
      <w:r w:rsidR="00C41588" w:rsidRPr="00F3795D">
        <w:rPr>
          <w:rFonts w:ascii="Times New Roman" w:hAnsi="Times New Roman" w:cs="Times New Roman"/>
          <w:color w:val="000000" w:themeColor="text1"/>
          <w:sz w:val="24"/>
          <w:szCs w:val="24"/>
          <w:shd w:val="clear" w:color="auto" w:fill="FFFFFF"/>
        </w:rPr>
        <w:t xml:space="preserve"> </w:t>
      </w:r>
      <w:r w:rsidR="00C41588" w:rsidRPr="00F3795D">
        <w:rPr>
          <w:rFonts w:ascii="Times New Roman" w:eastAsia="Times New Roman" w:hAnsi="Times New Roman" w:cs="Times New Roman"/>
          <w:color w:val="000000" w:themeColor="text1"/>
          <w:sz w:val="24"/>
          <w:szCs w:val="24"/>
          <w:lang w:eastAsia="en-IN"/>
        </w:rPr>
        <w:t xml:space="preserve">and naturally obtained plant-based phytochemicals </w:t>
      </w:r>
      <w:r w:rsidR="00C41588" w:rsidRPr="00F3795D">
        <w:rPr>
          <w:rFonts w:ascii="Times New Roman" w:hAnsi="Times New Roman" w:cs="Times New Roman"/>
          <w:color w:val="000000" w:themeColor="text1"/>
          <w:sz w:val="24"/>
          <w:szCs w:val="24"/>
          <w:lang w:val="en-US"/>
        </w:rPr>
        <w:t xml:space="preserve">alkaloids, including terpenoids, indole, bisindole, quinolone, and isoquinoline alkaloids, were identified with promising antimalarial activity </w:t>
      </w:r>
      <w:r w:rsidR="009B2472" w:rsidRPr="00F3795D">
        <w:rPr>
          <w:rFonts w:ascii="Times New Roman" w:hAnsi="Times New Roman" w:cs="Times New Roman"/>
          <w:color w:val="000000" w:themeColor="text1"/>
          <w:sz w:val="24"/>
          <w:szCs w:val="24"/>
          <w:lang w:val="en-US"/>
        </w:rPr>
        <w:fldChar w:fldCharType="begin" w:fldLock="1"/>
      </w:r>
      <w:r w:rsidR="008B28D0" w:rsidRPr="00F3795D">
        <w:rPr>
          <w:rFonts w:ascii="Times New Roman" w:hAnsi="Times New Roman" w:cs="Times New Roman"/>
          <w:color w:val="000000" w:themeColor="text1"/>
          <w:sz w:val="24"/>
          <w:szCs w:val="24"/>
          <w:lang w:val="en-US"/>
        </w:rPr>
        <w:instrText>ADDIN CSL_CITATION {"citationItems":[{"id":"ITEM-1","itemData":{"author":[{"dropping-particle":"","family":"Oladeji","given":"Oluwole Solomon","non-dropping-particle":"","parse-names":false,"suffix":""},{"dropping-particle":"","family":"Oluyori","given":"Abimbola Peter","non-dropping-particle":"","parse-names":false,"suffix":""},{"dropping-particle":"","family":"Bankole","given":"Deborah Temitope","non-dropping-particle":"","parse-names":false,"suffix":""},{"dropping-particle":"","family":"Afolabi","given":"Tokunbo Yemisi","non-dropping-particle":"","parse-names":false,"suffix":""}],"id":"ITEM-1","issued":{"date-parts":[["2020"]]},"title":"Natural Products as Sources of Antimalarial Drugs : Ethnobotanical and Ethnopharmacological Studies","type":"article-journal","volume":"2020"},"uris":["http://www.mendeley.com/documents/?uuid=c3f5e382-0a3b-4862-9c33-618005f9c3aa"]}],"mendeley":{"formattedCitation":"(Oladeji et al., 2020)","plainTextFormattedCitation":"(Oladeji et al., 2020)","previouslyFormattedCitation":"(Oladeji et al., 2020)"},"properties":{"noteIndex":0},"schema":"https://github.com/citation-style-language/schema/raw/master/csl-citation.json"}</w:instrText>
      </w:r>
      <w:r w:rsidR="009B2472" w:rsidRPr="00F3795D">
        <w:rPr>
          <w:rFonts w:ascii="Times New Roman" w:hAnsi="Times New Roman" w:cs="Times New Roman"/>
          <w:color w:val="000000" w:themeColor="text1"/>
          <w:sz w:val="24"/>
          <w:szCs w:val="24"/>
          <w:lang w:val="en-US"/>
        </w:rPr>
        <w:fldChar w:fldCharType="separate"/>
      </w:r>
      <w:r w:rsidR="005D682C" w:rsidRPr="00F3795D">
        <w:rPr>
          <w:rFonts w:ascii="Times New Roman" w:hAnsi="Times New Roman" w:cs="Times New Roman"/>
          <w:noProof/>
          <w:color w:val="000000" w:themeColor="text1"/>
          <w:sz w:val="24"/>
          <w:szCs w:val="24"/>
          <w:lang w:val="en-US"/>
        </w:rPr>
        <w:t>(Oladeji et al., 2020)</w:t>
      </w:r>
      <w:r w:rsidR="009B2472" w:rsidRPr="00F3795D">
        <w:rPr>
          <w:rFonts w:ascii="Times New Roman" w:hAnsi="Times New Roman" w:cs="Times New Roman"/>
          <w:color w:val="000000" w:themeColor="text1"/>
          <w:sz w:val="24"/>
          <w:szCs w:val="24"/>
          <w:lang w:val="en-US"/>
        </w:rPr>
        <w:fldChar w:fldCharType="end"/>
      </w:r>
      <w:r w:rsidR="00C41588" w:rsidRPr="00F3795D">
        <w:rPr>
          <w:rFonts w:ascii="Times New Roman" w:hAnsi="Times New Roman" w:cs="Times New Roman"/>
          <w:color w:val="000000" w:themeColor="text1"/>
          <w:sz w:val="24"/>
          <w:szCs w:val="24"/>
          <w:lang w:val="en-US"/>
        </w:rPr>
        <w:t xml:space="preserve">. </w:t>
      </w:r>
      <w:r w:rsidR="00774E9A">
        <w:rPr>
          <w:rFonts w:ascii="Times New Roman" w:eastAsia="Times New Roman" w:hAnsi="Times New Roman" w:cs="Times New Roman"/>
          <w:color w:val="000000" w:themeColor="text1"/>
          <w:sz w:val="24"/>
          <w:szCs w:val="24"/>
          <w:lang w:eastAsia="en-IN"/>
        </w:rPr>
        <w:t>However,</w:t>
      </w:r>
      <w:r w:rsidR="002F2B1F" w:rsidRPr="00F3795D">
        <w:rPr>
          <w:rFonts w:ascii="Times New Roman" w:eastAsia="Times New Roman" w:hAnsi="Times New Roman" w:cs="Times New Roman"/>
          <w:color w:val="000000" w:themeColor="text1"/>
          <w:sz w:val="24"/>
          <w:szCs w:val="24"/>
          <w:lang w:eastAsia="en-IN"/>
        </w:rPr>
        <w:t xml:space="preserve"> the malaria problem </w:t>
      </w:r>
      <w:r w:rsidR="00EE6E97">
        <w:rPr>
          <w:rFonts w:ascii="Times New Roman" w:eastAsia="Times New Roman" w:hAnsi="Times New Roman" w:cs="Times New Roman"/>
          <w:color w:val="000000" w:themeColor="text1"/>
          <w:sz w:val="24"/>
          <w:szCs w:val="24"/>
          <w:lang w:eastAsia="en-IN"/>
        </w:rPr>
        <w:t>has not</w:t>
      </w:r>
      <w:r w:rsidR="002F2B1F" w:rsidRPr="00F3795D">
        <w:rPr>
          <w:rFonts w:ascii="Times New Roman" w:eastAsia="Times New Roman" w:hAnsi="Times New Roman" w:cs="Times New Roman"/>
          <w:color w:val="000000" w:themeColor="text1"/>
          <w:sz w:val="24"/>
          <w:szCs w:val="24"/>
          <w:lang w:eastAsia="en-IN"/>
        </w:rPr>
        <w:t xml:space="preserve"> entirely been resolved in the nation.  Numerous factors contributed to this, such as the quick changes in metropolitan areas' lifestyles and the un</w:t>
      </w:r>
      <w:r w:rsidR="00237F45" w:rsidRPr="00F3795D">
        <w:rPr>
          <w:rFonts w:ascii="Times New Roman" w:eastAsia="Times New Roman" w:hAnsi="Times New Roman" w:cs="Times New Roman"/>
          <w:color w:val="000000" w:themeColor="text1"/>
          <w:sz w:val="24"/>
          <w:szCs w:val="24"/>
          <w:lang w:eastAsia="en-IN"/>
        </w:rPr>
        <w:t>expect</w:t>
      </w:r>
      <w:r w:rsidR="002F2B1F" w:rsidRPr="00F3795D">
        <w:rPr>
          <w:rFonts w:ascii="Times New Roman" w:eastAsia="Times New Roman" w:hAnsi="Times New Roman" w:cs="Times New Roman"/>
          <w:color w:val="000000" w:themeColor="text1"/>
          <w:sz w:val="24"/>
          <w:szCs w:val="24"/>
          <w:lang w:eastAsia="en-IN"/>
        </w:rPr>
        <w:t xml:space="preserve">ed, rapid influx of people. Additionally, bed nets' effectiveness </w:t>
      </w:r>
      <w:r w:rsidR="00237F45" w:rsidRPr="00F3795D">
        <w:rPr>
          <w:rFonts w:ascii="Times New Roman" w:eastAsia="Times New Roman" w:hAnsi="Times New Roman" w:cs="Times New Roman"/>
          <w:color w:val="000000" w:themeColor="text1"/>
          <w:sz w:val="24"/>
          <w:szCs w:val="24"/>
          <w:lang w:eastAsia="en-IN"/>
        </w:rPr>
        <w:t>is</w:t>
      </w:r>
      <w:r w:rsidR="002F2B1F" w:rsidRPr="00F3795D">
        <w:rPr>
          <w:rFonts w:ascii="Times New Roman" w:eastAsia="Times New Roman" w:hAnsi="Times New Roman" w:cs="Times New Roman"/>
          <w:color w:val="000000" w:themeColor="text1"/>
          <w:sz w:val="24"/>
          <w:szCs w:val="24"/>
          <w:lang w:eastAsia="en-IN"/>
        </w:rPr>
        <w:t xml:space="preserve"> hindered by </w:t>
      </w:r>
      <w:r w:rsidR="00237F45" w:rsidRPr="00F3795D">
        <w:rPr>
          <w:rFonts w:ascii="Times New Roman" w:eastAsia="Times New Roman" w:hAnsi="Times New Roman" w:cs="Times New Roman"/>
          <w:color w:val="000000" w:themeColor="text1"/>
          <w:sz w:val="24"/>
          <w:szCs w:val="24"/>
          <w:lang w:eastAsia="en-IN"/>
        </w:rPr>
        <w:t>several</w:t>
      </w:r>
      <w:r w:rsidR="002F2B1F" w:rsidRPr="00F3795D">
        <w:rPr>
          <w:rFonts w:ascii="Times New Roman" w:eastAsia="Times New Roman" w:hAnsi="Times New Roman" w:cs="Times New Roman"/>
          <w:color w:val="000000" w:themeColor="text1"/>
          <w:sz w:val="24"/>
          <w:szCs w:val="24"/>
          <w:lang w:eastAsia="en-IN"/>
        </w:rPr>
        <w:t xml:space="preserve"> factors, including vector resistance, drug resistance, poor efficacy, and water harvesting. </w:t>
      </w:r>
      <w:r w:rsidR="00A02F01" w:rsidRPr="00F3795D">
        <w:rPr>
          <w:rFonts w:ascii="Times New Roman" w:eastAsia="Times New Roman" w:hAnsi="Times New Roman" w:cs="Times New Roman"/>
          <w:color w:val="000000" w:themeColor="text1"/>
          <w:sz w:val="24"/>
          <w:szCs w:val="24"/>
          <w:lang w:eastAsia="en-IN"/>
        </w:rPr>
        <w:t>Our study aimed to thoroughly evaluate</w:t>
      </w:r>
      <w:r w:rsidR="002F2B1F" w:rsidRPr="00F3795D">
        <w:rPr>
          <w:rFonts w:ascii="Times New Roman" w:eastAsia="Times New Roman" w:hAnsi="Times New Roman" w:cs="Times New Roman"/>
          <w:color w:val="000000" w:themeColor="text1"/>
          <w:sz w:val="24"/>
          <w:szCs w:val="24"/>
          <w:lang w:eastAsia="en-IN"/>
        </w:rPr>
        <w:t xml:space="preserve"> the literature on the effect of malaria control programmes on </w:t>
      </w:r>
      <w:r w:rsidR="00237F45" w:rsidRPr="00F3795D">
        <w:rPr>
          <w:rFonts w:ascii="Times New Roman" w:eastAsia="Times New Roman" w:hAnsi="Times New Roman" w:cs="Times New Roman"/>
          <w:color w:val="000000" w:themeColor="text1"/>
          <w:sz w:val="24"/>
          <w:szCs w:val="24"/>
          <w:lang w:eastAsia="en-IN"/>
        </w:rPr>
        <w:t>malaria incidence</w:t>
      </w:r>
      <w:r w:rsidR="002F2B1F" w:rsidRPr="00F3795D">
        <w:rPr>
          <w:rFonts w:ascii="Times New Roman" w:eastAsia="Times New Roman" w:hAnsi="Times New Roman" w:cs="Times New Roman"/>
          <w:color w:val="000000" w:themeColor="text1"/>
          <w:sz w:val="24"/>
          <w:szCs w:val="24"/>
          <w:lang w:eastAsia="en-IN"/>
        </w:rPr>
        <w:t xml:space="preserve"> in endemic regions</w:t>
      </w:r>
      <w:r w:rsidR="00A620B1" w:rsidRPr="00F3795D">
        <w:rPr>
          <w:rFonts w:ascii="Times New Roman" w:eastAsia="Times New Roman" w:hAnsi="Times New Roman" w:cs="Times New Roman"/>
          <w:color w:val="000000" w:themeColor="text1"/>
          <w:sz w:val="24"/>
          <w:szCs w:val="24"/>
          <w:lang w:eastAsia="en-IN"/>
        </w:rPr>
        <w:t xml:space="preserve">. </w:t>
      </w:r>
      <w:r w:rsidR="004F4898" w:rsidRPr="00F3795D">
        <w:rPr>
          <w:rFonts w:ascii="Times New Roman" w:eastAsia="Times New Roman" w:hAnsi="Times New Roman" w:cs="Times New Roman"/>
          <w:color w:val="000000" w:themeColor="text1"/>
          <w:sz w:val="24"/>
          <w:szCs w:val="24"/>
          <w:lang w:eastAsia="en-IN"/>
        </w:rPr>
        <w:t>Therefore, we highlighted neglected malaria causes, their assessments, and recommendations for complete recovery from protozoal transmission and related complications.</w:t>
      </w:r>
    </w:p>
    <w:p w14:paraId="31A43275" w14:textId="77777777" w:rsidR="00A168EF" w:rsidRDefault="00A168EF" w:rsidP="00372EFD">
      <w:pPr>
        <w:autoSpaceDE w:val="0"/>
        <w:autoSpaceDN w:val="0"/>
        <w:adjustRightInd w:val="0"/>
        <w:spacing w:after="0" w:line="276" w:lineRule="auto"/>
        <w:jc w:val="both"/>
        <w:rPr>
          <w:rFonts w:ascii="Times New Roman" w:eastAsia="Times New Roman" w:hAnsi="Times New Roman" w:cs="Times New Roman"/>
          <w:b/>
          <w:bCs/>
          <w:color w:val="000000" w:themeColor="text1"/>
          <w:sz w:val="24"/>
          <w:szCs w:val="24"/>
          <w:lang w:eastAsia="en-IN"/>
        </w:rPr>
      </w:pPr>
    </w:p>
    <w:p w14:paraId="77DE2523" w14:textId="1D0F517A" w:rsidR="00A168EF" w:rsidRDefault="002672D4" w:rsidP="00372EFD">
      <w:pPr>
        <w:autoSpaceDE w:val="0"/>
        <w:autoSpaceDN w:val="0"/>
        <w:adjustRightInd w:val="0"/>
        <w:spacing w:after="0" w:line="276" w:lineRule="auto"/>
        <w:jc w:val="both"/>
        <w:rPr>
          <w:rFonts w:ascii="Times New Roman" w:eastAsia="Times New Roman" w:hAnsi="Times New Roman" w:cs="Times New Roman"/>
          <w:b/>
          <w:bCs/>
          <w:color w:val="000000" w:themeColor="text1"/>
          <w:sz w:val="24"/>
          <w:szCs w:val="24"/>
          <w:lang w:eastAsia="en-IN"/>
        </w:rPr>
      </w:pPr>
      <w:r>
        <w:rPr>
          <w:rFonts w:ascii="Times New Roman" w:eastAsia="Times New Roman" w:hAnsi="Times New Roman" w:cs="Times New Roman"/>
          <w:b/>
          <w:bCs/>
          <w:color w:val="000000" w:themeColor="text1"/>
          <w:sz w:val="24"/>
          <w:szCs w:val="24"/>
          <w:lang w:eastAsia="en-IN"/>
        </w:rPr>
        <w:t>The l</w:t>
      </w:r>
      <w:r w:rsidR="00A168EF">
        <w:rPr>
          <w:rFonts w:ascii="Times New Roman" w:eastAsia="Times New Roman" w:hAnsi="Times New Roman" w:cs="Times New Roman"/>
          <w:b/>
          <w:bCs/>
          <w:color w:val="000000" w:themeColor="text1"/>
          <w:sz w:val="24"/>
          <w:szCs w:val="24"/>
          <w:lang w:eastAsia="en-IN"/>
        </w:rPr>
        <w:t>ife cycle of Malaria</w:t>
      </w:r>
    </w:p>
    <w:p w14:paraId="0548465A" w14:textId="3AF9B22F" w:rsidR="00A168EF" w:rsidRPr="00DA74CA" w:rsidRDefault="00A168EF" w:rsidP="00372EFD">
      <w:pPr>
        <w:autoSpaceDE w:val="0"/>
        <w:autoSpaceDN w:val="0"/>
        <w:adjustRightInd w:val="0"/>
        <w:spacing w:after="0" w:line="276" w:lineRule="auto"/>
        <w:jc w:val="both"/>
        <w:rPr>
          <w:rFonts w:ascii="Times New Roman" w:hAnsi="Times New Roman" w:cs="Times New Roman"/>
          <w:sz w:val="24"/>
          <w:szCs w:val="24"/>
          <w:lang w:val="en-US"/>
        </w:rPr>
      </w:pPr>
      <w:r w:rsidRPr="00A168EF">
        <w:rPr>
          <w:rFonts w:ascii="Times New Roman" w:hAnsi="Times New Roman" w:cs="Times New Roman"/>
          <w:sz w:val="24"/>
          <w:szCs w:val="24"/>
          <w:lang w:val="en-US"/>
        </w:rPr>
        <w:t xml:space="preserve">The life cycle of </w:t>
      </w:r>
      <w:r w:rsidRPr="00A168EF">
        <w:rPr>
          <w:rFonts w:ascii="Times New Roman" w:hAnsi="Times New Roman" w:cs="Times New Roman"/>
          <w:i/>
          <w:iCs/>
          <w:sz w:val="24"/>
          <w:szCs w:val="24"/>
          <w:lang w:val="en-US"/>
        </w:rPr>
        <w:t xml:space="preserve">Plasmodium </w:t>
      </w:r>
      <w:r w:rsidRPr="00A168EF">
        <w:rPr>
          <w:rFonts w:ascii="Times New Roman" w:hAnsi="Times New Roman" w:cs="Times New Roman"/>
          <w:sz w:val="24"/>
          <w:szCs w:val="24"/>
          <w:lang w:val="en-US"/>
        </w:rPr>
        <w:t>parasites involves asexual as well as sexual</w:t>
      </w:r>
      <w:r w:rsidR="00DA74CA">
        <w:rPr>
          <w:rFonts w:ascii="Times New Roman" w:hAnsi="Times New Roman" w:cs="Times New Roman"/>
          <w:sz w:val="24"/>
          <w:szCs w:val="24"/>
          <w:lang w:val="en-US"/>
        </w:rPr>
        <w:t xml:space="preserve"> </w:t>
      </w:r>
      <w:r w:rsidRPr="00A168EF">
        <w:rPr>
          <w:rFonts w:ascii="Times New Roman" w:hAnsi="Times New Roman" w:cs="Times New Roman"/>
          <w:sz w:val="24"/>
          <w:szCs w:val="24"/>
          <w:lang w:val="en-US"/>
        </w:rPr>
        <w:t>replication that is linked to an obligate</w:t>
      </w:r>
      <w:r w:rsidR="00DA74CA">
        <w:rPr>
          <w:rFonts w:ascii="Times New Roman" w:hAnsi="Times New Roman" w:cs="Times New Roman"/>
          <w:sz w:val="24"/>
          <w:szCs w:val="24"/>
          <w:lang w:val="en-US"/>
        </w:rPr>
        <w:t xml:space="preserve"> </w:t>
      </w:r>
      <w:r w:rsidRPr="00A168EF">
        <w:rPr>
          <w:rFonts w:ascii="Times New Roman" w:hAnsi="Times New Roman" w:cs="Times New Roman"/>
          <w:sz w:val="24"/>
          <w:szCs w:val="24"/>
          <w:lang w:val="en-US"/>
        </w:rPr>
        <w:t>host change from a human intermediate</w:t>
      </w:r>
      <w:r w:rsidR="00DA74CA">
        <w:rPr>
          <w:rFonts w:ascii="Times New Roman" w:hAnsi="Times New Roman" w:cs="Times New Roman"/>
          <w:sz w:val="24"/>
          <w:szCs w:val="24"/>
          <w:lang w:val="en-US"/>
        </w:rPr>
        <w:t xml:space="preserve"> </w:t>
      </w:r>
      <w:r w:rsidRPr="00A168EF">
        <w:rPr>
          <w:rFonts w:ascii="Times New Roman" w:hAnsi="Times New Roman" w:cs="Times New Roman"/>
          <w:sz w:val="24"/>
          <w:szCs w:val="24"/>
          <w:lang w:val="en-US"/>
        </w:rPr>
        <w:t xml:space="preserve">host to a female mosquito of the genus </w:t>
      </w:r>
      <w:r w:rsidRPr="00A168EF">
        <w:rPr>
          <w:rFonts w:ascii="Times New Roman" w:hAnsi="Times New Roman" w:cs="Times New Roman"/>
          <w:i/>
          <w:iCs/>
          <w:sz w:val="24"/>
          <w:szCs w:val="24"/>
          <w:lang w:val="en-US"/>
        </w:rPr>
        <w:t xml:space="preserve">Anopheles </w:t>
      </w:r>
      <w:r w:rsidRPr="00A168EF">
        <w:rPr>
          <w:rFonts w:ascii="Times New Roman" w:hAnsi="Times New Roman" w:cs="Times New Roman"/>
          <w:sz w:val="24"/>
          <w:szCs w:val="24"/>
          <w:lang w:val="en-US"/>
        </w:rPr>
        <w:t>as the final</w:t>
      </w:r>
      <w:r w:rsidR="00DA74CA">
        <w:rPr>
          <w:rFonts w:ascii="Times New Roman" w:hAnsi="Times New Roman" w:cs="Times New Roman"/>
          <w:sz w:val="24"/>
          <w:szCs w:val="24"/>
          <w:lang w:val="en-US"/>
        </w:rPr>
        <w:t xml:space="preserve"> </w:t>
      </w:r>
      <w:r w:rsidRPr="00A168EF">
        <w:rPr>
          <w:rFonts w:ascii="Times New Roman" w:hAnsi="Times New Roman" w:cs="Times New Roman"/>
          <w:sz w:val="24"/>
          <w:szCs w:val="24"/>
          <w:lang w:val="en-US"/>
        </w:rPr>
        <w:t>host.</w:t>
      </w:r>
      <w:r w:rsidR="007C37FC">
        <w:rPr>
          <w:rFonts w:ascii="Times New Roman" w:hAnsi="Times New Roman" w:cs="Times New Roman"/>
          <w:sz w:val="24"/>
          <w:szCs w:val="24"/>
          <w:lang w:val="en-US"/>
        </w:rPr>
        <w:t xml:space="preserve"> </w:t>
      </w:r>
      <w:r w:rsidR="002672D4">
        <w:rPr>
          <w:rFonts w:ascii="Times New Roman" w:hAnsi="Times New Roman" w:cs="Times New Roman"/>
          <w:sz w:val="24"/>
          <w:szCs w:val="24"/>
          <w:lang w:val="en-US"/>
        </w:rPr>
        <w:t xml:space="preserve">Plasmodium parasites must infect and inhabit multiple cell </w:t>
      </w:r>
      <w:r w:rsidR="002672D4">
        <w:rPr>
          <w:rFonts w:ascii="Times New Roman" w:hAnsi="Times New Roman" w:cs="Times New Roman"/>
          <w:sz w:val="24"/>
          <w:szCs w:val="24"/>
          <w:lang w:val="en-US"/>
        </w:rPr>
        <w:lastRenderedPageBreak/>
        <w:t>types during this complex life cycle</w:t>
      </w:r>
      <w:r w:rsidRPr="00A168EF">
        <w:rPr>
          <w:rFonts w:ascii="Times New Roman" w:hAnsi="Times New Roman" w:cs="Times New Roman"/>
          <w:sz w:val="24"/>
          <w:szCs w:val="24"/>
          <w:lang w:val="en-US"/>
        </w:rPr>
        <w:t xml:space="preserve"> to ensure developmental</w:t>
      </w:r>
      <w:r w:rsidR="00DA74CA">
        <w:rPr>
          <w:rFonts w:ascii="Times New Roman" w:hAnsi="Times New Roman" w:cs="Times New Roman"/>
          <w:sz w:val="24"/>
          <w:szCs w:val="24"/>
          <w:lang w:val="en-US"/>
        </w:rPr>
        <w:t xml:space="preserve"> </w:t>
      </w:r>
      <w:r w:rsidRPr="00A168EF">
        <w:rPr>
          <w:rFonts w:ascii="Times New Roman" w:hAnsi="Times New Roman" w:cs="Times New Roman"/>
          <w:sz w:val="24"/>
          <w:szCs w:val="24"/>
          <w:lang w:val="en-US"/>
        </w:rPr>
        <w:t>stage progression and progeny production.</w:t>
      </w:r>
      <w:r w:rsidR="007C37FC">
        <w:rPr>
          <w:rFonts w:ascii="Times New Roman" w:hAnsi="Times New Roman" w:cs="Times New Roman"/>
          <w:sz w:val="24"/>
          <w:szCs w:val="24"/>
          <w:lang w:val="en-US"/>
        </w:rPr>
        <w:t xml:space="preserve"> </w:t>
      </w:r>
      <w:r w:rsidRPr="00A168EF">
        <w:rPr>
          <w:rFonts w:ascii="Times New Roman" w:hAnsi="Times New Roman" w:cs="Times New Roman"/>
          <w:sz w:val="24"/>
          <w:szCs w:val="24"/>
          <w:lang w:val="en-US"/>
        </w:rPr>
        <w:t>The erythrocytic</w:t>
      </w:r>
      <w:r w:rsidR="00DA74CA">
        <w:rPr>
          <w:rFonts w:ascii="Times New Roman" w:hAnsi="Times New Roman" w:cs="Times New Roman"/>
          <w:sz w:val="24"/>
          <w:szCs w:val="24"/>
          <w:lang w:val="en-US"/>
        </w:rPr>
        <w:t xml:space="preserve"> </w:t>
      </w:r>
      <w:r w:rsidRPr="00A168EF">
        <w:rPr>
          <w:rFonts w:ascii="Times New Roman" w:hAnsi="Times New Roman" w:cs="Times New Roman"/>
          <w:sz w:val="24"/>
          <w:szCs w:val="24"/>
          <w:lang w:val="en-US"/>
        </w:rPr>
        <w:t>schizogony, which occurs within the erythrocytes of</w:t>
      </w:r>
      <w:r w:rsidR="00DA74CA">
        <w:rPr>
          <w:rFonts w:ascii="Times New Roman" w:hAnsi="Times New Roman" w:cs="Times New Roman"/>
          <w:sz w:val="24"/>
          <w:szCs w:val="24"/>
          <w:lang w:val="en-US"/>
        </w:rPr>
        <w:t xml:space="preserve"> </w:t>
      </w:r>
      <w:r w:rsidRPr="00A168EF">
        <w:rPr>
          <w:rFonts w:ascii="Times New Roman" w:hAnsi="Times New Roman" w:cs="Times New Roman"/>
          <w:sz w:val="24"/>
          <w:szCs w:val="24"/>
          <w:lang w:val="en-US"/>
        </w:rPr>
        <w:t>the human host, involves a sophisticated reorganization of the</w:t>
      </w:r>
      <w:r w:rsidR="00DA74CA">
        <w:rPr>
          <w:rFonts w:ascii="Times New Roman" w:hAnsi="Times New Roman" w:cs="Times New Roman"/>
          <w:sz w:val="24"/>
          <w:szCs w:val="24"/>
          <w:lang w:val="en-US"/>
        </w:rPr>
        <w:t xml:space="preserve"> </w:t>
      </w:r>
      <w:r w:rsidRPr="00A168EF">
        <w:rPr>
          <w:rFonts w:ascii="Times New Roman" w:hAnsi="Times New Roman" w:cs="Times New Roman"/>
          <w:sz w:val="24"/>
          <w:szCs w:val="24"/>
          <w:lang w:val="en-US"/>
        </w:rPr>
        <w:t>terminally differentiated and metabolically reduced host cell in</w:t>
      </w:r>
      <w:r w:rsidR="00DA74CA">
        <w:rPr>
          <w:rFonts w:ascii="Times New Roman" w:hAnsi="Times New Roman" w:cs="Times New Roman"/>
          <w:sz w:val="24"/>
          <w:szCs w:val="24"/>
          <w:lang w:val="en-US"/>
        </w:rPr>
        <w:t xml:space="preserve"> </w:t>
      </w:r>
      <w:r w:rsidRPr="00A168EF">
        <w:rPr>
          <w:rFonts w:ascii="Times New Roman" w:hAnsi="Times New Roman" w:cs="Times New Roman"/>
          <w:sz w:val="24"/>
          <w:szCs w:val="24"/>
          <w:lang w:val="en-US"/>
        </w:rPr>
        <w:t xml:space="preserve">the process of securing nutrient supply from </w:t>
      </w:r>
      <w:proofErr w:type="spellStart"/>
      <w:r w:rsidRPr="00A168EF">
        <w:rPr>
          <w:rFonts w:ascii="Times New Roman" w:hAnsi="Times New Roman" w:cs="Times New Roman"/>
          <w:sz w:val="24"/>
          <w:szCs w:val="24"/>
          <w:lang w:val="en-US"/>
        </w:rPr>
        <w:t>h</w:t>
      </w:r>
      <w:r w:rsidR="002672D4">
        <w:rPr>
          <w:rFonts w:ascii="Times New Roman" w:hAnsi="Times New Roman" w:cs="Times New Roman"/>
          <w:sz w:val="24"/>
          <w:szCs w:val="24"/>
          <w:lang w:val="en-US"/>
        </w:rPr>
        <w:t>a</w:t>
      </w:r>
      <w:r w:rsidRPr="00A168EF">
        <w:rPr>
          <w:rFonts w:ascii="Times New Roman" w:hAnsi="Times New Roman" w:cs="Times New Roman"/>
          <w:sz w:val="24"/>
          <w:szCs w:val="24"/>
          <w:lang w:val="en-US"/>
        </w:rPr>
        <w:t>emoglobin</w:t>
      </w:r>
      <w:proofErr w:type="spellEnd"/>
      <w:r w:rsidRPr="00A168EF">
        <w:rPr>
          <w:rFonts w:ascii="Times New Roman" w:hAnsi="Times New Roman" w:cs="Times New Roman"/>
          <w:sz w:val="24"/>
          <w:szCs w:val="24"/>
          <w:lang w:val="en-US"/>
        </w:rPr>
        <w:t xml:space="preserve"> digestion</w:t>
      </w:r>
      <w:r w:rsidR="00DA74CA">
        <w:rPr>
          <w:rFonts w:ascii="Times New Roman" w:hAnsi="Times New Roman" w:cs="Times New Roman"/>
          <w:sz w:val="24"/>
          <w:szCs w:val="24"/>
          <w:lang w:val="en-US"/>
        </w:rPr>
        <w:t xml:space="preserve"> </w:t>
      </w:r>
      <w:r w:rsidRPr="00A168EF">
        <w:rPr>
          <w:rFonts w:ascii="Times New Roman" w:hAnsi="Times New Roman" w:cs="Times New Roman"/>
          <w:sz w:val="24"/>
          <w:szCs w:val="24"/>
          <w:lang w:val="en-US"/>
        </w:rPr>
        <w:t>as well as blood serum uptake, removal of toxic waste,</w:t>
      </w:r>
      <w:r w:rsidR="00DA74CA">
        <w:rPr>
          <w:rFonts w:ascii="Times New Roman" w:hAnsi="Times New Roman" w:cs="Times New Roman"/>
          <w:sz w:val="24"/>
          <w:szCs w:val="24"/>
          <w:lang w:val="en-US"/>
        </w:rPr>
        <w:t xml:space="preserve"> </w:t>
      </w:r>
      <w:r w:rsidRPr="00A168EF">
        <w:rPr>
          <w:rFonts w:ascii="Times New Roman" w:hAnsi="Times New Roman" w:cs="Times New Roman"/>
          <w:sz w:val="24"/>
          <w:szCs w:val="24"/>
          <w:lang w:val="en-US"/>
        </w:rPr>
        <w:t>protection against the host immune response, and life cycle</w:t>
      </w:r>
      <w:r w:rsidR="00DA74CA">
        <w:rPr>
          <w:rFonts w:ascii="Times New Roman" w:hAnsi="Times New Roman" w:cs="Times New Roman"/>
          <w:sz w:val="24"/>
          <w:szCs w:val="24"/>
          <w:lang w:val="en-US"/>
        </w:rPr>
        <w:t xml:space="preserve"> </w:t>
      </w:r>
      <w:r w:rsidRPr="00A168EF">
        <w:rPr>
          <w:rFonts w:ascii="Times New Roman" w:hAnsi="Times New Roman" w:cs="Times New Roman"/>
          <w:sz w:val="24"/>
          <w:szCs w:val="24"/>
          <w:lang w:val="en-US"/>
        </w:rPr>
        <w:t>progression.</w:t>
      </w:r>
      <w:r w:rsidR="007C37FC">
        <w:rPr>
          <w:rFonts w:ascii="Times New Roman" w:hAnsi="Times New Roman" w:cs="Times New Roman"/>
          <w:sz w:val="24"/>
          <w:szCs w:val="24"/>
          <w:lang w:val="en-US"/>
        </w:rPr>
        <w:t xml:space="preserve"> </w:t>
      </w:r>
      <w:r w:rsidRPr="00A168EF">
        <w:rPr>
          <w:rFonts w:ascii="Times New Roman" w:hAnsi="Times New Roman" w:cs="Times New Roman"/>
          <w:sz w:val="24"/>
          <w:szCs w:val="24"/>
          <w:lang w:val="en-US"/>
        </w:rPr>
        <w:t xml:space="preserve">During schizogony, </w:t>
      </w:r>
      <w:r w:rsidRPr="00A168EF">
        <w:rPr>
          <w:rFonts w:ascii="Times New Roman" w:hAnsi="Times New Roman" w:cs="Times New Roman"/>
          <w:i/>
          <w:iCs/>
          <w:sz w:val="24"/>
          <w:szCs w:val="24"/>
          <w:lang w:val="en-US"/>
        </w:rPr>
        <w:t xml:space="preserve">P. falciparum </w:t>
      </w:r>
      <w:r w:rsidRPr="00A168EF">
        <w:rPr>
          <w:rFonts w:ascii="Times New Roman" w:hAnsi="Times New Roman" w:cs="Times New Roman"/>
          <w:sz w:val="24"/>
          <w:szCs w:val="24"/>
          <w:lang w:val="en-US"/>
        </w:rPr>
        <w:t>establishes the Maurer’s</w:t>
      </w:r>
      <w:r w:rsidR="00DA74CA">
        <w:rPr>
          <w:rFonts w:ascii="Times New Roman" w:hAnsi="Times New Roman" w:cs="Times New Roman"/>
          <w:sz w:val="24"/>
          <w:szCs w:val="24"/>
          <w:lang w:val="en-US"/>
        </w:rPr>
        <w:t xml:space="preserve"> </w:t>
      </w:r>
      <w:r w:rsidRPr="00A168EF">
        <w:rPr>
          <w:rFonts w:ascii="Times New Roman" w:hAnsi="Times New Roman" w:cs="Times New Roman"/>
          <w:sz w:val="24"/>
          <w:szCs w:val="24"/>
          <w:lang w:val="en-US"/>
        </w:rPr>
        <w:t>clefts</w:t>
      </w:r>
      <w:r w:rsidR="002672D4">
        <w:rPr>
          <w:rFonts w:ascii="Times New Roman" w:hAnsi="Times New Roman" w:cs="Times New Roman"/>
          <w:sz w:val="24"/>
          <w:szCs w:val="24"/>
          <w:lang w:val="en-US"/>
        </w:rPr>
        <w:t>. This secretory organelle</w:t>
      </w:r>
      <w:r w:rsidRPr="00A168EF">
        <w:rPr>
          <w:rFonts w:ascii="Times New Roman" w:hAnsi="Times New Roman" w:cs="Times New Roman"/>
          <w:sz w:val="24"/>
          <w:szCs w:val="24"/>
          <w:lang w:val="en-US"/>
        </w:rPr>
        <w:t xml:space="preserve"> resides outside the parasite’s</w:t>
      </w:r>
      <w:r w:rsidR="00DA74CA">
        <w:rPr>
          <w:rFonts w:ascii="Times New Roman" w:hAnsi="Times New Roman" w:cs="Times New Roman"/>
          <w:sz w:val="24"/>
          <w:szCs w:val="24"/>
          <w:lang w:val="en-US"/>
        </w:rPr>
        <w:t xml:space="preserve"> </w:t>
      </w:r>
      <w:r w:rsidRPr="00A168EF">
        <w:rPr>
          <w:rFonts w:ascii="Times New Roman" w:hAnsi="Times New Roman" w:cs="Times New Roman"/>
          <w:sz w:val="24"/>
          <w:szCs w:val="24"/>
          <w:lang w:val="en-US"/>
        </w:rPr>
        <w:t xml:space="preserve">cellular boundaries within the erythrocyte cytoplasm to </w:t>
      </w:r>
      <w:r w:rsidR="00644F7D">
        <w:rPr>
          <w:rFonts w:ascii="Times New Roman" w:hAnsi="Times New Roman" w:cs="Times New Roman"/>
          <w:sz w:val="24"/>
          <w:szCs w:val="24"/>
          <w:lang w:val="en-US"/>
        </w:rPr>
        <w:t>facilitate h</w:t>
      </w:r>
      <w:r w:rsidRPr="00A168EF">
        <w:rPr>
          <w:rFonts w:ascii="Times New Roman" w:hAnsi="Times New Roman" w:cs="Times New Roman"/>
          <w:sz w:val="24"/>
          <w:szCs w:val="24"/>
          <w:lang w:val="en-US"/>
        </w:rPr>
        <w:t>ost</w:t>
      </w:r>
      <w:r w:rsidR="00376358">
        <w:rPr>
          <w:rFonts w:ascii="Times New Roman" w:hAnsi="Times New Roman" w:cs="Times New Roman"/>
          <w:sz w:val="24"/>
          <w:szCs w:val="24"/>
          <w:lang w:val="en-US"/>
        </w:rPr>
        <w:t>-</w:t>
      </w:r>
      <w:r w:rsidRPr="00A168EF">
        <w:rPr>
          <w:rFonts w:ascii="Times New Roman" w:hAnsi="Times New Roman" w:cs="Times New Roman"/>
          <w:sz w:val="24"/>
          <w:szCs w:val="24"/>
          <w:lang w:val="en-US"/>
        </w:rPr>
        <w:t>parasite interaction and sequestration to avoid splenic</w:t>
      </w:r>
      <w:r w:rsidR="00DA74CA">
        <w:rPr>
          <w:rFonts w:ascii="Times New Roman" w:hAnsi="Times New Roman" w:cs="Times New Roman"/>
          <w:sz w:val="24"/>
          <w:szCs w:val="24"/>
          <w:lang w:val="en-US"/>
        </w:rPr>
        <w:t xml:space="preserve"> </w:t>
      </w:r>
      <w:r w:rsidRPr="00A168EF">
        <w:rPr>
          <w:rFonts w:ascii="Times New Roman" w:hAnsi="Times New Roman" w:cs="Times New Roman"/>
          <w:sz w:val="24"/>
          <w:szCs w:val="24"/>
          <w:lang w:val="en-US"/>
        </w:rPr>
        <w:t>clearance of the infected erythrocyte.</w:t>
      </w:r>
      <w:r w:rsidR="007C37FC">
        <w:rPr>
          <w:rFonts w:ascii="Times New Roman" w:hAnsi="Times New Roman" w:cs="Times New Roman"/>
          <w:sz w:val="24"/>
          <w:szCs w:val="24"/>
          <w:lang w:val="en-US"/>
        </w:rPr>
        <w:t xml:space="preserve"> </w:t>
      </w:r>
      <w:r w:rsidRPr="00A168EF">
        <w:rPr>
          <w:rFonts w:ascii="Times New Roman" w:hAnsi="Times New Roman" w:cs="Times New Roman"/>
          <w:sz w:val="24"/>
          <w:szCs w:val="24"/>
          <w:lang w:val="en-US"/>
        </w:rPr>
        <w:t>Se</w:t>
      </w:r>
      <w:r w:rsidR="002672D4">
        <w:rPr>
          <w:rFonts w:ascii="Times New Roman" w:hAnsi="Times New Roman" w:cs="Times New Roman"/>
          <w:sz w:val="24"/>
          <w:szCs w:val="24"/>
          <w:lang w:val="en-US"/>
        </w:rPr>
        <w:t>clus</w:t>
      </w:r>
      <w:r w:rsidRPr="00A168EF">
        <w:rPr>
          <w:rFonts w:ascii="Times New Roman" w:hAnsi="Times New Roman" w:cs="Times New Roman"/>
          <w:sz w:val="24"/>
          <w:szCs w:val="24"/>
          <w:lang w:val="en-US"/>
        </w:rPr>
        <w:t>ion is either</w:t>
      </w:r>
      <w:r w:rsidR="00DA74CA">
        <w:rPr>
          <w:rFonts w:ascii="Times New Roman" w:hAnsi="Times New Roman" w:cs="Times New Roman"/>
          <w:sz w:val="24"/>
          <w:szCs w:val="24"/>
          <w:lang w:val="en-US"/>
        </w:rPr>
        <w:t xml:space="preserve"> </w:t>
      </w:r>
      <w:r w:rsidRPr="00A168EF">
        <w:rPr>
          <w:rFonts w:ascii="Times New Roman" w:hAnsi="Times New Roman" w:cs="Times New Roman"/>
          <w:sz w:val="24"/>
          <w:szCs w:val="24"/>
          <w:lang w:val="en-US"/>
        </w:rPr>
        <w:t>achieved via cytoadherence of the infected erythrocyte to various</w:t>
      </w:r>
      <w:r w:rsidR="00DA74CA">
        <w:rPr>
          <w:rFonts w:ascii="Times New Roman" w:hAnsi="Times New Roman" w:cs="Times New Roman"/>
          <w:sz w:val="24"/>
          <w:szCs w:val="24"/>
          <w:lang w:val="en-US"/>
        </w:rPr>
        <w:t xml:space="preserve"> </w:t>
      </w:r>
      <w:r w:rsidRPr="00A168EF">
        <w:rPr>
          <w:rFonts w:ascii="Times New Roman" w:hAnsi="Times New Roman" w:cs="Times New Roman"/>
          <w:sz w:val="24"/>
          <w:szCs w:val="24"/>
          <w:lang w:val="en-US"/>
        </w:rPr>
        <w:t xml:space="preserve">receptors </w:t>
      </w:r>
      <w:r w:rsidR="002672D4">
        <w:rPr>
          <w:rFonts w:ascii="Times New Roman" w:hAnsi="Times New Roman" w:cs="Times New Roman"/>
          <w:sz w:val="24"/>
          <w:szCs w:val="24"/>
          <w:lang w:val="en-US"/>
        </w:rPr>
        <w:t>on the surface of vascular endothelial cells in the postcapillary venules of different organs or via resetting</w:t>
      </w:r>
      <w:r w:rsidRPr="00A168EF">
        <w:rPr>
          <w:rFonts w:ascii="Times New Roman" w:hAnsi="Times New Roman" w:cs="Times New Roman"/>
          <w:sz w:val="24"/>
          <w:szCs w:val="24"/>
          <w:lang w:val="en-US"/>
        </w:rPr>
        <w:t xml:space="preserve"> infected erythrocytes with uninfected erythrocytes.</w:t>
      </w:r>
      <w:r w:rsidR="007C37FC">
        <w:rPr>
          <w:rFonts w:ascii="Times New Roman" w:hAnsi="Times New Roman" w:cs="Times New Roman"/>
          <w:sz w:val="24"/>
          <w:szCs w:val="24"/>
          <w:lang w:val="en-US"/>
        </w:rPr>
        <w:t xml:space="preserve"> </w:t>
      </w:r>
      <w:r w:rsidRPr="00A168EF">
        <w:rPr>
          <w:rFonts w:ascii="Times New Roman" w:hAnsi="Times New Roman" w:cs="Times New Roman"/>
          <w:sz w:val="24"/>
          <w:szCs w:val="24"/>
          <w:lang w:val="en-US"/>
        </w:rPr>
        <w:t>The</w:t>
      </w:r>
      <w:r w:rsidR="00DA74CA">
        <w:rPr>
          <w:rFonts w:ascii="Times New Roman" w:hAnsi="Times New Roman" w:cs="Times New Roman"/>
          <w:sz w:val="24"/>
          <w:szCs w:val="24"/>
          <w:lang w:val="en-US"/>
        </w:rPr>
        <w:t xml:space="preserve"> </w:t>
      </w:r>
      <w:r w:rsidRPr="00A168EF">
        <w:rPr>
          <w:rFonts w:ascii="Times New Roman" w:hAnsi="Times New Roman" w:cs="Times New Roman"/>
          <w:sz w:val="24"/>
          <w:szCs w:val="24"/>
          <w:lang w:val="en-US"/>
        </w:rPr>
        <w:t xml:space="preserve">cytoadherence of </w:t>
      </w:r>
      <w:r w:rsidRPr="00A168EF">
        <w:rPr>
          <w:rFonts w:ascii="Times New Roman" w:hAnsi="Times New Roman" w:cs="Times New Roman"/>
          <w:i/>
          <w:iCs/>
          <w:sz w:val="24"/>
          <w:szCs w:val="24"/>
          <w:lang w:val="en-US"/>
        </w:rPr>
        <w:t>P. falciparum</w:t>
      </w:r>
      <w:r w:rsidRPr="00A168EF">
        <w:rPr>
          <w:rFonts w:ascii="Times New Roman" w:hAnsi="Times New Roman" w:cs="Times New Roman"/>
          <w:sz w:val="24"/>
          <w:szCs w:val="24"/>
          <w:lang w:val="en-US"/>
        </w:rPr>
        <w:t>-parasitized erythrocytes is established</w:t>
      </w:r>
      <w:r w:rsidR="00DA74CA">
        <w:rPr>
          <w:rFonts w:ascii="Times New Roman" w:hAnsi="Times New Roman" w:cs="Times New Roman"/>
          <w:sz w:val="24"/>
          <w:szCs w:val="24"/>
          <w:lang w:val="en-US"/>
        </w:rPr>
        <w:t xml:space="preserve"> </w:t>
      </w:r>
      <w:r w:rsidRPr="00A168EF">
        <w:rPr>
          <w:rFonts w:ascii="Times New Roman" w:hAnsi="Times New Roman" w:cs="Times New Roman"/>
          <w:sz w:val="24"/>
          <w:szCs w:val="24"/>
          <w:lang w:val="en-US"/>
        </w:rPr>
        <w:t xml:space="preserve">by members of the diverse </w:t>
      </w:r>
      <w:r w:rsidRPr="00A168EF">
        <w:rPr>
          <w:rFonts w:ascii="Times New Roman" w:hAnsi="Times New Roman" w:cs="Times New Roman"/>
          <w:i/>
          <w:iCs/>
          <w:sz w:val="24"/>
          <w:szCs w:val="24"/>
          <w:lang w:val="en-US"/>
        </w:rPr>
        <w:t xml:space="preserve">var </w:t>
      </w:r>
      <w:r w:rsidRPr="00A168EF">
        <w:rPr>
          <w:rFonts w:ascii="Times New Roman" w:hAnsi="Times New Roman" w:cs="Times New Roman"/>
          <w:sz w:val="24"/>
          <w:szCs w:val="24"/>
          <w:lang w:val="en-US"/>
        </w:rPr>
        <w:t>multigene family encoding</w:t>
      </w:r>
      <w:r w:rsidR="00DA74CA">
        <w:rPr>
          <w:rFonts w:ascii="Times New Roman" w:hAnsi="Times New Roman" w:cs="Times New Roman"/>
          <w:sz w:val="24"/>
          <w:szCs w:val="24"/>
          <w:lang w:val="en-US"/>
        </w:rPr>
        <w:t xml:space="preserve"> </w:t>
      </w:r>
      <w:r w:rsidRPr="00A168EF">
        <w:rPr>
          <w:rFonts w:ascii="Times New Roman" w:hAnsi="Times New Roman" w:cs="Times New Roman"/>
          <w:sz w:val="24"/>
          <w:szCs w:val="24"/>
          <w:lang w:val="en-US"/>
        </w:rPr>
        <w:t xml:space="preserve">several different versions of </w:t>
      </w:r>
      <w:r w:rsidRPr="00A168EF">
        <w:rPr>
          <w:rFonts w:ascii="Times New Roman" w:hAnsi="Times New Roman" w:cs="Times New Roman"/>
          <w:i/>
          <w:iCs/>
          <w:sz w:val="24"/>
          <w:szCs w:val="24"/>
          <w:lang w:val="en-US"/>
        </w:rPr>
        <w:t xml:space="preserve">P. falciparum </w:t>
      </w:r>
      <w:r w:rsidRPr="00A168EF">
        <w:rPr>
          <w:rFonts w:ascii="Times New Roman" w:hAnsi="Times New Roman" w:cs="Times New Roman"/>
          <w:sz w:val="24"/>
          <w:szCs w:val="24"/>
          <w:lang w:val="en-US"/>
        </w:rPr>
        <w:t>erythrocyte membrane</w:t>
      </w:r>
      <w:r w:rsidR="00DA74CA">
        <w:rPr>
          <w:rFonts w:ascii="Times New Roman" w:hAnsi="Times New Roman" w:cs="Times New Roman"/>
          <w:sz w:val="24"/>
          <w:szCs w:val="24"/>
          <w:lang w:val="en-US"/>
        </w:rPr>
        <w:t xml:space="preserve"> </w:t>
      </w:r>
      <w:r w:rsidRPr="00A168EF">
        <w:rPr>
          <w:rFonts w:ascii="Times New Roman" w:hAnsi="Times New Roman" w:cs="Times New Roman"/>
          <w:sz w:val="24"/>
          <w:szCs w:val="24"/>
          <w:lang w:val="en-US"/>
        </w:rPr>
        <w:t xml:space="preserve">protein 1 (PfEMP1), which are exclusively expressed in </w:t>
      </w:r>
      <w:r w:rsidRPr="00A168EF">
        <w:rPr>
          <w:rFonts w:ascii="Times New Roman" w:hAnsi="Times New Roman" w:cs="Times New Roman"/>
          <w:i/>
          <w:iCs/>
          <w:sz w:val="24"/>
          <w:szCs w:val="24"/>
          <w:lang w:val="en-US"/>
        </w:rPr>
        <w:t>P. falciparum</w:t>
      </w:r>
      <w:r w:rsidR="00DA74CA">
        <w:rPr>
          <w:rFonts w:ascii="Times New Roman" w:hAnsi="Times New Roman" w:cs="Times New Roman"/>
          <w:i/>
          <w:iCs/>
          <w:sz w:val="24"/>
          <w:szCs w:val="24"/>
          <w:lang w:val="en-US"/>
        </w:rPr>
        <w:t xml:space="preserve"> </w:t>
      </w:r>
      <w:r w:rsidRPr="00A168EF">
        <w:rPr>
          <w:rFonts w:ascii="Times New Roman" w:hAnsi="Times New Roman" w:cs="Times New Roman"/>
          <w:sz w:val="24"/>
          <w:szCs w:val="24"/>
          <w:lang w:val="en-US"/>
        </w:rPr>
        <w:t>and presented on knob-like protrusions on the erythrocyte</w:t>
      </w:r>
      <w:r w:rsidR="00DA74CA">
        <w:rPr>
          <w:rFonts w:ascii="Times New Roman" w:hAnsi="Times New Roman" w:cs="Times New Roman"/>
          <w:sz w:val="24"/>
          <w:szCs w:val="24"/>
          <w:lang w:val="en-US"/>
        </w:rPr>
        <w:t xml:space="preserve"> </w:t>
      </w:r>
      <w:r w:rsidRPr="00A168EF">
        <w:rPr>
          <w:rFonts w:ascii="Times New Roman" w:hAnsi="Times New Roman" w:cs="Times New Roman"/>
          <w:sz w:val="24"/>
          <w:szCs w:val="24"/>
          <w:lang w:val="en-US"/>
        </w:rPr>
        <w:t>plasma membrane</w:t>
      </w:r>
      <w:r w:rsidR="00B15E84">
        <w:rPr>
          <w:rFonts w:ascii="Times New Roman" w:hAnsi="Times New Roman" w:cs="Times New Roman"/>
          <w:sz w:val="24"/>
          <w:szCs w:val="24"/>
          <w:lang w:val="en-US"/>
        </w:rPr>
        <w:t>.</w:t>
      </w:r>
    </w:p>
    <w:p w14:paraId="59ED3D6C" w14:textId="77777777" w:rsidR="00E46D36" w:rsidRDefault="00E46D36" w:rsidP="00372EFD">
      <w:pPr>
        <w:autoSpaceDE w:val="0"/>
        <w:autoSpaceDN w:val="0"/>
        <w:adjustRightInd w:val="0"/>
        <w:spacing w:after="0" w:line="276" w:lineRule="auto"/>
        <w:jc w:val="both"/>
        <w:rPr>
          <w:rFonts w:ascii="Times New Roman" w:eastAsia="Times New Roman" w:hAnsi="Times New Roman" w:cs="Times New Roman"/>
          <w:b/>
          <w:bCs/>
          <w:color w:val="000000" w:themeColor="text1"/>
          <w:sz w:val="24"/>
          <w:szCs w:val="24"/>
          <w:lang w:eastAsia="en-IN"/>
        </w:rPr>
      </w:pPr>
    </w:p>
    <w:p w14:paraId="1CEECD20" w14:textId="4FD358AB" w:rsidR="00DC6A43" w:rsidRDefault="00DA1355" w:rsidP="00372EFD">
      <w:pPr>
        <w:autoSpaceDE w:val="0"/>
        <w:autoSpaceDN w:val="0"/>
        <w:adjustRightInd w:val="0"/>
        <w:spacing w:after="0" w:line="276" w:lineRule="auto"/>
        <w:jc w:val="both"/>
        <w:rPr>
          <w:rFonts w:ascii="Times New Roman" w:eastAsia="Times New Roman" w:hAnsi="Times New Roman" w:cs="Times New Roman"/>
          <w:b/>
          <w:bCs/>
          <w:color w:val="000000" w:themeColor="text1"/>
          <w:sz w:val="24"/>
          <w:szCs w:val="24"/>
          <w:lang w:eastAsia="en-IN"/>
        </w:rPr>
      </w:pPr>
      <w:r w:rsidRPr="002E2A1E">
        <w:rPr>
          <w:rFonts w:ascii="Times New Roman" w:eastAsia="Times New Roman" w:hAnsi="Times New Roman" w:cs="Times New Roman"/>
          <w:b/>
          <w:bCs/>
          <w:color w:val="000000" w:themeColor="text1"/>
          <w:sz w:val="24"/>
          <w:szCs w:val="24"/>
          <w:lang w:eastAsia="en-IN"/>
        </w:rPr>
        <w:t>The b</w:t>
      </w:r>
      <w:r w:rsidR="00C14A2D" w:rsidRPr="002E2A1E">
        <w:rPr>
          <w:rFonts w:ascii="Times New Roman" w:eastAsia="Times New Roman" w:hAnsi="Times New Roman" w:cs="Times New Roman"/>
          <w:b/>
          <w:bCs/>
          <w:color w:val="000000" w:themeColor="text1"/>
          <w:sz w:val="24"/>
          <w:szCs w:val="24"/>
          <w:lang w:eastAsia="en-IN"/>
        </w:rPr>
        <w:t>urden of Malaria in Indian states</w:t>
      </w:r>
    </w:p>
    <w:p w14:paraId="3D5771EE" w14:textId="1C922236" w:rsidR="00C14A2D" w:rsidRPr="00F3795D" w:rsidRDefault="00DA1355" w:rsidP="00372EFD">
      <w:pPr>
        <w:pStyle w:val="TableParagraph"/>
        <w:spacing w:line="276" w:lineRule="auto"/>
        <w:ind w:right="0"/>
        <w:jc w:val="both"/>
        <w:rPr>
          <w:bCs/>
          <w:color w:val="000000" w:themeColor="text1"/>
          <w:sz w:val="16"/>
          <w:szCs w:val="16"/>
        </w:rPr>
      </w:pPr>
      <w:r w:rsidRPr="00F3795D">
        <w:rPr>
          <w:color w:val="000000" w:themeColor="text1"/>
          <w:sz w:val="24"/>
          <w:szCs w:val="24"/>
          <w:shd w:val="clear" w:color="auto" w:fill="FFFFFF"/>
        </w:rPr>
        <w:t>A</w:t>
      </w:r>
      <w:r w:rsidR="00C14A2D" w:rsidRPr="00F3795D">
        <w:rPr>
          <w:color w:val="000000" w:themeColor="text1"/>
          <w:sz w:val="24"/>
          <w:szCs w:val="24"/>
          <w:shd w:val="clear" w:color="auto" w:fill="FFFFFF"/>
        </w:rPr>
        <w:t xml:space="preserve">ccording to the latest National Vector Borne Disease Control Program (NVBDCP) report, </w:t>
      </w:r>
      <w:r w:rsidRPr="00F3795D">
        <w:rPr>
          <w:color w:val="000000" w:themeColor="text1"/>
          <w:sz w:val="24"/>
          <w:szCs w:val="24"/>
          <w:shd w:val="clear" w:color="auto" w:fill="FFFFFF"/>
        </w:rPr>
        <w:t xml:space="preserve">around </w:t>
      </w:r>
      <w:r w:rsidR="00747331" w:rsidRPr="00F3795D">
        <w:rPr>
          <w:bCs/>
          <w:color w:val="000000" w:themeColor="text1"/>
          <w:spacing w:val="-2"/>
          <w:sz w:val="24"/>
          <w:szCs w:val="24"/>
        </w:rPr>
        <w:t>3</w:t>
      </w:r>
      <w:r w:rsidR="00F147E8" w:rsidRPr="00F3795D">
        <w:rPr>
          <w:bCs/>
          <w:color w:val="000000" w:themeColor="text1"/>
          <w:spacing w:val="-2"/>
          <w:sz w:val="24"/>
          <w:szCs w:val="24"/>
        </w:rPr>
        <w:t>,</w:t>
      </w:r>
      <w:r w:rsidR="00747331" w:rsidRPr="00F3795D">
        <w:rPr>
          <w:bCs/>
          <w:color w:val="000000" w:themeColor="text1"/>
          <w:spacing w:val="-2"/>
          <w:sz w:val="24"/>
          <w:szCs w:val="24"/>
        </w:rPr>
        <w:t>38494</w:t>
      </w:r>
      <w:r w:rsidRPr="00F3795D">
        <w:rPr>
          <w:color w:val="000000" w:themeColor="text1"/>
          <w:sz w:val="24"/>
          <w:szCs w:val="24"/>
          <w:shd w:val="clear" w:color="auto" w:fill="FFFFFF"/>
        </w:rPr>
        <w:t xml:space="preserve"> </w:t>
      </w:r>
      <w:r w:rsidR="007E4DBE" w:rsidRPr="00F3795D">
        <w:rPr>
          <w:color w:val="000000" w:themeColor="text1"/>
          <w:sz w:val="24"/>
          <w:szCs w:val="24"/>
          <w:shd w:val="clear" w:color="auto" w:fill="FFFFFF"/>
        </w:rPr>
        <w:t xml:space="preserve">malaria cases </w:t>
      </w:r>
      <w:r w:rsidR="00C14A2D" w:rsidRPr="00F3795D">
        <w:rPr>
          <w:color w:val="000000" w:themeColor="text1"/>
          <w:sz w:val="24"/>
          <w:szCs w:val="24"/>
          <w:shd w:val="clear" w:color="auto" w:fill="FFFFFF"/>
        </w:rPr>
        <w:t>in 2019</w:t>
      </w:r>
      <w:r w:rsidR="005A01A6" w:rsidRPr="00F3795D">
        <w:rPr>
          <w:color w:val="000000" w:themeColor="text1"/>
          <w:sz w:val="24"/>
          <w:szCs w:val="24"/>
          <w:shd w:val="clear" w:color="auto" w:fill="FFFFFF"/>
        </w:rPr>
        <w:t>;</w:t>
      </w:r>
      <w:r w:rsidR="00D822FF" w:rsidRPr="00F3795D">
        <w:rPr>
          <w:color w:val="000000" w:themeColor="text1"/>
          <w:sz w:val="24"/>
          <w:szCs w:val="24"/>
          <w:shd w:val="clear" w:color="auto" w:fill="FFFFFF"/>
        </w:rPr>
        <w:t xml:space="preserve"> </w:t>
      </w:r>
      <w:r w:rsidR="00887AF9" w:rsidRPr="00F3795D">
        <w:rPr>
          <w:bCs/>
          <w:color w:val="000000" w:themeColor="text1"/>
          <w:spacing w:val="-2"/>
          <w:sz w:val="24"/>
          <w:szCs w:val="24"/>
        </w:rPr>
        <w:t>1</w:t>
      </w:r>
      <w:r w:rsidR="005A01A6" w:rsidRPr="00F3795D">
        <w:rPr>
          <w:bCs/>
          <w:color w:val="000000" w:themeColor="text1"/>
          <w:spacing w:val="-2"/>
          <w:sz w:val="24"/>
          <w:szCs w:val="24"/>
        </w:rPr>
        <w:t>,</w:t>
      </w:r>
      <w:r w:rsidR="00887AF9" w:rsidRPr="00F3795D">
        <w:rPr>
          <w:bCs/>
          <w:color w:val="000000" w:themeColor="text1"/>
          <w:spacing w:val="-2"/>
          <w:sz w:val="24"/>
          <w:szCs w:val="24"/>
        </w:rPr>
        <w:t>86532</w:t>
      </w:r>
      <w:r w:rsidR="007E4DBE" w:rsidRPr="00F3795D">
        <w:rPr>
          <w:color w:val="000000" w:themeColor="text1"/>
          <w:sz w:val="24"/>
          <w:szCs w:val="24"/>
          <w:shd w:val="clear" w:color="auto" w:fill="FFFFFF"/>
        </w:rPr>
        <w:t xml:space="preserve"> malaria cases</w:t>
      </w:r>
      <w:r w:rsidR="005A01A6" w:rsidRPr="00F3795D">
        <w:rPr>
          <w:bCs/>
          <w:color w:val="000000" w:themeColor="text1"/>
          <w:spacing w:val="-2"/>
          <w:sz w:val="24"/>
          <w:szCs w:val="24"/>
        </w:rPr>
        <w:t xml:space="preserve"> in 2020; </w:t>
      </w:r>
      <w:r w:rsidR="007E4DBE" w:rsidRPr="00F3795D">
        <w:rPr>
          <w:bCs/>
          <w:color w:val="000000" w:themeColor="text1"/>
          <w:spacing w:val="-2"/>
          <w:sz w:val="24"/>
          <w:szCs w:val="24"/>
        </w:rPr>
        <w:t xml:space="preserve">1,61753 </w:t>
      </w:r>
      <w:r w:rsidR="00887AF9" w:rsidRPr="00F3795D">
        <w:rPr>
          <w:color w:val="000000" w:themeColor="text1"/>
          <w:sz w:val="24"/>
          <w:szCs w:val="24"/>
          <w:shd w:val="clear" w:color="auto" w:fill="FFFFFF"/>
        </w:rPr>
        <w:t>malaria cases</w:t>
      </w:r>
      <w:r w:rsidR="007E4DBE" w:rsidRPr="00F3795D">
        <w:rPr>
          <w:color w:val="000000" w:themeColor="text1"/>
          <w:sz w:val="24"/>
          <w:szCs w:val="24"/>
          <w:shd w:val="clear" w:color="auto" w:fill="FFFFFF"/>
        </w:rPr>
        <w:t xml:space="preserve"> in </w:t>
      </w:r>
      <w:r w:rsidR="001679DF" w:rsidRPr="00F3795D">
        <w:rPr>
          <w:color w:val="000000" w:themeColor="text1"/>
          <w:sz w:val="24"/>
          <w:szCs w:val="24"/>
          <w:shd w:val="clear" w:color="auto" w:fill="FFFFFF"/>
        </w:rPr>
        <w:t>2021; 1</w:t>
      </w:r>
      <w:r w:rsidR="007E4DBE" w:rsidRPr="00F3795D">
        <w:rPr>
          <w:bCs/>
          <w:color w:val="000000" w:themeColor="text1"/>
          <w:spacing w:val="-2"/>
          <w:sz w:val="24"/>
          <w:szCs w:val="24"/>
        </w:rPr>
        <w:t>,73975 malaria cases in 2022</w:t>
      </w:r>
      <w:r w:rsidR="001F32A8" w:rsidRPr="00F3795D">
        <w:rPr>
          <w:color w:val="000000" w:themeColor="text1"/>
          <w:sz w:val="24"/>
          <w:szCs w:val="24"/>
          <w:shd w:val="clear" w:color="auto" w:fill="FFFFFF"/>
        </w:rPr>
        <w:t>;</w:t>
      </w:r>
      <w:r w:rsidR="00F26187" w:rsidRPr="00F3795D">
        <w:rPr>
          <w:color w:val="000000" w:themeColor="text1"/>
          <w:sz w:val="24"/>
          <w:szCs w:val="24"/>
          <w:shd w:val="clear" w:color="auto" w:fill="FFFFFF"/>
        </w:rPr>
        <w:t xml:space="preserve"> </w:t>
      </w:r>
      <w:r w:rsidR="001F32A8" w:rsidRPr="00F3795D">
        <w:rPr>
          <w:bCs/>
          <w:color w:val="000000" w:themeColor="text1"/>
          <w:spacing w:val="-2"/>
          <w:sz w:val="24"/>
          <w:szCs w:val="24"/>
        </w:rPr>
        <w:t xml:space="preserve">20384 </w:t>
      </w:r>
      <w:r w:rsidR="00C66600" w:rsidRPr="00F3795D">
        <w:rPr>
          <w:color w:val="000000" w:themeColor="text1"/>
          <w:sz w:val="24"/>
          <w:szCs w:val="24"/>
          <w:shd w:val="clear" w:color="auto" w:fill="FFFFFF"/>
        </w:rPr>
        <w:t>malaria cases were reported till march</w:t>
      </w:r>
      <w:r w:rsidR="0005523D" w:rsidRPr="00F3795D">
        <w:rPr>
          <w:color w:val="000000" w:themeColor="text1"/>
          <w:sz w:val="24"/>
          <w:szCs w:val="24"/>
          <w:shd w:val="clear" w:color="auto" w:fill="FFFFFF"/>
        </w:rPr>
        <w:t>, 2023</w:t>
      </w:r>
      <w:r w:rsidR="00C66600" w:rsidRPr="00F3795D">
        <w:rPr>
          <w:color w:val="000000" w:themeColor="text1"/>
          <w:sz w:val="24"/>
          <w:szCs w:val="24"/>
          <w:shd w:val="clear" w:color="auto" w:fill="FFFFFF"/>
        </w:rPr>
        <w:t xml:space="preserve"> </w:t>
      </w:r>
      <w:r w:rsidR="00F26187" w:rsidRPr="00F3795D">
        <w:rPr>
          <w:color w:val="000000" w:themeColor="text1"/>
          <w:sz w:val="24"/>
          <w:szCs w:val="24"/>
          <w:shd w:val="clear" w:color="auto" w:fill="FFFFFF"/>
        </w:rPr>
        <w:t xml:space="preserve">in </w:t>
      </w:r>
      <w:r w:rsidR="001679DF" w:rsidRPr="00F3795D">
        <w:rPr>
          <w:color w:val="000000" w:themeColor="text1"/>
          <w:sz w:val="24"/>
          <w:szCs w:val="24"/>
          <w:shd w:val="clear" w:color="auto" w:fill="FFFFFF"/>
        </w:rPr>
        <w:t>India. The</w:t>
      </w:r>
      <w:r w:rsidR="00C14A2D" w:rsidRPr="00F3795D">
        <w:rPr>
          <w:color w:val="000000" w:themeColor="text1"/>
          <w:sz w:val="24"/>
          <w:szCs w:val="24"/>
          <w:shd w:val="clear" w:color="auto" w:fill="FFFFFF"/>
        </w:rPr>
        <w:t xml:space="preserve"> highest burden of the disease is in</w:t>
      </w:r>
      <w:r w:rsidR="00997FC9" w:rsidRPr="00F3795D">
        <w:rPr>
          <w:color w:val="000000" w:themeColor="text1"/>
          <w:sz w:val="24"/>
          <w:szCs w:val="24"/>
          <w:shd w:val="clear" w:color="auto" w:fill="FFFFFF"/>
        </w:rPr>
        <w:t xml:space="preserve"> </w:t>
      </w:r>
      <w:r w:rsidR="00234C75" w:rsidRPr="00F3795D">
        <w:rPr>
          <w:color w:val="000000" w:themeColor="text1"/>
          <w:sz w:val="24"/>
          <w:szCs w:val="24"/>
          <w:shd w:val="clear" w:color="auto" w:fill="FFFFFF"/>
        </w:rPr>
        <w:t xml:space="preserve">a </w:t>
      </w:r>
      <w:r w:rsidR="0015232B" w:rsidRPr="00F3795D">
        <w:rPr>
          <w:color w:val="000000" w:themeColor="text1"/>
          <w:sz w:val="24"/>
          <w:szCs w:val="24"/>
          <w:shd w:val="clear" w:color="auto" w:fill="FFFFFF"/>
        </w:rPr>
        <w:t>few</w:t>
      </w:r>
      <w:r w:rsidR="00C14A2D" w:rsidRPr="00F3795D">
        <w:rPr>
          <w:color w:val="000000" w:themeColor="text1"/>
          <w:sz w:val="24"/>
          <w:szCs w:val="24"/>
          <w:shd w:val="clear" w:color="auto" w:fill="FFFFFF"/>
        </w:rPr>
        <w:t xml:space="preserve"> central</w:t>
      </w:r>
      <w:r w:rsidR="00E979B0" w:rsidRPr="00F3795D">
        <w:rPr>
          <w:color w:val="000000" w:themeColor="text1"/>
          <w:sz w:val="24"/>
          <w:szCs w:val="24"/>
          <w:shd w:val="clear" w:color="auto" w:fill="FFFFFF"/>
        </w:rPr>
        <w:t xml:space="preserve"> and</w:t>
      </w:r>
      <w:r w:rsidR="00997FC9" w:rsidRPr="00F3795D">
        <w:rPr>
          <w:color w:val="000000" w:themeColor="text1"/>
          <w:sz w:val="24"/>
          <w:szCs w:val="24"/>
          <w:shd w:val="clear" w:color="auto" w:fill="FFFFFF"/>
        </w:rPr>
        <w:t xml:space="preserve"> north</w:t>
      </w:r>
      <w:r w:rsidR="00F9662C">
        <w:rPr>
          <w:color w:val="000000" w:themeColor="text1"/>
          <w:sz w:val="24"/>
          <w:szCs w:val="24"/>
          <w:shd w:val="clear" w:color="auto" w:fill="FFFFFF"/>
        </w:rPr>
        <w:t>-</w:t>
      </w:r>
      <w:r w:rsidR="00997FC9" w:rsidRPr="00F3795D">
        <w:rPr>
          <w:color w:val="000000" w:themeColor="text1"/>
          <w:sz w:val="24"/>
          <w:szCs w:val="24"/>
          <w:shd w:val="clear" w:color="auto" w:fill="FFFFFF"/>
        </w:rPr>
        <w:t>eastern</w:t>
      </w:r>
      <w:r w:rsidR="00C14A2D" w:rsidRPr="00F3795D">
        <w:rPr>
          <w:color w:val="000000" w:themeColor="text1"/>
          <w:sz w:val="24"/>
          <w:szCs w:val="24"/>
          <w:shd w:val="clear" w:color="auto" w:fill="FFFFFF"/>
        </w:rPr>
        <w:t xml:space="preserve"> states. </w:t>
      </w:r>
      <w:r w:rsidRPr="00F3795D">
        <w:rPr>
          <w:color w:val="000000" w:themeColor="text1"/>
          <w:sz w:val="24"/>
          <w:szCs w:val="24"/>
          <w:shd w:val="clear" w:color="auto" w:fill="FFFFFF"/>
        </w:rPr>
        <w:t xml:space="preserve">Odisha, Chhattisgarh, </w:t>
      </w:r>
      <w:r w:rsidR="00BA0A35" w:rsidRPr="00F3795D">
        <w:rPr>
          <w:color w:val="000000" w:themeColor="text1"/>
          <w:sz w:val="24"/>
          <w:szCs w:val="24"/>
          <w:shd w:val="clear" w:color="auto" w:fill="FFFFFF"/>
        </w:rPr>
        <w:t xml:space="preserve">Mizoram, </w:t>
      </w:r>
      <w:r w:rsidR="00A71C05" w:rsidRPr="00F3795D">
        <w:rPr>
          <w:bCs/>
          <w:color w:val="000000" w:themeColor="text1"/>
          <w:spacing w:val="-2"/>
          <w:sz w:val="24"/>
          <w:szCs w:val="24"/>
        </w:rPr>
        <w:t>Andhra</w:t>
      </w:r>
      <w:r w:rsidR="00A71C05" w:rsidRPr="00F3795D">
        <w:rPr>
          <w:bCs/>
          <w:color w:val="000000" w:themeColor="text1"/>
          <w:spacing w:val="1"/>
          <w:sz w:val="24"/>
          <w:szCs w:val="24"/>
        </w:rPr>
        <w:t xml:space="preserve"> </w:t>
      </w:r>
      <w:r w:rsidR="00A71C05" w:rsidRPr="00F3795D">
        <w:rPr>
          <w:bCs/>
          <w:color w:val="000000" w:themeColor="text1"/>
          <w:spacing w:val="-2"/>
          <w:sz w:val="24"/>
          <w:szCs w:val="24"/>
        </w:rPr>
        <w:t>Pradesh</w:t>
      </w:r>
      <w:r w:rsidR="00A71C05" w:rsidRPr="00F3795D">
        <w:rPr>
          <w:color w:val="000000" w:themeColor="text1"/>
          <w:sz w:val="24"/>
          <w:szCs w:val="24"/>
          <w:shd w:val="clear" w:color="auto" w:fill="FFFFFF"/>
        </w:rPr>
        <w:t>, Tripura,</w:t>
      </w:r>
      <w:r w:rsidR="00BA0A35" w:rsidRPr="00F3795D">
        <w:rPr>
          <w:color w:val="000000" w:themeColor="text1"/>
          <w:sz w:val="24"/>
          <w:szCs w:val="24"/>
          <w:shd w:val="clear" w:color="auto" w:fill="FFFFFF"/>
        </w:rPr>
        <w:t xml:space="preserve"> </w:t>
      </w:r>
      <w:r w:rsidR="00E979B0" w:rsidRPr="00F3795D">
        <w:rPr>
          <w:color w:val="000000" w:themeColor="text1"/>
          <w:sz w:val="24"/>
          <w:szCs w:val="24"/>
          <w:shd w:val="clear" w:color="auto" w:fill="FFFFFF"/>
        </w:rPr>
        <w:t>W</w:t>
      </w:r>
      <w:r w:rsidR="00C70BA7" w:rsidRPr="00F3795D">
        <w:rPr>
          <w:color w:val="000000" w:themeColor="text1"/>
          <w:sz w:val="24"/>
          <w:szCs w:val="24"/>
          <w:shd w:val="clear" w:color="auto" w:fill="FFFFFF"/>
        </w:rPr>
        <w:t xml:space="preserve">est Bengal, </w:t>
      </w:r>
      <w:r w:rsidR="00E5446F" w:rsidRPr="00F3795D">
        <w:rPr>
          <w:color w:val="000000" w:themeColor="text1"/>
          <w:sz w:val="24"/>
          <w:szCs w:val="24"/>
          <w:shd w:val="clear" w:color="auto" w:fill="FFFFFF"/>
        </w:rPr>
        <w:t>B</w:t>
      </w:r>
      <w:r w:rsidR="00C70BA7" w:rsidRPr="00F3795D">
        <w:rPr>
          <w:color w:val="000000" w:themeColor="text1"/>
          <w:sz w:val="24"/>
          <w:szCs w:val="24"/>
          <w:shd w:val="clear" w:color="auto" w:fill="FFFFFF"/>
        </w:rPr>
        <w:t xml:space="preserve">ihar, </w:t>
      </w:r>
      <w:r w:rsidRPr="00F3795D">
        <w:rPr>
          <w:color w:val="000000" w:themeColor="text1"/>
          <w:sz w:val="24"/>
          <w:szCs w:val="24"/>
          <w:shd w:val="clear" w:color="auto" w:fill="FFFFFF"/>
        </w:rPr>
        <w:t>and Jharkhand reported the highest malaria cases in 20</w:t>
      </w:r>
      <w:r w:rsidR="001679DF" w:rsidRPr="00F3795D">
        <w:rPr>
          <w:color w:val="000000" w:themeColor="text1"/>
          <w:sz w:val="24"/>
          <w:szCs w:val="24"/>
          <w:shd w:val="clear" w:color="auto" w:fill="FFFFFF"/>
        </w:rPr>
        <w:t>23</w:t>
      </w:r>
      <w:r w:rsidR="00C14A2D" w:rsidRPr="00F3795D">
        <w:rPr>
          <w:color w:val="000000" w:themeColor="text1"/>
          <w:sz w:val="24"/>
          <w:szCs w:val="24"/>
          <w:shd w:val="clear" w:color="auto" w:fill="FFFFFF"/>
        </w:rPr>
        <w:t xml:space="preserve">. The NVBDCP has implemented several </w:t>
      </w:r>
      <w:r w:rsidRPr="00F3795D">
        <w:rPr>
          <w:color w:val="000000" w:themeColor="text1"/>
          <w:sz w:val="24"/>
          <w:szCs w:val="24"/>
          <w:shd w:val="clear" w:color="auto" w:fill="FFFFFF"/>
        </w:rPr>
        <w:t>disease control measures</w:t>
      </w:r>
      <w:r w:rsidR="00C14A2D" w:rsidRPr="00F3795D">
        <w:rPr>
          <w:color w:val="000000" w:themeColor="text1"/>
          <w:sz w:val="24"/>
          <w:szCs w:val="24"/>
          <w:shd w:val="clear" w:color="auto" w:fill="FFFFFF"/>
        </w:rPr>
        <w:t xml:space="preserve">, including surveillance, prevention, and treatment activities. They have also encouraged </w:t>
      </w:r>
      <w:r w:rsidRPr="00F3795D">
        <w:rPr>
          <w:color w:val="000000" w:themeColor="text1"/>
          <w:sz w:val="24"/>
          <w:szCs w:val="24"/>
          <w:shd w:val="clear" w:color="auto" w:fill="FFFFFF"/>
        </w:rPr>
        <w:t>using</w:t>
      </w:r>
      <w:r w:rsidR="00C14A2D" w:rsidRPr="00F3795D">
        <w:rPr>
          <w:color w:val="000000" w:themeColor="text1"/>
          <w:sz w:val="24"/>
          <w:szCs w:val="24"/>
          <w:shd w:val="clear" w:color="auto" w:fill="FFFFFF"/>
        </w:rPr>
        <w:t xml:space="preserve"> insecticide-treated bed nets and indoor residual spraying of insecticides to control mosquito vectors</w:t>
      </w:r>
      <w:r w:rsidR="00241CAB" w:rsidRPr="00F3795D">
        <w:rPr>
          <w:color w:val="000000" w:themeColor="text1"/>
          <w:sz w:val="24"/>
          <w:szCs w:val="24"/>
          <w:shd w:val="clear" w:color="auto" w:fill="FFFFFF"/>
        </w:rPr>
        <w:t xml:space="preserve"> </w:t>
      </w:r>
      <w:r w:rsidR="003A0DCE" w:rsidRPr="00F3795D">
        <w:rPr>
          <w:color w:val="000000" w:themeColor="text1"/>
          <w:sz w:val="24"/>
          <w:szCs w:val="24"/>
          <w:shd w:val="clear" w:color="auto" w:fill="FFFFFF"/>
        </w:rPr>
        <w:fldChar w:fldCharType="begin" w:fldLock="1"/>
      </w:r>
      <w:r w:rsidR="008B28D0" w:rsidRPr="00F3795D">
        <w:rPr>
          <w:color w:val="000000" w:themeColor="text1"/>
          <w:sz w:val="24"/>
          <w:szCs w:val="24"/>
          <w:shd w:val="clear" w:color="auto" w:fill="FFFFFF"/>
        </w:rPr>
        <w:instrText>ADDIN CSL_CITATION {"citationItems":[{"id":"ITEM-1","itemData":{"author":[{"dropping-particle":"","family":"National Vector Born Control Programme","given":"","non-dropping-particle":"","parse-names":false,"suffix":""}],"container-title":"Directorate General of Health Services Ministry of Health and Family Welfare","id":"ITEM-1","issue":"1","issued":{"date-parts":[["2017"]]},"page":"4","title":"Malaria Situation","type":"article-journal","volume":"4"},"uris":["http://www.mendeley.com/documents/?uuid=dd861a61-d6e0-45d1-8307-c7e43444b24e"]}],"mendeley":{"formattedCitation":"(National Vector Born Control Programme, 2017)","plainTextFormattedCitation":"(National Vector Born Control Programme, 2017)","previouslyFormattedCitation":"(National Vector Born Control Programme, 2017)"},"properties":{"noteIndex":0},"schema":"https://github.com/citation-style-language/schema/raw/master/csl-citation.json"}</w:instrText>
      </w:r>
      <w:r w:rsidR="003A0DCE" w:rsidRPr="00F3795D">
        <w:rPr>
          <w:color w:val="000000" w:themeColor="text1"/>
          <w:sz w:val="24"/>
          <w:szCs w:val="24"/>
          <w:shd w:val="clear" w:color="auto" w:fill="FFFFFF"/>
        </w:rPr>
        <w:fldChar w:fldCharType="separate"/>
      </w:r>
      <w:r w:rsidR="002950E3" w:rsidRPr="00F3795D">
        <w:rPr>
          <w:noProof/>
          <w:color w:val="000000" w:themeColor="text1"/>
          <w:sz w:val="24"/>
          <w:szCs w:val="24"/>
          <w:shd w:val="clear" w:color="auto" w:fill="FFFFFF"/>
        </w:rPr>
        <w:t>(National Vector Born Control Programme, 2017)</w:t>
      </w:r>
      <w:r w:rsidR="003A0DCE" w:rsidRPr="00F3795D">
        <w:rPr>
          <w:color w:val="000000" w:themeColor="text1"/>
          <w:sz w:val="24"/>
          <w:szCs w:val="24"/>
          <w:shd w:val="clear" w:color="auto" w:fill="FFFFFF"/>
        </w:rPr>
        <w:fldChar w:fldCharType="end"/>
      </w:r>
      <w:r w:rsidR="00C14A2D" w:rsidRPr="00F3795D">
        <w:rPr>
          <w:color w:val="000000" w:themeColor="text1"/>
          <w:sz w:val="24"/>
          <w:szCs w:val="24"/>
          <w:shd w:val="clear" w:color="auto" w:fill="FFFFFF"/>
        </w:rPr>
        <w:t>.</w:t>
      </w:r>
      <w:r w:rsidR="00C34C13" w:rsidRPr="00F3795D">
        <w:rPr>
          <w:color w:val="000000" w:themeColor="text1"/>
          <w:sz w:val="24"/>
          <w:szCs w:val="24"/>
          <w:shd w:val="clear" w:color="auto" w:fill="FFFFFF"/>
        </w:rPr>
        <w:t xml:space="preserve"> </w:t>
      </w:r>
    </w:p>
    <w:p w14:paraId="09578821" w14:textId="77777777" w:rsidR="00027331" w:rsidRPr="00F3795D" w:rsidRDefault="00027331" w:rsidP="00372EFD">
      <w:pPr>
        <w:autoSpaceDE w:val="0"/>
        <w:autoSpaceDN w:val="0"/>
        <w:adjustRightInd w:val="0"/>
        <w:spacing w:after="0" w:line="276" w:lineRule="auto"/>
        <w:jc w:val="both"/>
        <w:rPr>
          <w:rFonts w:ascii="Times New Roman" w:hAnsi="Times New Roman" w:cs="Times New Roman"/>
          <w:color w:val="000000" w:themeColor="text1"/>
          <w:sz w:val="24"/>
          <w:szCs w:val="24"/>
          <w:shd w:val="clear" w:color="auto" w:fill="FFFFFF"/>
        </w:rPr>
      </w:pPr>
    </w:p>
    <w:tbl>
      <w:tblPr>
        <w:tblW w:w="8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
        <w:gridCol w:w="1260"/>
        <w:gridCol w:w="720"/>
        <w:gridCol w:w="720"/>
        <w:gridCol w:w="720"/>
        <w:gridCol w:w="630"/>
        <w:gridCol w:w="810"/>
        <w:gridCol w:w="541"/>
        <w:gridCol w:w="630"/>
        <w:gridCol w:w="630"/>
        <w:gridCol w:w="630"/>
        <w:gridCol w:w="632"/>
      </w:tblGrid>
      <w:tr w:rsidR="00473FF2" w:rsidRPr="00F3795D" w14:paraId="702EDEBE" w14:textId="77777777" w:rsidTr="00992153">
        <w:trPr>
          <w:trHeight w:val="20"/>
          <w:jc w:val="center"/>
        </w:trPr>
        <w:tc>
          <w:tcPr>
            <w:tcW w:w="444" w:type="dxa"/>
            <w:vMerge w:val="restart"/>
            <w:tcBorders>
              <w:top w:val="single" w:sz="4" w:space="0" w:color="auto"/>
            </w:tcBorders>
          </w:tcPr>
          <w:p w14:paraId="3A6E5EEB" w14:textId="6685A9D0" w:rsidR="00992153" w:rsidRPr="00F3795D" w:rsidRDefault="00992153" w:rsidP="00372EFD">
            <w:pPr>
              <w:pStyle w:val="TableParagraph"/>
              <w:spacing w:before="12"/>
              <w:ind w:right="58"/>
              <w:jc w:val="left"/>
              <w:rPr>
                <w:bCs/>
                <w:color w:val="000000" w:themeColor="text1"/>
                <w:sz w:val="16"/>
                <w:szCs w:val="16"/>
              </w:rPr>
            </w:pPr>
            <w:r w:rsidRPr="00F3795D">
              <w:rPr>
                <w:bCs/>
                <w:color w:val="000000" w:themeColor="text1"/>
                <w:sz w:val="16"/>
                <w:szCs w:val="16"/>
              </w:rPr>
              <w:t xml:space="preserve">Sl.no </w:t>
            </w:r>
          </w:p>
        </w:tc>
        <w:tc>
          <w:tcPr>
            <w:tcW w:w="1260" w:type="dxa"/>
            <w:vMerge w:val="restart"/>
            <w:tcBorders>
              <w:top w:val="single" w:sz="4" w:space="0" w:color="auto"/>
            </w:tcBorders>
          </w:tcPr>
          <w:p w14:paraId="373C400D" w14:textId="30D07F62" w:rsidR="00992153" w:rsidRPr="00F3795D" w:rsidRDefault="00992153" w:rsidP="00372EFD">
            <w:pPr>
              <w:pStyle w:val="TableParagraph"/>
              <w:spacing w:before="0"/>
              <w:ind w:right="0"/>
              <w:jc w:val="left"/>
              <w:rPr>
                <w:bCs/>
                <w:color w:val="000000" w:themeColor="text1"/>
                <w:sz w:val="16"/>
                <w:szCs w:val="16"/>
              </w:rPr>
            </w:pPr>
            <w:r w:rsidRPr="00F3795D">
              <w:rPr>
                <w:bCs/>
                <w:color w:val="000000" w:themeColor="text1"/>
                <w:spacing w:val="-2"/>
                <w:sz w:val="16"/>
                <w:szCs w:val="16"/>
              </w:rPr>
              <w:t>States/UTs.</w:t>
            </w:r>
          </w:p>
        </w:tc>
        <w:tc>
          <w:tcPr>
            <w:tcW w:w="1440" w:type="dxa"/>
            <w:gridSpan w:val="2"/>
          </w:tcPr>
          <w:p w14:paraId="1D721508" w14:textId="77777777" w:rsidR="00992153" w:rsidRPr="00F3795D" w:rsidRDefault="00992153" w:rsidP="00372EFD">
            <w:pPr>
              <w:pStyle w:val="TableParagraph"/>
              <w:spacing w:before="77"/>
              <w:ind w:left="124" w:right="0"/>
              <w:jc w:val="left"/>
              <w:rPr>
                <w:bCs/>
                <w:color w:val="000000" w:themeColor="text1"/>
                <w:spacing w:val="-2"/>
                <w:sz w:val="16"/>
                <w:szCs w:val="16"/>
              </w:rPr>
            </w:pPr>
            <w:r w:rsidRPr="00F3795D">
              <w:rPr>
                <w:bCs/>
                <w:color w:val="000000" w:themeColor="text1"/>
                <w:spacing w:val="-2"/>
                <w:sz w:val="16"/>
                <w:szCs w:val="16"/>
              </w:rPr>
              <w:t>2019</w:t>
            </w:r>
          </w:p>
        </w:tc>
        <w:tc>
          <w:tcPr>
            <w:tcW w:w="1350" w:type="dxa"/>
            <w:gridSpan w:val="2"/>
          </w:tcPr>
          <w:p w14:paraId="3C9D935F" w14:textId="3726CD6C" w:rsidR="00992153" w:rsidRPr="00F3795D" w:rsidRDefault="00FD574F" w:rsidP="00372EFD">
            <w:pPr>
              <w:pStyle w:val="TableParagraph"/>
              <w:spacing w:before="77"/>
              <w:ind w:right="54"/>
              <w:jc w:val="left"/>
              <w:rPr>
                <w:bCs/>
                <w:color w:val="000000" w:themeColor="text1"/>
                <w:spacing w:val="-2"/>
                <w:sz w:val="16"/>
                <w:szCs w:val="16"/>
              </w:rPr>
            </w:pPr>
            <w:r w:rsidRPr="00F3795D">
              <w:rPr>
                <w:bCs/>
                <w:color w:val="000000" w:themeColor="text1"/>
                <w:spacing w:val="-2"/>
                <w:sz w:val="16"/>
                <w:szCs w:val="16"/>
              </w:rPr>
              <w:t xml:space="preserve"> </w:t>
            </w:r>
            <w:r w:rsidR="00992153" w:rsidRPr="00F3795D">
              <w:rPr>
                <w:bCs/>
                <w:color w:val="000000" w:themeColor="text1"/>
                <w:spacing w:val="-2"/>
                <w:sz w:val="16"/>
                <w:szCs w:val="16"/>
              </w:rPr>
              <w:t>2020</w:t>
            </w:r>
          </w:p>
        </w:tc>
        <w:tc>
          <w:tcPr>
            <w:tcW w:w="1351" w:type="dxa"/>
            <w:gridSpan w:val="2"/>
          </w:tcPr>
          <w:p w14:paraId="042B7796" w14:textId="77777777" w:rsidR="00992153" w:rsidRPr="00F3795D" w:rsidRDefault="00992153" w:rsidP="00372EFD">
            <w:pPr>
              <w:pStyle w:val="TableParagraph"/>
              <w:spacing w:before="77"/>
              <w:ind w:left="92" w:right="0"/>
              <w:jc w:val="left"/>
              <w:rPr>
                <w:bCs/>
                <w:color w:val="000000" w:themeColor="text1"/>
                <w:spacing w:val="-2"/>
                <w:sz w:val="16"/>
                <w:szCs w:val="16"/>
              </w:rPr>
            </w:pPr>
            <w:r w:rsidRPr="00F3795D">
              <w:rPr>
                <w:bCs/>
                <w:color w:val="000000" w:themeColor="text1"/>
                <w:spacing w:val="-2"/>
                <w:sz w:val="16"/>
                <w:szCs w:val="16"/>
              </w:rPr>
              <w:t>2021</w:t>
            </w:r>
          </w:p>
        </w:tc>
        <w:tc>
          <w:tcPr>
            <w:tcW w:w="1260" w:type="dxa"/>
            <w:gridSpan w:val="2"/>
          </w:tcPr>
          <w:p w14:paraId="12976154" w14:textId="77777777" w:rsidR="00992153" w:rsidRPr="00F3795D" w:rsidRDefault="00992153" w:rsidP="00372EFD">
            <w:pPr>
              <w:pStyle w:val="TableParagraph"/>
              <w:spacing w:before="77"/>
              <w:ind w:left="161" w:right="0"/>
              <w:jc w:val="left"/>
              <w:rPr>
                <w:bCs/>
                <w:color w:val="000000" w:themeColor="text1"/>
                <w:spacing w:val="-2"/>
                <w:sz w:val="16"/>
                <w:szCs w:val="16"/>
              </w:rPr>
            </w:pPr>
            <w:r w:rsidRPr="00F3795D">
              <w:rPr>
                <w:bCs/>
                <w:color w:val="000000" w:themeColor="text1"/>
                <w:spacing w:val="-2"/>
                <w:sz w:val="16"/>
                <w:szCs w:val="16"/>
              </w:rPr>
              <w:t>2022</w:t>
            </w:r>
          </w:p>
        </w:tc>
        <w:tc>
          <w:tcPr>
            <w:tcW w:w="1262" w:type="dxa"/>
            <w:gridSpan w:val="2"/>
          </w:tcPr>
          <w:p w14:paraId="547D90F5" w14:textId="18310D70" w:rsidR="00992153" w:rsidRPr="00F3795D" w:rsidRDefault="00992153" w:rsidP="00372EFD">
            <w:pPr>
              <w:pStyle w:val="TableParagraph"/>
              <w:spacing w:before="77"/>
              <w:ind w:left="115" w:right="0"/>
              <w:jc w:val="left"/>
              <w:rPr>
                <w:bCs/>
                <w:color w:val="000000" w:themeColor="text1"/>
                <w:spacing w:val="-2"/>
                <w:sz w:val="16"/>
                <w:szCs w:val="16"/>
              </w:rPr>
            </w:pPr>
            <w:r w:rsidRPr="00F3795D">
              <w:rPr>
                <w:bCs/>
                <w:color w:val="000000" w:themeColor="text1"/>
                <w:spacing w:val="-2"/>
                <w:sz w:val="16"/>
                <w:szCs w:val="16"/>
              </w:rPr>
              <w:t xml:space="preserve">Till March 2023 </w:t>
            </w:r>
          </w:p>
        </w:tc>
      </w:tr>
      <w:tr w:rsidR="00473FF2" w:rsidRPr="00F3795D" w14:paraId="2E465F0B" w14:textId="77777777" w:rsidTr="00992153">
        <w:trPr>
          <w:trHeight w:val="20"/>
          <w:jc w:val="center"/>
        </w:trPr>
        <w:tc>
          <w:tcPr>
            <w:tcW w:w="444" w:type="dxa"/>
            <w:vMerge/>
            <w:tcBorders>
              <w:top w:val="nil"/>
            </w:tcBorders>
          </w:tcPr>
          <w:p w14:paraId="512413C3" w14:textId="77777777" w:rsidR="00BD7803" w:rsidRPr="00F3795D" w:rsidRDefault="00BD7803" w:rsidP="00372EFD">
            <w:pPr>
              <w:spacing w:after="0" w:line="240" w:lineRule="auto"/>
              <w:rPr>
                <w:rFonts w:ascii="Times New Roman" w:hAnsi="Times New Roman" w:cs="Times New Roman"/>
                <w:bCs/>
                <w:color w:val="000000" w:themeColor="text1"/>
                <w:sz w:val="16"/>
                <w:szCs w:val="16"/>
              </w:rPr>
            </w:pPr>
          </w:p>
        </w:tc>
        <w:tc>
          <w:tcPr>
            <w:tcW w:w="1260" w:type="dxa"/>
            <w:vMerge/>
            <w:tcBorders>
              <w:top w:val="nil"/>
            </w:tcBorders>
          </w:tcPr>
          <w:p w14:paraId="7016F9AD" w14:textId="77777777" w:rsidR="00BD7803" w:rsidRPr="00F3795D" w:rsidRDefault="00BD7803" w:rsidP="00372EFD">
            <w:pPr>
              <w:spacing w:after="0" w:line="240" w:lineRule="auto"/>
              <w:rPr>
                <w:rFonts w:ascii="Times New Roman" w:hAnsi="Times New Roman" w:cs="Times New Roman"/>
                <w:bCs/>
                <w:color w:val="000000" w:themeColor="text1"/>
                <w:sz w:val="16"/>
                <w:szCs w:val="16"/>
              </w:rPr>
            </w:pPr>
          </w:p>
        </w:tc>
        <w:tc>
          <w:tcPr>
            <w:tcW w:w="720" w:type="dxa"/>
          </w:tcPr>
          <w:p w14:paraId="6C1FCBBD" w14:textId="77777777" w:rsidR="00BD7803" w:rsidRPr="00F3795D" w:rsidRDefault="00BD7803" w:rsidP="00372EFD">
            <w:pPr>
              <w:pStyle w:val="TableParagraph"/>
              <w:spacing w:before="7"/>
              <w:ind w:left="122" w:right="0"/>
              <w:jc w:val="left"/>
              <w:rPr>
                <w:bCs/>
                <w:color w:val="000000" w:themeColor="text1"/>
                <w:sz w:val="16"/>
                <w:szCs w:val="16"/>
              </w:rPr>
            </w:pPr>
            <w:r w:rsidRPr="00F3795D">
              <w:rPr>
                <w:bCs/>
                <w:color w:val="000000" w:themeColor="text1"/>
                <w:spacing w:val="-2"/>
                <w:sz w:val="16"/>
                <w:szCs w:val="16"/>
              </w:rPr>
              <w:t>Malaria</w:t>
            </w:r>
          </w:p>
          <w:p w14:paraId="1AD7FBB0" w14:textId="77777777" w:rsidR="00BD7803" w:rsidRPr="00F3795D" w:rsidRDefault="00BD7803" w:rsidP="00372EFD">
            <w:pPr>
              <w:pStyle w:val="TableParagraph"/>
              <w:spacing w:before="13"/>
              <w:ind w:left="189" w:right="0"/>
              <w:jc w:val="left"/>
              <w:rPr>
                <w:bCs/>
                <w:color w:val="000000" w:themeColor="text1"/>
                <w:sz w:val="16"/>
                <w:szCs w:val="16"/>
              </w:rPr>
            </w:pPr>
            <w:r w:rsidRPr="00F3795D">
              <w:rPr>
                <w:bCs/>
                <w:color w:val="000000" w:themeColor="text1"/>
                <w:spacing w:val="-2"/>
                <w:sz w:val="16"/>
                <w:szCs w:val="16"/>
              </w:rPr>
              <w:t>cases</w:t>
            </w:r>
          </w:p>
        </w:tc>
        <w:tc>
          <w:tcPr>
            <w:tcW w:w="720" w:type="dxa"/>
          </w:tcPr>
          <w:p w14:paraId="6ADF434F" w14:textId="77777777" w:rsidR="00BD7803" w:rsidRPr="00F3795D" w:rsidRDefault="00BD7803" w:rsidP="00372EFD">
            <w:pPr>
              <w:pStyle w:val="TableParagraph"/>
              <w:spacing w:before="77"/>
              <w:ind w:left="124" w:right="0"/>
              <w:jc w:val="left"/>
              <w:rPr>
                <w:bCs/>
                <w:color w:val="000000" w:themeColor="text1"/>
                <w:sz w:val="16"/>
                <w:szCs w:val="16"/>
              </w:rPr>
            </w:pPr>
            <w:r w:rsidRPr="00F3795D">
              <w:rPr>
                <w:bCs/>
                <w:color w:val="000000" w:themeColor="text1"/>
                <w:spacing w:val="-2"/>
                <w:sz w:val="16"/>
                <w:szCs w:val="16"/>
              </w:rPr>
              <w:t>Deaths</w:t>
            </w:r>
          </w:p>
        </w:tc>
        <w:tc>
          <w:tcPr>
            <w:tcW w:w="720" w:type="dxa"/>
          </w:tcPr>
          <w:p w14:paraId="3563D9D9" w14:textId="77777777" w:rsidR="00BD7803" w:rsidRPr="00F3795D" w:rsidRDefault="00BD7803" w:rsidP="00372EFD">
            <w:pPr>
              <w:pStyle w:val="TableParagraph"/>
              <w:spacing w:before="7"/>
              <w:ind w:left="127" w:right="0"/>
              <w:jc w:val="left"/>
              <w:rPr>
                <w:bCs/>
                <w:color w:val="000000" w:themeColor="text1"/>
                <w:sz w:val="16"/>
                <w:szCs w:val="16"/>
              </w:rPr>
            </w:pPr>
            <w:r w:rsidRPr="00F3795D">
              <w:rPr>
                <w:bCs/>
                <w:color w:val="000000" w:themeColor="text1"/>
                <w:spacing w:val="-2"/>
                <w:sz w:val="16"/>
                <w:szCs w:val="16"/>
              </w:rPr>
              <w:t>Malaria</w:t>
            </w:r>
          </w:p>
          <w:p w14:paraId="52A91972" w14:textId="77777777" w:rsidR="00BD7803" w:rsidRPr="00F3795D" w:rsidRDefault="00BD7803" w:rsidP="00372EFD">
            <w:pPr>
              <w:pStyle w:val="TableParagraph"/>
              <w:spacing w:before="13"/>
              <w:ind w:left="194" w:right="0"/>
              <w:jc w:val="left"/>
              <w:rPr>
                <w:bCs/>
                <w:color w:val="000000" w:themeColor="text1"/>
                <w:sz w:val="16"/>
                <w:szCs w:val="16"/>
              </w:rPr>
            </w:pPr>
            <w:r w:rsidRPr="00F3795D">
              <w:rPr>
                <w:bCs/>
                <w:color w:val="000000" w:themeColor="text1"/>
                <w:spacing w:val="-2"/>
                <w:sz w:val="16"/>
                <w:szCs w:val="16"/>
              </w:rPr>
              <w:t>cases</w:t>
            </w:r>
          </w:p>
        </w:tc>
        <w:tc>
          <w:tcPr>
            <w:tcW w:w="630" w:type="dxa"/>
          </w:tcPr>
          <w:p w14:paraId="3C420C6C" w14:textId="77777777" w:rsidR="00BD7803" w:rsidRPr="00F3795D" w:rsidRDefault="00BD7803" w:rsidP="00372EFD">
            <w:pPr>
              <w:pStyle w:val="TableParagraph"/>
              <w:spacing w:before="77"/>
              <w:ind w:right="54"/>
              <w:rPr>
                <w:bCs/>
                <w:color w:val="000000" w:themeColor="text1"/>
                <w:sz w:val="16"/>
                <w:szCs w:val="16"/>
              </w:rPr>
            </w:pPr>
            <w:r w:rsidRPr="00F3795D">
              <w:rPr>
                <w:bCs/>
                <w:color w:val="000000" w:themeColor="text1"/>
                <w:spacing w:val="-2"/>
                <w:sz w:val="16"/>
                <w:szCs w:val="16"/>
              </w:rPr>
              <w:t>Deaths</w:t>
            </w:r>
          </w:p>
        </w:tc>
        <w:tc>
          <w:tcPr>
            <w:tcW w:w="810" w:type="dxa"/>
          </w:tcPr>
          <w:p w14:paraId="0BDB3EFA" w14:textId="77777777" w:rsidR="00BD7803" w:rsidRPr="00F3795D" w:rsidRDefault="00BD7803" w:rsidP="00372EFD">
            <w:pPr>
              <w:pStyle w:val="TableParagraph"/>
              <w:spacing w:before="7"/>
              <w:ind w:left="138" w:right="0"/>
              <w:jc w:val="left"/>
              <w:rPr>
                <w:bCs/>
                <w:color w:val="000000" w:themeColor="text1"/>
                <w:sz w:val="16"/>
                <w:szCs w:val="16"/>
              </w:rPr>
            </w:pPr>
            <w:r w:rsidRPr="00F3795D">
              <w:rPr>
                <w:bCs/>
                <w:color w:val="000000" w:themeColor="text1"/>
                <w:spacing w:val="-2"/>
                <w:sz w:val="16"/>
                <w:szCs w:val="16"/>
              </w:rPr>
              <w:t>Malaria</w:t>
            </w:r>
          </w:p>
          <w:p w14:paraId="750BA1FB" w14:textId="77777777" w:rsidR="00BD7803" w:rsidRPr="00F3795D" w:rsidRDefault="00BD7803" w:rsidP="00372EFD">
            <w:pPr>
              <w:pStyle w:val="TableParagraph"/>
              <w:spacing w:before="13"/>
              <w:ind w:left="205" w:right="0"/>
              <w:jc w:val="left"/>
              <w:rPr>
                <w:bCs/>
                <w:color w:val="000000" w:themeColor="text1"/>
                <w:sz w:val="16"/>
                <w:szCs w:val="16"/>
              </w:rPr>
            </w:pPr>
            <w:r w:rsidRPr="00F3795D">
              <w:rPr>
                <w:bCs/>
                <w:color w:val="000000" w:themeColor="text1"/>
                <w:spacing w:val="-2"/>
                <w:sz w:val="16"/>
                <w:szCs w:val="16"/>
              </w:rPr>
              <w:t>cases</w:t>
            </w:r>
          </w:p>
        </w:tc>
        <w:tc>
          <w:tcPr>
            <w:tcW w:w="541" w:type="dxa"/>
          </w:tcPr>
          <w:p w14:paraId="5A521DFB" w14:textId="77777777" w:rsidR="00BD7803" w:rsidRPr="00F3795D" w:rsidRDefault="00BD7803" w:rsidP="00372EFD">
            <w:pPr>
              <w:pStyle w:val="TableParagraph"/>
              <w:spacing w:before="77"/>
              <w:ind w:left="92" w:right="0"/>
              <w:jc w:val="left"/>
              <w:rPr>
                <w:bCs/>
                <w:color w:val="000000" w:themeColor="text1"/>
                <w:sz w:val="16"/>
                <w:szCs w:val="16"/>
              </w:rPr>
            </w:pPr>
            <w:r w:rsidRPr="00F3795D">
              <w:rPr>
                <w:bCs/>
                <w:color w:val="000000" w:themeColor="text1"/>
                <w:spacing w:val="-2"/>
                <w:sz w:val="16"/>
                <w:szCs w:val="16"/>
              </w:rPr>
              <w:t>Deaths</w:t>
            </w:r>
          </w:p>
        </w:tc>
        <w:tc>
          <w:tcPr>
            <w:tcW w:w="630" w:type="dxa"/>
          </w:tcPr>
          <w:p w14:paraId="2E938B29" w14:textId="77777777" w:rsidR="00BD7803" w:rsidRPr="00F3795D" w:rsidRDefault="00BD7803" w:rsidP="00372EFD">
            <w:pPr>
              <w:pStyle w:val="TableParagraph"/>
              <w:spacing w:before="7"/>
              <w:ind w:left="135" w:right="0"/>
              <w:jc w:val="left"/>
              <w:rPr>
                <w:bCs/>
                <w:color w:val="000000" w:themeColor="text1"/>
                <w:sz w:val="16"/>
                <w:szCs w:val="16"/>
              </w:rPr>
            </w:pPr>
            <w:r w:rsidRPr="00F3795D">
              <w:rPr>
                <w:bCs/>
                <w:color w:val="000000" w:themeColor="text1"/>
                <w:spacing w:val="-2"/>
                <w:sz w:val="16"/>
                <w:szCs w:val="16"/>
              </w:rPr>
              <w:t>Malaria</w:t>
            </w:r>
          </w:p>
          <w:p w14:paraId="6D4E606F" w14:textId="77777777" w:rsidR="00BD7803" w:rsidRPr="00F3795D" w:rsidRDefault="00BD7803" w:rsidP="00372EFD">
            <w:pPr>
              <w:pStyle w:val="TableParagraph"/>
              <w:spacing w:before="13"/>
              <w:ind w:left="202" w:right="0"/>
              <w:jc w:val="left"/>
              <w:rPr>
                <w:bCs/>
                <w:color w:val="000000" w:themeColor="text1"/>
                <w:sz w:val="16"/>
                <w:szCs w:val="16"/>
              </w:rPr>
            </w:pPr>
            <w:r w:rsidRPr="00F3795D">
              <w:rPr>
                <w:bCs/>
                <w:color w:val="000000" w:themeColor="text1"/>
                <w:spacing w:val="-2"/>
                <w:sz w:val="16"/>
                <w:szCs w:val="16"/>
              </w:rPr>
              <w:t>cases</w:t>
            </w:r>
          </w:p>
        </w:tc>
        <w:tc>
          <w:tcPr>
            <w:tcW w:w="630" w:type="dxa"/>
          </w:tcPr>
          <w:p w14:paraId="72D67988" w14:textId="77777777" w:rsidR="00BD7803" w:rsidRPr="00F3795D" w:rsidRDefault="00BD7803" w:rsidP="00372EFD">
            <w:pPr>
              <w:pStyle w:val="TableParagraph"/>
              <w:spacing w:before="77"/>
              <w:ind w:left="161" w:right="0"/>
              <w:jc w:val="left"/>
              <w:rPr>
                <w:bCs/>
                <w:color w:val="000000" w:themeColor="text1"/>
                <w:sz w:val="16"/>
                <w:szCs w:val="16"/>
              </w:rPr>
            </w:pPr>
            <w:r w:rsidRPr="00F3795D">
              <w:rPr>
                <w:bCs/>
                <w:color w:val="000000" w:themeColor="text1"/>
                <w:spacing w:val="-2"/>
                <w:sz w:val="16"/>
                <w:szCs w:val="16"/>
              </w:rPr>
              <w:t>Deaths</w:t>
            </w:r>
          </w:p>
        </w:tc>
        <w:tc>
          <w:tcPr>
            <w:tcW w:w="630" w:type="dxa"/>
          </w:tcPr>
          <w:p w14:paraId="761FF1AA" w14:textId="77777777" w:rsidR="00BD7803" w:rsidRPr="00F3795D" w:rsidRDefault="00BD7803" w:rsidP="00372EFD">
            <w:pPr>
              <w:pStyle w:val="TableParagraph"/>
              <w:spacing w:before="7"/>
              <w:ind w:left="117" w:right="0"/>
              <w:jc w:val="left"/>
              <w:rPr>
                <w:bCs/>
                <w:color w:val="000000" w:themeColor="text1"/>
                <w:sz w:val="16"/>
                <w:szCs w:val="16"/>
              </w:rPr>
            </w:pPr>
            <w:r w:rsidRPr="00F3795D">
              <w:rPr>
                <w:bCs/>
                <w:color w:val="000000" w:themeColor="text1"/>
                <w:spacing w:val="-2"/>
                <w:sz w:val="16"/>
                <w:szCs w:val="16"/>
              </w:rPr>
              <w:t>Malaria</w:t>
            </w:r>
          </w:p>
          <w:p w14:paraId="4286F5BA" w14:textId="77777777" w:rsidR="00BD7803" w:rsidRPr="00F3795D" w:rsidRDefault="00BD7803" w:rsidP="00372EFD">
            <w:pPr>
              <w:pStyle w:val="TableParagraph"/>
              <w:spacing w:before="13"/>
              <w:ind w:left="185" w:right="0"/>
              <w:jc w:val="left"/>
              <w:rPr>
                <w:bCs/>
                <w:color w:val="000000" w:themeColor="text1"/>
                <w:sz w:val="16"/>
                <w:szCs w:val="16"/>
              </w:rPr>
            </w:pPr>
            <w:r w:rsidRPr="00F3795D">
              <w:rPr>
                <w:bCs/>
                <w:color w:val="000000" w:themeColor="text1"/>
                <w:spacing w:val="-2"/>
                <w:sz w:val="16"/>
                <w:szCs w:val="16"/>
              </w:rPr>
              <w:t>cases</w:t>
            </w:r>
          </w:p>
        </w:tc>
        <w:tc>
          <w:tcPr>
            <w:tcW w:w="632" w:type="dxa"/>
          </w:tcPr>
          <w:p w14:paraId="4E8DBADC" w14:textId="77777777" w:rsidR="00BD7803" w:rsidRPr="00F3795D" w:rsidRDefault="00BD7803" w:rsidP="00372EFD">
            <w:pPr>
              <w:pStyle w:val="TableParagraph"/>
              <w:spacing w:before="77"/>
              <w:ind w:left="115" w:right="0"/>
              <w:jc w:val="left"/>
              <w:rPr>
                <w:bCs/>
                <w:color w:val="000000" w:themeColor="text1"/>
                <w:sz w:val="16"/>
                <w:szCs w:val="16"/>
              </w:rPr>
            </w:pPr>
            <w:r w:rsidRPr="00F3795D">
              <w:rPr>
                <w:bCs/>
                <w:color w:val="000000" w:themeColor="text1"/>
                <w:spacing w:val="-2"/>
                <w:sz w:val="16"/>
                <w:szCs w:val="16"/>
              </w:rPr>
              <w:t>Deaths</w:t>
            </w:r>
          </w:p>
        </w:tc>
      </w:tr>
      <w:tr w:rsidR="00473FF2" w:rsidRPr="00F3795D" w14:paraId="35EB9B50" w14:textId="77777777" w:rsidTr="00992153">
        <w:trPr>
          <w:trHeight w:val="20"/>
          <w:jc w:val="center"/>
        </w:trPr>
        <w:tc>
          <w:tcPr>
            <w:tcW w:w="444" w:type="dxa"/>
          </w:tcPr>
          <w:p w14:paraId="5CB8E9A8" w14:textId="77777777" w:rsidR="00BD7803" w:rsidRPr="00F3795D" w:rsidRDefault="00BD7803" w:rsidP="00372EFD">
            <w:pPr>
              <w:pStyle w:val="TableParagraph"/>
              <w:spacing w:before="29"/>
              <w:ind w:left="158" w:right="0"/>
              <w:jc w:val="left"/>
              <w:rPr>
                <w:bCs/>
                <w:color w:val="000000" w:themeColor="text1"/>
                <w:sz w:val="16"/>
                <w:szCs w:val="16"/>
              </w:rPr>
            </w:pPr>
            <w:r w:rsidRPr="00F3795D">
              <w:rPr>
                <w:bCs/>
                <w:color w:val="000000" w:themeColor="text1"/>
                <w:sz w:val="16"/>
                <w:szCs w:val="16"/>
              </w:rPr>
              <w:t>1</w:t>
            </w:r>
          </w:p>
        </w:tc>
        <w:tc>
          <w:tcPr>
            <w:tcW w:w="1260" w:type="dxa"/>
          </w:tcPr>
          <w:p w14:paraId="3CE8C8DE" w14:textId="77777777" w:rsidR="00BD7803" w:rsidRPr="00F3795D" w:rsidRDefault="00BD7803" w:rsidP="00372EFD">
            <w:pPr>
              <w:pStyle w:val="TableParagraph"/>
              <w:ind w:left="24" w:right="0"/>
              <w:jc w:val="left"/>
              <w:rPr>
                <w:bCs/>
                <w:color w:val="000000" w:themeColor="text1"/>
                <w:sz w:val="16"/>
                <w:szCs w:val="16"/>
              </w:rPr>
            </w:pPr>
            <w:r w:rsidRPr="00F3795D">
              <w:rPr>
                <w:bCs/>
                <w:color w:val="000000" w:themeColor="text1"/>
                <w:spacing w:val="-2"/>
                <w:sz w:val="16"/>
                <w:szCs w:val="16"/>
              </w:rPr>
              <w:t>Andhra</w:t>
            </w:r>
            <w:r w:rsidRPr="00F3795D">
              <w:rPr>
                <w:bCs/>
                <w:color w:val="000000" w:themeColor="text1"/>
                <w:spacing w:val="1"/>
                <w:sz w:val="16"/>
                <w:szCs w:val="16"/>
              </w:rPr>
              <w:t xml:space="preserve"> </w:t>
            </w:r>
            <w:r w:rsidRPr="00F3795D">
              <w:rPr>
                <w:bCs/>
                <w:color w:val="000000" w:themeColor="text1"/>
                <w:spacing w:val="-2"/>
                <w:sz w:val="16"/>
                <w:szCs w:val="16"/>
              </w:rPr>
              <w:t>Pradesh</w:t>
            </w:r>
          </w:p>
        </w:tc>
        <w:tc>
          <w:tcPr>
            <w:tcW w:w="720" w:type="dxa"/>
          </w:tcPr>
          <w:p w14:paraId="3A3A35A7" w14:textId="77777777" w:rsidR="00BD7803" w:rsidRPr="00F3795D" w:rsidRDefault="00BD7803" w:rsidP="00372EFD">
            <w:pPr>
              <w:pStyle w:val="TableParagraph"/>
              <w:ind w:right="6"/>
              <w:jc w:val="center"/>
              <w:rPr>
                <w:bCs/>
                <w:color w:val="000000" w:themeColor="text1"/>
                <w:sz w:val="16"/>
                <w:szCs w:val="16"/>
              </w:rPr>
            </w:pPr>
            <w:r w:rsidRPr="00F3795D">
              <w:rPr>
                <w:bCs/>
                <w:color w:val="000000" w:themeColor="text1"/>
                <w:spacing w:val="-4"/>
                <w:sz w:val="16"/>
                <w:szCs w:val="16"/>
              </w:rPr>
              <w:t>3104</w:t>
            </w:r>
          </w:p>
        </w:tc>
        <w:tc>
          <w:tcPr>
            <w:tcW w:w="720" w:type="dxa"/>
          </w:tcPr>
          <w:p w14:paraId="66290D6D" w14:textId="77777777" w:rsidR="00BD7803" w:rsidRPr="00F3795D" w:rsidRDefault="00BD7803" w:rsidP="00372EFD">
            <w:pPr>
              <w:pStyle w:val="TableParagraph"/>
              <w:ind w:right="4"/>
              <w:jc w:val="center"/>
              <w:rPr>
                <w:bCs/>
                <w:color w:val="000000" w:themeColor="text1"/>
                <w:sz w:val="16"/>
                <w:szCs w:val="16"/>
              </w:rPr>
            </w:pPr>
            <w:r w:rsidRPr="00F3795D">
              <w:rPr>
                <w:bCs/>
                <w:color w:val="000000" w:themeColor="text1"/>
                <w:sz w:val="16"/>
                <w:szCs w:val="16"/>
              </w:rPr>
              <w:t>0</w:t>
            </w:r>
          </w:p>
        </w:tc>
        <w:tc>
          <w:tcPr>
            <w:tcW w:w="720" w:type="dxa"/>
          </w:tcPr>
          <w:p w14:paraId="0223FB40" w14:textId="77777777" w:rsidR="00BD7803" w:rsidRPr="00F3795D" w:rsidRDefault="00BD7803" w:rsidP="00372EFD">
            <w:pPr>
              <w:pStyle w:val="TableParagraph"/>
              <w:ind w:right="2"/>
              <w:jc w:val="center"/>
              <w:rPr>
                <w:bCs/>
                <w:color w:val="000000" w:themeColor="text1"/>
                <w:sz w:val="16"/>
                <w:szCs w:val="16"/>
              </w:rPr>
            </w:pPr>
            <w:r w:rsidRPr="00F3795D">
              <w:rPr>
                <w:bCs/>
                <w:color w:val="000000" w:themeColor="text1"/>
                <w:spacing w:val="-4"/>
                <w:sz w:val="16"/>
                <w:szCs w:val="16"/>
              </w:rPr>
              <w:t>2027</w:t>
            </w:r>
          </w:p>
        </w:tc>
        <w:tc>
          <w:tcPr>
            <w:tcW w:w="630" w:type="dxa"/>
          </w:tcPr>
          <w:p w14:paraId="396A7CCC"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810" w:type="dxa"/>
          </w:tcPr>
          <w:p w14:paraId="23597E6F"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4"/>
                <w:sz w:val="16"/>
                <w:szCs w:val="16"/>
              </w:rPr>
              <w:t>1315</w:t>
            </w:r>
          </w:p>
        </w:tc>
        <w:tc>
          <w:tcPr>
            <w:tcW w:w="541" w:type="dxa"/>
          </w:tcPr>
          <w:p w14:paraId="3B543CD8"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630" w:type="dxa"/>
          </w:tcPr>
          <w:p w14:paraId="39A4239D"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4"/>
                <w:sz w:val="16"/>
                <w:szCs w:val="16"/>
              </w:rPr>
              <w:t>2019</w:t>
            </w:r>
          </w:p>
        </w:tc>
        <w:tc>
          <w:tcPr>
            <w:tcW w:w="630" w:type="dxa"/>
          </w:tcPr>
          <w:p w14:paraId="68F71806"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0</w:t>
            </w:r>
          </w:p>
        </w:tc>
        <w:tc>
          <w:tcPr>
            <w:tcW w:w="630" w:type="dxa"/>
          </w:tcPr>
          <w:p w14:paraId="39237F88"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pacing w:val="-5"/>
                <w:sz w:val="16"/>
                <w:szCs w:val="16"/>
              </w:rPr>
              <w:t>467</w:t>
            </w:r>
          </w:p>
        </w:tc>
        <w:tc>
          <w:tcPr>
            <w:tcW w:w="632" w:type="dxa"/>
          </w:tcPr>
          <w:p w14:paraId="21E05362" w14:textId="77777777" w:rsidR="00BD7803" w:rsidRPr="00F3795D" w:rsidRDefault="00BD7803" w:rsidP="00372EFD">
            <w:pPr>
              <w:pStyle w:val="TableParagraph"/>
              <w:ind w:right="-44"/>
              <w:jc w:val="center"/>
              <w:rPr>
                <w:bCs/>
                <w:color w:val="000000" w:themeColor="text1"/>
                <w:sz w:val="16"/>
                <w:szCs w:val="16"/>
              </w:rPr>
            </w:pPr>
            <w:r w:rsidRPr="00F3795D">
              <w:rPr>
                <w:bCs/>
                <w:color w:val="000000" w:themeColor="text1"/>
                <w:sz w:val="16"/>
                <w:szCs w:val="16"/>
              </w:rPr>
              <w:t>0</w:t>
            </w:r>
          </w:p>
        </w:tc>
      </w:tr>
      <w:tr w:rsidR="00473FF2" w:rsidRPr="00F3795D" w14:paraId="092D68A5" w14:textId="77777777" w:rsidTr="00992153">
        <w:trPr>
          <w:trHeight w:val="20"/>
          <w:jc w:val="center"/>
        </w:trPr>
        <w:tc>
          <w:tcPr>
            <w:tcW w:w="444" w:type="dxa"/>
          </w:tcPr>
          <w:p w14:paraId="2AB21532" w14:textId="77777777" w:rsidR="00BD7803" w:rsidRPr="00F3795D" w:rsidRDefault="00BD7803" w:rsidP="00372EFD">
            <w:pPr>
              <w:pStyle w:val="TableParagraph"/>
              <w:spacing w:before="29"/>
              <w:ind w:left="158" w:right="0"/>
              <w:jc w:val="left"/>
              <w:rPr>
                <w:bCs/>
                <w:color w:val="000000" w:themeColor="text1"/>
                <w:sz w:val="16"/>
                <w:szCs w:val="16"/>
              </w:rPr>
            </w:pPr>
            <w:r w:rsidRPr="00F3795D">
              <w:rPr>
                <w:bCs/>
                <w:color w:val="000000" w:themeColor="text1"/>
                <w:sz w:val="16"/>
                <w:szCs w:val="16"/>
              </w:rPr>
              <w:t>2</w:t>
            </w:r>
          </w:p>
        </w:tc>
        <w:tc>
          <w:tcPr>
            <w:tcW w:w="1260" w:type="dxa"/>
          </w:tcPr>
          <w:p w14:paraId="0CE3DD6F" w14:textId="77777777" w:rsidR="00BD7803" w:rsidRPr="00F3795D" w:rsidRDefault="00BD7803" w:rsidP="00372EFD">
            <w:pPr>
              <w:pStyle w:val="TableParagraph"/>
              <w:ind w:left="24" w:right="0"/>
              <w:jc w:val="left"/>
              <w:rPr>
                <w:bCs/>
                <w:color w:val="000000" w:themeColor="text1"/>
                <w:sz w:val="16"/>
                <w:szCs w:val="16"/>
              </w:rPr>
            </w:pPr>
            <w:r w:rsidRPr="00F3795D">
              <w:rPr>
                <w:bCs/>
                <w:color w:val="000000" w:themeColor="text1"/>
                <w:spacing w:val="-2"/>
                <w:sz w:val="16"/>
                <w:szCs w:val="16"/>
              </w:rPr>
              <w:t>Arunachal</w:t>
            </w:r>
            <w:r w:rsidRPr="00F3795D">
              <w:rPr>
                <w:bCs/>
                <w:color w:val="000000" w:themeColor="text1"/>
                <w:spacing w:val="8"/>
                <w:sz w:val="16"/>
                <w:szCs w:val="16"/>
              </w:rPr>
              <w:t xml:space="preserve"> </w:t>
            </w:r>
            <w:r w:rsidRPr="00F3795D">
              <w:rPr>
                <w:bCs/>
                <w:color w:val="000000" w:themeColor="text1"/>
                <w:spacing w:val="-2"/>
                <w:sz w:val="16"/>
                <w:szCs w:val="16"/>
              </w:rPr>
              <w:t>Pradesh</w:t>
            </w:r>
          </w:p>
        </w:tc>
        <w:tc>
          <w:tcPr>
            <w:tcW w:w="720" w:type="dxa"/>
          </w:tcPr>
          <w:p w14:paraId="0B2F93E6" w14:textId="77777777" w:rsidR="00BD7803" w:rsidRPr="00F3795D" w:rsidRDefault="00BD7803" w:rsidP="00372EFD">
            <w:pPr>
              <w:pStyle w:val="TableParagraph"/>
              <w:ind w:right="6"/>
              <w:jc w:val="center"/>
              <w:rPr>
                <w:bCs/>
                <w:color w:val="000000" w:themeColor="text1"/>
                <w:sz w:val="16"/>
                <w:szCs w:val="16"/>
              </w:rPr>
            </w:pPr>
            <w:r w:rsidRPr="00F3795D">
              <w:rPr>
                <w:bCs/>
                <w:color w:val="000000" w:themeColor="text1"/>
                <w:spacing w:val="-5"/>
                <w:sz w:val="16"/>
                <w:szCs w:val="16"/>
              </w:rPr>
              <w:t>139</w:t>
            </w:r>
          </w:p>
        </w:tc>
        <w:tc>
          <w:tcPr>
            <w:tcW w:w="720" w:type="dxa"/>
          </w:tcPr>
          <w:p w14:paraId="3B499601" w14:textId="77777777" w:rsidR="00BD7803" w:rsidRPr="00F3795D" w:rsidRDefault="00BD7803" w:rsidP="00372EFD">
            <w:pPr>
              <w:pStyle w:val="TableParagraph"/>
              <w:ind w:right="4"/>
              <w:jc w:val="center"/>
              <w:rPr>
                <w:bCs/>
                <w:color w:val="000000" w:themeColor="text1"/>
                <w:sz w:val="16"/>
                <w:szCs w:val="16"/>
              </w:rPr>
            </w:pPr>
            <w:r w:rsidRPr="00F3795D">
              <w:rPr>
                <w:bCs/>
                <w:color w:val="000000" w:themeColor="text1"/>
                <w:sz w:val="16"/>
                <w:szCs w:val="16"/>
              </w:rPr>
              <w:t>0</w:t>
            </w:r>
          </w:p>
        </w:tc>
        <w:tc>
          <w:tcPr>
            <w:tcW w:w="720" w:type="dxa"/>
          </w:tcPr>
          <w:p w14:paraId="23F4095D" w14:textId="77777777" w:rsidR="00BD7803" w:rsidRPr="00F3795D" w:rsidRDefault="00BD7803" w:rsidP="00372EFD">
            <w:pPr>
              <w:pStyle w:val="TableParagraph"/>
              <w:ind w:right="1"/>
              <w:jc w:val="center"/>
              <w:rPr>
                <w:bCs/>
                <w:color w:val="000000" w:themeColor="text1"/>
                <w:sz w:val="16"/>
                <w:szCs w:val="16"/>
              </w:rPr>
            </w:pPr>
            <w:r w:rsidRPr="00F3795D">
              <w:rPr>
                <w:bCs/>
                <w:color w:val="000000" w:themeColor="text1"/>
                <w:spacing w:val="-5"/>
                <w:sz w:val="16"/>
                <w:szCs w:val="16"/>
              </w:rPr>
              <w:t>33</w:t>
            </w:r>
          </w:p>
        </w:tc>
        <w:tc>
          <w:tcPr>
            <w:tcW w:w="630" w:type="dxa"/>
          </w:tcPr>
          <w:p w14:paraId="6417F080"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810" w:type="dxa"/>
          </w:tcPr>
          <w:p w14:paraId="0E51E075"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8</w:t>
            </w:r>
          </w:p>
        </w:tc>
        <w:tc>
          <w:tcPr>
            <w:tcW w:w="541" w:type="dxa"/>
          </w:tcPr>
          <w:p w14:paraId="761C9336"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630" w:type="dxa"/>
          </w:tcPr>
          <w:p w14:paraId="1289EED2"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5"/>
                <w:sz w:val="16"/>
                <w:szCs w:val="16"/>
              </w:rPr>
              <w:t>17</w:t>
            </w:r>
          </w:p>
        </w:tc>
        <w:tc>
          <w:tcPr>
            <w:tcW w:w="630" w:type="dxa"/>
          </w:tcPr>
          <w:p w14:paraId="509B97A6"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0</w:t>
            </w:r>
          </w:p>
        </w:tc>
        <w:tc>
          <w:tcPr>
            <w:tcW w:w="630" w:type="dxa"/>
          </w:tcPr>
          <w:p w14:paraId="648E6C86"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0</w:t>
            </w:r>
          </w:p>
        </w:tc>
        <w:tc>
          <w:tcPr>
            <w:tcW w:w="632" w:type="dxa"/>
          </w:tcPr>
          <w:p w14:paraId="46E63934" w14:textId="77777777" w:rsidR="00BD7803" w:rsidRPr="00F3795D" w:rsidRDefault="00BD7803" w:rsidP="00372EFD">
            <w:pPr>
              <w:pStyle w:val="TableParagraph"/>
              <w:ind w:right="-44"/>
              <w:jc w:val="center"/>
              <w:rPr>
                <w:bCs/>
                <w:color w:val="000000" w:themeColor="text1"/>
                <w:sz w:val="16"/>
                <w:szCs w:val="16"/>
              </w:rPr>
            </w:pPr>
            <w:r w:rsidRPr="00F3795D">
              <w:rPr>
                <w:bCs/>
                <w:color w:val="000000" w:themeColor="text1"/>
                <w:sz w:val="16"/>
                <w:szCs w:val="16"/>
              </w:rPr>
              <w:t>0</w:t>
            </w:r>
          </w:p>
        </w:tc>
      </w:tr>
      <w:tr w:rsidR="00473FF2" w:rsidRPr="00F3795D" w14:paraId="2CE64CA2" w14:textId="77777777" w:rsidTr="00992153">
        <w:trPr>
          <w:trHeight w:val="20"/>
          <w:jc w:val="center"/>
        </w:trPr>
        <w:tc>
          <w:tcPr>
            <w:tcW w:w="444" w:type="dxa"/>
          </w:tcPr>
          <w:p w14:paraId="2E1432DF" w14:textId="77777777" w:rsidR="00BD7803" w:rsidRPr="00F3795D" w:rsidRDefault="00BD7803" w:rsidP="00372EFD">
            <w:pPr>
              <w:pStyle w:val="TableParagraph"/>
              <w:spacing w:before="29"/>
              <w:ind w:left="157" w:right="0"/>
              <w:jc w:val="left"/>
              <w:rPr>
                <w:bCs/>
                <w:color w:val="000000" w:themeColor="text1"/>
                <w:sz w:val="16"/>
                <w:szCs w:val="16"/>
              </w:rPr>
            </w:pPr>
            <w:r w:rsidRPr="00F3795D">
              <w:rPr>
                <w:bCs/>
                <w:color w:val="000000" w:themeColor="text1"/>
                <w:sz w:val="16"/>
                <w:szCs w:val="16"/>
              </w:rPr>
              <w:t>3</w:t>
            </w:r>
          </w:p>
        </w:tc>
        <w:tc>
          <w:tcPr>
            <w:tcW w:w="1260" w:type="dxa"/>
          </w:tcPr>
          <w:p w14:paraId="57F05FF0" w14:textId="77777777" w:rsidR="00BD7803" w:rsidRPr="00F3795D" w:rsidRDefault="00BD7803" w:rsidP="00372EFD">
            <w:pPr>
              <w:pStyle w:val="TableParagraph"/>
              <w:ind w:left="23" w:right="0"/>
              <w:jc w:val="left"/>
              <w:rPr>
                <w:bCs/>
                <w:color w:val="000000" w:themeColor="text1"/>
                <w:sz w:val="16"/>
                <w:szCs w:val="16"/>
              </w:rPr>
            </w:pPr>
            <w:r w:rsidRPr="00F3795D">
              <w:rPr>
                <w:bCs/>
                <w:color w:val="000000" w:themeColor="text1"/>
                <w:spacing w:val="-2"/>
                <w:sz w:val="16"/>
                <w:szCs w:val="16"/>
              </w:rPr>
              <w:t>Assam</w:t>
            </w:r>
          </w:p>
        </w:tc>
        <w:tc>
          <w:tcPr>
            <w:tcW w:w="720" w:type="dxa"/>
          </w:tcPr>
          <w:p w14:paraId="215C37CC" w14:textId="77777777" w:rsidR="00BD7803" w:rsidRPr="00F3795D" w:rsidRDefault="00BD7803" w:rsidP="00372EFD">
            <w:pPr>
              <w:pStyle w:val="TableParagraph"/>
              <w:ind w:right="6"/>
              <w:jc w:val="center"/>
              <w:rPr>
                <w:bCs/>
                <w:color w:val="000000" w:themeColor="text1"/>
                <w:sz w:val="16"/>
                <w:szCs w:val="16"/>
              </w:rPr>
            </w:pPr>
            <w:r w:rsidRPr="00F3795D">
              <w:rPr>
                <w:bCs/>
                <w:color w:val="000000" w:themeColor="text1"/>
                <w:spacing w:val="-4"/>
                <w:sz w:val="16"/>
                <w:szCs w:val="16"/>
              </w:rPr>
              <w:t>1459</w:t>
            </w:r>
          </w:p>
        </w:tc>
        <w:tc>
          <w:tcPr>
            <w:tcW w:w="720" w:type="dxa"/>
          </w:tcPr>
          <w:p w14:paraId="69D55D81" w14:textId="77777777" w:rsidR="00BD7803" w:rsidRPr="00F3795D" w:rsidRDefault="00BD7803" w:rsidP="00372EFD">
            <w:pPr>
              <w:pStyle w:val="TableParagraph"/>
              <w:ind w:right="4"/>
              <w:jc w:val="center"/>
              <w:rPr>
                <w:bCs/>
                <w:color w:val="000000" w:themeColor="text1"/>
                <w:sz w:val="16"/>
                <w:szCs w:val="16"/>
              </w:rPr>
            </w:pPr>
            <w:r w:rsidRPr="00F3795D">
              <w:rPr>
                <w:bCs/>
                <w:color w:val="000000" w:themeColor="text1"/>
                <w:sz w:val="16"/>
                <w:szCs w:val="16"/>
              </w:rPr>
              <w:t>4</w:t>
            </w:r>
          </w:p>
        </w:tc>
        <w:tc>
          <w:tcPr>
            <w:tcW w:w="720" w:type="dxa"/>
          </w:tcPr>
          <w:p w14:paraId="4308AA72" w14:textId="77777777" w:rsidR="00BD7803" w:rsidRPr="00F3795D" w:rsidRDefault="00BD7803" w:rsidP="00372EFD">
            <w:pPr>
              <w:pStyle w:val="TableParagraph"/>
              <w:ind w:right="1"/>
              <w:jc w:val="center"/>
              <w:rPr>
                <w:bCs/>
                <w:color w:val="000000" w:themeColor="text1"/>
                <w:sz w:val="16"/>
                <w:szCs w:val="16"/>
              </w:rPr>
            </w:pPr>
            <w:r w:rsidRPr="00F3795D">
              <w:rPr>
                <w:bCs/>
                <w:color w:val="000000" w:themeColor="text1"/>
                <w:spacing w:val="-5"/>
                <w:sz w:val="16"/>
                <w:szCs w:val="16"/>
              </w:rPr>
              <w:t>484</w:t>
            </w:r>
          </w:p>
        </w:tc>
        <w:tc>
          <w:tcPr>
            <w:tcW w:w="630" w:type="dxa"/>
          </w:tcPr>
          <w:p w14:paraId="3E7F9CCC" w14:textId="77777777" w:rsidR="00BD7803" w:rsidRPr="00F3795D" w:rsidRDefault="00BD7803" w:rsidP="00372EFD">
            <w:pPr>
              <w:pStyle w:val="TableParagraph"/>
              <w:ind w:right="0"/>
              <w:jc w:val="center"/>
              <w:rPr>
                <w:bCs/>
                <w:color w:val="000000" w:themeColor="text1"/>
                <w:sz w:val="16"/>
                <w:szCs w:val="16"/>
              </w:rPr>
            </w:pPr>
            <w:r w:rsidRPr="00F3795D">
              <w:rPr>
                <w:bCs/>
                <w:color w:val="000000" w:themeColor="text1"/>
                <w:sz w:val="16"/>
                <w:szCs w:val="16"/>
              </w:rPr>
              <w:t>2</w:t>
            </w:r>
          </w:p>
        </w:tc>
        <w:tc>
          <w:tcPr>
            <w:tcW w:w="810" w:type="dxa"/>
          </w:tcPr>
          <w:p w14:paraId="195BC9C3"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5"/>
                <w:sz w:val="16"/>
                <w:szCs w:val="16"/>
              </w:rPr>
              <w:t>162</w:t>
            </w:r>
          </w:p>
        </w:tc>
        <w:tc>
          <w:tcPr>
            <w:tcW w:w="541" w:type="dxa"/>
          </w:tcPr>
          <w:p w14:paraId="7157F283"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630" w:type="dxa"/>
          </w:tcPr>
          <w:p w14:paraId="45DF70DF"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5"/>
                <w:sz w:val="16"/>
                <w:szCs w:val="16"/>
              </w:rPr>
              <w:t>280</w:t>
            </w:r>
          </w:p>
        </w:tc>
        <w:tc>
          <w:tcPr>
            <w:tcW w:w="630" w:type="dxa"/>
          </w:tcPr>
          <w:p w14:paraId="27F9FD2B"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0</w:t>
            </w:r>
          </w:p>
        </w:tc>
        <w:tc>
          <w:tcPr>
            <w:tcW w:w="630" w:type="dxa"/>
          </w:tcPr>
          <w:p w14:paraId="0408A7E8"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pacing w:val="-5"/>
                <w:sz w:val="16"/>
                <w:szCs w:val="16"/>
              </w:rPr>
              <w:t>20</w:t>
            </w:r>
          </w:p>
        </w:tc>
        <w:tc>
          <w:tcPr>
            <w:tcW w:w="632" w:type="dxa"/>
          </w:tcPr>
          <w:p w14:paraId="5B1E1A5D" w14:textId="77777777" w:rsidR="00BD7803" w:rsidRPr="00F3795D" w:rsidRDefault="00BD7803" w:rsidP="00372EFD">
            <w:pPr>
              <w:pStyle w:val="TableParagraph"/>
              <w:ind w:right="-44"/>
              <w:jc w:val="center"/>
              <w:rPr>
                <w:bCs/>
                <w:color w:val="000000" w:themeColor="text1"/>
                <w:sz w:val="16"/>
                <w:szCs w:val="16"/>
              </w:rPr>
            </w:pPr>
            <w:r w:rsidRPr="00F3795D">
              <w:rPr>
                <w:bCs/>
                <w:color w:val="000000" w:themeColor="text1"/>
                <w:sz w:val="16"/>
                <w:szCs w:val="16"/>
              </w:rPr>
              <w:t>0</w:t>
            </w:r>
          </w:p>
        </w:tc>
      </w:tr>
      <w:tr w:rsidR="00473FF2" w:rsidRPr="00F3795D" w14:paraId="74537674" w14:textId="77777777" w:rsidTr="00992153">
        <w:trPr>
          <w:trHeight w:val="20"/>
          <w:jc w:val="center"/>
        </w:trPr>
        <w:tc>
          <w:tcPr>
            <w:tcW w:w="444" w:type="dxa"/>
          </w:tcPr>
          <w:p w14:paraId="1A16BD71" w14:textId="77777777" w:rsidR="00BD7803" w:rsidRPr="00F3795D" w:rsidRDefault="00BD7803" w:rsidP="00372EFD">
            <w:pPr>
              <w:pStyle w:val="TableParagraph"/>
              <w:spacing w:before="29"/>
              <w:ind w:left="157" w:right="0"/>
              <w:jc w:val="left"/>
              <w:rPr>
                <w:bCs/>
                <w:color w:val="000000" w:themeColor="text1"/>
                <w:sz w:val="16"/>
                <w:szCs w:val="16"/>
              </w:rPr>
            </w:pPr>
            <w:r w:rsidRPr="00F3795D">
              <w:rPr>
                <w:bCs/>
                <w:color w:val="000000" w:themeColor="text1"/>
                <w:sz w:val="16"/>
                <w:szCs w:val="16"/>
              </w:rPr>
              <w:t>4</w:t>
            </w:r>
          </w:p>
        </w:tc>
        <w:tc>
          <w:tcPr>
            <w:tcW w:w="1260" w:type="dxa"/>
          </w:tcPr>
          <w:p w14:paraId="756E62AD" w14:textId="77777777" w:rsidR="00BD7803" w:rsidRPr="00F3795D" w:rsidRDefault="00BD7803" w:rsidP="00372EFD">
            <w:pPr>
              <w:pStyle w:val="TableParagraph"/>
              <w:ind w:left="24" w:right="0"/>
              <w:jc w:val="left"/>
              <w:rPr>
                <w:bCs/>
                <w:color w:val="000000" w:themeColor="text1"/>
                <w:sz w:val="16"/>
                <w:szCs w:val="16"/>
              </w:rPr>
            </w:pPr>
            <w:r w:rsidRPr="00F3795D">
              <w:rPr>
                <w:bCs/>
                <w:color w:val="000000" w:themeColor="text1"/>
                <w:spacing w:val="-2"/>
                <w:sz w:val="16"/>
                <w:szCs w:val="16"/>
              </w:rPr>
              <w:t>Bihar</w:t>
            </w:r>
          </w:p>
        </w:tc>
        <w:tc>
          <w:tcPr>
            <w:tcW w:w="720" w:type="dxa"/>
          </w:tcPr>
          <w:p w14:paraId="0EE7552A" w14:textId="77777777" w:rsidR="00BD7803" w:rsidRPr="00F3795D" w:rsidRDefault="00BD7803" w:rsidP="00372EFD">
            <w:pPr>
              <w:pStyle w:val="TableParagraph"/>
              <w:ind w:right="6"/>
              <w:jc w:val="center"/>
              <w:rPr>
                <w:bCs/>
                <w:color w:val="000000" w:themeColor="text1"/>
                <w:sz w:val="16"/>
                <w:szCs w:val="16"/>
              </w:rPr>
            </w:pPr>
            <w:r w:rsidRPr="00F3795D">
              <w:rPr>
                <w:bCs/>
                <w:color w:val="000000" w:themeColor="text1"/>
                <w:spacing w:val="-4"/>
                <w:sz w:val="16"/>
                <w:szCs w:val="16"/>
              </w:rPr>
              <w:t>1608</w:t>
            </w:r>
          </w:p>
        </w:tc>
        <w:tc>
          <w:tcPr>
            <w:tcW w:w="720" w:type="dxa"/>
          </w:tcPr>
          <w:p w14:paraId="5BBADBC3" w14:textId="77777777" w:rsidR="00BD7803" w:rsidRPr="00F3795D" w:rsidRDefault="00BD7803" w:rsidP="00372EFD">
            <w:pPr>
              <w:pStyle w:val="TableParagraph"/>
              <w:ind w:right="4"/>
              <w:jc w:val="center"/>
              <w:rPr>
                <w:bCs/>
                <w:color w:val="000000" w:themeColor="text1"/>
                <w:sz w:val="16"/>
                <w:szCs w:val="16"/>
              </w:rPr>
            </w:pPr>
            <w:r w:rsidRPr="00F3795D">
              <w:rPr>
                <w:bCs/>
                <w:color w:val="000000" w:themeColor="text1"/>
                <w:sz w:val="16"/>
                <w:szCs w:val="16"/>
              </w:rPr>
              <w:t>0</w:t>
            </w:r>
          </w:p>
        </w:tc>
        <w:tc>
          <w:tcPr>
            <w:tcW w:w="720" w:type="dxa"/>
          </w:tcPr>
          <w:p w14:paraId="176C1748" w14:textId="77777777" w:rsidR="00BD7803" w:rsidRPr="00F3795D" w:rsidRDefault="00BD7803" w:rsidP="00372EFD">
            <w:pPr>
              <w:pStyle w:val="TableParagraph"/>
              <w:ind w:right="2"/>
              <w:jc w:val="center"/>
              <w:rPr>
                <w:bCs/>
                <w:color w:val="000000" w:themeColor="text1"/>
                <w:sz w:val="16"/>
                <w:szCs w:val="16"/>
              </w:rPr>
            </w:pPr>
            <w:r w:rsidRPr="00F3795D">
              <w:rPr>
                <w:bCs/>
                <w:color w:val="000000" w:themeColor="text1"/>
                <w:spacing w:val="-5"/>
                <w:sz w:val="16"/>
                <w:szCs w:val="16"/>
              </w:rPr>
              <w:t>518</w:t>
            </w:r>
          </w:p>
        </w:tc>
        <w:tc>
          <w:tcPr>
            <w:tcW w:w="630" w:type="dxa"/>
          </w:tcPr>
          <w:p w14:paraId="28C5DF87"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810" w:type="dxa"/>
          </w:tcPr>
          <w:p w14:paraId="56474C02"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5"/>
                <w:sz w:val="16"/>
                <w:szCs w:val="16"/>
              </w:rPr>
              <w:t>647</w:t>
            </w:r>
          </w:p>
        </w:tc>
        <w:tc>
          <w:tcPr>
            <w:tcW w:w="541" w:type="dxa"/>
          </w:tcPr>
          <w:p w14:paraId="083BD96C"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630" w:type="dxa"/>
          </w:tcPr>
          <w:p w14:paraId="4C788660"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5"/>
                <w:sz w:val="16"/>
                <w:szCs w:val="16"/>
              </w:rPr>
              <w:t>539</w:t>
            </w:r>
          </w:p>
        </w:tc>
        <w:tc>
          <w:tcPr>
            <w:tcW w:w="630" w:type="dxa"/>
          </w:tcPr>
          <w:p w14:paraId="46C7DE6D"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0</w:t>
            </w:r>
          </w:p>
        </w:tc>
        <w:tc>
          <w:tcPr>
            <w:tcW w:w="630" w:type="dxa"/>
          </w:tcPr>
          <w:p w14:paraId="0D821B7E"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pacing w:val="-5"/>
                <w:sz w:val="16"/>
                <w:szCs w:val="16"/>
              </w:rPr>
              <w:t>159</w:t>
            </w:r>
          </w:p>
        </w:tc>
        <w:tc>
          <w:tcPr>
            <w:tcW w:w="632" w:type="dxa"/>
          </w:tcPr>
          <w:p w14:paraId="536567FF" w14:textId="77777777" w:rsidR="00BD7803" w:rsidRPr="00F3795D" w:rsidRDefault="00BD7803" w:rsidP="00372EFD">
            <w:pPr>
              <w:pStyle w:val="TableParagraph"/>
              <w:ind w:right="-44"/>
              <w:jc w:val="center"/>
              <w:rPr>
                <w:bCs/>
                <w:color w:val="000000" w:themeColor="text1"/>
                <w:sz w:val="16"/>
                <w:szCs w:val="16"/>
              </w:rPr>
            </w:pPr>
            <w:r w:rsidRPr="00F3795D">
              <w:rPr>
                <w:bCs/>
                <w:color w:val="000000" w:themeColor="text1"/>
                <w:sz w:val="16"/>
                <w:szCs w:val="16"/>
              </w:rPr>
              <w:t>0</w:t>
            </w:r>
          </w:p>
        </w:tc>
      </w:tr>
      <w:tr w:rsidR="00473FF2" w:rsidRPr="00F3795D" w14:paraId="5A04B7A6" w14:textId="77777777" w:rsidTr="00992153">
        <w:trPr>
          <w:trHeight w:val="20"/>
          <w:jc w:val="center"/>
        </w:trPr>
        <w:tc>
          <w:tcPr>
            <w:tcW w:w="444" w:type="dxa"/>
          </w:tcPr>
          <w:p w14:paraId="40F431A8" w14:textId="77777777" w:rsidR="00BD7803" w:rsidRPr="00F3795D" w:rsidRDefault="00BD7803" w:rsidP="00372EFD">
            <w:pPr>
              <w:pStyle w:val="TableParagraph"/>
              <w:spacing w:before="29"/>
              <w:ind w:left="158" w:right="0"/>
              <w:jc w:val="left"/>
              <w:rPr>
                <w:bCs/>
                <w:color w:val="000000" w:themeColor="text1"/>
                <w:sz w:val="16"/>
                <w:szCs w:val="16"/>
              </w:rPr>
            </w:pPr>
            <w:r w:rsidRPr="00F3795D">
              <w:rPr>
                <w:bCs/>
                <w:color w:val="000000" w:themeColor="text1"/>
                <w:sz w:val="16"/>
                <w:szCs w:val="16"/>
              </w:rPr>
              <w:t>5</w:t>
            </w:r>
          </w:p>
        </w:tc>
        <w:tc>
          <w:tcPr>
            <w:tcW w:w="1260" w:type="dxa"/>
          </w:tcPr>
          <w:p w14:paraId="7321DB10" w14:textId="77777777" w:rsidR="00BD7803" w:rsidRPr="00F3795D" w:rsidRDefault="00BD7803" w:rsidP="00372EFD">
            <w:pPr>
              <w:pStyle w:val="TableParagraph"/>
              <w:ind w:left="24" w:right="0"/>
              <w:jc w:val="left"/>
              <w:rPr>
                <w:bCs/>
                <w:color w:val="000000" w:themeColor="text1"/>
                <w:sz w:val="16"/>
                <w:szCs w:val="16"/>
              </w:rPr>
            </w:pPr>
            <w:r w:rsidRPr="00F3795D">
              <w:rPr>
                <w:bCs/>
                <w:color w:val="000000" w:themeColor="text1"/>
                <w:spacing w:val="-2"/>
                <w:sz w:val="16"/>
                <w:szCs w:val="16"/>
              </w:rPr>
              <w:t>Chhattisgarh</w:t>
            </w:r>
          </w:p>
        </w:tc>
        <w:tc>
          <w:tcPr>
            <w:tcW w:w="720" w:type="dxa"/>
          </w:tcPr>
          <w:p w14:paraId="7D983F9D" w14:textId="77777777" w:rsidR="00BD7803" w:rsidRPr="00F3795D" w:rsidRDefault="00BD7803" w:rsidP="00372EFD">
            <w:pPr>
              <w:pStyle w:val="TableParagraph"/>
              <w:ind w:right="6"/>
              <w:jc w:val="center"/>
              <w:rPr>
                <w:bCs/>
                <w:color w:val="000000" w:themeColor="text1"/>
                <w:sz w:val="16"/>
                <w:szCs w:val="16"/>
              </w:rPr>
            </w:pPr>
            <w:r w:rsidRPr="00F3795D">
              <w:rPr>
                <w:bCs/>
                <w:color w:val="000000" w:themeColor="text1"/>
                <w:spacing w:val="-2"/>
                <w:sz w:val="16"/>
                <w:szCs w:val="16"/>
              </w:rPr>
              <w:t>60458</w:t>
            </w:r>
          </w:p>
        </w:tc>
        <w:tc>
          <w:tcPr>
            <w:tcW w:w="720" w:type="dxa"/>
          </w:tcPr>
          <w:p w14:paraId="54CD6A3D" w14:textId="77777777" w:rsidR="00BD7803" w:rsidRPr="00F3795D" w:rsidRDefault="00BD7803" w:rsidP="00372EFD">
            <w:pPr>
              <w:pStyle w:val="TableParagraph"/>
              <w:ind w:right="4"/>
              <w:jc w:val="center"/>
              <w:rPr>
                <w:bCs/>
                <w:color w:val="000000" w:themeColor="text1"/>
                <w:sz w:val="16"/>
                <w:szCs w:val="16"/>
              </w:rPr>
            </w:pPr>
            <w:r w:rsidRPr="00F3795D">
              <w:rPr>
                <w:bCs/>
                <w:color w:val="000000" w:themeColor="text1"/>
                <w:spacing w:val="-5"/>
                <w:sz w:val="16"/>
                <w:szCs w:val="16"/>
              </w:rPr>
              <w:t>31</w:t>
            </w:r>
          </w:p>
        </w:tc>
        <w:tc>
          <w:tcPr>
            <w:tcW w:w="720" w:type="dxa"/>
          </w:tcPr>
          <w:p w14:paraId="0711DFA5" w14:textId="77777777" w:rsidR="00BD7803" w:rsidRPr="00F3795D" w:rsidRDefault="00BD7803" w:rsidP="00372EFD">
            <w:pPr>
              <w:pStyle w:val="TableParagraph"/>
              <w:ind w:right="1"/>
              <w:jc w:val="center"/>
              <w:rPr>
                <w:bCs/>
                <w:color w:val="000000" w:themeColor="text1"/>
                <w:sz w:val="16"/>
                <w:szCs w:val="16"/>
              </w:rPr>
            </w:pPr>
            <w:r w:rsidRPr="00F3795D">
              <w:rPr>
                <w:bCs/>
                <w:color w:val="000000" w:themeColor="text1"/>
                <w:spacing w:val="-2"/>
                <w:sz w:val="16"/>
                <w:szCs w:val="16"/>
              </w:rPr>
              <w:t>36667</w:t>
            </w:r>
          </w:p>
        </w:tc>
        <w:tc>
          <w:tcPr>
            <w:tcW w:w="630" w:type="dxa"/>
          </w:tcPr>
          <w:p w14:paraId="53BD60AE"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5"/>
                <w:sz w:val="16"/>
                <w:szCs w:val="16"/>
              </w:rPr>
              <w:t>34</w:t>
            </w:r>
          </w:p>
        </w:tc>
        <w:tc>
          <w:tcPr>
            <w:tcW w:w="810" w:type="dxa"/>
          </w:tcPr>
          <w:p w14:paraId="72A2F2D8"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2"/>
                <w:sz w:val="16"/>
                <w:szCs w:val="16"/>
              </w:rPr>
              <w:t>29733</w:t>
            </w:r>
          </w:p>
        </w:tc>
        <w:tc>
          <w:tcPr>
            <w:tcW w:w="541" w:type="dxa"/>
          </w:tcPr>
          <w:p w14:paraId="704B3B1B"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5"/>
                <w:sz w:val="16"/>
                <w:szCs w:val="16"/>
              </w:rPr>
              <w:t>38</w:t>
            </w:r>
          </w:p>
        </w:tc>
        <w:tc>
          <w:tcPr>
            <w:tcW w:w="630" w:type="dxa"/>
          </w:tcPr>
          <w:p w14:paraId="32287987"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2"/>
                <w:sz w:val="16"/>
                <w:szCs w:val="16"/>
              </w:rPr>
              <w:t>30028</w:t>
            </w:r>
          </w:p>
        </w:tc>
        <w:tc>
          <w:tcPr>
            <w:tcW w:w="630" w:type="dxa"/>
          </w:tcPr>
          <w:p w14:paraId="55CB05E9"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pacing w:val="-5"/>
                <w:sz w:val="16"/>
                <w:szCs w:val="16"/>
              </w:rPr>
              <w:t>11</w:t>
            </w:r>
          </w:p>
        </w:tc>
        <w:tc>
          <w:tcPr>
            <w:tcW w:w="630" w:type="dxa"/>
          </w:tcPr>
          <w:p w14:paraId="0D953D1E"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pacing w:val="-4"/>
                <w:sz w:val="16"/>
                <w:szCs w:val="16"/>
              </w:rPr>
              <w:t>7403</w:t>
            </w:r>
          </w:p>
        </w:tc>
        <w:tc>
          <w:tcPr>
            <w:tcW w:w="632" w:type="dxa"/>
          </w:tcPr>
          <w:p w14:paraId="31566245" w14:textId="77777777" w:rsidR="00BD7803" w:rsidRPr="00F3795D" w:rsidRDefault="00BD7803" w:rsidP="00372EFD">
            <w:pPr>
              <w:pStyle w:val="TableParagraph"/>
              <w:ind w:right="-44"/>
              <w:jc w:val="center"/>
              <w:rPr>
                <w:bCs/>
                <w:color w:val="000000" w:themeColor="text1"/>
                <w:sz w:val="16"/>
                <w:szCs w:val="16"/>
              </w:rPr>
            </w:pPr>
            <w:r w:rsidRPr="00F3795D">
              <w:rPr>
                <w:bCs/>
                <w:color w:val="000000" w:themeColor="text1"/>
                <w:sz w:val="16"/>
                <w:szCs w:val="16"/>
              </w:rPr>
              <w:t>0</w:t>
            </w:r>
          </w:p>
        </w:tc>
      </w:tr>
      <w:tr w:rsidR="00473FF2" w:rsidRPr="00F3795D" w14:paraId="643503C8" w14:textId="77777777" w:rsidTr="00992153">
        <w:trPr>
          <w:trHeight w:val="20"/>
          <w:jc w:val="center"/>
        </w:trPr>
        <w:tc>
          <w:tcPr>
            <w:tcW w:w="444" w:type="dxa"/>
          </w:tcPr>
          <w:p w14:paraId="02063932" w14:textId="77777777" w:rsidR="00BD7803" w:rsidRPr="00F3795D" w:rsidRDefault="00BD7803" w:rsidP="00372EFD">
            <w:pPr>
              <w:pStyle w:val="TableParagraph"/>
              <w:spacing w:before="29"/>
              <w:ind w:left="158" w:right="0"/>
              <w:jc w:val="left"/>
              <w:rPr>
                <w:bCs/>
                <w:color w:val="000000" w:themeColor="text1"/>
                <w:sz w:val="16"/>
                <w:szCs w:val="16"/>
              </w:rPr>
            </w:pPr>
            <w:r w:rsidRPr="00F3795D">
              <w:rPr>
                <w:bCs/>
                <w:color w:val="000000" w:themeColor="text1"/>
                <w:sz w:val="16"/>
                <w:szCs w:val="16"/>
              </w:rPr>
              <w:t>6</w:t>
            </w:r>
          </w:p>
        </w:tc>
        <w:tc>
          <w:tcPr>
            <w:tcW w:w="1260" w:type="dxa"/>
          </w:tcPr>
          <w:p w14:paraId="43CCD721" w14:textId="77777777" w:rsidR="00BD7803" w:rsidRPr="00F3795D" w:rsidRDefault="00BD7803" w:rsidP="00372EFD">
            <w:pPr>
              <w:pStyle w:val="TableParagraph"/>
              <w:ind w:left="24" w:right="0"/>
              <w:jc w:val="left"/>
              <w:rPr>
                <w:bCs/>
                <w:color w:val="000000" w:themeColor="text1"/>
                <w:sz w:val="16"/>
                <w:szCs w:val="16"/>
              </w:rPr>
            </w:pPr>
            <w:r w:rsidRPr="00F3795D">
              <w:rPr>
                <w:bCs/>
                <w:color w:val="000000" w:themeColor="text1"/>
                <w:spacing w:val="-5"/>
                <w:sz w:val="16"/>
                <w:szCs w:val="16"/>
              </w:rPr>
              <w:t>Goa</w:t>
            </w:r>
          </w:p>
        </w:tc>
        <w:tc>
          <w:tcPr>
            <w:tcW w:w="720" w:type="dxa"/>
          </w:tcPr>
          <w:p w14:paraId="75692F46" w14:textId="77777777" w:rsidR="00BD7803" w:rsidRPr="00F3795D" w:rsidRDefault="00BD7803" w:rsidP="00372EFD">
            <w:pPr>
              <w:pStyle w:val="TableParagraph"/>
              <w:ind w:right="6"/>
              <w:jc w:val="center"/>
              <w:rPr>
                <w:bCs/>
                <w:color w:val="000000" w:themeColor="text1"/>
                <w:sz w:val="16"/>
                <w:szCs w:val="16"/>
              </w:rPr>
            </w:pPr>
            <w:r w:rsidRPr="00F3795D">
              <w:rPr>
                <w:bCs/>
                <w:color w:val="000000" w:themeColor="text1"/>
                <w:spacing w:val="-5"/>
                <w:sz w:val="16"/>
                <w:szCs w:val="16"/>
              </w:rPr>
              <w:t>272</w:t>
            </w:r>
          </w:p>
        </w:tc>
        <w:tc>
          <w:tcPr>
            <w:tcW w:w="720" w:type="dxa"/>
          </w:tcPr>
          <w:p w14:paraId="5F477B20" w14:textId="77777777" w:rsidR="00BD7803" w:rsidRPr="00F3795D" w:rsidRDefault="00BD7803" w:rsidP="00372EFD">
            <w:pPr>
              <w:pStyle w:val="TableParagraph"/>
              <w:ind w:right="4"/>
              <w:jc w:val="center"/>
              <w:rPr>
                <w:bCs/>
                <w:color w:val="000000" w:themeColor="text1"/>
                <w:sz w:val="16"/>
                <w:szCs w:val="16"/>
              </w:rPr>
            </w:pPr>
            <w:r w:rsidRPr="00F3795D">
              <w:rPr>
                <w:bCs/>
                <w:color w:val="000000" w:themeColor="text1"/>
                <w:sz w:val="16"/>
                <w:szCs w:val="16"/>
              </w:rPr>
              <w:t>0</w:t>
            </w:r>
          </w:p>
        </w:tc>
        <w:tc>
          <w:tcPr>
            <w:tcW w:w="720" w:type="dxa"/>
          </w:tcPr>
          <w:p w14:paraId="6CB9FF72" w14:textId="77777777" w:rsidR="00BD7803" w:rsidRPr="00F3795D" w:rsidRDefault="00BD7803" w:rsidP="00372EFD">
            <w:pPr>
              <w:pStyle w:val="TableParagraph"/>
              <w:ind w:right="1"/>
              <w:jc w:val="center"/>
              <w:rPr>
                <w:bCs/>
                <w:color w:val="000000" w:themeColor="text1"/>
                <w:sz w:val="16"/>
                <w:szCs w:val="16"/>
              </w:rPr>
            </w:pPr>
            <w:r w:rsidRPr="00F3795D">
              <w:rPr>
                <w:bCs/>
                <w:color w:val="000000" w:themeColor="text1"/>
                <w:spacing w:val="-5"/>
                <w:sz w:val="16"/>
                <w:szCs w:val="16"/>
              </w:rPr>
              <w:t>102</w:t>
            </w:r>
          </w:p>
        </w:tc>
        <w:tc>
          <w:tcPr>
            <w:tcW w:w="630" w:type="dxa"/>
          </w:tcPr>
          <w:p w14:paraId="3689B492"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810" w:type="dxa"/>
          </w:tcPr>
          <w:p w14:paraId="664DB0B4"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5"/>
                <w:sz w:val="16"/>
                <w:szCs w:val="16"/>
              </w:rPr>
              <w:t>90</w:t>
            </w:r>
          </w:p>
        </w:tc>
        <w:tc>
          <w:tcPr>
            <w:tcW w:w="541" w:type="dxa"/>
          </w:tcPr>
          <w:p w14:paraId="4D80C5A0"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630" w:type="dxa"/>
          </w:tcPr>
          <w:p w14:paraId="58E2A1B3"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2</w:t>
            </w:r>
          </w:p>
        </w:tc>
        <w:tc>
          <w:tcPr>
            <w:tcW w:w="630" w:type="dxa"/>
          </w:tcPr>
          <w:p w14:paraId="09622A3F"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0</w:t>
            </w:r>
          </w:p>
        </w:tc>
        <w:tc>
          <w:tcPr>
            <w:tcW w:w="630" w:type="dxa"/>
          </w:tcPr>
          <w:p w14:paraId="66D263A1"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0</w:t>
            </w:r>
          </w:p>
        </w:tc>
        <w:tc>
          <w:tcPr>
            <w:tcW w:w="632" w:type="dxa"/>
          </w:tcPr>
          <w:p w14:paraId="30450DF4" w14:textId="77777777" w:rsidR="00BD7803" w:rsidRPr="00F3795D" w:rsidRDefault="00BD7803" w:rsidP="00372EFD">
            <w:pPr>
              <w:pStyle w:val="TableParagraph"/>
              <w:ind w:right="-44"/>
              <w:jc w:val="center"/>
              <w:rPr>
                <w:bCs/>
                <w:color w:val="000000" w:themeColor="text1"/>
                <w:sz w:val="16"/>
                <w:szCs w:val="16"/>
              </w:rPr>
            </w:pPr>
            <w:r w:rsidRPr="00F3795D">
              <w:rPr>
                <w:bCs/>
                <w:color w:val="000000" w:themeColor="text1"/>
                <w:sz w:val="16"/>
                <w:szCs w:val="16"/>
              </w:rPr>
              <w:t>0</w:t>
            </w:r>
          </w:p>
        </w:tc>
      </w:tr>
      <w:tr w:rsidR="00473FF2" w:rsidRPr="00F3795D" w14:paraId="0836F36D" w14:textId="77777777" w:rsidTr="00992153">
        <w:trPr>
          <w:trHeight w:val="20"/>
          <w:jc w:val="center"/>
        </w:trPr>
        <w:tc>
          <w:tcPr>
            <w:tcW w:w="444" w:type="dxa"/>
          </w:tcPr>
          <w:p w14:paraId="60DF0E0F" w14:textId="77777777" w:rsidR="00BD7803" w:rsidRPr="00F3795D" w:rsidRDefault="00BD7803" w:rsidP="00372EFD">
            <w:pPr>
              <w:pStyle w:val="TableParagraph"/>
              <w:spacing w:before="29"/>
              <w:ind w:left="157" w:right="0"/>
              <w:jc w:val="left"/>
              <w:rPr>
                <w:bCs/>
                <w:color w:val="000000" w:themeColor="text1"/>
                <w:sz w:val="16"/>
                <w:szCs w:val="16"/>
              </w:rPr>
            </w:pPr>
            <w:r w:rsidRPr="00F3795D">
              <w:rPr>
                <w:bCs/>
                <w:color w:val="000000" w:themeColor="text1"/>
                <w:sz w:val="16"/>
                <w:szCs w:val="16"/>
              </w:rPr>
              <w:t>7</w:t>
            </w:r>
          </w:p>
        </w:tc>
        <w:tc>
          <w:tcPr>
            <w:tcW w:w="1260" w:type="dxa"/>
          </w:tcPr>
          <w:p w14:paraId="682B3FB2" w14:textId="77777777" w:rsidR="00BD7803" w:rsidRPr="00F3795D" w:rsidRDefault="00BD7803" w:rsidP="00372EFD">
            <w:pPr>
              <w:pStyle w:val="TableParagraph"/>
              <w:ind w:left="23" w:right="0"/>
              <w:jc w:val="left"/>
              <w:rPr>
                <w:bCs/>
                <w:color w:val="000000" w:themeColor="text1"/>
                <w:sz w:val="16"/>
                <w:szCs w:val="16"/>
              </w:rPr>
            </w:pPr>
            <w:r w:rsidRPr="00F3795D">
              <w:rPr>
                <w:bCs/>
                <w:color w:val="000000" w:themeColor="text1"/>
                <w:spacing w:val="-2"/>
                <w:sz w:val="16"/>
                <w:szCs w:val="16"/>
              </w:rPr>
              <w:t>Gujarat</w:t>
            </w:r>
          </w:p>
        </w:tc>
        <w:tc>
          <w:tcPr>
            <w:tcW w:w="720" w:type="dxa"/>
          </w:tcPr>
          <w:p w14:paraId="1218E609" w14:textId="77777777" w:rsidR="00BD7803" w:rsidRPr="00F3795D" w:rsidRDefault="00BD7803" w:rsidP="00372EFD">
            <w:pPr>
              <w:pStyle w:val="TableParagraph"/>
              <w:ind w:right="6"/>
              <w:jc w:val="center"/>
              <w:rPr>
                <w:bCs/>
                <w:color w:val="000000" w:themeColor="text1"/>
                <w:sz w:val="16"/>
                <w:szCs w:val="16"/>
              </w:rPr>
            </w:pPr>
            <w:r w:rsidRPr="00F3795D">
              <w:rPr>
                <w:bCs/>
                <w:color w:val="000000" w:themeColor="text1"/>
                <w:spacing w:val="-2"/>
                <w:sz w:val="16"/>
                <w:szCs w:val="16"/>
              </w:rPr>
              <w:t>13883</w:t>
            </w:r>
          </w:p>
        </w:tc>
        <w:tc>
          <w:tcPr>
            <w:tcW w:w="720" w:type="dxa"/>
          </w:tcPr>
          <w:p w14:paraId="603D9473" w14:textId="77777777" w:rsidR="00BD7803" w:rsidRPr="00F3795D" w:rsidRDefault="00BD7803" w:rsidP="00372EFD">
            <w:pPr>
              <w:pStyle w:val="TableParagraph"/>
              <w:ind w:right="4"/>
              <w:jc w:val="center"/>
              <w:rPr>
                <w:bCs/>
                <w:color w:val="000000" w:themeColor="text1"/>
                <w:sz w:val="16"/>
                <w:szCs w:val="16"/>
              </w:rPr>
            </w:pPr>
            <w:r w:rsidRPr="00F3795D">
              <w:rPr>
                <w:bCs/>
                <w:color w:val="000000" w:themeColor="text1"/>
                <w:sz w:val="16"/>
                <w:szCs w:val="16"/>
              </w:rPr>
              <w:t>1</w:t>
            </w:r>
          </w:p>
        </w:tc>
        <w:tc>
          <w:tcPr>
            <w:tcW w:w="720" w:type="dxa"/>
          </w:tcPr>
          <w:p w14:paraId="61D85105" w14:textId="77777777" w:rsidR="00BD7803" w:rsidRPr="00F3795D" w:rsidRDefault="00BD7803" w:rsidP="00372EFD">
            <w:pPr>
              <w:pStyle w:val="TableParagraph"/>
              <w:ind w:right="1"/>
              <w:jc w:val="center"/>
              <w:rPr>
                <w:bCs/>
                <w:color w:val="000000" w:themeColor="text1"/>
                <w:sz w:val="16"/>
                <w:szCs w:val="16"/>
              </w:rPr>
            </w:pPr>
            <w:r w:rsidRPr="00F3795D">
              <w:rPr>
                <w:bCs/>
                <w:color w:val="000000" w:themeColor="text1"/>
                <w:spacing w:val="-4"/>
                <w:sz w:val="16"/>
                <w:szCs w:val="16"/>
              </w:rPr>
              <w:t>4771</w:t>
            </w:r>
          </w:p>
        </w:tc>
        <w:tc>
          <w:tcPr>
            <w:tcW w:w="630" w:type="dxa"/>
          </w:tcPr>
          <w:p w14:paraId="42A9284C" w14:textId="77777777" w:rsidR="00BD7803" w:rsidRPr="00F3795D" w:rsidRDefault="00BD7803" w:rsidP="00372EFD">
            <w:pPr>
              <w:pStyle w:val="TableParagraph"/>
              <w:ind w:right="0"/>
              <w:jc w:val="center"/>
              <w:rPr>
                <w:bCs/>
                <w:color w:val="000000" w:themeColor="text1"/>
                <w:sz w:val="16"/>
                <w:szCs w:val="16"/>
              </w:rPr>
            </w:pPr>
            <w:r w:rsidRPr="00F3795D">
              <w:rPr>
                <w:bCs/>
                <w:color w:val="000000" w:themeColor="text1"/>
                <w:sz w:val="16"/>
                <w:szCs w:val="16"/>
              </w:rPr>
              <w:t>1</w:t>
            </w:r>
          </w:p>
        </w:tc>
        <w:tc>
          <w:tcPr>
            <w:tcW w:w="810" w:type="dxa"/>
          </w:tcPr>
          <w:p w14:paraId="1F4C87B1"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4"/>
                <w:sz w:val="16"/>
                <w:szCs w:val="16"/>
              </w:rPr>
              <w:t>4921</w:t>
            </w:r>
          </w:p>
        </w:tc>
        <w:tc>
          <w:tcPr>
            <w:tcW w:w="541" w:type="dxa"/>
          </w:tcPr>
          <w:p w14:paraId="55FE4813"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630" w:type="dxa"/>
          </w:tcPr>
          <w:p w14:paraId="3AD2AB4F"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4"/>
                <w:sz w:val="16"/>
                <w:szCs w:val="16"/>
              </w:rPr>
              <w:t>4766</w:t>
            </w:r>
          </w:p>
        </w:tc>
        <w:tc>
          <w:tcPr>
            <w:tcW w:w="630" w:type="dxa"/>
          </w:tcPr>
          <w:p w14:paraId="3F02D469"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0</w:t>
            </w:r>
          </w:p>
        </w:tc>
        <w:tc>
          <w:tcPr>
            <w:tcW w:w="630" w:type="dxa"/>
          </w:tcPr>
          <w:p w14:paraId="6C19451E"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pacing w:val="-5"/>
                <w:sz w:val="16"/>
                <w:szCs w:val="16"/>
              </w:rPr>
              <w:t>191</w:t>
            </w:r>
          </w:p>
        </w:tc>
        <w:tc>
          <w:tcPr>
            <w:tcW w:w="632" w:type="dxa"/>
          </w:tcPr>
          <w:p w14:paraId="207D767A" w14:textId="77777777" w:rsidR="00BD7803" w:rsidRPr="00F3795D" w:rsidRDefault="00BD7803" w:rsidP="00372EFD">
            <w:pPr>
              <w:pStyle w:val="TableParagraph"/>
              <w:ind w:right="-44"/>
              <w:jc w:val="center"/>
              <w:rPr>
                <w:bCs/>
                <w:color w:val="000000" w:themeColor="text1"/>
                <w:sz w:val="16"/>
                <w:szCs w:val="16"/>
              </w:rPr>
            </w:pPr>
            <w:r w:rsidRPr="00F3795D">
              <w:rPr>
                <w:bCs/>
                <w:color w:val="000000" w:themeColor="text1"/>
                <w:sz w:val="16"/>
                <w:szCs w:val="16"/>
              </w:rPr>
              <w:t>0</w:t>
            </w:r>
          </w:p>
        </w:tc>
      </w:tr>
      <w:tr w:rsidR="00473FF2" w:rsidRPr="00F3795D" w14:paraId="29A4B000" w14:textId="77777777" w:rsidTr="00992153">
        <w:trPr>
          <w:trHeight w:val="20"/>
          <w:jc w:val="center"/>
        </w:trPr>
        <w:tc>
          <w:tcPr>
            <w:tcW w:w="444" w:type="dxa"/>
          </w:tcPr>
          <w:p w14:paraId="3F254C8D" w14:textId="77777777" w:rsidR="00BD7803" w:rsidRPr="00F3795D" w:rsidRDefault="00BD7803" w:rsidP="00372EFD">
            <w:pPr>
              <w:pStyle w:val="TableParagraph"/>
              <w:spacing w:before="29"/>
              <w:ind w:left="157" w:right="0"/>
              <w:jc w:val="left"/>
              <w:rPr>
                <w:bCs/>
                <w:color w:val="000000" w:themeColor="text1"/>
                <w:sz w:val="16"/>
                <w:szCs w:val="16"/>
              </w:rPr>
            </w:pPr>
            <w:r w:rsidRPr="00F3795D">
              <w:rPr>
                <w:bCs/>
                <w:color w:val="000000" w:themeColor="text1"/>
                <w:sz w:val="16"/>
                <w:szCs w:val="16"/>
              </w:rPr>
              <w:t>8</w:t>
            </w:r>
          </w:p>
        </w:tc>
        <w:tc>
          <w:tcPr>
            <w:tcW w:w="1260" w:type="dxa"/>
          </w:tcPr>
          <w:p w14:paraId="14F6A0A8" w14:textId="77777777" w:rsidR="00BD7803" w:rsidRPr="00F3795D" w:rsidRDefault="00BD7803" w:rsidP="00372EFD">
            <w:pPr>
              <w:pStyle w:val="TableParagraph"/>
              <w:ind w:left="24" w:right="0"/>
              <w:jc w:val="left"/>
              <w:rPr>
                <w:bCs/>
                <w:color w:val="000000" w:themeColor="text1"/>
                <w:sz w:val="16"/>
                <w:szCs w:val="16"/>
              </w:rPr>
            </w:pPr>
            <w:r w:rsidRPr="00F3795D">
              <w:rPr>
                <w:bCs/>
                <w:color w:val="000000" w:themeColor="text1"/>
                <w:spacing w:val="-2"/>
                <w:sz w:val="16"/>
                <w:szCs w:val="16"/>
              </w:rPr>
              <w:t>Haryana</w:t>
            </w:r>
          </w:p>
        </w:tc>
        <w:tc>
          <w:tcPr>
            <w:tcW w:w="720" w:type="dxa"/>
          </w:tcPr>
          <w:p w14:paraId="011CEA72" w14:textId="77777777" w:rsidR="00BD7803" w:rsidRPr="00F3795D" w:rsidRDefault="00BD7803" w:rsidP="00372EFD">
            <w:pPr>
              <w:pStyle w:val="TableParagraph"/>
              <w:ind w:right="6"/>
              <w:jc w:val="center"/>
              <w:rPr>
                <w:bCs/>
                <w:color w:val="000000" w:themeColor="text1"/>
                <w:sz w:val="16"/>
                <w:szCs w:val="16"/>
              </w:rPr>
            </w:pPr>
            <w:r w:rsidRPr="00F3795D">
              <w:rPr>
                <w:bCs/>
                <w:color w:val="000000" w:themeColor="text1"/>
                <w:spacing w:val="-4"/>
                <w:sz w:val="16"/>
                <w:szCs w:val="16"/>
              </w:rPr>
              <w:t>1497</w:t>
            </w:r>
          </w:p>
        </w:tc>
        <w:tc>
          <w:tcPr>
            <w:tcW w:w="720" w:type="dxa"/>
          </w:tcPr>
          <w:p w14:paraId="4D5AC8DE" w14:textId="77777777" w:rsidR="00BD7803" w:rsidRPr="00F3795D" w:rsidRDefault="00BD7803" w:rsidP="00372EFD">
            <w:pPr>
              <w:pStyle w:val="TableParagraph"/>
              <w:ind w:right="4"/>
              <w:jc w:val="center"/>
              <w:rPr>
                <w:bCs/>
                <w:color w:val="000000" w:themeColor="text1"/>
                <w:sz w:val="16"/>
                <w:szCs w:val="16"/>
              </w:rPr>
            </w:pPr>
            <w:r w:rsidRPr="00F3795D">
              <w:rPr>
                <w:bCs/>
                <w:color w:val="000000" w:themeColor="text1"/>
                <w:sz w:val="16"/>
                <w:szCs w:val="16"/>
              </w:rPr>
              <w:t>0</w:t>
            </w:r>
          </w:p>
        </w:tc>
        <w:tc>
          <w:tcPr>
            <w:tcW w:w="720" w:type="dxa"/>
          </w:tcPr>
          <w:p w14:paraId="4C970E4E" w14:textId="77777777" w:rsidR="00BD7803" w:rsidRPr="00F3795D" w:rsidRDefault="00BD7803" w:rsidP="00372EFD">
            <w:pPr>
              <w:pStyle w:val="TableParagraph"/>
              <w:ind w:right="2"/>
              <w:jc w:val="center"/>
              <w:rPr>
                <w:bCs/>
                <w:color w:val="000000" w:themeColor="text1"/>
                <w:sz w:val="16"/>
                <w:szCs w:val="16"/>
              </w:rPr>
            </w:pPr>
            <w:r w:rsidRPr="00F3795D">
              <w:rPr>
                <w:bCs/>
                <w:color w:val="000000" w:themeColor="text1"/>
                <w:spacing w:val="-5"/>
                <w:sz w:val="16"/>
                <w:szCs w:val="16"/>
              </w:rPr>
              <w:t>111</w:t>
            </w:r>
          </w:p>
        </w:tc>
        <w:tc>
          <w:tcPr>
            <w:tcW w:w="630" w:type="dxa"/>
          </w:tcPr>
          <w:p w14:paraId="5A0CA8CA"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810" w:type="dxa"/>
          </w:tcPr>
          <w:p w14:paraId="48341AA2"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5"/>
                <w:sz w:val="16"/>
                <w:szCs w:val="16"/>
              </w:rPr>
              <w:t>54</w:t>
            </w:r>
          </w:p>
        </w:tc>
        <w:tc>
          <w:tcPr>
            <w:tcW w:w="541" w:type="dxa"/>
          </w:tcPr>
          <w:p w14:paraId="11EE8BCD"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630" w:type="dxa"/>
          </w:tcPr>
          <w:p w14:paraId="523358E8"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5"/>
                <w:sz w:val="16"/>
                <w:szCs w:val="16"/>
              </w:rPr>
              <w:t>50</w:t>
            </w:r>
          </w:p>
        </w:tc>
        <w:tc>
          <w:tcPr>
            <w:tcW w:w="630" w:type="dxa"/>
          </w:tcPr>
          <w:p w14:paraId="16E68E68"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0</w:t>
            </w:r>
          </w:p>
        </w:tc>
        <w:tc>
          <w:tcPr>
            <w:tcW w:w="630" w:type="dxa"/>
          </w:tcPr>
          <w:p w14:paraId="4B81B37A"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0</w:t>
            </w:r>
          </w:p>
        </w:tc>
        <w:tc>
          <w:tcPr>
            <w:tcW w:w="632" w:type="dxa"/>
          </w:tcPr>
          <w:p w14:paraId="49CF1D52" w14:textId="77777777" w:rsidR="00BD7803" w:rsidRPr="00F3795D" w:rsidRDefault="00BD7803" w:rsidP="00372EFD">
            <w:pPr>
              <w:pStyle w:val="TableParagraph"/>
              <w:ind w:right="-44"/>
              <w:jc w:val="center"/>
              <w:rPr>
                <w:bCs/>
                <w:color w:val="000000" w:themeColor="text1"/>
                <w:sz w:val="16"/>
                <w:szCs w:val="16"/>
              </w:rPr>
            </w:pPr>
            <w:r w:rsidRPr="00F3795D">
              <w:rPr>
                <w:bCs/>
                <w:color w:val="000000" w:themeColor="text1"/>
                <w:sz w:val="16"/>
                <w:szCs w:val="16"/>
              </w:rPr>
              <w:t>0</w:t>
            </w:r>
          </w:p>
        </w:tc>
      </w:tr>
      <w:tr w:rsidR="00473FF2" w:rsidRPr="00F3795D" w14:paraId="0AE16372" w14:textId="77777777" w:rsidTr="00992153">
        <w:trPr>
          <w:trHeight w:val="20"/>
          <w:jc w:val="center"/>
        </w:trPr>
        <w:tc>
          <w:tcPr>
            <w:tcW w:w="444" w:type="dxa"/>
          </w:tcPr>
          <w:p w14:paraId="2E00C858" w14:textId="77777777" w:rsidR="00BD7803" w:rsidRPr="00F3795D" w:rsidRDefault="00BD7803" w:rsidP="00372EFD">
            <w:pPr>
              <w:pStyle w:val="TableParagraph"/>
              <w:spacing w:before="29"/>
              <w:ind w:left="158" w:right="0"/>
              <w:jc w:val="left"/>
              <w:rPr>
                <w:bCs/>
                <w:color w:val="000000" w:themeColor="text1"/>
                <w:sz w:val="16"/>
                <w:szCs w:val="16"/>
              </w:rPr>
            </w:pPr>
            <w:r w:rsidRPr="00F3795D">
              <w:rPr>
                <w:bCs/>
                <w:color w:val="000000" w:themeColor="text1"/>
                <w:sz w:val="16"/>
                <w:szCs w:val="16"/>
              </w:rPr>
              <w:t>9</w:t>
            </w:r>
          </w:p>
        </w:tc>
        <w:tc>
          <w:tcPr>
            <w:tcW w:w="1260" w:type="dxa"/>
          </w:tcPr>
          <w:p w14:paraId="6F12915C" w14:textId="77777777" w:rsidR="00BD7803" w:rsidRPr="00F3795D" w:rsidRDefault="00BD7803" w:rsidP="00372EFD">
            <w:pPr>
              <w:pStyle w:val="TableParagraph"/>
              <w:ind w:left="24" w:right="0"/>
              <w:jc w:val="left"/>
              <w:rPr>
                <w:bCs/>
                <w:color w:val="000000" w:themeColor="text1"/>
                <w:sz w:val="16"/>
                <w:szCs w:val="16"/>
              </w:rPr>
            </w:pPr>
            <w:r w:rsidRPr="00F3795D">
              <w:rPr>
                <w:bCs/>
                <w:color w:val="000000" w:themeColor="text1"/>
                <w:spacing w:val="-2"/>
                <w:sz w:val="16"/>
                <w:szCs w:val="16"/>
              </w:rPr>
              <w:t>Himachal</w:t>
            </w:r>
            <w:r w:rsidRPr="00F3795D">
              <w:rPr>
                <w:bCs/>
                <w:color w:val="000000" w:themeColor="text1"/>
                <w:spacing w:val="5"/>
                <w:sz w:val="16"/>
                <w:szCs w:val="16"/>
              </w:rPr>
              <w:t xml:space="preserve"> </w:t>
            </w:r>
            <w:r w:rsidRPr="00F3795D">
              <w:rPr>
                <w:bCs/>
                <w:color w:val="000000" w:themeColor="text1"/>
                <w:spacing w:val="-2"/>
                <w:sz w:val="16"/>
                <w:szCs w:val="16"/>
              </w:rPr>
              <w:t>Pradesh</w:t>
            </w:r>
          </w:p>
        </w:tc>
        <w:tc>
          <w:tcPr>
            <w:tcW w:w="720" w:type="dxa"/>
          </w:tcPr>
          <w:p w14:paraId="081FE0D3" w14:textId="77777777" w:rsidR="00BD7803" w:rsidRPr="00F3795D" w:rsidRDefault="00BD7803" w:rsidP="00372EFD">
            <w:pPr>
              <w:pStyle w:val="TableParagraph"/>
              <w:ind w:right="6"/>
              <w:jc w:val="center"/>
              <w:rPr>
                <w:bCs/>
                <w:color w:val="000000" w:themeColor="text1"/>
                <w:sz w:val="16"/>
                <w:szCs w:val="16"/>
              </w:rPr>
            </w:pPr>
            <w:r w:rsidRPr="00F3795D">
              <w:rPr>
                <w:bCs/>
                <w:color w:val="000000" w:themeColor="text1"/>
                <w:spacing w:val="-5"/>
                <w:sz w:val="16"/>
                <w:szCs w:val="16"/>
              </w:rPr>
              <w:t>109</w:t>
            </w:r>
          </w:p>
        </w:tc>
        <w:tc>
          <w:tcPr>
            <w:tcW w:w="720" w:type="dxa"/>
          </w:tcPr>
          <w:p w14:paraId="4A00A4B7" w14:textId="77777777" w:rsidR="00BD7803" w:rsidRPr="00F3795D" w:rsidRDefault="00BD7803" w:rsidP="00372EFD">
            <w:pPr>
              <w:pStyle w:val="TableParagraph"/>
              <w:ind w:right="4"/>
              <w:jc w:val="center"/>
              <w:rPr>
                <w:bCs/>
                <w:color w:val="000000" w:themeColor="text1"/>
                <w:sz w:val="16"/>
                <w:szCs w:val="16"/>
              </w:rPr>
            </w:pPr>
            <w:r w:rsidRPr="00F3795D">
              <w:rPr>
                <w:bCs/>
                <w:color w:val="000000" w:themeColor="text1"/>
                <w:sz w:val="16"/>
                <w:szCs w:val="16"/>
              </w:rPr>
              <w:t>0</w:t>
            </w:r>
          </w:p>
        </w:tc>
        <w:tc>
          <w:tcPr>
            <w:tcW w:w="720" w:type="dxa"/>
          </w:tcPr>
          <w:p w14:paraId="6445BB5A" w14:textId="77777777" w:rsidR="00BD7803" w:rsidRPr="00F3795D" w:rsidRDefault="00BD7803" w:rsidP="00372EFD">
            <w:pPr>
              <w:pStyle w:val="TableParagraph"/>
              <w:ind w:right="1"/>
              <w:jc w:val="center"/>
              <w:rPr>
                <w:bCs/>
                <w:color w:val="000000" w:themeColor="text1"/>
                <w:sz w:val="16"/>
                <w:szCs w:val="16"/>
              </w:rPr>
            </w:pPr>
            <w:r w:rsidRPr="00F3795D">
              <w:rPr>
                <w:bCs/>
                <w:color w:val="000000" w:themeColor="text1"/>
                <w:spacing w:val="-5"/>
                <w:sz w:val="16"/>
                <w:szCs w:val="16"/>
              </w:rPr>
              <w:t>34</w:t>
            </w:r>
          </w:p>
        </w:tc>
        <w:tc>
          <w:tcPr>
            <w:tcW w:w="630" w:type="dxa"/>
          </w:tcPr>
          <w:p w14:paraId="623169F3"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810" w:type="dxa"/>
          </w:tcPr>
          <w:p w14:paraId="36BE514E"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5"/>
                <w:sz w:val="16"/>
                <w:szCs w:val="16"/>
              </w:rPr>
              <w:t>15</w:t>
            </w:r>
          </w:p>
        </w:tc>
        <w:tc>
          <w:tcPr>
            <w:tcW w:w="541" w:type="dxa"/>
          </w:tcPr>
          <w:p w14:paraId="3E41E1D2"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630" w:type="dxa"/>
          </w:tcPr>
          <w:p w14:paraId="724AF55D"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5"/>
                <w:sz w:val="16"/>
                <w:szCs w:val="16"/>
              </w:rPr>
              <w:t>10</w:t>
            </w:r>
          </w:p>
        </w:tc>
        <w:tc>
          <w:tcPr>
            <w:tcW w:w="630" w:type="dxa"/>
          </w:tcPr>
          <w:p w14:paraId="40B3EDB1"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0</w:t>
            </w:r>
          </w:p>
        </w:tc>
        <w:tc>
          <w:tcPr>
            <w:tcW w:w="630" w:type="dxa"/>
          </w:tcPr>
          <w:p w14:paraId="476DE549"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0</w:t>
            </w:r>
          </w:p>
        </w:tc>
        <w:tc>
          <w:tcPr>
            <w:tcW w:w="632" w:type="dxa"/>
          </w:tcPr>
          <w:p w14:paraId="5E01ECAC" w14:textId="77777777" w:rsidR="00BD7803" w:rsidRPr="00F3795D" w:rsidRDefault="00BD7803" w:rsidP="00372EFD">
            <w:pPr>
              <w:pStyle w:val="TableParagraph"/>
              <w:ind w:right="-44"/>
              <w:jc w:val="center"/>
              <w:rPr>
                <w:bCs/>
                <w:color w:val="000000" w:themeColor="text1"/>
                <w:sz w:val="16"/>
                <w:szCs w:val="16"/>
              </w:rPr>
            </w:pPr>
            <w:r w:rsidRPr="00F3795D">
              <w:rPr>
                <w:bCs/>
                <w:color w:val="000000" w:themeColor="text1"/>
                <w:sz w:val="16"/>
                <w:szCs w:val="16"/>
              </w:rPr>
              <w:t>0</w:t>
            </w:r>
          </w:p>
        </w:tc>
      </w:tr>
      <w:tr w:rsidR="00473FF2" w:rsidRPr="00F3795D" w14:paraId="4CC52F03" w14:textId="77777777" w:rsidTr="00992153">
        <w:trPr>
          <w:trHeight w:val="20"/>
          <w:jc w:val="center"/>
        </w:trPr>
        <w:tc>
          <w:tcPr>
            <w:tcW w:w="444" w:type="dxa"/>
          </w:tcPr>
          <w:p w14:paraId="03B0C18B" w14:textId="77777777" w:rsidR="00BD7803" w:rsidRPr="00F3795D" w:rsidRDefault="00BD7803" w:rsidP="00372EFD">
            <w:pPr>
              <w:pStyle w:val="TableParagraph"/>
              <w:spacing w:before="29"/>
              <w:ind w:left="131" w:right="0"/>
              <w:jc w:val="left"/>
              <w:rPr>
                <w:bCs/>
                <w:color w:val="000000" w:themeColor="text1"/>
                <w:sz w:val="16"/>
                <w:szCs w:val="16"/>
              </w:rPr>
            </w:pPr>
            <w:r w:rsidRPr="00F3795D">
              <w:rPr>
                <w:bCs/>
                <w:color w:val="000000" w:themeColor="text1"/>
                <w:spacing w:val="-5"/>
                <w:sz w:val="16"/>
                <w:szCs w:val="16"/>
              </w:rPr>
              <w:t>10</w:t>
            </w:r>
          </w:p>
        </w:tc>
        <w:tc>
          <w:tcPr>
            <w:tcW w:w="1260" w:type="dxa"/>
          </w:tcPr>
          <w:p w14:paraId="2EFD9CA8" w14:textId="77777777" w:rsidR="00BD7803" w:rsidRPr="00F3795D" w:rsidRDefault="00BD7803" w:rsidP="00372EFD">
            <w:pPr>
              <w:pStyle w:val="TableParagraph"/>
              <w:ind w:left="23" w:right="0"/>
              <w:jc w:val="left"/>
              <w:rPr>
                <w:bCs/>
                <w:color w:val="000000" w:themeColor="text1"/>
                <w:sz w:val="16"/>
                <w:szCs w:val="16"/>
              </w:rPr>
            </w:pPr>
            <w:r w:rsidRPr="00F3795D">
              <w:rPr>
                <w:bCs/>
                <w:color w:val="000000" w:themeColor="text1"/>
                <w:spacing w:val="-2"/>
                <w:sz w:val="16"/>
                <w:szCs w:val="16"/>
              </w:rPr>
              <w:t>Jharkhand</w:t>
            </w:r>
          </w:p>
        </w:tc>
        <w:tc>
          <w:tcPr>
            <w:tcW w:w="720" w:type="dxa"/>
          </w:tcPr>
          <w:p w14:paraId="2005FF84" w14:textId="77777777" w:rsidR="00BD7803" w:rsidRPr="00F3795D" w:rsidRDefault="00BD7803" w:rsidP="00372EFD">
            <w:pPr>
              <w:pStyle w:val="TableParagraph"/>
              <w:ind w:right="6"/>
              <w:jc w:val="center"/>
              <w:rPr>
                <w:bCs/>
                <w:color w:val="000000" w:themeColor="text1"/>
                <w:sz w:val="16"/>
                <w:szCs w:val="16"/>
              </w:rPr>
            </w:pPr>
            <w:r w:rsidRPr="00F3795D">
              <w:rPr>
                <w:bCs/>
                <w:color w:val="000000" w:themeColor="text1"/>
                <w:spacing w:val="-2"/>
                <w:sz w:val="16"/>
                <w:szCs w:val="16"/>
              </w:rPr>
              <w:t>37133</w:t>
            </w:r>
          </w:p>
        </w:tc>
        <w:tc>
          <w:tcPr>
            <w:tcW w:w="720" w:type="dxa"/>
          </w:tcPr>
          <w:p w14:paraId="212835F5" w14:textId="77777777" w:rsidR="00BD7803" w:rsidRPr="00F3795D" w:rsidRDefault="00BD7803" w:rsidP="00372EFD">
            <w:pPr>
              <w:pStyle w:val="TableParagraph"/>
              <w:ind w:right="4"/>
              <w:jc w:val="center"/>
              <w:rPr>
                <w:bCs/>
                <w:color w:val="000000" w:themeColor="text1"/>
                <w:sz w:val="16"/>
                <w:szCs w:val="16"/>
              </w:rPr>
            </w:pPr>
            <w:r w:rsidRPr="00F3795D">
              <w:rPr>
                <w:bCs/>
                <w:color w:val="000000" w:themeColor="text1"/>
                <w:sz w:val="16"/>
                <w:szCs w:val="16"/>
              </w:rPr>
              <w:t>2</w:t>
            </w:r>
          </w:p>
        </w:tc>
        <w:tc>
          <w:tcPr>
            <w:tcW w:w="720" w:type="dxa"/>
          </w:tcPr>
          <w:p w14:paraId="193B88E9" w14:textId="77777777" w:rsidR="00BD7803" w:rsidRPr="00F3795D" w:rsidRDefault="00BD7803" w:rsidP="00372EFD">
            <w:pPr>
              <w:pStyle w:val="TableParagraph"/>
              <w:ind w:right="1"/>
              <w:jc w:val="center"/>
              <w:rPr>
                <w:bCs/>
                <w:color w:val="000000" w:themeColor="text1"/>
                <w:sz w:val="16"/>
                <w:szCs w:val="16"/>
              </w:rPr>
            </w:pPr>
            <w:r w:rsidRPr="00F3795D">
              <w:rPr>
                <w:bCs/>
                <w:color w:val="000000" w:themeColor="text1"/>
                <w:spacing w:val="-2"/>
                <w:sz w:val="16"/>
                <w:szCs w:val="16"/>
              </w:rPr>
              <w:t>16653</w:t>
            </w:r>
          </w:p>
        </w:tc>
        <w:tc>
          <w:tcPr>
            <w:tcW w:w="630" w:type="dxa"/>
          </w:tcPr>
          <w:p w14:paraId="1C00236B" w14:textId="77777777" w:rsidR="00BD7803" w:rsidRPr="00F3795D" w:rsidRDefault="00BD7803" w:rsidP="00372EFD">
            <w:pPr>
              <w:pStyle w:val="TableParagraph"/>
              <w:ind w:right="0"/>
              <w:jc w:val="center"/>
              <w:rPr>
                <w:bCs/>
                <w:color w:val="000000" w:themeColor="text1"/>
                <w:sz w:val="16"/>
                <w:szCs w:val="16"/>
              </w:rPr>
            </w:pPr>
            <w:r w:rsidRPr="00F3795D">
              <w:rPr>
                <w:bCs/>
                <w:color w:val="000000" w:themeColor="text1"/>
                <w:sz w:val="16"/>
                <w:szCs w:val="16"/>
              </w:rPr>
              <w:t>8</w:t>
            </w:r>
          </w:p>
        </w:tc>
        <w:tc>
          <w:tcPr>
            <w:tcW w:w="810" w:type="dxa"/>
          </w:tcPr>
          <w:p w14:paraId="700AF976"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2"/>
                <w:sz w:val="16"/>
                <w:szCs w:val="16"/>
              </w:rPr>
              <w:t>14198</w:t>
            </w:r>
          </w:p>
        </w:tc>
        <w:tc>
          <w:tcPr>
            <w:tcW w:w="541" w:type="dxa"/>
          </w:tcPr>
          <w:p w14:paraId="7011117C"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630" w:type="dxa"/>
          </w:tcPr>
          <w:p w14:paraId="6A257411"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2"/>
                <w:sz w:val="16"/>
                <w:szCs w:val="16"/>
              </w:rPr>
              <w:t>19129</w:t>
            </w:r>
          </w:p>
        </w:tc>
        <w:tc>
          <w:tcPr>
            <w:tcW w:w="630" w:type="dxa"/>
          </w:tcPr>
          <w:p w14:paraId="39E2976D"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4</w:t>
            </w:r>
          </w:p>
        </w:tc>
        <w:tc>
          <w:tcPr>
            <w:tcW w:w="630" w:type="dxa"/>
          </w:tcPr>
          <w:p w14:paraId="30CFE872"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pacing w:val="-4"/>
                <w:sz w:val="16"/>
                <w:szCs w:val="16"/>
              </w:rPr>
              <w:t>2153</w:t>
            </w:r>
          </w:p>
        </w:tc>
        <w:tc>
          <w:tcPr>
            <w:tcW w:w="632" w:type="dxa"/>
          </w:tcPr>
          <w:p w14:paraId="331521F9" w14:textId="77777777" w:rsidR="00BD7803" w:rsidRPr="00F3795D" w:rsidRDefault="00BD7803" w:rsidP="00372EFD">
            <w:pPr>
              <w:pStyle w:val="TableParagraph"/>
              <w:ind w:right="-44"/>
              <w:jc w:val="center"/>
              <w:rPr>
                <w:bCs/>
                <w:color w:val="000000" w:themeColor="text1"/>
                <w:sz w:val="16"/>
                <w:szCs w:val="16"/>
              </w:rPr>
            </w:pPr>
            <w:r w:rsidRPr="00F3795D">
              <w:rPr>
                <w:bCs/>
                <w:color w:val="000000" w:themeColor="text1"/>
                <w:sz w:val="16"/>
                <w:szCs w:val="16"/>
              </w:rPr>
              <w:t>0</w:t>
            </w:r>
          </w:p>
        </w:tc>
      </w:tr>
      <w:tr w:rsidR="00473FF2" w:rsidRPr="00F3795D" w14:paraId="02F5816C" w14:textId="77777777" w:rsidTr="00992153">
        <w:trPr>
          <w:trHeight w:val="20"/>
          <w:jc w:val="center"/>
        </w:trPr>
        <w:tc>
          <w:tcPr>
            <w:tcW w:w="444" w:type="dxa"/>
          </w:tcPr>
          <w:p w14:paraId="43A972F6" w14:textId="77777777" w:rsidR="00BD7803" w:rsidRPr="00F3795D" w:rsidRDefault="00BD7803" w:rsidP="00372EFD">
            <w:pPr>
              <w:pStyle w:val="TableParagraph"/>
              <w:spacing w:before="29"/>
              <w:ind w:left="131" w:right="0"/>
              <w:jc w:val="left"/>
              <w:rPr>
                <w:bCs/>
                <w:color w:val="000000" w:themeColor="text1"/>
                <w:sz w:val="16"/>
                <w:szCs w:val="16"/>
              </w:rPr>
            </w:pPr>
            <w:r w:rsidRPr="00F3795D">
              <w:rPr>
                <w:bCs/>
                <w:color w:val="000000" w:themeColor="text1"/>
                <w:spacing w:val="-5"/>
                <w:sz w:val="16"/>
                <w:szCs w:val="16"/>
              </w:rPr>
              <w:t>11</w:t>
            </w:r>
          </w:p>
        </w:tc>
        <w:tc>
          <w:tcPr>
            <w:tcW w:w="1260" w:type="dxa"/>
          </w:tcPr>
          <w:p w14:paraId="56AC1E48" w14:textId="77777777" w:rsidR="00BD7803" w:rsidRPr="00F3795D" w:rsidRDefault="00BD7803" w:rsidP="00372EFD">
            <w:pPr>
              <w:pStyle w:val="TableParagraph"/>
              <w:ind w:left="24" w:right="0"/>
              <w:jc w:val="left"/>
              <w:rPr>
                <w:bCs/>
                <w:color w:val="000000" w:themeColor="text1"/>
                <w:sz w:val="16"/>
                <w:szCs w:val="16"/>
              </w:rPr>
            </w:pPr>
            <w:r w:rsidRPr="00F3795D">
              <w:rPr>
                <w:bCs/>
                <w:color w:val="000000" w:themeColor="text1"/>
                <w:spacing w:val="-2"/>
                <w:sz w:val="16"/>
                <w:szCs w:val="16"/>
              </w:rPr>
              <w:t>Karnataka</w:t>
            </w:r>
          </w:p>
        </w:tc>
        <w:tc>
          <w:tcPr>
            <w:tcW w:w="720" w:type="dxa"/>
          </w:tcPr>
          <w:p w14:paraId="7A4F9EBF" w14:textId="77777777" w:rsidR="00BD7803" w:rsidRPr="00F3795D" w:rsidRDefault="00BD7803" w:rsidP="00372EFD">
            <w:pPr>
              <w:pStyle w:val="TableParagraph"/>
              <w:ind w:right="6"/>
              <w:jc w:val="center"/>
              <w:rPr>
                <w:bCs/>
                <w:color w:val="000000" w:themeColor="text1"/>
                <w:sz w:val="16"/>
                <w:szCs w:val="16"/>
              </w:rPr>
            </w:pPr>
            <w:r w:rsidRPr="00F3795D">
              <w:rPr>
                <w:bCs/>
                <w:color w:val="000000" w:themeColor="text1"/>
                <w:spacing w:val="-4"/>
                <w:sz w:val="16"/>
                <w:szCs w:val="16"/>
              </w:rPr>
              <w:t>3499</w:t>
            </w:r>
          </w:p>
        </w:tc>
        <w:tc>
          <w:tcPr>
            <w:tcW w:w="720" w:type="dxa"/>
          </w:tcPr>
          <w:p w14:paraId="5B8A11BA" w14:textId="77777777" w:rsidR="00BD7803" w:rsidRPr="00F3795D" w:rsidRDefault="00BD7803" w:rsidP="00372EFD">
            <w:pPr>
              <w:pStyle w:val="TableParagraph"/>
              <w:ind w:right="4"/>
              <w:jc w:val="center"/>
              <w:rPr>
                <w:bCs/>
                <w:color w:val="000000" w:themeColor="text1"/>
                <w:sz w:val="16"/>
                <w:szCs w:val="16"/>
              </w:rPr>
            </w:pPr>
            <w:r w:rsidRPr="00F3795D">
              <w:rPr>
                <w:bCs/>
                <w:color w:val="000000" w:themeColor="text1"/>
                <w:sz w:val="16"/>
                <w:szCs w:val="16"/>
              </w:rPr>
              <w:t>0</w:t>
            </w:r>
          </w:p>
        </w:tc>
        <w:tc>
          <w:tcPr>
            <w:tcW w:w="720" w:type="dxa"/>
          </w:tcPr>
          <w:p w14:paraId="028E4D98" w14:textId="77777777" w:rsidR="00BD7803" w:rsidRPr="00F3795D" w:rsidRDefault="00BD7803" w:rsidP="00372EFD">
            <w:pPr>
              <w:pStyle w:val="TableParagraph"/>
              <w:ind w:right="1"/>
              <w:jc w:val="center"/>
              <w:rPr>
                <w:bCs/>
                <w:color w:val="000000" w:themeColor="text1"/>
                <w:sz w:val="16"/>
                <w:szCs w:val="16"/>
              </w:rPr>
            </w:pPr>
            <w:r w:rsidRPr="00F3795D">
              <w:rPr>
                <w:bCs/>
                <w:color w:val="000000" w:themeColor="text1"/>
                <w:spacing w:val="-4"/>
                <w:sz w:val="16"/>
                <w:szCs w:val="16"/>
              </w:rPr>
              <w:t>1701</w:t>
            </w:r>
          </w:p>
        </w:tc>
        <w:tc>
          <w:tcPr>
            <w:tcW w:w="630" w:type="dxa"/>
          </w:tcPr>
          <w:p w14:paraId="28437A4A"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1</w:t>
            </w:r>
          </w:p>
        </w:tc>
        <w:tc>
          <w:tcPr>
            <w:tcW w:w="810" w:type="dxa"/>
          </w:tcPr>
          <w:p w14:paraId="73374B03"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5"/>
                <w:sz w:val="16"/>
                <w:szCs w:val="16"/>
              </w:rPr>
              <w:t>913</w:t>
            </w:r>
          </w:p>
        </w:tc>
        <w:tc>
          <w:tcPr>
            <w:tcW w:w="541" w:type="dxa"/>
          </w:tcPr>
          <w:p w14:paraId="2B459838"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2</w:t>
            </w:r>
          </w:p>
        </w:tc>
        <w:tc>
          <w:tcPr>
            <w:tcW w:w="630" w:type="dxa"/>
          </w:tcPr>
          <w:p w14:paraId="596ED6AE"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5"/>
                <w:sz w:val="16"/>
                <w:szCs w:val="16"/>
              </w:rPr>
              <w:t>279</w:t>
            </w:r>
          </w:p>
        </w:tc>
        <w:tc>
          <w:tcPr>
            <w:tcW w:w="630" w:type="dxa"/>
          </w:tcPr>
          <w:p w14:paraId="0C2EB265"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0</w:t>
            </w:r>
          </w:p>
        </w:tc>
        <w:tc>
          <w:tcPr>
            <w:tcW w:w="630" w:type="dxa"/>
          </w:tcPr>
          <w:p w14:paraId="7168FC5D"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pacing w:val="-5"/>
                <w:sz w:val="16"/>
                <w:szCs w:val="16"/>
              </w:rPr>
              <w:t>17</w:t>
            </w:r>
          </w:p>
        </w:tc>
        <w:tc>
          <w:tcPr>
            <w:tcW w:w="632" w:type="dxa"/>
          </w:tcPr>
          <w:p w14:paraId="63A66ECC" w14:textId="77777777" w:rsidR="00BD7803" w:rsidRPr="00F3795D" w:rsidRDefault="00BD7803" w:rsidP="00372EFD">
            <w:pPr>
              <w:pStyle w:val="TableParagraph"/>
              <w:ind w:right="-44"/>
              <w:jc w:val="center"/>
              <w:rPr>
                <w:bCs/>
                <w:color w:val="000000" w:themeColor="text1"/>
                <w:sz w:val="16"/>
                <w:szCs w:val="16"/>
              </w:rPr>
            </w:pPr>
            <w:r w:rsidRPr="00F3795D">
              <w:rPr>
                <w:bCs/>
                <w:color w:val="000000" w:themeColor="text1"/>
                <w:sz w:val="16"/>
                <w:szCs w:val="16"/>
              </w:rPr>
              <w:t>0</w:t>
            </w:r>
          </w:p>
        </w:tc>
      </w:tr>
      <w:tr w:rsidR="00473FF2" w:rsidRPr="00F3795D" w14:paraId="263A6A3C" w14:textId="77777777" w:rsidTr="00992153">
        <w:trPr>
          <w:trHeight w:val="20"/>
          <w:jc w:val="center"/>
        </w:trPr>
        <w:tc>
          <w:tcPr>
            <w:tcW w:w="444" w:type="dxa"/>
          </w:tcPr>
          <w:p w14:paraId="1F72C2A2" w14:textId="77777777" w:rsidR="00BD7803" w:rsidRPr="00F3795D" w:rsidRDefault="00BD7803" w:rsidP="00372EFD">
            <w:pPr>
              <w:pStyle w:val="TableParagraph"/>
              <w:spacing w:before="29"/>
              <w:ind w:left="131" w:right="0"/>
              <w:jc w:val="left"/>
              <w:rPr>
                <w:bCs/>
                <w:color w:val="000000" w:themeColor="text1"/>
                <w:sz w:val="16"/>
                <w:szCs w:val="16"/>
              </w:rPr>
            </w:pPr>
            <w:r w:rsidRPr="00F3795D">
              <w:rPr>
                <w:bCs/>
                <w:color w:val="000000" w:themeColor="text1"/>
                <w:spacing w:val="-5"/>
                <w:sz w:val="16"/>
                <w:szCs w:val="16"/>
              </w:rPr>
              <w:t>12</w:t>
            </w:r>
          </w:p>
        </w:tc>
        <w:tc>
          <w:tcPr>
            <w:tcW w:w="1260" w:type="dxa"/>
          </w:tcPr>
          <w:p w14:paraId="10A195C0" w14:textId="77777777" w:rsidR="00BD7803" w:rsidRPr="00F3795D" w:rsidRDefault="00BD7803" w:rsidP="00372EFD">
            <w:pPr>
              <w:pStyle w:val="TableParagraph"/>
              <w:ind w:left="24" w:right="0"/>
              <w:jc w:val="left"/>
              <w:rPr>
                <w:bCs/>
                <w:color w:val="000000" w:themeColor="text1"/>
                <w:sz w:val="16"/>
                <w:szCs w:val="16"/>
              </w:rPr>
            </w:pPr>
            <w:r w:rsidRPr="00F3795D">
              <w:rPr>
                <w:bCs/>
                <w:color w:val="000000" w:themeColor="text1"/>
                <w:spacing w:val="-2"/>
                <w:sz w:val="16"/>
                <w:szCs w:val="16"/>
              </w:rPr>
              <w:t>Kerala</w:t>
            </w:r>
          </w:p>
        </w:tc>
        <w:tc>
          <w:tcPr>
            <w:tcW w:w="720" w:type="dxa"/>
          </w:tcPr>
          <w:p w14:paraId="2845DA5D" w14:textId="77777777" w:rsidR="00BD7803" w:rsidRPr="00F3795D" w:rsidRDefault="00BD7803" w:rsidP="00372EFD">
            <w:pPr>
              <w:pStyle w:val="TableParagraph"/>
              <w:ind w:right="6"/>
              <w:jc w:val="center"/>
              <w:rPr>
                <w:bCs/>
                <w:color w:val="000000" w:themeColor="text1"/>
                <w:sz w:val="16"/>
                <w:szCs w:val="16"/>
              </w:rPr>
            </w:pPr>
            <w:r w:rsidRPr="00F3795D">
              <w:rPr>
                <w:bCs/>
                <w:color w:val="000000" w:themeColor="text1"/>
                <w:spacing w:val="-5"/>
                <w:sz w:val="16"/>
                <w:szCs w:val="16"/>
              </w:rPr>
              <w:t>656</w:t>
            </w:r>
          </w:p>
        </w:tc>
        <w:tc>
          <w:tcPr>
            <w:tcW w:w="720" w:type="dxa"/>
          </w:tcPr>
          <w:p w14:paraId="1AD6D81C" w14:textId="77777777" w:rsidR="00BD7803" w:rsidRPr="00F3795D" w:rsidRDefault="00BD7803" w:rsidP="00372EFD">
            <w:pPr>
              <w:pStyle w:val="TableParagraph"/>
              <w:ind w:right="4"/>
              <w:jc w:val="center"/>
              <w:rPr>
                <w:bCs/>
                <w:color w:val="000000" w:themeColor="text1"/>
                <w:sz w:val="16"/>
                <w:szCs w:val="16"/>
              </w:rPr>
            </w:pPr>
            <w:r w:rsidRPr="00F3795D">
              <w:rPr>
                <w:bCs/>
                <w:color w:val="000000" w:themeColor="text1"/>
                <w:sz w:val="16"/>
                <w:szCs w:val="16"/>
              </w:rPr>
              <w:t>0</w:t>
            </w:r>
          </w:p>
        </w:tc>
        <w:tc>
          <w:tcPr>
            <w:tcW w:w="720" w:type="dxa"/>
          </w:tcPr>
          <w:p w14:paraId="4E652D53" w14:textId="77777777" w:rsidR="00BD7803" w:rsidRPr="00F3795D" w:rsidRDefault="00BD7803" w:rsidP="00372EFD">
            <w:pPr>
              <w:pStyle w:val="TableParagraph"/>
              <w:ind w:right="2"/>
              <w:jc w:val="center"/>
              <w:rPr>
                <w:bCs/>
                <w:color w:val="000000" w:themeColor="text1"/>
                <w:sz w:val="16"/>
                <w:szCs w:val="16"/>
              </w:rPr>
            </w:pPr>
            <w:r w:rsidRPr="00F3795D">
              <w:rPr>
                <w:bCs/>
                <w:color w:val="000000" w:themeColor="text1"/>
                <w:spacing w:val="-5"/>
                <w:sz w:val="16"/>
                <w:szCs w:val="16"/>
              </w:rPr>
              <w:t>268</w:t>
            </w:r>
          </w:p>
        </w:tc>
        <w:tc>
          <w:tcPr>
            <w:tcW w:w="630" w:type="dxa"/>
          </w:tcPr>
          <w:p w14:paraId="1A88A59E"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1</w:t>
            </w:r>
          </w:p>
        </w:tc>
        <w:tc>
          <w:tcPr>
            <w:tcW w:w="810" w:type="dxa"/>
          </w:tcPr>
          <w:p w14:paraId="3094867A"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5"/>
                <w:sz w:val="16"/>
                <w:szCs w:val="16"/>
              </w:rPr>
              <w:t>309</w:t>
            </w:r>
          </w:p>
        </w:tc>
        <w:tc>
          <w:tcPr>
            <w:tcW w:w="541" w:type="dxa"/>
          </w:tcPr>
          <w:p w14:paraId="4CF7D1A8"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1</w:t>
            </w:r>
          </w:p>
        </w:tc>
        <w:tc>
          <w:tcPr>
            <w:tcW w:w="630" w:type="dxa"/>
          </w:tcPr>
          <w:p w14:paraId="722C87E0"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5"/>
                <w:sz w:val="16"/>
                <w:szCs w:val="16"/>
              </w:rPr>
              <w:t>439</w:t>
            </w:r>
          </w:p>
        </w:tc>
        <w:tc>
          <w:tcPr>
            <w:tcW w:w="630" w:type="dxa"/>
          </w:tcPr>
          <w:p w14:paraId="31659875"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0</w:t>
            </w:r>
          </w:p>
        </w:tc>
        <w:tc>
          <w:tcPr>
            <w:tcW w:w="630" w:type="dxa"/>
          </w:tcPr>
          <w:p w14:paraId="28810118"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pacing w:val="-5"/>
                <w:sz w:val="16"/>
                <w:szCs w:val="16"/>
              </w:rPr>
              <w:t>61</w:t>
            </w:r>
          </w:p>
        </w:tc>
        <w:tc>
          <w:tcPr>
            <w:tcW w:w="632" w:type="dxa"/>
          </w:tcPr>
          <w:p w14:paraId="7813AF56" w14:textId="77777777" w:rsidR="00BD7803" w:rsidRPr="00F3795D" w:rsidRDefault="00BD7803" w:rsidP="00372EFD">
            <w:pPr>
              <w:pStyle w:val="TableParagraph"/>
              <w:ind w:right="-44"/>
              <w:jc w:val="center"/>
              <w:rPr>
                <w:bCs/>
                <w:color w:val="000000" w:themeColor="text1"/>
                <w:sz w:val="16"/>
                <w:szCs w:val="16"/>
              </w:rPr>
            </w:pPr>
            <w:r w:rsidRPr="00F3795D">
              <w:rPr>
                <w:bCs/>
                <w:color w:val="000000" w:themeColor="text1"/>
                <w:sz w:val="16"/>
                <w:szCs w:val="16"/>
              </w:rPr>
              <w:t>0</w:t>
            </w:r>
          </w:p>
        </w:tc>
      </w:tr>
      <w:tr w:rsidR="00473FF2" w:rsidRPr="00F3795D" w14:paraId="235CD1B8" w14:textId="77777777" w:rsidTr="00992153">
        <w:trPr>
          <w:trHeight w:val="20"/>
          <w:jc w:val="center"/>
        </w:trPr>
        <w:tc>
          <w:tcPr>
            <w:tcW w:w="444" w:type="dxa"/>
          </w:tcPr>
          <w:p w14:paraId="2A0A3A2B" w14:textId="77777777" w:rsidR="00BD7803" w:rsidRPr="00F3795D" w:rsidRDefault="00BD7803" w:rsidP="00372EFD">
            <w:pPr>
              <w:pStyle w:val="TableParagraph"/>
              <w:spacing w:before="29"/>
              <w:ind w:left="131" w:right="0"/>
              <w:jc w:val="left"/>
              <w:rPr>
                <w:bCs/>
                <w:color w:val="000000" w:themeColor="text1"/>
                <w:sz w:val="16"/>
                <w:szCs w:val="16"/>
              </w:rPr>
            </w:pPr>
            <w:r w:rsidRPr="00F3795D">
              <w:rPr>
                <w:bCs/>
                <w:color w:val="000000" w:themeColor="text1"/>
                <w:spacing w:val="-5"/>
                <w:sz w:val="16"/>
                <w:szCs w:val="16"/>
              </w:rPr>
              <w:t>13</w:t>
            </w:r>
          </w:p>
        </w:tc>
        <w:tc>
          <w:tcPr>
            <w:tcW w:w="1260" w:type="dxa"/>
          </w:tcPr>
          <w:p w14:paraId="65664A34" w14:textId="77777777" w:rsidR="00BD7803" w:rsidRPr="00F3795D" w:rsidRDefault="00BD7803" w:rsidP="00372EFD">
            <w:pPr>
              <w:pStyle w:val="TableParagraph"/>
              <w:ind w:left="23" w:right="0"/>
              <w:jc w:val="left"/>
              <w:rPr>
                <w:bCs/>
                <w:color w:val="000000" w:themeColor="text1"/>
                <w:sz w:val="16"/>
                <w:szCs w:val="16"/>
              </w:rPr>
            </w:pPr>
            <w:r w:rsidRPr="00F3795D">
              <w:rPr>
                <w:bCs/>
                <w:color w:val="000000" w:themeColor="text1"/>
                <w:sz w:val="16"/>
                <w:szCs w:val="16"/>
              </w:rPr>
              <w:t>Madhya</w:t>
            </w:r>
            <w:r w:rsidRPr="00F3795D">
              <w:rPr>
                <w:bCs/>
                <w:color w:val="000000" w:themeColor="text1"/>
                <w:spacing w:val="-6"/>
                <w:sz w:val="16"/>
                <w:szCs w:val="16"/>
              </w:rPr>
              <w:t xml:space="preserve"> </w:t>
            </w:r>
            <w:r w:rsidRPr="00F3795D">
              <w:rPr>
                <w:bCs/>
                <w:color w:val="000000" w:themeColor="text1"/>
                <w:spacing w:val="-2"/>
                <w:sz w:val="16"/>
                <w:szCs w:val="16"/>
              </w:rPr>
              <w:t>Pradesh</w:t>
            </w:r>
          </w:p>
        </w:tc>
        <w:tc>
          <w:tcPr>
            <w:tcW w:w="720" w:type="dxa"/>
          </w:tcPr>
          <w:p w14:paraId="5A8DBE9F" w14:textId="77777777" w:rsidR="00BD7803" w:rsidRPr="00F3795D" w:rsidRDefault="00BD7803" w:rsidP="00372EFD">
            <w:pPr>
              <w:pStyle w:val="TableParagraph"/>
              <w:ind w:right="6"/>
              <w:jc w:val="center"/>
              <w:rPr>
                <w:bCs/>
                <w:color w:val="000000" w:themeColor="text1"/>
                <w:sz w:val="16"/>
                <w:szCs w:val="16"/>
              </w:rPr>
            </w:pPr>
            <w:r w:rsidRPr="00F3795D">
              <w:rPr>
                <w:bCs/>
                <w:color w:val="000000" w:themeColor="text1"/>
                <w:spacing w:val="-2"/>
                <w:sz w:val="16"/>
                <w:szCs w:val="16"/>
              </w:rPr>
              <w:t>14147</w:t>
            </w:r>
          </w:p>
        </w:tc>
        <w:tc>
          <w:tcPr>
            <w:tcW w:w="720" w:type="dxa"/>
          </w:tcPr>
          <w:p w14:paraId="0AD6BACC" w14:textId="77777777" w:rsidR="00BD7803" w:rsidRPr="00F3795D" w:rsidRDefault="00BD7803" w:rsidP="00372EFD">
            <w:pPr>
              <w:pStyle w:val="TableParagraph"/>
              <w:ind w:right="4"/>
              <w:jc w:val="center"/>
              <w:rPr>
                <w:bCs/>
                <w:color w:val="000000" w:themeColor="text1"/>
                <w:sz w:val="16"/>
                <w:szCs w:val="16"/>
              </w:rPr>
            </w:pPr>
            <w:r w:rsidRPr="00F3795D">
              <w:rPr>
                <w:bCs/>
                <w:color w:val="000000" w:themeColor="text1"/>
                <w:sz w:val="16"/>
                <w:szCs w:val="16"/>
              </w:rPr>
              <w:t>3</w:t>
            </w:r>
          </w:p>
        </w:tc>
        <w:tc>
          <w:tcPr>
            <w:tcW w:w="720" w:type="dxa"/>
          </w:tcPr>
          <w:p w14:paraId="374DF84B" w14:textId="77777777" w:rsidR="00BD7803" w:rsidRPr="00F3795D" w:rsidRDefault="00BD7803" w:rsidP="00372EFD">
            <w:pPr>
              <w:pStyle w:val="TableParagraph"/>
              <w:ind w:right="1"/>
              <w:jc w:val="center"/>
              <w:rPr>
                <w:bCs/>
                <w:color w:val="000000" w:themeColor="text1"/>
                <w:sz w:val="16"/>
                <w:szCs w:val="16"/>
              </w:rPr>
            </w:pPr>
            <w:r w:rsidRPr="00F3795D">
              <w:rPr>
                <w:bCs/>
                <w:color w:val="000000" w:themeColor="text1"/>
                <w:spacing w:val="-4"/>
                <w:sz w:val="16"/>
                <w:szCs w:val="16"/>
              </w:rPr>
              <w:t>6760</w:t>
            </w:r>
          </w:p>
        </w:tc>
        <w:tc>
          <w:tcPr>
            <w:tcW w:w="630" w:type="dxa"/>
          </w:tcPr>
          <w:p w14:paraId="453B2126"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1</w:t>
            </w:r>
          </w:p>
        </w:tc>
        <w:tc>
          <w:tcPr>
            <w:tcW w:w="810" w:type="dxa"/>
          </w:tcPr>
          <w:p w14:paraId="5350D37C"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4"/>
                <w:sz w:val="16"/>
                <w:szCs w:val="16"/>
              </w:rPr>
              <w:t>3181</w:t>
            </w:r>
          </w:p>
        </w:tc>
        <w:tc>
          <w:tcPr>
            <w:tcW w:w="541" w:type="dxa"/>
          </w:tcPr>
          <w:p w14:paraId="5ECE1150"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2</w:t>
            </w:r>
          </w:p>
        </w:tc>
        <w:tc>
          <w:tcPr>
            <w:tcW w:w="630" w:type="dxa"/>
          </w:tcPr>
          <w:p w14:paraId="686217C6"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4"/>
                <w:sz w:val="16"/>
                <w:szCs w:val="16"/>
              </w:rPr>
              <w:t>3719</w:t>
            </w:r>
          </w:p>
        </w:tc>
        <w:tc>
          <w:tcPr>
            <w:tcW w:w="630" w:type="dxa"/>
          </w:tcPr>
          <w:p w14:paraId="1636E4AB"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0</w:t>
            </w:r>
          </w:p>
        </w:tc>
        <w:tc>
          <w:tcPr>
            <w:tcW w:w="630" w:type="dxa"/>
          </w:tcPr>
          <w:p w14:paraId="3D24FADD"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pacing w:val="-5"/>
                <w:sz w:val="16"/>
                <w:szCs w:val="16"/>
              </w:rPr>
              <w:t>315</w:t>
            </w:r>
          </w:p>
        </w:tc>
        <w:tc>
          <w:tcPr>
            <w:tcW w:w="632" w:type="dxa"/>
          </w:tcPr>
          <w:p w14:paraId="4EB8D1FE" w14:textId="77777777" w:rsidR="00BD7803" w:rsidRPr="00F3795D" w:rsidRDefault="00BD7803" w:rsidP="00372EFD">
            <w:pPr>
              <w:pStyle w:val="TableParagraph"/>
              <w:ind w:right="-44"/>
              <w:jc w:val="center"/>
              <w:rPr>
                <w:bCs/>
                <w:color w:val="000000" w:themeColor="text1"/>
                <w:sz w:val="16"/>
                <w:szCs w:val="16"/>
              </w:rPr>
            </w:pPr>
            <w:r w:rsidRPr="00F3795D">
              <w:rPr>
                <w:bCs/>
                <w:color w:val="000000" w:themeColor="text1"/>
                <w:sz w:val="16"/>
                <w:szCs w:val="16"/>
              </w:rPr>
              <w:t>0</w:t>
            </w:r>
          </w:p>
        </w:tc>
      </w:tr>
      <w:tr w:rsidR="00473FF2" w:rsidRPr="00F3795D" w14:paraId="1D672DCB" w14:textId="77777777" w:rsidTr="00992153">
        <w:trPr>
          <w:trHeight w:val="20"/>
          <w:jc w:val="center"/>
        </w:trPr>
        <w:tc>
          <w:tcPr>
            <w:tcW w:w="444" w:type="dxa"/>
          </w:tcPr>
          <w:p w14:paraId="3AE64E85" w14:textId="77777777" w:rsidR="00BD7803" w:rsidRPr="00F3795D" w:rsidRDefault="00BD7803" w:rsidP="00372EFD">
            <w:pPr>
              <w:pStyle w:val="TableParagraph"/>
              <w:spacing w:before="29"/>
              <w:ind w:left="131" w:right="0"/>
              <w:jc w:val="left"/>
              <w:rPr>
                <w:bCs/>
                <w:color w:val="000000" w:themeColor="text1"/>
                <w:sz w:val="16"/>
                <w:szCs w:val="16"/>
              </w:rPr>
            </w:pPr>
            <w:r w:rsidRPr="00F3795D">
              <w:rPr>
                <w:bCs/>
                <w:color w:val="000000" w:themeColor="text1"/>
                <w:spacing w:val="-5"/>
                <w:sz w:val="16"/>
                <w:szCs w:val="16"/>
              </w:rPr>
              <w:t>14</w:t>
            </w:r>
          </w:p>
        </w:tc>
        <w:tc>
          <w:tcPr>
            <w:tcW w:w="1260" w:type="dxa"/>
          </w:tcPr>
          <w:p w14:paraId="305F1384" w14:textId="77777777" w:rsidR="00BD7803" w:rsidRPr="00F3795D" w:rsidRDefault="00BD7803" w:rsidP="00372EFD">
            <w:pPr>
              <w:pStyle w:val="TableParagraph"/>
              <w:ind w:left="23" w:right="0"/>
              <w:jc w:val="left"/>
              <w:rPr>
                <w:bCs/>
                <w:color w:val="000000" w:themeColor="text1"/>
                <w:sz w:val="16"/>
                <w:szCs w:val="16"/>
              </w:rPr>
            </w:pPr>
            <w:r w:rsidRPr="00F3795D">
              <w:rPr>
                <w:bCs/>
                <w:color w:val="000000" w:themeColor="text1"/>
                <w:spacing w:val="-2"/>
                <w:sz w:val="16"/>
                <w:szCs w:val="16"/>
              </w:rPr>
              <w:t>Maharashtra</w:t>
            </w:r>
          </w:p>
        </w:tc>
        <w:tc>
          <w:tcPr>
            <w:tcW w:w="720" w:type="dxa"/>
          </w:tcPr>
          <w:p w14:paraId="269005CF" w14:textId="77777777" w:rsidR="00BD7803" w:rsidRPr="00F3795D" w:rsidRDefault="00BD7803" w:rsidP="00372EFD">
            <w:pPr>
              <w:pStyle w:val="TableParagraph"/>
              <w:ind w:right="6"/>
              <w:jc w:val="center"/>
              <w:rPr>
                <w:bCs/>
                <w:color w:val="000000" w:themeColor="text1"/>
                <w:sz w:val="16"/>
                <w:szCs w:val="16"/>
              </w:rPr>
            </w:pPr>
            <w:r w:rsidRPr="00F3795D">
              <w:rPr>
                <w:bCs/>
                <w:color w:val="000000" w:themeColor="text1"/>
                <w:spacing w:val="-4"/>
                <w:sz w:val="16"/>
                <w:szCs w:val="16"/>
              </w:rPr>
              <w:t>8866</w:t>
            </w:r>
          </w:p>
        </w:tc>
        <w:tc>
          <w:tcPr>
            <w:tcW w:w="720" w:type="dxa"/>
          </w:tcPr>
          <w:p w14:paraId="7E3B9596" w14:textId="77777777" w:rsidR="00BD7803" w:rsidRPr="00F3795D" w:rsidRDefault="00BD7803" w:rsidP="00372EFD">
            <w:pPr>
              <w:pStyle w:val="TableParagraph"/>
              <w:ind w:right="4"/>
              <w:jc w:val="center"/>
              <w:rPr>
                <w:bCs/>
                <w:color w:val="000000" w:themeColor="text1"/>
                <w:sz w:val="16"/>
                <w:szCs w:val="16"/>
              </w:rPr>
            </w:pPr>
            <w:r w:rsidRPr="00F3795D">
              <w:rPr>
                <w:bCs/>
                <w:color w:val="000000" w:themeColor="text1"/>
                <w:sz w:val="16"/>
                <w:szCs w:val="16"/>
              </w:rPr>
              <w:t>7</w:t>
            </w:r>
          </w:p>
        </w:tc>
        <w:tc>
          <w:tcPr>
            <w:tcW w:w="720" w:type="dxa"/>
          </w:tcPr>
          <w:p w14:paraId="7E072365" w14:textId="77777777" w:rsidR="00BD7803" w:rsidRPr="00F3795D" w:rsidRDefault="00BD7803" w:rsidP="00372EFD">
            <w:pPr>
              <w:pStyle w:val="TableParagraph"/>
              <w:ind w:right="1"/>
              <w:jc w:val="center"/>
              <w:rPr>
                <w:bCs/>
                <w:color w:val="000000" w:themeColor="text1"/>
                <w:sz w:val="16"/>
                <w:szCs w:val="16"/>
              </w:rPr>
            </w:pPr>
            <w:r w:rsidRPr="00F3795D">
              <w:rPr>
                <w:bCs/>
                <w:color w:val="000000" w:themeColor="text1"/>
                <w:spacing w:val="-2"/>
                <w:sz w:val="16"/>
                <w:szCs w:val="16"/>
              </w:rPr>
              <w:t>15215</w:t>
            </w:r>
          </w:p>
        </w:tc>
        <w:tc>
          <w:tcPr>
            <w:tcW w:w="630" w:type="dxa"/>
          </w:tcPr>
          <w:p w14:paraId="72E5C416" w14:textId="77777777" w:rsidR="00BD7803" w:rsidRPr="00F3795D" w:rsidRDefault="00BD7803" w:rsidP="00372EFD">
            <w:pPr>
              <w:pStyle w:val="TableParagraph"/>
              <w:ind w:right="0"/>
              <w:jc w:val="center"/>
              <w:rPr>
                <w:bCs/>
                <w:color w:val="000000" w:themeColor="text1"/>
                <w:sz w:val="16"/>
                <w:szCs w:val="16"/>
              </w:rPr>
            </w:pPr>
            <w:r w:rsidRPr="00F3795D">
              <w:rPr>
                <w:bCs/>
                <w:color w:val="000000" w:themeColor="text1"/>
                <w:spacing w:val="-5"/>
                <w:sz w:val="16"/>
                <w:szCs w:val="16"/>
              </w:rPr>
              <w:t>12</w:t>
            </w:r>
          </w:p>
        </w:tc>
        <w:tc>
          <w:tcPr>
            <w:tcW w:w="810" w:type="dxa"/>
          </w:tcPr>
          <w:p w14:paraId="6EFB5490"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2"/>
                <w:sz w:val="16"/>
                <w:szCs w:val="16"/>
              </w:rPr>
              <w:t>19303</w:t>
            </w:r>
          </w:p>
        </w:tc>
        <w:tc>
          <w:tcPr>
            <w:tcW w:w="541" w:type="dxa"/>
          </w:tcPr>
          <w:p w14:paraId="3AE81A04"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5"/>
                <w:sz w:val="16"/>
                <w:szCs w:val="16"/>
              </w:rPr>
              <w:t>14</w:t>
            </w:r>
          </w:p>
        </w:tc>
        <w:tc>
          <w:tcPr>
            <w:tcW w:w="630" w:type="dxa"/>
          </w:tcPr>
          <w:p w14:paraId="6C286632"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2"/>
                <w:sz w:val="16"/>
                <w:szCs w:val="16"/>
              </w:rPr>
              <w:t>15437</w:t>
            </w:r>
          </w:p>
        </w:tc>
        <w:tc>
          <w:tcPr>
            <w:tcW w:w="630" w:type="dxa"/>
          </w:tcPr>
          <w:p w14:paraId="64E58446"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pacing w:val="-5"/>
                <w:sz w:val="16"/>
                <w:szCs w:val="16"/>
              </w:rPr>
              <w:t>25</w:t>
            </w:r>
          </w:p>
        </w:tc>
        <w:tc>
          <w:tcPr>
            <w:tcW w:w="630" w:type="dxa"/>
          </w:tcPr>
          <w:p w14:paraId="11215C5C"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pacing w:val="-4"/>
                <w:sz w:val="16"/>
                <w:szCs w:val="16"/>
              </w:rPr>
              <w:t>1487</w:t>
            </w:r>
          </w:p>
        </w:tc>
        <w:tc>
          <w:tcPr>
            <w:tcW w:w="632" w:type="dxa"/>
          </w:tcPr>
          <w:p w14:paraId="47E0FD6E" w14:textId="77777777" w:rsidR="00BD7803" w:rsidRPr="00F3795D" w:rsidRDefault="00BD7803" w:rsidP="00372EFD">
            <w:pPr>
              <w:pStyle w:val="TableParagraph"/>
              <w:ind w:right="-44"/>
              <w:jc w:val="center"/>
              <w:rPr>
                <w:bCs/>
                <w:color w:val="000000" w:themeColor="text1"/>
                <w:sz w:val="16"/>
                <w:szCs w:val="16"/>
              </w:rPr>
            </w:pPr>
            <w:r w:rsidRPr="00F3795D">
              <w:rPr>
                <w:bCs/>
                <w:color w:val="000000" w:themeColor="text1"/>
                <w:sz w:val="16"/>
                <w:szCs w:val="16"/>
              </w:rPr>
              <w:t>0</w:t>
            </w:r>
          </w:p>
        </w:tc>
      </w:tr>
      <w:tr w:rsidR="00473FF2" w:rsidRPr="00F3795D" w14:paraId="20B6658C" w14:textId="77777777" w:rsidTr="00992153">
        <w:trPr>
          <w:trHeight w:val="20"/>
          <w:jc w:val="center"/>
        </w:trPr>
        <w:tc>
          <w:tcPr>
            <w:tcW w:w="444" w:type="dxa"/>
          </w:tcPr>
          <w:p w14:paraId="1A548D81" w14:textId="77777777" w:rsidR="00BD7803" w:rsidRPr="00F3795D" w:rsidRDefault="00BD7803" w:rsidP="00372EFD">
            <w:pPr>
              <w:pStyle w:val="TableParagraph"/>
              <w:spacing w:before="29"/>
              <w:ind w:left="131" w:right="0"/>
              <w:jc w:val="left"/>
              <w:rPr>
                <w:bCs/>
                <w:color w:val="000000" w:themeColor="text1"/>
                <w:sz w:val="16"/>
                <w:szCs w:val="16"/>
              </w:rPr>
            </w:pPr>
            <w:r w:rsidRPr="00F3795D">
              <w:rPr>
                <w:bCs/>
                <w:color w:val="000000" w:themeColor="text1"/>
                <w:spacing w:val="-5"/>
                <w:sz w:val="16"/>
                <w:szCs w:val="16"/>
              </w:rPr>
              <w:t>15</w:t>
            </w:r>
          </w:p>
        </w:tc>
        <w:tc>
          <w:tcPr>
            <w:tcW w:w="1260" w:type="dxa"/>
          </w:tcPr>
          <w:p w14:paraId="38C54FA7" w14:textId="77777777" w:rsidR="00BD7803" w:rsidRPr="00F3795D" w:rsidRDefault="00BD7803" w:rsidP="00372EFD">
            <w:pPr>
              <w:pStyle w:val="TableParagraph"/>
              <w:ind w:left="24" w:right="0"/>
              <w:jc w:val="left"/>
              <w:rPr>
                <w:bCs/>
                <w:color w:val="000000" w:themeColor="text1"/>
                <w:sz w:val="16"/>
                <w:szCs w:val="16"/>
              </w:rPr>
            </w:pPr>
            <w:r w:rsidRPr="00F3795D">
              <w:rPr>
                <w:bCs/>
                <w:color w:val="000000" w:themeColor="text1"/>
                <w:spacing w:val="-2"/>
                <w:sz w:val="16"/>
                <w:szCs w:val="16"/>
              </w:rPr>
              <w:t>Manipur</w:t>
            </w:r>
          </w:p>
        </w:tc>
        <w:tc>
          <w:tcPr>
            <w:tcW w:w="720" w:type="dxa"/>
          </w:tcPr>
          <w:p w14:paraId="4364164D" w14:textId="77777777" w:rsidR="00BD7803" w:rsidRPr="00F3795D" w:rsidRDefault="00BD7803" w:rsidP="00372EFD">
            <w:pPr>
              <w:pStyle w:val="TableParagraph"/>
              <w:ind w:right="6"/>
              <w:jc w:val="center"/>
              <w:rPr>
                <w:bCs/>
                <w:color w:val="000000" w:themeColor="text1"/>
                <w:sz w:val="16"/>
                <w:szCs w:val="16"/>
              </w:rPr>
            </w:pPr>
            <w:r w:rsidRPr="00F3795D">
              <w:rPr>
                <w:bCs/>
                <w:color w:val="000000" w:themeColor="text1"/>
                <w:spacing w:val="-5"/>
                <w:sz w:val="16"/>
                <w:szCs w:val="16"/>
              </w:rPr>
              <w:t>16</w:t>
            </w:r>
          </w:p>
        </w:tc>
        <w:tc>
          <w:tcPr>
            <w:tcW w:w="720" w:type="dxa"/>
          </w:tcPr>
          <w:p w14:paraId="71B85106" w14:textId="77777777" w:rsidR="00BD7803" w:rsidRPr="00F3795D" w:rsidRDefault="00BD7803" w:rsidP="00372EFD">
            <w:pPr>
              <w:pStyle w:val="TableParagraph"/>
              <w:ind w:right="4"/>
              <w:jc w:val="center"/>
              <w:rPr>
                <w:bCs/>
                <w:color w:val="000000" w:themeColor="text1"/>
                <w:sz w:val="16"/>
                <w:szCs w:val="16"/>
              </w:rPr>
            </w:pPr>
            <w:r w:rsidRPr="00F3795D">
              <w:rPr>
                <w:bCs/>
                <w:color w:val="000000" w:themeColor="text1"/>
                <w:sz w:val="16"/>
                <w:szCs w:val="16"/>
              </w:rPr>
              <w:t>0</w:t>
            </w:r>
          </w:p>
        </w:tc>
        <w:tc>
          <w:tcPr>
            <w:tcW w:w="720" w:type="dxa"/>
          </w:tcPr>
          <w:p w14:paraId="4C6341D4" w14:textId="77777777" w:rsidR="00BD7803" w:rsidRPr="00F3795D" w:rsidRDefault="00BD7803" w:rsidP="00372EFD">
            <w:pPr>
              <w:pStyle w:val="TableParagraph"/>
              <w:ind w:right="2"/>
              <w:jc w:val="center"/>
              <w:rPr>
                <w:bCs/>
                <w:color w:val="000000" w:themeColor="text1"/>
                <w:sz w:val="16"/>
                <w:szCs w:val="16"/>
              </w:rPr>
            </w:pPr>
            <w:r w:rsidRPr="00F3795D">
              <w:rPr>
                <w:bCs/>
                <w:color w:val="000000" w:themeColor="text1"/>
                <w:spacing w:val="-5"/>
                <w:sz w:val="16"/>
                <w:szCs w:val="16"/>
              </w:rPr>
              <w:t>36</w:t>
            </w:r>
          </w:p>
        </w:tc>
        <w:tc>
          <w:tcPr>
            <w:tcW w:w="630" w:type="dxa"/>
          </w:tcPr>
          <w:p w14:paraId="16E136FD"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2</w:t>
            </w:r>
          </w:p>
        </w:tc>
        <w:tc>
          <w:tcPr>
            <w:tcW w:w="810" w:type="dxa"/>
          </w:tcPr>
          <w:p w14:paraId="056157EF"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5"/>
                <w:sz w:val="16"/>
                <w:szCs w:val="16"/>
              </w:rPr>
              <w:t>19</w:t>
            </w:r>
          </w:p>
        </w:tc>
        <w:tc>
          <w:tcPr>
            <w:tcW w:w="541" w:type="dxa"/>
          </w:tcPr>
          <w:p w14:paraId="027721B4"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630" w:type="dxa"/>
          </w:tcPr>
          <w:p w14:paraId="5BB835D5"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5"/>
                <w:sz w:val="16"/>
                <w:szCs w:val="16"/>
              </w:rPr>
              <w:t>14</w:t>
            </w:r>
          </w:p>
        </w:tc>
        <w:tc>
          <w:tcPr>
            <w:tcW w:w="630" w:type="dxa"/>
          </w:tcPr>
          <w:p w14:paraId="44F61D98"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0</w:t>
            </w:r>
          </w:p>
        </w:tc>
        <w:tc>
          <w:tcPr>
            <w:tcW w:w="630" w:type="dxa"/>
          </w:tcPr>
          <w:p w14:paraId="3F2FD4BB"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3</w:t>
            </w:r>
          </w:p>
        </w:tc>
        <w:tc>
          <w:tcPr>
            <w:tcW w:w="632" w:type="dxa"/>
          </w:tcPr>
          <w:p w14:paraId="2900D9F5" w14:textId="77777777" w:rsidR="00BD7803" w:rsidRPr="00F3795D" w:rsidRDefault="00BD7803" w:rsidP="00372EFD">
            <w:pPr>
              <w:pStyle w:val="TableParagraph"/>
              <w:ind w:right="-44"/>
              <w:jc w:val="center"/>
              <w:rPr>
                <w:bCs/>
                <w:color w:val="000000" w:themeColor="text1"/>
                <w:sz w:val="16"/>
                <w:szCs w:val="16"/>
              </w:rPr>
            </w:pPr>
            <w:r w:rsidRPr="00F3795D">
              <w:rPr>
                <w:bCs/>
                <w:color w:val="000000" w:themeColor="text1"/>
                <w:sz w:val="16"/>
                <w:szCs w:val="16"/>
              </w:rPr>
              <w:t>0</w:t>
            </w:r>
          </w:p>
        </w:tc>
      </w:tr>
      <w:tr w:rsidR="00473FF2" w:rsidRPr="00F3795D" w14:paraId="76691C0B" w14:textId="77777777" w:rsidTr="00992153">
        <w:trPr>
          <w:trHeight w:val="20"/>
          <w:jc w:val="center"/>
        </w:trPr>
        <w:tc>
          <w:tcPr>
            <w:tcW w:w="444" w:type="dxa"/>
          </w:tcPr>
          <w:p w14:paraId="106261A9" w14:textId="77777777" w:rsidR="00BD7803" w:rsidRPr="00F3795D" w:rsidRDefault="00BD7803" w:rsidP="00372EFD">
            <w:pPr>
              <w:pStyle w:val="TableParagraph"/>
              <w:spacing w:before="29"/>
              <w:ind w:left="131" w:right="0"/>
              <w:jc w:val="left"/>
              <w:rPr>
                <w:bCs/>
                <w:color w:val="000000" w:themeColor="text1"/>
                <w:sz w:val="16"/>
                <w:szCs w:val="16"/>
              </w:rPr>
            </w:pPr>
            <w:r w:rsidRPr="00F3795D">
              <w:rPr>
                <w:bCs/>
                <w:color w:val="000000" w:themeColor="text1"/>
                <w:spacing w:val="-5"/>
                <w:sz w:val="16"/>
                <w:szCs w:val="16"/>
              </w:rPr>
              <w:t>16</w:t>
            </w:r>
          </w:p>
        </w:tc>
        <w:tc>
          <w:tcPr>
            <w:tcW w:w="1260" w:type="dxa"/>
          </w:tcPr>
          <w:p w14:paraId="294953E8" w14:textId="77777777" w:rsidR="00BD7803" w:rsidRPr="00F3795D" w:rsidRDefault="00BD7803" w:rsidP="00372EFD">
            <w:pPr>
              <w:pStyle w:val="TableParagraph"/>
              <w:ind w:left="23" w:right="0"/>
              <w:jc w:val="left"/>
              <w:rPr>
                <w:bCs/>
                <w:color w:val="000000" w:themeColor="text1"/>
                <w:sz w:val="16"/>
                <w:szCs w:val="16"/>
              </w:rPr>
            </w:pPr>
            <w:r w:rsidRPr="00F3795D">
              <w:rPr>
                <w:bCs/>
                <w:color w:val="000000" w:themeColor="text1"/>
                <w:spacing w:val="-2"/>
                <w:sz w:val="16"/>
                <w:szCs w:val="16"/>
              </w:rPr>
              <w:t>Meghalaya</w:t>
            </w:r>
          </w:p>
        </w:tc>
        <w:tc>
          <w:tcPr>
            <w:tcW w:w="720" w:type="dxa"/>
          </w:tcPr>
          <w:p w14:paraId="04B3FE92" w14:textId="77777777" w:rsidR="00BD7803" w:rsidRPr="00F3795D" w:rsidRDefault="00BD7803" w:rsidP="00372EFD">
            <w:pPr>
              <w:pStyle w:val="TableParagraph"/>
              <w:ind w:right="6"/>
              <w:jc w:val="center"/>
              <w:rPr>
                <w:bCs/>
                <w:color w:val="000000" w:themeColor="text1"/>
                <w:sz w:val="16"/>
                <w:szCs w:val="16"/>
              </w:rPr>
            </w:pPr>
            <w:r w:rsidRPr="00F3795D">
              <w:rPr>
                <w:bCs/>
                <w:color w:val="000000" w:themeColor="text1"/>
                <w:spacing w:val="-4"/>
                <w:sz w:val="16"/>
                <w:szCs w:val="16"/>
              </w:rPr>
              <w:t>2615</w:t>
            </w:r>
          </w:p>
        </w:tc>
        <w:tc>
          <w:tcPr>
            <w:tcW w:w="720" w:type="dxa"/>
          </w:tcPr>
          <w:p w14:paraId="0839D26D" w14:textId="77777777" w:rsidR="00BD7803" w:rsidRPr="00F3795D" w:rsidRDefault="00BD7803" w:rsidP="00372EFD">
            <w:pPr>
              <w:pStyle w:val="TableParagraph"/>
              <w:ind w:right="4"/>
              <w:jc w:val="center"/>
              <w:rPr>
                <w:bCs/>
                <w:color w:val="000000" w:themeColor="text1"/>
                <w:sz w:val="16"/>
                <w:szCs w:val="16"/>
              </w:rPr>
            </w:pPr>
            <w:r w:rsidRPr="00F3795D">
              <w:rPr>
                <w:bCs/>
                <w:color w:val="000000" w:themeColor="text1"/>
                <w:sz w:val="16"/>
                <w:szCs w:val="16"/>
              </w:rPr>
              <w:t>4</w:t>
            </w:r>
          </w:p>
        </w:tc>
        <w:tc>
          <w:tcPr>
            <w:tcW w:w="720" w:type="dxa"/>
          </w:tcPr>
          <w:p w14:paraId="185BE653" w14:textId="77777777" w:rsidR="00BD7803" w:rsidRPr="00F3795D" w:rsidRDefault="00BD7803" w:rsidP="00372EFD">
            <w:pPr>
              <w:pStyle w:val="TableParagraph"/>
              <w:ind w:right="1"/>
              <w:jc w:val="center"/>
              <w:rPr>
                <w:bCs/>
                <w:color w:val="000000" w:themeColor="text1"/>
                <w:sz w:val="16"/>
                <w:szCs w:val="16"/>
              </w:rPr>
            </w:pPr>
            <w:r w:rsidRPr="00F3795D">
              <w:rPr>
                <w:bCs/>
                <w:color w:val="000000" w:themeColor="text1"/>
                <w:spacing w:val="-4"/>
                <w:sz w:val="16"/>
                <w:szCs w:val="16"/>
              </w:rPr>
              <w:t>2018</w:t>
            </w:r>
          </w:p>
        </w:tc>
        <w:tc>
          <w:tcPr>
            <w:tcW w:w="630" w:type="dxa"/>
          </w:tcPr>
          <w:p w14:paraId="189FCA48"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4</w:t>
            </w:r>
          </w:p>
        </w:tc>
        <w:tc>
          <w:tcPr>
            <w:tcW w:w="810" w:type="dxa"/>
          </w:tcPr>
          <w:p w14:paraId="75F7F74F"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5"/>
                <w:sz w:val="16"/>
                <w:szCs w:val="16"/>
              </w:rPr>
              <w:t>491</w:t>
            </w:r>
          </w:p>
        </w:tc>
        <w:tc>
          <w:tcPr>
            <w:tcW w:w="541" w:type="dxa"/>
          </w:tcPr>
          <w:p w14:paraId="44D78E74"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3</w:t>
            </w:r>
          </w:p>
        </w:tc>
        <w:tc>
          <w:tcPr>
            <w:tcW w:w="630" w:type="dxa"/>
          </w:tcPr>
          <w:p w14:paraId="17827F26"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5"/>
                <w:sz w:val="16"/>
                <w:szCs w:val="16"/>
              </w:rPr>
              <w:t>463</w:t>
            </w:r>
          </w:p>
        </w:tc>
        <w:tc>
          <w:tcPr>
            <w:tcW w:w="630" w:type="dxa"/>
          </w:tcPr>
          <w:p w14:paraId="04548DAE"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8</w:t>
            </w:r>
          </w:p>
        </w:tc>
        <w:tc>
          <w:tcPr>
            <w:tcW w:w="630" w:type="dxa"/>
          </w:tcPr>
          <w:p w14:paraId="3E567D89"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pacing w:val="-5"/>
                <w:sz w:val="16"/>
                <w:szCs w:val="16"/>
              </w:rPr>
              <w:t>45</w:t>
            </w:r>
          </w:p>
        </w:tc>
        <w:tc>
          <w:tcPr>
            <w:tcW w:w="632" w:type="dxa"/>
          </w:tcPr>
          <w:p w14:paraId="171AB39C" w14:textId="77777777" w:rsidR="00BD7803" w:rsidRPr="00F3795D" w:rsidRDefault="00BD7803" w:rsidP="00372EFD">
            <w:pPr>
              <w:pStyle w:val="TableParagraph"/>
              <w:ind w:right="-44"/>
              <w:jc w:val="center"/>
              <w:rPr>
                <w:bCs/>
                <w:color w:val="000000" w:themeColor="text1"/>
                <w:sz w:val="16"/>
                <w:szCs w:val="16"/>
              </w:rPr>
            </w:pPr>
            <w:r w:rsidRPr="00F3795D">
              <w:rPr>
                <w:bCs/>
                <w:color w:val="000000" w:themeColor="text1"/>
                <w:sz w:val="16"/>
                <w:szCs w:val="16"/>
              </w:rPr>
              <w:t>0</w:t>
            </w:r>
          </w:p>
        </w:tc>
      </w:tr>
      <w:tr w:rsidR="00473FF2" w:rsidRPr="00F3795D" w14:paraId="2FF0E1DF" w14:textId="77777777" w:rsidTr="00992153">
        <w:trPr>
          <w:trHeight w:val="20"/>
          <w:jc w:val="center"/>
        </w:trPr>
        <w:tc>
          <w:tcPr>
            <w:tcW w:w="444" w:type="dxa"/>
          </w:tcPr>
          <w:p w14:paraId="3965D0ED" w14:textId="77777777" w:rsidR="00BD7803" w:rsidRPr="00F3795D" w:rsidRDefault="00BD7803" w:rsidP="00372EFD">
            <w:pPr>
              <w:pStyle w:val="TableParagraph"/>
              <w:spacing w:before="29"/>
              <w:ind w:left="131" w:right="0"/>
              <w:jc w:val="left"/>
              <w:rPr>
                <w:bCs/>
                <w:color w:val="000000" w:themeColor="text1"/>
                <w:sz w:val="16"/>
                <w:szCs w:val="16"/>
              </w:rPr>
            </w:pPr>
            <w:r w:rsidRPr="00F3795D">
              <w:rPr>
                <w:bCs/>
                <w:color w:val="000000" w:themeColor="text1"/>
                <w:spacing w:val="-5"/>
                <w:sz w:val="16"/>
                <w:szCs w:val="16"/>
              </w:rPr>
              <w:t>17</w:t>
            </w:r>
          </w:p>
        </w:tc>
        <w:tc>
          <w:tcPr>
            <w:tcW w:w="1260" w:type="dxa"/>
          </w:tcPr>
          <w:p w14:paraId="120CE28D" w14:textId="77777777" w:rsidR="00BD7803" w:rsidRPr="00F3795D" w:rsidRDefault="00BD7803" w:rsidP="00372EFD">
            <w:pPr>
              <w:pStyle w:val="TableParagraph"/>
              <w:ind w:left="23" w:right="0"/>
              <w:jc w:val="left"/>
              <w:rPr>
                <w:bCs/>
                <w:color w:val="000000" w:themeColor="text1"/>
                <w:sz w:val="16"/>
                <w:szCs w:val="16"/>
              </w:rPr>
            </w:pPr>
            <w:r w:rsidRPr="00F3795D">
              <w:rPr>
                <w:bCs/>
                <w:color w:val="000000" w:themeColor="text1"/>
                <w:spacing w:val="-2"/>
                <w:sz w:val="16"/>
                <w:szCs w:val="16"/>
              </w:rPr>
              <w:t>Mizoram</w:t>
            </w:r>
          </w:p>
        </w:tc>
        <w:tc>
          <w:tcPr>
            <w:tcW w:w="720" w:type="dxa"/>
          </w:tcPr>
          <w:p w14:paraId="49E6AEEE" w14:textId="77777777" w:rsidR="00BD7803" w:rsidRPr="00F3795D" w:rsidRDefault="00BD7803" w:rsidP="00372EFD">
            <w:pPr>
              <w:pStyle w:val="TableParagraph"/>
              <w:ind w:right="6"/>
              <w:jc w:val="center"/>
              <w:rPr>
                <w:bCs/>
                <w:color w:val="000000" w:themeColor="text1"/>
                <w:sz w:val="16"/>
                <w:szCs w:val="16"/>
              </w:rPr>
            </w:pPr>
            <w:r w:rsidRPr="00F3795D">
              <w:rPr>
                <w:bCs/>
                <w:color w:val="000000" w:themeColor="text1"/>
                <w:spacing w:val="-4"/>
                <w:sz w:val="16"/>
                <w:szCs w:val="16"/>
              </w:rPr>
              <w:t>8543</w:t>
            </w:r>
          </w:p>
        </w:tc>
        <w:tc>
          <w:tcPr>
            <w:tcW w:w="720" w:type="dxa"/>
          </w:tcPr>
          <w:p w14:paraId="31D1C278" w14:textId="77777777" w:rsidR="00BD7803" w:rsidRPr="00F3795D" w:rsidRDefault="00BD7803" w:rsidP="00372EFD">
            <w:pPr>
              <w:pStyle w:val="TableParagraph"/>
              <w:ind w:right="4"/>
              <w:jc w:val="center"/>
              <w:rPr>
                <w:bCs/>
                <w:color w:val="000000" w:themeColor="text1"/>
                <w:sz w:val="16"/>
                <w:szCs w:val="16"/>
              </w:rPr>
            </w:pPr>
            <w:r w:rsidRPr="00F3795D">
              <w:rPr>
                <w:bCs/>
                <w:color w:val="000000" w:themeColor="text1"/>
                <w:sz w:val="16"/>
                <w:szCs w:val="16"/>
              </w:rPr>
              <w:t>8</w:t>
            </w:r>
          </w:p>
        </w:tc>
        <w:tc>
          <w:tcPr>
            <w:tcW w:w="720" w:type="dxa"/>
          </w:tcPr>
          <w:p w14:paraId="3E78C26A" w14:textId="77777777" w:rsidR="00BD7803" w:rsidRPr="00F3795D" w:rsidRDefault="00BD7803" w:rsidP="00372EFD">
            <w:pPr>
              <w:pStyle w:val="TableParagraph"/>
              <w:ind w:right="1"/>
              <w:jc w:val="center"/>
              <w:rPr>
                <w:bCs/>
                <w:color w:val="000000" w:themeColor="text1"/>
                <w:sz w:val="16"/>
                <w:szCs w:val="16"/>
              </w:rPr>
            </w:pPr>
            <w:r w:rsidRPr="00F3795D">
              <w:rPr>
                <w:bCs/>
                <w:color w:val="000000" w:themeColor="text1"/>
                <w:spacing w:val="-4"/>
                <w:sz w:val="16"/>
                <w:szCs w:val="16"/>
              </w:rPr>
              <w:t>7781</w:t>
            </w:r>
          </w:p>
        </w:tc>
        <w:tc>
          <w:tcPr>
            <w:tcW w:w="630" w:type="dxa"/>
          </w:tcPr>
          <w:p w14:paraId="39C72D35" w14:textId="77777777" w:rsidR="00BD7803" w:rsidRPr="00F3795D" w:rsidRDefault="00BD7803" w:rsidP="00372EFD">
            <w:pPr>
              <w:pStyle w:val="TableParagraph"/>
              <w:ind w:right="0"/>
              <w:jc w:val="center"/>
              <w:rPr>
                <w:bCs/>
                <w:color w:val="000000" w:themeColor="text1"/>
                <w:sz w:val="16"/>
                <w:szCs w:val="16"/>
              </w:rPr>
            </w:pPr>
            <w:r w:rsidRPr="00F3795D">
              <w:rPr>
                <w:bCs/>
                <w:color w:val="000000" w:themeColor="text1"/>
                <w:sz w:val="16"/>
                <w:szCs w:val="16"/>
              </w:rPr>
              <w:t>6</w:t>
            </w:r>
          </w:p>
        </w:tc>
        <w:tc>
          <w:tcPr>
            <w:tcW w:w="810" w:type="dxa"/>
          </w:tcPr>
          <w:p w14:paraId="02367719"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4"/>
                <w:sz w:val="16"/>
                <w:szCs w:val="16"/>
              </w:rPr>
              <w:t>8018</w:t>
            </w:r>
          </w:p>
        </w:tc>
        <w:tc>
          <w:tcPr>
            <w:tcW w:w="541" w:type="dxa"/>
          </w:tcPr>
          <w:p w14:paraId="7E839A99"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5"/>
                <w:sz w:val="16"/>
                <w:szCs w:val="16"/>
              </w:rPr>
              <w:t>10</w:t>
            </w:r>
          </w:p>
        </w:tc>
        <w:tc>
          <w:tcPr>
            <w:tcW w:w="630" w:type="dxa"/>
          </w:tcPr>
          <w:p w14:paraId="2F74D5D1"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2"/>
                <w:sz w:val="16"/>
                <w:szCs w:val="16"/>
              </w:rPr>
              <w:t>10222</w:t>
            </w:r>
          </w:p>
        </w:tc>
        <w:tc>
          <w:tcPr>
            <w:tcW w:w="630" w:type="dxa"/>
          </w:tcPr>
          <w:p w14:paraId="303B8C64"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pacing w:val="-5"/>
                <w:sz w:val="16"/>
                <w:szCs w:val="16"/>
              </w:rPr>
              <w:t>10</w:t>
            </w:r>
          </w:p>
        </w:tc>
        <w:tc>
          <w:tcPr>
            <w:tcW w:w="630" w:type="dxa"/>
          </w:tcPr>
          <w:p w14:paraId="5E5EB54F"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pacing w:val="-4"/>
                <w:sz w:val="16"/>
                <w:szCs w:val="16"/>
              </w:rPr>
              <w:t>1111</w:t>
            </w:r>
          </w:p>
        </w:tc>
        <w:tc>
          <w:tcPr>
            <w:tcW w:w="632" w:type="dxa"/>
          </w:tcPr>
          <w:p w14:paraId="725E8A69" w14:textId="77777777" w:rsidR="00BD7803" w:rsidRPr="00F3795D" w:rsidRDefault="00BD7803" w:rsidP="00372EFD">
            <w:pPr>
              <w:pStyle w:val="TableParagraph"/>
              <w:ind w:right="-44"/>
              <w:jc w:val="center"/>
              <w:rPr>
                <w:bCs/>
                <w:color w:val="000000" w:themeColor="text1"/>
                <w:sz w:val="16"/>
                <w:szCs w:val="16"/>
              </w:rPr>
            </w:pPr>
            <w:r w:rsidRPr="00F3795D">
              <w:rPr>
                <w:bCs/>
                <w:color w:val="000000" w:themeColor="text1"/>
                <w:sz w:val="16"/>
                <w:szCs w:val="16"/>
              </w:rPr>
              <w:t>0</w:t>
            </w:r>
          </w:p>
        </w:tc>
      </w:tr>
      <w:tr w:rsidR="00473FF2" w:rsidRPr="00F3795D" w14:paraId="37ED593C" w14:textId="77777777" w:rsidTr="00992153">
        <w:trPr>
          <w:trHeight w:val="20"/>
          <w:jc w:val="center"/>
        </w:trPr>
        <w:tc>
          <w:tcPr>
            <w:tcW w:w="444" w:type="dxa"/>
          </w:tcPr>
          <w:p w14:paraId="4715E813" w14:textId="77777777" w:rsidR="00BD7803" w:rsidRPr="00F3795D" w:rsidRDefault="00BD7803" w:rsidP="00372EFD">
            <w:pPr>
              <w:pStyle w:val="TableParagraph"/>
              <w:spacing w:before="29"/>
              <w:ind w:left="131" w:right="0"/>
              <w:jc w:val="left"/>
              <w:rPr>
                <w:bCs/>
                <w:color w:val="000000" w:themeColor="text1"/>
                <w:sz w:val="16"/>
                <w:szCs w:val="16"/>
              </w:rPr>
            </w:pPr>
            <w:r w:rsidRPr="00F3795D">
              <w:rPr>
                <w:bCs/>
                <w:color w:val="000000" w:themeColor="text1"/>
                <w:spacing w:val="-5"/>
                <w:sz w:val="16"/>
                <w:szCs w:val="16"/>
              </w:rPr>
              <w:t>18</w:t>
            </w:r>
          </w:p>
        </w:tc>
        <w:tc>
          <w:tcPr>
            <w:tcW w:w="1260" w:type="dxa"/>
          </w:tcPr>
          <w:p w14:paraId="2E75065B" w14:textId="77777777" w:rsidR="00BD7803" w:rsidRPr="00F3795D" w:rsidRDefault="00BD7803" w:rsidP="00372EFD">
            <w:pPr>
              <w:pStyle w:val="TableParagraph"/>
              <w:ind w:left="24" w:right="0"/>
              <w:jc w:val="left"/>
              <w:rPr>
                <w:bCs/>
                <w:color w:val="000000" w:themeColor="text1"/>
                <w:sz w:val="16"/>
                <w:szCs w:val="16"/>
              </w:rPr>
            </w:pPr>
            <w:r w:rsidRPr="00F3795D">
              <w:rPr>
                <w:bCs/>
                <w:color w:val="000000" w:themeColor="text1"/>
                <w:spacing w:val="-2"/>
                <w:sz w:val="16"/>
                <w:szCs w:val="16"/>
              </w:rPr>
              <w:t>Nagaland</w:t>
            </w:r>
          </w:p>
        </w:tc>
        <w:tc>
          <w:tcPr>
            <w:tcW w:w="720" w:type="dxa"/>
          </w:tcPr>
          <w:p w14:paraId="3B2FCF1B" w14:textId="77777777" w:rsidR="00BD7803" w:rsidRPr="00F3795D" w:rsidRDefault="00BD7803" w:rsidP="00372EFD">
            <w:pPr>
              <w:pStyle w:val="TableParagraph"/>
              <w:ind w:right="6"/>
              <w:jc w:val="center"/>
              <w:rPr>
                <w:bCs/>
                <w:color w:val="000000" w:themeColor="text1"/>
                <w:sz w:val="16"/>
                <w:szCs w:val="16"/>
              </w:rPr>
            </w:pPr>
            <w:r w:rsidRPr="00F3795D">
              <w:rPr>
                <w:bCs/>
                <w:color w:val="000000" w:themeColor="text1"/>
                <w:spacing w:val="-5"/>
                <w:sz w:val="16"/>
                <w:szCs w:val="16"/>
              </w:rPr>
              <w:t>20</w:t>
            </w:r>
          </w:p>
        </w:tc>
        <w:tc>
          <w:tcPr>
            <w:tcW w:w="720" w:type="dxa"/>
          </w:tcPr>
          <w:p w14:paraId="342920BE" w14:textId="77777777" w:rsidR="00BD7803" w:rsidRPr="00F3795D" w:rsidRDefault="00BD7803" w:rsidP="00372EFD">
            <w:pPr>
              <w:pStyle w:val="TableParagraph"/>
              <w:ind w:right="4"/>
              <w:jc w:val="center"/>
              <w:rPr>
                <w:bCs/>
                <w:color w:val="000000" w:themeColor="text1"/>
                <w:sz w:val="16"/>
                <w:szCs w:val="16"/>
              </w:rPr>
            </w:pPr>
            <w:r w:rsidRPr="00F3795D">
              <w:rPr>
                <w:bCs/>
                <w:color w:val="000000" w:themeColor="text1"/>
                <w:sz w:val="16"/>
                <w:szCs w:val="16"/>
              </w:rPr>
              <w:t>0</w:t>
            </w:r>
          </w:p>
        </w:tc>
        <w:tc>
          <w:tcPr>
            <w:tcW w:w="720" w:type="dxa"/>
          </w:tcPr>
          <w:p w14:paraId="48DA2167" w14:textId="77777777" w:rsidR="00BD7803" w:rsidRPr="00F3795D" w:rsidRDefault="00BD7803" w:rsidP="00372EFD">
            <w:pPr>
              <w:pStyle w:val="TableParagraph"/>
              <w:ind w:right="2"/>
              <w:jc w:val="center"/>
              <w:rPr>
                <w:bCs/>
                <w:color w:val="000000" w:themeColor="text1"/>
                <w:sz w:val="16"/>
                <w:szCs w:val="16"/>
              </w:rPr>
            </w:pPr>
            <w:r w:rsidRPr="00F3795D">
              <w:rPr>
                <w:bCs/>
                <w:color w:val="000000" w:themeColor="text1"/>
                <w:spacing w:val="-5"/>
                <w:sz w:val="16"/>
                <w:szCs w:val="16"/>
              </w:rPr>
              <w:t>12</w:t>
            </w:r>
          </w:p>
        </w:tc>
        <w:tc>
          <w:tcPr>
            <w:tcW w:w="630" w:type="dxa"/>
          </w:tcPr>
          <w:p w14:paraId="73403CBD"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810" w:type="dxa"/>
          </w:tcPr>
          <w:p w14:paraId="4779E8A8"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8</w:t>
            </w:r>
          </w:p>
        </w:tc>
        <w:tc>
          <w:tcPr>
            <w:tcW w:w="541" w:type="dxa"/>
          </w:tcPr>
          <w:p w14:paraId="2ADF4103"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630" w:type="dxa"/>
          </w:tcPr>
          <w:p w14:paraId="62550F7C"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8</w:t>
            </w:r>
          </w:p>
        </w:tc>
        <w:tc>
          <w:tcPr>
            <w:tcW w:w="630" w:type="dxa"/>
          </w:tcPr>
          <w:p w14:paraId="744004E0"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0</w:t>
            </w:r>
          </w:p>
        </w:tc>
        <w:tc>
          <w:tcPr>
            <w:tcW w:w="630" w:type="dxa"/>
          </w:tcPr>
          <w:p w14:paraId="6791AA1E"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1</w:t>
            </w:r>
          </w:p>
        </w:tc>
        <w:tc>
          <w:tcPr>
            <w:tcW w:w="632" w:type="dxa"/>
          </w:tcPr>
          <w:p w14:paraId="5A382B98" w14:textId="77777777" w:rsidR="00BD7803" w:rsidRPr="00F3795D" w:rsidRDefault="00BD7803" w:rsidP="00372EFD">
            <w:pPr>
              <w:pStyle w:val="TableParagraph"/>
              <w:ind w:right="-44"/>
              <w:jc w:val="center"/>
              <w:rPr>
                <w:bCs/>
                <w:color w:val="000000" w:themeColor="text1"/>
                <w:sz w:val="16"/>
                <w:szCs w:val="16"/>
              </w:rPr>
            </w:pPr>
            <w:r w:rsidRPr="00F3795D">
              <w:rPr>
                <w:bCs/>
                <w:color w:val="000000" w:themeColor="text1"/>
                <w:sz w:val="16"/>
                <w:szCs w:val="16"/>
              </w:rPr>
              <w:t>0</w:t>
            </w:r>
          </w:p>
        </w:tc>
      </w:tr>
      <w:tr w:rsidR="00473FF2" w:rsidRPr="00F3795D" w14:paraId="65614D39" w14:textId="77777777" w:rsidTr="00992153">
        <w:trPr>
          <w:trHeight w:val="20"/>
          <w:jc w:val="center"/>
        </w:trPr>
        <w:tc>
          <w:tcPr>
            <w:tcW w:w="444" w:type="dxa"/>
          </w:tcPr>
          <w:p w14:paraId="278525AB" w14:textId="77777777" w:rsidR="00BD7803" w:rsidRPr="00F3795D" w:rsidRDefault="00BD7803" w:rsidP="00372EFD">
            <w:pPr>
              <w:pStyle w:val="TableParagraph"/>
              <w:spacing w:before="29"/>
              <w:ind w:left="131" w:right="0"/>
              <w:jc w:val="left"/>
              <w:rPr>
                <w:bCs/>
                <w:color w:val="000000" w:themeColor="text1"/>
                <w:sz w:val="16"/>
                <w:szCs w:val="16"/>
              </w:rPr>
            </w:pPr>
            <w:r w:rsidRPr="00F3795D">
              <w:rPr>
                <w:bCs/>
                <w:color w:val="000000" w:themeColor="text1"/>
                <w:spacing w:val="-5"/>
                <w:sz w:val="16"/>
                <w:szCs w:val="16"/>
              </w:rPr>
              <w:t>19</w:t>
            </w:r>
          </w:p>
        </w:tc>
        <w:tc>
          <w:tcPr>
            <w:tcW w:w="1260" w:type="dxa"/>
          </w:tcPr>
          <w:p w14:paraId="3A02E6EA" w14:textId="77777777" w:rsidR="00BD7803" w:rsidRPr="00F3795D" w:rsidRDefault="00BD7803" w:rsidP="00372EFD">
            <w:pPr>
              <w:pStyle w:val="TableParagraph"/>
              <w:ind w:left="24" w:right="0"/>
              <w:jc w:val="left"/>
              <w:rPr>
                <w:bCs/>
                <w:color w:val="000000" w:themeColor="text1"/>
                <w:sz w:val="16"/>
                <w:szCs w:val="16"/>
              </w:rPr>
            </w:pPr>
            <w:r w:rsidRPr="00F3795D">
              <w:rPr>
                <w:bCs/>
                <w:color w:val="000000" w:themeColor="text1"/>
                <w:spacing w:val="-2"/>
                <w:sz w:val="16"/>
                <w:szCs w:val="16"/>
              </w:rPr>
              <w:t>Odisha</w:t>
            </w:r>
          </w:p>
        </w:tc>
        <w:tc>
          <w:tcPr>
            <w:tcW w:w="720" w:type="dxa"/>
          </w:tcPr>
          <w:p w14:paraId="62464FED" w14:textId="77777777" w:rsidR="00BD7803" w:rsidRPr="00F3795D" w:rsidRDefault="00BD7803" w:rsidP="00372EFD">
            <w:pPr>
              <w:pStyle w:val="TableParagraph"/>
              <w:ind w:right="6"/>
              <w:jc w:val="center"/>
              <w:rPr>
                <w:bCs/>
                <w:color w:val="000000" w:themeColor="text1"/>
                <w:sz w:val="16"/>
                <w:szCs w:val="16"/>
              </w:rPr>
            </w:pPr>
            <w:r w:rsidRPr="00F3795D">
              <w:rPr>
                <w:bCs/>
                <w:color w:val="000000" w:themeColor="text1"/>
                <w:spacing w:val="-2"/>
                <w:sz w:val="16"/>
                <w:szCs w:val="16"/>
              </w:rPr>
              <w:t>39556</w:t>
            </w:r>
          </w:p>
        </w:tc>
        <w:tc>
          <w:tcPr>
            <w:tcW w:w="720" w:type="dxa"/>
          </w:tcPr>
          <w:p w14:paraId="3E751775" w14:textId="77777777" w:rsidR="00BD7803" w:rsidRPr="00F3795D" w:rsidRDefault="00BD7803" w:rsidP="00372EFD">
            <w:pPr>
              <w:pStyle w:val="TableParagraph"/>
              <w:ind w:right="4"/>
              <w:jc w:val="center"/>
              <w:rPr>
                <w:bCs/>
                <w:color w:val="000000" w:themeColor="text1"/>
                <w:sz w:val="16"/>
                <w:szCs w:val="16"/>
              </w:rPr>
            </w:pPr>
            <w:r w:rsidRPr="00F3795D">
              <w:rPr>
                <w:bCs/>
                <w:color w:val="000000" w:themeColor="text1"/>
                <w:sz w:val="16"/>
                <w:szCs w:val="16"/>
              </w:rPr>
              <w:t>9</w:t>
            </w:r>
          </w:p>
        </w:tc>
        <w:tc>
          <w:tcPr>
            <w:tcW w:w="720" w:type="dxa"/>
          </w:tcPr>
          <w:p w14:paraId="1A3E05CD" w14:textId="77777777" w:rsidR="00BD7803" w:rsidRPr="00F3795D" w:rsidRDefault="00BD7803" w:rsidP="00372EFD">
            <w:pPr>
              <w:pStyle w:val="TableParagraph"/>
              <w:ind w:right="2"/>
              <w:jc w:val="center"/>
              <w:rPr>
                <w:bCs/>
                <w:color w:val="000000" w:themeColor="text1"/>
                <w:sz w:val="16"/>
                <w:szCs w:val="16"/>
              </w:rPr>
            </w:pPr>
            <w:r w:rsidRPr="00F3795D">
              <w:rPr>
                <w:bCs/>
                <w:color w:val="000000" w:themeColor="text1"/>
                <w:spacing w:val="-2"/>
                <w:sz w:val="16"/>
                <w:szCs w:val="16"/>
              </w:rPr>
              <w:t>41739</w:t>
            </w:r>
          </w:p>
        </w:tc>
        <w:tc>
          <w:tcPr>
            <w:tcW w:w="630" w:type="dxa"/>
          </w:tcPr>
          <w:p w14:paraId="587151ED"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9</w:t>
            </w:r>
          </w:p>
        </w:tc>
        <w:tc>
          <w:tcPr>
            <w:tcW w:w="810" w:type="dxa"/>
          </w:tcPr>
          <w:p w14:paraId="360DA00E"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2"/>
                <w:sz w:val="16"/>
                <w:szCs w:val="16"/>
              </w:rPr>
              <w:t>25503</w:t>
            </w:r>
          </w:p>
        </w:tc>
        <w:tc>
          <w:tcPr>
            <w:tcW w:w="541" w:type="dxa"/>
          </w:tcPr>
          <w:p w14:paraId="43C1FD1F"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5"/>
                <w:sz w:val="16"/>
                <w:szCs w:val="16"/>
              </w:rPr>
              <w:t>13</w:t>
            </w:r>
          </w:p>
        </w:tc>
        <w:tc>
          <w:tcPr>
            <w:tcW w:w="630" w:type="dxa"/>
          </w:tcPr>
          <w:p w14:paraId="36F703C6"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2"/>
                <w:sz w:val="16"/>
                <w:szCs w:val="16"/>
              </w:rPr>
              <w:t>23770</w:t>
            </w:r>
          </w:p>
        </w:tc>
        <w:tc>
          <w:tcPr>
            <w:tcW w:w="630" w:type="dxa"/>
          </w:tcPr>
          <w:p w14:paraId="3D589739"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5</w:t>
            </w:r>
          </w:p>
        </w:tc>
        <w:tc>
          <w:tcPr>
            <w:tcW w:w="630" w:type="dxa"/>
          </w:tcPr>
          <w:p w14:paraId="5BC578A4"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pacing w:val="-4"/>
                <w:sz w:val="16"/>
                <w:szCs w:val="16"/>
              </w:rPr>
              <w:t>4534</w:t>
            </w:r>
          </w:p>
        </w:tc>
        <w:tc>
          <w:tcPr>
            <w:tcW w:w="632" w:type="dxa"/>
          </w:tcPr>
          <w:p w14:paraId="41B20471" w14:textId="77777777" w:rsidR="00BD7803" w:rsidRPr="00F3795D" w:rsidRDefault="00BD7803" w:rsidP="00372EFD">
            <w:pPr>
              <w:pStyle w:val="TableParagraph"/>
              <w:ind w:right="-44"/>
              <w:jc w:val="center"/>
              <w:rPr>
                <w:bCs/>
                <w:color w:val="000000" w:themeColor="text1"/>
                <w:sz w:val="16"/>
                <w:szCs w:val="16"/>
              </w:rPr>
            </w:pPr>
            <w:r w:rsidRPr="00F3795D">
              <w:rPr>
                <w:bCs/>
                <w:color w:val="000000" w:themeColor="text1"/>
                <w:sz w:val="16"/>
                <w:szCs w:val="16"/>
              </w:rPr>
              <w:t>0</w:t>
            </w:r>
          </w:p>
        </w:tc>
      </w:tr>
      <w:tr w:rsidR="00473FF2" w:rsidRPr="00F3795D" w14:paraId="139A3803" w14:textId="77777777" w:rsidTr="00992153">
        <w:trPr>
          <w:trHeight w:val="20"/>
          <w:jc w:val="center"/>
        </w:trPr>
        <w:tc>
          <w:tcPr>
            <w:tcW w:w="444" w:type="dxa"/>
          </w:tcPr>
          <w:p w14:paraId="60DC6C4E" w14:textId="77777777" w:rsidR="00BD7803" w:rsidRPr="00F3795D" w:rsidRDefault="00BD7803" w:rsidP="00372EFD">
            <w:pPr>
              <w:pStyle w:val="TableParagraph"/>
              <w:spacing w:before="29"/>
              <w:ind w:left="131" w:right="0"/>
              <w:jc w:val="left"/>
              <w:rPr>
                <w:bCs/>
                <w:color w:val="000000" w:themeColor="text1"/>
                <w:sz w:val="16"/>
                <w:szCs w:val="16"/>
              </w:rPr>
            </w:pPr>
            <w:r w:rsidRPr="00F3795D">
              <w:rPr>
                <w:bCs/>
                <w:color w:val="000000" w:themeColor="text1"/>
                <w:spacing w:val="-5"/>
                <w:sz w:val="16"/>
                <w:szCs w:val="16"/>
              </w:rPr>
              <w:t>20</w:t>
            </w:r>
          </w:p>
        </w:tc>
        <w:tc>
          <w:tcPr>
            <w:tcW w:w="1260" w:type="dxa"/>
          </w:tcPr>
          <w:p w14:paraId="0333DC0F" w14:textId="77777777" w:rsidR="00BD7803" w:rsidRPr="00F3795D" w:rsidRDefault="00BD7803" w:rsidP="00372EFD">
            <w:pPr>
              <w:pStyle w:val="TableParagraph"/>
              <w:ind w:left="23" w:right="0"/>
              <w:jc w:val="left"/>
              <w:rPr>
                <w:bCs/>
                <w:color w:val="000000" w:themeColor="text1"/>
                <w:sz w:val="16"/>
                <w:szCs w:val="16"/>
              </w:rPr>
            </w:pPr>
            <w:r w:rsidRPr="00F3795D">
              <w:rPr>
                <w:bCs/>
                <w:color w:val="000000" w:themeColor="text1"/>
                <w:spacing w:val="-2"/>
                <w:sz w:val="16"/>
                <w:szCs w:val="16"/>
              </w:rPr>
              <w:t>Punjab</w:t>
            </w:r>
          </w:p>
        </w:tc>
        <w:tc>
          <w:tcPr>
            <w:tcW w:w="720" w:type="dxa"/>
          </w:tcPr>
          <w:p w14:paraId="17AE2749" w14:textId="77777777" w:rsidR="00BD7803" w:rsidRPr="00F3795D" w:rsidRDefault="00BD7803" w:rsidP="00372EFD">
            <w:pPr>
              <w:pStyle w:val="TableParagraph"/>
              <w:ind w:right="6"/>
              <w:jc w:val="center"/>
              <w:rPr>
                <w:bCs/>
                <w:color w:val="000000" w:themeColor="text1"/>
                <w:sz w:val="16"/>
                <w:szCs w:val="16"/>
              </w:rPr>
            </w:pPr>
            <w:r w:rsidRPr="00F3795D">
              <w:rPr>
                <w:bCs/>
                <w:color w:val="000000" w:themeColor="text1"/>
                <w:spacing w:val="-4"/>
                <w:sz w:val="16"/>
                <w:szCs w:val="16"/>
              </w:rPr>
              <w:t>1139</w:t>
            </w:r>
          </w:p>
        </w:tc>
        <w:tc>
          <w:tcPr>
            <w:tcW w:w="720" w:type="dxa"/>
          </w:tcPr>
          <w:p w14:paraId="0F25D4B1" w14:textId="77777777" w:rsidR="00BD7803" w:rsidRPr="00F3795D" w:rsidRDefault="00BD7803" w:rsidP="00372EFD">
            <w:pPr>
              <w:pStyle w:val="TableParagraph"/>
              <w:ind w:right="4"/>
              <w:jc w:val="center"/>
              <w:rPr>
                <w:bCs/>
                <w:color w:val="000000" w:themeColor="text1"/>
                <w:sz w:val="16"/>
                <w:szCs w:val="16"/>
              </w:rPr>
            </w:pPr>
            <w:r w:rsidRPr="00F3795D">
              <w:rPr>
                <w:bCs/>
                <w:color w:val="000000" w:themeColor="text1"/>
                <w:sz w:val="16"/>
                <w:szCs w:val="16"/>
              </w:rPr>
              <w:t>0</w:t>
            </w:r>
          </w:p>
        </w:tc>
        <w:tc>
          <w:tcPr>
            <w:tcW w:w="720" w:type="dxa"/>
          </w:tcPr>
          <w:p w14:paraId="4C7EC5C7" w14:textId="77777777" w:rsidR="00BD7803" w:rsidRPr="00F3795D" w:rsidRDefault="00BD7803" w:rsidP="00372EFD">
            <w:pPr>
              <w:pStyle w:val="TableParagraph"/>
              <w:ind w:right="1"/>
              <w:jc w:val="center"/>
              <w:rPr>
                <w:bCs/>
                <w:color w:val="000000" w:themeColor="text1"/>
                <w:sz w:val="16"/>
                <w:szCs w:val="16"/>
              </w:rPr>
            </w:pPr>
            <w:r w:rsidRPr="00F3795D">
              <w:rPr>
                <w:bCs/>
                <w:color w:val="000000" w:themeColor="text1"/>
                <w:spacing w:val="-5"/>
                <w:sz w:val="16"/>
                <w:szCs w:val="16"/>
              </w:rPr>
              <w:t>109</w:t>
            </w:r>
          </w:p>
        </w:tc>
        <w:tc>
          <w:tcPr>
            <w:tcW w:w="630" w:type="dxa"/>
          </w:tcPr>
          <w:p w14:paraId="36764DFE"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810" w:type="dxa"/>
          </w:tcPr>
          <w:p w14:paraId="160DB7F9"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5"/>
                <w:sz w:val="16"/>
                <w:szCs w:val="16"/>
              </w:rPr>
              <w:t>71</w:t>
            </w:r>
          </w:p>
        </w:tc>
        <w:tc>
          <w:tcPr>
            <w:tcW w:w="541" w:type="dxa"/>
          </w:tcPr>
          <w:p w14:paraId="27577B0A"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630" w:type="dxa"/>
          </w:tcPr>
          <w:p w14:paraId="4B412736"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5"/>
                <w:sz w:val="16"/>
                <w:szCs w:val="16"/>
              </w:rPr>
              <w:t>109</w:t>
            </w:r>
          </w:p>
        </w:tc>
        <w:tc>
          <w:tcPr>
            <w:tcW w:w="630" w:type="dxa"/>
          </w:tcPr>
          <w:p w14:paraId="1D8A23BA"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0</w:t>
            </w:r>
          </w:p>
        </w:tc>
        <w:tc>
          <w:tcPr>
            <w:tcW w:w="630" w:type="dxa"/>
          </w:tcPr>
          <w:p w14:paraId="4B406522"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0</w:t>
            </w:r>
          </w:p>
        </w:tc>
        <w:tc>
          <w:tcPr>
            <w:tcW w:w="632" w:type="dxa"/>
          </w:tcPr>
          <w:p w14:paraId="0074958F" w14:textId="77777777" w:rsidR="00BD7803" w:rsidRPr="00F3795D" w:rsidRDefault="00BD7803" w:rsidP="00372EFD">
            <w:pPr>
              <w:pStyle w:val="TableParagraph"/>
              <w:ind w:right="-44"/>
              <w:jc w:val="center"/>
              <w:rPr>
                <w:bCs/>
                <w:color w:val="000000" w:themeColor="text1"/>
                <w:sz w:val="16"/>
                <w:szCs w:val="16"/>
              </w:rPr>
            </w:pPr>
            <w:r w:rsidRPr="00F3795D">
              <w:rPr>
                <w:bCs/>
                <w:color w:val="000000" w:themeColor="text1"/>
                <w:sz w:val="16"/>
                <w:szCs w:val="16"/>
              </w:rPr>
              <w:t>0</w:t>
            </w:r>
          </w:p>
        </w:tc>
      </w:tr>
      <w:tr w:rsidR="00473FF2" w:rsidRPr="00F3795D" w14:paraId="5B3E4922" w14:textId="77777777" w:rsidTr="00992153">
        <w:trPr>
          <w:trHeight w:val="20"/>
          <w:jc w:val="center"/>
        </w:trPr>
        <w:tc>
          <w:tcPr>
            <w:tcW w:w="444" w:type="dxa"/>
          </w:tcPr>
          <w:p w14:paraId="1E639340" w14:textId="77777777" w:rsidR="00BD7803" w:rsidRPr="00F3795D" w:rsidRDefault="00BD7803" w:rsidP="00372EFD">
            <w:pPr>
              <w:pStyle w:val="TableParagraph"/>
              <w:spacing w:before="29"/>
              <w:ind w:left="131" w:right="0"/>
              <w:jc w:val="left"/>
              <w:rPr>
                <w:bCs/>
                <w:color w:val="000000" w:themeColor="text1"/>
                <w:sz w:val="16"/>
                <w:szCs w:val="16"/>
              </w:rPr>
            </w:pPr>
            <w:r w:rsidRPr="00F3795D">
              <w:rPr>
                <w:bCs/>
                <w:color w:val="000000" w:themeColor="text1"/>
                <w:spacing w:val="-5"/>
                <w:sz w:val="16"/>
                <w:szCs w:val="16"/>
              </w:rPr>
              <w:t>21</w:t>
            </w:r>
          </w:p>
        </w:tc>
        <w:tc>
          <w:tcPr>
            <w:tcW w:w="1260" w:type="dxa"/>
          </w:tcPr>
          <w:p w14:paraId="6D14BA27" w14:textId="77777777" w:rsidR="00BD7803" w:rsidRPr="00F3795D" w:rsidRDefault="00BD7803" w:rsidP="00372EFD">
            <w:pPr>
              <w:pStyle w:val="TableParagraph"/>
              <w:ind w:left="23" w:right="0"/>
              <w:jc w:val="left"/>
              <w:rPr>
                <w:bCs/>
                <w:color w:val="000000" w:themeColor="text1"/>
                <w:sz w:val="16"/>
                <w:szCs w:val="16"/>
              </w:rPr>
            </w:pPr>
            <w:r w:rsidRPr="00F3795D">
              <w:rPr>
                <w:bCs/>
                <w:color w:val="000000" w:themeColor="text1"/>
                <w:spacing w:val="-2"/>
                <w:sz w:val="16"/>
                <w:szCs w:val="16"/>
              </w:rPr>
              <w:t>Rajasthan</w:t>
            </w:r>
          </w:p>
        </w:tc>
        <w:tc>
          <w:tcPr>
            <w:tcW w:w="720" w:type="dxa"/>
          </w:tcPr>
          <w:p w14:paraId="7401F2B9" w14:textId="77777777" w:rsidR="00BD7803" w:rsidRPr="00F3795D" w:rsidRDefault="00BD7803" w:rsidP="00372EFD">
            <w:pPr>
              <w:pStyle w:val="TableParagraph"/>
              <w:ind w:right="6"/>
              <w:jc w:val="center"/>
              <w:rPr>
                <w:bCs/>
                <w:color w:val="000000" w:themeColor="text1"/>
                <w:sz w:val="16"/>
                <w:szCs w:val="16"/>
              </w:rPr>
            </w:pPr>
            <w:r w:rsidRPr="00F3795D">
              <w:rPr>
                <w:bCs/>
                <w:color w:val="000000" w:themeColor="text1"/>
                <w:spacing w:val="-4"/>
                <w:sz w:val="16"/>
                <w:szCs w:val="16"/>
              </w:rPr>
              <w:t>3421</w:t>
            </w:r>
          </w:p>
        </w:tc>
        <w:tc>
          <w:tcPr>
            <w:tcW w:w="720" w:type="dxa"/>
          </w:tcPr>
          <w:p w14:paraId="09C992DB" w14:textId="77777777" w:rsidR="00BD7803" w:rsidRPr="00F3795D" w:rsidRDefault="00BD7803" w:rsidP="00372EFD">
            <w:pPr>
              <w:pStyle w:val="TableParagraph"/>
              <w:ind w:right="4"/>
              <w:jc w:val="center"/>
              <w:rPr>
                <w:bCs/>
                <w:color w:val="000000" w:themeColor="text1"/>
                <w:sz w:val="16"/>
                <w:szCs w:val="16"/>
              </w:rPr>
            </w:pPr>
            <w:r w:rsidRPr="00F3795D">
              <w:rPr>
                <w:bCs/>
                <w:color w:val="000000" w:themeColor="text1"/>
                <w:sz w:val="16"/>
                <w:szCs w:val="16"/>
              </w:rPr>
              <w:t>1</w:t>
            </w:r>
          </w:p>
        </w:tc>
        <w:tc>
          <w:tcPr>
            <w:tcW w:w="720" w:type="dxa"/>
          </w:tcPr>
          <w:p w14:paraId="285DB539" w14:textId="77777777" w:rsidR="00BD7803" w:rsidRPr="00F3795D" w:rsidRDefault="00BD7803" w:rsidP="00372EFD">
            <w:pPr>
              <w:pStyle w:val="TableParagraph"/>
              <w:ind w:right="1"/>
              <w:jc w:val="center"/>
              <w:rPr>
                <w:bCs/>
                <w:color w:val="000000" w:themeColor="text1"/>
                <w:sz w:val="16"/>
                <w:szCs w:val="16"/>
              </w:rPr>
            </w:pPr>
            <w:r w:rsidRPr="00F3795D">
              <w:rPr>
                <w:bCs/>
                <w:color w:val="000000" w:themeColor="text1"/>
                <w:spacing w:val="-4"/>
                <w:sz w:val="16"/>
                <w:szCs w:val="16"/>
              </w:rPr>
              <w:t>1276</w:t>
            </w:r>
          </w:p>
        </w:tc>
        <w:tc>
          <w:tcPr>
            <w:tcW w:w="630" w:type="dxa"/>
          </w:tcPr>
          <w:p w14:paraId="2DFE0B9F" w14:textId="77777777" w:rsidR="00BD7803" w:rsidRPr="00F3795D" w:rsidRDefault="00BD7803" w:rsidP="00372EFD">
            <w:pPr>
              <w:pStyle w:val="TableParagraph"/>
              <w:ind w:right="0"/>
              <w:jc w:val="center"/>
              <w:rPr>
                <w:bCs/>
                <w:color w:val="000000" w:themeColor="text1"/>
                <w:sz w:val="16"/>
                <w:szCs w:val="16"/>
              </w:rPr>
            </w:pPr>
            <w:r w:rsidRPr="00F3795D">
              <w:rPr>
                <w:bCs/>
                <w:color w:val="000000" w:themeColor="text1"/>
                <w:sz w:val="16"/>
                <w:szCs w:val="16"/>
              </w:rPr>
              <w:t>0</w:t>
            </w:r>
          </w:p>
        </w:tc>
        <w:tc>
          <w:tcPr>
            <w:tcW w:w="810" w:type="dxa"/>
          </w:tcPr>
          <w:p w14:paraId="486145A0"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5"/>
                <w:sz w:val="16"/>
                <w:szCs w:val="16"/>
              </w:rPr>
              <w:t>925</w:t>
            </w:r>
          </w:p>
        </w:tc>
        <w:tc>
          <w:tcPr>
            <w:tcW w:w="541" w:type="dxa"/>
          </w:tcPr>
          <w:p w14:paraId="56B8F12D"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630" w:type="dxa"/>
          </w:tcPr>
          <w:p w14:paraId="4C2919FC"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4"/>
                <w:sz w:val="16"/>
                <w:szCs w:val="16"/>
              </w:rPr>
              <w:t>1026</w:t>
            </w:r>
          </w:p>
        </w:tc>
        <w:tc>
          <w:tcPr>
            <w:tcW w:w="630" w:type="dxa"/>
          </w:tcPr>
          <w:p w14:paraId="5FD6BD79"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0</w:t>
            </w:r>
          </w:p>
        </w:tc>
        <w:tc>
          <w:tcPr>
            <w:tcW w:w="630" w:type="dxa"/>
          </w:tcPr>
          <w:p w14:paraId="5EABEB6C"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pacing w:val="-5"/>
                <w:sz w:val="16"/>
                <w:szCs w:val="16"/>
              </w:rPr>
              <w:t>17</w:t>
            </w:r>
          </w:p>
        </w:tc>
        <w:tc>
          <w:tcPr>
            <w:tcW w:w="632" w:type="dxa"/>
          </w:tcPr>
          <w:p w14:paraId="04736D8C" w14:textId="77777777" w:rsidR="00BD7803" w:rsidRPr="00F3795D" w:rsidRDefault="00BD7803" w:rsidP="00372EFD">
            <w:pPr>
              <w:pStyle w:val="TableParagraph"/>
              <w:ind w:right="-44"/>
              <w:jc w:val="center"/>
              <w:rPr>
                <w:bCs/>
                <w:color w:val="000000" w:themeColor="text1"/>
                <w:sz w:val="16"/>
                <w:szCs w:val="16"/>
              </w:rPr>
            </w:pPr>
            <w:r w:rsidRPr="00F3795D">
              <w:rPr>
                <w:bCs/>
                <w:color w:val="000000" w:themeColor="text1"/>
                <w:sz w:val="16"/>
                <w:szCs w:val="16"/>
              </w:rPr>
              <w:t>0</w:t>
            </w:r>
          </w:p>
        </w:tc>
      </w:tr>
      <w:tr w:rsidR="00473FF2" w:rsidRPr="00F3795D" w14:paraId="7BAD98CD" w14:textId="77777777" w:rsidTr="00992153">
        <w:trPr>
          <w:trHeight w:val="20"/>
          <w:jc w:val="center"/>
        </w:trPr>
        <w:tc>
          <w:tcPr>
            <w:tcW w:w="444" w:type="dxa"/>
          </w:tcPr>
          <w:p w14:paraId="7F887CCF" w14:textId="77777777" w:rsidR="00BD7803" w:rsidRPr="00F3795D" w:rsidRDefault="00BD7803" w:rsidP="00372EFD">
            <w:pPr>
              <w:pStyle w:val="TableParagraph"/>
              <w:spacing w:before="29"/>
              <w:ind w:left="131" w:right="0"/>
              <w:jc w:val="left"/>
              <w:rPr>
                <w:bCs/>
                <w:color w:val="000000" w:themeColor="text1"/>
                <w:sz w:val="16"/>
                <w:szCs w:val="16"/>
              </w:rPr>
            </w:pPr>
            <w:r w:rsidRPr="00F3795D">
              <w:rPr>
                <w:bCs/>
                <w:color w:val="000000" w:themeColor="text1"/>
                <w:spacing w:val="-5"/>
                <w:sz w:val="16"/>
                <w:szCs w:val="16"/>
              </w:rPr>
              <w:t>22</w:t>
            </w:r>
          </w:p>
        </w:tc>
        <w:tc>
          <w:tcPr>
            <w:tcW w:w="1260" w:type="dxa"/>
          </w:tcPr>
          <w:p w14:paraId="3228FAC6" w14:textId="77777777" w:rsidR="00BD7803" w:rsidRPr="00F3795D" w:rsidRDefault="00BD7803" w:rsidP="00372EFD">
            <w:pPr>
              <w:pStyle w:val="TableParagraph"/>
              <w:ind w:left="24" w:right="0"/>
              <w:jc w:val="left"/>
              <w:rPr>
                <w:bCs/>
                <w:color w:val="000000" w:themeColor="text1"/>
                <w:sz w:val="16"/>
                <w:szCs w:val="16"/>
              </w:rPr>
            </w:pPr>
            <w:r w:rsidRPr="00F3795D">
              <w:rPr>
                <w:bCs/>
                <w:color w:val="000000" w:themeColor="text1"/>
                <w:spacing w:val="-2"/>
                <w:sz w:val="16"/>
                <w:szCs w:val="16"/>
              </w:rPr>
              <w:t>Sikkim</w:t>
            </w:r>
          </w:p>
        </w:tc>
        <w:tc>
          <w:tcPr>
            <w:tcW w:w="720" w:type="dxa"/>
          </w:tcPr>
          <w:p w14:paraId="71B736A2" w14:textId="77777777" w:rsidR="00BD7803" w:rsidRPr="00F3795D" w:rsidRDefault="00BD7803" w:rsidP="00372EFD">
            <w:pPr>
              <w:pStyle w:val="TableParagraph"/>
              <w:ind w:right="6"/>
              <w:jc w:val="center"/>
              <w:rPr>
                <w:bCs/>
                <w:color w:val="000000" w:themeColor="text1"/>
                <w:sz w:val="16"/>
                <w:szCs w:val="16"/>
              </w:rPr>
            </w:pPr>
            <w:r w:rsidRPr="00F3795D">
              <w:rPr>
                <w:bCs/>
                <w:color w:val="000000" w:themeColor="text1"/>
                <w:sz w:val="16"/>
                <w:szCs w:val="16"/>
              </w:rPr>
              <w:t>7</w:t>
            </w:r>
          </w:p>
        </w:tc>
        <w:tc>
          <w:tcPr>
            <w:tcW w:w="720" w:type="dxa"/>
          </w:tcPr>
          <w:p w14:paraId="1CB7D745" w14:textId="77777777" w:rsidR="00BD7803" w:rsidRPr="00F3795D" w:rsidRDefault="00BD7803" w:rsidP="00372EFD">
            <w:pPr>
              <w:pStyle w:val="TableParagraph"/>
              <w:ind w:right="4"/>
              <w:jc w:val="center"/>
              <w:rPr>
                <w:bCs/>
                <w:color w:val="000000" w:themeColor="text1"/>
                <w:sz w:val="16"/>
                <w:szCs w:val="16"/>
              </w:rPr>
            </w:pPr>
            <w:r w:rsidRPr="00F3795D">
              <w:rPr>
                <w:bCs/>
                <w:color w:val="000000" w:themeColor="text1"/>
                <w:sz w:val="16"/>
                <w:szCs w:val="16"/>
              </w:rPr>
              <w:t>0</w:t>
            </w:r>
          </w:p>
        </w:tc>
        <w:tc>
          <w:tcPr>
            <w:tcW w:w="720" w:type="dxa"/>
          </w:tcPr>
          <w:p w14:paraId="0F2B7EDC" w14:textId="77777777" w:rsidR="00BD7803" w:rsidRPr="00F3795D" w:rsidRDefault="00BD7803" w:rsidP="00372EFD">
            <w:pPr>
              <w:pStyle w:val="TableParagraph"/>
              <w:ind w:right="1"/>
              <w:jc w:val="center"/>
              <w:rPr>
                <w:bCs/>
                <w:color w:val="000000" w:themeColor="text1"/>
                <w:sz w:val="16"/>
                <w:szCs w:val="16"/>
              </w:rPr>
            </w:pPr>
            <w:r w:rsidRPr="00F3795D">
              <w:rPr>
                <w:bCs/>
                <w:color w:val="000000" w:themeColor="text1"/>
                <w:sz w:val="16"/>
                <w:szCs w:val="16"/>
              </w:rPr>
              <w:t>4</w:t>
            </w:r>
          </w:p>
        </w:tc>
        <w:tc>
          <w:tcPr>
            <w:tcW w:w="630" w:type="dxa"/>
          </w:tcPr>
          <w:p w14:paraId="12AE6975"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810" w:type="dxa"/>
          </w:tcPr>
          <w:p w14:paraId="3A760B8D"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4</w:t>
            </w:r>
          </w:p>
        </w:tc>
        <w:tc>
          <w:tcPr>
            <w:tcW w:w="541" w:type="dxa"/>
          </w:tcPr>
          <w:p w14:paraId="5DA5ED19"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630" w:type="dxa"/>
          </w:tcPr>
          <w:p w14:paraId="431E245A"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6</w:t>
            </w:r>
          </w:p>
        </w:tc>
        <w:tc>
          <w:tcPr>
            <w:tcW w:w="630" w:type="dxa"/>
          </w:tcPr>
          <w:p w14:paraId="76656AD5"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0</w:t>
            </w:r>
          </w:p>
        </w:tc>
        <w:tc>
          <w:tcPr>
            <w:tcW w:w="630" w:type="dxa"/>
          </w:tcPr>
          <w:p w14:paraId="0D6CFF28"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0</w:t>
            </w:r>
          </w:p>
        </w:tc>
        <w:tc>
          <w:tcPr>
            <w:tcW w:w="632" w:type="dxa"/>
          </w:tcPr>
          <w:p w14:paraId="298558D4" w14:textId="77777777" w:rsidR="00BD7803" w:rsidRPr="00F3795D" w:rsidRDefault="00BD7803" w:rsidP="00372EFD">
            <w:pPr>
              <w:pStyle w:val="TableParagraph"/>
              <w:ind w:right="-44"/>
              <w:jc w:val="center"/>
              <w:rPr>
                <w:bCs/>
                <w:color w:val="000000" w:themeColor="text1"/>
                <w:sz w:val="16"/>
                <w:szCs w:val="16"/>
              </w:rPr>
            </w:pPr>
            <w:r w:rsidRPr="00F3795D">
              <w:rPr>
                <w:bCs/>
                <w:color w:val="000000" w:themeColor="text1"/>
                <w:sz w:val="16"/>
                <w:szCs w:val="16"/>
              </w:rPr>
              <w:t>0</w:t>
            </w:r>
          </w:p>
        </w:tc>
      </w:tr>
      <w:tr w:rsidR="00473FF2" w:rsidRPr="00F3795D" w14:paraId="10EAD395" w14:textId="77777777" w:rsidTr="00992153">
        <w:trPr>
          <w:trHeight w:val="20"/>
          <w:jc w:val="center"/>
        </w:trPr>
        <w:tc>
          <w:tcPr>
            <w:tcW w:w="444" w:type="dxa"/>
          </w:tcPr>
          <w:p w14:paraId="4DCBDDDE" w14:textId="77777777" w:rsidR="00BD7803" w:rsidRPr="00F3795D" w:rsidRDefault="00BD7803" w:rsidP="00372EFD">
            <w:pPr>
              <w:pStyle w:val="TableParagraph"/>
              <w:spacing w:before="29"/>
              <w:ind w:left="131" w:right="0"/>
              <w:jc w:val="left"/>
              <w:rPr>
                <w:bCs/>
                <w:color w:val="000000" w:themeColor="text1"/>
                <w:sz w:val="16"/>
                <w:szCs w:val="16"/>
              </w:rPr>
            </w:pPr>
            <w:r w:rsidRPr="00F3795D">
              <w:rPr>
                <w:bCs/>
                <w:color w:val="000000" w:themeColor="text1"/>
                <w:spacing w:val="-5"/>
                <w:sz w:val="16"/>
                <w:szCs w:val="16"/>
              </w:rPr>
              <w:lastRenderedPageBreak/>
              <w:t>23</w:t>
            </w:r>
          </w:p>
        </w:tc>
        <w:tc>
          <w:tcPr>
            <w:tcW w:w="1260" w:type="dxa"/>
          </w:tcPr>
          <w:p w14:paraId="210B6EFC" w14:textId="77777777" w:rsidR="00BD7803" w:rsidRPr="00F3795D" w:rsidRDefault="00BD7803" w:rsidP="00372EFD">
            <w:pPr>
              <w:pStyle w:val="TableParagraph"/>
              <w:ind w:left="24" w:right="0"/>
              <w:jc w:val="left"/>
              <w:rPr>
                <w:bCs/>
                <w:color w:val="000000" w:themeColor="text1"/>
                <w:sz w:val="16"/>
                <w:szCs w:val="16"/>
              </w:rPr>
            </w:pPr>
            <w:r w:rsidRPr="00F3795D">
              <w:rPr>
                <w:bCs/>
                <w:color w:val="000000" w:themeColor="text1"/>
                <w:sz w:val="16"/>
                <w:szCs w:val="16"/>
              </w:rPr>
              <w:t>Tamil</w:t>
            </w:r>
            <w:r w:rsidRPr="00F3795D">
              <w:rPr>
                <w:bCs/>
                <w:color w:val="000000" w:themeColor="text1"/>
                <w:spacing w:val="-5"/>
                <w:sz w:val="16"/>
                <w:szCs w:val="16"/>
              </w:rPr>
              <w:t xml:space="preserve"> </w:t>
            </w:r>
            <w:r w:rsidRPr="00F3795D">
              <w:rPr>
                <w:bCs/>
                <w:color w:val="000000" w:themeColor="text1"/>
                <w:spacing w:val="-4"/>
                <w:sz w:val="16"/>
                <w:szCs w:val="16"/>
              </w:rPr>
              <w:t>Nadu</w:t>
            </w:r>
          </w:p>
        </w:tc>
        <w:tc>
          <w:tcPr>
            <w:tcW w:w="720" w:type="dxa"/>
          </w:tcPr>
          <w:p w14:paraId="6DF47415" w14:textId="77777777" w:rsidR="00BD7803" w:rsidRPr="00F3795D" w:rsidRDefault="00BD7803" w:rsidP="00372EFD">
            <w:pPr>
              <w:pStyle w:val="TableParagraph"/>
              <w:ind w:right="6"/>
              <w:jc w:val="center"/>
              <w:rPr>
                <w:bCs/>
                <w:color w:val="000000" w:themeColor="text1"/>
                <w:sz w:val="16"/>
                <w:szCs w:val="16"/>
              </w:rPr>
            </w:pPr>
            <w:r w:rsidRPr="00F3795D">
              <w:rPr>
                <w:bCs/>
                <w:color w:val="000000" w:themeColor="text1"/>
                <w:spacing w:val="-4"/>
                <w:sz w:val="16"/>
                <w:szCs w:val="16"/>
              </w:rPr>
              <w:t>2088</w:t>
            </w:r>
          </w:p>
        </w:tc>
        <w:tc>
          <w:tcPr>
            <w:tcW w:w="720" w:type="dxa"/>
          </w:tcPr>
          <w:p w14:paraId="56163D51" w14:textId="77777777" w:rsidR="00BD7803" w:rsidRPr="00F3795D" w:rsidRDefault="00BD7803" w:rsidP="00372EFD">
            <w:pPr>
              <w:pStyle w:val="TableParagraph"/>
              <w:ind w:right="4"/>
              <w:jc w:val="center"/>
              <w:rPr>
                <w:bCs/>
                <w:color w:val="000000" w:themeColor="text1"/>
                <w:sz w:val="16"/>
                <w:szCs w:val="16"/>
              </w:rPr>
            </w:pPr>
            <w:r w:rsidRPr="00F3795D">
              <w:rPr>
                <w:bCs/>
                <w:color w:val="000000" w:themeColor="text1"/>
                <w:sz w:val="16"/>
                <w:szCs w:val="16"/>
              </w:rPr>
              <w:t>0</w:t>
            </w:r>
          </w:p>
        </w:tc>
        <w:tc>
          <w:tcPr>
            <w:tcW w:w="720" w:type="dxa"/>
          </w:tcPr>
          <w:p w14:paraId="30D2B25F" w14:textId="77777777" w:rsidR="00BD7803" w:rsidRPr="00F3795D" w:rsidRDefault="00BD7803" w:rsidP="00372EFD">
            <w:pPr>
              <w:pStyle w:val="TableParagraph"/>
              <w:ind w:right="1"/>
              <w:jc w:val="center"/>
              <w:rPr>
                <w:bCs/>
                <w:color w:val="000000" w:themeColor="text1"/>
                <w:sz w:val="16"/>
                <w:szCs w:val="16"/>
              </w:rPr>
            </w:pPr>
            <w:r w:rsidRPr="00F3795D">
              <w:rPr>
                <w:bCs/>
                <w:color w:val="000000" w:themeColor="text1"/>
                <w:spacing w:val="-5"/>
                <w:sz w:val="16"/>
                <w:szCs w:val="16"/>
              </w:rPr>
              <w:t>891</w:t>
            </w:r>
          </w:p>
        </w:tc>
        <w:tc>
          <w:tcPr>
            <w:tcW w:w="630" w:type="dxa"/>
          </w:tcPr>
          <w:p w14:paraId="1E11C2E7"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810" w:type="dxa"/>
          </w:tcPr>
          <w:p w14:paraId="774715D1"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5"/>
                <w:sz w:val="16"/>
                <w:szCs w:val="16"/>
              </w:rPr>
              <w:t>772</w:t>
            </w:r>
          </w:p>
        </w:tc>
        <w:tc>
          <w:tcPr>
            <w:tcW w:w="541" w:type="dxa"/>
          </w:tcPr>
          <w:p w14:paraId="7D1CF440"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630" w:type="dxa"/>
          </w:tcPr>
          <w:p w14:paraId="71D3C2F5"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5"/>
                <w:sz w:val="16"/>
                <w:szCs w:val="16"/>
              </w:rPr>
              <w:t>344</w:t>
            </w:r>
          </w:p>
        </w:tc>
        <w:tc>
          <w:tcPr>
            <w:tcW w:w="630" w:type="dxa"/>
          </w:tcPr>
          <w:p w14:paraId="63EB29F0"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0</w:t>
            </w:r>
          </w:p>
        </w:tc>
        <w:tc>
          <w:tcPr>
            <w:tcW w:w="630" w:type="dxa"/>
          </w:tcPr>
          <w:p w14:paraId="63B4F0D5"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pacing w:val="-5"/>
                <w:sz w:val="16"/>
                <w:szCs w:val="16"/>
              </w:rPr>
              <w:t>59</w:t>
            </w:r>
          </w:p>
        </w:tc>
        <w:tc>
          <w:tcPr>
            <w:tcW w:w="632" w:type="dxa"/>
          </w:tcPr>
          <w:p w14:paraId="2F8809C0" w14:textId="77777777" w:rsidR="00BD7803" w:rsidRPr="00F3795D" w:rsidRDefault="00BD7803" w:rsidP="00372EFD">
            <w:pPr>
              <w:pStyle w:val="TableParagraph"/>
              <w:ind w:right="-44"/>
              <w:jc w:val="center"/>
              <w:rPr>
                <w:bCs/>
                <w:color w:val="000000" w:themeColor="text1"/>
                <w:sz w:val="16"/>
                <w:szCs w:val="16"/>
              </w:rPr>
            </w:pPr>
            <w:r w:rsidRPr="00F3795D">
              <w:rPr>
                <w:bCs/>
                <w:color w:val="000000" w:themeColor="text1"/>
                <w:sz w:val="16"/>
                <w:szCs w:val="16"/>
              </w:rPr>
              <w:t>0</w:t>
            </w:r>
          </w:p>
        </w:tc>
      </w:tr>
      <w:tr w:rsidR="00473FF2" w:rsidRPr="00F3795D" w14:paraId="1E8409C2" w14:textId="77777777" w:rsidTr="00992153">
        <w:trPr>
          <w:trHeight w:val="20"/>
          <w:jc w:val="center"/>
        </w:trPr>
        <w:tc>
          <w:tcPr>
            <w:tcW w:w="444" w:type="dxa"/>
          </w:tcPr>
          <w:p w14:paraId="1BC3C3E3" w14:textId="77777777" w:rsidR="00BD7803" w:rsidRPr="00F3795D" w:rsidRDefault="00BD7803" w:rsidP="00372EFD">
            <w:pPr>
              <w:pStyle w:val="TableParagraph"/>
              <w:spacing w:before="29"/>
              <w:ind w:left="131" w:right="0"/>
              <w:jc w:val="left"/>
              <w:rPr>
                <w:bCs/>
                <w:color w:val="000000" w:themeColor="text1"/>
                <w:sz w:val="16"/>
                <w:szCs w:val="16"/>
              </w:rPr>
            </w:pPr>
            <w:r w:rsidRPr="00F3795D">
              <w:rPr>
                <w:bCs/>
                <w:color w:val="000000" w:themeColor="text1"/>
                <w:spacing w:val="-5"/>
                <w:sz w:val="16"/>
                <w:szCs w:val="16"/>
              </w:rPr>
              <w:t>24</w:t>
            </w:r>
          </w:p>
        </w:tc>
        <w:tc>
          <w:tcPr>
            <w:tcW w:w="1260" w:type="dxa"/>
          </w:tcPr>
          <w:p w14:paraId="403E9D41" w14:textId="77777777" w:rsidR="00BD7803" w:rsidRPr="00F3795D" w:rsidRDefault="00BD7803" w:rsidP="00372EFD">
            <w:pPr>
              <w:pStyle w:val="TableParagraph"/>
              <w:ind w:left="23" w:right="0"/>
              <w:jc w:val="left"/>
              <w:rPr>
                <w:bCs/>
                <w:color w:val="000000" w:themeColor="text1"/>
                <w:sz w:val="16"/>
                <w:szCs w:val="16"/>
              </w:rPr>
            </w:pPr>
            <w:r w:rsidRPr="00F3795D">
              <w:rPr>
                <w:bCs/>
                <w:color w:val="000000" w:themeColor="text1"/>
                <w:spacing w:val="-2"/>
                <w:sz w:val="16"/>
                <w:szCs w:val="16"/>
              </w:rPr>
              <w:t>Telangana</w:t>
            </w:r>
          </w:p>
        </w:tc>
        <w:tc>
          <w:tcPr>
            <w:tcW w:w="720" w:type="dxa"/>
          </w:tcPr>
          <w:p w14:paraId="17D2B637" w14:textId="77777777" w:rsidR="00BD7803" w:rsidRPr="00F3795D" w:rsidRDefault="00BD7803" w:rsidP="00372EFD">
            <w:pPr>
              <w:pStyle w:val="TableParagraph"/>
              <w:ind w:right="6"/>
              <w:jc w:val="center"/>
              <w:rPr>
                <w:bCs/>
                <w:color w:val="000000" w:themeColor="text1"/>
                <w:sz w:val="16"/>
                <w:szCs w:val="16"/>
              </w:rPr>
            </w:pPr>
            <w:r w:rsidRPr="00F3795D">
              <w:rPr>
                <w:bCs/>
                <w:color w:val="000000" w:themeColor="text1"/>
                <w:spacing w:val="-4"/>
                <w:sz w:val="16"/>
                <w:szCs w:val="16"/>
              </w:rPr>
              <w:t>1711</w:t>
            </w:r>
          </w:p>
        </w:tc>
        <w:tc>
          <w:tcPr>
            <w:tcW w:w="720" w:type="dxa"/>
          </w:tcPr>
          <w:p w14:paraId="09A5250A" w14:textId="77777777" w:rsidR="00BD7803" w:rsidRPr="00F3795D" w:rsidRDefault="00BD7803" w:rsidP="00372EFD">
            <w:pPr>
              <w:pStyle w:val="TableParagraph"/>
              <w:ind w:right="4"/>
              <w:jc w:val="center"/>
              <w:rPr>
                <w:bCs/>
                <w:color w:val="000000" w:themeColor="text1"/>
                <w:sz w:val="16"/>
                <w:szCs w:val="16"/>
              </w:rPr>
            </w:pPr>
            <w:r w:rsidRPr="00F3795D">
              <w:rPr>
                <w:bCs/>
                <w:color w:val="000000" w:themeColor="text1"/>
                <w:sz w:val="16"/>
                <w:szCs w:val="16"/>
              </w:rPr>
              <w:t>0</w:t>
            </w:r>
          </w:p>
        </w:tc>
        <w:tc>
          <w:tcPr>
            <w:tcW w:w="720" w:type="dxa"/>
          </w:tcPr>
          <w:p w14:paraId="25593140" w14:textId="77777777" w:rsidR="00BD7803" w:rsidRPr="00F3795D" w:rsidRDefault="00BD7803" w:rsidP="00372EFD">
            <w:pPr>
              <w:pStyle w:val="TableParagraph"/>
              <w:ind w:right="1"/>
              <w:jc w:val="center"/>
              <w:rPr>
                <w:bCs/>
                <w:color w:val="000000" w:themeColor="text1"/>
                <w:sz w:val="16"/>
                <w:szCs w:val="16"/>
              </w:rPr>
            </w:pPr>
            <w:r w:rsidRPr="00F3795D">
              <w:rPr>
                <w:bCs/>
                <w:color w:val="000000" w:themeColor="text1"/>
                <w:spacing w:val="-5"/>
                <w:sz w:val="16"/>
                <w:szCs w:val="16"/>
              </w:rPr>
              <w:t>870</w:t>
            </w:r>
          </w:p>
        </w:tc>
        <w:tc>
          <w:tcPr>
            <w:tcW w:w="630" w:type="dxa"/>
          </w:tcPr>
          <w:p w14:paraId="69C32B48"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810" w:type="dxa"/>
          </w:tcPr>
          <w:p w14:paraId="2C167561"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5"/>
                <w:sz w:val="16"/>
                <w:szCs w:val="16"/>
              </w:rPr>
              <w:t>874</w:t>
            </w:r>
          </w:p>
        </w:tc>
        <w:tc>
          <w:tcPr>
            <w:tcW w:w="541" w:type="dxa"/>
          </w:tcPr>
          <w:p w14:paraId="74A1C74D"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630" w:type="dxa"/>
          </w:tcPr>
          <w:p w14:paraId="13A08EB7"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5"/>
                <w:sz w:val="16"/>
                <w:szCs w:val="16"/>
              </w:rPr>
              <w:t>611</w:t>
            </w:r>
          </w:p>
        </w:tc>
        <w:tc>
          <w:tcPr>
            <w:tcW w:w="630" w:type="dxa"/>
          </w:tcPr>
          <w:p w14:paraId="118FC1F3"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0</w:t>
            </w:r>
          </w:p>
        </w:tc>
        <w:tc>
          <w:tcPr>
            <w:tcW w:w="630" w:type="dxa"/>
          </w:tcPr>
          <w:p w14:paraId="2FCD79BF"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pacing w:val="-5"/>
                <w:sz w:val="16"/>
                <w:szCs w:val="16"/>
              </w:rPr>
              <w:t>67</w:t>
            </w:r>
          </w:p>
        </w:tc>
        <w:tc>
          <w:tcPr>
            <w:tcW w:w="632" w:type="dxa"/>
          </w:tcPr>
          <w:p w14:paraId="78C451D3" w14:textId="77777777" w:rsidR="00BD7803" w:rsidRPr="00F3795D" w:rsidRDefault="00BD7803" w:rsidP="00372EFD">
            <w:pPr>
              <w:pStyle w:val="TableParagraph"/>
              <w:ind w:right="-44"/>
              <w:jc w:val="center"/>
              <w:rPr>
                <w:bCs/>
                <w:color w:val="000000" w:themeColor="text1"/>
                <w:sz w:val="16"/>
                <w:szCs w:val="16"/>
              </w:rPr>
            </w:pPr>
            <w:r w:rsidRPr="00F3795D">
              <w:rPr>
                <w:bCs/>
                <w:color w:val="000000" w:themeColor="text1"/>
                <w:sz w:val="16"/>
                <w:szCs w:val="16"/>
              </w:rPr>
              <w:t>0</w:t>
            </w:r>
          </w:p>
        </w:tc>
      </w:tr>
      <w:tr w:rsidR="00473FF2" w:rsidRPr="00F3795D" w14:paraId="4D3F04E8" w14:textId="77777777" w:rsidTr="00992153">
        <w:trPr>
          <w:trHeight w:val="20"/>
          <w:jc w:val="center"/>
        </w:trPr>
        <w:tc>
          <w:tcPr>
            <w:tcW w:w="444" w:type="dxa"/>
          </w:tcPr>
          <w:p w14:paraId="4A7725ED" w14:textId="77777777" w:rsidR="00BD7803" w:rsidRPr="00F3795D" w:rsidRDefault="00BD7803" w:rsidP="00372EFD">
            <w:pPr>
              <w:pStyle w:val="TableParagraph"/>
              <w:spacing w:before="29"/>
              <w:ind w:left="131" w:right="0"/>
              <w:jc w:val="left"/>
              <w:rPr>
                <w:bCs/>
                <w:color w:val="000000" w:themeColor="text1"/>
                <w:sz w:val="16"/>
                <w:szCs w:val="16"/>
              </w:rPr>
            </w:pPr>
            <w:r w:rsidRPr="00F3795D">
              <w:rPr>
                <w:bCs/>
                <w:color w:val="000000" w:themeColor="text1"/>
                <w:spacing w:val="-5"/>
                <w:sz w:val="16"/>
                <w:szCs w:val="16"/>
              </w:rPr>
              <w:t>25</w:t>
            </w:r>
          </w:p>
        </w:tc>
        <w:tc>
          <w:tcPr>
            <w:tcW w:w="1260" w:type="dxa"/>
          </w:tcPr>
          <w:p w14:paraId="57F6D5C1" w14:textId="77777777" w:rsidR="00BD7803" w:rsidRPr="00F3795D" w:rsidRDefault="00BD7803" w:rsidP="00372EFD">
            <w:pPr>
              <w:pStyle w:val="TableParagraph"/>
              <w:ind w:left="23" w:right="0"/>
              <w:jc w:val="left"/>
              <w:rPr>
                <w:bCs/>
                <w:color w:val="000000" w:themeColor="text1"/>
                <w:sz w:val="16"/>
                <w:szCs w:val="16"/>
              </w:rPr>
            </w:pPr>
            <w:r w:rsidRPr="00F3795D">
              <w:rPr>
                <w:bCs/>
                <w:color w:val="000000" w:themeColor="text1"/>
                <w:spacing w:val="-2"/>
                <w:sz w:val="16"/>
                <w:szCs w:val="16"/>
              </w:rPr>
              <w:t>Tripura</w:t>
            </w:r>
          </w:p>
        </w:tc>
        <w:tc>
          <w:tcPr>
            <w:tcW w:w="720" w:type="dxa"/>
          </w:tcPr>
          <w:p w14:paraId="657BDB5C" w14:textId="77777777" w:rsidR="00BD7803" w:rsidRPr="00F3795D" w:rsidRDefault="00BD7803" w:rsidP="00372EFD">
            <w:pPr>
              <w:pStyle w:val="TableParagraph"/>
              <w:ind w:right="6"/>
              <w:jc w:val="center"/>
              <w:rPr>
                <w:bCs/>
                <w:color w:val="000000" w:themeColor="text1"/>
                <w:sz w:val="16"/>
                <w:szCs w:val="16"/>
              </w:rPr>
            </w:pPr>
            <w:r w:rsidRPr="00F3795D">
              <w:rPr>
                <w:bCs/>
                <w:color w:val="000000" w:themeColor="text1"/>
                <w:spacing w:val="-2"/>
                <w:sz w:val="16"/>
                <w:szCs w:val="16"/>
              </w:rPr>
              <w:t>12437</w:t>
            </w:r>
          </w:p>
        </w:tc>
        <w:tc>
          <w:tcPr>
            <w:tcW w:w="720" w:type="dxa"/>
          </w:tcPr>
          <w:p w14:paraId="5B9B48BD" w14:textId="77777777" w:rsidR="00BD7803" w:rsidRPr="00F3795D" w:rsidRDefault="00BD7803" w:rsidP="00372EFD">
            <w:pPr>
              <w:pStyle w:val="TableParagraph"/>
              <w:ind w:right="4"/>
              <w:jc w:val="center"/>
              <w:rPr>
                <w:bCs/>
                <w:color w:val="000000" w:themeColor="text1"/>
                <w:sz w:val="16"/>
                <w:szCs w:val="16"/>
              </w:rPr>
            </w:pPr>
            <w:r w:rsidRPr="00F3795D">
              <w:rPr>
                <w:bCs/>
                <w:color w:val="000000" w:themeColor="text1"/>
                <w:sz w:val="16"/>
                <w:szCs w:val="16"/>
              </w:rPr>
              <w:t>1</w:t>
            </w:r>
          </w:p>
        </w:tc>
        <w:tc>
          <w:tcPr>
            <w:tcW w:w="720" w:type="dxa"/>
          </w:tcPr>
          <w:p w14:paraId="604B91AD" w14:textId="77777777" w:rsidR="00BD7803" w:rsidRPr="00F3795D" w:rsidRDefault="00BD7803" w:rsidP="00372EFD">
            <w:pPr>
              <w:pStyle w:val="TableParagraph"/>
              <w:ind w:right="1"/>
              <w:jc w:val="center"/>
              <w:rPr>
                <w:bCs/>
                <w:color w:val="000000" w:themeColor="text1"/>
                <w:sz w:val="16"/>
                <w:szCs w:val="16"/>
              </w:rPr>
            </w:pPr>
            <w:r w:rsidRPr="00F3795D">
              <w:rPr>
                <w:bCs/>
                <w:color w:val="000000" w:themeColor="text1"/>
                <w:spacing w:val="-4"/>
                <w:sz w:val="16"/>
                <w:szCs w:val="16"/>
              </w:rPr>
              <w:t>3395</w:t>
            </w:r>
          </w:p>
        </w:tc>
        <w:tc>
          <w:tcPr>
            <w:tcW w:w="630" w:type="dxa"/>
          </w:tcPr>
          <w:p w14:paraId="4E208BD0" w14:textId="77777777" w:rsidR="00BD7803" w:rsidRPr="00F3795D" w:rsidRDefault="00BD7803" w:rsidP="00372EFD">
            <w:pPr>
              <w:pStyle w:val="TableParagraph"/>
              <w:ind w:right="0"/>
              <w:jc w:val="center"/>
              <w:rPr>
                <w:bCs/>
                <w:color w:val="000000" w:themeColor="text1"/>
                <w:sz w:val="16"/>
                <w:szCs w:val="16"/>
              </w:rPr>
            </w:pPr>
            <w:r w:rsidRPr="00F3795D">
              <w:rPr>
                <w:bCs/>
                <w:color w:val="000000" w:themeColor="text1"/>
                <w:sz w:val="16"/>
                <w:szCs w:val="16"/>
              </w:rPr>
              <w:t>2</w:t>
            </w:r>
          </w:p>
        </w:tc>
        <w:tc>
          <w:tcPr>
            <w:tcW w:w="810" w:type="dxa"/>
          </w:tcPr>
          <w:p w14:paraId="179982DC"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2"/>
                <w:sz w:val="16"/>
                <w:szCs w:val="16"/>
              </w:rPr>
              <w:t>10136</w:t>
            </w:r>
          </w:p>
        </w:tc>
        <w:tc>
          <w:tcPr>
            <w:tcW w:w="541" w:type="dxa"/>
          </w:tcPr>
          <w:p w14:paraId="773DDF53"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4</w:t>
            </w:r>
          </w:p>
        </w:tc>
        <w:tc>
          <w:tcPr>
            <w:tcW w:w="630" w:type="dxa"/>
          </w:tcPr>
          <w:p w14:paraId="689C76E4"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2"/>
                <w:sz w:val="16"/>
                <w:szCs w:val="16"/>
              </w:rPr>
              <w:t>12771</w:t>
            </w:r>
          </w:p>
        </w:tc>
        <w:tc>
          <w:tcPr>
            <w:tcW w:w="630" w:type="dxa"/>
          </w:tcPr>
          <w:p w14:paraId="5589E60A"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2</w:t>
            </w:r>
          </w:p>
        </w:tc>
        <w:tc>
          <w:tcPr>
            <w:tcW w:w="630" w:type="dxa"/>
          </w:tcPr>
          <w:p w14:paraId="22656138"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pacing w:val="-5"/>
                <w:sz w:val="16"/>
                <w:szCs w:val="16"/>
              </w:rPr>
              <w:t>990</w:t>
            </w:r>
          </w:p>
        </w:tc>
        <w:tc>
          <w:tcPr>
            <w:tcW w:w="632" w:type="dxa"/>
          </w:tcPr>
          <w:p w14:paraId="264F5A11" w14:textId="77777777" w:rsidR="00BD7803" w:rsidRPr="00F3795D" w:rsidRDefault="00BD7803" w:rsidP="00372EFD">
            <w:pPr>
              <w:pStyle w:val="TableParagraph"/>
              <w:ind w:right="-44"/>
              <w:jc w:val="center"/>
              <w:rPr>
                <w:bCs/>
                <w:color w:val="000000" w:themeColor="text1"/>
                <w:sz w:val="16"/>
                <w:szCs w:val="16"/>
              </w:rPr>
            </w:pPr>
            <w:r w:rsidRPr="00F3795D">
              <w:rPr>
                <w:bCs/>
                <w:color w:val="000000" w:themeColor="text1"/>
                <w:sz w:val="16"/>
                <w:szCs w:val="16"/>
              </w:rPr>
              <w:t>0</w:t>
            </w:r>
          </w:p>
        </w:tc>
      </w:tr>
      <w:tr w:rsidR="00473FF2" w:rsidRPr="00F3795D" w14:paraId="66125A72" w14:textId="77777777" w:rsidTr="00992153">
        <w:trPr>
          <w:trHeight w:val="20"/>
          <w:jc w:val="center"/>
        </w:trPr>
        <w:tc>
          <w:tcPr>
            <w:tcW w:w="444" w:type="dxa"/>
          </w:tcPr>
          <w:p w14:paraId="05AC241B" w14:textId="77777777" w:rsidR="00BD7803" w:rsidRPr="00F3795D" w:rsidRDefault="00BD7803" w:rsidP="00372EFD">
            <w:pPr>
              <w:pStyle w:val="TableParagraph"/>
              <w:spacing w:before="29"/>
              <w:ind w:left="131" w:right="0"/>
              <w:jc w:val="left"/>
              <w:rPr>
                <w:bCs/>
                <w:color w:val="000000" w:themeColor="text1"/>
                <w:sz w:val="16"/>
                <w:szCs w:val="16"/>
              </w:rPr>
            </w:pPr>
            <w:r w:rsidRPr="00F3795D">
              <w:rPr>
                <w:bCs/>
                <w:color w:val="000000" w:themeColor="text1"/>
                <w:spacing w:val="-5"/>
                <w:sz w:val="16"/>
                <w:szCs w:val="16"/>
              </w:rPr>
              <w:t>26</w:t>
            </w:r>
          </w:p>
        </w:tc>
        <w:tc>
          <w:tcPr>
            <w:tcW w:w="1260" w:type="dxa"/>
          </w:tcPr>
          <w:p w14:paraId="37F1E1E5" w14:textId="77777777" w:rsidR="00BD7803" w:rsidRPr="00F3795D" w:rsidRDefault="00BD7803" w:rsidP="00372EFD">
            <w:pPr>
              <w:pStyle w:val="TableParagraph"/>
              <w:ind w:left="24" w:right="0"/>
              <w:jc w:val="left"/>
              <w:rPr>
                <w:bCs/>
                <w:color w:val="000000" w:themeColor="text1"/>
                <w:sz w:val="16"/>
                <w:szCs w:val="16"/>
              </w:rPr>
            </w:pPr>
            <w:r w:rsidRPr="00F3795D">
              <w:rPr>
                <w:bCs/>
                <w:color w:val="000000" w:themeColor="text1"/>
                <w:sz w:val="16"/>
                <w:szCs w:val="16"/>
              </w:rPr>
              <w:t>Uttar</w:t>
            </w:r>
            <w:r w:rsidRPr="00F3795D">
              <w:rPr>
                <w:bCs/>
                <w:color w:val="000000" w:themeColor="text1"/>
                <w:spacing w:val="-2"/>
                <w:sz w:val="16"/>
                <w:szCs w:val="16"/>
              </w:rPr>
              <w:t xml:space="preserve"> Pradesh</w:t>
            </w:r>
          </w:p>
        </w:tc>
        <w:tc>
          <w:tcPr>
            <w:tcW w:w="720" w:type="dxa"/>
          </w:tcPr>
          <w:p w14:paraId="5BC9FEDE" w14:textId="77777777" w:rsidR="00BD7803" w:rsidRPr="00F3795D" w:rsidRDefault="00BD7803" w:rsidP="00372EFD">
            <w:pPr>
              <w:pStyle w:val="TableParagraph"/>
              <w:ind w:right="6"/>
              <w:jc w:val="center"/>
              <w:rPr>
                <w:bCs/>
                <w:color w:val="000000" w:themeColor="text1"/>
                <w:sz w:val="16"/>
                <w:szCs w:val="16"/>
              </w:rPr>
            </w:pPr>
            <w:r w:rsidRPr="00F3795D">
              <w:rPr>
                <w:bCs/>
                <w:color w:val="000000" w:themeColor="text1"/>
                <w:spacing w:val="-2"/>
                <w:sz w:val="16"/>
                <w:szCs w:val="16"/>
              </w:rPr>
              <w:t>92732</w:t>
            </w:r>
          </w:p>
        </w:tc>
        <w:tc>
          <w:tcPr>
            <w:tcW w:w="720" w:type="dxa"/>
          </w:tcPr>
          <w:p w14:paraId="6F437B90" w14:textId="77777777" w:rsidR="00BD7803" w:rsidRPr="00F3795D" w:rsidRDefault="00BD7803" w:rsidP="00372EFD">
            <w:pPr>
              <w:pStyle w:val="TableParagraph"/>
              <w:ind w:right="4"/>
              <w:jc w:val="center"/>
              <w:rPr>
                <w:bCs/>
                <w:color w:val="000000" w:themeColor="text1"/>
                <w:sz w:val="16"/>
                <w:szCs w:val="16"/>
              </w:rPr>
            </w:pPr>
            <w:r w:rsidRPr="00F3795D">
              <w:rPr>
                <w:bCs/>
                <w:color w:val="000000" w:themeColor="text1"/>
                <w:sz w:val="16"/>
                <w:szCs w:val="16"/>
              </w:rPr>
              <w:t>0</w:t>
            </w:r>
          </w:p>
        </w:tc>
        <w:tc>
          <w:tcPr>
            <w:tcW w:w="720" w:type="dxa"/>
          </w:tcPr>
          <w:p w14:paraId="09E9227F" w14:textId="77777777" w:rsidR="00BD7803" w:rsidRPr="00F3795D" w:rsidRDefault="00BD7803" w:rsidP="00372EFD">
            <w:pPr>
              <w:pStyle w:val="TableParagraph"/>
              <w:ind w:right="2"/>
              <w:jc w:val="center"/>
              <w:rPr>
                <w:bCs/>
                <w:color w:val="000000" w:themeColor="text1"/>
                <w:sz w:val="16"/>
                <w:szCs w:val="16"/>
              </w:rPr>
            </w:pPr>
            <w:r w:rsidRPr="00F3795D">
              <w:rPr>
                <w:bCs/>
                <w:color w:val="000000" w:themeColor="text1"/>
                <w:spacing w:val="-2"/>
                <w:sz w:val="16"/>
                <w:szCs w:val="16"/>
              </w:rPr>
              <w:t>28668</w:t>
            </w:r>
          </w:p>
        </w:tc>
        <w:tc>
          <w:tcPr>
            <w:tcW w:w="630" w:type="dxa"/>
          </w:tcPr>
          <w:p w14:paraId="4FDD183C"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810" w:type="dxa"/>
          </w:tcPr>
          <w:p w14:paraId="0822E852"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2"/>
                <w:sz w:val="16"/>
                <w:szCs w:val="16"/>
              </w:rPr>
              <w:t>10792</w:t>
            </w:r>
          </w:p>
        </w:tc>
        <w:tc>
          <w:tcPr>
            <w:tcW w:w="541" w:type="dxa"/>
          </w:tcPr>
          <w:p w14:paraId="3E3746C4"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630" w:type="dxa"/>
          </w:tcPr>
          <w:p w14:paraId="1C996915"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4"/>
                <w:sz w:val="16"/>
                <w:szCs w:val="16"/>
              </w:rPr>
              <w:t>7039</w:t>
            </w:r>
          </w:p>
        </w:tc>
        <w:tc>
          <w:tcPr>
            <w:tcW w:w="630" w:type="dxa"/>
          </w:tcPr>
          <w:p w14:paraId="4460F9FC"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0</w:t>
            </w:r>
          </w:p>
        </w:tc>
        <w:tc>
          <w:tcPr>
            <w:tcW w:w="630" w:type="dxa"/>
          </w:tcPr>
          <w:p w14:paraId="0D9A3F17"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pacing w:val="-5"/>
                <w:sz w:val="16"/>
                <w:szCs w:val="16"/>
              </w:rPr>
              <w:t>177</w:t>
            </w:r>
          </w:p>
        </w:tc>
        <w:tc>
          <w:tcPr>
            <w:tcW w:w="632" w:type="dxa"/>
          </w:tcPr>
          <w:p w14:paraId="71730EF9" w14:textId="77777777" w:rsidR="00BD7803" w:rsidRPr="00F3795D" w:rsidRDefault="00BD7803" w:rsidP="00372EFD">
            <w:pPr>
              <w:pStyle w:val="TableParagraph"/>
              <w:ind w:right="-44"/>
              <w:jc w:val="center"/>
              <w:rPr>
                <w:bCs/>
                <w:color w:val="000000" w:themeColor="text1"/>
                <w:sz w:val="16"/>
                <w:szCs w:val="16"/>
              </w:rPr>
            </w:pPr>
            <w:r w:rsidRPr="00F3795D">
              <w:rPr>
                <w:bCs/>
                <w:color w:val="000000" w:themeColor="text1"/>
                <w:sz w:val="16"/>
                <w:szCs w:val="16"/>
              </w:rPr>
              <w:t>0</w:t>
            </w:r>
          </w:p>
        </w:tc>
      </w:tr>
      <w:tr w:rsidR="00473FF2" w:rsidRPr="00F3795D" w14:paraId="59119ACB" w14:textId="77777777" w:rsidTr="00992153">
        <w:trPr>
          <w:trHeight w:val="20"/>
          <w:jc w:val="center"/>
        </w:trPr>
        <w:tc>
          <w:tcPr>
            <w:tcW w:w="444" w:type="dxa"/>
          </w:tcPr>
          <w:p w14:paraId="6924A825" w14:textId="77777777" w:rsidR="00BD7803" w:rsidRPr="00F3795D" w:rsidRDefault="00BD7803" w:rsidP="00372EFD">
            <w:pPr>
              <w:pStyle w:val="TableParagraph"/>
              <w:spacing w:before="29"/>
              <w:ind w:left="131" w:right="0"/>
              <w:jc w:val="left"/>
              <w:rPr>
                <w:bCs/>
                <w:color w:val="000000" w:themeColor="text1"/>
                <w:sz w:val="16"/>
                <w:szCs w:val="16"/>
              </w:rPr>
            </w:pPr>
            <w:r w:rsidRPr="00F3795D">
              <w:rPr>
                <w:bCs/>
                <w:color w:val="000000" w:themeColor="text1"/>
                <w:spacing w:val="-5"/>
                <w:sz w:val="16"/>
                <w:szCs w:val="16"/>
              </w:rPr>
              <w:t>27</w:t>
            </w:r>
          </w:p>
        </w:tc>
        <w:tc>
          <w:tcPr>
            <w:tcW w:w="1260" w:type="dxa"/>
          </w:tcPr>
          <w:p w14:paraId="3E538063" w14:textId="77777777" w:rsidR="00BD7803" w:rsidRPr="00F3795D" w:rsidRDefault="00BD7803" w:rsidP="00372EFD">
            <w:pPr>
              <w:pStyle w:val="TableParagraph"/>
              <w:ind w:left="23" w:right="0"/>
              <w:jc w:val="left"/>
              <w:rPr>
                <w:bCs/>
                <w:color w:val="000000" w:themeColor="text1"/>
                <w:sz w:val="16"/>
                <w:szCs w:val="16"/>
              </w:rPr>
            </w:pPr>
            <w:r w:rsidRPr="00F3795D">
              <w:rPr>
                <w:bCs/>
                <w:color w:val="000000" w:themeColor="text1"/>
                <w:spacing w:val="-2"/>
                <w:sz w:val="16"/>
                <w:szCs w:val="16"/>
              </w:rPr>
              <w:t>Uttarakhand</w:t>
            </w:r>
          </w:p>
        </w:tc>
        <w:tc>
          <w:tcPr>
            <w:tcW w:w="720" w:type="dxa"/>
          </w:tcPr>
          <w:p w14:paraId="25DEFC87" w14:textId="77777777" w:rsidR="00BD7803" w:rsidRPr="00F3795D" w:rsidRDefault="00BD7803" w:rsidP="00372EFD">
            <w:pPr>
              <w:pStyle w:val="TableParagraph"/>
              <w:ind w:right="6"/>
              <w:jc w:val="center"/>
              <w:rPr>
                <w:bCs/>
                <w:color w:val="000000" w:themeColor="text1"/>
                <w:sz w:val="16"/>
                <w:szCs w:val="16"/>
              </w:rPr>
            </w:pPr>
            <w:r w:rsidRPr="00F3795D">
              <w:rPr>
                <w:bCs/>
                <w:color w:val="000000" w:themeColor="text1"/>
                <w:spacing w:val="-5"/>
                <w:sz w:val="16"/>
                <w:szCs w:val="16"/>
              </w:rPr>
              <w:t>296</w:t>
            </w:r>
          </w:p>
        </w:tc>
        <w:tc>
          <w:tcPr>
            <w:tcW w:w="720" w:type="dxa"/>
          </w:tcPr>
          <w:p w14:paraId="768A81B5" w14:textId="77777777" w:rsidR="00BD7803" w:rsidRPr="00F3795D" w:rsidRDefault="00BD7803" w:rsidP="00372EFD">
            <w:pPr>
              <w:pStyle w:val="TableParagraph"/>
              <w:ind w:right="4"/>
              <w:jc w:val="center"/>
              <w:rPr>
                <w:bCs/>
                <w:color w:val="000000" w:themeColor="text1"/>
                <w:sz w:val="16"/>
                <w:szCs w:val="16"/>
              </w:rPr>
            </w:pPr>
            <w:r w:rsidRPr="00F3795D">
              <w:rPr>
                <w:bCs/>
                <w:color w:val="000000" w:themeColor="text1"/>
                <w:sz w:val="16"/>
                <w:szCs w:val="16"/>
              </w:rPr>
              <w:t>0</w:t>
            </w:r>
          </w:p>
        </w:tc>
        <w:tc>
          <w:tcPr>
            <w:tcW w:w="720" w:type="dxa"/>
          </w:tcPr>
          <w:p w14:paraId="01A5A5F5" w14:textId="77777777" w:rsidR="00BD7803" w:rsidRPr="00F3795D" w:rsidRDefault="00BD7803" w:rsidP="00372EFD">
            <w:pPr>
              <w:pStyle w:val="TableParagraph"/>
              <w:ind w:right="1"/>
              <w:jc w:val="center"/>
              <w:rPr>
                <w:bCs/>
                <w:color w:val="000000" w:themeColor="text1"/>
                <w:sz w:val="16"/>
                <w:szCs w:val="16"/>
              </w:rPr>
            </w:pPr>
            <w:r w:rsidRPr="00F3795D">
              <w:rPr>
                <w:bCs/>
                <w:color w:val="000000" w:themeColor="text1"/>
                <w:spacing w:val="-5"/>
                <w:sz w:val="16"/>
                <w:szCs w:val="16"/>
              </w:rPr>
              <w:t>15</w:t>
            </w:r>
          </w:p>
        </w:tc>
        <w:tc>
          <w:tcPr>
            <w:tcW w:w="630" w:type="dxa"/>
          </w:tcPr>
          <w:p w14:paraId="4ADC5B68"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810" w:type="dxa"/>
          </w:tcPr>
          <w:p w14:paraId="05E0D106"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5"/>
                <w:sz w:val="16"/>
                <w:szCs w:val="16"/>
              </w:rPr>
              <w:t>13</w:t>
            </w:r>
          </w:p>
        </w:tc>
        <w:tc>
          <w:tcPr>
            <w:tcW w:w="541" w:type="dxa"/>
          </w:tcPr>
          <w:p w14:paraId="1CBF9905"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630" w:type="dxa"/>
          </w:tcPr>
          <w:p w14:paraId="1ACCC251"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5"/>
                <w:sz w:val="16"/>
                <w:szCs w:val="16"/>
              </w:rPr>
              <w:t>19</w:t>
            </w:r>
          </w:p>
        </w:tc>
        <w:tc>
          <w:tcPr>
            <w:tcW w:w="630" w:type="dxa"/>
          </w:tcPr>
          <w:p w14:paraId="3C4769C7"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0</w:t>
            </w:r>
          </w:p>
        </w:tc>
        <w:tc>
          <w:tcPr>
            <w:tcW w:w="630" w:type="dxa"/>
          </w:tcPr>
          <w:p w14:paraId="3337F0F2"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1</w:t>
            </w:r>
          </w:p>
        </w:tc>
        <w:tc>
          <w:tcPr>
            <w:tcW w:w="632" w:type="dxa"/>
          </w:tcPr>
          <w:p w14:paraId="04234B6F" w14:textId="77777777" w:rsidR="00BD7803" w:rsidRPr="00F3795D" w:rsidRDefault="00BD7803" w:rsidP="00372EFD">
            <w:pPr>
              <w:pStyle w:val="TableParagraph"/>
              <w:ind w:right="-44"/>
              <w:jc w:val="center"/>
              <w:rPr>
                <w:bCs/>
                <w:color w:val="000000" w:themeColor="text1"/>
                <w:sz w:val="16"/>
                <w:szCs w:val="16"/>
              </w:rPr>
            </w:pPr>
            <w:r w:rsidRPr="00F3795D">
              <w:rPr>
                <w:bCs/>
                <w:color w:val="000000" w:themeColor="text1"/>
                <w:sz w:val="16"/>
                <w:szCs w:val="16"/>
              </w:rPr>
              <w:t>0</w:t>
            </w:r>
          </w:p>
        </w:tc>
      </w:tr>
      <w:tr w:rsidR="00473FF2" w:rsidRPr="00F3795D" w14:paraId="70F6E4CE" w14:textId="77777777" w:rsidTr="00992153">
        <w:trPr>
          <w:trHeight w:val="20"/>
          <w:jc w:val="center"/>
        </w:trPr>
        <w:tc>
          <w:tcPr>
            <w:tcW w:w="444" w:type="dxa"/>
          </w:tcPr>
          <w:p w14:paraId="136C43CD" w14:textId="77777777" w:rsidR="00BD7803" w:rsidRPr="00F3795D" w:rsidRDefault="00BD7803" w:rsidP="00372EFD">
            <w:pPr>
              <w:pStyle w:val="TableParagraph"/>
              <w:spacing w:before="29"/>
              <w:ind w:left="131" w:right="0"/>
              <w:jc w:val="left"/>
              <w:rPr>
                <w:bCs/>
                <w:color w:val="000000" w:themeColor="text1"/>
                <w:sz w:val="16"/>
                <w:szCs w:val="16"/>
              </w:rPr>
            </w:pPr>
            <w:r w:rsidRPr="00F3795D">
              <w:rPr>
                <w:bCs/>
                <w:color w:val="000000" w:themeColor="text1"/>
                <w:spacing w:val="-5"/>
                <w:sz w:val="16"/>
                <w:szCs w:val="16"/>
              </w:rPr>
              <w:t>28</w:t>
            </w:r>
          </w:p>
        </w:tc>
        <w:tc>
          <w:tcPr>
            <w:tcW w:w="1260" w:type="dxa"/>
          </w:tcPr>
          <w:p w14:paraId="3B71D216" w14:textId="77777777" w:rsidR="00BD7803" w:rsidRPr="00F3795D" w:rsidRDefault="00BD7803" w:rsidP="00372EFD">
            <w:pPr>
              <w:pStyle w:val="TableParagraph"/>
              <w:ind w:left="23" w:right="0"/>
              <w:jc w:val="left"/>
              <w:rPr>
                <w:bCs/>
                <w:color w:val="000000" w:themeColor="text1"/>
                <w:sz w:val="16"/>
                <w:szCs w:val="16"/>
              </w:rPr>
            </w:pPr>
            <w:r w:rsidRPr="00F3795D">
              <w:rPr>
                <w:bCs/>
                <w:color w:val="000000" w:themeColor="text1"/>
                <w:sz w:val="16"/>
                <w:szCs w:val="16"/>
              </w:rPr>
              <w:t>West</w:t>
            </w:r>
            <w:r w:rsidRPr="00F3795D">
              <w:rPr>
                <w:bCs/>
                <w:color w:val="000000" w:themeColor="text1"/>
                <w:spacing w:val="-6"/>
                <w:sz w:val="16"/>
                <w:szCs w:val="16"/>
              </w:rPr>
              <w:t xml:space="preserve"> </w:t>
            </w:r>
            <w:r w:rsidRPr="00F3795D">
              <w:rPr>
                <w:bCs/>
                <w:color w:val="000000" w:themeColor="text1"/>
                <w:spacing w:val="-2"/>
                <w:sz w:val="16"/>
                <w:szCs w:val="16"/>
              </w:rPr>
              <w:t>Bengal</w:t>
            </w:r>
          </w:p>
        </w:tc>
        <w:tc>
          <w:tcPr>
            <w:tcW w:w="720" w:type="dxa"/>
          </w:tcPr>
          <w:p w14:paraId="34F09295" w14:textId="77777777" w:rsidR="00BD7803" w:rsidRPr="00F3795D" w:rsidRDefault="00BD7803" w:rsidP="00372EFD">
            <w:pPr>
              <w:pStyle w:val="TableParagraph"/>
              <w:ind w:right="6"/>
              <w:jc w:val="center"/>
              <w:rPr>
                <w:bCs/>
                <w:color w:val="000000" w:themeColor="text1"/>
                <w:sz w:val="16"/>
                <w:szCs w:val="16"/>
              </w:rPr>
            </w:pPr>
            <w:r w:rsidRPr="00F3795D">
              <w:rPr>
                <w:bCs/>
                <w:color w:val="000000" w:themeColor="text1"/>
                <w:spacing w:val="-2"/>
                <w:sz w:val="16"/>
                <w:szCs w:val="16"/>
              </w:rPr>
              <w:t>25928</w:t>
            </w:r>
          </w:p>
        </w:tc>
        <w:tc>
          <w:tcPr>
            <w:tcW w:w="720" w:type="dxa"/>
          </w:tcPr>
          <w:p w14:paraId="0C342B4F" w14:textId="77777777" w:rsidR="00BD7803" w:rsidRPr="00F3795D" w:rsidRDefault="00BD7803" w:rsidP="00372EFD">
            <w:pPr>
              <w:pStyle w:val="TableParagraph"/>
              <w:ind w:right="4"/>
              <w:jc w:val="center"/>
              <w:rPr>
                <w:bCs/>
                <w:color w:val="000000" w:themeColor="text1"/>
                <w:sz w:val="16"/>
                <w:szCs w:val="16"/>
              </w:rPr>
            </w:pPr>
            <w:r w:rsidRPr="00F3795D">
              <w:rPr>
                <w:bCs/>
                <w:color w:val="000000" w:themeColor="text1"/>
                <w:sz w:val="16"/>
                <w:szCs w:val="16"/>
              </w:rPr>
              <w:t>6</w:t>
            </w:r>
          </w:p>
        </w:tc>
        <w:tc>
          <w:tcPr>
            <w:tcW w:w="720" w:type="dxa"/>
          </w:tcPr>
          <w:p w14:paraId="45B2AF12" w14:textId="77777777" w:rsidR="00BD7803" w:rsidRPr="00F3795D" w:rsidRDefault="00BD7803" w:rsidP="00372EFD">
            <w:pPr>
              <w:pStyle w:val="TableParagraph"/>
              <w:ind w:right="1"/>
              <w:jc w:val="center"/>
              <w:rPr>
                <w:bCs/>
                <w:color w:val="000000" w:themeColor="text1"/>
                <w:sz w:val="16"/>
                <w:szCs w:val="16"/>
              </w:rPr>
            </w:pPr>
            <w:r w:rsidRPr="00F3795D">
              <w:rPr>
                <w:bCs/>
                <w:color w:val="000000" w:themeColor="text1"/>
                <w:spacing w:val="-2"/>
                <w:sz w:val="16"/>
                <w:szCs w:val="16"/>
              </w:rPr>
              <w:t>14049</w:t>
            </w:r>
          </w:p>
        </w:tc>
        <w:tc>
          <w:tcPr>
            <w:tcW w:w="630" w:type="dxa"/>
          </w:tcPr>
          <w:p w14:paraId="72F3212C" w14:textId="77777777" w:rsidR="00BD7803" w:rsidRPr="00F3795D" w:rsidRDefault="00BD7803" w:rsidP="00372EFD">
            <w:pPr>
              <w:pStyle w:val="TableParagraph"/>
              <w:ind w:right="0"/>
              <w:jc w:val="center"/>
              <w:rPr>
                <w:bCs/>
                <w:color w:val="000000" w:themeColor="text1"/>
                <w:sz w:val="16"/>
                <w:szCs w:val="16"/>
              </w:rPr>
            </w:pPr>
            <w:r w:rsidRPr="00F3795D">
              <w:rPr>
                <w:bCs/>
                <w:color w:val="000000" w:themeColor="text1"/>
                <w:sz w:val="16"/>
                <w:szCs w:val="16"/>
              </w:rPr>
              <w:t>7</w:t>
            </w:r>
          </w:p>
        </w:tc>
        <w:tc>
          <w:tcPr>
            <w:tcW w:w="810" w:type="dxa"/>
          </w:tcPr>
          <w:p w14:paraId="39DBBA8F"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2"/>
                <w:sz w:val="16"/>
                <w:szCs w:val="16"/>
              </w:rPr>
              <w:t>28987</w:t>
            </w:r>
          </w:p>
        </w:tc>
        <w:tc>
          <w:tcPr>
            <w:tcW w:w="541" w:type="dxa"/>
          </w:tcPr>
          <w:p w14:paraId="3D90E52E"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3</w:t>
            </w:r>
          </w:p>
        </w:tc>
        <w:tc>
          <w:tcPr>
            <w:tcW w:w="630" w:type="dxa"/>
          </w:tcPr>
          <w:p w14:paraId="06DE8DDC"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2"/>
                <w:sz w:val="16"/>
                <w:szCs w:val="16"/>
              </w:rPr>
              <w:t>40563</w:t>
            </w:r>
          </w:p>
        </w:tc>
        <w:tc>
          <w:tcPr>
            <w:tcW w:w="630" w:type="dxa"/>
          </w:tcPr>
          <w:p w14:paraId="22F4EB71"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3</w:t>
            </w:r>
          </w:p>
        </w:tc>
        <w:tc>
          <w:tcPr>
            <w:tcW w:w="630" w:type="dxa"/>
          </w:tcPr>
          <w:p w14:paraId="78B010AE"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pacing w:val="-4"/>
                <w:sz w:val="16"/>
                <w:szCs w:val="16"/>
              </w:rPr>
              <w:t>1101</w:t>
            </w:r>
          </w:p>
        </w:tc>
        <w:tc>
          <w:tcPr>
            <w:tcW w:w="632" w:type="dxa"/>
          </w:tcPr>
          <w:p w14:paraId="157CD4A8" w14:textId="77777777" w:rsidR="00BD7803" w:rsidRPr="00F3795D" w:rsidRDefault="00BD7803" w:rsidP="00372EFD">
            <w:pPr>
              <w:pStyle w:val="TableParagraph"/>
              <w:ind w:right="-44"/>
              <w:jc w:val="center"/>
              <w:rPr>
                <w:bCs/>
                <w:color w:val="000000" w:themeColor="text1"/>
                <w:sz w:val="16"/>
                <w:szCs w:val="16"/>
              </w:rPr>
            </w:pPr>
            <w:r w:rsidRPr="00F3795D">
              <w:rPr>
                <w:bCs/>
                <w:color w:val="000000" w:themeColor="text1"/>
                <w:sz w:val="16"/>
                <w:szCs w:val="16"/>
              </w:rPr>
              <w:t>0</w:t>
            </w:r>
          </w:p>
        </w:tc>
      </w:tr>
      <w:tr w:rsidR="00473FF2" w:rsidRPr="00F3795D" w14:paraId="13B58E23" w14:textId="77777777" w:rsidTr="00992153">
        <w:trPr>
          <w:trHeight w:val="20"/>
          <w:jc w:val="center"/>
        </w:trPr>
        <w:tc>
          <w:tcPr>
            <w:tcW w:w="444" w:type="dxa"/>
          </w:tcPr>
          <w:p w14:paraId="4AB4A061" w14:textId="77777777" w:rsidR="00BD7803" w:rsidRPr="00F3795D" w:rsidRDefault="00BD7803" w:rsidP="00372EFD">
            <w:pPr>
              <w:pStyle w:val="TableParagraph"/>
              <w:spacing w:before="67"/>
              <w:ind w:left="131" w:right="0"/>
              <w:jc w:val="left"/>
              <w:rPr>
                <w:bCs/>
                <w:color w:val="000000" w:themeColor="text1"/>
                <w:sz w:val="16"/>
                <w:szCs w:val="16"/>
              </w:rPr>
            </w:pPr>
            <w:r w:rsidRPr="00F3795D">
              <w:rPr>
                <w:bCs/>
                <w:color w:val="000000" w:themeColor="text1"/>
                <w:spacing w:val="-5"/>
                <w:sz w:val="16"/>
                <w:szCs w:val="16"/>
              </w:rPr>
              <w:t>29</w:t>
            </w:r>
          </w:p>
        </w:tc>
        <w:tc>
          <w:tcPr>
            <w:tcW w:w="1260" w:type="dxa"/>
          </w:tcPr>
          <w:p w14:paraId="0E7998A9" w14:textId="77777777" w:rsidR="00BD7803" w:rsidRPr="00F3795D" w:rsidRDefault="00BD7803" w:rsidP="00372EFD">
            <w:pPr>
              <w:pStyle w:val="TableParagraph"/>
              <w:spacing w:before="2"/>
              <w:ind w:left="24" w:right="0"/>
              <w:jc w:val="left"/>
              <w:rPr>
                <w:bCs/>
                <w:color w:val="000000" w:themeColor="text1"/>
                <w:sz w:val="16"/>
                <w:szCs w:val="16"/>
              </w:rPr>
            </w:pPr>
            <w:r w:rsidRPr="00F3795D">
              <w:rPr>
                <w:bCs/>
                <w:color w:val="000000" w:themeColor="text1"/>
                <w:spacing w:val="-2"/>
                <w:sz w:val="16"/>
                <w:szCs w:val="16"/>
              </w:rPr>
              <w:t>Andaman</w:t>
            </w:r>
            <w:r w:rsidRPr="00F3795D">
              <w:rPr>
                <w:bCs/>
                <w:color w:val="000000" w:themeColor="text1"/>
                <w:spacing w:val="-3"/>
                <w:sz w:val="16"/>
                <w:szCs w:val="16"/>
              </w:rPr>
              <w:t xml:space="preserve"> </w:t>
            </w:r>
            <w:r w:rsidRPr="00F3795D">
              <w:rPr>
                <w:bCs/>
                <w:color w:val="000000" w:themeColor="text1"/>
                <w:spacing w:val="-2"/>
                <w:sz w:val="16"/>
                <w:szCs w:val="16"/>
              </w:rPr>
              <w:t>And</w:t>
            </w:r>
            <w:r w:rsidRPr="00F3795D">
              <w:rPr>
                <w:bCs/>
                <w:color w:val="000000" w:themeColor="text1"/>
                <w:spacing w:val="-1"/>
                <w:sz w:val="16"/>
                <w:szCs w:val="16"/>
              </w:rPr>
              <w:t xml:space="preserve"> </w:t>
            </w:r>
            <w:r w:rsidRPr="00F3795D">
              <w:rPr>
                <w:bCs/>
                <w:color w:val="000000" w:themeColor="text1"/>
                <w:spacing w:val="-2"/>
                <w:sz w:val="16"/>
                <w:szCs w:val="16"/>
              </w:rPr>
              <w:t>Nicobar</w:t>
            </w:r>
          </w:p>
          <w:p w14:paraId="69E242B0" w14:textId="77777777" w:rsidR="00BD7803" w:rsidRPr="00F3795D" w:rsidRDefault="00BD7803" w:rsidP="00372EFD">
            <w:pPr>
              <w:pStyle w:val="TableParagraph"/>
              <w:spacing w:before="13"/>
              <w:ind w:left="24" w:right="0"/>
              <w:jc w:val="left"/>
              <w:rPr>
                <w:bCs/>
                <w:color w:val="000000" w:themeColor="text1"/>
                <w:sz w:val="16"/>
                <w:szCs w:val="16"/>
              </w:rPr>
            </w:pPr>
            <w:r w:rsidRPr="00F3795D">
              <w:rPr>
                <w:bCs/>
                <w:color w:val="000000" w:themeColor="text1"/>
                <w:spacing w:val="-2"/>
                <w:sz w:val="16"/>
                <w:szCs w:val="16"/>
              </w:rPr>
              <w:t>Islands</w:t>
            </w:r>
          </w:p>
        </w:tc>
        <w:tc>
          <w:tcPr>
            <w:tcW w:w="720" w:type="dxa"/>
          </w:tcPr>
          <w:p w14:paraId="3C4AA563" w14:textId="77777777" w:rsidR="00BD7803" w:rsidRPr="00F3795D" w:rsidRDefault="00BD7803" w:rsidP="00372EFD">
            <w:pPr>
              <w:pStyle w:val="TableParagraph"/>
              <w:spacing w:before="72"/>
              <w:ind w:right="6"/>
              <w:jc w:val="center"/>
              <w:rPr>
                <w:bCs/>
                <w:color w:val="000000" w:themeColor="text1"/>
                <w:sz w:val="16"/>
                <w:szCs w:val="16"/>
              </w:rPr>
            </w:pPr>
            <w:r w:rsidRPr="00F3795D">
              <w:rPr>
                <w:bCs/>
                <w:color w:val="000000" w:themeColor="text1"/>
                <w:spacing w:val="-5"/>
                <w:sz w:val="16"/>
                <w:szCs w:val="16"/>
              </w:rPr>
              <w:t>202</w:t>
            </w:r>
          </w:p>
        </w:tc>
        <w:tc>
          <w:tcPr>
            <w:tcW w:w="720" w:type="dxa"/>
          </w:tcPr>
          <w:p w14:paraId="16B7A84D" w14:textId="77777777" w:rsidR="00BD7803" w:rsidRPr="00F3795D" w:rsidRDefault="00BD7803" w:rsidP="00372EFD">
            <w:pPr>
              <w:pStyle w:val="TableParagraph"/>
              <w:spacing w:before="72"/>
              <w:ind w:right="4"/>
              <w:jc w:val="center"/>
              <w:rPr>
                <w:bCs/>
                <w:color w:val="000000" w:themeColor="text1"/>
                <w:sz w:val="16"/>
                <w:szCs w:val="16"/>
              </w:rPr>
            </w:pPr>
            <w:r w:rsidRPr="00F3795D">
              <w:rPr>
                <w:bCs/>
                <w:color w:val="000000" w:themeColor="text1"/>
                <w:sz w:val="16"/>
                <w:szCs w:val="16"/>
              </w:rPr>
              <w:t>0</w:t>
            </w:r>
          </w:p>
        </w:tc>
        <w:tc>
          <w:tcPr>
            <w:tcW w:w="720" w:type="dxa"/>
          </w:tcPr>
          <w:p w14:paraId="50ED41AE" w14:textId="77777777" w:rsidR="00BD7803" w:rsidRPr="00F3795D" w:rsidRDefault="00BD7803" w:rsidP="00372EFD">
            <w:pPr>
              <w:pStyle w:val="TableParagraph"/>
              <w:spacing w:before="72"/>
              <w:ind w:right="1"/>
              <w:jc w:val="center"/>
              <w:rPr>
                <w:bCs/>
                <w:color w:val="000000" w:themeColor="text1"/>
                <w:sz w:val="16"/>
                <w:szCs w:val="16"/>
              </w:rPr>
            </w:pPr>
            <w:r w:rsidRPr="00F3795D">
              <w:rPr>
                <w:bCs/>
                <w:color w:val="000000" w:themeColor="text1"/>
                <w:spacing w:val="-5"/>
                <w:sz w:val="16"/>
                <w:szCs w:val="16"/>
              </w:rPr>
              <w:t>85</w:t>
            </w:r>
          </w:p>
        </w:tc>
        <w:tc>
          <w:tcPr>
            <w:tcW w:w="630" w:type="dxa"/>
          </w:tcPr>
          <w:p w14:paraId="38FDA3E7" w14:textId="77777777" w:rsidR="00BD7803" w:rsidRPr="00F3795D" w:rsidRDefault="00BD7803" w:rsidP="00372EFD">
            <w:pPr>
              <w:pStyle w:val="TableParagraph"/>
              <w:spacing w:before="72"/>
              <w:jc w:val="center"/>
              <w:rPr>
                <w:bCs/>
                <w:color w:val="000000" w:themeColor="text1"/>
                <w:sz w:val="16"/>
                <w:szCs w:val="16"/>
              </w:rPr>
            </w:pPr>
            <w:r w:rsidRPr="00F3795D">
              <w:rPr>
                <w:bCs/>
                <w:color w:val="000000" w:themeColor="text1"/>
                <w:sz w:val="16"/>
                <w:szCs w:val="16"/>
              </w:rPr>
              <w:t>2</w:t>
            </w:r>
          </w:p>
        </w:tc>
        <w:tc>
          <w:tcPr>
            <w:tcW w:w="810" w:type="dxa"/>
          </w:tcPr>
          <w:p w14:paraId="21693E5D" w14:textId="77777777" w:rsidR="00BD7803" w:rsidRPr="00F3795D" w:rsidRDefault="00BD7803" w:rsidP="00372EFD">
            <w:pPr>
              <w:pStyle w:val="TableParagraph"/>
              <w:spacing w:before="72"/>
              <w:jc w:val="center"/>
              <w:rPr>
                <w:bCs/>
                <w:color w:val="000000" w:themeColor="text1"/>
                <w:sz w:val="16"/>
                <w:szCs w:val="16"/>
              </w:rPr>
            </w:pPr>
            <w:r w:rsidRPr="00F3795D">
              <w:rPr>
                <w:bCs/>
                <w:color w:val="000000" w:themeColor="text1"/>
                <w:spacing w:val="-5"/>
                <w:sz w:val="16"/>
                <w:szCs w:val="16"/>
              </w:rPr>
              <w:t>27</w:t>
            </w:r>
          </w:p>
        </w:tc>
        <w:tc>
          <w:tcPr>
            <w:tcW w:w="541" w:type="dxa"/>
          </w:tcPr>
          <w:p w14:paraId="5D8A2BF5" w14:textId="77777777" w:rsidR="00BD7803" w:rsidRPr="00F3795D" w:rsidRDefault="00BD7803" w:rsidP="00372EFD">
            <w:pPr>
              <w:pStyle w:val="TableParagraph"/>
              <w:spacing w:before="72"/>
              <w:jc w:val="center"/>
              <w:rPr>
                <w:bCs/>
                <w:color w:val="000000" w:themeColor="text1"/>
                <w:sz w:val="16"/>
                <w:szCs w:val="16"/>
              </w:rPr>
            </w:pPr>
            <w:r w:rsidRPr="00F3795D">
              <w:rPr>
                <w:bCs/>
                <w:color w:val="000000" w:themeColor="text1"/>
                <w:sz w:val="16"/>
                <w:szCs w:val="16"/>
              </w:rPr>
              <w:t>0</w:t>
            </w:r>
          </w:p>
        </w:tc>
        <w:tc>
          <w:tcPr>
            <w:tcW w:w="630" w:type="dxa"/>
          </w:tcPr>
          <w:p w14:paraId="61A94D8B" w14:textId="77777777" w:rsidR="00BD7803" w:rsidRPr="00F3795D" w:rsidRDefault="00BD7803" w:rsidP="00372EFD">
            <w:pPr>
              <w:pStyle w:val="TableParagraph"/>
              <w:spacing w:before="72"/>
              <w:jc w:val="center"/>
              <w:rPr>
                <w:bCs/>
                <w:color w:val="000000" w:themeColor="text1"/>
                <w:sz w:val="16"/>
                <w:szCs w:val="16"/>
              </w:rPr>
            </w:pPr>
            <w:r w:rsidRPr="00F3795D">
              <w:rPr>
                <w:bCs/>
                <w:color w:val="000000" w:themeColor="text1"/>
                <w:spacing w:val="-5"/>
                <w:sz w:val="16"/>
                <w:szCs w:val="16"/>
              </w:rPr>
              <w:t>46</w:t>
            </w:r>
          </w:p>
        </w:tc>
        <w:tc>
          <w:tcPr>
            <w:tcW w:w="630" w:type="dxa"/>
          </w:tcPr>
          <w:p w14:paraId="3710A936" w14:textId="77777777" w:rsidR="00BD7803" w:rsidRPr="00F3795D" w:rsidRDefault="00BD7803" w:rsidP="00372EFD">
            <w:pPr>
              <w:pStyle w:val="TableParagraph"/>
              <w:spacing w:before="72"/>
              <w:ind w:right="-29"/>
              <w:jc w:val="center"/>
              <w:rPr>
                <w:bCs/>
                <w:color w:val="000000" w:themeColor="text1"/>
                <w:sz w:val="16"/>
                <w:szCs w:val="16"/>
              </w:rPr>
            </w:pPr>
            <w:r w:rsidRPr="00F3795D">
              <w:rPr>
                <w:bCs/>
                <w:color w:val="000000" w:themeColor="text1"/>
                <w:sz w:val="16"/>
                <w:szCs w:val="16"/>
              </w:rPr>
              <w:t>0</w:t>
            </w:r>
          </w:p>
        </w:tc>
        <w:tc>
          <w:tcPr>
            <w:tcW w:w="630" w:type="dxa"/>
          </w:tcPr>
          <w:p w14:paraId="297CC4AA" w14:textId="77777777" w:rsidR="00BD7803" w:rsidRPr="00F3795D" w:rsidRDefault="00BD7803" w:rsidP="00372EFD">
            <w:pPr>
              <w:pStyle w:val="TableParagraph"/>
              <w:spacing w:before="72"/>
              <w:ind w:right="-29"/>
              <w:jc w:val="center"/>
              <w:rPr>
                <w:bCs/>
                <w:color w:val="000000" w:themeColor="text1"/>
                <w:sz w:val="16"/>
                <w:szCs w:val="16"/>
              </w:rPr>
            </w:pPr>
            <w:r w:rsidRPr="00F3795D">
              <w:rPr>
                <w:bCs/>
                <w:color w:val="000000" w:themeColor="text1"/>
                <w:sz w:val="16"/>
                <w:szCs w:val="16"/>
              </w:rPr>
              <w:t>5</w:t>
            </w:r>
          </w:p>
        </w:tc>
        <w:tc>
          <w:tcPr>
            <w:tcW w:w="632" w:type="dxa"/>
          </w:tcPr>
          <w:p w14:paraId="3291855A" w14:textId="77777777" w:rsidR="00BD7803" w:rsidRPr="00F3795D" w:rsidRDefault="00BD7803" w:rsidP="00372EFD">
            <w:pPr>
              <w:pStyle w:val="TableParagraph"/>
              <w:spacing w:before="72"/>
              <w:ind w:right="-44"/>
              <w:jc w:val="center"/>
              <w:rPr>
                <w:bCs/>
                <w:color w:val="000000" w:themeColor="text1"/>
                <w:sz w:val="16"/>
                <w:szCs w:val="16"/>
              </w:rPr>
            </w:pPr>
            <w:r w:rsidRPr="00F3795D">
              <w:rPr>
                <w:bCs/>
                <w:color w:val="000000" w:themeColor="text1"/>
                <w:sz w:val="16"/>
                <w:szCs w:val="16"/>
              </w:rPr>
              <w:t>0</w:t>
            </w:r>
          </w:p>
        </w:tc>
      </w:tr>
      <w:tr w:rsidR="00473FF2" w:rsidRPr="00F3795D" w14:paraId="2ED76C3E" w14:textId="77777777" w:rsidTr="00992153">
        <w:trPr>
          <w:trHeight w:val="20"/>
          <w:jc w:val="center"/>
        </w:trPr>
        <w:tc>
          <w:tcPr>
            <w:tcW w:w="444" w:type="dxa"/>
          </w:tcPr>
          <w:p w14:paraId="371A9049" w14:textId="77777777" w:rsidR="00BD7803" w:rsidRPr="00F3795D" w:rsidRDefault="00BD7803" w:rsidP="00372EFD">
            <w:pPr>
              <w:pStyle w:val="TableParagraph"/>
              <w:spacing w:before="29"/>
              <w:ind w:left="131" w:right="0"/>
              <w:jc w:val="left"/>
              <w:rPr>
                <w:bCs/>
                <w:color w:val="000000" w:themeColor="text1"/>
                <w:sz w:val="16"/>
                <w:szCs w:val="16"/>
              </w:rPr>
            </w:pPr>
            <w:r w:rsidRPr="00F3795D">
              <w:rPr>
                <w:bCs/>
                <w:color w:val="000000" w:themeColor="text1"/>
                <w:spacing w:val="-5"/>
                <w:sz w:val="16"/>
                <w:szCs w:val="16"/>
              </w:rPr>
              <w:t>30</w:t>
            </w:r>
          </w:p>
        </w:tc>
        <w:tc>
          <w:tcPr>
            <w:tcW w:w="1260" w:type="dxa"/>
          </w:tcPr>
          <w:p w14:paraId="111E0382" w14:textId="77777777" w:rsidR="00BD7803" w:rsidRPr="00F3795D" w:rsidRDefault="00BD7803" w:rsidP="00372EFD">
            <w:pPr>
              <w:pStyle w:val="TableParagraph"/>
              <w:ind w:left="24" w:right="0"/>
              <w:jc w:val="left"/>
              <w:rPr>
                <w:bCs/>
                <w:color w:val="000000" w:themeColor="text1"/>
                <w:sz w:val="16"/>
                <w:szCs w:val="16"/>
              </w:rPr>
            </w:pPr>
            <w:r w:rsidRPr="00F3795D">
              <w:rPr>
                <w:bCs/>
                <w:color w:val="000000" w:themeColor="text1"/>
                <w:spacing w:val="-2"/>
                <w:sz w:val="16"/>
                <w:szCs w:val="16"/>
              </w:rPr>
              <w:t>Chandigarh</w:t>
            </w:r>
          </w:p>
        </w:tc>
        <w:tc>
          <w:tcPr>
            <w:tcW w:w="720" w:type="dxa"/>
          </w:tcPr>
          <w:p w14:paraId="14AD0275" w14:textId="77777777" w:rsidR="00BD7803" w:rsidRPr="00F3795D" w:rsidRDefault="00BD7803" w:rsidP="00372EFD">
            <w:pPr>
              <w:pStyle w:val="TableParagraph"/>
              <w:ind w:right="6"/>
              <w:jc w:val="center"/>
              <w:rPr>
                <w:bCs/>
                <w:color w:val="000000" w:themeColor="text1"/>
                <w:sz w:val="16"/>
                <w:szCs w:val="16"/>
              </w:rPr>
            </w:pPr>
            <w:r w:rsidRPr="00F3795D">
              <w:rPr>
                <w:bCs/>
                <w:color w:val="000000" w:themeColor="text1"/>
                <w:spacing w:val="-5"/>
                <w:sz w:val="16"/>
                <w:szCs w:val="16"/>
              </w:rPr>
              <w:t>22</w:t>
            </w:r>
          </w:p>
        </w:tc>
        <w:tc>
          <w:tcPr>
            <w:tcW w:w="720" w:type="dxa"/>
          </w:tcPr>
          <w:p w14:paraId="4C44118E" w14:textId="77777777" w:rsidR="00BD7803" w:rsidRPr="00F3795D" w:rsidRDefault="00BD7803" w:rsidP="00372EFD">
            <w:pPr>
              <w:pStyle w:val="TableParagraph"/>
              <w:ind w:right="4"/>
              <w:jc w:val="center"/>
              <w:rPr>
                <w:bCs/>
                <w:color w:val="000000" w:themeColor="text1"/>
                <w:sz w:val="16"/>
                <w:szCs w:val="16"/>
              </w:rPr>
            </w:pPr>
            <w:r w:rsidRPr="00F3795D">
              <w:rPr>
                <w:bCs/>
                <w:color w:val="000000" w:themeColor="text1"/>
                <w:sz w:val="16"/>
                <w:szCs w:val="16"/>
              </w:rPr>
              <w:t>0</w:t>
            </w:r>
          </w:p>
        </w:tc>
        <w:tc>
          <w:tcPr>
            <w:tcW w:w="720" w:type="dxa"/>
          </w:tcPr>
          <w:p w14:paraId="564835B6" w14:textId="77777777" w:rsidR="00BD7803" w:rsidRPr="00F3795D" w:rsidRDefault="00BD7803" w:rsidP="00372EFD">
            <w:pPr>
              <w:pStyle w:val="TableParagraph"/>
              <w:ind w:right="2"/>
              <w:jc w:val="center"/>
              <w:rPr>
                <w:bCs/>
                <w:color w:val="000000" w:themeColor="text1"/>
                <w:sz w:val="16"/>
                <w:szCs w:val="16"/>
              </w:rPr>
            </w:pPr>
            <w:r w:rsidRPr="00F3795D">
              <w:rPr>
                <w:bCs/>
                <w:color w:val="000000" w:themeColor="text1"/>
                <w:sz w:val="16"/>
                <w:szCs w:val="16"/>
              </w:rPr>
              <w:t>7</w:t>
            </w:r>
          </w:p>
        </w:tc>
        <w:tc>
          <w:tcPr>
            <w:tcW w:w="630" w:type="dxa"/>
          </w:tcPr>
          <w:p w14:paraId="2B416C1F"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810" w:type="dxa"/>
          </w:tcPr>
          <w:p w14:paraId="5F852FF2"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6</w:t>
            </w:r>
          </w:p>
        </w:tc>
        <w:tc>
          <w:tcPr>
            <w:tcW w:w="541" w:type="dxa"/>
          </w:tcPr>
          <w:p w14:paraId="138D369A"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630" w:type="dxa"/>
          </w:tcPr>
          <w:p w14:paraId="2B2194E2"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1</w:t>
            </w:r>
          </w:p>
        </w:tc>
        <w:tc>
          <w:tcPr>
            <w:tcW w:w="630" w:type="dxa"/>
          </w:tcPr>
          <w:p w14:paraId="42596730"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0</w:t>
            </w:r>
          </w:p>
        </w:tc>
        <w:tc>
          <w:tcPr>
            <w:tcW w:w="630" w:type="dxa"/>
          </w:tcPr>
          <w:p w14:paraId="5A363662"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0</w:t>
            </w:r>
          </w:p>
        </w:tc>
        <w:tc>
          <w:tcPr>
            <w:tcW w:w="632" w:type="dxa"/>
          </w:tcPr>
          <w:p w14:paraId="6CD12723" w14:textId="77777777" w:rsidR="00BD7803" w:rsidRPr="00F3795D" w:rsidRDefault="00BD7803" w:rsidP="00372EFD">
            <w:pPr>
              <w:pStyle w:val="TableParagraph"/>
              <w:ind w:right="-44"/>
              <w:jc w:val="center"/>
              <w:rPr>
                <w:bCs/>
                <w:color w:val="000000" w:themeColor="text1"/>
                <w:sz w:val="16"/>
                <w:szCs w:val="16"/>
              </w:rPr>
            </w:pPr>
            <w:r w:rsidRPr="00F3795D">
              <w:rPr>
                <w:bCs/>
                <w:color w:val="000000" w:themeColor="text1"/>
                <w:sz w:val="16"/>
                <w:szCs w:val="16"/>
              </w:rPr>
              <w:t>0</w:t>
            </w:r>
          </w:p>
        </w:tc>
      </w:tr>
      <w:tr w:rsidR="00473FF2" w:rsidRPr="00F3795D" w14:paraId="2233CD4E" w14:textId="77777777" w:rsidTr="00992153">
        <w:trPr>
          <w:trHeight w:val="20"/>
          <w:jc w:val="center"/>
        </w:trPr>
        <w:tc>
          <w:tcPr>
            <w:tcW w:w="444" w:type="dxa"/>
          </w:tcPr>
          <w:p w14:paraId="19604A30" w14:textId="77777777" w:rsidR="00BD7803" w:rsidRPr="00F3795D" w:rsidRDefault="00BD7803" w:rsidP="00372EFD">
            <w:pPr>
              <w:pStyle w:val="TableParagraph"/>
              <w:spacing w:before="29"/>
              <w:ind w:left="131" w:right="0"/>
              <w:jc w:val="left"/>
              <w:rPr>
                <w:bCs/>
                <w:color w:val="000000" w:themeColor="text1"/>
                <w:sz w:val="16"/>
                <w:szCs w:val="16"/>
              </w:rPr>
            </w:pPr>
            <w:r w:rsidRPr="00F3795D">
              <w:rPr>
                <w:bCs/>
                <w:color w:val="000000" w:themeColor="text1"/>
                <w:spacing w:val="-5"/>
                <w:sz w:val="16"/>
                <w:szCs w:val="16"/>
              </w:rPr>
              <w:t>31</w:t>
            </w:r>
          </w:p>
        </w:tc>
        <w:tc>
          <w:tcPr>
            <w:tcW w:w="1260" w:type="dxa"/>
          </w:tcPr>
          <w:p w14:paraId="1E0AC7BD" w14:textId="77777777" w:rsidR="00BD7803" w:rsidRPr="00F3795D" w:rsidRDefault="00BD7803" w:rsidP="00372EFD">
            <w:pPr>
              <w:pStyle w:val="TableParagraph"/>
              <w:ind w:left="23" w:right="0"/>
              <w:jc w:val="left"/>
              <w:rPr>
                <w:bCs/>
                <w:color w:val="000000" w:themeColor="text1"/>
                <w:sz w:val="16"/>
                <w:szCs w:val="16"/>
              </w:rPr>
            </w:pPr>
            <w:r w:rsidRPr="00F3795D">
              <w:rPr>
                <w:bCs/>
                <w:color w:val="000000" w:themeColor="text1"/>
                <w:spacing w:val="-2"/>
                <w:sz w:val="16"/>
                <w:szCs w:val="16"/>
              </w:rPr>
              <w:t>Delhi</w:t>
            </w:r>
          </w:p>
        </w:tc>
        <w:tc>
          <w:tcPr>
            <w:tcW w:w="720" w:type="dxa"/>
          </w:tcPr>
          <w:p w14:paraId="18C20967" w14:textId="77777777" w:rsidR="00BD7803" w:rsidRPr="00F3795D" w:rsidRDefault="00BD7803" w:rsidP="00372EFD">
            <w:pPr>
              <w:pStyle w:val="TableParagraph"/>
              <w:ind w:right="6"/>
              <w:jc w:val="center"/>
              <w:rPr>
                <w:bCs/>
                <w:color w:val="000000" w:themeColor="text1"/>
                <w:sz w:val="16"/>
                <w:szCs w:val="16"/>
              </w:rPr>
            </w:pPr>
            <w:r w:rsidRPr="00F3795D">
              <w:rPr>
                <w:bCs/>
                <w:color w:val="000000" w:themeColor="text1"/>
                <w:spacing w:val="-5"/>
                <w:sz w:val="16"/>
                <w:szCs w:val="16"/>
              </w:rPr>
              <w:t>713</w:t>
            </w:r>
          </w:p>
        </w:tc>
        <w:tc>
          <w:tcPr>
            <w:tcW w:w="720" w:type="dxa"/>
          </w:tcPr>
          <w:p w14:paraId="66EF6066" w14:textId="77777777" w:rsidR="00BD7803" w:rsidRPr="00F3795D" w:rsidRDefault="00BD7803" w:rsidP="00372EFD">
            <w:pPr>
              <w:pStyle w:val="TableParagraph"/>
              <w:ind w:right="4"/>
              <w:jc w:val="center"/>
              <w:rPr>
                <w:bCs/>
                <w:color w:val="000000" w:themeColor="text1"/>
                <w:sz w:val="16"/>
                <w:szCs w:val="16"/>
              </w:rPr>
            </w:pPr>
            <w:r w:rsidRPr="00F3795D">
              <w:rPr>
                <w:bCs/>
                <w:color w:val="000000" w:themeColor="text1"/>
                <w:sz w:val="16"/>
                <w:szCs w:val="16"/>
              </w:rPr>
              <w:t>0</w:t>
            </w:r>
          </w:p>
        </w:tc>
        <w:tc>
          <w:tcPr>
            <w:tcW w:w="720" w:type="dxa"/>
          </w:tcPr>
          <w:p w14:paraId="50DAD39C" w14:textId="77777777" w:rsidR="00BD7803" w:rsidRPr="00F3795D" w:rsidRDefault="00BD7803" w:rsidP="00372EFD">
            <w:pPr>
              <w:pStyle w:val="TableParagraph"/>
              <w:ind w:right="1"/>
              <w:jc w:val="center"/>
              <w:rPr>
                <w:bCs/>
                <w:color w:val="000000" w:themeColor="text1"/>
                <w:sz w:val="16"/>
                <w:szCs w:val="16"/>
              </w:rPr>
            </w:pPr>
            <w:r w:rsidRPr="00F3795D">
              <w:rPr>
                <w:bCs/>
                <w:color w:val="000000" w:themeColor="text1"/>
                <w:spacing w:val="-5"/>
                <w:sz w:val="16"/>
                <w:szCs w:val="16"/>
              </w:rPr>
              <w:t>135</w:t>
            </w:r>
          </w:p>
        </w:tc>
        <w:tc>
          <w:tcPr>
            <w:tcW w:w="630" w:type="dxa"/>
          </w:tcPr>
          <w:p w14:paraId="75F4D6CB"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1</w:t>
            </w:r>
          </w:p>
        </w:tc>
        <w:tc>
          <w:tcPr>
            <w:tcW w:w="810" w:type="dxa"/>
          </w:tcPr>
          <w:p w14:paraId="73FF2D70"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5"/>
                <w:sz w:val="16"/>
                <w:szCs w:val="16"/>
              </w:rPr>
              <w:t>167</w:t>
            </w:r>
          </w:p>
        </w:tc>
        <w:tc>
          <w:tcPr>
            <w:tcW w:w="541" w:type="dxa"/>
          </w:tcPr>
          <w:p w14:paraId="1F7F0E09"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630" w:type="dxa"/>
          </w:tcPr>
          <w:p w14:paraId="02E99F9C"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5"/>
                <w:sz w:val="16"/>
                <w:szCs w:val="16"/>
              </w:rPr>
              <w:t>173</w:t>
            </w:r>
          </w:p>
        </w:tc>
        <w:tc>
          <w:tcPr>
            <w:tcW w:w="630" w:type="dxa"/>
          </w:tcPr>
          <w:p w14:paraId="579CD31A"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0</w:t>
            </w:r>
          </w:p>
        </w:tc>
        <w:tc>
          <w:tcPr>
            <w:tcW w:w="630" w:type="dxa"/>
          </w:tcPr>
          <w:p w14:paraId="6B50489D"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0</w:t>
            </w:r>
          </w:p>
        </w:tc>
        <w:tc>
          <w:tcPr>
            <w:tcW w:w="632" w:type="dxa"/>
          </w:tcPr>
          <w:p w14:paraId="01FEACB2" w14:textId="77777777" w:rsidR="00BD7803" w:rsidRPr="00F3795D" w:rsidRDefault="00BD7803" w:rsidP="00372EFD">
            <w:pPr>
              <w:pStyle w:val="TableParagraph"/>
              <w:ind w:right="-44"/>
              <w:jc w:val="center"/>
              <w:rPr>
                <w:bCs/>
                <w:color w:val="000000" w:themeColor="text1"/>
                <w:sz w:val="16"/>
                <w:szCs w:val="16"/>
              </w:rPr>
            </w:pPr>
            <w:r w:rsidRPr="00F3795D">
              <w:rPr>
                <w:bCs/>
                <w:color w:val="000000" w:themeColor="text1"/>
                <w:sz w:val="16"/>
                <w:szCs w:val="16"/>
              </w:rPr>
              <w:t>0</w:t>
            </w:r>
          </w:p>
        </w:tc>
      </w:tr>
      <w:tr w:rsidR="00473FF2" w:rsidRPr="00F3795D" w14:paraId="7BCC3A92" w14:textId="77777777" w:rsidTr="00992153">
        <w:trPr>
          <w:trHeight w:val="20"/>
          <w:jc w:val="center"/>
        </w:trPr>
        <w:tc>
          <w:tcPr>
            <w:tcW w:w="444" w:type="dxa"/>
          </w:tcPr>
          <w:p w14:paraId="3857FC5C" w14:textId="77777777" w:rsidR="00BD7803" w:rsidRPr="00F3795D" w:rsidRDefault="00BD7803" w:rsidP="00372EFD">
            <w:pPr>
              <w:pStyle w:val="TableParagraph"/>
              <w:spacing w:before="29"/>
              <w:ind w:left="131" w:right="0"/>
              <w:jc w:val="left"/>
              <w:rPr>
                <w:bCs/>
                <w:color w:val="000000" w:themeColor="text1"/>
                <w:sz w:val="16"/>
                <w:szCs w:val="16"/>
              </w:rPr>
            </w:pPr>
            <w:r w:rsidRPr="00F3795D">
              <w:rPr>
                <w:bCs/>
                <w:color w:val="000000" w:themeColor="text1"/>
                <w:spacing w:val="-5"/>
                <w:sz w:val="16"/>
                <w:szCs w:val="16"/>
              </w:rPr>
              <w:t>32</w:t>
            </w:r>
          </w:p>
        </w:tc>
        <w:tc>
          <w:tcPr>
            <w:tcW w:w="1260" w:type="dxa"/>
          </w:tcPr>
          <w:p w14:paraId="227929CB" w14:textId="77777777" w:rsidR="00BD7803" w:rsidRPr="00F3795D" w:rsidRDefault="00BD7803" w:rsidP="00372EFD">
            <w:pPr>
              <w:pStyle w:val="TableParagraph"/>
              <w:ind w:left="23" w:right="0"/>
              <w:jc w:val="left"/>
              <w:rPr>
                <w:bCs/>
                <w:color w:val="000000" w:themeColor="text1"/>
                <w:sz w:val="16"/>
                <w:szCs w:val="16"/>
              </w:rPr>
            </w:pPr>
            <w:r w:rsidRPr="00F3795D">
              <w:rPr>
                <w:bCs/>
                <w:color w:val="000000" w:themeColor="text1"/>
                <w:spacing w:val="-2"/>
                <w:sz w:val="16"/>
                <w:szCs w:val="16"/>
              </w:rPr>
              <w:t>Jammu</w:t>
            </w:r>
            <w:r w:rsidRPr="00F3795D">
              <w:rPr>
                <w:bCs/>
                <w:color w:val="000000" w:themeColor="text1"/>
                <w:spacing w:val="-1"/>
                <w:sz w:val="16"/>
                <w:szCs w:val="16"/>
              </w:rPr>
              <w:t xml:space="preserve"> </w:t>
            </w:r>
            <w:r w:rsidRPr="00F3795D">
              <w:rPr>
                <w:bCs/>
                <w:color w:val="000000" w:themeColor="text1"/>
                <w:spacing w:val="-2"/>
                <w:sz w:val="16"/>
                <w:szCs w:val="16"/>
              </w:rPr>
              <w:t>And</w:t>
            </w:r>
            <w:r w:rsidRPr="00F3795D">
              <w:rPr>
                <w:bCs/>
                <w:color w:val="000000" w:themeColor="text1"/>
                <w:spacing w:val="-1"/>
                <w:sz w:val="16"/>
                <w:szCs w:val="16"/>
              </w:rPr>
              <w:t xml:space="preserve"> </w:t>
            </w:r>
            <w:r w:rsidRPr="00F3795D">
              <w:rPr>
                <w:bCs/>
                <w:color w:val="000000" w:themeColor="text1"/>
                <w:spacing w:val="-2"/>
                <w:sz w:val="16"/>
                <w:szCs w:val="16"/>
              </w:rPr>
              <w:t>Kashmir</w:t>
            </w:r>
          </w:p>
        </w:tc>
        <w:tc>
          <w:tcPr>
            <w:tcW w:w="720" w:type="dxa"/>
          </w:tcPr>
          <w:p w14:paraId="7EC7ED75" w14:textId="77777777" w:rsidR="00BD7803" w:rsidRPr="00F3795D" w:rsidRDefault="00BD7803" w:rsidP="00372EFD">
            <w:pPr>
              <w:pStyle w:val="TableParagraph"/>
              <w:ind w:right="6"/>
              <w:jc w:val="center"/>
              <w:rPr>
                <w:bCs/>
                <w:color w:val="000000" w:themeColor="text1"/>
                <w:sz w:val="16"/>
                <w:szCs w:val="16"/>
              </w:rPr>
            </w:pPr>
            <w:r w:rsidRPr="00F3795D">
              <w:rPr>
                <w:bCs/>
                <w:color w:val="000000" w:themeColor="text1"/>
                <w:spacing w:val="-5"/>
                <w:sz w:val="16"/>
                <w:szCs w:val="16"/>
              </w:rPr>
              <w:t>105</w:t>
            </w:r>
          </w:p>
        </w:tc>
        <w:tc>
          <w:tcPr>
            <w:tcW w:w="720" w:type="dxa"/>
          </w:tcPr>
          <w:p w14:paraId="56EDA11B" w14:textId="77777777" w:rsidR="00BD7803" w:rsidRPr="00F3795D" w:rsidRDefault="00BD7803" w:rsidP="00372EFD">
            <w:pPr>
              <w:pStyle w:val="TableParagraph"/>
              <w:ind w:right="4"/>
              <w:jc w:val="center"/>
              <w:rPr>
                <w:bCs/>
                <w:color w:val="000000" w:themeColor="text1"/>
                <w:sz w:val="16"/>
                <w:szCs w:val="16"/>
              </w:rPr>
            </w:pPr>
            <w:r w:rsidRPr="00F3795D">
              <w:rPr>
                <w:bCs/>
                <w:color w:val="000000" w:themeColor="text1"/>
                <w:sz w:val="16"/>
                <w:szCs w:val="16"/>
              </w:rPr>
              <w:t>0</w:t>
            </w:r>
          </w:p>
        </w:tc>
        <w:tc>
          <w:tcPr>
            <w:tcW w:w="720" w:type="dxa"/>
          </w:tcPr>
          <w:p w14:paraId="43A5B5BC" w14:textId="77777777" w:rsidR="00BD7803" w:rsidRPr="00F3795D" w:rsidRDefault="00BD7803" w:rsidP="00372EFD">
            <w:pPr>
              <w:pStyle w:val="TableParagraph"/>
              <w:ind w:right="1"/>
              <w:jc w:val="center"/>
              <w:rPr>
                <w:bCs/>
                <w:color w:val="000000" w:themeColor="text1"/>
                <w:sz w:val="16"/>
                <w:szCs w:val="16"/>
              </w:rPr>
            </w:pPr>
            <w:r w:rsidRPr="00F3795D">
              <w:rPr>
                <w:bCs/>
                <w:color w:val="000000" w:themeColor="text1"/>
                <w:spacing w:val="-5"/>
                <w:sz w:val="16"/>
                <w:szCs w:val="16"/>
              </w:rPr>
              <w:t>37</w:t>
            </w:r>
          </w:p>
        </w:tc>
        <w:tc>
          <w:tcPr>
            <w:tcW w:w="630" w:type="dxa"/>
          </w:tcPr>
          <w:p w14:paraId="4739B48E" w14:textId="77777777" w:rsidR="00BD7803" w:rsidRPr="00F3795D" w:rsidRDefault="00BD7803" w:rsidP="00372EFD">
            <w:pPr>
              <w:pStyle w:val="TableParagraph"/>
              <w:ind w:right="0"/>
              <w:jc w:val="center"/>
              <w:rPr>
                <w:bCs/>
                <w:color w:val="000000" w:themeColor="text1"/>
                <w:sz w:val="16"/>
                <w:szCs w:val="16"/>
              </w:rPr>
            </w:pPr>
            <w:r w:rsidRPr="00F3795D">
              <w:rPr>
                <w:bCs/>
                <w:color w:val="000000" w:themeColor="text1"/>
                <w:sz w:val="16"/>
                <w:szCs w:val="16"/>
              </w:rPr>
              <w:t>0</w:t>
            </w:r>
          </w:p>
        </w:tc>
        <w:tc>
          <w:tcPr>
            <w:tcW w:w="810" w:type="dxa"/>
          </w:tcPr>
          <w:p w14:paraId="581D2978"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5"/>
                <w:sz w:val="16"/>
                <w:szCs w:val="16"/>
              </w:rPr>
              <w:t>31</w:t>
            </w:r>
          </w:p>
        </w:tc>
        <w:tc>
          <w:tcPr>
            <w:tcW w:w="541" w:type="dxa"/>
          </w:tcPr>
          <w:p w14:paraId="71CCC4FF"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630" w:type="dxa"/>
          </w:tcPr>
          <w:p w14:paraId="55D033AF"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pacing w:val="-5"/>
                <w:sz w:val="16"/>
                <w:szCs w:val="16"/>
              </w:rPr>
              <w:t>37</w:t>
            </w:r>
          </w:p>
        </w:tc>
        <w:tc>
          <w:tcPr>
            <w:tcW w:w="630" w:type="dxa"/>
          </w:tcPr>
          <w:p w14:paraId="2F5BA43B"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0</w:t>
            </w:r>
          </w:p>
        </w:tc>
        <w:tc>
          <w:tcPr>
            <w:tcW w:w="630" w:type="dxa"/>
          </w:tcPr>
          <w:p w14:paraId="5ADF3BC7"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0</w:t>
            </w:r>
          </w:p>
        </w:tc>
        <w:tc>
          <w:tcPr>
            <w:tcW w:w="632" w:type="dxa"/>
          </w:tcPr>
          <w:p w14:paraId="41051A3C" w14:textId="77777777" w:rsidR="00BD7803" w:rsidRPr="00F3795D" w:rsidRDefault="00BD7803" w:rsidP="00372EFD">
            <w:pPr>
              <w:pStyle w:val="TableParagraph"/>
              <w:ind w:right="-44"/>
              <w:jc w:val="center"/>
              <w:rPr>
                <w:bCs/>
                <w:color w:val="000000" w:themeColor="text1"/>
                <w:sz w:val="16"/>
                <w:szCs w:val="16"/>
              </w:rPr>
            </w:pPr>
            <w:r w:rsidRPr="00F3795D">
              <w:rPr>
                <w:bCs/>
                <w:color w:val="000000" w:themeColor="text1"/>
                <w:sz w:val="16"/>
                <w:szCs w:val="16"/>
              </w:rPr>
              <w:t>0</w:t>
            </w:r>
          </w:p>
        </w:tc>
      </w:tr>
      <w:tr w:rsidR="00473FF2" w:rsidRPr="00F3795D" w14:paraId="55ADF440" w14:textId="77777777" w:rsidTr="00992153">
        <w:trPr>
          <w:trHeight w:val="20"/>
          <w:jc w:val="center"/>
        </w:trPr>
        <w:tc>
          <w:tcPr>
            <w:tcW w:w="444" w:type="dxa"/>
          </w:tcPr>
          <w:p w14:paraId="64EFFDE1" w14:textId="77777777" w:rsidR="00BD7803" w:rsidRPr="00F3795D" w:rsidRDefault="00BD7803" w:rsidP="00372EFD">
            <w:pPr>
              <w:pStyle w:val="TableParagraph"/>
              <w:spacing w:before="29"/>
              <w:ind w:left="131" w:right="0"/>
              <w:jc w:val="left"/>
              <w:rPr>
                <w:bCs/>
                <w:color w:val="000000" w:themeColor="text1"/>
                <w:sz w:val="16"/>
                <w:szCs w:val="16"/>
              </w:rPr>
            </w:pPr>
            <w:r w:rsidRPr="00F3795D">
              <w:rPr>
                <w:bCs/>
                <w:color w:val="000000" w:themeColor="text1"/>
                <w:spacing w:val="-5"/>
                <w:sz w:val="16"/>
                <w:szCs w:val="16"/>
              </w:rPr>
              <w:t>33</w:t>
            </w:r>
          </w:p>
        </w:tc>
        <w:tc>
          <w:tcPr>
            <w:tcW w:w="1260" w:type="dxa"/>
          </w:tcPr>
          <w:p w14:paraId="65EB90E7" w14:textId="77777777" w:rsidR="00BD7803" w:rsidRPr="00F3795D" w:rsidRDefault="00BD7803" w:rsidP="00372EFD">
            <w:pPr>
              <w:pStyle w:val="TableParagraph"/>
              <w:ind w:left="24" w:right="0"/>
              <w:jc w:val="left"/>
              <w:rPr>
                <w:bCs/>
                <w:color w:val="000000" w:themeColor="text1"/>
                <w:sz w:val="16"/>
                <w:szCs w:val="16"/>
              </w:rPr>
            </w:pPr>
            <w:r w:rsidRPr="00F3795D">
              <w:rPr>
                <w:bCs/>
                <w:color w:val="000000" w:themeColor="text1"/>
                <w:spacing w:val="-2"/>
                <w:sz w:val="16"/>
                <w:szCs w:val="16"/>
              </w:rPr>
              <w:t>Ladakh</w:t>
            </w:r>
          </w:p>
        </w:tc>
        <w:tc>
          <w:tcPr>
            <w:tcW w:w="720" w:type="dxa"/>
          </w:tcPr>
          <w:p w14:paraId="6B9A527E" w14:textId="77777777" w:rsidR="00BD7803" w:rsidRPr="00F3795D" w:rsidRDefault="00BD7803" w:rsidP="00372EFD">
            <w:pPr>
              <w:pStyle w:val="TableParagraph"/>
              <w:spacing w:before="0"/>
              <w:ind w:right="0"/>
              <w:jc w:val="left"/>
              <w:rPr>
                <w:bCs/>
                <w:color w:val="000000" w:themeColor="text1"/>
                <w:sz w:val="16"/>
                <w:szCs w:val="16"/>
              </w:rPr>
            </w:pPr>
          </w:p>
        </w:tc>
        <w:tc>
          <w:tcPr>
            <w:tcW w:w="720" w:type="dxa"/>
          </w:tcPr>
          <w:p w14:paraId="1A5B9CEB" w14:textId="77777777" w:rsidR="00BD7803" w:rsidRPr="00F3795D" w:rsidRDefault="00BD7803" w:rsidP="00372EFD">
            <w:pPr>
              <w:pStyle w:val="TableParagraph"/>
              <w:spacing w:before="0"/>
              <w:ind w:right="0"/>
              <w:jc w:val="left"/>
              <w:rPr>
                <w:bCs/>
                <w:color w:val="000000" w:themeColor="text1"/>
                <w:sz w:val="16"/>
                <w:szCs w:val="16"/>
              </w:rPr>
            </w:pPr>
          </w:p>
        </w:tc>
        <w:tc>
          <w:tcPr>
            <w:tcW w:w="720" w:type="dxa"/>
          </w:tcPr>
          <w:p w14:paraId="5208C1E1" w14:textId="77777777" w:rsidR="00BD7803" w:rsidRPr="00F3795D" w:rsidRDefault="00BD7803" w:rsidP="00372EFD">
            <w:pPr>
              <w:pStyle w:val="TableParagraph"/>
              <w:ind w:right="2"/>
              <w:jc w:val="center"/>
              <w:rPr>
                <w:bCs/>
                <w:color w:val="000000" w:themeColor="text1"/>
                <w:sz w:val="16"/>
                <w:szCs w:val="16"/>
              </w:rPr>
            </w:pPr>
            <w:r w:rsidRPr="00F3795D">
              <w:rPr>
                <w:bCs/>
                <w:color w:val="000000" w:themeColor="text1"/>
                <w:sz w:val="16"/>
                <w:szCs w:val="16"/>
              </w:rPr>
              <w:t>0</w:t>
            </w:r>
          </w:p>
        </w:tc>
        <w:tc>
          <w:tcPr>
            <w:tcW w:w="630" w:type="dxa"/>
          </w:tcPr>
          <w:p w14:paraId="3502C282"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810" w:type="dxa"/>
          </w:tcPr>
          <w:p w14:paraId="2968E9FF"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541" w:type="dxa"/>
          </w:tcPr>
          <w:p w14:paraId="38E59A6D"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630" w:type="dxa"/>
          </w:tcPr>
          <w:p w14:paraId="5FE5C922"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630" w:type="dxa"/>
          </w:tcPr>
          <w:p w14:paraId="0D61FDCA"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0</w:t>
            </w:r>
          </w:p>
        </w:tc>
        <w:tc>
          <w:tcPr>
            <w:tcW w:w="630" w:type="dxa"/>
          </w:tcPr>
          <w:p w14:paraId="760235B9"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0</w:t>
            </w:r>
          </w:p>
        </w:tc>
        <w:tc>
          <w:tcPr>
            <w:tcW w:w="632" w:type="dxa"/>
          </w:tcPr>
          <w:p w14:paraId="4DD3E967" w14:textId="77777777" w:rsidR="00BD7803" w:rsidRPr="00F3795D" w:rsidRDefault="00BD7803" w:rsidP="00372EFD">
            <w:pPr>
              <w:pStyle w:val="TableParagraph"/>
              <w:ind w:right="-44"/>
              <w:jc w:val="center"/>
              <w:rPr>
                <w:bCs/>
                <w:color w:val="000000" w:themeColor="text1"/>
                <w:sz w:val="16"/>
                <w:szCs w:val="16"/>
              </w:rPr>
            </w:pPr>
            <w:r w:rsidRPr="00F3795D">
              <w:rPr>
                <w:bCs/>
                <w:color w:val="000000" w:themeColor="text1"/>
                <w:sz w:val="16"/>
                <w:szCs w:val="16"/>
              </w:rPr>
              <w:t>0</w:t>
            </w:r>
          </w:p>
        </w:tc>
      </w:tr>
      <w:tr w:rsidR="00473FF2" w:rsidRPr="00F3795D" w14:paraId="592A5AA8" w14:textId="77777777" w:rsidTr="00992153">
        <w:trPr>
          <w:trHeight w:val="20"/>
          <w:jc w:val="center"/>
        </w:trPr>
        <w:tc>
          <w:tcPr>
            <w:tcW w:w="444" w:type="dxa"/>
          </w:tcPr>
          <w:p w14:paraId="0D80214E" w14:textId="77777777" w:rsidR="00BD7803" w:rsidRPr="00F3795D" w:rsidRDefault="00BD7803" w:rsidP="00372EFD">
            <w:pPr>
              <w:pStyle w:val="TableParagraph"/>
              <w:spacing w:before="29"/>
              <w:ind w:left="131" w:right="0"/>
              <w:jc w:val="left"/>
              <w:rPr>
                <w:bCs/>
                <w:color w:val="000000" w:themeColor="text1"/>
                <w:sz w:val="16"/>
                <w:szCs w:val="16"/>
              </w:rPr>
            </w:pPr>
            <w:r w:rsidRPr="00F3795D">
              <w:rPr>
                <w:bCs/>
                <w:color w:val="000000" w:themeColor="text1"/>
                <w:spacing w:val="-5"/>
                <w:sz w:val="16"/>
                <w:szCs w:val="16"/>
              </w:rPr>
              <w:t>34</w:t>
            </w:r>
          </w:p>
        </w:tc>
        <w:tc>
          <w:tcPr>
            <w:tcW w:w="1260" w:type="dxa"/>
          </w:tcPr>
          <w:p w14:paraId="078A6FF3" w14:textId="77777777" w:rsidR="00BD7803" w:rsidRPr="00F3795D" w:rsidRDefault="00BD7803" w:rsidP="00372EFD">
            <w:pPr>
              <w:pStyle w:val="TableParagraph"/>
              <w:ind w:left="23" w:right="0"/>
              <w:jc w:val="left"/>
              <w:rPr>
                <w:bCs/>
                <w:color w:val="000000" w:themeColor="text1"/>
                <w:sz w:val="16"/>
                <w:szCs w:val="16"/>
              </w:rPr>
            </w:pPr>
            <w:r w:rsidRPr="00F3795D">
              <w:rPr>
                <w:bCs/>
                <w:color w:val="000000" w:themeColor="text1"/>
                <w:spacing w:val="-2"/>
                <w:sz w:val="16"/>
                <w:szCs w:val="16"/>
              </w:rPr>
              <w:t>Lakshadweep</w:t>
            </w:r>
          </w:p>
        </w:tc>
        <w:tc>
          <w:tcPr>
            <w:tcW w:w="720" w:type="dxa"/>
          </w:tcPr>
          <w:p w14:paraId="39B3AE1A" w14:textId="77777777" w:rsidR="00BD7803" w:rsidRPr="00F3795D" w:rsidRDefault="00BD7803" w:rsidP="00372EFD">
            <w:pPr>
              <w:pStyle w:val="TableParagraph"/>
              <w:ind w:right="6"/>
              <w:jc w:val="center"/>
              <w:rPr>
                <w:bCs/>
                <w:color w:val="000000" w:themeColor="text1"/>
                <w:sz w:val="16"/>
                <w:szCs w:val="16"/>
              </w:rPr>
            </w:pPr>
            <w:r w:rsidRPr="00F3795D">
              <w:rPr>
                <w:bCs/>
                <w:color w:val="000000" w:themeColor="text1"/>
                <w:spacing w:val="-5"/>
                <w:sz w:val="16"/>
                <w:szCs w:val="16"/>
              </w:rPr>
              <w:t>11</w:t>
            </w:r>
          </w:p>
        </w:tc>
        <w:tc>
          <w:tcPr>
            <w:tcW w:w="720" w:type="dxa"/>
          </w:tcPr>
          <w:p w14:paraId="3D2AE89F" w14:textId="77777777" w:rsidR="00BD7803" w:rsidRPr="00F3795D" w:rsidRDefault="00BD7803" w:rsidP="00372EFD">
            <w:pPr>
              <w:pStyle w:val="TableParagraph"/>
              <w:ind w:right="4"/>
              <w:jc w:val="center"/>
              <w:rPr>
                <w:bCs/>
                <w:color w:val="000000" w:themeColor="text1"/>
                <w:sz w:val="16"/>
                <w:szCs w:val="16"/>
              </w:rPr>
            </w:pPr>
            <w:r w:rsidRPr="00F3795D">
              <w:rPr>
                <w:bCs/>
                <w:color w:val="000000" w:themeColor="text1"/>
                <w:sz w:val="16"/>
                <w:szCs w:val="16"/>
              </w:rPr>
              <w:t>0</w:t>
            </w:r>
          </w:p>
        </w:tc>
        <w:tc>
          <w:tcPr>
            <w:tcW w:w="720" w:type="dxa"/>
          </w:tcPr>
          <w:p w14:paraId="35A120AB" w14:textId="77777777" w:rsidR="00BD7803" w:rsidRPr="00F3795D" w:rsidRDefault="00BD7803" w:rsidP="00372EFD">
            <w:pPr>
              <w:pStyle w:val="TableParagraph"/>
              <w:ind w:right="1"/>
              <w:jc w:val="center"/>
              <w:rPr>
                <w:bCs/>
                <w:color w:val="000000" w:themeColor="text1"/>
                <w:sz w:val="16"/>
                <w:szCs w:val="16"/>
              </w:rPr>
            </w:pPr>
            <w:r w:rsidRPr="00F3795D">
              <w:rPr>
                <w:bCs/>
                <w:color w:val="000000" w:themeColor="text1"/>
                <w:sz w:val="16"/>
                <w:szCs w:val="16"/>
              </w:rPr>
              <w:t>6</w:t>
            </w:r>
          </w:p>
        </w:tc>
        <w:tc>
          <w:tcPr>
            <w:tcW w:w="630" w:type="dxa"/>
          </w:tcPr>
          <w:p w14:paraId="016F1BC3"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810" w:type="dxa"/>
          </w:tcPr>
          <w:p w14:paraId="7F5E7A65"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1</w:t>
            </w:r>
          </w:p>
        </w:tc>
        <w:tc>
          <w:tcPr>
            <w:tcW w:w="541" w:type="dxa"/>
          </w:tcPr>
          <w:p w14:paraId="668A7DC5"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630" w:type="dxa"/>
          </w:tcPr>
          <w:p w14:paraId="4C4BD9A7"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630" w:type="dxa"/>
          </w:tcPr>
          <w:p w14:paraId="14E9C10D"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0</w:t>
            </w:r>
          </w:p>
        </w:tc>
        <w:tc>
          <w:tcPr>
            <w:tcW w:w="630" w:type="dxa"/>
          </w:tcPr>
          <w:p w14:paraId="18AEBD1C"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0</w:t>
            </w:r>
          </w:p>
        </w:tc>
        <w:tc>
          <w:tcPr>
            <w:tcW w:w="632" w:type="dxa"/>
          </w:tcPr>
          <w:p w14:paraId="0299965F" w14:textId="77777777" w:rsidR="00BD7803" w:rsidRPr="00F3795D" w:rsidRDefault="00BD7803" w:rsidP="00372EFD">
            <w:pPr>
              <w:pStyle w:val="TableParagraph"/>
              <w:ind w:right="-44"/>
              <w:jc w:val="center"/>
              <w:rPr>
                <w:bCs/>
                <w:color w:val="000000" w:themeColor="text1"/>
                <w:sz w:val="16"/>
                <w:szCs w:val="16"/>
              </w:rPr>
            </w:pPr>
            <w:r w:rsidRPr="00F3795D">
              <w:rPr>
                <w:bCs/>
                <w:color w:val="000000" w:themeColor="text1"/>
                <w:sz w:val="16"/>
                <w:szCs w:val="16"/>
              </w:rPr>
              <w:t>0</w:t>
            </w:r>
          </w:p>
        </w:tc>
      </w:tr>
      <w:tr w:rsidR="00473FF2" w:rsidRPr="00F3795D" w14:paraId="4A134680" w14:textId="77777777" w:rsidTr="00992153">
        <w:trPr>
          <w:trHeight w:val="20"/>
          <w:jc w:val="center"/>
        </w:trPr>
        <w:tc>
          <w:tcPr>
            <w:tcW w:w="444" w:type="dxa"/>
          </w:tcPr>
          <w:p w14:paraId="48E4B5F3" w14:textId="77777777" w:rsidR="00BD7803" w:rsidRPr="00F3795D" w:rsidRDefault="00BD7803" w:rsidP="00372EFD">
            <w:pPr>
              <w:pStyle w:val="TableParagraph"/>
              <w:spacing w:before="29"/>
              <w:ind w:left="131" w:right="0"/>
              <w:jc w:val="left"/>
              <w:rPr>
                <w:bCs/>
                <w:color w:val="000000" w:themeColor="text1"/>
                <w:sz w:val="16"/>
                <w:szCs w:val="16"/>
              </w:rPr>
            </w:pPr>
            <w:r w:rsidRPr="00F3795D">
              <w:rPr>
                <w:bCs/>
                <w:color w:val="000000" w:themeColor="text1"/>
                <w:spacing w:val="-5"/>
                <w:sz w:val="16"/>
                <w:szCs w:val="16"/>
              </w:rPr>
              <w:t>35</w:t>
            </w:r>
          </w:p>
        </w:tc>
        <w:tc>
          <w:tcPr>
            <w:tcW w:w="1260" w:type="dxa"/>
          </w:tcPr>
          <w:p w14:paraId="092510BC" w14:textId="77777777" w:rsidR="00BD7803" w:rsidRPr="00F3795D" w:rsidRDefault="00BD7803" w:rsidP="00372EFD">
            <w:pPr>
              <w:pStyle w:val="TableParagraph"/>
              <w:ind w:left="23" w:right="0"/>
              <w:jc w:val="left"/>
              <w:rPr>
                <w:bCs/>
                <w:color w:val="000000" w:themeColor="text1"/>
                <w:sz w:val="16"/>
                <w:szCs w:val="16"/>
              </w:rPr>
            </w:pPr>
            <w:r w:rsidRPr="00F3795D">
              <w:rPr>
                <w:bCs/>
                <w:color w:val="000000" w:themeColor="text1"/>
                <w:spacing w:val="-2"/>
                <w:sz w:val="16"/>
                <w:szCs w:val="16"/>
              </w:rPr>
              <w:t>Puducherry</w:t>
            </w:r>
          </w:p>
        </w:tc>
        <w:tc>
          <w:tcPr>
            <w:tcW w:w="720" w:type="dxa"/>
          </w:tcPr>
          <w:p w14:paraId="04B0D47C" w14:textId="77777777" w:rsidR="00BD7803" w:rsidRPr="00F3795D" w:rsidRDefault="00BD7803" w:rsidP="00372EFD">
            <w:pPr>
              <w:pStyle w:val="TableParagraph"/>
              <w:ind w:right="6"/>
              <w:jc w:val="center"/>
              <w:rPr>
                <w:bCs/>
                <w:color w:val="000000" w:themeColor="text1"/>
                <w:sz w:val="16"/>
                <w:szCs w:val="16"/>
              </w:rPr>
            </w:pPr>
            <w:r w:rsidRPr="00F3795D">
              <w:rPr>
                <w:bCs/>
                <w:color w:val="000000" w:themeColor="text1"/>
                <w:spacing w:val="-5"/>
                <w:sz w:val="16"/>
                <w:szCs w:val="16"/>
              </w:rPr>
              <w:t>21</w:t>
            </w:r>
          </w:p>
        </w:tc>
        <w:tc>
          <w:tcPr>
            <w:tcW w:w="720" w:type="dxa"/>
          </w:tcPr>
          <w:p w14:paraId="0ED4549E" w14:textId="77777777" w:rsidR="00BD7803" w:rsidRPr="00F3795D" w:rsidRDefault="00BD7803" w:rsidP="00372EFD">
            <w:pPr>
              <w:pStyle w:val="TableParagraph"/>
              <w:ind w:right="4"/>
              <w:jc w:val="center"/>
              <w:rPr>
                <w:bCs/>
                <w:color w:val="000000" w:themeColor="text1"/>
                <w:sz w:val="16"/>
                <w:szCs w:val="16"/>
              </w:rPr>
            </w:pPr>
            <w:r w:rsidRPr="00F3795D">
              <w:rPr>
                <w:bCs/>
                <w:color w:val="000000" w:themeColor="text1"/>
                <w:sz w:val="16"/>
                <w:szCs w:val="16"/>
              </w:rPr>
              <w:t>0</w:t>
            </w:r>
          </w:p>
        </w:tc>
        <w:tc>
          <w:tcPr>
            <w:tcW w:w="720" w:type="dxa"/>
          </w:tcPr>
          <w:p w14:paraId="72B23C46" w14:textId="77777777" w:rsidR="00BD7803" w:rsidRPr="00F3795D" w:rsidRDefault="00BD7803" w:rsidP="00372EFD">
            <w:pPr>
              <w:pStyle w:val="TableParagraph"/>
              <w:ind w:right="1"/>
              <w:jc w:val="center"/>
              <w:rPr>
                <w:bCs/>
                <w:color w:val="000000" w:themeColor="text1"/>
                <w:sz w:val="16"/>
                <w:szCs w:val="16"/>
              </w:rPr>
            </w:pPr>
            <w:r w:rsidRPr="00F3795D">
              <w:rPr>
                <w:bCs/>
                <w:color w:val="000000" w:themeColor="text1"/>
                <w:spacing w:val="-5"/>
                <w:sz w:val="16"/>
                <w:szCs w:val="16"/>
              </w:rPr>
              <w:t>15</w:t>
            </w:r>
          </w:p>
        </w:tc>
        <w:tc>
          <w:tcPr>
            <w:tcW w:w="630" w:type="dxa"/>
          </w:tcPr>
          <w:p w14:paraId="3ABF401E" w14:textId="77777777" w:rsidR="00BD7803" w:rsidRPr="00F3795D" w:rsidRDefault="00BD7803" w:rsidP="00372EFD">
            <w:pPr>
              <w:pStyle w:val="TableParagraph"/>
              <w:ind w:right="0"/>
              <w:jc w:val="center"/>
              <w:rPr>
                <w:bCs/>
                <w:color w:val="000000" w:themeColor="text1"/>
                <w:sz w:val="16"/>
                <w:szCs w:val="16"/>
              </w:rPr>
            </w:pPr>
            <w:r w:rsidRPr="00F3795D">
              <w:rPr>
                <w:bCs/>
                <w:color w:val="000000" w:themeColor="text1"/>
                <w:sz w:val="16"/>
                <w:szCs w:val="16"/>
              </w:rPr>
              <w:t>0</w:t>
            </w:r>
          </w:p>
        </w:tc>
        <w:tc>
          <w:tcPr>
            <w:tcW w:w="810" w:type="dxa"/>
          </w:tcPr>
          <w:p w14:paraId="17C6C720"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5</w:t>
            </w:r>
          </w:p>
        </w:tc>
        <w:tc>
          <w:tcPr>
            <w:tcW w:w="541" w:type="dxa"/>
          </w:tcPr>
          <w:p w14:paraId="3FD1D856"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630" w:type="dxa"/>
          </w:tcPr>
          <w:p w14:paraId="776A0483" w14:textId="77777777" w:rsidR="00BD7803" w:rsidRPr="00F3795D" w:rsidRDefault="00BD7803" w:rsidP="00372EFD">
            <w:pPr>
              <w:pStyle w:val="TableParagraph"/>
              <w:jc w:val="center"/>
              <w:rPr>
                <w:bCs/>
                <w:color w:val="000000" w:themeColor="text1"/>
                <w:sz w:val="16"/>
                <w:szCs w:val="16"/>
              </w:rPr>
            </w:pPr>
            <w:r w:rsidRPr="00F3795D">
              <w:rPr>
                <w:bCs/>
                <w:color w:val="000000" w:themeColor="text1"/>
                <w:sz w:val="16"/>
                <w:szCs w:val="16"/>
              </w:rPr>
              <w:t>0</w:t>
            </w:r>
          </w:p>
        </w:tc>
        <w:tc>
          <w:tcPr>
            <w:tcW w:w="630" w:type="dxa"/>
          </w:tcPr>
          <w:p w14:paraId="393C04B6"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0</w:t>
            </w:r>
          </w:p>
        </w:tc>
        <w:tc>
          <w:tcPr>
            <w:tcW w:w="630" w:type="dxa"/>
          </w:tcPr>
          <w:p w14:paraId="24DA1910" w14:textId="77777777" w:rsidR="00BD7803" w:rsidRPr="00F3795D" w:rsidRDefault="00BD7803" w:rsidP="00372EFD">
            <w:pPr>
              <w:pStyle w:val="TableParagraph"/>
              <w:ind w:right="-29"/>
              <w:jc w:val="center"/>
              <w:rPr>
                <w:bCs/>
                <w:color w:val="000000" w:themeColor="text1"/>
                <w:sz w:val="16"/>
                <w:szCs w:val="16"/>
              </w:rPr>
            </w:pPr>
            <w:r w:rsidRPr="00F3795D">
              <w:rPr>
                <w:bCs/>
                <w:color w:val="000000" w:themeColor="text1"/>
                <w:sz w:val="16"/>
                <w:szCs w:val="16"/>
              </w:rPr>
              <w:t>0</w:t>
            </w:r>
          </w:p>
        </w:tc>
        <w:tc>
          <w:tcPr>
            <w:tcW w:w="632" w:type="dxa"/>
          </w:tcPr>
          <w:p w14:paraId="5E003C39" w14:textId="77777777" w:rsidR="00BD7803" w:rsidRPr="00F3795D" w:rsidRDefault="00BD7803" w:rsidP="00372EFD">
            <w:pPr>
              <w:pStyle w:val="TableParagraph"/>
              <w:ind w:right="-44"/>
              <w:jc w:val="center"/>
              <w:rPr>
                <w:bCs/>
                <w:color w:val="000000" w:themeColor="text1"/>
                <w:sz w:val="16"/>
                <w:szCs w:val="16"/>
              </w:rPr>
            </w:pPr>
            <w:r w:rsidRPr="00F3795D">
              <w:rPr>
                <w:bCs/>
                <w:color w:val="000000" w:themeColor="text1"/>
                <w:sz w:val="16"/>
                <w:szCs w:val="16"/>
              </w:rPr>
              <w:t>0</w:t>
            </w:r>
          </w:p>
        </w:tc>
      </w:tr>
      <w:tr w:rsidR="00473FF2" w:rsidRPr="00F3795D" w14:paraId="145DD2F1" w14:textId="77777777" w:rsidTr="00992153">
        <w:trPr>
          <w:trHeight w:val="20"/>
          <w:jc w:val="center"/>
        </w:trPr>
        <w:tc>
          <w:tcPr>
            <w:tcW w:w="444" w:type="dxa"/>
          </w:tcPr>
          <w:p w14:paraId="608476A3" w14:textId="77777777" w:rsidR="00BD7803" w:rsidRPr="00F3795D" w:rsidRDefault="00BD7803" w:rsidP="00372EFD">
            <w:pPr>
              <w:pStyle w:val="TableParagraph"/>
              <w:spacing w:before="3"/>
              <w:ind w:right="0"/>
              <w:jc w:val="left"/>
              <w:rPr>
                <w:bCs/>
                <w:i/>
                <w:color w:val="000000" w:themeColor="text1"/>
                <w:sz w:val="16"/>
                <w:szCs w:val="16"/>
              </w:rPr>
            </w:pPr>
          </w:p>
          <w:p w14:paraId="54C838C2" w14:textId="77777777" w:rsidR="00BD7803" w:rsidRPr="00F3795D" w:rsidRDefault="00BD7803" w:rsidP="00372EFD">
            <w:pPr>
              <w:pStyle w:val="TableParagraph"/>
              <w:spacing w:before="1"/>
              <w:ind w:left="131" w:right="0"/>
              <w:jc w:val="left"/>
              <w:rPr>
                <w:bCs/>
                <w:color w:val="000000" w:themeColor="text1"/>
                <w:sz w:val="16"/>
                <w:szCs w:val="16"/>
              </w:rPr>
            </w:pPr>
            <w:r w:rsidRPr="00F3795D">
              <w:rPr>
                <w:bCs/>
                <w:color w:val="000000" w:themeColor="text1"/>
                <w:spacing w:val="-5"/>
                <w:sz w:val="16"/>
                <w:szCs w:val="16"/>
              </w:rPr>
              <w:t>36</w:t>
            </w:r>
          </w:p>
        </w:tc>
        <w:tc>
          <w:tcPr>
            <w:tcW w:w="1260" w:type="dxa"/>
          </w:tcPr>
          <w:p w14:paraId="203659BF" w14:textId="3F2D10EE" w:rsidR="00BD7803" w:rsidRPr="00F3795D" w:rsidRDefault="00BD7803" w:rsidP="00372EFD">
            <w:pPr>
              <w:pStyle w:val="TableParagraph"/>
              <w:spacing w:before="5"/>
              <w:ind w:left="24" w:right="0"/>
              <w:jc w:val="left"/>
              <w:rPr>
                <w:bCs/>
                <w:color w:val="000000" w:themeColor="text1"/>
                <w:sz w:val="16"/>
                <w:szCs w:val="16"/>
              </w:rPr>
            </w:pPr>
            <w:r w:rsidRPr="00F3795D">
              <w:rPr>
                <w:bCs/>
                <w:color w:val="000000" w:themeColor="text1"/>
                <w:sz w:val="16"/>
                <w:szCs w:val="16"/>
              </w:rPr>
              <w:t xml:space="preserve">The Dadra </w:t>
            </w:r>
            <w:r w:rsidR="002C4D21" w:rsidRPr="00F3795D">
              <w:rPr>
                <w:bCs/>
                <w:color w:val="000000" w:themeColor="text1"/>
                <w:sz w:val="16"/>
                <w:szCs w:val="16"/>
              </w:rPr>
              <w:t>and</w:t>
            </w:r>
            <w:r w:rsidRPr="00F3795D">
              <w:rPr>
                <w:bCs/>
                <w:color w:val="000000" w:themeColor="text1"/>
                <w:sz w:val="16"/>
                <w:szCs w:val="16"/>
              </w:rPr>
              <w:t xml:space="preserve"> Nagar</w:t>
            </w:r>
            <w:r w:rsidRPr="00F3795D">
              <w:rPr>
                <w:bCs/>
                <w:color w:val="000000" w:themeColor="text1"/>
                <w:spacing w:val="40"/>
                <w:sz w:val="16"/>
                <w:szCs w:val="16"/>
              </w:rPr>
              <w:t xml:space="preserve"> </w:t>
            </w:r>
            <w:r w:rsidRPr="00F3795D">
              <w:rPr>
                <w:bCs/>
                <w:color w:val="000000" w:themeColor="text1"/>
                <w:spacing w:val="-2"/>
                <w:sz w:val="16"/>
                <w:szCs w:val="16"/>
              </w:rPr>
              <w:t>Haveli</w:t>
            </w:r>
            <w:r w:rsidRPr="00F3795D">
              <w:rPr>
                <w:bCs/>
                <w:color w:val="000000" w:themeColor="text1"/>
                <w:spacing w:val="-5"/>
                <w:sz w:val="16"/>
                <w:szCs w:val="16"/>
              </w:rPr>
              <w:t xml:space="preserve"> </w:t>
            </w:r>
            <w:r w:rsidR="002C4D21" w:rsidRPr="00F3795D">
              <w:rPr>
                <w:bCs/>
                <w:color w:val="000000" w:themeColor="text1"/>
                <w:spacing w:val="-2"/>
                <w:sz w:val="16"/>
                <w:szCs w:val="16"/>
              </w:rPr>
              <w:t>and</w:t>
            </w:r>
            <w:r w:rsidRPr="00F3795D">
              <w:rPr>
                <w:bCs/>
                <w:color w:val="000000" w:themeColor="text1"/>
                <w:spacing w:val="-5"/>
                <w:sz w:val="16"/>
                <w:szCs w:val="16"/>
              </w:rPr>
              <w:t xml:space="preserve"> </w:t>
            </w:r>
            <w:r w:rsidRPr="00F3795D">
              <w:rPr>
                <w:bCs/>
                <w:color w:val="000000" w:themeColor="text1"/>
                <w:spacing w:val="-2"/>
                <w:sz w:val="16"/>
                <w:szCs w:val="16"/>
              </w:rPr>
              <w:t>Daman</w:t>
            </w:r>
            <w:r w:rsidRPr="00F3795D">
              <w:rPr>
                <w:bCs/>
                <w:color w:val="000000" w:themeColor="text1"/>
                <w:spacing w:val="-5"/>
                <w:sz w:val="16"/>
                <w:szCs w:val="16"/>
              </w:rPr>
              <w:t xml:space="preserve"> </w:t>
            </w:r>
            <w:r w:rsidRPr="00F3795D">
              <w:rPr>
                <w:bCs/>
                <w:color w:val="000000" w:themeColor="text1"/>
                <w:spacing w:val="-2"/>
                <w:sz w:val="16"/>
                <w:szCs w:val="16"/>
              </w:rPr>
              <w:t>And</w:t>
            </w:r>
          </w:p>
          <w:p w14:paraId="601DC41C" w14:textId="77777777" w:rsidR="00BD7803" w:rsidRPr="00F3795D" w:rsidRDefault="00BD7803" w:rsidP="00372EFD">
            <w:pPr>
              <w:pStyle w:val="TableParagraph"/>
              <w:spacing w:before="0"/>
              <w:ind w:left="24" w:right="0"/>
              <w:jc w:val="left"/>
              <w:rPr>
                <w:bCs/>
                <w:color w:val="000000" w:themeColor="text1"/>
                <w:sz w:val="16"/>
                <w:szCs w:val="16"/>
              </w:rPr>
            </w:pPr>
            <w:r w:rsidRPr="00F3795D">
              <w:rPr>
                <w:bCs/>
                <w:color w:val="000000" w:themeColor="text1"/>
                <w:spacing w:val="-5"/>
                <w:sz w:val="16"/>
                <w:szCs w:val="16"/>
              </w:rPr>
              <w:t>Diu</w:t>
            </w:r>
          </w:p>
        </w:tc>
        <w:tc>
          <w:tcPr>
            <w:tcW w:w="720" w:type="dxa"/>
          </w:tcPr>
          <w:p w14:paraId="746F4782" w14:textId="77777777" w:rsidR="00BD7803" w:rsidRPr="00F3795D" w:rsidRDefault="00BD7803" w:rsidP="00372EFD">
            <w:pPr>
              <w:pStyle w:val="TableParagraph"/>
              <w:spacing w:before="6"/>
              <w:ind w:right="0"/>
              <w:jc w:val="left"/>
              <w:rPr>
                <w:bCs/>
                <w:i/>
                <w:color w:val="000000" w:themeColor="text1"/>
                <w:sz w:val="16"/>
                <w:szCs w:val="16"/>
              </w:rPr>
            </w:pPr>
          </w:p>
          <w:p w14:paraId="6C172EF9" w14:textId="77777777" w:rsidR="00BD7803" w:rsidRPr="00F3795D" w:rsidRDefault="00BD7803" w:rsidP="00372EFD">
            <w:pPr>
              <w:pStyle w:val="TableParagraph"/>
              <w:spacing w:before="0"/>
              <w:ind w:right="6"/>
              <w:jc w:val="center"/>
              <w:rPr>
                <w:bCs/>
                <w:color w:val="000000" w:themeColor="text1"/>
                <w:sz w:val="16"/>
                <w:szCs w:val="16"/>
              </w:rPr>
            </w:pPr>
            <w:r w:rsidRPr="00F3795D">
              <w:rPr>
                <w:bCs/>
                <w:color w:val="000000" w:themeColor="text1"/>
                <w:spacing w:val="-5"/>
                <w:sz w:val="16"/>
                <w:szCs w:val="16"/>
              </w:rPr>
              <w:t>81</w:t>
            </w:r>
          </w:p>
        </w:tc>
        <w:tc>
          <w:tcPr>
            <w:tcW w:w="720" w:type="dxa"/>
          </w:tcPr>
          <w:p w14:paraId="50720443" w14:textId="77777777" w:rsidR="00BD7803" w:rsidRPr="00F3795D" w:rsidRDefault="00BD7803" w:rsidP="00372EFD">
            <w:pPr>
              <w:pStyle w:val="TableParagraph"/>
              <w:spacing w:before="0"/>
              <w:ind w:right="0"/>
              <w:jc w:val="left"/>
              <w:rPr>
                <w:bCs/>
                <w:color w:val="000000" w:themeColor="text1"/>
                <w:sz w:val="16"/>
                <w:szCs w:val="16"/>
              </w:rPr>
            </w:pPr>
          </w:p>
        </w:tc>
        <w:tc>
          <w:tcPr>
            <w:tcW w:w="720" w:type="dxa"/>
          </w:tcPr>
          <w:p w14:paraId="6BA2C84D" w14:textId="77777777" w:rsidR="00BD7803" w:rsidRPr="00F3795D" w:rsidRDefault="00BD7803" w:rsidP="00372EFD">
            <w:pPr>
              <w:pStyle w:val="TableParagraph"/>
              <w:spacing w:before="6"/>
              <w:ind w:right="0"/>
              <w:jc w:val="left"/>
              <w:rPr>
                <w:bCs/>
                <w:i/>
                <w:color w:val="000000" w:themeColor="text1"/>
                <w:sz w:val="16"/>
                <w:szCs w:val="16"/>
              </w:rPr>
            </w:pPr>
          </w:p>
          <w:p w14:paraId="5EEB2210" w14:textId="77777777" w:rsidR="00BD7803" w:rsidRPr="00F3795D" w:rsidRDefault="00BD7803" w:rsidP="00372EFD">
            <w:pPr>
              <w:pStyle w:val="TableParagraph"/>
              <w:spacing w:before="0"/>
              <w:ind w:right="1"/>
              <w:jc w:val="center"/>
              <w:rPr>
                <w:bCs/>
                <w:color w:val="000000" w:themeColor="text1"/>
                <w:sz w:val="16"/>
                <w:szCs w:val="16"/>
              </w:rPr>
            </w:pPr>
            <w:r w:rsidRPr="00F3795D">
              <w:rPr>
                <w:bCs/>
                <w:color w:val="000000" w:themeColor="text1"/>
                <w:spacing w:val="-5"/>
                <w:sz w:val="16"/>
                <w:szCs w:val="16"/>
              </w:rPr>
              <w:t>40</w:t>
            </w:r>
          </w:p>
        </w:tc>
        <w:tc>
          <w:tcPr>
            <w:tcW w:w="630" w:type="dxa"/>
          </w:tcPr>
          <w:p w14:paraId="7D86B5D2" w14:textId="77777777" w:rsidR="00BD7803" w:rsidRPr="00F3795D" w:rsidRDefault="00BD7803" w:rsidP="00372EFD">
            <w:pPr>
              <w:pStyle w:val="TableParagraph"/>
              <w:spacing w:before="6"/>
              <w:ind w:right="0"/>
              <w:jc w:val="left"/>
              <w:rPr>
                <w:bCs/>
                <w:i/>
                <w:color w:val="000000" w:themeColor="text1"/>
                <w:sz w:val="16"/>
                <w:szCs w:val="16"/>
              </w:rPr>
            </w:pPr>
          </w:p>
          <w:p w14:paraId="33FA3CB7" w14:textId="77777777" w:rsidR="00BD7803" w:rsidRPr="00F3795D" w:rsidRDefault="00BD7803" w:rsidP="00372EFD">
            <w:pPr>
              <w:pStyle w:val="TableParagraph"/>
              <w:spacing w:before="0"/>
              <w:jc w:val="center"/>
              <w:rPr>
                <w:bCs/>
                <w:color w:val="000000" w:themeColor="text1"/>
                <w:sz w:val="16"/>
                <w:szCs w:val="16"/>
              </w:rPr>
            </w:pPr>
            <w:r w:rsidRPr="00F3795D">
              <w:rPr>
                <w:bCs/>
                <w:color w:val="000000" w:themeColor="text1"/>
                <w:sz w:val="16"/>
                <w:szCs w:val="16"/>
              </w:rPr>
              <w:t>0</w:t>
            </w:r>
          </w:p>
        </w:tc>
        <w:tc>
          <w:tcPr>
            <w:tcW w:w="810" w:type="dxa"/>
          </w:tcPr>
          <w:p w14:paraId="0C331791" w14:textId="77777777" w:rsidR="00BD7803" w:rsidRPr="00F3795D" w:rsidRDefault="00BD7803" w:rsidP="00372EFD">
            <w:pPr>
              <w:pStyle w:val="TableParagraph"/>
              <w:spacing w:before="6"/>
              <w:ind w:right="0"/>
              <w:jc w:val="left"/>
              <w:rPr>
                <w:bCs/>
                <w:i/>
                <w:color w:val="000000" w:themeColor="text1"/>
                <w:sz w:val="16"/>
                <w:szCs w:val="16"/>
              </w:rPr>
            </w:pPr>
          </w:p>
          <w:p w14:paraId="1F1BBDD7" w14:textId="77777777" w:rsidR="00BD7803" w:rsidRPr="00F3795D" w:rsidRDefault="00BD7803" w:rsidP="00372EFD">
            <w:pPr>
              <w:pStyle w:val="TableParagraph"/>
              <w:spacing w:before="0"/>
              <w:jc w:val="center"/>
              <w:rPr>
                <w:bCs/>
                <w:color w:val="000000" w:themeColor="text1"/>
                <w:sz w:val="16"/>
                <w:szCs w:val="16"/>
              </w:rPr>
            </w:pPr>
            <w:r w:rsidRPr="00F3795D">
              <w:rPr>
                <w:bCs/>
                <w:color w:val="000000" w:themeColor="text1"/>
                <w:spacing w:val="-5"/>
                <w:sz w:val="16"/>
                <w:szCs w:val="16"/>
              </w:rPr>
              <w:t>54</w:t>
            </w:r>
          </w:p>
        </w:tc>
        <w:tc>
          <w:tcPr>
            <w:tcW w:w="541" w:type="dxa"/>
          </w:tcPr>
          <w:p w14:paraId="064EA25F" w14:textId="77777777" w:rsidR="00BD7803" w:rsidRPr="00F3795D" w:rsidRDefault="00BD7803" w:rsidP="00372EFD">
            <w:pPr>
              <w:pStyle w:val="TableParagraph"/>
              <w:spacing w:before="6"/>
              <w:ind w:right="0"/>
              <w:jc w:val="left"/>
              <w:rPr>
                <w:bCs/>
                <w:i/>
                <w:color w:val="000000" w:themeColor="text1"/>
                <w:sz w:val="16"/>
                <w:szCs w:val="16"/>
              </w:rPr>
            </w:pPr>
          </w:p>
          <w:p w14:paraId="11B7D202" w14:textId="77777777" w:rsidR="00BD7803" w:rsidRPr="00F3795D" w:rsidRDefault="00BD7803" w:rsidP="00372EFD">
            <w:pPr>
              <w:pStyle w:val="TableParagraph"/>
              <w:spacing w:before="0"/>
              <w:jc w:val="center"/>
              <w:rPr>
                <w:bCs/>
                <w:color w:val="000000" w:themeColor="text1"/>
                <w:sz w:val="16"/>
                <w:szCs w:val="16"/>
              </w:rPr>
            </w:pPr>
            <w:r w:rsidRPr="00F3795D">
              <w:rPr>
                <w:bCs/>
                <w:color w:val="000000" w:themeColor="text1"/>
                <w:sz w:val="16"/>
                <w:szCs w:val="16"/>
              </w:rPr>
              <w:t>0</w:t>
            </w:r>
          </w:p>
        </w:tc>
        <w:tc>
          <w:tcPr>
            <w:tcW w:w="630" w:type="dxa"/>
          </w:tcPr>
          <w:p w14:paraId="7CFE5B3C" w14:textId="77777777" w:rsidR="00BD7803" w:rsidRPr="00F3795D" w:rsidRDefault="00BD7803" w:rsidP="00372EFD">
            <w:pPr>
              <w:pStyle w:val="TableParagraph"/>
              <w:spacing w:before="6"/>
              <w:ind w:right="0"/>
              <w:jc w:val="left"/>
              <w:rPr>
                <w:bCs/>
                <w:i/>
                <w:color w:val="000000" w:themeColor="text1"/>
                <w:sz w:val="16"/>
                <w:szCs w:val="16"/>
              </w:rPr>
            </w:pPr>
          </w:p>
          <w:p w14:paraId="44FF05BB" w14:textId="77777777" w:rsidR="00BD7803" w:rsidRPr="00F3795D" w:rsidRDefault="00BD7803" w:rsidP="00372EFD">
            <w:pPr>
              <w:pStyle w:val="TableParagraph"/>
              <w:spacing w:before="0"/>
              <w:jc w:val="center"/>
              <w:rPr>
                <w:bCs/>
                <w:color w:val="000000" w:themeColor="text1"/>
                <w:sz w:val="16"/>
                <w:szCs w:val="16"/>
              </w:rPr>
            </w:pPr>
            <w:r w:rsidRPr="00F3795D">
              <w:rPr>
                <w:bCs/>
                <w:color w:val="000000" w:themeColor="text1"/>
                <w:spacing w:val="-5"/>
                <w:sz w:val="16"/>
                <w:szCs w:val="16"/>
              </w:rPr>
              <w:t>39</w:t>
            </w:r>
          </w:p>
        </w:tc>
        <w:tc>
          <w:tcPr>
            <w:tcW w:w="630" w:type="dxa"/>
          </w:tcPr>
          <w:p w14:paraId="068BB75F" w14:textId="77777777" w:rsidR="00BD7803" w:rsidRPr="00F3795D" w:rsidRDefault="00BD7803" w:rsidP="00372EFD">
            <w:pPr>
              <w:pStyle w:val="TableParagraph"/>
              <w:spacing w:before="6"/>
              <w:ind w:right="0"/>
              <w:jc w:val="left"/>
              <w:rPr>
                <w:bCs/>
                <w:i/>
                <w:color w:val="000000" w:themeColor="text1"/>
                <w:sz w:val="16"/>
                <w:szCs w:val="16"/>
              </w:rPr>
            </w:pPr>
          </w:p>
          <w:p w14:paraId="39066239" w14:textId="77777777" w:rsidR="00BD7803" w:rsidRPr="00F3795D" w:rsidRDefault="00BD7803" w:rsidP="00372EFD">
            <w:pPr>
              <w:pStyle w:val="TableParagraph"/>
              <w:spacing w:before="0"/>
              <w:ind w:right="-29"/>
              <w:jc w:val="center"/>
              <w:rPr>
                <w:bCs/>
                <w:color w:val="000000" w:themeColor="text1"/>
                <w:sz w:val="16"/>
                <w:szCs w:val="16"/>
              </w:rPr>
            </w:pPr>
            <w:r w:rsidRPr="00F3795D">
              <w:rPr>
                <w:bCs/>
                <w:color w:val="000000" w:themeColor="text1"/>
                <w:sz w:val="16"/>
                <w:szCs w:val="16"/>
              </w:rPr>
              <w:t>0</w:t>
            </w:r>
          </w:p>
        </w:tc>
        <w:tc>
          <w:tcPr>
            <w:tcW w:w="630" w:type="dxa"/>
          </w:tcPr>
          <w:p w14:paraId="7F8952D0" w14:textId="77777777" w:rsidR="00BD7803" w:rsidRPr="00F3795D" w:rsidRDefault="00BD7803" w:rsidP="00372EFD">
            <w:pPr>
              <w:pStyle w:val="TableParagraph"/>
              <w:spacing w:before="6"/>
              <w:ind w:right="0"/>
              <w:jc w:val="left"/>
              <w:rPr>
                <w:bCs/>
                <w:i/>
                <w:color w:val="000000" w:themeColor="text1"/>
                <w:sz w:val="16"/>
                <w:szCs w:val="16"/>
              </w:rPr>
            </w:pPr>
          </w:p>
          <w:p w14:paraId="523B0413" w14:textId="77777777" w:rsidR="00BD7803" w:rsidRPr="00F3795D" w:rsidRDefault="00BD7803" w:rsidP="00372EFD">
            <w:pPr>
              <w:pStyle w:val="TableParagraph"/>
              <w:spacing w:before="0"/>
              <w:ind w:right="-29"/>
              <w:jc w:val="center"/>
              <w:rPr>
                <w:bCs/>
                <w:color w:val="000000" w:themeColor="text1"/>
                <w:sz w:val="16"/>
                <w:szCs w:val="16"/>
              </w:rPr>
            </w:pPr>
            <w:r w:rsidRPr="00F3795D">
              <w:rPr>
                <w:bCs/>
                <w:color w:val="000000" w:themeColor="text1"/>
                <w:sz w:val="16"/>
                <w:szCs w:val="16"/>
              </w:rPr>
              <w:t>0</w:t>
            </w:r>
          </w:p>
        </w:tc>
        <w:tc>
          <w:tcPr>
            <w:tcW w:w="632" w:type="dxa"/>
          </w:tcPr>
          <w:p w14:paraId="3D183953" w14:textId="77777777" w:rsidR="00BD7803" w:rsidRPr="00F3795D" w:rsidRDefault="00BD7803" w:rsidP="00372EFD">
            <w:pPr>
              <w:pStyle w:val="TableParagraph"/>
              <w:spacing w:before="6"/>
              <w:ind w:right="0"/>
              <w:jc w:val="left"/>
              <w:rPr>
                <w:bCs/>
                <w:i/>
                <w:color w:val="000000" w:themeColor="text1"/>
                <w:sz w:val="16"/>
                <w:szCs w:val="16"/>
              </w:rPr>
            </w:pPr>
          </w:p>
          <w:p w14:paraId="655BF89F" w14:textId="77777777" w:rsidR="00BD7803" w:rsidRPr="00F3795D" w:rsidRDefault="00BD7803" w:rsidP="00372EFD">
            <w:pPr>
              <w:pStyle w:val="TableParagraph"/>
              <w:spacing w:before="0"/>
              <w:ind w:right="-44"/>
              <w:jc w:val="center"/>
              <w:rPr>
                <w:bCs/>
                <w:color w:val="000000" w:themeColor="text1"/>
                <w:sz w:val="16"/>
                <w:szCs w:val="16"/>
              </w:rPr>
            </w:pPr>
            <w:r w:rsidRPr="00F3795D">
              <w:rPr>
                <w:bCs/>
                <w:color w:val="000000" w:themeColor="text1"/>
                <w:sz w:val="16"/>
                <w:szCs w:val="16"/>
              </w:rPr>
              <w:t>0</w:t>
            </w:r>
          </w:p>
        </w:tc>
      </w:tr>
      <w:tr w:rsidR="006D3C44" w:rsidRPr="00F3795D" w14:paraId="4D8EA058" w14:textId="77777777" w:rsidTr="00992153">
        <w:trPr>
          <w:trHeight w:val="20"/>
          <w:jc w:val="center"/>
        </w:trPr>
        <w:tc>
          <w:tcPr>
            <w:tcW w:w="444" w:type="dxa"/>
          </w:tcPr>
          <w:p w14:paraId="6E721F98" w14:textId="77777777" w:rsidR="00BD7803" w:rsidRPr="00F3795D" w:rsidRDefault="00BD7803" w:rsidP="00372EFD">
            <w:pPr>
              <w:pStyle w:val="TableParagraph"/>
              <w:spacing w:before="0"/>
              <w:ind w:right="0"/>
              <w:jc w:val="left"/>
              <w:rPr>
                <w:bCs/>
                <w:color w:val="000000" w:themeColor="text1"/>
                <w:sz w:val="16"/>
                <w:szCs w:val="16"/>
              </w:rPr>
            </w:pPr>
          </w:p>
        </w:tc>
        <w:tc>
          <w:tcPr>
            <w:tcW w:w="1260" w:type="dxa"/>
          </w:tcPr>
          <w:p w14:paraId="2B330554" w14:textId="77777777" w:rsidR="00BD7803" w:rsidRPr="00F3795D" w:rsidRDefault="00BD7803" w:rsidP="00372EFD">
            <w:pPr>
              <w:pStyle w:val="TableParagraph"/>
              <w:spacing w:before="34"/>
              <w:ind w:left="24" w:right="0"/>
              <w:jc w:val="left"/>
              <w:rPr>
                <w:bCs/>
                <w:color w:val="000000" w:themeColor="text1"/>
                <w:sz w:val="16"/>
                <w:szCs w:val="16"/>
              </w:rPr>
            </w:pPr>
            <w:r w:rsidRPr="00F3795D">
              <w:rPr>
                <w:bCs/>
                <w:color w:val="000000" w:themeColor="text1"/>
                <w:spacing w:val="-2"/>
                <w:sz w:val="16"/>
                <w:szCs w:val="16"/>
              </w:rPr>
              <w:t>INDIA</w:t>
            </w:r>
          </w:p>
        </w:tc>
        <w:tc>
          <w:tcPr>
            <w:tcW w:w="720" w:type="dxa"/>
          </w:tcPr>
          <w:p w14:paraId="077C36FB" w14:textId="77777777" w:rsidR="00BD7803" w:rsidRPr="00F3795D" w:rsidRDefault="00BD7803" w:rsidP="00372EFD">
            <w:pPr>
              <w:pStyle w:val="TableParagraph"/>
              <w:spacing w:before="34"/>
              <w:ind w:right="6"/>
              <w:jc w:val="center"/>
              <w:rPr>
                <w:bCs/>
                <w:color w:val="000000" w:themeColor="text1"/>
                <w:sz w:val="16"/>
                <w:szCs w:val="16"/>
              </w:rPr>
            </w:pPr>
            <w:r w:rsidRPr="00F3795D">
              <w:rPr>
                <w:bCs/>
                <w:color w:val="000000" w:themeColor="text1"/>
                <w:spacing w:val="-2"/>
                <w:sz w:val="16"/>
                <w:szCs w:val="16"/>
              </w:rPr>
              <w:t>338494</w:t>
            </w:r>
          </w:p>
        </w:tc>
        <w:tc>
          <w:tcPr>
            <w:tcW w:w="720" w:type="dxa"/>
          </w:tcPr>
          <w:p w14:paraId="4355EBD0" w14:textId="77777777" w:rsidR="00BD7803" w:rsidRPr="00F3795D" w:rsidRDefault="00BD7803" w:rsidP="00372EFD">
            <w:pPr>
              <w:pStyle w:val="TableParagraph"/>
              <w:spacing w:before="34"/>
              <w:ind w:right="4"/>
              <w:jc w:val="center"/>
              <w:rPr>
                <w:bCs/>
                <w:color w:val="000000" w:themeColor="text1"/>
                <w:sz w:val="16"/>
                <w:szCs w:val="16"/>
              </w:rPr>
            </w:pPr>
            <w:r w:rsidRPr="00F3795D">
              <w:rPr>
                <w:bCs/>
                <w:color w:val="000000" w:themeColor="text1"/>
                <w:spacing w:val="-5"/>
                <w:sz w:val="16"/>
                <w:szCs w:val="16"/>
              </w:rPr>
              <w:t>77</w:t>
            </w:r>
          </w:p>
        </w:tc>
        <w:tc>
          <w:tcPr>
            <w:tcW w:w="720" w:type="dxa"/>
          </w:tcPr>
          <w:p w14:paraId="2422FCB9" w14:textId="77777777" w:rsidR="00BD7803" w:rsidRPr="00F3795D" w:rsidRDefault="00BD7803" w:rsidP="00372EFD">
            <w:pPr>
              <w:pStyle w:val="TableParagraph"/>
              <w:spacing w:before="34"/>
              <w:ind w:right="2"/>
              <w:jc w:val="center"/>
              <w:rPr>
                <w:bCs/>
                <w:color w:val="000000" w:themeColor="text1"/>
                <w:sz w:val="16"/>
                <w:szCs w:val="16"/>
              </w:rPr>
            </w:pPr>
            <w:r w:rsidRPr="00F3795D">
              <w:rPr>
                <w:bCs/>
                <w:color w:val="000000" w:themeColor="text1"/>
                <w:spacing w:val="-2"/>
                <w:sz w:val="16"/>
                <w:szCs w:val="16"/>
              </w:rPr>
              <w:t>186532</w:t>
            </w:r>
          </w:p>
        </w:tc>
        <w:tc>
          <w:tcPr>
            <w:tcW w:w="630" w:type="dxa"/>
          </w:tcPr>
          <w:p w14:paraId="6D460531" w14:textId="77777777" w:rsidR="00BD7803" w:rsidRPr="00F3795D" w:rsidRDefault="00BD7803" w:rsidP="00372EFD">
            <w:pPr>
              <w:pStyle w:val="TableParagraph"/>
              <w:spacing w:before="34"/>
              <w:jc w:val="center"/>
              <w:rPr>
                <w:bCs/>
                <w:color w:val="000000" w:themeColor="text1"/>
                <w:sz w:val="16"/>
                <w:szCs w:val="16"/>
              </w:rPr>
            </w:pPr>
            <w:r w:rsidRPr="00F3795D">
              <w:rPr>
                <w:bCs/>
                <w:color w:val="000000" w:themeColor="text1"/>
                <w:spacing w:val="-5"/>
                <w:sz w:val="16"/>
                <w:szCs w:val="16"/>
              </w:rPr>
              <w:t>93</w:t>
            </w:r>
          </w:p>
        </w:tc>
        <w:tc>
          <w:tcPr>
            <w:tcW w:w="810" w:type="dxa"/>
          </w:tcPr>
          <w:p w14:paraId="2FDE1518" w14:textId="77777777" w:rsidR="00BD7803" w:rsidRPr="00F3795D" w:rsidRDefault="00BD7803" w:rsidP="00372EFD">
            <w:pPr>
              <w:pStyle w:val="TableParagraph"/>
              <w:spacing w:before="34"/>
              <w:jc w:val="center"/>
              <w:rPr>
                <w:bCs/>
                <w:color w:val="000000" w:themeColor="text1"/>
                <w:sz w:val="16"/>
                <w:szCs w:val="16"/>
              </w:rPr>
            </w:pPr>
            <w:r w:rsidRPr="00F3795D">
              <w:rPr>
                <w:bCs/>
                <w:color w:val="000000" w:themeColor="text1"/>
                <w:spacing w:val="-2"/>
                <w:sz w:val="16"/>
                <w:szCs w:val="16"/>
              </w:rPr>
              <w:t>161753</w:t>
            </w:r>
          </w:p>
        </w:tc>
        <w:tc>
          <w:tcPr>
            <w:tcW w:w="541" w:type="dxa"/>
          </w:tcPr>
          <w:p w14:paraId="75DC00BF" w14:textId="77777777" w:rsidR="00BD7803" w:rsidRPr="00F3795D" w:rsidRDefault="00BD7803" w:rsidP="00372EFD">
            <w:pPr>
              <w:pStyle w:val="TableParagraph"/>
              <w:spacing w:before="34"/>
              <w:jc w:val="center"/>
              <w:rPr>
                <w:bCs/>
                <w:color w:val="000000" w:themeColor="text1"/>
                <w:sz w:val="16"/>
                <w:szCs w:val="16"/>
              </w:rPr>
            </w:pPr>
            <w:r w:rsidRPr="00F3795D">
              <w:rPr>
                <w:bCs/>
                <w:color w:val="000000" w:themeColor="text1"/>
                <w:spacing w:val="-5"/>
                <w:sz w:val="16"/>
                <w:szCs w:val="16"/>
              </w:rPr>
              <w:t>90</w:t>
            </w:r>
          </w:p>
        </w:tc>
        <w:tc>
          <w:tcPr>
            <w:tcW w:w="630" w:type="dxa"/>
          </w:tcPr>
          <w:p w14:paraId="1DB7A8AC" w14:textId="77777777" w:rsidR="00BD7803" w:rsidRPr="00F3795D" w:rsidRDefault="00BD7803" w:rsidP="00372EFD">
            <w:pPr>
              <w:pStyle w:val="TableParagraph"/>
              <w:spacing w:before="34"/>
              <w:jc w:val="center"/>
              <w:rPr>
                <w:bCs/>
                <w:color w:val="000000" w:themeColor="text1"/>
                <w:sz w:val="16"/>
                <w:szCs w:val="16"/>
              </w:rPr>
            </w:pPr>
            <w:r w:rsidRPr="00F3795D">
              <w:rPr>
                <w:bCs/>
                <w:color w:val="000000" w:themeColor="text1"/>
                <w:spacing w:val="-2"/>
                <w:sz w:val="16"/>
                <w:szCs w:val="16"/>
              </w:rPr>
              <w:t>173975</w:t>
            </w:r>
          </w:p>
        </w:tc>
        <w:tc>
          <w:tcPr>
            <w:tcW w:w="630" w:type="dxa"/>
          </w:tcPr>
          <w:p w14:paraId="29CE925F" w14:textId="77777777" w:rsidR="00BD7803" w:rsidRPr="00F3795D" w:rsidRDefault="00BD7803" w:rsidP="00372EFD">
            <w:pPr>
              <w:pStyle w:val="TableParagraph"/>
              <w:spacing w:before="34"/>
              <w:ind w:right="-29"/>
              <w:jc w:val="center"/>
              <w:rPr>
                <w:bCs/>
                <w:color w:val="000000" w:themeColor="text1"/>
                <w:sz w:val="16"/>
                <w:szCs w:val="16"/>
              </w:rPr>
            </w:pPr>
            <w:r w:rsidRPr="00F3795D">
              <w:rPr>
                <w:bCs/>
                <w:color w:val="000000" w:themeColor="text1"/>
                <w:spacing w:val="-5"/>
                <w:sz w:val="16"/>
                <w:szCs w:val="16"/>
              </w:rPr>
              <w:t>68</w:t>
            </w:r>
          </w:p>
        </w:tc>
        <w:tc>
          <w:tcPr>
            <w:tcW w:w="630" w:type="dxa"/>
          </w:tcPr>
          <w:p w14:paraId="39B1CB14" w14:textId="77777777" w:rsidR="00BD7803" w:rsidRPr="00F3795D" w:rsidRDefault="00BD7803" w:rsidP="00372EFD">
            <w:pPr>
              <w:pStyle w:val="TableParagraph"/>
              <w:spacing w:before="34"/>
              <w:ind w:right="-29"/>
              <w:jc w:val="center"/>
              <w:rPr>
                <w:bCs/>
                <w:color w:val="000000" w:themeColor="text1"/>
                <w:sz w:val="16"/>
                <w:szCs w:val="16"/>
              </w:rPr>
            </w:pPr>
            <w:r w:rsidRPr="00F3795D">
              <w:rPr>
                <w:bCs/>
                <w:color w:val="000000" w:themeColor="text1"/>
                <w:spacing w:val="-2"/>
                <w:sz w:val="16"/>
                <w:szCs w:val="16"/>
              </w:rPr>
              <w:t>20384</w:t>
            </w:r>
          </w:p>
        </w:tc>
        <w:tc>
          <w:tcPr>
            <w:tcW w:w="632" w:type="dxa"/>
          </w:tcPr>
          <w:p w14:paraId="74C891CF" w14:textId="77777777" w:rsidR="00BD7803" w:rsidRPr="00F3795D" w:rsidRDefault="00BD7803" w:rsidP="00372EFD">
            <w:pPr>
              <w:pStyle w:val="TableParagraph"/>
              <w:spacing w:before="34"/>
              <w:ind w:right="-44"/>
              <w:jc w:val="center"/>
              <w:rPr>
                <w:bCs/>
                <w:color w:val="000000" w:themeColor="text1"/>
                <w:sz w:val="16"/>
                <w:szCs w:val="16"/>
              </w:rPr>
            </w:pPr>
            <w:r w:rsidRPr="00F3795D">
              <w:rPr>
                <w:bCs/>
                <w:color w:val="000000" w:themeColor="text1"/>
                <w:sz w:val="16"/>
                <w:szCs w:val="16"/>
              </w:rPr>
              <w:t>0</w:t>
            </w:r>
          </w:p>
        </w:tc>
      </w:tr>
    </w:tbl>
    <w:p w14:paraId="42ABC6DB" w14:textId="77777777" w:rsidR="003F15D6" w:rsidRPr="00F3795D" w:rsidRDefault="003F15D6" w:rsidP="00372EFD">
      <w:pPr>
        <w:autoSpaceDE w:val="0"/>
        <w:autoSpaceDN w:val="0"/>
        <w:adjustRightInd w:val="0"/>
        <w:spacing w:after="0" w:line="276" w:lineRule="auto"/>
        <w:jc w:val="both"/>
        <w:rPr>
          <w:rFonts w:ascii="Times New Roman" w:eastAsia="Times New Roman" w:hAnsi="Times New Roman" w:cs="Times New Roman"/>
          <w:color w:val="000000" w:themeColor="text1"/>
          <w:sz w:val="24"/>
          <w:szCs w:val="24"/>
          <w:lang w:eastAsia="en-IN"/>
        </w:rPr>
      </w:pPr>
    </w:p>
    <w:p w14:paraId="746627F9" w14:textId="36ED3C1E" w:rsidR="00A40F41" w:rsidRPr="00E267D8" w:rsidRDefault="004F4898" w:rsidP="00372EFD">
      <w:pPr>
        <w:spacing w:after="0" w:line="276" w:lineRule="auto"/>
        <w:jc w:val="both"/>
        <w:rPr>
          <w:rFonts w:ascii="Times New Roman" w:hAnsi="Times New Roman" w:cs="Times New Roman"/>
          <w:b/>
          <w:bCs/>
          <w:color w:val="000000" w:themeColor="text1"/>
          <w:sz w:val="24"/>
          <w:szCs w:val="24"/>
          <w:shd w:val="clear" w:color="auto" w:fill="FFFFFF"/>
        </w:rPr>
      </w:pPr>
      <w:r w:rsidRPr="00E267D8">
        <w:rPr>
          <w:rFonts w:ascii="Times New Roman" w:hAnsi="Times New Roman" w:cs="Times New Roman"/>
          <w:b/>
          <w:bCs/>
          <w:color w:val="000000" w:themeColor="text1"/>
          <w:sz w:val="24"/>
          <w:szCs w:val="24"/>
          <w:shd w:val="clear" w:color="auto" w:fill="FFFFFF"/>
        </w:rPr>
        <w:t xml:space="preserve">Transmission of </w:t>
      </w:r>
      <w:r w:rsidR="0017399E" w:rsidRPr="00E267D8">
        <w:rPr>
          <w:rFonts w:ascii="Times New Roman" w:hAnsi="Times New Roman" w:cs="Times New Roman"/>
          <w:b/>
          <w:bCs/>
          <w:color w:val="000000" w:themeColor="text1"/>
          <w:sz w:val="24"/>
          <w:szCs w:val="24"/>
          <w:shd w:val="clear" w:color="auto" w:fill="FFFFFF"/>
        </w:rPr>
        <w:t>M</w:t>
      </w:r>
      <w:r w:rsidRPr="00E267D8">
        <w:rPr>
          <w:rFonts w:ascii="Times New Roman" w:hAnsi="Times New Roman" w:cs="Times New Roman"/>
          <w:b/>
          <w:bCs/>
          <w:color w:val="000000" w:themeColor="text1"/>
          <w:sz w:val="24"/>
          <w:szCs w:val="24"/>
          <w:shd w:val="clear" w:color="auto" w:fill="FFFFFF"/>
        </w:rPr>
        <w:t>alaria</w:t>
      </w:r>
    </w:p>
    <w:p w14:paraId="5F90633C" w14:textId="55DFAFFC" w:rsidR="003F15D6" w:rsidRPr="00F3795D" w:rsidRDefault="00454F6F" w:rsidP="00372EFD">
      <w:pPr>
        <w:spacing w:after="0" w:line="276" w:lineRule="auto"/>
        <w:jc w:val="both"/>
        <w:rPr>
          <w:rFonts w:ascii="Times New Roman" w:hAnsi="Times New Roman" w:cs="Times New Roman"/>
          <w:color w:val="000000" w:themeColor="text1"/>
          <w:sz w:val="24"/>
          <w:szCs w:val="24"/>
          <w:shd w:val="clear" w:color="auto" w:fill="FFFFFF"/>
        </w:rPr>
      </w:pPr>
      <w:r w:rsidRPr="00F3795D">
        <w:rPr>
          <w:rStyle w:val="Emphasis"/>
          <w:rFonts w:ascii="Times New Roman" w:hAnsi="Times New Roman" w:cs="Times New Roman"/>
          <w:i w:val="0"/>
          <w:iCs w:val="0"/>
          <w:color w:val="000000" w:themeColor="text1"/>
          <w:sz w:val="24"/>
          <w:szCs w:val="24"/>
          <w:shd w:val="clear" w:color="auto" w:fill="FFFFFF"/>
        </w:rPr>
        <w:t xml:space="preserve">The primary etiological factor in malaria deaths is </w:t>
      </w:r>
      <w:r w:rsidRPr="00F3795D">
        <w:rPr>
          <w:rStyle w:val="Emphasis"/>
          <w:rFonts w:ascii="Times New Roman" w:hAnsi="Times New Roman" w:cs="Times New Roman"/>
          <w:color w:val="000000" w:themeColor="text1"/>
          <w:sz w:val="24"/>
          <w:szCs w:val="24"/>
          <w:shd w:val="clear" w:color="auto" w:fill="FFFFFF"/>
        </w:rPr>
        <w:t>Plasmodium falciparum</w:t>
      </w:r>
      <w:r w:rsidRPr="00F3795D">
        <w:rPr>
          <w:rStyle w:val="Emphasis"/>
          <w:rFonts w:ascii="Times New Roman" w:hAnsi="Times New Roman" w:cs="Times New Roman"/>
          <w:i w:val="0"/>
          <w:iCs w:val="0"/>
          <w:color w:val="000000" w:themeColor="text1"/>
          <w:sz w:val="24"/>
          <w:szCs w:val="24"/>
          <w:shd w:val="clear" w:color="auto" w:fill="FFFFFF"/>
        </w:rPr>
        <w:t xml:space="preserve"> (Pf). </w:t>
      </w:r>
      <w:r w:rsidR="0012644A" w:rsidRPr="00F3795D">
        <w:rPr>
          <w:rStyle w:val="Emphasis"/>
          <w:rFonts w:ascii="Times New Roman" w:hAnsi="Times New Roman" w:cs="Times New Roman"/>
          <w:i w:val="0"/>
          <w:iCs w:val="0"/>
          <w:color w:val="000000" w:themeColor="text1"/>
          <w:sz w:val="24"/>
          <w:szCs w:val="24"/>
          <w:shd w:val="clear" w:color="auto" w:fill="FFFFFF"/>
        </w:rPr>
        <w:t>Pf is a</w:t>
      </w:r>
      <w:r w:rsidR="00E338F2" w:rsidRPr="00F3795D">
        <w:rPr>
          <w:rStyle w:val="Emphasis"/>
          <w:rFonts w:ascii="Times New Roman" w:hAnsi="Times New Roman" w:cs="Times New Roman"/>
          <w:i w:val="0"/>
          <w:iCs w:val="0"/>
          <w:color w:val="000000" w:themeColor="text1"/>
          <w:sz w:val="24"/>
          <w:szCs w:val="24"/>
          <w:shd w:val="clear" w:color="auto" w:fill="FFFFFF"/>
        </w:rPr>
        <w:t>n</w:t>
      </w:r>
      <w:r w:rsidRPr="00F3795D">
        <w:rPr>
          <w:rStyle w:val="Emphasis"/>
          <w:rFonts w:ascii="Times New Roman" w:hAnsi="Times New Roman" w:cs="Times New Roman"/>
          <w:i w:val="0"/>
          <w:iCs w:val="0"/>
          <w:color w:val="000000" w:themeColor="text1"/>
          <w:sz w:val="24"/>
          <w:szCs w:val="24"/>
          <w:shd w:val="clear" w:color="auto" w:fill="FFFFFF"/>
        </w:rPr>
        <w:t xml:space="preserve"> obligate intracellular parasite of disease-causing erythrocytes and hepatocytes. </w:t>
      </w:r>
      <w:r w:rsidR="002C1004" w:rsidRPr="00F3795D">
        <w:rPr>
          <w:rStyle w:val="Emphasis"/>
          <w:rFonts w:ascii="Times New Roman" w:hAnsi="Times New Roman" w:cs="Times New Roman"/>
          <w:i w:val="0"/>
          <w:iCs w:val="0"/>
          <w:color w:val="000000" w:themeColor="text1"/>
          <w:sz w:val="24"/>
          <w:szCs w:val="24"/>
          <w:shd w:val="clear" w:color="auto" w:fill="FFFFFF"/>
        </w:rPr>
        <w:t>These lead to n</w:t>
      </w:r>
      <w:r w:rsidRPr="00F3795D">
        <w:rPr>
          <w:rStyle w:val="Emphasis"/>
          <w:rFonts w:ascii="Times New Roman" w:hAnsi="Times New Roman" w:cs="Times New Roman"/>
          <w:i w:val="0"/>
          <w:iCs w:val="0"/>
          <w:color w:val="000000" w:themeColor="text1"/>
          <w:sz w:val="24"/>
          <w:szCs w:val="24"/>
          <w:shd w:val="clear" w:color="auto" w:fill="FFFFFF"/>
        </w:rPr>
        <w:t>umerous disorders that might result in mortality from infection</w:t>
      </w:r>
      <w:r w:rsidR="0013319B" w:rsidRPr="00F3795D">
        <w:rPr>
          <w:rStyle w:val="Emphasis"/>
          <w:rFonts w:ascii="Times New Roman" w:hAnsi="Times New Roman" w:cs="Times New Roman"/>
          <w:i w:val="0"/>
          <w:iCs w:val="0"/>
          <w:color w:val="000000" w:themeColor="text1"/>
          <w:sz w:val="24"/>
          <w:szCs w:val="24"/>
          <w:shd w:val="clear" w:color="auto" w:fill="FFFFFF"/>
        </w:rPr>
        <w:t>,</w:t>
      </w:r>
      <w:r w:rsidRPr="00F3795D">
        <w:rPr>
          <w:rStyle w:val="Emphasis"/>
          <w:rFonts w:ascii="Times New Roman" w:hAnsi="Times New Roman" w:cs="Times New Roman"/>
          <w:i w:val="0"/>
          <w:iCs w:val="0"/>
          <w:color w:val="000000" w:themeColor="text1"/>
          <w:sz w:val="24"/>
          <w:szCs w:val="24"/>
          <w:shd w:val="clear" w:color="auto" w:fill="FFFFFF"/>
        </w:rPr>
        <w:t xml:space="preserve"> includ</w:t>
      </w:r>
      <w:r w:rsidR="0013319B" w:rsidRPr="00F3795D">
        <w:rPr>
          <w:rStyle w:val="Emphasis"/>
          <w:rFonts w:ascii="Times New Roman" w:hAnsi="Times New Roman" w:cs="Times New Roman"/>
          <w:i w:val="0"/>
          <w:iCs w:val="0"/>
          <w:color w:val="000000" w:themeColor="text1"/>
          <w:sz w:val="24"/>
          <w:szCs w:val="24"/>
          <w:shd w:val="clear" w:color="auto" w:fill="FFFFFF"/>
        </w:rPr>
        <w:t>ing</w:t>
      </w:r>
      <w:r w:rsidRPr="00F3795D">
        <w:rPr>
          <w:rStyle w:val="Emphasis"/>
          <w:rFonts w:ascii="Times New Roman" w:hAnsi="Times New Roman" w:cs="Times New Roman"/>
          <w:i w:val="0"/>
          <w:iCs w:val="0"/>
          <w:color w:val="000000" w:themeColor="text1"/>
          <w:sz w:val="24"/>
          <w:szCs w:val="24"/>
          <w:shd w:val="clear" w:color="auto" w:fill="FFFFFF"/>
        </w:rPr>
        <w:t xml:space="preserve"> </w:t>
      </w:r>
      <w:r w:rsidR="006B3E8B">
        <w:rPr>
          <w:rStyle w:val="Emphasis"/>
          <w:rFonts w:ascii="Times New Roman" w:hAnsi="Times New Roman" w:cs="Times New Roman"/>
          <w:i w:val="0"/>
          <w:iCs w:val="0"/>
          <w:color w:val="000000" w:themeColor="text1"/>
          <w:sz w:val="24"/>
          <w:szCs w:val="24"/>
          <w:shd w:val="clear" w:color="auto" w:fill="FFFFFF"/>
        </w:rPr>
        <w:t>C</w:t>
      </w:r>
      <w:r w:rsidRPr="00F3795D">
        <w:rPr>
          <w:rStyle w:val="Emphasis"/>
          <w:rFonts w:ascii="Times New Roman" w:hAnsi="Times New Roman" w:cs="Times New Roman"/>
          <w:i w:val="0"/>
          <w:iCs w:val="0"/>
          <w:color w:val="000000" w:themeColor="text1"/>
          <w:sz w:val="24"/>
          <w:szCs w:val="24"/>
          <w:shd w:val="clear" w:color="auto" w:fill="FFFFFF"/>
        </w:rPr>
        <w:t xml:space="preserve">erebral </w:t>
      </w:r>
      <w:r w:rsidR="00F44CE8" w:rsidRPr="00F3795D">
        <w:rPr>
          <w:rStyle w:val="Emphasis"/>
          <w:rFonts w:ascii="Times New Roman" w:hAnsi="Times New Roman" w:cs="Times New Roman"/>
          <w:i w:val="0"/>
          <w:iCs w:val="0"/>
          <w:color w:val="000000" w:themeColor="text1"/>
          <w:sz w:val="24"/>
          <w:szCs w:val="24"/>
          <w:shd w:val="clear" w:color="auto" w:fill="FFFFFF"/>
        </w:rPr>
        <w:t>M</w:t>
      </w:r>
      <w:r w:rsidRPr="00F3795D">
        <w:rPr>
          <w:rStyle w:val="Emphasis"/>
          <w:rFonts w:ascii="Times New Roman" w:hAnsi="Times New Roman" w:cs="Times New Roman"/>
          <w:i w:val="0"/>
          <w:iCs w:val="0"/>
          <w:color w:val="000000" w:themeColor="text1"/>
          <w:sz w:val="24"/>
          <w:szCs w:val="24"/>
          <w:shd w:val="clear" w:color="auto" w:fill="FFFFFF"/>
        </w:rPr>
        <w:t xml:space="preserve">alaria and severe anaemia. In erythrocytes, Pf continually replicates during 48 hours, causing exponential growth and a rapid spread of the disease. Pf is the most significant infectious disease affecting children. Due to this, fast diagnostic procedures based on the detection of hrp2 are unable to detect the parasites. In addition, the primary treatment for Pf infections, </w:t>
      </w:r>
      <w:proofErr w:type="spellStart"/>
      <w:r w:rsidR="00D0347D" w:rsidRPr="00F3795D">
        <w:rPr>
          <w:rStyle w:val="Emphasis"/>
          <w:rFonts w:ascii="Times New Roman" w:hAnsi="Times New Roman" w:cs="Times New Roman"/>
          <w:i w:val="0"/>
          <w:iCs w:val="0"/>
          <w:color w:val="000000" w:themeColor="text1"/>
          <w:sz w:val="24"/>
          <w:szCs w:val="24"/>
          <w:shd w:val="clear" w:color="auto" w:fill="FFFFFF"/>
        </w:rPr>
        <w:t>A</w:t>
      </w:r>
      <w:r w:rsidRPr="00F3795D">
        <w:rPr>
          <w:rStyle w:val="Emphasis"/>
          <w:rFonts w:ascii="Times New Roman" w:hAnsi="Times New Roman" w:cs="Times New Roman"/>
          <w:i w:val="0"/>
          <w:iCs w:val="0"/>
          <w:color w:val="000000" w:themeColor="text1"/>
          <w:sz w:val="24"/>
          <w:szCs w:val="24"/>
          <w:shd w:val="clear" w:color="auto" w:fill="FFFFFF"/>
        </w:rPr>
        <w:t>rtemisinin</w:t>
      </w:r>
      <w:proofErr w:type="spellEnd"/>
      <w:r w:rsidRPr="00F3795D">
        <w:rPr>
          <w:rStyle w:val="Emphasis"/>
          <w:rFonts w:ascii="Times New Roman" w:hAnsi="Times New Roman" w:cs="Times New Roman"/>
          <w:i w:val="0"/>
          <w:iCs w:val="0"/>
          <w:color w:val="000000" w:themeColor="text1"/>
          <w:sz w:val="24"/>
          <w:szCs w:val="24"/>
          <w:shd w:val="clear" w:color="auto" w:fill="FFFFFF"/>
        </w:rPr>
        <w:t>, is now partially resistant to</w:t>
      </w:r>
      <w:r w:rsidRPr="00F3795D">
        <w:rPr>
          <w:rStyle w:val="Emphasis"/>
          <w:rFonts w:ascii="Times New Roman" w:hAnsi="Times New Roman" w:cs="Times New Roman"/>
          <w:color w:val="000000" w:themeColor="text1"/>
          <w:sz w:val="24"/>
          <w:szCs w:val="24"/>
          <w:shd w:val="clear" w:color="auto" w:fill="FFFFFF"/>
        </w:rPr>
        <w:t xml:space="preserve"> </w:t>
      </w:r>
      <w:r w:rsidRPr="00F3795D">
        <w:rPr>
          <w:rStyle w:val="Emphasis"/>
          <w:rFonts w:ascii="Times New Roman" w:hAnsi="Times New Roman" w:cs="Times New Roman"/>
          <w:i w:val="0"/>
          <w:iCs w:val="0"/>
          <w:color w:val="000000" w:themeColor="text1"/>
          <w:sz w:val="24"/>
          <w:szCs w:val="24"/>
          <w:shd w:val="clear" w:color="auto" w:fill="FFFFFF"/>
        </w:rPr>
        <w:t>mutations in</w:t>
      </w:r>
      <w:r w:rsidRPr="00F3795D">
        <w:rPr>
          <w:rStyle w:val="Emphasis"/>
          <w:rFonts w:ascii="Times New Roman" w:hAnsi="Times New Roman" w:cs="Times New Roman"/>
          <w:color w:val="000000" w:themeColor="text1"/>
          <w:sz w:val="24"/>
          <w:szCs w:val="24"/>
          <w:shd w:val="clear" w:color="auto" w:fill="FFFFFF"/>
        </w:rPr>
        <w:t xml:space="preserve"> pfkelch1</w:t>
      </w:r>
      <w:r w:rsidR="002E0528" w:rsidRPr="00F3795D">
        <w:rPr>
          <w:rStyle w:val="Emphasis"/>
          <w:rFonts w:ascii="Times New Roman" w:hAnsi="Times New Roman" w:cs="Times New Roman"/>
          <w:color w:val="000000" w:themeColor="text1"/>
          <w:sz w:val="24"/>
          <w:szCs w:val="24"/>
          <w:shd w:val="clear" w:color="auto" w:fill="FFFFFF"/>
        </w:rPr>
        <w:t>3</w:t>
      </w:r>
      <w:r w:rsidR="00E00719" w:rsidRPr="00F3795D">
        <w:rPr>
          <w:rFonts w:ascii="Times New Roman" w:hAnsi="Times New Roman" w:cs="Times New Roman"/>
          <w:color w:val="000000" w:themeColor="text1"/>
          <w:sz w:val="24"/>
          <w:szCs w:val="24"/>
          <w:lang w:val="en-US"/>
        </w:rPr>
        <w:fldChar w:fldCharType="begin" w:fldLock="1"/>
      </w:r>
      <w:r w:rsidR="008B28D0" w:rsidRPr="00F3795D">
        <w:rPr>
          <w:rFonts w:ascii="Times New Roman" w:hAnsi="Times New Roman" w:cs="Times New Roman"/>
          <w:color w:val="000000" w:themeColor="text1"/>
          <w:sz w:val="24"/>
          <w:szCs w:val="24"/>
          <w:lang w:val="en-US"/>
        </w:rPr>
        <w:instrText>ADDIN CSL_CITATION {"citationItems":[{"id":"ITEM-1","itemData":{"DOI":"10.3390/life11030180","ISBN":"8801554310162","ISSN":"20751729","abstract":"Lepidagathis hyalina Nees is used locally in Ayurvedic medicine to treat coughs and cardiovascular diseases. This study explored its pharmacological potential through in vivo and in vitro approaches for the metabolites extracted (methanolic) from the stems of L. hyalina. A qualitative phytochemical analysis revealed the presence of numerous secondary metabolites. The methanol extract of L. hyalina stems (MELHS) showed a strong antioxidative activity in the 1,1-diphenyl-2- picrylhydrazyl (DPPH) and reducing power assays, and in the quantitative (phenolic and flavonoid) assay. Clot lysis and brine shrimp lethality bioassays were applied to investigate the thrombolytic and cytotoxic activities, respectively. MELHS exhibited an expressive percentage of clot lysis (33.98%) with a moderately toxic (115.11 µg/mL) effect. The in vivo anxiolytic activity was studied by an elevated plus maze test, whereas the antidepressant activity was examined by a tail suspension test and forced swimming test. During the anxiolytic evaluation, MELHS exhibited a significant dosedependent reduction of anxiety, in which the 400 mg/kg dose of the extract showed 78.77 ± 4.42% time spent in the open arm in the elevated plus maze test. In addition, MELHS demonstrated dosedependent and significant activities in the tail suspension test and forced swimming test, whereas the 400 mg/kg dose of the extract showed 87.67 ± 6.40% and 83.33 ± 6.39% inhibition of immobile time, respectively. Therefore, the current study suggests that L. hyalina could be a potential source of anti-oxidative, cytotoxic, thrombolytic, anxiolytic, and antidepressant agents. Further study is needed to determine the mechanism behind the bioactivities.","author":[{"dropping-particle":"","family":"Fahad","given":"Fowzul Islam","non-dropping-particle":"","parse-names":false,"suffix":""},{"dropping-particle":"","family":"Barua","given":"Niloy","non-dropping-particle":"","parse-names":false,"suffix":""},{"dropping-particle":"","family":"Shafiqul Islam","given":"Md","non-dropping-particle":"","parse-names":false,"suffix":""},{"dropping-particle":"","family":"Jawad Sayem","given":"Syed","non-dropping-particle":"Al","parse-names":false,"suffix":""},{"dropping-particle":"","family":"Barua","given":"Koushik","non-dropping-particle":"","parse-names":false,"suffix":""},{"dropping-particle":"","family":"Uddin","given":"Mohammad Jamir","non-dropping-particle":"","parse-names":false,"suffix":""},{"dropping-particle":"","family":"Nazim Uddin Chy","given":"Md","non-dropping-particle":"","parse-names":false,"suffix":""},{"dropping-particle":"","family":"Adnan","given":"Md","non-dropping-particle":"","parse-names":false,"suffix":""},{"dropping-particle":"","family":"Islam","given":"Mohammad Nazmul","non-dropping-particle":"","parse-names":false,"suffix":""},{"dropping-particle":"","family":"Sayeed","given":"Mohammed Aktar","non-dropping-particle":"","parse-names":false,"suffix":""},{"dropping-particle":"Bin","family":"Emran","given":"Talha","non-dropping-particle":"","parse-names":false,"suffix":""},{"dropping-particle":"","family":"Simal-Gandara","given":"Jesus","non-dropping-particle":"","parse-names":false,"suffix":""},{"dropping-particle":"","family":"Pagano","given":"Ester","non-dropping-particle":"","parse-names":false,"suffix":""},{"dropping-particle":"","family":"Capasso","given":"Raffaele","non-dropping-particle":"","parse-names":false,"suffix":""}],"container-title":"Life","id":"ITEM-1","issue":"3","issued":{"date-parts":[["2021"]]},"page":"1-16","title":"Investigation of the pharmacological properties of lepidagathis hyalina nees through experimental approaches","type":"article-journal","volume":"11"},"uris":["http://www.mendeley.com/documents/?uuid=8cdef6ca-71b6-4927-8464-4dd470612b19"]}],"mendeley":{"formattedCitation":"(Fahad et al., 2021)","plainTextFormattedCitation":"(Fahad et al., 2021)","previouslyFormattedCitation":"(Fahad et al., 2021)"},"properties":{"noteIndex":0},"schema":"https://github.com/citation-style-language/schema/raw/master/csl-citation.json"}</w:instrText>
      </w:r>
      <w:r w:rsidR="00E00719" w:rsidRPr="00F3795D">
        <w:rPr>
          <w:rFonts w:ascii="Times New Roman" w:hAnsi="Times New Roman" w:cs="Times New Roman"/>
          <w:color w:val="000000" w:themeColor="text1"/>
          <w:sz w:val="24"/>
          <w:szCs w:val="24"/>
          <w:lang w:val="en-US"/>
        </w:rPr>
        <w:fldChar w:fldCharType="separate"/>
      </w:r>
      <w:r w:rsidR="005D682C" w:rsidRPr="00F3795D">
        <w:rPr>
          <w:rFonts w:ascii="Times New Roman" w:hAnsi="Times New Roman" w:cs="Times New Roman"/>
          <w:noProof/>
          <w:color w:val="000000" w:themeColor="text1"/>
          <w:sz w:val="24"/>
          <w:szCs w:val="24"/>
          <w:lang w:val="en-US"/>
        </w:rPr>
        <w:t>(Fahad et al., 2021)</w:t>
      </w:r>
      <w:r w:rsidR="00E00719" w:rsidRPr="00F3795D">
        <w:rPr>
          <w:rFonts w:ascii="Times New Roman" w:hAnsi="Times New Roman" w:cs="Times New Roman"/>
          <w:color w:val="000000" w:themeColor="text1"/>
          <w:sz w:val="24"/>
          <w:szCs w:val="24"/>
          <w:lang w:val="en-US"/>
        </w:rPr>
        <w:fldChar w:fldCharType="end"/>
      </w:r>
      <w:r w:rsidR="00C41588" w:rsidRPr="00F3795D">
        <w:rPr>
          <w:rFonts w:ascii="Times New Roman" w:hAnsi="Times New Roman" w:cs="Times New Roman"/>
          <w:color w:val="000000" w:themeColor="text1"/>
          <w:sz w:val="24"/>
          <w:szCs w:val="24"/>
          <w:lang w:val="en-US"/>
        </w:rPr>
        <w:t>.</w:t>
      </w:r>
      <w:r w:rsidR="00C41588" w:rsidRPr="00F3795D">
        <w:rPr>
          <w:rFonts w:ascii="Times New Roman" w:hAnsi="Times New Roman" w:cs="Times New Roman"/>
          <w:color w:val="000000" w:themeColor="text1"/>
          <w:sz w:val="24"/>
          <w:szCs w:val="24"/>
          <w:shd w:val="clear" w:color="auto" w:fill="FFFFFF"/>
        </w:rPr>
        <w:t xml:space="preserve"> </w:t>
      </w:r>
      <w:r w:rsidR="00912BCA" w:rsidRPr="00F3795D">
        <w:rPr>
          <w:rFonts w:ascii="Times New Roman" w:hAnsi="Times New Roman" w:cs="Times New Roman"/>
          <w:color w:val="000000" w:themeColor="text1"/>
          <w:sz w:val="24"/>
          <w:szCs w:val="24"/>
          <w:lang w:val="en-US"/>
        </w:rPr>
        <w:t xml:space="preserve">Unfortunately, their extensive and occasionally ineffective usage has supported the emergence and spread of Pf parasites resistant to drugs. </w:t>
      </w:r>
      <w:r w:rsidR="00C52019" w:rsidRPr="00F3795D">
        <w:rPr>
          <w:rFonts w:ascii="Times New Roman" w:hAnsi="Times New Roman" w:cs="Times New Roman"/>
          <w:color w:val="000000" w:themeColor="text1"/>
          <w:sz w:val="24"/>
          <w:szCs w:val="24"/>
          <w:lang w:val="en-US"/>
        </w:rPr>
        <w:t>As a result, m</w:t>
      </w:r>
      <w:r w:rsidR="00912BCA" w:rsidRPr="00F3795D">
        <w:rPr>
          <w:rFonts w:ascii="Times New Roman" w:hAnsi="Times New Roman" w:cs="Times New Roman"/>
          <w:color w:val="000000" w:themeColor="text1"/>
          <w:sz w:val="24"/>
          <w:szCs w:val="24"/>
          <w:lang w:val="en-US"/>
        </w:rPr>
        <w:t xml:space="preserve">ultidrug resistance (MDR) </w:t>
      </w:r>
      <w:r w:rsidR="00C52019" w:rsidRPr="00F3795D">
        <w:rPr>
          <w:rFonts w:ascii="Times New Roman" w:hAnsi="Times New Roman" w:cs="Times New Roman"/>
          <w:color w:val="000000" w:themeColor="text1"/>
          <w:sz w:val="24"/>
          <w:szCs w:val="24"/>
          <w:lang w:val="en-US"/>
        </w:rPr>
        <w:t>exists in</w:t>
      </w:r>
      <w:r w:rsidR="00912BCA" w:rsidRPr="00F3795D">
        <w:rPr>
          <w:rFonts w:ascii="Times New Roman" w:hAnsi="Times New Roman" w:cs="Times New Roman"/>
          <w:color w:val="000000" w:themeColor="text1"/>
          <w:sz w:val="24"/>
          <w:szCs w:val="24"/>
          <w:lang w:val="en-US"/>
        </w:rPr>
        <w:t xml:space="preserve"> </w:t>
      </w:r>
      <w:r w:rsidR="00F44CE8" w:rsidRPr="00F3795D">
        <w:rPr>
          <w:rFonts w:ascii="Times New Roman" w:hAnsi="Times New Roman" w:cs="Times New Roman"/>
          <w:color w:val="000000" w:themeColor="text1"/>
          <w:sz w:val="24"/>
          <w:szCs w:val="24"/>
          <w:lang w:val="en-US"/>
        </w:rPr>
        <w:t>M</w:t>
      </w:r>
      <w:r w:rsidR="00912BCA" w:rsidRPr="00F3795D">
        <w:rPr>
          <w:rFonts w:ascii="Times New Roman" w:hAnsi="Times New Roman" w:cs="Times New Roman"/>
          <w:color w:val="000000" w:themeColor="text1"/>
          <w:sz w:val="24"/>
          <w:szCs w:val="24"/>
          <w:lang w:val="en-US"/>
        </w:rPr>
        <w:t xml:space="preserve">alaria </w:t>
      </w:r>
      <w:r w:rsidR="00C52019" w:rsidRPr="00F3795D">
        <w:rPr>
          <w:rFonts w:ascii="Times New Roman" w:hAnsi="Times New Roman" w:cs="Times New Roman"/>
          <w:color w:val="000000" w:themeColor="text1"/>
          <w:sz w:val="24"/>
          <w:szCs w:val="24"/>
          <w:lang w:val="en-US"/>
        </w:rPr>
        <w:t>again</w:t>
      </w:r>
      <w:r w:rsidR="00912BCA" w:rsidRPr="00F3795D">
        <w:rPr>
          <w:rFonts w:ascii="Times New Roman" w:hAnsi="Times New Roman" w:cs="Times New Roman"/>
          <w:color w:val="000000" w:themeColor="text1"/>
          <w:sz w:val="24"/>
          <w:szCs w:val="24"/>
          <w:lang w:val="en-US"/>
        </w:rPr>
        <w:t xml:space="preserve">. </w:t>
      </w:r>
      <w:r w:rsidR="006B1DA7" w:rsidRPr="00F3795D">
        <w:rPr>
          <w:rFonts w:ascii="Times New Roman" w:hAnsi="Times New Roman" w:cs="Times New Roman"/>
          <w:color w:val="000000" w:themeColor="text1"/>
          <w:sz w:val="24"/>
          <w:szCs w:val="24"/>
          <w:lang w:val="en-US"/>
        </w:rPr>
        <w:t>However, s</w:t>
      </w:r>
      <w:r w:rsidR="00912BCA" w:rsidRPr="00F3795D">
        <w:rPr>
          <w:rFonts w:ascii="Times New Roman" w:hAnsi="Times New Roman" w:cs="Times New Roman"/>
          <w:color w:val="000000" w:themeColor="text1"/>
          <w:sz w:val="24"/>
          <w:szCs w:val="24"/>
          <w:lang w:val="en-US"/>
        </w:rPr>
        <w:t xml:space="preserve">lower parasite clearance rates in treated patients </w:t>
      </w:r>
      <w:r w:rsidR="0007457C" w:rsidRPr="00F3795D">
        <w:rPr>
          <w:rFonts w:ascii="Times New Roman" w:hAnsi="Times New Roman" w:cs="Times New Roman"/>
          <w:color w:val="000000" w:themeColor="text1"/>
          <w:sz w:val="24"/>
          <w:szCs w:val="24"/>
          <w:lang w:val="en-US"/>
        </w:rPr>
        <w:t>result from</w:t>
      </w:r>
      <w:r w:rsidR="00912BCA" w:rsidRPr="00F3795D">
        <w:rPr>
          <w:rFonts w:ascii="Times New Roman" w:hAnsi="Times New Roman" w:cs="Times New Roman"/>
          <w:color w:val="000000" w:themeColor="text1"/>
          <w:sz w:val="24"/>
          <w:szCs w:val="24"/>
          <w:lang w:val="en-US"/>
        </w:rPr>
        <w:t xml:space="preserve"> the emergence of </w:t>
      </w:r>
      <w:r w:rsidR="00EE6E97">
        <w:rPr>
          <w:rFonts w:ascii="Times New Roman" w:hAnsi="Times New Roman" w:cs="Times New Roman"/>
          <w:color w:val="000000" w:themeColor="text1"/>
          <w:sz w:val="24"/>
          <w:szCs w:val="24"/>
          <w:lang w:val="en-US"/>
        </w:rPr>
        <w:t>Artemisinin</w:t>
      </w:r>
      <w:r w:rsidR="00912BCA" w:rsidRPr="00F3795D">
        <w:rPr>
          <w:rFonts w:ascii="Times New Roman" w:hAnsi="Times New Roman" w:cs="Times New Roman"/>
          <w:color w:val="000000" w:themeColor="text1"/>
          <w:sz w:val="24"/>
          <w:szCs w:val="24"/>
          <w:lang w:val="en-US"/>
        </w:rPr>
        <w:t xml:space="preserve"> resistance </w:t>
      </w:r>
      <w:r w:rsidR="005F65E6" w:rsidRPr="00F3795D">
        <w:rPr>
          <w:rFonts w:ascii="Times New Roman" w:hAnsi="Times New Roman" w:cs="Times New Roman"/>
          <w:color w:val="000000" w:themeColor="text1"/>
          <w:sz w:val="24"/>
          <w:szCs w:val="24"/>
          <w:lang w:val="en-US"/>
        </w:rPr>
        <w:fldChar w:fldCharType="begin" w:fldLock="1"/>
      </w:r>
      <w:r w:rsidR="008B28D0" w:rsidRPr="00F3795D">
        <w:rPr>
          <w:rFonts w:ascii="Times New Roman" w:hAnsi="Times New Roman" w:cs="Times New Roman"/>
          <w:color w:val="000000" w:themeColor="text1"/>
          <w:sz w:val="24"/>
          <w:szCs w:val="24"/>
          <w:lang w:val="en-US"/>
        </w:rPr>
        <w:instrText>ADDIN CSL_CITATION {"citationItems":[{"id":"ITEM-1","itemData":{"DOI":"10.1016/j.pt.2021.04.006","ISSN":"14715007","PMID":"34001441","abstract":"Strategies to counteract or prevent emerging drug resistance are crucial for the design of next-generation antimalarials. In the past, resistant parasites were generally identified following treatment failures in patients, and compounds would have to be abandoned late in development. An early understanding of how candidate therapeutics lose efficacy as parasites evolve resistance is important to facilitate drug design and improve resistance detection and monitoring up to the postregistration phase. We describe a new strategy to assess resistance to antimalarial compounds as early as possible in preclinical development by leveraging tools to define the Plasmodium falciparum resistome, predict potential resistance risks of clinical failure for candidate therapeutics, and inform decisions to guide antimalarial drug development.","author":[{"dropping-particle":"","family":"Duffey","given":"Maëlle","non-dropping-particle":"","parse-names":false,"suffix":""},{"dropping-particle":"","family":"Blasco","given":"Benjamin","non-dropping-particle":"","parse-names":false,"suffix":""},{"dropping-particle":"","family":"Burrows","given":"Jeremy N.","non-dropping-particle":"","parse-names":false,"suffix":""},{"dropping-particle":"","family":"Wells","given":"Timothy N.C.","non-dropping-particle":"","parse-names":false,"suffix":""},{"dropping-particle":"","family":"Fidock","given":"David A.","non-dropping-particle":"","parse-names":false,"suffix":""},{"dropping-particle":"","family":"Leroy","given":"Didier","non-dropping-particle":"","parse-names":false,"suffix":""}],"container-title":"Trends in Parasitology","id":"ITEM-1","issue":"8","issued":{"date-parts":[["2021"]]},"page":"709-721","title":"Assessing risks of Plasmodium falciparum resistance to select next-generation antimalarials","type":"article-journal","volume":"37"},"uris":["http://www.mendeley.com/documents/?uuid=73045ae0-02d8-444a-8710-267b66b2de72"]}],"mendeley":{"formattedCitation":"(Duffey et al., 2021)","plainTextFormattedCitation":"(Duffey et al., 2021)","previouslyFormattedCitation":"(Duffey et al., 2021)"},"properties":{"noteIndex":0},"schema":"https://github.com/citation-style-language/schema/raw/master/csl-citation.json"}</w:instrText>
      </w:r>
      <w:r w:rsidR="005F65E6" w:rsidRPr="00F3795D">
        <w:rPr>
          <w:rFonts w:ascii="Times New Roman" w:hAnsi="Times New Roman" w:cs="Times New Roman"/>
          <w:color w:val="000000" w:themeColor="text1"/>
          <w:sz w:val="24"/>
          <w:szCs w:val="24"/>
          <w:lang w:val="en-US"/>
        </w:rPr>
        <w:fldChar w:fldCharType="separate"/>
      </w:r>
      <w:r w:rsidR="005D682C" w:rsidRPr="00F3795D">
        <w:rPr>
          <w:rFonts w:ascii="Times New Roman" w:hAnsi="Times New Roman" w:cs="Times New Roman"/>
          <w:noProof/>
          <w:color w:val="000000" w:themeColor="text1"/>
          <w:sz w:val="24"/>
          <w:szCs w:val="24"/>
          <w:lang w:val="en-US"/>
        </w:rPr>
        <w:t>(Duffey et al., 2021)</w:t>
      </w:r>
      <w:r w:rsidR="005F65E6" w:rsidRPr="00F3795D">
        <w:rPr>
          <w:rFonts w:ascii="Times New Roman" w:hAnsi="Times New Roman" w:cs="Times New Roman"/>
          <w:color w:val="000000" w:themeColor="text1"/>
          <w:sz w:val="24"/>
          <w:szCs w:val="24"/>
          <w:lang w:val="en-US"/>
        </w:rPr>
        <w:fldChar w:fldCharType="end"/>
      </w:r>
      <w:r w:rsidR="00C41588" w:rsidRPr="00F3795D">
        <w:rPr>
          <w:rFonts w:ascii="Times New Roman" w:hAnsi="Times New Roman" w:cs="Times New Roman"/>
          <w:color w:val="000000" w:themeColor="text1"/>
          <w:sz w:val="24"/>
          <w:szCs w:val="24"/>
          <w:lang w:val="en-US"/>
        </w:rPr>
        <w:t>.</w:t>
      </w:r>
    </w:p>
    <w:p w14:paraId="7896D683" w14:textId="72FD9BD8" w:rsidR="00CA5CCB" w:rsidRPr="00F3795D" w:rsidRDefault="002B6B70" w:rsidP="00372EFD">
      <w:pPr>
        <w:spacing w:after="0" w:line="276" w:lineRule="auto"/>
        <w:jc w:val="both"/>
        <w:rPr>
          <w:rFonts w:ascii="Times New Roman" w:hAnsi="Times New Roman" w:cs="Times New Roman"/>
          <w:color w:val="000000" w:themeColor="text1"/>
          <w:sz w:val="24"/>
          <w:szCs w:val="24"/>
        </w:rPr>
      </w:pPr>
      <w:r w:rsidRPr="00F3795D">
        <w:rPr>
          <w:rStyle w:val="Emphasis"/>
          <w:rFonts w:ascii="Times New Roman" w:hAnsi="Times New Roman" w:cs="Times New Roman"/>
          <w:i w:val="0"/>
          <w:iCs w:val="0"/>
          <w:color w:val="000000" w:themeColor="text1"/>
          <w:sz w:val="24"/>
          <w:szCs w:val="24"/>
          <w:shd w:val="clear" w:color="auto" w:fill="FFFFFF"/>
        </w:rPr>
        <w:t xml:space="preserve">The most prevalent human malaria parasite, </w:t>
      </w:r>
      <w:r w:rsidRPr="00F3795D">
        <w:rPr>
          <w:rStyle w:val="Emphasis"/>
          <w:rFonts w:ascii="Times New Roman" w:hAnsi="Times New Roman" w:cs="Times New Roman"/>
          <w:color w:val="000000" w:themeColor="text1"/>
          <w:sz w:val="24"/>
          <w:szCs w:val="24"/>
          <w:shd w:val="clear" w:color="auto" w:fill="FFFFFF"/>
        </w:rPr>
        <w:t xml:space="preserve">Plasmodium </w:t>
      </w:r>
      <w:proofErr w:type="spellStart"/>
      <w:r w:rsidRPr="00F3795D">
        <w:rPr>
          <w:rStyle w:val="Emphasis"/>
          <w:rFonts w:ascii="Times New Roman" w:hAnsi="Times New Roman" w:cs="Times New Roman"/>
          <w:color w:val="000000" w:themeColor="text1"/>
          <w:sz w:val="24"/>
          <w:szCs w:val="24"/>
          <w:shd w:val="clear" w:color="auto" w:fill="FFFFFF"/>
        </w:rPr>
        <w:t>vivax</w:t>
      </w:r>
      <w:proofErr w:type="spellEnd"/>
      <w:r w:rsidRPr="00F3795D">
        <w:rPr>
          <w:rStyle w:val="Emphasis"/>
          <w:rFonts w:ascii="Times New Roman" w:hAnsi="Times New Roman" w:cs="Times New Roman"/>
          <w:i w:val="0"/>
          <w:iCs w:val="0"/>
          <w:color w:val="000000" w:themeColor="text1"/>
          <w:sz w:val="24"/>
          <w:szCs w:val="24"/>
          <w:shd w:val="clear" w:color="auto" w:fill="FFFFFF"/>
        </w:rPr>
        <w:t xml:space="preserve"> (</w:t>
      </w:r>
      <w:proofErr w:type="spellStart"/>
      <w:r w:rsidRPr="00F3795D">
        <w:rPr>
          <w:rStyle w:val="Emphasis"/>
          <w:rFonts w:ascii="Times New Roman" w:hAnsi="Times New Roman" w:cs="Times New Roman"/>
          <w:i w:val="0"/>
          <w:iCs w:val="0"/>
          <w:color w:val="000000" w:themeColor="text1"/>
          <w:sz w:val="24"/>
          <w:szCs w:val="24"/>
          <w:shd w:val="clear" w:color="auto" w:fill="FFFFFF"/>
        </w:rPr>
        <w:t>Pv</w:t>
      </w:r>
      <w:proofErr w:type="spellEnd"/>
      <w:r w:rsidRPr="00F3795D">
        <w:rPr>
          <w:rStyle w:val="Emphasis"/>
          <w:rFonts w:ascii="Times New Roman" w:hAnsi="Times New Roman" w:cs="Times New Roman"/>
          <w:i w:val="0"/>
          <w:iCs w:val="0"/>
          <w:color w:val="000000" w:themeColor="text1"/>
          <w:sz w:val="24"/>
          <w:szCs w:val="24"/>
          <w:shd w:val="clear" w:color="auto" w:fill="FFFFFF"/>
        </w:rPr>
        <w:t xml:space="preserve">), puts 2.5 billion people at risk of contracting the disease. The Duffy antigen is required for </w:t>
      </w:r>
      <w:proofErr w:type="spellStart"/>
      <w:r w:rsidRPr="00F3795D">
        <w:rPr>
          <w:rStyle w:val="Emphasis"/>
          <w:rFonts w:ascii="Times New Roman" w:hAnsi="Times New Roman" w:cs="Times New Roman"/>
          <w:i w:val="0"/>
          <w:iCs w:val="0"/>
          <w:color w:val="000000" w:themeColor="text1"/>
          <w:sz w:val="24"/>
          <w:szCs w:val="24"/>
          <w:shd w:val="clear" w:color="auto" w:fill="FFFFFF"/>
        </w:rPr>
        <w:t>Pv</w:t>
      </w:r>
      <w:proofErr w:type="spellEnd"/>
      <w:r w:rsidRPr="00F3795D">
        <w:rPr>
          <w:rStyle w:val="Emphasis"/>
          <w:rFonts w:ascii="Times New Roman" w:hAnsi="Times New Roman" w:cs="Times New Roman"/>
          <w:i w:val="0"/>
          <w:iCs w:val="0"/>
          <w:color w:val="000000" w:themeColor="text1"/>
          <w:sz w:val="24"/>
          <w:szCs w:val="24"/>
          <w:shd w:val="clear" w:color="auto" w:fill="FFFFFF"/>
        </w:rPr>
        <w:t xml:space="preserve"> to infect red blood cells. People who </w:t>
      </w:r>
      <w:r w:rsidR="00EE6E97">
        <w:rPr>
          <w:rStyle w:val="Emphasis"/>
          <w:rFonts w:ascii="Times New Roman" w:hAnsi="Times New Roman" w:cs="Times New Roman"/>
          <w:i w:val="0"/>
          <w:iCs w:val="0"/>
          <w:color w:val="000000" w:themeColor="text1"/>
          <w:sz w:val="24"/>
          <w:szCs w:val="24"/>
          <w:shd w:val="clear" w:color="auto" w:fill="FFFFFF"/>
        </w:rPr>
        <w:t>do not</w:t>
      </w:r>
      <w:r w:rsidRPr="00F3795D">
        <w:rPr>
          <w:rStyle w:val="Emphasis"/>
          <w:rFonts w:ascii="Times New Roman" w:hAnsi="Times New Roman" w:cs="Times New Roman"/>
          <w:i w:val="0"/>
          <w:iCs w:val="0"/>
          <w:color w:val="000000" w:themeColor="text1"/>
          <w:sz w:val="24"/>
          <w:szCs w:val="24"/>
          <w:shd w:val="clear" w:color="auto" w:fill="FFFFFF"/>
        </w:rPr>
        <w:t xml:space="preserve"> express the Duffy antigen are regarded as resistant to </w:t>
      </w:r>
      <w:proofErr w:type="spellStart"/>
      <w:r w:rsidRPr="00F3795D">
        <w:rPr>
          <w:rStyle w:val="Emphasis"/>
          <w:rFonts w:ascii="Times New Roman" w:hAnsi="Times New Roman" w:cs="Times New Roman"/>
          <w:i w:val="0"/>
          <w:iCs w:val="0"/>
          <w:color w:val="000000" w:themeColor="text1"/>
          <w:sz w:val="24"/>
          <w:szCs w:val="24"/>
          <w:shd w:val="clear" w:color="auto" w:fill="FFFFFF"/>
        </w:rPr>
        <w:t>Pv</w:t>
      </w:r>
      <w:proofErr w:type="spellEnd"/>
      <w:r w:rsidRPr="00F3795D">
        <w:rPr>
          <w:rStyle w:val="Emphasis"/>
          <w:rFonts w:ascii="Times New Roman" w:hAnsi="Times New Roman" w:cs="Times New Roman"/>
          <w:i w:val="0"/>
          <w:iCs w:val="0"/>
          <w:color w:val="000000" w:themeColor="text1"/>
          <w:sz w:val="24"/>
          <w:szCs w:val="24"/>
          <w:shd w:val="clear" w:color="auto" w:fill="FFFFFF"/>
        </w:rPr>
        <w:t xml:space="preserve"> infection. As a result, the prevalence of Duffy's negativity is considered on the </w:t>
      </w:r>
      <w:proofErr w:type="spellStart"/>
      <w:r w:rsidRPr="00F3795D">
        <w:rPr>
          <w:rStyle w:val="Emphasis"/>
          <w:rFonts w:ascii="Times New Roman" w:hAnsi="Times New Roman" w:cs="Times New Roman"/>
          <w:i w:val="0"/>
          <w:iCs w:val="0"/>
          <w:color w:val="000000" w:themeColor="text1"/>
          <w:sz w:val="24"/>
          <w:szCs w:val="24"/>
          <w:shd w:val="clear" w:color="auto" w:fill="FFFFFF"/>
        </w:rPr>
        <w:t>Pv</w:t>
      </w:r>
      <w:proofErr w:type="spellEnd"/>
      <w:r w:rsidRPr="00F3795D">
        <w:rPr>
          <w:rStyle w:val="Emphasis"/>
          <w:rFonts w:ascii="Times New Roman" w:hAnsi="Times New Roman" w:cs="Times New Roman"/>
          <w:i w:val="0"/>
          <w:iCs w:val="0"/>
          <w:color w:val="000000" w:themeColor="text1"/>
          <w:sz w:val="24"/>
          <w:szCs w:val="24"/>
          <w:shd w:val="clear" w:color="auto" w:fill="FFFFFF"/>
        </w:rPr>
        <w:t xml:space="preserve"> global map as a proxy for the population immune to disease</w:t>
      </w:r>
      <w:r w:rsidR="002037ED" w:rsidRPr="00F3795D">
        <w:rPr>
          <w:rStyle w:val="Emphasis"/>
          <w:rFonts w:ascii="Times New Roman" w:hAnsi="Times New Roman" w:cs="Times New Roman"/>
          <w:i w:val="0"/>
          <w:iCs w:val="0"/>
          <w:color w:val="000000" w:themeColor="text1"/>
          <w:sz w:val="24"/>
          <w:szCs w:val="24"/>
          <w:shd w:val="clear" w:color="auto" w:fill="FFFFFF"/>
        </w:rPr>
        <w:t xml:space="preserve">. </w:t>
      </w:r>
      <w:proofErr w:type="spellStart"/>
      <w:r w:rsidR="00A75220" w:rsidRPr="00F3795D">
        <w:rPr>
          <w:rFonts w:ascii="Times New Roman" w:hAnsi="Times New Roman" w:cs="Times New Roman"/>
          <w:color w:val="000000" w:themeColor="text1"/>
          <w:sz w:val="24"/>
          <w:szCs w:val="24"/>
        </w:rPr>
        <w:t>Pv</w:t>
      </w:r>
      <w:proofErr w:type="spellEnd"/>
      <w:r w:rsidR="00A75220" w:rsidRPr="00F3795D">
        <w:rPr>
          <w:rFonts w:ascii="Times New Roman" w:hAnsi="Times New Roman" w:cs="Times New Roman"/>
          <w:color w:val="000000" w:themeColor="text1"/>
          <w:sz w:val="24"/>
          <w:szCs w:val="24"/>
        </w:rPr>
        <w:t xml:space="preserve"> </w:t>
      </w:r>
      <w:r w:rsidR="004912DB" w:rsidRPr="00F3795D">
        <w:rPr>
          <w:rFonts w:ascii="Times New Roman" w:hAnsi="Times New Roman" w:cs="Times New Roman"/>
          <w:color w:val="000000" w:themeColor="text1"/>
          <w:sz w:val="24"/>
          <w:szCs w:val="24"/>
        </w:rPr>
        <w:t>M</w:t>
      </w:r>
      <w:r w:rsidR="00A75220" w:rsidRPr="00F3795D">
        <w:rPr>
          <w:rFonts w:ascii="Times New Roman" w:hAnsi="Times New Roman" w:cs="Times New Roman"/>
          <w:color w:val="000000" w:themeColor="text1"/>
          <w:sz w:val="24"/>
          <w:szCs w:val="24"/>
        </w:rPr>
        <w:t xml:space="preserve">alaria has traditionally been considered benign; after an acute infection, a nonimmune person with high </w:t>
      </w:r>
      <w:proofErr w:type="spellStart"/>
      <w:r w:rsidR="00A75220" w:rsidRPr="00F3795D">
        <w:rPr>
          <w:rFonts w:ascii="Times New Roman" w:hAnsi="Times New Roman" w:cs="Times New Roman"/>
          <w:color w:val="000000" w:themeColor="text1"/>
          <w:sz w:val="24"/>
          <w:szCs w:val="24"/>
        </w:rPr>
        <w:t>Pv</w:t>
      </w:r>
      <w:proofErr w:type="spellEnd"/>
      <w:r w:rsidR="00A75220" w:rsidRPr="00F3795D">
        <w:rPr>
          <w:rFonts w:ascii="Times New Roman" w:hAnsi="Times New Roman" w:cs="Times New Roman"/>
          <w:color w:val="000000" w:themeColor="text1"/>
          <w:sz w:val="24"/>
          <w:szCs w:val="24"/>
        </w:rPr>
        <w:t xml:space="preserve"> relapse periodicity can experience recurrent malaria episodes on average once a month for more than a year. The cumulative risk of anaemia is increased by repeated malaria cases and consequent parasite-induced </w:t>
      </w:r>
      <w:proofErr w:type="spellStart"/>
      <w:r w:rsidR="00A75220" w:rsidRPr="00F3795D">
        <w:rPr>
          <w:rFonts w:ascii="Times New Roman" w:hAnsi="Times New Roman" w:cs="Times New Roman"/>
          <w:color w:val="000000" w:themeColor="text1"/>
          <w:sz w:val="24"/>
          <w:szCs w:val="24"/>
        </w:rPr>
        <w:t>hemolysis</w:t>
      </w:r>
      <w:proofErr w:type="spellEnd"/>
      <w:r w:rsidR="00A75220" w:rsidRPr="00F3795D">
        <w:rPr>
          <w:rFonts w:ascii="Times New Roman" w:hAnsi="Times New Roman" w:cs="Times New Roman"/>
          <w:color w:val="000000" w:themeColor="text1"/>
          <w:sz w:val="24"/>
          <w:szCs w:val="24"/>
        </w:rPr>
        <w:t xml:space="preserve">, especially in young and malnourished children. As haemoglobin levels drop, the danger of death increases. Concomitant diseases like pneumonia and diarrhoea make the situation even worse. Recurrent </w:t>
      </w:r>
      <w:proofErr w:type="spellStart"/>
      <w:r w:rsidR="00A75220" w:rsidRPr="00F3795D">
        <w:rPr>
          <w:rFonts w:ascii="Times New Roman" w:hAnsi="Times New Roman" w:cs="Times New Roman"/>
          <w:color w:val="000000" w:themeColor="text1"/>
          <w:sz w:val="24"/>
          <w:szCs w:val="24"/>
        </w:rPr>
        <w:t>Pv</w:t>
      </w:r>
      <w:proofErr w:type="spellEnd"/>
      <w:r w:rsidR="00A75220" w:rsidRPr="00F3795D">
        <w:rPr>
          <w:rFonts w:ascii="Times New Roman" w:hAnsi="Times New Roman" w:cs="Times New Roman"/>
          <w:color w:val="000000" w:themeColor="text1"/>
          <w:sz w:val="24"/>
          <w:szCs w:val="24"/>
        </w:rPr>
        <w:t xml:space="preserve"> malaria during pregnancy is linked to miscarriage, early delivery, stillbirth, and low birth weight </w:t>
      </w:r>
      <w:r w:rsidR="008008AF" w:rsidRPr="00F3795D">
        <w:rPr>
          <w:rFonts w:ascii="Times New Roman" w:hAnsi="Times New Roman" w:cs="Times New Roman"/>
          <w:color w:val="000000" w:themeColor="text1"/>
          <w:sz w:val="24"/>
          <w:szCs w:val="24"/>
        </w:rPr>
        <w:fldChar w:fldCharType="begin" w:fldLock="1"/>
      </w:r>
      <w:r w:rsidR="008B28D0" w:rsidRPr="00F3795D">
        <w:rPr>
          <w:rFonts w:ascii="Times New Roman" w:hAnsi="Times New Roman" w:cs="Times New Roman"/>
          <w:color w:val="000000" w:themeColor="text1"/>
          <w:sz w:val="24"/>
          <w:szCs w:val="24"/>
        </w:rPr>
        <w:instrText>ADDIN CSL_CITATION {"citationItems":[{"id":"ITEM-1","itemData":{"ISBN":"1111111111","author":[{"dropping-particle":"","family":"Id","given":"Katherine A Twohig","non-dropping-particle":"","parse-names":false,"suffix":""},{"dropping-particle":"","family":"Id","given":"Daniel A Pfeffer","non-dropping-particle":"","parse-names":false,"suffix":""},{"dropping-particle":"","family":"Baird","given":"J Kevin","non-dropping-particle":"","parse-names":false,"suffix":""},{"dropping-particle":"","family":"Price","given":"Ric N","non-dropping-particle":"","parse-names":false,"suffix":""},{"dropping-particle":"","family":"Zimmerman","given":"A","non-dropping-particle":"","parse-names":false,"suffix":""},{"dropping-particle":"","family":"Id","given":"Simon I Hay","non-dropping-particle":"","parse-names":false,"suffix":""},{"dropping-particle":"","family":"Gething","given":"Peter W","non-dropping-particle":"","parse-names":false,"suffix":""},{"dropping-particle":"","family":"Battle","given":"Katherine E","non-dropping-particle":"","parse-names":false,"suffix":""},{"dropping-particle":"","family":"Id","given":"E Howes","non-dropping-particle":"","parse-names":false,"suffix":""}],"id":"ITEM-1","issued":{"date-parts":[["2019"]]},"page":"1-16","title":"Growing evidence of Plasmodium vivax across malaria-endemic Africa","type":"article-journal"},"uris":["http://www.mendeley.com/documents/?uuid=f164fa6a-6550-46c2-9589-debde0c8f10b"]}],"mendeley":{"formattedCitation":"(Id et al., 2019)","plainTextFormattedCitation":"(Id et al., 2019)","previouslyFormattedCitation":"(Id et al., 2019)"},"properties":{"noteIndex":0},"schema":"https://github.com/citation-style-language/schema/raw/master/csl-citation.json"}</w:instrText>
      </w:r>
      <w:r w:rsidR="008008AF" w:rsidRPr="00F3795D">
        <w:rPr>
          <w:rFonts w:ascii="Times New Roman" w:hAnsi="Times New Roman" w:cs="Times New Roman"/>
          <w:color w:val="000000" w:themeColor="text1"/>
          <w:sz w:val="24"/>
          <w:szCs w:val="24"/>
        </w:rPr>
        <w:fldChar w:fldCharType="separate"/>
      </w:r>
      <w:r w:rsidR="005D682C" w:rsidRPr="00F3795D">
        <w:rPr>
          <w:rFonts w:ascii="Times New Roman" w:hAnsi="Times New Roman" w:cs="Times New Roman"/>
          <w:noProof/>
          <w:color w:val="000000" w:themeColor="text1"/>
          <w:sz w:val="24"/>
          <w:szCs w:val="24"/>
        </w:rPr>
        <w:t>(Id et al., 2019)</w:t>
      </w:r>
      <w:r w:rsidR="008008AF" w:rsidRPr="00F3795D">
        <w:rPr>
          <w:rFonts w:ascii="Times New Roman" w:hAnsi="Times New Roman" w:cs="Times New Roman"/>
          <w:color w:val="000000" w:themeColor="text1"/>
          <w:sz w:val="24"/>
          <w:szCs w:val="24"/>
        </w:rPr>
        <w:fldChar w:fldCharType="end"/>
      </w:r>
      <w:r w:rsidR="004F4898" w:rsidRPr="00F3795D">
        <w:rPr>
          <w:rFonts w:ascii="Times New Roman" w:hAnsi="Times New Roman" w:cs="Times New Roman"/>
          <w:color w:val="000000" w:themeColor="text1"/>
          <w:sz w:val="24"/>
          <w:szCs w:val="24"/>
        </w:rPr>
        <w:t xml:space="preserve">. </w:t>
      </w:r>
      <w:r w:rsidR="009C3C87" w:rsidRPr="00F3795D">
        <w:rPr>
          <w:rFonts w:ascii="Times New Roman" w:hAnsi="Times New Roman" w:cs="Times New Roman"/>
          <w:color w:val="000000" w:themeColor="text1"/>
          <w:sz w:val="24"/>
          <w:szCs w:val="24"/>
        </w:rPr>
        <w:t xml:space="preserve">Radical cure treatment </w:t>
      </w:r>
      <w:r w:rsidR="00573938" w:rsidRPr="00F3795D">
        <w:rPr>
          <w:rFonts w:ascii="Times New Roman" w:hAnsi="Times New Roman" w:cs="Times New Roman"/>
          <w:color w:val="000000" w:themeColor="text1"/>
          <w:sz w:val="24"/>
          <w:szCs w:val="24"/>
        </w:rPr>
        <w:t>is</w:t>
      </w:r>
      <w:r w:rsidR="009C3C87" w:rsidRPr="00F3795D">
        <w:rPr>
          <w:rFonts w:ascii="Times New Roman" w:hAnsi="Times New Roman" w:cs="Times New Roman"/>
          <w:color w:val="000000" w:themeColor="text1"/>
          <w:sz w:val="24"/>
          <w:szCs w:val="24"/>
        </w:rPr>
        <w:t xml:space="preserve"> the therapeutic protocol that aims to eradicate </w:t>
      </w:r>
      <w:proofErr w:type="spellStart"/>
      <w:r w:rsidR="009C3C87" w:rsidRPr="00F3795D">
        <w:rPr>
          <w:rFonts w:ascii="Times New Roman" w:hAnsi="Times New Roman" w:cs="Times New Roman"/>
          <w:color w:val="000000" w:themeColor="text1"/>
          <w:sz w:val="24"/>
          <w:szCs w:val="24"/>
        </w:rPr>
        <w:t>Pv</w:t>
      </w:r>
      <w:proofErr w:type="spellEnd"/>
      <w:r w:rsidR="009C3C87" w:rsidRPr="00F3795D">
        <w:rPr>
          <w:rFonts w:ascii="Times New Roman" w:hAnsi="Times New Roman" w:cs="Times New Roman"/>
          <w:color w:val="000000" w:themeColor="text1"/>
          <w:sz w:val="24"/>
          <w:szCs w:val="24"/>
        </w:rPr>
        <w:t xml:space="preserve"> in blood and liver stages. This therapy </w:t>
      </w:r>
      <w:r w:rsidR="00573938" w:rsidRPr="00F3795D">
        <w:rPr>
          <w:rFonts w:ascii="Times New Roman" w:hAnsi="Times New Roman" w:cs="Times New Roman"/>
          <w:color w:val="000000" w:themeColor="text1"/>
          <w:sz w:val="24"/>
          <w:szCs w:val="24"/>
        </w:rPr>
        <w:t xml:space="preserve">combines an 8-aminoquinoline, the only </w:t>
      </w:r>
      <w:proofErr w:type="spellStart"/>
      <w:r w:rsidR="00573938" w:rsidRPr="00F3795D">
        <w:rPr>
          <w:rFonts w:ascii="Times New Roman" w:hAnsi="Times New Roman" w:cs="Times New Roman"/>
          <w:color w:val="000000" w:themeColor="text1"/>
          <w:sz w:val="24"/>
          <w:szCs w:val="24"/>
        </w:rPr>
        <w:t>hypnozoiticidal</w:t>
      </w:r>
      <w:proofErr w:type="spellEnd"/>
      <w:r w:rsidR="00573938" w:rsidRPr="00F3795D">
        <w:rPr>
          <w:rFonts w:ascii="Times New Roman" w:hAnsi="Times New Roman" w:cs="Times New Roman"/>
          <w:color w:val="000000" w:themeColor="text1"/>
          <w:sz w:val="24"/>
          <w:szCs w:val="24"/>
        </w:rPr>
        <w:t xml:space="preserve"> medication clas</w:t>
      </w:r>
      <w:r w:rsidR="009C3C87" w:rsidRPr="00F3795D">
        <w:rPr>
          <w:rFonts w:ascii="Times New Roman" w:hAnsi="Times New Roman" w:cs="Times New Roman"/>
          <w:color w:val="000000" w:themeColor="text1"/>
          <w:sz w:val="24"/>
          <w:szCs w:val="24"/>
        </w:rPr>
        <w:t xml:space="preserve">s currently available, with a </w:t>
      </w:r>
      <w:proofErr w:type="spellStart"/>
      <w:r w:rsidR="009C3C87" w:rsidRPr="00F3795D">
        <w:rPr>
          <w:rFonts w:ascii="Times New Roman" w:hAnsi="Times New Roman" w:cs="Times New Roman"/>
          <w:color w:val="000000" w:themeColor="text1"/>
          <w:sz w:val="24"/>
          <w:szCs w:val="24"/>
        </w:rPr>
        <w:t>schizonticidal</w:t>
      </w:r>
      <w:proofErr w:type="spellEnd"/>
      <w:r w:rsidR="009C3C87" w:rsidRPr="00F3795D">
        <w:rPr>
          <w:rFonts w:ascii="Times New Roman" w:hAnsi="Times New Roman" w:cs="Times New Roman"/>
          <w:color w:val="000000" w:themeColor="text1"/>
          <w:sz w:val="24"/>
          <w:szCs w:val="24"/>
        </w:rPr>
        <w:t xml:space="preserve"> drug, frequently </w:t>
      </w:r>
      <w:proofErr w:type="spellStart"/>
      <w:r w:rsidR="009C3C87" w:rsidRPr="00F3795D">
        <w:rPr>
          <w:rFonts w:ascii="Times New Roman" w:hAnsi="Times New Roman" w:cs="Times New Roman"/>
          <w:color w:val="000000" w:themeColor="text1"/>
          <w:sz w:val="24"/>
          <w:szCs w:val="24"/>
        </w:rPr>
        <w:t>chloroquine</w:t>
      </w:r>
      <w:proofErr w:type="spellEnd"/>
      <w:r w:rsidR="009C3C87" w:rsidRPr="00F3795D">
        <w:rPr>
          <w:rFonts w:ascii="Times New Roman" w:hAnsi="Times New Roman" w:cs="Times New Roman"/>
          <w:color w:val="000000" w:themeColor="text1"/>
          <w:sz w:val="24"/>
          <w:szCs w:val="24"/>
        </w:rPr>
        <w:t xml:space="preserve"> (CQ) or Artemisinin-based combination therapy (ACT). </w:t>
      </w:r>
      <w:r w:rsidR="00985BFC" w:rsidRPr="00F3795D">
        <w:rPr>
          <w:rFonts w:ascii="Times New Roman" w:hAnsi="Times New Roman" w:cs="Times New Roman"/>
          <w:color w:val="000000" w:themeColor="text1"/>
          <w:sz w:val="24"/>
          <w:szCs w:val="24"/>
        </w:rPr>
        <w:t xml:space="preserve">The world health organisation (WHO) suggests giving PQ at a total dose of 3.5 mg/kg (210 mg for adults) or 7 mg/kg (420 mg for adults) for temperate strains. </w:t>
      </w:r>
      <w:r w:rsidR="006D438A" w:rsidRPr="00F3795D">
        <w:rPr>
          <w:rFonts w:ascii="Times New Roman" w:hAnsi="Times New Roman" w:cs="Times New Roman"/>
          <w:color w:val="000000" w:themeColor="text1"/>
          <w:sz w:val="24"/>
          <w:szCs w:val="24"/>
        </w:rPr>
        <w:t xml:space="preserve">Two significant issues </w:t>
      </w:r>
      <w:r w:rsidR="006D438A" w:rsidRPr="00F3795D">
        <w:rPr>
          <w:rFonts w:ascii="Times New Roman" w:hAnsi="Times New Roman" w:cs="Times New Roman"/>
          <w:color w:val="000000" w:themeColor="text1"/>
          <w:sz w:val="24"/>
          <w:szCs w:val="24"/>
        </w:rPr>
        <w:lastRenderedPageBreak/>
        <w:t>complicate PQ management</w:t>
      </w:r>
      <w:r w:rsidR="00985BFC" w:rsidRPr="00F3795D">
        <w:rPr>
          <w:rFonts w:ascii="Times New Roman" w:hAnsi="Times New Roman" w:cs="Times New Roman"/>
          <w:color w:val="000000" w:themeColor="text1"/>
          <w:sz w:val="24"/>
          <w:szCs w:val="24"/>
        </w:rPr>
        <w:t xml:space="preserve">. First, poor adherence is caused by the </w:t>
      </w:r>
      <w:r w:rsidR="006D438A" w:rsidRPr="00F3795D">
        <w:rPr>
          <w:rFonts w:ascii="Times New Roman" w:hAnsi="Times New Roman" w:cs="Times New Roman"/>
          <w:color w:val="000000" w:themeColor="text1"/>
          <w:sz w:val="24"/>
          <w:szCs w:val="24"/>
        </w:rPr>
        <w:t>total</w:t>
      </w:r>
      <w:r w:rsidR="00985BFC" w:rsidRPr="00F3795D">
        <w:rPr>
          <w:rFonts w:ascii="Times New Roman" w:hAnsi="Times New Roman" w:cs="Times New Roman"/>
          <w:color w:val="000000" w:themeColor="text1"/>
          <w:sz w:val="24"/>
          <w:szCs w:val="24"/>
        </w:rPr>
        <w:t xml:space="preserve"> dose being provided over a lengthy 7–14-day</w:t>
      </w:r>
      <w:r w:rsidR="006D438A" w:rsidRPr="00F3795D">
        <w:rPr>
          <w:rFonts w:ascii="Times New Roman" w:hAnsi="Times New Roman" w:cs="Times New Roman"/>
          <w:color w:val="000000" w:themeColor="text1"/>
          <w:sz w:val="24"/>
          <w:szCs w:val="24"/>
        </w:rPr>
        <w:t xml:space="preserve"> period, or even eight–weeks</w:t>
      </w:r>
      <w:r w:rsidR="00985BFC" w:rsidRPr="00F3795D">
        <w:rPr>
          <w:rFonts w:ascii="Times New Roman" w:hAnsi="Times New Roman" w:cs="Times New Roman"/>
          <w:color w:val="000000" w:themeColor="text1"/>
          <w:sz w:val="24"/>
          <w:szCs w:val="24"/>
        </w:rPr>
        <w:t>. The range of PQ treatment non-adherence is 2 to 40%. Lack of an immediate benefit, a poor awareness of the long-term advantages for the person and the community, and the misconception that vivax malaria is a benign illness are other reasons that contribute to non-adherence</w:t>
      </w:r>
      <w:r w:rsidR="004F4898" w:rsidRPr="00F3795D">
        <w:rPr>
          <w:rFonts w:ascii="Times New Roman" w:hAnsi="Times New Roman" w:cs="Times New Roman"/>
          <w:color w:val="000000" w:themeColor="text1"/>
          <w:sz w:val="24"/>
          <w:szCs w:val="24"/>
        </w:rPr>
        <w:t xml:space="preserve">. Providers and patients are concerned about potential adverse effects, especially the risk of severe </w:t>
      </w:r>
      <w:proofErr w:type="spellStart"/>
      <w:r w:rsidR="004F4898" w:rsidRPr="00F3795D">
        <w:rPr>
          <w:rFonts w:ascii="Times New Roman" w:hAnsi="Times New Roman" w:cs="Times New Roman"/>
          <w:color w:val="000000" w:themeColor="text1"/>
          <w:sz w:val="24"/>
          <w:szCs w:val="24"/>
        </w:rPr>
        <w:t>hemolysis</w:t>
      </w:r>
      <w:proofErr w:type="spellEnd"/>
      <w:r w:rsidR="004F4898" w:rsidRPr="00F3795D">
        <w:rPr>
          <w:rFonts w:ascii="Times New Roman" w:hAnsi="Times New Roman" w:cs="Times New Roman"/>
          <w:color w:val="000000" w:themeColor="text1"/>
          <w:sz w:val="24"/>
          <w:szCs w:val="24"/>
        </w:rPr>
        <w:t xml:space="preserve"> in people with underlying glucose </w:t>
      </w:r>
      <w:r w:rsidR="00C41588" w:rsidRPr="00F3795D">
        <w:rPr>
          <w:rFonts w:ascii="Times New Roman" w:hAnsi="Times New Roman" w:cs="Times New Roman"/>
          <w:color w:val="000000" w:themeColor="text1"/>
          <w:sz w:val="24"/>
          <w:szCs w:val="24"/>
        </w:rPr>
        <w:t>6-phosphate dehydrogenase (</w:t>
      </w:r>
      <w:r w:rsidR="00A25D4F" w:rsidRPr="00F3795D">
        <w:rPr>
          <w:rFonts w:ascii="Times New Roman" w:hAnsi="Times New Roman" w:cs="Times New Roman"/>
          <w:color w:val="000000" w:themeColor="text1"/>
          <w:sz w:val="24"/>
          <w:szCs w:val="24"/>
        </w:rPr>
        <w:t>G6PD</w:t>
      </w:r>
      <w:r w:rsidR="00C41588" w:rsidRPr="00F3795D">
        <w:rPr>
          <w:rFonts w:ascii="Times New Roman" w:hAnsi="Times New Roman" w:cs="Times New Roman"/>
          <w:color w:val="000000" w:themeColor="text1"/>
          <w:sz w:val="24"/>
          <w:szCs w:val="24"/>
        </w:rPr>
        <w:t>) deficiency</w:t>
      </w:r>
      <w:r w:rsidR="00AA3326">
        <w:rPr>
          <w:rFonts w:ascii="Times New Roman" w:hAnsi="Times New Roman" w:cs="Times New Roman"/>
          <w:color w:val="000000" w:themeColor="text1"/>
          <w:sz w:val="24"/>
          <w:szCs w:val="24"/>
        </w:rPr>
        <w:t xml:space="preserve"> </w:t>
      </w:r>
      <w:r w:rsidR="00EA37B0" w:rsidRPr="00F3795D">
        <w:rPr>
          <w:rFonts w:ascii="Times New Roman" w:hAnsi="Times New Roman" w:cs="Times New Roman"/>
          <w:color w:val="000000" w:themeColor="text1"/>
          <w:sz w:val="24"/>
          <w:szCs w:val="24"/>
        </w:rPr>
        <w:fldChar w:fldCharType="begin" w:fldLock="1"/>
      </w:r>
      <w:r w:rsidR="008B28D0" w:rsidRPr="00F3795D">
        <w:rPr>
          <w:rFonts w:ascii="Times New Roman" w:hAnsi="Times New Roman" w:cs="Times New Roman"/>
          <w:color w:val="000000" w:themeColor="text1"/>
          <w:sz w:val="24"/>
          <w:szCs w:val="24"/>
        </w:rPr>
        <w:instrText>ADDIN CSL_CITATION {"citationItems":[{"id":"ITEM-1","itemData":{"DOI":"10.1016/j.lansea.2022.04.005","ISSN":"27723682","abstract":"Malaria continues to have devastating effect on people's lives especially in developing countries. India is slated for malaria elimination by 2030. Though India has sustained a decline in malaria burden at the national level the epidemiological picture remains heterogenous. India's road to malaria elimination plan is riddled with many roadblocks. Major challenges include insufficient surveillance, slow and aggregated data reporting especially in exigent situations like cross-border areas and vulnerable high-risk groups. More than half of total malaria cases were due to Plasmodium vivax (P. vivax) in India as reported by national malaria control programme in 2019. This translates into substantial burden of P. vivax malaria in absolute numbers. P. vivax malaria, which is difficult to resolve as compared to other species, poses a threat to India's elimination plans by virtue of its tendency to develop hypnozoites, due to poor compliance to primaquine (PQ), due to host factors like G 6 PD deficiency and other genes that affect PQ metabolism. Also, India's malaria endemic areas largely coincide geographically with tribal regions which are poor in healthcare infrastructure. The tribal population disproportionately bears a huge burden of malaria. They also harbour more G6PD deficient individuals than non-tribal regions. Therefore, in addition to inadequate diagnostic facilities (for both malaria and G6PD testing) these remote rural and tribal communities suffer from lack of timely treatment, incomplete radical treatment due to poor compliance and thus repeated episodes of P. vivax due to relapses and/or reinfections. Another challenge is that the the current diagnostic tools in the national programme in India and other countries are mostly available only via the programme and are able to detect patent infections on the whole. These therefore miss low-density infections which are another major limitation for their use in malaria endemic countries. Drug and insecticide resistance need to be constantly monitored as they have direct impact on the efficacy of the current tools. Need for better vector control products for the diverse entomological requirements is also felt. India is the second most populous country in the world with majority of its population at risk of malaria. Despite many agencies (government and non-government) working in the field of malaria, there needs to be more synergy at the local or central level for malaria control. Here, we have propose…","author":[{"dropping-particle":"","family":"Rahi","given":"Manju","non-dropping-particle":"","parse-names":false,"suffix":""},{"dropping-particle":"","family":"Sharma","given":"Amit","non-dropping-particle":"","parse-names":false,"suffix":""}],"container-title":"The Lancet Regional Health - Southeast Asia","id":"ITEM-1","issued":{"date-parts":[["2022"]]},"page":"100009","publisher":"Elsevier Ltd","title":"Malaria control initiatives that have the potential to be gamechangers in India's quest for malaria elimination","type":"article-journal","volume":"2"},"uris":["http://www.mendeley.com/documents/?uuid=7681d427-4517-490b-9613-c6bead574043"]}],"mendeley":{"formattedCitation":"(Rahi and Sharma, 2022)","plainTextFormattedCitation":"(Rahi and Sharma, 2022)","previouslyFormattedCitation":"(Rahi and Sharma, 2022)"},"properties":{"noteIndex":0},"schema":"https://github.com/citation-style-language/schema/raw/master/csl-citation.json"}</w:instrText>
      </w:r>
      <w:r w:rsidR="00EA37B0" w:rsidRPr="00F3795D">
        <w:rPr>
          <w:rFonts w:ascii="Times New Roman" w:hAnsi="Times New Roman" w:cs="Times New Roman"/>
          <w:color w:val="000000" w:themeColor="text1"/>
          <w:sz w:val="24"/>
          <w:szCs w:val="24"/>
        </w:rPr>
        <w:fldChar w:fldCharType="separate"/>
      </w:r>
      <w:r w:rsidR="005D682C" w:rsidRPr="00F3795D">
        <w:rPr>
          <w:rFonts w:ascii="Times New Roman" w:hAnsi="Times New Roman" w:cs="Times New Roman"/>
          <w:noProof/>
          <w:color w:val="000000" w:themeColor="text1"/>
          <w:sz w:val="24"/>
          <w:szCs w:val="24"/>
        </w:rPr>
        <w:t>(Rahi and Sharma, 2022)</w:t>
      </w:r>
      <w:r w:rsidR="00EA37B0" w:rsidRPr="00F3795D">
        <w:rPr>
          <w:rFonts w:ascii="Times New Roman" w:hAnsi="Times New Roman" w:cs="Times New Roman"/>
          <w:color w:val="000000" w:themeColor="text1"/>
          <w:sz w:val="24"/>
          <w:szCs w:val="24"/>
        </w:rPr>
        <w:fldChar w:fldCharType="end"/>
      </w:r>
      <w:r w:rsidR="003E76B3" w:rsidRPr="00F3795D">
        <w:rPr>
          <w:rFonts w:ascii="Times New Roman" w:hAnsi="Times New Roman" w:cs="Times New Roman"/>
          <w:color w:val="000000" w:themeColor="text1"/>
          <w:sz w:val="24"/>
          <w:szCs w:val="24"/>
        </w:rPr>
        <w:t>.</w:t>
      </w:r>
    </w:p>
    <w:p w14:paraId="1C453E17" w14:textId="3C1F9E37" w:rsidR="00122DC5" w:rsidRPr="000D352A" w:rsidRDefault="00426B2F" w:rsidP="00372EFD">
      <w:pPr>
        <w:spacing w:after="0" w:line="276" w:lineRule="auto"/>
        <w:jc w:val="both"/>
        <w:rPr>
          <w:rFonts w:ascii="Times New Roman" w:hAnsi="Times New Roman" w:cs="Times New Roman"/>
          <w:color w:val="000000" w:themeColor="text1"/>
          <w:sz w:val="24"/>
          <w:szCs w:val="24"/>
        </w:rPr>
      </w:pPr>
      <w:r w:rsidRPr="00F3795D">
        <w:rPr>
          <w:rFonts w:ascii="Times New Roman" w:hAnsi="Times New Roman" w:cs="Times New Roman"/>
          <w:color w:val="000000" w:themeColor="text1"/>
          <w:sz w:val="24"/>
          <w:szCs w:val="24"/>
        </w:rPr>
        <w:t xml:space="preserve">Stevens first described the </w:t>
      </w:r>
      <w:r w:rsidRPr="00F3795D">
        <w:rPr>
          <w:rFonts w:ascii="Times New Roman" w:hAnsi="Times New Roman" w:cs="Times New Roman"/>
          <w:i/>
          <w:iCs/>
          <w:color w:val="000000" w:themeColor="text1"/>
          <w:sz w:val="24"/>
          <w:szCs w:val="24"/>
        </w:rPr>
        <w:t xml:space="preserve">Plasmodium </w:t>
      </w:r>
      <w:proofErr w:type="spellStart"/>
      <w:r w:rsidRPr="00F3795D">
        <w:rPr>
          <w:rFonts w:ascii="Times New Roman" w:hAnsi="Times New Roman" w:cs="Times New Roman"/>
          <w:i/>
          <w:iCs/>
          <w:color w:val="000000" w:themeColor="text1"/>
          <w:sz w:val="24"/>
          <w:szCs w:val="24"/>
        </w:rPr>
        <w:t>ovale</w:t>
      </w:r>
      <w:proofErr w:type="spellEnd"/>
      <w:r w:rsidRPr="00F3795D">
        <w:rPr>
          <w:rFonts w:ascii="Times New Roman" w:hAnsi="Times New Roman" w:cs="Times New Roman"/>
          <w:color w:val="000000" w:themeColor="text1"/>
          <w:sz w:val="24"/>
          <w:szCs w:val="24"/>
        </w:rPr>
        <w:t xml:space="preserve"> malaria parasite in 1922. </w:t>
      </w:r>
      <w:proofErr w:type="spellStart"/>
      <w:r w:rsidRPr="00F3795D">
        <w:rPr>
          <w:rFonts w:ascii="Times New Roman" w:hAnsi="Times New Roman" w:cs="Times New Roman"/>
          <w:color w:val="000000" w:themeColor="text1"/>
          <w:sz w:val="24"/>
          <w:szCs w:val="24"/>
        </w:rPr>
        <w:t>Ovale</w:t>
      </w:r>
      <w:proofErr w:type="spellEnd"/>
      <w:r w:rsidRPr="00F3795D">
        <w:rPr>
          <w:rFonts w:ascii="Times New Roman" w:hAnsi="Times New Roman" w:cs="Times New Roman"/>
          <w:color w:val="000000" w:themeColor="text1"/>
          <w:sz w:val="24"/>
          <w:szCs w:val="24"/>
        </w:rPr>
        <w:t xml:space="preserve"> </w:t>
      </w:r>
      <w:r w:rsidR="004912DB" w:rsidRPr="00F3795D">
        <w:rPr>
          <w:rFonts w:ascii="Times New Roman" w:hAnsi="Times New Roman" w:cs="Times New Roman"/>
          <w:color w:val="000000" w:themeColor="text1"/>
          <w:sz w:val="24"/>
          <w:szCs w:val="24"/>
        </w:rPr>
        <w:t>M</w:t>
      </w:r>
      <w:r w:rsidRPr="00F3795D">
        <w:rPr>
          <w:rFonts w:ascii="Times New Roman" w:hAnsi="Times New Roman" w:cs="Times New Roman"/>
          <w:color w:val="000000" w:themeColor="text1"/>
          <w:sz w:val="24"/>
          <w:szCs w:val="24"/>
        </w:rPr>
        <w:t>alaria, which is rare, has a mild clinical presentation and is easily treated with chloroquine-based conventional antimalarial medication</w:t>
      </w:r>
      <w:r w:rsidR="001336EE" w:rsidRPr="00F3795D">
        <w:rPr>
          <w:rFonts w:ascii="Times New Roman" w:hAnsi="Times New Roman" w:cs="Times New Roman"/>
          <w:color w:val="000000" w:themeColor="text1"/>
          <w:sz w:val="24"/>
          <w:szCs w:val="24"/>
        </w:rPr>
        <w:t xml:space="preserve">. Therefore, it </w:t>
      </w:r>
      <w:r w:rsidRPr="00F3795D">
        <w:rPr>
          <w:rFonts w:ascii="Times New Roman" w:hAnsi="Times New Roman" w:cs="Times New Roman"/>
          <w:color w:val="000000" w:themeColor="text1"/>
          <w:sz w:val="24"/>
          <w:szCs w:val="24"/>
        </w:rPr>
        <w:t>has received little attention since th</w:t>
      </w:r>
      <w:r w:rsidR="001336EE" w:rsidRPr="00F3795D">
        <w:rPr>
          <w:rFonts w:ascii="Times New Roman" w:hAnsi="Times New Roman" w:cs="Times New Roman"/>
          <w:color w:val="000000" w:themeColor="text1"/>
          <w:sz w:val="24"/>
          <w:szCs w:val="24"/>
        </w:rPr>
        <w:t>en</w:t>
      </w:r>
      <w:r w:rsidRPr="00F3795D">
        <w:rPr>
          <w:rFonts w:ascii="Times New Roman" w:hAnsi="Times New Roman" w:cs="Times New Roman"/>
          <w:color w:val="000000" w:themeColor="text1"/>
          <w:sz w:val="24"/>
          <w:szCs w:val="24"/>
        </w:rPr>
        <w:t xml:space="preserve"> </w:t>
      </w:r>
      <w:r w:rsidR="005C6D52" w:rsidRPr="00F3795D">
        <w:rPr>
          <w:rFonts w:ascii="Times New Roman" w:hAnsi="Times New Roman" w:cs="Times New Roman"/>
          <w:color w:val="000000" w:themeColor="text1"/>
          <w:sz w:val="24"/>
          <w:szCs w:val="24"/>
        </w:rPr>
        <w:fldChar w:fldCharType="begin" w:fldLock="1"/>
      </w:r>
      <w:r w:rsidR="008B28D0" w:rsidRPr="00F3795D">
        <w:rPr>
          <w:rFonts w:ascii="Times New Roman" w:hAnsi="Times New Roman" w:cs="Times New Roman"/>
          <w:color w:val="000000" w:themeColor="text1"/>
          <w:sz w:val="24"/>
          <w:szCs w:val="24"/>
        </w:rPr>
        <w:instrText>ADDIN CSL_CITATION {"citationItems":[{"id":"ITEM-1","itemData":{"DOI":"10.1371/journal.pone.0235014","ISBN":"1111111111","ISSN":"19326203","PMID":"32559238","abstract":"Plasmodium ovale can infect humans, causing malaria disease. We aimed to investigate the severity and mortality of severe P. ovale infection to increase the awareness of physicians regarding the prognosis of this severe disease and outcome-related deaths in countries in which this disease is endemic. Articles that were published in the PubMed, Scopus, and ISI Web of Science databases prior to January 5, 2020 and reported the prevalence of severe P. ovale infection were systematically searched and reviewed. Studies that mainly reported severe P. ovale infection according to the 2014 WHO criteria for the treatment of malaria were included. Two reviewers selected, identified, assessed, and extracted data from studies independently. The pooled prevalence of severe P. ovale mono-infections was estimated using the command “metaprop case population, random/fixed”, which yielded the pooled estimate, 95% confidence interval (CI) and the I2 value, indicating the level of heterogeneity. Meta-analyses of the proportions were performed using a random-effects model to explore the different proportions of severity between patients with P. ovale and those with other Plasmodium species infections. Among the eight studies that were included and had a total of 1,365 ovale malaria cases, the pooled prevalence of severe P. ovale was 0.03 (95% CI = 0.03–0.05%, I2 = 54.4%). Jaundice (1.1%), severe anemia (0.88%), and pulmonary impairments (0.59%) were the most common severe complications found in patients infected with P. ovale. The meta-analysis demonstrated that a smaller proportion of patients with P. ovale than of patients with P. falciparum had severe infections (P-value = 0.01, OR = 0.36, 95% CI = 0.16–0.81, I2 = 72%). The mortality rate of severe P. ovale infections was 0.15% (2/1,365 cases). Although severe complications of P. ovale infections in patients are rare, it is very important to increase the awareness of physicians regarding the prognosis of severe P. ovale infections in patients, especially in a high-risk population.","author":[{"dropping-particle":"","family":"Kotepui","given":"Manas","non-dropping-particle":"","parse-names":false,"suffix":""},{"dropping-particle":"","family":"Kotepui","given":"Kwuntida Uthaisar","non-dropping-particle":"","parse-names":false,"suffix":""},{"dropping-particle":"","family":"Milanez","given":"Giovanni D.","non-dropping-particle":"","parse-names":false,"suffix":""},{"dropping-particle":"","family":"Masangkay","given":"Frederick R.","non-dropping-particle":"","parse-names":false,"suffix":""}],"container-title":"PLoS ONE","id":"ITEM-1","issue":"6","issued":{"date-parts":[["2020"]]},"title":"Severity and mortality of severe plasmodium ovale infection: A systematic review and meta-analysis","type":"article-journal","volume":"15"},"uris":["http://www.mendeley.com/documents/?uuid=cb3527a3-f45b-45c1-bab8-118d4d495748"]}],"mendeley":{"formattedCitation":"(Kotepui et al., 2020)","plainTextFormattedCitation":"(Kotepui et al., 2020)","previouslyFormattedCitation":"(Kotepui et al., 2020)"},"properties":{"noteIndex":0},"schema":"https://github.com/citation-style-language/schema/raw/master/csl-citation.json"}</w:instrText>
      </w:r>
      <w:r w:rsidR="005C6D52" w:rsidRPr="00F3795D">
        <w:rPr>
          <w:rFonts w:ascii="Times New Roman" w:hAnsi="Times New Roman" w:cs="Times New Roman"/>
          <w:color w:val="000000" w:themeColor="text1"/>
          <w:sz w:val="24"/>
          <w:szCs w:val="24"/>
        </w:rPr>
        <w:fldChar w:fldCharType="separate"/>
      </w:r>
      <w:r w:rsidR="005D682C" w:rsidRPr="00F3795D">
        <w:rPr>
          <w:rFonts w:ascii="Times New Roman" w:hAnsi="Times New Roman" w:cs="Times New Roman"/>
          <w:noProof/>
          <w:color w:val="000000" w:themeColor="text1"/>
          <w:sz w:val="24"/>
          <w:szCs w:val="24"/>
        </w:rPr>
        <w:t>(Kotepui et al., 2020)</w:t>
      </w:r>
      <w:r w:rsidR="005C6D52" w:rsidRPr="00F3795D">
        <w:rPr>
          <w:rFonts w:ascii="Times New Roman" w:hAnsi="Times New Roman" w:cs="Times New Roman"/>
          <w:color w:val="000000" w:themeColor="text1"/>
          <w:sz w:val="24"/>
          <w:szCs w:val="24"/>
        </w:rPr>
        <w:fldChar w:fldCharType="end"/>
      </w:r>
      <w:r w:rsidR="004F4898" w:rsidRPr="00F3795D">
        <w:rPr>
          <w:rFonts w:ascii="Times New Roman" w:hAnsi="Times New Roman" w:cs="Times New Roman"/>
          <w:color w:val="000000" w:themeColor="text1"/>
          <w:sz w:val="24"/>
          <w:szCs w:val="24"/>
        </w:rPr>
        <w:t xml:space="preserve">. </w:t>
      </w:r>
      <w:r w:rsidR="00122DC5" w:rsidRPr="00F3795D">
        <w:rPr>
          <w:rFonts w:ascii="Times New Roman" w:hAnsi="Times New Roman" w:cs="Times New Roman"/>
          <w:color w:val="000000" w:themeColor="text1"/>
          <w:sz w:val="24"/>
          <w:szCs w:val="24"/>
        </w:rPr>
        <w:t xml:space="preserve">However, according to </w:t>
      </w:r>
      <w:r w:rsidR="00291377" w:rsidRPr="00F3795D">
        <w:rPr>
          <w:rFonts w:ascii="Times New Roman" w:hAnsi="Times New Roman" w:cs="Times New Roman"/>
          <w:color w:val="000000" w:themeColor="text1"/>
          <w:sz w:val="24"/>
          <w:szCs w:val="24"/>
        </w:rPr>
        <w:t xml:space="preserve">the </w:t>
      </w:r>
      <w:r w:rsidR="004C4F06" w:rsidRPr="00F3795D">
        <w:rPr>
          <w:rFonts w:ascii="Times New Roman" w:hAnsi="Times New Roman" w:cs="Times New Roman"/>
          <w:color w:val="000000" w:themeColor="text1"/>
          <w:sz w:val="24"/>
          <w:szCs w:val="24"/>
        </w:rPr>
        <w:t>researcher</w:t>
      </w:r>
      <w:r w:rsidR="00122DC5" w:rsidRPr="00F3795D">
        <w:rPr>
          <w:rFonts w:ascii="Times New Roman" w:hAnsi="Times New Roman" w:cs="Times New Roman"/>
          <w:color w:val="000000" w:themeColor="text1"/>
          <w:sz w:val="24"/>
          <w:szCs w:val="24"/>
        </w:rPr>
        <w:t xml:space="preserve">, 5.3% of </w:t>
      </w:r>
      <w:r w:rsidR="00122DC5" w:rsidRPr="00F3795D">
        <w:rPr>
          <w:rFonts w:ascii="Times New Roman" w:hAnsi="Times New Roman" w:cs="Times New Roman"/>
          <w:i/>
          <w:iCs/>
          <w:color w:val="000000" w:themeColor="text1"/>
          <w:sz w:val="24"/>
          <w:szCs w:val="24"/>
        </w:rPr>
        <w:t xml:space="preserve">P. </w:t>
      </w:r>
      <w:proofErr w:type="spellStart"/>
      <w:r w:rsidR="00122DC5" w:rsidRPr="00F3795D">
        <w:rPr>
          <w:rFonts w:ascii="Times New Roman" w:hAnsi="Times New Roman" w:cs="Times New Roman"/>
          <w:i/>
          <w:iCs/>
          <w:color w:val="000000" w:themeColor="text1"/>
          <w:sz w:val="24"/>
          <w:szCs w:val="24"/>
        </w:rPr>
        <w:t>ovale</w:t>
      </w:r>
      <w:proofErr w:type="spellEnd"/>
      <w:r w:rsidR="00122DC5" w:rsidRPr="00F3795D">
        <w:rPr>
          <w:rFonts w:ascii="Times New Roman" w:hAnsi="Times New Roman" w:cs="Times New Roman"/>
          <w:color w:val="000000" w:themeColor="text1"/>
          <w:sz w:val="24"/>
          <w:szCs w:val="24"/>
        </w:rPr>
        <w:t xml:space="preserve"> patients suffered se</w:t>
      </w:r>
      <w:r w:rsidR="001A10D6" w:rsidRPr="00F3795D">
        <w:rPr>
          <w:rFonts w:ascii="Times New Roman" w:hAnsi="Times New Roman" w:cs="Times New Roman"/>
          <w:color w:val="000000" w:themeColor="text1"/>
          <w:sz w:val="24"/>
          <w:szCs w:val="24"/>
        </w:rPr>
        <w:t>vere</w:t>
      </w:r>
      <w:r w:rsidR="00122DC5" w:rsidRPr="00F3795D">
        <w:rPr>
          <w:rFonts w:ascii="Times New Roman" w:hAnsi="Times New Roman" w:cs="Times New Roman"/>
          <w:color w:val="000000" w:themeColor="text1"/>
          <w:sz w:val="24"/>
          <w:szCs w:val="24"/>
        </w:rPr>
        <w:t xml:space="preserve"> sequelae, including hyperbilirubinemia, pulmonary oedema, shock, considerable bleeding, and decreased awareness, according to the most recent study on severe </w:t>
      </w:r>
      <w:r w:rsidR="00122DC5" w:rsidRPr="00F3795D">
        <w:rPr>
          <w:rFonts w:ascii="Times New Roman" w:hAnsi="Times New Roman" w:cs="Times New Roman"/>
          <w:i/>
          <w:iCs/>
          <w:color w:val="000000" w:themeColor="text1"/>
          <w:sz w:val="24"/>
          <w:szCs w:val="24"/>
        </w:rPr>
        <w:t xml:space="preserve">P. </w:t>
      </w:r>
      <w:proofErr w:type="spellStart"/>
      <w:r w:rsidR="00122DC5" w:rsidRPr="00F3795D">
        <w:rPr>
          <w:rFonts w:ascii="Times New Roman" w:hAnsi="Times New Roman" w:cs="Times New Roman"/>
          <w:i/>
          <w:iCs/>
          <w:color w:val="000000" w:themeColor="text1"/>
          <w:sz w:val="24"/>
          <w:szCs w:val="24"/>
        </w:rPr>
        <w:t>ovale</w:t>
      </w:r>
      <w:proofErr w:type="spellEnd"/>
      <w:r w:rsidR="00122DC5" w:rsidRPr="00F3795D">
        <w:rPr>
          <w:rFonts w:ascii="Times New Roman" w:hAnsi="Times New Roman" w:cs="Times New Roman"/>
          <w:color w:val="000000" w:themeColor="text1"/>
          <w:sz w:val="24"/>
          <w:szCs w:val="24"/>
        </w:rPr>
        <w:t xml:space="preserve"> malaria in travellers and migrants. Additionally, a separate set of primers (np-2002 primers) were used to detect </w:t>
      </w:r>
      <w:r w:rsidR="00122DC5" w:rsidRPr="00F3795D">
        <w:rPr>
          <w:rFonts w:ascii="Times New Roman" w:hAnsi="Times New Roman" w:cs="Times New Roman"/>
          <w:i/>
          <w:iCs/>
          <w:color w:val="000000" w:themeColor="text1"/>
          <w:sz w:val="24"/>
          <w:szCs w:val="24"/>
        </w:rPr>
        <w:t xml:space="preserve">P. </w:t>
      </w:r>
      <w:proofErr w:type="spellStart"/>
      <w:r w:rsidR="00122DC5" w:rsidRPr="00F3795D">
        <w:rPr>
          <w:rFonts w:ascii="Times New Roman" w:hAnsi="Times New Roman" w:cs="Times New Roman"/>
          <w:i/>
          <w:iCs/>
          <w:color w:val="000000" w:themeColor="text1"/>
          <w:sz w:val="24"/>
          <w:szCs w:val="24"/>
        </w:rPr>
        <w:t>ovale</w:t>
      </w:r>
      <w:proofErr w:type="spellEnd"/>
      <w:r w:rsidR="00122DC5" w:rsidRPr="00F3795D">
        <w:rPr>
          <w:rFonts w:ascii="Times New Roman" w:hAnsi="Times New Roman" w:cs="Times New Roman"/>
          <w:color w:val="000000" w:themeColor="text1"/>
          <w:sz w:val="24"/>
          <w:szCs w:val="24"/>
        </w:rPr>
        <w:t xml:space="preserve"> in some of these samples. These primers were created to overcome the presence of polymorphisms in </w:t>
      </w:r>
      <w:r w:rsidR="001A10D6" w:rsidRPr="00F3795D">
        <w:rPr>
          <w:rFonts w:ascii="Times New Roman" w:hAnsi="Times New Roman" w:cs="Times New Roman"/>
          <w:color w:val="000000" w:themeColor="text1"/>
          <w:sz w:val="24"/>
          <w:szCs w:val="24"/>
        </w:rPr>
        <w:t xml:space="preserve">the </w:t>
      </w:r>
      <w:r w:rsidR="00122DC5" w:rsidRPr="003072C5">
        <w:rPr>
          <w:rFonts w:ascii="Times New Roman" w:hAnsi="Times New Roman" w:cs="Times New Roman"/>
          <w:i/>
          <w:iCs/>
          <w:color w:val="000000" w:themeColor="text1"/>
          <w:sz w:val="24"/>
          <w:szCs w:val="24"/>
        </w:rPr>
        <w:t>P. oval</w:t>
      </w:r>
      <w:r w:rsidR="00063941" w:rsidRPr="003072C5">
        <w:rPr>
          <w:rFonts w:ascii="Times New Roman" w:hAnsi="Times New Roman" w:cs="Times New Roman"/>
          <w:i/>
          <w:iCs/>
          <w:color w:val="000000" w:themeColor="text1"/>
          <w:sz w:val="24"/>
          <w:szCs w:val="24"/>
        </w:rPr>
        <w:t>s</w:t>
      </w:r>
      <w:r w:rsidR="00122DC5" w:rsidRPr="003072C5">
        <w:rPr>
          <w:rFonts w:ascii="Times New Roman" w:hAnsi="Times New Roman" w:cs="Times New Roman"/>
          <w:i/>
          <w:iCs/>
          <w:color w:val="000000" w:themeColor="text1"/>
          <w:sz w:val="24"/>
          <w:szCs w:val="24"/>
        </w:rPr>
        <w:t>'</w:t>
      </w:r>
      <w:r w:rsidR="00122DC5" w:rsidRPr="00F3795D">
        <w:rPr>
          <w:rFonts w:ascii="Times New Roman" w:hAnsi="Times New Roman" w:cs="Times New Roman"/>
          <w:color w:val="000000" w:themeColor="text1"/>
          <w:sz w:val="24"/>
          <w:szCs w:val="24"/>
        </w:rPr>
        <w:t xml:space="preserve"> </w:t>
      </w:r>
      <w:proofErr w:type="spellStart"/>
      <w:r w:rsidR="00122DC5" w:rsidRPr="00F3795D">
        <w:rPr>
          <w:rFonts w:ascii="Times New Roman" w:hAnsi="Times New Roman" w:cs="Times New Roman"/>
          <w:color w:val="000000" w:themeColor="text1"/>
          <w:sz w:val="24"/>
          <w:szCs w:val="24"/>
        </w:rPr>
        <w:t>ssrRNA</w:t>
      </w:r>
      <w:proofErr w:type="spellEnd"/>
      <w:r w:rsidR="00122DC5" w:rsidRPr="00F3795D">
        <w:rPr>
          <w:rFonts w:ascii="Times New Roman" w:hAnsi="Times New Roman" w:cs="Times New Roman"/>
          <w:color w:val="000000" w:themeColor="text1"/>
          <w:sz w:val="24"/>
          <w:szCs w:val="24"/>
        </w:rPr>
        <w:t xml:space="preserve"> gene that would have reduced the effectiveness of the detection process. </w:t>
      </w:r>
      <w:r w:rsidR="000D352A" w:rsidRPr="000D352A">
        <w:rPr>
          <w:rFonts w:ascii="Times New Roman" w:hAnsi="Times New Roman" w:cs="Times New Roman"/>
          <w:color w:val="000000" w:themeColor="text1"/>
          <w:sz w:val="24"/>
          <w:szCs w:val="24"/>
        </w:rPr>
        <w:t xml:space="preserve">According to recent sequence research, the </w:t>
      </w:r>
      <w:r w:rsidR="000D352A" w:rsidRPr="000D352A">
        <w:rPr>
          <w:rFonts w:ascii="Times New Roman" w:hAnsi="Times New Roman" w:cs="Times New Roman"/>
          <w:i/>
          <w:iCs/>
          <w:color w:val="000000" w:themeColor="text1"/>
          <w:sz w:val="24"/>
          <w:szCs w:val="24"/>
        </w:rPr>
        <w:t xml:space="preserve">Plasmodium </w:t>
      </w:r>
      <w:proofErr w:type="spellStart"/>
      <w:r w:rsidR="000D352A" w:rsidRPr="000D352A">
        <w:rPr>
          <w:rFonts w:ascii="Times New Roman" w:hAnsi="Times New Roman" w:cs="Times New Roman"/>
          <w:i/>
          <w:iCs/>
          <w:color w:val="000000" w:themeColor="text1"/>
          <w:sz w:val="24"/>
          <w:szCs w:val="24"/>
        </w:rPr>
        <w:t>ovale</w:t>
      </w:r>
      <w:proofErr w:type="spellEnd"/>
      <w:r w:rsidR="000D352A" w:rsidRPr="000D352A">
        <w:rPr>
          <w:rFonts w:ascii="Times New Roman" w:hAnsi="Times New Roman" w:cs="Times New Roman"/>
          <w:i/>
          <w:iCs/>
          <w:color w:val="000000" w:themeColor="text1"/>
          <w:sz w:val="24"/>
          <w:szCs w:val="24"/>
        </w:rPr>
        <w:t xml:space="preserve"> </w:t>
      </w:r>
      <w:proofErr w:type="spellStart"/>
      <w:r w:rsidR="000D352A" w:rsidRPr="000D352A">
        <w:rPr>
          <w:rFonts w:ascii="Times New Roman" w:hAnsi="Times New Roman" w:cs="Times New Roman"/>
          <w:color w:val="000000" w:themeColor="text1"/>
          <w:sz w:val="24"/>
          <w:szCs w:val="24"/>
        </w:rPr>
        <w:t>Curtisi</w:t>
      </w:r>
      <w:proofErr w:type="spellEnd"/>
      <w:r w:rsidR="000D352A" w:rsidRPr="000D352A">
        <w:rPr>
          <w:rFonts w:ascii="Times New Roman" w:hAnsi="Times New Roman" w:cs="Times New Roman"/>
          <w:color w:val="000000" w:themeColor="text1"/>
          <w:sz w:val="24"/>
          <w:szCs w:val="24"/>
        </w:rPr>
        <w:t xml:space="preserve"> and </w:t>
      </w:r>
      <w:r w:rsidR="000D352A" w:rsidRPr="000D352A">
        <w:rPr>
          <w:rFonts w:ascii="Times New Roman" w:hAnsi="Times New Roman" w:cs="Times New Roman"/>
          <w:i/>
          <w:iCs/>
          <w:color w:val="000000" w:themeColor="text1"/>
          <w:sz w:val="24"/>
          <w:szCs w:val="24"/>
        </w:rPr>
        <w:t xml:space="preserve">Plasmodium </w:t>
      </w:r>
      <w:proofErr w:type="spellStart"/>
      <w:r w:rsidR="000D352A" w:rsidRPr="000D352A">
        <w:rPr>
          <w:rFonts w:ascii="Times New Roman" w:hAnsi="Times New Roman" w:cs="Times New Roman"/>
          <w:i/>
          <w:iCs/>
          <w:color w:val="000000" w:themeColor="text1"/>
          <w:sz w:val="24"/>
          <w:szCs w:val="24"/>
        </w:rPr>
        <w:t>ovale</w:t>
      </w:r>
      <w:proofErr w:type="spellEnd"/>
      <w:r w:rsidR="000D352A" w:rsidRPr="000D352A">
        <w:rPr>
          <w:rFonts w:ascii="Times New Roman" w:hAnsi="Times New Roman" w:cs="Times New Roman"/>
          <w:color w:val="000000" w:themeColor="text1"/>
          <w:sz w:val="24"/>
          <w:szCs w:val="24"/>
        </w:rPr>
        <w:t xml:space="preserve"> </w:t>
      </w:r>
      <w:proofErr w:type="spellStart"/>
      <w:r w:rsidR="000D352A" w:rsidRPr="000D352A">
        <w:rPr>
          <w:rFonts w:ascii="Times New Roman" w:hAnsi="Times New Roman" w:cs="Times New Roman"/>
          <w:color w:val="000000" w:themeColor="text1"/>
          <w:sz w:val="24"/>
          <w:szCs w:val="24"/>
        </w:rPr>
        <w:t>wallikeri</w:t>
      </w:r>
      <w:proofErr w:type="spellEnd"/>
      <w:r w:rsidR="000D352A" w:rsidRPr="000D352A">
        <w:rPr>
          <w:rFonts w:ascii="Times New Roman" w:hAnsi="Times New Roman" w:cs="Times New Roman"/>
          <w:color w:val="000000" w:themeColor="text1"/>
          <w:sz w:val="24"/>
          <w:szCs w:val="24"/>
        </w:rPr>
        <w:t xml:space="preserve"> are the two nonrecombining species that comprise most of the P. </w:t>
      </w:r>
      <w:proofErr w:type="spellStart"/>
      <w:r w:rsidR="000D352A" w:rsidRPr="000D352A">
        <w:rPr>
          <w:rFonts w:ascii="Times New Roman" w:hAnsi="Times New Roman" w:cs="Times New Roman"/>
          <w:color w:val="000000" w:themeColor="text1"/>
          <w:sz w:val="24"/>
          <w:szCs w:val="24"/>
        </w:rPr>
        <w:t>ovale</w:t>
      </w:r>
      <w:proofErr w:type="spellEnd"/>
      <w:r w:rsidR="000D352A" w:rsidRPr="000D352A">
        <w:rPr>
          <w:rFonts w:ascii="Times New Roman" w:hAnsi="Times New Roman" w:cs="Times New Roman"/>
          <w:color w:val="000000" w:themeColor="text1"/>
          <w:sz w:val="24"/>
          <w:szCs w:val="24"/>
        </w:rPr>
        <w:t xml:space="preserve"> spp</w:t>
      </w:r>
      <w:r w:rsidR="00122DC5" w:rsidRPr="000D352A">
        <w:rPr>
          <w:rFonts w:ascii="Times New Roman" w:hAnsi="Times New Roman" w:cs="Times New Roman"/>
          <w:color w:val="000000" w:themeColor="text1"/>
          <w:sz w:val="24"/>
          <w:szCs w:val="24"/>
        </w:rPr>
        <w:t>.</w:t>
      </w:r>
    </w:p>
    <w:p w14:paraId="10E864D2" w14:textId="1F05B198" w:rsidR="00825335" w:rsidRPr="00CA53B3" w:rsidRDefault="00416796" w:rsidP="00372EFD">
      <w:pPr>
        <w:spacing w:after="0" w:line="276" w:lineRule="auto"/>
        <w:jc w:val="both"/>
        <w:rPr>
          <w:rFonts w:ascii="Times New Roman" w:hAnsi="Times New Roman" w:cs="Times New Roman"/>
          <w:color w:val="000000" w:themeColor="text1"/>
          <w:sz w:val="24"/>
          <w:szCs w:val="24"/>
        </w:rPr>
      </w:pPr>
      <w:r w:rsidRPr="00F3795D">
        <w:rPr>
          <w:rFonts w:ascii="Times New Roman" w:hAnsi="Times New Roman" w:cs="Times New Roman"/>
          <w:color w:val="000000" w:themeColor="text1"/>
          <w:sz w:val="24"/>
          <w:szCs w:val="24"/>
        </w:rPr>
        <w:t xml:space="preserve">Patients with </w:t>
      </w:r>
      <w:r w:rsidRPr="00F3795D">
        <w:rPr>
          <w:rFonts w:ascii="Times New Roman" w:hAnsi="Times New Roman" w:cs="Times New Roman"/>
          <w:i/>
          <w:iCs/>
          <w:color w:val="000000" w:themeColor="text1"/>
          <w:sz w:val="24"/>
          <w:szCs w:val="24"/>
        </w:rPr>
        <w:t xml:space="preserve">P. </w:t>
      </w:r>
      <w:proofErr w:type="spellStart"/>
      <w:r w:rsidRPr="00F3795D">
        <w:rPr>
          <w:rFonts w:ascii="Times New Roman" w:hAnsi="Times New Roman" w:cs="Times New Roman"/>
          <w:i/>
          <w:iCs/>
          <w:color w:val="000000" w:themeColor="text1"/>
          <w:sz w:val="24"/>
          <w:szCs w:val="24"/>
        </w:rPr>
        <w:t>Malariae</w:t>
      </w:r>
      <w:proofErr w:type="spellEnd"/>
      <w:r w:rsidRPr="00F3795D">
        <w:rPr>
          <w:rFonts w:ascii="Times New Roman" w:hAnsi="Times New Roman" w:cs="Times New Roman"/>
          <w:color w:val="000000" w:themeColor="text1"/>
          <w:sz w:val="24"/>
          <w:szCs w:val="24"/>
        </w:rPr>
        <w:t xml:space="preserve"> infection may experience multiple convulsions, acute renal injury, and </w:t>
      </w:r>
      <w:r w:rsidR="004912DB" w:rsidRPr="00F3795D">
        <w:rPr>
          <w:rFonts w:ascii="Times New Roman" w:hAnsi="Times New Roman" w:cs="Times New Roman"/>
          <w:color w:val="000000" w:themeColor="text1"/>
          <w:sz w:val="24"/>
          <w:szCs w:val="24"/>
        </w:rPr>
        <w:t>M</w:t>
      </w:r>
      <w:r w:rsidRPr="00F3795D">
        <w:rPr>
          <w:rFonts w:ascii="Times New Roman" w:hAnsi="Times New Roman" w:cs="Times New Roman"/>
          <w:color w:val="000000" w:themeColor="text1"/>
          <w:sz w:val="24"/>
          <w:szCs w:val="24"/>
        </w:rPr>
        <w:t xml:space="preserve">alaria in the brain. Patients with </w:t>
      </w:r>
      <w:r w:rsidRPr="00F3795D">
        <w:rPr>
          <w:rFonts w:ascii="Times New Roman" w:hAnsi="Times New Roman" w:cs="Times New Roman"/>
          <w:i/>
          <w:iCs/>
          <w:color w:val="000000" w:themeColor="text1"/>
          <w:sz w:val="24"/>
          <w:szCs w:val="24"/>
        </w:rPr>
        <w:t xml:space="preserve">P. </w:t>
      </w:r>
      <w:proofErr w:type="spellStart"/>
      <w:r w:rsidR="00BA1B4E">
        <w:rPr>
          <w:rFonts w:ascii="Times New Roman" w:hAnsi="Times New Roman" w:cs="Times New Roman"/>
          <w:i/>
          <w:iCs/>
          <w:color w:val="000000" w:themeColor="text1"/>
          <w:sz w:val="24"/>
          <w:szCs w:val="24"/>
        </w:rPr>
        <w:t>M</w:t>
      </w:r>
      <w:r w:rsidRPr="00F3795D">
        <w:rPr>
          <w:rFonts w:ascii="Times New Roman" w:hAnsi="Times New Roman" w:cs="Times New Roman"/>
          <w:i/>
          <w:iCs/>
          <w:color w:val="000000" w:themeColor="text1"/>
          <w:sz w:val="24"/>
          <w:szCs w:val="24"/>
        </w:rPr>
        <w:t>alariae</w:t>
      </w:r>
      <w:proofErr w:type="spellEnd"/>
      <w:r w:rsidRPr="00F3795D">
        <w:rPr>
          <w:rFonts w:ascii="Times New Roman" w:hAnsi="Times New Roman" w:cs="Times New Roman"/>
          <w:color w:val="000000" w:themeColor="text1"/>
          <w:sz w:val="24"/>
          <w:szCs w:val="24"/>
        </w:rPr>
        <w:t xml:space="preserve"> infection most frequently experience severe anaemia, lung involvement, and renal impairment</w:t>
      </w:r>
      <w:r w:rsidR="004912DB" w:rsidRPr="00F3795D">
        <w:rPr>
          <w:rFonts w:ascii="Times New Roman" w:hAnsi="Times New Roman" w:cs="Times New Roman"/>
          <w:color w:val="000000" w:themeColor="text1"/>
          <w:sz w:val="24"/>
          <w:szCs w:val="24"/>
        </w:rPr>
        <w:t xml:space="preserve"> s</w:t>
      </w:r>
      <w:r w:rsidRPr="00F3795D">
        <w:rPr>
          <w:rFonts w:ascii="Times New Roman" w:hAnsi="Times New Roman" w:cs="Times New Roman"/>
          <w:color w:val="000000" w:themeColor="text1"/>
          <w:sz w:val="24"/>
          <w:szCs w:val="24"/>
        </w:rPr>
        <w:t xml:space="preserve">ufferers of </w:t>
      </w:r>
      <w:r w:rsidRPr="00F3795D">
        <w:rPr>
          <w:rFonts w:ascii="Times New Roman" w:hAnsi="Times New Roman" w:cs="Times New Roman"/>
          <w:i/>
          <w:iCs/>
          <w:color w:val="000000" w:themeColor="text1"/>
          <w:sz w:val="24"/>
          <w:szCs w:val="24"/>
        </w:rPr>
        <w:t xml:space="preserve">P. </w:t>
      </w:r>
      <w:proofErr w:type="spellStart"/>
      <w:r w:rsidR="00BA1B4E">
        <w:rPr>
          <w:rFonts w:ascii="Times New Roman" w:hAnsi="Times New Roman" w:cs="Times New Roman"/>
          <w:i/>
          <w:iCs/>
          <w:color w:val="000000" w:themeColor="text1"/>
          <w:sz w:val="24"/>
          <w:szCs w:val="24"/>
        </w:rPr>
        <w:t>M</w:t>
      </w:r>
      <w:r w:rsidRPr="00F3795D">
        <w:rPr>
          <w:rFonts w:ascii="Times New Roman" w:hAnsi="Times New Roman" w:cs="Times New Roman"/>
          <w:i/>
          <w:iCs/>
          <w:color w:val="000000" w:themeColor="text1"/>
          <w:sz w:val="24"/>
          <w:szCs w:val="24"/>
        </w:rPr>
        <w:t>alariae</w:t>
      </w:r>
      <w:proofErr w:type="spellEnd"/>
      <w:r w:rsidR="00CD6CD6">
        <w:rPr>
          <w:rFonts w:ascii="Times New Roman" w:hAnsi="Times New Roman" w:cs="Times New Roman"/>
          <w:i/>
          <w:iCs/>
          <w:color w:val="000000" w:themeColor="text1"/>
          <w:sz w:val="24"/>
          <w:szCs w:val="24"/>
        </w:rPr>
        <w:t xml:space="preserve"> </w:t>
      </w:r>
      <w:r w:rsidR="00CD6CD6">
        <w:rPr>
          <w:rFonts w:ascii="Times New Roman" w:hAnsi="Times New Roman" w:cs="Times New Roman"/>
          <w:i/>
          <w:iCs/>
          <w:color w:val="000000" w:themeColor="text1"/>
          <w:sz w:val="24"/>
          <w:szCs w:val="24"/>
        </w:rPr>
        <w:fldChar w:fldCharType="begin" w:fldLock="1"/>
      </w:r>
      <w:r w:rsidR="00CD6CD6">
        <w:rPr>
          <w:rFonts w:ascii="Times New Roman" w:hAnsi="Times New Roman" w:cs="Times New Roman"/>
          <w:i/>
          <w:iCs/>
          <w:color w:val="000000" w:themeColor="text1"/>
          <w:sz w:val="24"/>
          <w:szCs w:val="24"/>
        </w:rPr>
        <w:instrText>ADDIN CSL_CITATION {"citationItems":[{"id":"ITEM-1","itemData":{"DOI":"10.3390/diagnostics12082015","ISSN":"20754418","abstract":"Northeastern states of India share international borders with Myanmar, China, Bangladesh, and Bhutan, contributing 7.45% of the overall malaria cases in the country. Mizoram accounts for the highest malaria burden in the northeastern states, with perennial transmission in the hilly and deep-forested areas. Plasmodium falciparum (93%) is the most prevalent human Plasmodium species, followed by P. vivax; however, information on P. ovale and P. malariae is negligible. Rapid diagnostic tests (RDTs) are the most preferred malaria diagnostic tool followed by microscopy in this high malaria-endemic region. The present epidemiological study was carried out in July and August 2019 to assess the malaria burden in and around the Chawngte primary health center, Lawngtlai District of Mizoram, using RDTs and microscopy as diagnostic tools. World Health Organization-certified level I microscopists examined the blood smears. Diagnosis using RDTs resulted in 151 malaria cases (P. falciparum: 136; P. vivax: 15) out of 948 screened fever cases. However, blood smear examination detected 179 cases (P. falciparum: 154; P. vivax: 17; mixed P. falciparum + P. vivax infection: 3; P. malariae: 5). Analysis revealed that the risk of malaria infection was higher in the ≥5-year-old subjects than in the under-5 age group. The mean parasite density of P. malariae (1455.00/μL blood) was the lowest; cf. with P. falciparum: 12,275.08/μL blood. Surveillance at the point-of-care level using microscopy was able to detect all the four human Plasmodium species and their mixed infections, including P. malariae, which were missed with RDTs. Thus, the quality of microscopy along with trained manpower should be strengthened to diagnose all human malaria parasite species (particularly P. malariae and P. ovale) until the molecular tools are deployed at the field level to achieve malaria elimination by 2030.","author":[{"dropping-particle":"","family":"Singh","given":"Kuldeep","non-dropping-particle":"","parse-names":false,"suffix":""},{"dropping-particle":"","family":"Bharti","given":"Praveen Kumar","non-dropping-particle":"","parse-names":false,"suffix":""},{"dropping-particle":"","family":"Devi","given":"Naorem Chaoba","non-dropping-particle":"","parse-names":false,"suffix":""},{"dropping-particle":"","family":"Ahmed","given":"Naseem","non-dropping-particle":"","parse-names":false,"suffix":""},{"dropping-particle":"","family":"Sharma","given":"Amit","non-dropping-particle":"","parse-names":false,"suffix":""}],"container-title":"Diagnostics","id":"ITEM-1","issue":"8","issued":{"date-parts":[["2022"]]},"title":"Plasmodium malariae Detected by Microscopy in the International Bordering Area of Mizoram, a Northeastern State of India","type":"article-journal","volume":"12"},"uris":["http://www.mendeley.com/documents/?uuid=11ed1037-72f2-4a5e-9cb9-952d51d11a73"]}],"mendeley":{"formattedCitation":"(Singh et al., 2022)","plainTextFormattedCitation":"(Singh et al., 2022)","previouslyFormattedCitation":"(Singh et al., 2022)"},"properties":{"noteIndex":0},"schema":"https://github.com/citation-style-language/schema/raw/master/csl-citation.json"}</w:instrText>
      </w:r>
      <w:r w:rsidR="00CD6CD6">
        <w:rPr>
          <w:rFonts w:ascii="Times New Roman" w:hAnsi="Times New Roman" w:cs="Times New Roman"/>
          <w:i/>
          <w:iCs/>
          <w:color w:val="000000" w:themeColor="text1"/>
          <w:sz w:val="24"/>
          <w:szCs w:val="24"/>
        </w:rPr>
        <w:fldChar w:fldCharType="separate"/>
      </w:r>
      <w:r w:rsidR="00CD6CD6" w:rsidRPr="00CD6CD6">
        <w:rPr>
          <w:rFonts w:ascii="Times New Roman" w:hAnsi="Times New Roman" w:cs="Times New Roman"/>
          <w:iCs/>
          <w:noProof/>
          <w:color w:val="000000" w:themeColor="text1"/>
          <w:sz w:val="24"/>
          <w:szCs w:val="24"/>
        </w:rPr>
        <w:t>(Singh et al., 2022)</w:t>
      </w:r>
      <w:r w:rsidR="00CD6CD6">
        <w:rPr>
          <w:rFonts w:ascii="Times New Roman" w:hAnsi="Times New Roman" w:cs="Times New Roman"/>
          <w:i/>
          <w:iCs/>
          <w:color w:val="000000" w:themeColor="text1"/>
          <w:sz w:val="24"/>
          <w:szCs w:val="24"/>
        </w:rPr>
        <w:fldChar w:fldCharType="end"/>
      </w:r>
      <w:r w:rsidRPr="00F3795D">
        <w:rPr>
          <w:rFonts w:ascii="Times New Roman" w:hAnsi="Times New Roman" w:cs="Times New Roman"/>
          <w:color w:val="000000" w:themeColor="text1"/>
          <w:sz w:val="24"/>
          <w:szCs w:val="24"/>
        </w:rPr>
        <w:t xml:space="preserve">. Pixel export signal, signal peptide, transmembrane domains, and a variable region are features of proteins that are likely exported from the parasite to the surface of infected red blood cells in the proteins produced by fam-l and fam-m. </w:t>
      </w:r>
      <w:r w:rsidR="004912DB" w:rsidRPr="00F3795D">
        <w:rPr>
          <w:rFonts w:ascii="Times New Roman" w:hAnsi="Times New Roman" w:cs="Times New Roman"/>
          <w:color w:val="000000" w:themeColor="text1"/>
          <w:sz w:val="24"/>
          <w:szCs w:val="24"/>
        </w:rPr>
        <w:t>Most</w:t>
      </w:r>
      <w:r w:rsidRPr="00F3795D">
        <w:rPr>
          <w:rFonts w:ascii="Times New Roman" w:hAnsi="Times New Roman" w:cs="Times New Roman"/>
          <w:color w:val="000000" w:themeColor="text1"/>
          <w:sz w:val="24"/>
          <w:szCs w:val="24"/>
        </w:rPr>
        <w:t xml:space="preserve"> fam-l and fam-m genes also occur as doublets and face the telomeres. Additionally, a trait not previously observed in </w:t>
      </w:r>
      <w:proofErr w:type="spellStart"/>
      <w:r w:rsidRPr="00F3795D">
        <w:rPr>
          <w:rFonts w:ascii="Times New Roman" w:hAnsi="Times New Roman" w:cs="Times New Roman"/>
          <w:color w:val="000000" w:themeColor="text1"/>
          <w:sz w:val="24"/>
          <w:szCs w:val="24"/>
        </w:rPr>
        <w:t>subtelomeric</w:t>
      </w:r>
      <w:proofErr w:type="spellEnd"/>
      <w:r w:rsidRPr="00F3795D">
        <w:rPr>
          <w:rFonts w:ascii="Times New Roman" w:hAnsi="Times New Roman" w:cs="Times New Roman"/>
          <w:color w:val="000000" w:themeColor="text1"/>
          <w:sz w:val="24"/>
          <w:szCs w:val="24"/>
        </w:rPr>
        <w:t xml:space="preserve"> gene families in other plasmodium species is the ability of the proteins produced by the fam-l and fam-m genes to form heterodimers</w:t>
      </w:r>
      <w:r w:rsidR="00FB4F1C">
        <w:rPr>
          <w:rFonts w:ascii="Times New Roman" w:hAnsi="Times New Roman" w:cs="Times New Roman"/>
          <w:color w:val="000000" w:themeColor="text1"/>
          <w:sz w:val="24"/>
          <w:szCs w:val="24"/>
        </w:rPr>
        <w:t xml:space="preserve"> </w:t>
      </w:r>
      <w:r w:rsidR="00CD6CD6">
        <w:rPr>
          <w:rFonts w:ascii="Times New Roman" w:hAnsi="Times New Roman" w:cs="Times New Roman"/>
          <w:color w:val="000000" w:themeColor="text1"/>
          <w:sz w:val="24"/>
          <w:szCs w:val="24"/>
        </w:rPr>
        <w:fldChar w:fldCharType="begin" w:fldLock="1"/>
      </w:r>
      <w:r w:rsidR="00FB4F1C">
        <w:rPr>
          <w:rFonts w:ascii="Times New Roman" w:hAnsi="Times New Roman" w:cs="Times New Roman"/>
          <w:color w:val="000000" w:themeColor="text1"/>
          <w:sz w:val="24"/>
          <w:szCs w:val="24"/>
        </w:rPr>
        <w:instrText>ADDIN CSL_CITATION {"citationItems":[{"id":"ITEM-1","itemData":{"DOI":"10.1073/pnas.1910123116","ISSN":"10916490","PMID":"31659055","abstract":"The most widely used antimalarial drugs belong to the quinoline family. Their mode of action has not been characterized at the molecular level in vivo. We report the in vivo mode of action of a bromo analog of the drug chloroquine in rapidly frozen Plasmodium falciparum-infected red blood cells. The Plasmodium parasite digests hemoglobin, liberating the heme as a byproduct, toxic to the parasite. It is detoxified by crystallization into inert hemozoin within the parasitic digestive vacuole. By mapping such infected red blood cells with nondestructive X-ray microscopy, we observe that bromoquine caps hemozoin crystals. The measured crystal surface coverage is sufficient to inhibit further hemozoin crystal growth, thereby sabotaging heme detoxification. Moreover, we find that bromoquine accumulates in the digestive vacuole, reaching submillimolar concentration, 1,000-fold more than that of the drug in the culture medium. Such a dramatic increase in bromoquine concentration enhances the drug’s efficiency in depriving heme from docking onto the hemozoin crystal surface. Based on direct observation of bromoquine distribution in the digestive vacuole and at its membrane surface, we deduce that the excess bromoquine forms a complex with the remaining heme deprived from crystallization. This complex is driven toward the digestive vacuole membrane, increasing the chances of membrane puncture and spillage of heme into the interior of the parasite.","author":[{"dropping-particle":"","family":"Kapishnikov","given":"Sergey","non-dropping-particle":"","parse-names":false,"suffix":""},{"dropping-particle":"","family":"Staalsø","given":"Trine","non-dropping-particle":"","parse-names":false,"suffix":""},{"dropping-particle":"","family":"Yang","given":"Yang","non-dropping-particle":"","parse-names":false,"suffix":""},{"dropping-particle":"","family":"Lee","given":"Jiwoong","non-dropping-particle":"","parse-names":false,"suffix":""},{"dropping-particle":"","family":"Pérez-Berná","given":"Ana J.","non-dropping-particle":"","parse-names":false,"suffix":""},{"dropping-particle":"","family":"Pereiro","given":"Eva","non-dropping-particle":"","parse-names":false,"suffix":""},{"dropping-particle":"","family":"Yang","given":"Yang","non-dropping-particle":"","parse-names":false,"suffix":""},{"dropping-particle":"","family":"Werner","given":"Stephan","non-dropping-particle":"","parse-names":false,"suffix":""},{"dropping-particle":"","family":"Guttmann","given":"Peter","non-dropping-particle":"","parse-names":false,"suffix":""},{"dropping-particle":"","family":"Leiserowitz","given":"Leslie","non-dropping-particle":"","parse-names":false,"suffix":""},{"dropping-particle":"","family":"Als-Nielsen","given":"Jens","non-dropping-particle":"","parse-names":false,"suffix":""}],"container-title":"Proceedings of the National Academy of Sciences of the United States of America","id":"ITEM-1","issue":"46","issued":{"date-parts":[["2019"]]},"page":"22946-22952","title":"Mode of action of quinoline antimalarial drugs in red blood cells infected by Plasmodium falciparum revealed in vivo","type":"article-journal","volume":"116"},"uris":["http://www.mendeley.com/documents/?uuid=eb49d59f-54b1-4846-9fe6-7438c95c576a"]}],"mendeley":{"formattedCitation":"(Kapishnikov et al., 2019)","plainTextFormattedCitation":"(Kapishnikov et al., 2019)","previouslyFormattedCitation":"(Kapishnikov et al., 2019)"},"properties":{"noteIndex":0},"schema":"https://github.com/citation-style-language/schema/raw/master/csl-citation.json"}</w:instrText>
      </w:r>
      <w:r w:rsidR="00CD6CD6">
        <w:rPr>
          <w:rFonts w:ascii="Times New Roman" w:hAnsi="Times New Roman" w:cs="Times New Roman"/>
          <w:color w:val="000000" w:themeColor="text1"/>
          <w:sz w:val="24"/>
          <w:szCs w:val="24"/>
        </w:rPr>
        <w:fldChar w:fldCharType="separate"/>
      </w:r>
      <w:r w:rsidR="00CD6CD6" w:rsidRPr="00CD6CD6">
        <w:rPr>
          <w:rFonts w:ascii="Times New Roman" w:hAnsi="Times New Roman" w:cs="Times New Roman"/>
          <w:noProof/>
          <w:color w:val="000000" w:themeColor="text1"/>
          <w:sz w:val="24"/>
          <w:szCs w:val="24"/>
        </w:rPr>
        <w:t>(Kapishnikov et al., 2019)</w:t>
      </w:r>
      <w:r w:rsidR="00CD6CD6">
        <w:rPr>
          <w:rFonts w:ascii="Times New Roman" w:hAnsi="Times New Roman" w:cs="Times New Roman"/>
          <w:color w:val="000000" w:themeColor="text1"/>
          <w:sz w:val="24"/>
          <w:szCs w:val="24"/>
        </w:rPr>
        <w:fldChar w:fldCharType="end"/>
      </w:r>
      <w:r w:rsidRPr="00F3795D">
        <w:rPr>
          <w:rFonts w:ascii="Times New Roman" w:hAnsi="Times New Roman" w:cs="Times New Roman"/>
          <w:color w:val="000000" w:themeColor="text1"/>
          <w:sz w:val="24"/>
          <w:szCs w:val="24"/>
        </w:rPr>
        <w:t>.</w:t>
      </w:r>
    </w:p>
    <w:p w14:paraId="4B92A099" w14:textId="717C2A1B" w:rsidR="00135816" w:rsidRPr="00F3795D" w:rsidRDefault="004F4898" w:rsidP="00372EFD">
      <w:pPr>
        <w:spacing w:after="0" w:line="276" w:lineRule="auto"/>
        <w:jc w:val="both"/>
        <w:rPr>
          <w:rFonts w:ascii="Times New Roman" w:hAnsi="Times New Roman" w:cs="Times New Roman"/>
          <w:b/>
          <w:bCs/>
          <w:color w:val="000000" w:themeColor="text1"/>
          <w:sz w:val="24"/>
          <w:szCs w:val="24"/>
        </w:rPr>
      </w:pPr>
      <w:r w:rsidRPr="00F3795D">
        <w:rPr>
          <w:rFonts w:ascii="Times New Roman" w:hAnsi="Times New Roman" w:cs="Times New Roman"/>
          <w:b/>
          <w:bCs/>
          <w:color w:val="000000" w:themeColor="text1"/>
          <w:sz w:val="24"/>
          <w:szCs w:val="24"/>
        </w:rPr>
        <w:t xml:space="preserve">The reason behind </w:t>
      </w:r>
      <w:r w:rsidR="0017399E" w:rsidRPr="00F3795D">
        <w:rPr>
          <w:rFonts w:ascii="Times New Roman" w:hAnsi="Times New Roman" w:cs="Times New Roman"/>
          <w:b/>
          <w:bCs/>
          <w:color w:val="000000" w:themeColor="text1"/>
          <w:sz w:val="24"/>
          <w:szCs w:val="24"/>
        </w:rPr>
        <w:t>M</w:t>
      </w:r>
      <w:r w:rsidRPr="00F3795D">
        <w:rPr>
          <w:rFonts w:ascii="Times New Roman" w:hAnsi="Times New Roman" w:cs="Times New Roman"/>
          <w:b/>
          <w:bCs/>
          <w:color w:val="000000" w:themeColor="text1"/>
          <w:sz w:val="24"/>
          <w:szCs w:val="24"/>
        </w:rPr>
        <w:t xml:space="preserve">alaria </w:t>
      </w:r>
    </w:p>
    <w:p w14:paraId="0CB9D311" w14:textId="1DA294A2" w:rsidR="001E1EDC" w:rsidRPr="00F3795D" w:rsidRDefault="006A078F" w:rsidP="00372EFD">
      <w:pPr>
        <w:spacing w:after="0" w:line="276" w:lineRule="auto"/>
        <w:jc w:val="both"/>
        <w:rPr>
          <w:rFonts w:ascii="Times New Roman" w:hAnsi="Times New Roman" w:cs="Times New Roman"/>
          <w:b/>
          <w:bCs/>
          <w:color w:val="000000" w:themeColor="text1"/>
          <w:sz w:val="24"/>
          <w:szCs w:val="24"/>
          <w:shd w:val="clear" w:color="auto" w:fill="FFFFFF"/>
        </w:rPr>
      </w:pPr>
      <w:r w:rsidRPr="00F3795D">
        <w:rPr>
          <w:rFonts w:ascii="Times New Roman" w:hAnsi="Times New Roman" w:cs="Times New Roman"/>
          <w:b/>
          <w:bCs/>
          <w:color w:val="000000" w:themeColor="text1"/>
          <w:sz w:val="24"/>
          <w:szCs w:val="24"/>
          <w:shd w:val="clear" w:color="auto" w:fill="FFFFFF"/>
        </w:rPr>
        <w:t xml:space="preserve">Failure of RDT test and </w:t>
      </w:r>
      <w:r w:rsidR="004F4898" w:rsidRPr="00F3795D">
        <w:rPr>
          <w:rFonts w:ascii="Times New Roman" w:hAnsi="Times New Roman" w:cs="Times New Roman"/>
          <w:b/>
          <w:bCs/>
          <w:color w:val="000000" w:themeColor="text1"/>
          <w:sz w:val="24"/>
          <w:szCs w:val="24"/>
          <w:shd w:val="clear" w:color="auto" w:fill="FFFFFF"/>
        </w:rPr>
        <w:t>Deletion of hrp2/ hrp3 gene</w:t>
      </w:r>
    </w:p>
    <w:p w14:paraId="44FA7F87" w14:textId="5C662913" w:rsidR="00E634DC" w:rsidRPr="00F3795D" w:rsidRDefault="00C401BD" w:rsidP="00372EFD">
      <w:pPr>
        <w:spacing w:after="0" w:line="276" w:lineRule="auto"/>
        <w:jc w:val="both"/>
        <w:rPr>
          <w:rFonts w:ascii="Times New Roman" w:hAnsi="Times New Roman" w:cs="Times New Roman"/>
          <w:color w:val="000000" w:themeColor="text1"/>
          <w:sz w:val="24"/>
          <w:szCs w:val="24"/>
          <w:shd w:val="clear" w:color="auto" w:fill="FFFFFF"/>
        </w:rPr>
      </w:pPr>
      <w:r w:rsidRPr="00F3795D">
        <w:rPr>
          <w:rFonts w:ascii="Times New Roman" w:hAnsi="Times New Roman" w:cs="Times New Roman"/>
          <w:color w:val="000000" w:themeColor="text1"/>
          <w:sz w:val="24"/>
          <w:szCs w:val="24"/>
          <w:shd w:val="clear" w:color="auto" w:fill="FFFFFF"/>
        </w:rPr>
        <w:t xml:space="preserve">Rapid diagnostic tests (RDT) are crucial for managing malaria cases. Since they were first created in the 1990s, RDT usage has increased significantly. RDTs are employed in 90 countries with high malaria incidence in the public healthcare system. </w:t>
      </w:r>
      <w:r w:rsidR="006149D3" w:rsidRPr="00F3795D">
        <w:rPr>
          <w:rFonts w:ascii="Times New Roman" w:hAnsi="Times New Roman" w:cs="Times New Roman"/>
          <w:color w:val="000000" w:themeColor="text1"/>
          <w:sz w:val="24"/>
          <w:szCs w:val="24"/>
          <w:shd w:val="clear" w:color="auto" w:fill="FFFFFF"/>
        </w:rPr>
        <w:t>However, t</w:t>
      </w:r>
      <w:r w:rsidRPr="00F3795D">
        <w:rPr>
          <w:rFonts w:ascii="Times New Roman" w:hAnsi="Times New Roman" w:cs="Times New Roman"/>
          <w:color w:val="000000" w:themeColor="text1"/>
          <w:sz w:val="24"/>
          <w:szCs w:val="24"/>
          <w:shd w:val="clear" w:color="auto" w:fill="FFFFFF"/>
        </w:rPr>
        <w:t xml:space="preserve">here have been reports of deletions of pfhrp2 and pfhrp3 in populations from Peru, Mali, India, and one clinical case from Brazil, among other probable reasons for erroneous RDT unfavourable results </w:t>
      </w:r>
      <w:r w:rsidR="00BA56EF" w:rsidRPr="00F3795D">
        <w:rPr>
          <w:rFonts w:ascii="Times New Roman" w:hAnsi="Times New Roman" w:cs="Times New Roman"/>
          <w:color w:val="000000" w:themeColor="text1"/>
          <w:sz w:val="24"/>
          <w:szCs w:val="24"/>
          <w:shd w:val="clear" w:color="auto" w:fill="FFFFFF"/>
        </w:rPr>
        <w:fldChar w:fldCharType="begin" w:fldLock="1"/>
      </w:r>
      <w:r w:rsidR="008B28D0" w:rsidRPr="00F3795D">
        <w:rPr>
          <w:rFonts w:ascii="Times New Roman" w:hAnsi="Times New Roman" w:cs="Times New Roman"/>
          <w:color w:val="000000" w:themeColor="text1"/>
          <w:sz w:val="24"/>
          <w:szCs w:val="24"/>
          <w:shd w:val="clear" w:color="auto" w:fill="FFFFFF"/>
        </w:rPr>
        <w:instrText>ADDIN CSL_CITATION {"citationItems":[{"id":"ITEM-1","itemData":{"DOI":"10.1186/s12936-022-04051-7","ISSN":"14752875","PMID":"35093092","abstract":"Background: The usefulness of histidine-rich protein-2/3 (HRP2/3)-based rapid diagnostic tests of malaria due to Plasmodium falciparum has been threatened by the appearance of mutant PfHRP2/3 genes. This study was undertaken to determine the global pooled estimates of PfHRP2/3gene deletions. Methods: Relevant publications were identified from electronic databases such as; PubMed, EMBASE, and MEDLINE online. Besides, all the relevant literatures were retrieved through Google and Google Scholar. STATA software was used for data analysis. The pooled estimates were calculated using random effect model. The summary estimates were presented using forest plots and tables. Results: A total of 27 studies were included in the systematic review. However, only 24 and 17 studies were included for PfHRP2 and 3 gene deletion meta-analysis, respectively. The prevalence of PfHRP2 gene deletion across the individual studies ranged from the highest 100% to the lowest 0%. However, the meta-analysis result showed that the global pooled prevalence of PfHRP2 and PfHRP3 gene deletions were 21.30% and 34.50%, respectively. The pooled proportion of PfHRP2 gene deletion among false negative PfHRP2-based RDTs results was found to be 41.10%. The gene deletion status was higher in South America and followed by Africa. The pooled estimate of PfHRP2 gene deletion among studies, which did not follow the WHO PfHRP2/3 gene deletion analysis protocol was higher than their counter parts (21.3% vs 10.5%). Conclusions: This review showed that there is a high pooled prevalence of PfHRP2/3 gene deletions in Plasmodium falciparum confirmed isolates and also a high proportion of their deletions among false-negative malaria cases using PfHRP2-based RDT results. Hence, malaria diagnosis based on PfHRP2-based rapid tests seems to be less sensitive and warrants further evaluation of PfHRP2/3 gene deletions.","author":[{"dropping-particle":"","family":"Jejaw Zeleke","given":"Ayalew","non-dropping-particle":"","parse-names":false,"suffix":""},{"dropping-particle":"","family":"Hailu","given":"Asrat","non-dropping-particle":"","parse-names":false,"suffix":""},{"dropping-particle":"","family":"Bayih","given":"Abebe Genetu","non-dropping-particle":"","parse-names":false,"suffix":""},{"dropping-particle":"","family":"Kefale","given":"Migbaru","non-dropping-particle":"","parse-names":false,"suffix":""},{"dropping-particle":"","family":"Amare","given":"Ashenafi Tazebew","non-dropping-particle":"","parse-names":false,"suffix":""},{"dropping-particle":"","family":"Tegegne","given":"Yalewayker","non-dropping-particle":"","parse-names":false,"suffix":""},{"dropping-particle":"","family":"Aemero","given":"Mulugeta","non-dropping-particle":"","parse-names":false,"suffix":""}],"container-title":"Malaria Journal","id":"ITEM-1","issue":"1","issued":{"date-parts":[["2022"]]},"page":"1-13","publisher":"BioMed Central","title":"P lasmodium falciparum histidine-rich protein 2 and 3 genes deletion in global settings (2010–2021): a systematic review and meta-analysis","type":"article-journal","volume":"21"},"uris":["http://www.mendeley.com/documents/?uuid=7d04946e-89b8-411a-8cd2-a00baf1aaf3a","http://www.mendeley.com/documents/?uuid=f7c01885-dbc3-45b7-b03c-4ec42441995e"]}],"mendeley":{"formattedCitation":"(Jejaw Zeleke et al., 2022)","plainTextFormattedCitation":"(Jejaw Zeleke et al., 2022)","previouslyFormattedCitation":"(Jejaw Zeleke et al., 2022)"},"properties":{"noteIndex":0},"schema":"https://github.com/citation-style-language/schema/raw/master/csl-citation.json"}</w:instrText>
      </w:r>
      <w:r w:rsidR="00BA56EF" w:rsidRPr="00F3795D">
        <w:rPr>
          <w:rFonts w:ascii="Times New Roman" w:hAnsi="Times New Roman" w:cs="Times New Roman"/>
          <w:color w:val="000000" w:themeColor="text1"/>
          <w:sz w:val="24"/>
          <w:szCs w:val="24"/>
          <w:shd w:val="clear" w:color="auto" w:fill="FFFFFF"/>
        </w:rPr>
        <w:fldChar w:fldCharType="separate"/>
      </w:r>
      <w:r w:rsidR="005D682C" w:rsidRPr="00F3795D">
        <w:rPr>
          <w:rFonts w:ascii="Times New Roman" w:hAnsi="Times New Roman" w:cs="Times New Roman"/>
          <w:noProof/>
          <w:color w:val="000000" w:themeColor="text1"/>
          <w:sz w:val="24"/>
          <w:szCs w:val="24"/>
          <w:shd w:val="clear" w:color="auto" w:fill="FFFFFF"/>
        </w:rPr>
        <w:t>(Jejaw Zeleke et al., 2022)</w:t>
      </w:r>
      <w:r w:rsidR="00BA56EF" w:rsidRPr="00F3795D">
        <w:rPr>
          <w:rFonts w:ascii="Times New Roman" w:hAnsi="Times New Roman" w:cs="Times New Roman"/>
          <w:color w:val="000000" w:themeColor="text1"/>
          <w:sz w:val="24"/>
          <w:szCs w:val="24"/>
          <w:shd w:val="clear" w:color="auto" w:fill="FFFFFF"/>
        </w:rPr>
        <w:fldChar w:fldCharType="end"/>
      </w:r>
      <w:r w:rsidR="00E75DDE" w:rsidRPr="00F3795D">
        <w:rPr>
          <w:rFonts w:ascii="Times New Roman" w:hAnsi="Times New Roman" w:cs="Times New Roman"/>
          <w:color w:val="000000" w:themeColor="text1"/>
          <w:sz w:val="24"/>
          <w:szCs w:val="24"/>
          <w:shd w:val="clear" w:color="auto" w:fill="FFFFFF"/>
        </w:rPr>
        <w:t>.</w:t>
      </w:r>
    </w:p>
    <w:p w14:paraId="7823E38B" w14:textId="45A04FDD" w:rsidR="00FF4C32" w:rsidRPr="00F3795D" w:rsidRDefault="00C50BA5" w:rsidP="00372EFD">
      <w:pPr>
        <w:spacing w:after="0" w:line="276" w:lineRule="auto"/>
        <w:jc w:val="both"/>
        <w:rPr>
          <w:rFonts w:ascii="Times New Roman" w:hAnsi="Times New Roman" w:cs="Times New Roman"/>
          <w:color w:val="000000" w:themeColor="text1"/>
          <w:sz w:val="24"/>
          <w:szCs w:val="24"/>
          <w:shd w:val="clear" w:color="auto" w:fill="FFFFFF"/>
        </w:rPr>
      </w:pPr>
      <w:r w:rsidRPr="00F3795D">
        <w:rPr>
          <w:rFonts w:ascii="Times New Roman" w:hAnsi="Times New Roman" w:cs="Times New Roman"/>
          <w:color w:val="000000" w:themeColor="text1"/>
          <w:sz w:val="24"/>
          <w:szCs w:val="24"/>
          <w:shd w:val="clear" w:color="auto" w:fill="FFFFFF"/>
        </w:rPr>
        <w:t xml:space="preserve">A single </w:t>
      </w:r>
      <w:proofErr w:type="spellStart"/>
      <w:r w:rsidRPr="00F3795D">
        <w:rPr>
          <w:rFonts w:ascii="Times New Roman" w:hAnsi="Times New Roman" w:cs="Times New Roman"/>
          <w:color w:val="000000" w:themeColor="text1"/>
          <w:sz w:val="24"/>
          <w:szCs w:val="24"/>
          <w:shd w:val="clear" w:color="auto" w:fill="FFFFFF"/>
        </w:rPr>
        <w:t>subtelomeric</w:t>
      </w:r>
      <w:proofErr w:type="spellEnd"/>
      <w:r w:rsidRPr="00F3795D">
        <w:rPr>
          <w:rFonts w:ascii="Times New Roman" w:hAnsi="Times New Roman" w:cs="Times New Roman"/>
          <w:color w:val="000000" w:themeColor="text1"/>
          <w:sz w:val="24"/>
          <w:szCs w:val="24"/>
          <w:shd w:val="clear" w:color="auto" w:fill="FFFFFF"/>
        </w:rPr>
        <w:t xml:space="preserve"> copy of the gene encoding the protein Hrp2 can be found on chromosome 8 of the Pf</w:t>
      </w:r>
      <w:r w:rsidR="00431465" w:rsidRPr="00F3795D">
        <w:rPr>
          <w:rFonts w:ascii="Times New Roman" w:hAnsi="Times New Roman" w:cs="Times New Roman"/>
          <w:color w:val="000000" w:themeColor="text1"/>
          <w:sz w:val="24"/>
          <w:szCs w:val="24"/>
          <w:shd w:val="clear" w:color="auto" w:fill="FFFFFF"/>
        </w:rPr>
        <w:t xml:space="preserve"> </w:t>
      </w:r>
      <w:r w:rsidRPr="00F3795D">
        <w:rPr>
          <w:rFonts w:ascii="Times New Roman" w:hAnsi="Times New Roman" w:cs="Times New Roman"/>
          <w:color w:val="000000" w:themeColor="text1"/>
          <w:sz w:val="24"/>
          <w:szCs w:val="24"/>
          <w:shd w:val="clear" w:color="auto" w:fill="FFFFFF"/>
        </w:rPr>
        <w:t xml:space="preserve">genome. </w:t>
      </w:r>
      <w:r w:rsidR="00E4628A">
        <w:rPr>
          <w:rFonts w:ascii="Times New Roman" w:hAnsi="Times New Roman" w:cs="Times New Roman"/>
          <w:color w:val="000000" w:themeColor="text1"/>
          <w:sz w:val="24"/>
          <w:szCs w:val="24"/>
          <w:shd w:val="clear" w:color="auto" w:fill="FFFFFF"/>
        </w:rPr>
        <w:t>Pf only makes this protein;</w:t>
      </w:r>
      <w:r w:rsidRPr="00F3795D">
        <w:rPr>
          <w:rFonts w:ascii="Times New Roman" w:hAnsi="Times New Roman" w:cs="Times New Roman"/>
          <w:color w:val="000000" w:themeColor="text1"/>
          <w:sz w:val="24"/>
          <w:szCs w:val="24"/>
          <w:shd w:val="clear" w:color="auto" w:fill="FFFFFF"/>
        </w:rPr>
        <w:t xml:space="preserve"> its amino acid sequence contains 34% histidine, 37% alanine, and 10% aspartic acid. Pfhrp2 is a water-soluble, 60–105 </w:t>
      </w:r>
      <w:proofErr w:type="spellStart"/>
      <w:r w:rsidRPr="00F3795D">
        <w:rPr>
          <w:rFonts w:ascii="Times New Roman" w:hAnsi="Times New Roman" w:cs="Times New Roman"/>
          <w:color w:val="000000" w:themeColor="text1"/>
          <w:sz w:val="24"/>
          <w:szCs w:val="24"/>
          <w:shd w:val="clear" w:color="auto" w:fill="FFFFFF"/>
        </w:rPr>
        <w:t>kDa</w:t>
      </w:r>
      <w:proofErr w:type="spellEnd"/>
      <w:r w:rsidRPr="00F3795D">
        <w:rPr>
          <w:rFonts w:ascii="Times New Roman" w:hAnsi="Times New Roman" w:cs="Times New Roman"/>
          <w:color w:val="000000" w:themeColor="text1"/>
          <w:sz w:val="24"/>
          <w:szCs w:val="24"/>
          <w:shd w:val="clear" w:color="auto" w:fill="FFFFFF"/>
        </w:rPr>
        <w:t xml:space="preserve">, </w:t>
      </w:r>
      <w:r w:rsidR="003044D7">
        <w:rPr>
          <w:rFonts w:ascii="Times New Roman" w:hAnsi="Times New Roman" w:cs="Times New Roman"/>
          <w:color w:val="000000" w:themeColor="text1"/>
          <w:sz w:val="24"/>
          <w:szCs w:val="24"/>
          <w:shd w:val="clear" w:color="auto" w:fill="FFFFFF"/>
        </w:rPr>
        <w:t xml:space="preserve">a </w:t>
      </w:r>
      <w:r w:rsidRPr="00F3795D">
        <w:rPr>
          <w:rFonts w:ascii="Times New Roman" w:hAnsi="Times New Roman" w:cs="Times New Roman"/>
          <w:color w:val="000000" w:themeColor="text1"/>
          <w:sz w:val="24"/>
          <w:szCs w:val="24"/>
          <w:shd w:val="clear" w:color="auto" w:fill="FFFFFF"/>
        </w:rPr>
        <w:t xml:space="preserve">surface-associated protein synthesised and maintained throughout the asexual life cycle (the gene has a 1073 pb). The parasite discharges this protein into the cytoplasm of red blood cells (RBCs), and infected people also have it circulating in their peripheral blood. </w:t>
      </w:r>
      <w:r w:rsidR="00583190" w:rsidRPr="00F3795D">
        <w:rPr>
          <w:rFonts w:ascii="Times New Roman" w:hAnsi="Times New Roman" w:cs="Times New Roman"/>
          <w:color w:val="000000" w:themeColor="text1"/>
          <w:sz w:val="24"/>
          <w:szCs w:val="24"/>
          <w:shd w:val="clear" w:color="auto" w:fill="FFFFFF"/>
        </w:rPr>
        <w:t xml:space="preserve">Hrp2 is one of the RBC cytosolic components released into the bloodstream once parasites burst from the host cell. HRP2 can be as high as 100 g/ml in plasma. Since its discovery, it has been implicated in a </w:t>
      </w:r>
      <w:r w:rsidR="00583190" w:rsidRPr="00F3795D">
        <w:rPr>
          <w:rFonts w:ascii="Times New Roman" w:hAnsi="Times New Roman" w:cs="Times New Roman"/>
          <w:color w:val="000000" w:themeColor="text1"/>
          <w:sz w:val="24"/>
          <w:szCs w:val="24"/>
          <w:shd w:val="clear" w:color="auto" w:fill="FFFFFF"/>
        </w:rPr>
        <w:lastRenderedPageBreak/>
        <w:t>wide range of processes, including the crystallisation of hemozoin, the production of actin, the suppression of t</w:t>
      </w:r>
      <w:r w:rsidR="00FF4C32" w:rsidRPr="00F3795D">
        <w:rPr>
          <w:rFonts w:ascii="Times New Roman" w:hAnsi="Times New Roman" w:cs="Times New Roman"/>
          <w:color w:val="000000" w:themeColor="text1"/>
          <w:sz w:val="24"/>
          <w:szCs w:val="24"/>
          <w:shd w:val="clear" w:color="auto" w:fill="FFFFFF"/>
        </w:rPr>
        <w:t>-</w:t>
      </w:r>
      <w:r w:rsidR="00583190" w:rsidRPr="00F3795D">
        <w:rPr>
          <w:rFonts w:ascii="Times New Roman" w:hAnsi="Times New Roman" w:cs="Times New Roman"/>
          <w:color w:val="000000" w:themeColor="text1"/>
          <w:sz w:val="24"/>
          <w:szCs w:val="24"/>
          <w:shd w:val="clear" w:color="auto" w:fill="FFFFFF"/>
        </w:rPr>
        <w:t xml:space="preserve">cells, the binding of glycosaminoglycans, and pro-coagulation. Pfhrp-2, in contrast, is located in the parasite cytoplasm or digesting vacuole and is essential to </w:t>
      </w:r>
      <w:r w:rsidR="009E7D15" w:rsidRPr="009E7D15">
        <w:rPr>
          <w:rFonts w:ascii="Times New Roman" w:hAnsi="Times New Roman" w:cs="Times New Roman"/>
          <w:color w:val="000000" w:themeColor="text1"/>
          <w:sz w:val="24"/>
          <w:szCs w:val="24"/>
          <w:shd w:val="clear" w:color="auto" w:fill="FFFFFF"/>
        </w:rPr>
        <w:t>Pf</w:t>
      </w:r>
      <w:r w:rsidR="00583190" w:rsidRPr="009E7D15">
        <w:rPr>
          <w:rFonts w:ascii="Times New Roman" w:hAnsi="Times New Roman" w:cs="Times New Roman"/>
          <w:color w:val="000000" w:themeColor="text1"/>
          <w:sz w:val="24"/>
          <w:szCs w:val="24"/>
          <w:shd w:val="clear" w:color="auto" w:fill="FFFFFF"/>
        </w:rPr>
        <w:t xml:space="preserve"> </w:t>
      </w:r>
      <w:r w:rsidR="00583190" w:rsidRPr="00F3795D">
        <w:rPr>
          <w:rFonts w:ascii="Times New Roman" w:hAnsi="Times New Roman" w:cs="Times New Roman"/>
          <w:color w:val="000000" w:themeColor="text1"/>
          <w:sz w:val="24"/>
          <w:szCs w:val="24"/>
          <w:shd w:val="clear" w:color="auto" w:fill="FFFFFF"/>
        </w:rPr>
        <w:t xml:space="preserve">metabolism. Additionally, this protein actively promotes the </w:t>
      </w:r>
      <w:r w:rsidR="00E11711">
        <w:rPr>
          <w:rFonts w:ascii="Times New Roman" w:hAnsi="Times New Roman" w:cs="Times New Roman"/>
          <w:color w:val="000000" w:themeColor="text1"/>
          <w:sz w:val="24"/>
          <w:szCs w:val="24"/>
          <w:shd w:val="clear" w:color="auto" w:fill="FFFFFF"/>
        </w:rPr>
        <w:t>polymerisation</w:t>
      </w:r>
      <w:r w:rsidR="00583190" w:rsidRPr="00F3795D">
        <w:rPr>
          <w:rFonts w:ascii="Times New Roman" w:hAnsi="Times New Roman" w:cs="Times New Roman"/>
          <w:color w:val="000000" w:themeColor="text1"/>
          <w:sz w:val="24"/>
          <w:szCs w:val="24"/>
          <w:shd w:val="clear" w:color="auto" w:fill="FFFFFF"/>
        </w:rPr>
        <w:t xml:space="preserve"> of the toxic </w:t>
      </w:r>
      <w:proofErr w:type="spellStart"/>
      <w:r w:rsidR="00583190" w:rsidRPr="00F3795D">
        <w:rPr>
          <w:rFonts w:ascii="Times New Roman" w:hAnsi="Times New Roman" w:cs="Times New Roman"/>
          <w:color w:val="000000" w:themeColor="text1"/>
          <w:sz w:val="24"/>
          <w:szCs w:val="24"/>
          <w:shd w:val="clear" w:color="auto" w:fill="FFFFFF"/>
        </w:rPr>
        <w:t>heme</w:t>
      </w:r>
      <w:proofErr w:type="spellEnd"/>
      <w:r w:rsidR="00583190" w:rsidRPr="00F3795D">
        <w:rPr>
          <w:rFonts w:ascii="Times New Roman" w:hAnsi="Times New Roman" w:cs="Times New Roman"/>
          <w:color w:val="000000" w:themeColor="text1"/>
          <w:sz w:val="24"/>
          <w:szCs w:val="24"/>
          <w:shd w:val="clear" w:color="auto" w:fill="FFFFFF"/>
        </w:rPr>
        <w:t xml:space="preserve"> group, produced when the host's haemoglobin breaks down, into the malaria pigment hemozoin, which is no longer dangerous</w:t>
      </w:r>
      <w:r w:rsidR="00C769AB">
        <w:rPr>
          <w:rFonts w:ascii="Times New Roman" w:hAnsi="Times New Roman" w:cs="Times New Roman"/>
          <w:color w:val="000000" w:themeColor="text1"/>
          <w:sz w:val="24"/>
          <w:szCs w:val="24"/>
          <w:shd w:val="clear" w:color="auto" w:fill="FFFFFF"/>
        </w:rPr>
        <w:t xml:space="preserve"> </w:t>
      </w:r>
      <w:r w:rsidR="00FB4F1C">
        <w:rPr>
          <w:rFonts w:ascii="Times New Roman" w:hAnsi="Times New Roman" w:cs="Times New Roman"/>
          <w:color w:val="000000" w:themeColor="text1"/>
          <w:sz w:val="24"/>
          <w:szCs w:val="24"/>
          <w:shd w:val="clear" w:color="auto" w:fill="FFFFFF"/>
        </w:rPr>
        <w:fldChar w:fldCharType="begin" w:fldLock="1"/>
      </w:r>
      <w:r w:rsidR="00C769AB">
        <w:rPr>
          <w:rFonts w:ascii="Times New Roman" w:hAnsi="Times New Roman" w:cs="Times New Roman"/>
          <w:color w:val="000000" w:themeColor="text1"/>
          <w:sz w:val="24"/>
          <w:szCs w:val="24"/>
          <w:shd w:val="clear" w:color="auto" w:fill="FFFFFF"/>
        </w:rPr>
        <w:instrText>ADDIN CSL_CITATION {"citationItems":[{"id":"ITEM-1","itemData":{"DOI":"10.1016/j.pt.2019.12.004","ISSN":"14715007","PMID":"31848119","abstract":"The major growth in point-of-care malaria diagnosis over the past decade has been based on immunochromatographic malaria rapid diagnostic tests (mRDTs), which generally detect Plasmodium falciparum via its abundant histidine-rich protein 2 (HRP2). Here, we review the discovery and biology of HRP2, as well as the strengths and weaknesses of HRP2-based diagnosis compared with alternative antigens. We highlight recent studies describing HRP2 deletion in Latin America, Eritrea, and possibly other regions, and the methodological challenges of confirming deletion of the pfhrp2 gene. We also discuss the mechanism of persistent HRP2 positivity after effective antimalarial treatment, along with other emerging HRP2-based applications, including detection of submicroscopic malaria and diagnosis of severe malaria.","author":[{"dropping-particle":"","family":"Poti","given":"Kristin E.","non-dropping-particle":"","parse-names":false,"suffix":""},{"dropping-particle":"","family":"Sullivan","given":"David J.","non-dropping-particle":"","parse-names":false,"suffix":""},{"dropping-particle":"","family":"Dondorp","given":"Arjen M.","non-dropping-particle":"","parse-names":false,"suffix":""},{"dropping-particle":"","family":"Woodrow","given":"Charles J.","non-dropping-particle":"","parse-names":false,"suffix":""}],"container-title":"Trends in Parasitology","id":"ITEM-1","issue":"2","issued":{"date-parts":[["2020"]]},"page":"112-126","publisher":"Elsevier Inc.","title":"HRP2: Transforming Malaria Diagnosis, but with Caveats","type":"article-journal","volume":"36"},"uris":["http://www.mendeley.com/documents/?uuid=eefc9f7d-8efa-4eed-ac20-2bd525bb5555"]}],"mendeley":{"formattedCitation":"(Poti et al., 2020)","plainTextFormattedCitation":"(Poti et al., 2020)","previouslyFormattedCitation":"(Poti et al., 2020)"},"properties":{"noteIndex":0},"schema":"https://github.com/citation-style-language/schema/raw/master/csl-citation.json"}</w:instrText>
      </w:r>
      <w:r w:rsidR="00FB4F1C">
        <w:rPr>
          <w:rFonts w:ascii="Times New Roman" w:hAnsi="Times New Roman" w:cs="Times New Roman"/>
          <w:color w:val="000000" w:themeColor="text1"/>
          <w:sz w:val="24"/>
          <w:szCs w:val="24"/>
          <w:shd w:val="clear" w:color="auto" w:fill="FFFFFF"/>
        </w:rPr>
        <w:fldChar w:fldCharType="separate"/>
      </w:r>
      <w:r w:rsidR="00FB4F1C" w:rsidRPr="00FB4F1C">
        <w:rPr>
          <w:rFonts w:ascii="Times New Roman" w:hAnsi="Times New Roman" w:cs="Times New Roman"/>
          <w:noProof/>
          <w:color w:val="000000" w:themeColor="text1"/>
          <w:sz w:val="24"/>
          <w:szCs w:val="24"/>
          <w:shd w:val="clear" w:color="auto" w:fill="FFFFFF"/>
        </w:rPr>
        <w:t>(Poti et al., 2020)</w:t>
      </w:r>
      <w:r w:rsidR="00FB4F1C">
        <w:rPr>
          <w:rFonts w:ascii="Times New Roman" w:hAnsi="Times New Roman" w:cs="Times New Roman"/>
          <w:color w:val="000000" w:themeColor="text1"/>
          <w:sz w:val="24"/>
          <w:szCs w:val="24"/>
          <w:shd w:val="clear" w:color="auto" w:fill="FFFFFF"/>
        </w:rPr>
        <w:fldChar w:fldCharType="end"/>
      </w:r>
      <w:r w:rsidR="00583190" w:rsidRPr="00F3795D">
        <w:rPr>
          <w:rFonts w:ascii="Times New Roman" w:hAnsi="Times New Roman" w:cs="Times New Roman"/>
          <w:color w:val="000000" w:themeColor="text1"/>
          <w:sz w:val="24"/>
          <w:szCs w:val="24"/>
          <w:shd w:val="clear" w:color="auto" w:fill="FFFFFF"/>
        </w:rPr>
        <w:t xml:space="preserve">. </w:t>
      </w:r>
    </w:p>
    <w:p w14:paraId="7B21C5FD" w14:textId="615058EF" w:rsidR="0013597D" w:rsidRPr="00F3795D" w:rsidRDefault="0013597D" w:rsidP="00372EFD">
      <w:pPr>
        <w:spacing w:after="0" w:line="276" w:lineRule="auto"/>
        <w:jc w:val="both"/>
        <w:rPr>
          <w:rFonts w:ascii="Times New Roman" w:hAnsi="Times New Roman" w:cs="Times New Roman"/>
          <w:color w:val="000000" w:themeColor="text1"/>
          <w:sz w:val="24"/>
          <w:szCs w:val="24"/>
          <w:shd w:val="clear" w:color="auto" w:fill="FFFFFF"/>
        </w:rPr>
      </w:pPr>
      <w:r w:rsidRPr="00F3795D">
        <w:rPr>
          <w:rFonts w:ascii="Times New Roman" w:hAnsi="Times New Roman" w:cs="Times New Roman"/>
          <w:color w:val="000000" w:themeColor="text1"/>
          <w:sz w:val="24"/>
          <w:szCs w:val="24"/>
          <w:shd w:val="clear" w:color="auto" w:fill="FFFFFF"/>
        </w:rPr>
        <w:t xml:space="preserve">The histidine-3-rich protein (hrp3), also known as the tiny histidine-rich protein, is encoded by the pfhrp-3 gene, which is present in the non-telomeric region of chromosome 13. 30-35 </w:t>
      </w:r>
      <w:proofErr w:type="spellStart"/>
      <w:r w:rsidRPr="00F3795D">
        <w:rPr>
          <w:rFonts w:ascii="Times New Roman" w:hAnsi="Times New Roman" w:cs="Times New Roman"/>
          <w:color w:val="000000" w:themeColor="text1"/>
          <w:sz w:val="24"/>
          <w:szCs w:val="24"/>
          <w:shd w:val="clear" w:color="auto" w:fill="FFFFFF"/>
        </w:rPr>
        <w:t>kDa</w:t>
      </w:r>
      <w:proofErr w:type="spellEnd"/>
      <w:r w:rsidRPr="00F3795D">
        <w:rPr>
          <w:rFonts w:ascii="Times New Roman" w:hAnsi="Times New Roman" w:cs="Times New Roman"/>
          <w:color w:val="000000" w:themeColor="text1"/>
          <w:sz w:val="24"/>
          <w:szCs w:val="24"/>
          <w:shd w:val="clear" w:color="auto" w:fill="FFFFFF"/>
        </w:rPr>
        <w:t xml:space="preserve"> polypeptide Pfhrp3 contains 29% alanine and 30% histidine. Two sections in the core protein-coding region contain tandem repeats, and these two regions are separated by a 72-nucleotide stretch devoid of repeats. What function this protein plays in the parasite's survival is unclear. Pfhrp-3 and pfhrp-2 are structurally and functionally very similar. Exon 1 of both contains a peptide that serves as a signal, and exon 2 encodes histidine-rich amino acid sequences ranging from 75 to 90 nucleotides</w:t>
      </w:r>
      <w:r w:rsidR="00891293">
        <w:rPr>
          <w:rFonts w:ascii="Times New Roman" w:hAnsi="Times New Roman" w:cs="Times New Roman"/>
          <w:color w:val="000000" w:themeColor="text1"/>
          <w:sz w:val="24"/>
          <w:szCs w:val="24"/>
          <w:shd w:val="clear" w:color="auto" w:fill="FFFFFF"/>
        </w:rPr>
        <w:t xml:space="preserve"> </w:t>
      </w:r>
      <w:r w:rsidR="00C769AB">
        <w:rPr>
          <w:rFonts w:ascii="Times New Roman" w:hAnsi="Times New Roman" w:cs="Times New Roman"/>
          <w:color w:val="000000" w:themeColor="text1"/>
          <w:sz w:val="24"/>
          <w:szCs w:val="24"/>
          <w:shd w:val="clear" w:color="auto" w:fill="FFFFFF"/>
        </w:rPr>
        <w:fldChar w:fldCharType="begin" w:fldLock="1"/>
      </w:r>
      <w:r w:rsidR="00997DCC">
        <w:rPr>
          <w:rFonts w:ascii="Times New Roman" w:hAnsi="Times New Roman" w:cs="Times New Roman"/>
          <w:color w:val="000000" w:themeColor="text1"/>
          <w:sz w:val="24"/>
          <w:szCs w:val="24"/>
          <w:shd w:val="clear" w:color="auto" w:fill="FFFFFF"/>
        </w:rPr>
        <w:instrText>ADDIN CSL_CITATION {"citationItems":[{"id":"ITEM-1","itemData":{"DOI":"10.1186/s12936-022-04051-7","ISSN":"14752875","PMID":"35093092","abstract":"Background: The usefulness of histidine-rich protein-2/3 (HRP2/3)-based rapid diagnostic tests of malaria due to Plasmodium falciparum has been threatened by the appearance of mutant PfHRP2/3 genes. This study was undertaken to determine the global pooled estimates of PfHRP2/3gene deletions. Methods: Relevant publications were identified from electronic databases such as; PubMed, EMBASE, and MEDLINE online. Besides, all the relevant literatures were retrieved through Google and Google Scholar. STATA software was used for data analysis. The pooled estimates were calculated using random effect model. The summary estimates were presented using forest plots and tables. Results: A total of 27 studies were included in the systematic review. However, only 24 and 17 studies were included for PfHRP2 and 3 gene deletion meta-analysis, respectively. The prevalence of PfHRP2 gene deletion across the individual studies ranged from the highest 100% to the lowest 0%. However, the meta-analysis result showed that the global pooled prevalence of PfHRP2 and PfHRP3 gene deletions were 21.30% and 34.50%, respectively. The pooled proportion of PfHRP2 gene deletion among false negative PfHRP2-based RDTs results was found to be 41.10%. The gene deletion status was higher in South America and followed by Africa. The pooled estimate of PfHRP2 gene deletion among studies, which did not follow the WHO PfHRP2/3 gene deletion analysis protocol was higher than their counter parts (21.3% vs 10.5%). Conclusions: This review showed that there is a high pooled prevalence of PfHRP2/3 gene deletions in Plasmodium falciparum confirmed isolates and also a high proportion of their deletions among false-negative malaria cases using PfHRP2-based RDT results. Hence, malaria diagnosis based on PfHRP2-based rapid tests seems to be less sensitive and warrants further evaluation of PfHRP2/3 gene deletions.","author":[{"dropping-particle":"","family":"Jejaw Zeleke","given":"Ayalew","non-dropping-particle":"","parse-names":false,"suffix":""},{"dropping-particle":"","family":"Hailu","given":"Asrat","non-dropping-particle":"","parse-names":false,"suffix":""},{"dropping-particle":"","family":"Bayih","given":"Abebe Genetu","non-dropping-particle":"","parse-names":false,"suffix":""},{"dropping-particle":"","family":"Kefale","given":"Migbaru","non-dropping-particle":"","parse-names":false,"suffix":""},{"dropping-particle":"","family":"Amare","given":"Ashenafi Tazebew","non-dropping-particle":"","parse-names":false,"suffix":""},{"dropping-particle":"","family":"Tegegne","given":"Yalewayker","non-dropping-particle":"","parse-names":false,"suffix":""},{"dropping-particle":"","family":"Aemero","given":"Mulugeta","non-dropping-particle":"","parse-names":false,"suffix":""}],"container-title":"Malaria Journal","id":"ITEM-1","issue":"1","issued":{"date-parts":[["2022"]]},"page":"1-13","publisher":"BioMed Central","title":"P lasmodium falciparum histidine-rich protein 2 and 3 genes deletion in global settings (2010–2021): a systematic review and meta-analysis","type":"article-journal","volume":"21"},"uris":["http://www.mendeley.com/documents/?uuid=7d04946e-89b8-411a-8cd2-a00baf1aaf3a"]}],"mendeley":{"formattedCitation":"(Jejaw Zeleke et al., 2022)","plainTextFormattedCitation":"(Jejaw Zeleke et al., 2022)","previouslyFormattedCitation":"(Jejaw Zeleke et al., 2022)"},"properties":{"noteIndex":0},"schema":"https://github.com/citation-style-language/schema/raw/master/csl-citation.json"}</w:instrText>
      </w:r>
      <w:r w:rsidR="00C769AB">
        <w:rPr>
          <w:rFonts w:ascii="Times New Roman" w:hAnsi="Times New Roman" w:cs="Times New Roman"/>
          <w:color w:val="000000" w:themeColor="text1"/>
          <w:sz w:val="24"/>
          <w:szCs w:val="24"/>
          <w:shd w:val="clear" w:color="auto" w:fill="FFFFFF"/>
        </w:rPr>
        <w:fldChar w:fldCharType="separate"/>
      </w:r>
      <w:r w:rsidR="00C769AB" w:rsidRPr="00C769AB">
        <w:rPr>
          <w:rFonts w:ascii="Times New Roman" w:hAnsi="Times New Roman" w:cs="Times New Roman"/>
          <w:noProof/>
          <w:color w:val="000000" w:themeColor="text1"/>
          <w:sz w:val="24"/>
          <w:szCs w:val="24"/>
          <w:shd w:val="clear" w:color="auto" w:fill="FFFFFF"/>
        </w:rPr>
        <w:t>(Jejaw Zeleke et al., 2022)</w:t>
      </w:r>
      <w:r w:rsidR="00C769AB">
        <w:rPr>
          <w:rFonts w:ascii="Times New Roman" w:hAnsi="Times New Roman" w:cs="Times New Roman"/>
          <w:color w:val="000000" w:themeColor="text1"/>
          <w:sz w:val="24"/>
          <w:szCs w:val="24"/>
          <w:shd w:val="clear" w:color="auto" w:fill="FFFFFF"/>
        </w:rPr>
        <w:fldChar w:fldCharType="end"/>
      </w:r>
      <w:r w:rsidRPr="00F3795D">
        <w:rPr>
          <w:rFonts w:ascii="Times New Roman" w:hAnsi="Times New Roman" w:cs="Times New Roman"/>
          <w:color w:val="000000" w:themeColor="text1"/>
          <w:sz w:val="24"/>
          <w:szCs w:val="24"/>
          <w:shd w:val="clear" w:color="auto" w:fill="FFFFFF"/>
        </w:rPr>
        <w:t xml:space="preserve">. </w:t>
      </w:r>
    </w:p>
    <w:p w14:paraId="0EF8725B" w14:textId="0FC10677" w:rsidR="009C3AB7" w:rsidRPr="00F3795D" w:rsidRDefault="004F4898" w:rsidP="00372EFD">
      <w:pPr>
        <w:spacing w:after="0" w:line="276" w:lineRule="auto"/>
        <w:jc w:val="both"/>
        <w:rPr>
          <w:rFonts w:ascii="Times New Roman" w:hAnsi="Times New Roman" w:cs="Times New Roman"/>
          <w:b/>
          <w:bCs/>
          <w:color w:val="000000" w:themeColor="text1"/>
          <w:sz w:val="24"/>
          <w:szCs w:val="24"/>
          <w:shd w:val="clear" w:color="auto" w:fill="FFFFFF"/>
        </w:rPr>
      </w:pPr>
      <w:r w:rsidRPr="00F3795D">
        <w:rPr>
          <w:rFonts w:ascii="Times New Roman" w:hAnsi="Times New Roman" w:cs="Times New Roman"/>
          <w:b/>
          <w:bCs/>
          <w:color w:val="000000" w:themeColor="text1"/>
          <w:sz w:val="24"/>
          <w:szCs w:val="24"/>
          <w:shd w:val="clear" w:color="auto" w:fill="FFFFFF"/>
        </w:rPr>
        <w:t>A suitable environment for protozoa</w:t>
      </w:r>
    </w:p>
    <w:p w14:paraId="50B2A67E" w14:textId="3471A148" w:rsidR="00BE54B0" w:rsidRPr="00F3795D" w:rsidRDefault="009900A5" w:rsidP="00372EFD">
      <w:pPr>
        <w:spacing w:after="0" w:line="276" w:lineRule="auto"/>
        <w:jc w:val="both"/>
        <w:rPr>
          <w:rFonts w:ascii="Times New Roman" w:hAnsi="Times New Roman" w:cs="Times New Roman"/>
          <w:color w:val="000000" w:themeColor="text1"/>
          <w:sz w:val="24"/>
          <w:szCs w:val="24"/>
        </w:rPr>
      </w:pPr>
      <w:r w:rsidRPr="00F3795D">
        <w:rPr>
          <w:rFonts w:ascii="Times New Roman" w:hAnsi="Times New Roman" w:cs="Times New Roman"/>
          <w:color w:val="000000" w:themeColor="text1"/>
          <w:sz w:val="24"/>
          <w:szCs w:val="24"/>
        </w:rPr>
        <w:t xml:space="preserve">In India, there are more than 400 tiny rivers </w:t>
      </w:r>
      <w:r w:rsidR="004A146B" w:rsidRPr="00F3795D">
        <w:rPr>
          <w:rFonts w:ascii="Times New Roman" w:hAnsi="Times New Roman" w:cs="Times New Roman"/>
          <w:color w:val="000000" w:themeColor="text1"/>
          <w:sz w:val="24"/>
          <w:szCs w:val="24"/>
        </w:rPr>
        <w:t>and</w:t>
      </w:r>
      <w:r w:rsidRPr="00F3795D">
        <w:rPr>
          <w:rFonts w:ascii="Times New Roman" w:hAnsi="Times New Roman" w:cs="Times New Roman"/>
          <w:color w:val="000000" w:themeColor="text1"/>
          <w:sz w:val="24"/>
          <w:szCs w:val="24"/>
        </w:rPr>
        <w:t xml:space="preserve"> eight big rivers. The disease primarily affects rural and tribal populations in the nation because there are many locations where water stagnates during the rainy season, including ponds, ditches, marshy areas, seepage water that serves as a temporary mosquito breeding ground, as well as some permanent water bodies like rivers, river beds, pools, rice fields, lakes, and agricultural channels, </w:t>
      </w:r>
      <w:r w:rsidR="00064161" w:rsidRPr="00F3795D">
        <w:rPr>
          <w:rFonts w:ascii="Times New Roman" w:hAnsi="Times New Roman" w:cs="Times New Roman"/>
          <w:color w:val="000000" w:themeColor="text1"/>
          <w:sz w:val="24"/>
          <w:szCs w:val="24"/>
        </w:rPr>
        <w:t>except for</w:t>
      </w:r>
      <w:r w:rsidRPr="00F3795D">
        <w:rPr>
          <w:rFonts w:ascii="Times New Roman" w:hAnsi="Times New Roman" w:cs="Times New Roman"/>
          <w:color w:val="000000" w:themeColor="text1"/>
          <w:sz w:val="24"/>
          <w:szCs w:val="24"/>
        </w:rPr>
        <w:t xml:space="preserve"> Himalayan regions where drinking water is produced from harvested rainwater. The potential for malaria parasite growth in rainwater collected and held for many days. </w:t>
      </w:r>
      <w:r w:rsidR="00613F9A" w:rsidRPr="00F3795D">
        <w:rPr>
          <w:rFonts w:ascii="Times New Roman" w:hAnsi="Times New Roman" w:cs="Times New Roman"/>
          <w:color w:val="000000" w:themeColor="text1"/>
          <w:sz w:val="24"/>
          <w:szCs w:val="24"/>
        </w:rPr>
        <w:t xml:space="preserve">India features a variety of climates, including dry and wet, high and low altitudes, plains, and hills. </w:t>
      </w:r>
      <w:r w:rsidR="00064161" w:rsidRPr="00F3795D">
        <w:rPr>
          <w:rFonts w:ascii="Times New Roman" w:hAnsi="Times New Roman" w:cs="Times New Roman"/>
          <w:color w:val="000000" w:themeColor="text1"/>
          <w:sz w:val="24"/>
          <w:szCs w:val="24"/>
        </w:rPr>
        <w:t>Many</w:t>
      </w:r>
      <w:r w:rsidR="00613F9A" w:rsidRPr="00F3795D">
        <w:rPr>
          <w:rFonts w:ascii="Times New Roman" w:hAnsi="Times New Roman" w:cs="Times New Roman"/>
          <w:color w:val="000000" w:themeColor="text1"/>
          <w:sz w:val="24"/>
          <w:szCs w:val="24"/>
        </w:rPr>
        <w:t xml:space="preserve"> people </w:t>
      </w:r>
      <w:r w:rsidR="00064161" w:rsidRPr="00F3795D">
        <w:rPr>
          <w:rFonts w:ascii="Times New Roman" w:hAnsi="Times New Roman" w:cs="Times New Roman"/>
          <w:color w:val="000000" w:themeColor="text1"/>
          <w:sz w:val="24"/>
          <w:szCs w:val="24"/>
        </w:rPr>
        <w:t>die</w:t>
      </w:r>
      <w:r w:rsidR="00613F9A" w:rsidRPr="00F3795D">
        <w:rPr>
          <w:rFonts w:ascii="Times New Roman" w:hAnsi="Times New Roman" w:cs="Times New Roman"/>
          <w:color w:val="000000" w:themeColor="text1"/>
          <w:sz w:val="24"/>
          <w:szCs w:val="24"/>
        </w:rPr>
        <w:t xml:space="preserve"> </w:t>
      </w:r>
      <w:r w:rsidR="00064161" w:rsidRPr="00F3795D">
        <w:rPr>
          <w:rFonts w:ascii="Times New Roman" w:hAnsi="Times New Roman" w:cs="Times New Roman"/>
          <w:color w:val="000000" w:themeColor="text1"/>
          <w:sz w:val="24"/>
          <w:szCs w:val="24"/>
        </w:rPr>
        <w:t>yearly</w:t>
      </w:r>
      <w:r w:rsidR="00613F9A" w:rsidRPr="00F3795D">
        <w:rPr>
          <w:rFonts w:ascii="Times New Roman" w:hAnsi="Times New Roman" w:cs="Times New Roman"/>
          <w:color w:val="000000" w:themeColor="text1"/>
          <w:sz w:val="24"/>
          <w:szCs w:val="24"/>
        </w:rPr>
        <w:t xml:space="preserve"> from </w:t>
      </w:r>
      <w:r w:rsidR="00064161" w:rsidRPr="00F3795D">
        <w:rPr>
          <w:rFonts w:ascii="Times New Roman" w:hAnsi="Times New Roman" w:cs="Times New Roman"/>
          <w:color w:val="000000" w:themeColor="text1"/>
          <w:sz w:val="24"/>
          <w:szCs w:val="24"/>
        </w:rPr>
        <w:t>poor</w:t>
      </w:r>
      <w:r w:rsidR="00613F9A" w:rsidRPr="00F3795D">
        <w:rPr>
          <w:rFonts w:ascii="Times New Roman" w:hAnsi="Times New Roman" w:cs="Times New Roman"/>
          <w:color w:val="000000" w:themeColor="text1"/>
          <w:sz w:val="24"/>
          <w:szCs w:val="24"/>
        </w:rPr>
        <w:t xml:space="preserve"> access to clean drinking water, but other areas of India lose people to floods and their associated consequences. It was seen that rainfall was harvested in hilly locations. This water source is the cause of many parasites that live in water, particularly anopheles mosquitoes. Additionally, this increases the public's exposure to </w:t>
      </w:r>
      <w:r w:rsidR="00765349" w:rsidRPr="00F3795D">
        <w:rPr>
          <w:rFonts w:ascii="Times New Roman" w:hAnsi="Times New Roman" w:cs="Times New Roman"/>
          <w:color w:val="000000" w:themeColor="text1"/>
          <w:sz w:val="24"/>
          <w:szCs w:val="24"/>
        </w:rPr>
        <w:t>M</w:t>
      </w:r>
      <w:r w:rsidR="00613F9A" w:rsidRPr="00F3795D">
        <w:rPr>
          <w:rFonts w:ascii="Times New Roman" w:hAnsi="Times New Roman" w:cs="Times New Roman"/>
          <w:color w:val="000000" w:themeColor="text1"/>
          <w:sz w:val="24"/>
          <w:szCs w:val="24"/>
        </w:rPr>
        <w:t xml:space="preserve">alaria. Indian railway and irrigation system development was linked to the spread of </w:t>
      </w:r>
      <w:r w:rsidR="00765349" w:rsidRPr="00F3795D">
        <w:rPr>
          <w:rFonts w:ascii="Times New Roman" w:hAnsi="Times New Roman" w:cs="Times New Roman"/>
          <w:color w:val="000000" w:themeColor="text1"/>
          <w:sz w:val="24"/>
          <w:szCs w:val="24"/>
        </w:rPr>
        <w:t>M</w:t>
      </w:r>
      <w:r w:rsidR="00613F9A" w:rsidRPr="00F3795D">
        <w:rPr>
          <w:rFonts w:ascii="Times New Roman" w:hAnsi="Times New Roman" w:cs="Times New Roman"/>
          <w:color w:val="000000" w:themeColor="text1"/>
          <w:sz w:val="24"/>
          <w:szCs w:val="24"/>
        </w:rPr>
        <w:t xml:space="preserve">alaria. Many breeding sites for malaria vectors were created during the construction of railway embankments, and workers from various sections of the nation likely brought </w:t>
      </w:r>
      <w:r w:rsidR="00064161" w:rsidRPr="00F3795D">
        <w:rPr>
          <w:rFonts w:ascii="Times New Roman" w:hAnsi="Times New Roman" w:cs="Times New Roman"/>
          <w:color w:val="000000" w:themeColor="text1"/>
          <w:sz w:val="24"/>
          <w:szCs w:val="24"/>
        </w:rPr>
        <w:t>different</w:t>
      </w:r>
      <w:r w:rsidR="00613F9A" w:rsidRPr="00F3795D">
        <w:rPr>
          <w:rFonts w:ascii="Times New Roman" w:hAnsi="Times New Roman" w:cs="Times New Roman"/>
          <w:color w:val="000000" w:themeColor="text1"/>
          <w:sz w:val="24"/>
          <w:szCs w:val="24"/>
        </w:rPr>
        <w:t xml:space="preserve"> parasite strains to the locations where they worked. </w:t>
      </w:r>
      <w:r w:rsidR="00BE54B0" w:rsidRPr="00F3795D">
        <w:rPr>
          <w:rFonts w:ascii="Times New Roman" w:hAnsi="Times New Roman" w:cs="Times New Roman"/>
          <w:color w:val="000000" w:themeColor="text1"/>
          <w:sz w:val="24"/>
          <w:szCs w:val="24"/>
        </w:rPr>
        <w:t xml:space="preserve">A few homes are also crucial in providing mosquitoes </w:t>
      </w:r>
      <w:r w:rsidR="00064161" w:rsidRPr="00F3795D">
        <w:rPr>
          <w:rFonts w:ascii="Times New Roman" w:hAnsi="Times New Roman" w:cs="Times New Roman"/>
          <w:color w:val="000000" w:themeColor="text1"/>
          <w:sz w:val="24"/>
          <w:szCs w:val="24"/>
        </w:rPr>
        <w:t>a comfortable resting place</w:t>
      </w:r>
      <w:r w:rsidR="00BE54B0" w:rsidRPr="00F3795D">
        <w:rPr>
          <w:rFonts w:ascii="Times New Roman" w:hAnsi="Times New Roman" w:cs="Times New Roman"/>
          <w:color w:val="000000" w:themeColor="text1"/>
          <w:sz w:val="24"/>
          <w:szCs w:val="24"/>
        </w:rPr>
        <w:t xml:space="preserve">. </w:t>
      </w:r>
      <w:r w:rsidR="00064161" w:rsidRPr="00F3795D">
        <w:rPr>
          <w:rFonts w:ascii="Times New Roman" w:hAnsi="Times New Roman" w:cs="Times New Roman"/>
          <w:color w:val="000000" w:themeColor="text1"/>
          <w:sz w:val="24"/>
          <w:szCs w:val="24"/>
        </w:rPr>
        <w:t>Most</w:t>
      </w:r>
      <w:r w:rsidR="00BE54B0" w:rsidRPr="00F3795D">
        <w:rPr>
          <w:rFonts w:ascii="Times New Roman" w:hAnsi="Times New Roman" w:cs="Times New Roman"/>
          <w:color w:val="000000" w:themeColor="text1"/>
          <w:sz w:val="24"/>
          <w:szCs w:val="24"/>
        </w:rPr>
        <w:t xml:space="preserve"> structures in rural regions are thatched or made of mud, which the mosquitoes prefer since it </w:t>
      </w:r>
      <w:r w:rsidR="00064161" w:rsidRPr="00F3795D">
        <w:rPr>
          <w:rFonts w:ascii="Times New Roman" w:hAnsi="Times New Roman" w:cs="Times New Roman"/>
          <w:color w:val="000000" w:themeColor="text1"/>
          <w:sz w:val="24"/>
          <w:szCs w:val="24"/>
        </w:rPr>
        <w:t>allows for</w:t>
      </w:r>
      <w:r w:rsidR="00BE54B0" w:rsidRPr="00F3795D">
        <w:rPr>
          <w:rFonts w:ascii="Times New Roman" w:hAnsi="Times New Roman" w:cs="Times New Roman"/>
          <w:color w:val="000000" w:themeColor="text1"/>
          <w:sz w:val="24"/>
          <w:szCs w:val="24"/>
        </w:rPr>
        <w:t xml:space="preserve"> the right temperature and humidity. Homes were typically constructed </w:t>
      </w:r>
      <w:r w:rsidR="0090348E" w:rsidRPr="00F3795D">
        <w:rPr>
          <w:rFonts w:ascii="Times New Roman" w:hAnsi="Times New Roman" w:cs="Times New Roman"/>
          <w:color w:val="000000" w:themeColor="text1"/>
          <w:sz w:val="24"/>
          <w:szCs w:val="24"/>
        </w:rPr>
        <w:t>near</w:t>
      </w:r>
      <w:r w:rsidR="00BE54B0" w:rsidRPr="00F3795D">
        <w:rPr>
          <w:rFonts w:ascii="Times New Roman" w:hAnsi="Times New Roman" w:cs="Times New Roman"/>
          <w:color w:val="000000" w:themeColor="text1"/>
          <w:sz w:val="24"/>
          <w:szCs w:val="24"/>
        </w:rPr>
        <w:t xml:space="preserve"> ponds and lakes, where mosquito breeding was prolific</w:t>
      </w:r>
      <w:r w:rsidR="0090348E" w:rsidRPr="00F3795D">
        <w:rPr>
          <w:rFonts w:ascii="Times New Roman" w:hAnsi="Times New Roman" w:cs="Times New Roman"/>
          <w:color w:val="000000" w:themeColor="text1"/>
          <w:sz w:val="24"/>
          <w:szCs w:val="24"/>
        </w:rPr>
        <w:t>,</w:t>
      </w:r>
      <w:r w:rsidR="00BE54B0" w:rsidRPr="00F3795D">
        <w:rPr>
          <w:rFonts w:ascii="Times New Roman" w:hAnsi="Times New Roman" w:cs="Times New Roman"/>
          <w:color w:val="000000" w:themeColor="text1"/>
          <w:sz w:val="24"/>
          <w:szCs w:val="24"/>
        </w:rPr>
        <w:t xml:space="preserve"> and hosts were readily available for the insects consuming blood. These were the </w:t>
      </w:r>
      <w:r w:rsidR="0090348E" w:rsidRPr="00F3795D">
        <w:rPr>
          <w:rFonts w:ascii="Times New Roman" w:hAnsi="Times New Roman" w:cs="Times New Roman"/>
          <w:color w:val="000000" w:themeColor="text1"/>
          <w:sz w:val="24"/>
          <w:szCs w:val="24"/>
        </w:rPr>
        <w:t>leading</w:t>
      </w:r>
      <w:r w:rsidR="00BE54B0" w:rsidRPr="00F3795D">
        <w:rPr>
          <w:rFonts w:ascii="Times New Roman" w:hAnsi="Times New Roman" w:cs="Times New Roman"/>
          <w:color w:val="000000" w:themeColor="text1"/>
          <w:sz w:val="24"/>
          <w:szCs w:val="24"/>
        </w:rPr>
        <w:t xml:space="preserve"> causes of the rise in malaria cases </w:t>
      </w:r>
      <w:r w:rsidR="0090348E" w:rsidRPr="00F3795D">
        <w:rPr>
          <w:rFonts w:ascii="Times New Roman" w:hAnsi="Times New Roman" w:cs="Times New Roman"/>
          <w:color w:val="000000" w:themeColor="text1"/>
          <w:sz w:val="24"/>
          <w:szCs w:val="24"/>
        </w:rPr>
        <w:t>then</w:t>
      </w:r>
      <w:r w:rsidR="00BE54B0" w:rsidRPr="00F3795D">
        <w:rPr>
          <w:rFonts w:ascii="Times New Roman" w:hAnsi="Times New Roman" w:cs="Times New Roman"/>
          <w:color w:val="000000" w:themeColor="text1"/>
          <w:sz w:val="24"/>
          <w:szCs w:val="24"/>
        </w:rPr>
        <w:t xml:space="preserve">. In India, the tribal tribes that live in remote, forested areas endure a disproportionately large burden of </w:t>
      </w:r>
      <w:r w:rsidR="00765349" w:rsidRPr="00F3795D">
        <w:rPr>
          <w:rFonts w:ascii="Times New Roman" w:hAnsi="Times New Roman" w:cs="Times New Roman"/>
          <w:color w:val="000000" w:themeColor="text1"/>
          <w:sz w:val="24"/>
          <w:szCs w:val="24"/>
        </w:rPr>
        <w:t>M</w:t>
      </w:r>
      <w:r w:rsidR="00BE54B0" w:rsidRPr="00F3795D">
        <w:rPr>
          <w:rFonts w:ascii="Times New Roman" w:hAnsi="Times New Roman" w:cs="Times New Roman"/>
          <w:color w:val="000000" w:themeColor="text1"/>
          <w:sz w:val="24"/>
          <w:szCs w:val="24"/>
        </w:rPr>
        <w:t xml:space="preserve">alaria. They </w:t>
      </w:r>
      <w:r w:rsidR="004A146B" w:rsidRPr="00F3795D">
        <w:rPr>
          <w:rFonts w:ascii="Times New Roman" w:hAnsi="Times New Roman" w:cs="Times New Roman"/>
          <w:color w:val="000000" w:themeColor="text1"/>
          <w:sz w:val="24"/>
          <w:szCs w:val="24"/>
        </w:rPr>
        <w:t>cannot</w:t>
      </w:r>
      <w:r w:rsidR="00BE54B0" w:rsidRPr="00F3795D">
        <w:rPr>
          <w:rFonts w:ascii="Times New Roman" w:hAnsi="Times New Roman" w:cs="Times New Roman"/>
          <w:color w:val="000000" w:themeColor="text1"/>
          <w:sz w:val="24"/>
          <w:szCs w:val="24"/>
        </w:rPr>
        <w:t xml:space="preserve"> protect themselves from mosquito bites because they lack adequate housing.</w:t>
      </w:r>
    </w:p>
    <w:p w14:paraId="2B6CDA41" w14:textId="286BF56A" w:rsidR="00E2703F" w:rsidRPr="00F3795D" w:rsidRDefault="004F4898" w:rsidP="00372EFD">
      <w:pPr>
        <w:spacing w:after="0" w:line="276" w:lineRule="auto"/>
        <w:jc w:val="both"/>
        <w:rPr>
          <w:rFonts w:ascii="Times New Roman" w:hAnsi="Times New Roman" w:cs="Times New Roman"/>
          <w:b/>
          <w:bCs/>
          <w:color w:val="000000" w:themeColor="text1"/>
          <w:sz w:val="24"/>
          <w:szCs w:val="24"/>
        </w:rPr>
      </w:pPr>
      <w:r w:rsidRPr="00F3795D">
        <w:rPr>
          <w:rFonts w:ascii="Times New Roman" w:hAnsi="Times New Roman" w:cs="Times New Roman"/>
          <w:b/>
          <w:bCs/>
          <w:color w:val="000000" w:themeColor="text1"/>
          <w:sz w:val="24"/>
          <w:szCs w:val="24"/>
          <w:shd w:val="clear" w:color="auto" w:fill="FFFFFF"/>
        </w:rPr>
        <w:t>Parasite resistance to antimalarial drugs</w:t>
      </w:r>
    </w:p>
    <w:p w14:paraId="2027DCD8" w14:textId="1E116666" w:rsidR="00603FA4" w:rsidRPr="00E311A4" w:rsidRDefault="00A35AEF" w:rsidP="00372EFD">
      <w:pPr>
        <w:spacing w:after="0" w:line="276" w:lineRule="auto"/>
        <w:jc w:val="both"/>
        <w:rPr>
          <w:rFonts w:ascii="Times New Roman" w:hAnsi="Times New Roman" w:cs="Times New Roman"/>
          <w:color w:val="000000" w:themeColor="text1"/>
          <w:sz w:val="24"/>
          <w:szCs w:val="24"/>
          <w:shd w:val="clear" w:color="auto" w:fill="FFFFFF"/>
        </w:rPr>
      </w:pPr>
      <w:r w:rsidRPr="00F3795D">
        <w:rPr>
          <w:rFonts w:ascii="Times New Roman" w:hAnsi="Times New Roman" w:cs="Times New Roman"/>
          <w:color w:val="000000" w:themeColor="text1"/>
          <w:sz w:val="24"/>
          <w:szCs w:val="24"/>
        </w:rPr>
        <w:t xml:space="preserve">The world health organisation (WHO) defines antimalarial drug resistance as the capacity of a parasite strain to persist and proliferate despite the administration and absorption of medication given in doses equal to or higher than those typically advised but within the subject's tolerance, provided drug exposure at the site of action is sufficient. Due to the selection of parasites with genetic mutations or gene amplifications that limit susceptibility, antimalarial resistance develops </w:t>
      </w:r>
      <w:r w:rsidR="004D6419" w:rsidRPr="00F3795D">
        <w:rPr>
          <w:rFonts w:ascii="Times New Roman" w:hAnsi="Times New Roman" w:cs="Times New Roman"/>
          <w:color w:val="000000" w:themeColor="text1"/>
          <w:sz w:val="24"/>
          <w:szCs w:val="24"/>
        </w:rPr>
        <w:fldChar w:fldCharType="begin" w:fldLock="1"/>
      </w:r>
      <w:r w:rsidR="008B28D0" w:rsidRPr="00F3795D">
        <w:rPr>
          <w:rFonts w:ascii="Times New Roman" w:hAnsi="Times New Roman" w:cs="Times New Roman"/>
          <w:color w:val="000000" w:themeColor="text1"/>
          <w:sz w:val="24"/>
          <w:szCs w:val="24"/>
        </w:rPr>
        <w:instrText>ADDIN CSL_CITATION {"citationItems":[{"id":"ITEM-1","itemData":{"DOI":"10.2147/DDDT.S265602","ISSN":"11778881","PMID":"33061294","abstract":"Malaria is a major global health problem that causes significant mortality and morbidity annually. The therapeutic options are scarce and massively challenged by the emergence of resistant parasite strains, which causes a major obstacle to malaria control. To prevent a potential public health emergency, there is an urgent need for new antimalarial drugs, with single-dose cures, broad therapeutic potential, and novel mechanism of action. Antimalarial drug development can follow several approaches ranging from modifications of existing agents to the design of novel agents that act against novel targets. Modern advancement in the biology of the parasite and the availability of the different genomic techniques provide a wide range of novel targets in the development of new therapy. Several promising targets for drug intervention have been revealed in recent years. Therefore, this review focuses on the progress made on the latest scientific and technological advances in the discovery and development of novel antimalarial agents. Among the most interesting anti-malarial target proteins currently studied are proteases, protein kinases, Plasmodium sugar transporter inhibitor, aquaporin-3 inhibitor, choline transport inhibitor, dihydroorotate dehydrogenase inhibitor, isoprenoid biosynthesis inhibitor, farnesyltransferase inhibitor and enzymes are involved in lipid metabolism and DNA replication. This review summarizes the novel molecular targets and their inhibitors for antimalarial drug development approaches.","author":[{"dropping-particle":"","family":"Belete","given":"Tafere Mulaw","non-dropping-particle":"","parse-names":false,"suffix":""}],"container-title":"Drug Design, Development and Therapy","id":"ITEM-1","issued":{"date-parts":[["2020"]]},"page":"3875-3889","title":"Recent progress in the development of new antimalarial drugs with novel targets","type":"article-journal","volume":"14"},"uris":["http://www.mendeley.com/documents/?uuid=c7d30461-b66c-4527-8149-430d1587436a"]}],"mendeley":{"formattedCitation":"(Belete, 2020)","plainTextFormattedCitation":"(Belete, 2020)","previouslyFormattedCitation":"(Belete, 2020)"},"properties":{"noteIndex":0},"schema":"https://github.com/citation-style-language/schema/raw/master/csl-citation.json"}</w:instrText>
      </w:r>
      <w:r w:rsidR="004D6419" w:rsidRPr="00F3795D">
        <w:rPr>
          <w:rFonts w:ascii="Times New Roman" w:hAnsi="Times New Roman" w:cs="Times New Roman"/>
          <w:color w:val="000000" w:themeColor="text1"/>
          <w:sz w:val="24"/>
          <w:szCs w:val="24"/>
        </w:rPr>
        <w:fldChar w:fldCharType="separate"/>
      </w:r>
      <w:r w:rsidR="005D682C" w:rsidRPr="00F3795D">
        <w:rPr>
          <w:rFonts w:ascii="Times New Roman" w:hAnsi="Times New Roman" w:cs="Times New Roman"/>
          <w:noProof/>
          <w:color w:val="000000" w:themeColor="text1"/>
          <w:sz w:val="24"/>
          <w:szCs w:val="24"/>
        </w:rPr>
        <w:t>(Belete, 2020)</w:t>
      </w:r>
      <w:r w:rsidR="004D6419" w:rsidRPr="00F3795D">
        <w:rPr>
          <w:rFonts w:ascii="Times New Roman" w:hAnsi="Times New Roman" w:cs="Times New Roman"/>
          <w:color w:val="000000" w:themeColor="text1"/>
          <w:sz w:val="24"/>
          <w:szCs w:val="24"/>
        </w:rPr>
        <w:fldChar w:fldCharType="end"/>
      </w:r>
      <w:r w:rsidR="006F72E6">
        <w:rPr>
          <w:rFonts w:ascii="Times New Roman" w:hAnsi="Times New Roman" w:cs="Times New Roman"/>
          <w:color w:val="000000" w:themeColor="text1"/>
          <w:sz w:val="24"/>
          <w:szCs w:val="24"/>
        </w:rPr>
        <w:t>.</w:t>
      </w:r>
      <w:r w:rsidR="00E311A4">
        <w:rPr>
          <w:rFonts w:ascii="Times New Roman" w:hAnsi="Times New Roman" w:cs="Times New Roman"/>
          <w:color w:val="000000" w:themeColor="text1"/>
          <w:sz w:val="24"/>
          <w:szCs w:val="24"/>
          <w:shd w:val="clear" w:color="auto" w:fill="FFFFFF"/>
        </w:rPr>
        <w:t xml:space="preserve"> </w:t>
      </w:r>
      <w:r w:rsidR="00C8672B" w:rsidRPr="00E311A4">
        <w:rPr>
          <w:rFonts w:ascii="Times New Roman" w:hAnsi="Times New Roman" w:cs="Times New Roman"/>
          <w:color w:val="000000" w:themeColor="text1"/>
          <w:sz w:val="24"/>
          <w:szCs w:val="24"/>
        </w:rPr>
        <w:t xml:space="preserve">Antimalarials with an artemisinin basis are the cornerstone of </w:t>
      </w:r>
      <w:r w:rsidR="00C8672B" w:rsidRPr="00E311A4">
        <w:rPr>
          <w:rFonts w:ascii="Times New Roman" w:hAnsi="Times New Roman" w:cs="Times New Roman"/>
          <w:color w:val="000000" w:themeColor="text1"/>
          <w:sz w:val="24"/>
          <w:szCs w:val="24"/>
        </w:rPr>
        <w:lastRenderedPageBreak/>
        <w:t xml:space="preserve">effective pharmacological therapy. However, eliminating </w:t>
      </w:r>
      <w:r w:rsidR="00765349" w:rsidRPr="00E311A4">
        <w:rPr>
          <w:rFonts w:ascii="Times New Roman" w:hAnsi="Times New Roman" w:cs="Times New Roman"/>
          <w:color w:val="000000" w:themeColor="text1"/>
          <w:sz w:val="24"/>
          <w:szCs w:val="24"/>
        </w:rPr>
        <w:t>M</w:t>
      </w:r>
      <w:r w:rsidR="00C8672B" w:rsidRPr="00E311A4">
        <w:rPr>
          <w:rFonts w:ascii="Times New Roman" w:hAnsi="Times New Roman" w:cs="Times New Roman"/>
          <w:color w:val="000000" w:themeColor="text1"/>
          <w:sz w:val="24"/>
          <w:szCs w:val="24"/>
        </w:rPr>
        <w:t xml:space="preserve">alaria is a race against time due to the risk of losing </w:t>
      </w:r>
      <w:r w:rsidR="00765349" w:rsidRPr="00E311A4">
        <w:rPr>
          <w:rFonts w:ascii="Times New Roman" w:hAnsi="Times New Roman" w:cs="Times New Roman"/>
          <w:color w:val="000000" w:themeColor="text1"/>
          <w:sz w:val="24"/>
          <w:szCs w:val="24"/>
        </w:rPr>
        <w:t>its</w:t>
      </w:r>
      <w:r w:rsidR="00C8672B" w:rsidRPr="00E311A4">
        <w:rPr>
          <w:rFonts w:ascii="Times New Roman" w:hAnsi="Times New Roman" w:cs="Times New Roman"/>
          <w:color w:val="000000" w:themeColor="text1"/>
          <w:sz w:val="24"/>
          <w:szCs w:val="24"/>
        </w:rPr>
        <w:t xml:space="preserve"> effectiveness. </w:t>
      </w:r>
      <w:r w:rsidR="00A56B3B" w:rsidRPr="00E311A4">
        <w:rPr>
          <w:rFonts w:ascii="Times New Roman" w:hAnsi="Times New Roman" w:cs="Times New Roman"/>
          <w:color w:val="000000" w:themeColor="text1"/>
          <w:sz w:val="24"/>
          <w:szCs w:val="24"/>
        </w:rPr>
        <w:t>In 2013, artesunate-sulfadoxine-pyrimethamine (ASP) was replaced with artemether-lumefantrine (al) due to the discovery of highly resistant parasite isolates against sulfadoxine-pyrimethamine (SP) in India</w:t>
      </w:r>
      <w:r w:rsidR="004677AE">
        <w:rPr>
          <w:rFonts w:ascii="Times New Roman" w:hAnsi="Times New Roman" w:cs="Times New Roman"/>
          <w:color w:val="000000" w:themeColor="text1"/>
          <w:sz w:val="24"/>
          <w:szCs w:val="24"/>
        </w:rPr>
        <w:t xml:space="preserve"> </w:t>
      </w:r>
      <w:r w:rsidR="004677AE">
        <w:rPr>
          <w:rFonts w:ascii="Times New Roman" w:hAnsi="Times New Roman" w:cs="Times New Roman"/>
          <w:color w:val="000000" w:themeColor="text1"/>
          <w:sz w:val="24"/>
          <w:szCs w:val="24"/>
        </w:rPr>
        <w:fldChar w:fldCharType="begin" w:fldLock="1"/>
      </w:r>
      <w:r w:rsidR="004677AE">
        <w:rPr>
          <w:rFonts w:ascii="Times New Roman" w:hAnsi="Times New Roman" w:cs="Times New Roman"/>
          <w:color w:val="000000" w:themeColor="text1"/>
          <w:sz w:val="24"/>
          <w:szCs w:val="24"/>
        </w:rPr>
        <w:instrText>ADDIN CSL_CITATION {"citationItems":[{"id":"ITEM-1","itemData":{"DOI":"10.4269/ajtmh.17-0763","ISSN":"00029637","PMID":"29363453","abstract":"Antimalarial drug resistance has threatened global malaria control since chloroquine (CQ)-resistant Plasmodium falciparum emerged in Asia in the 1950s. Understanding the impacts of changing antimalarial drug policy on resistance is critical for resistance management. Plasmodium falciparum isolates were collected from 2003 to 2015 in western Kenya and analyzed for genetic markers associated with resistance to CQ (Pfcrt), sulfadoxine-pyrimethamine (SP) (Pfdhfr/Pfdhps), and artemether-lumefantrine (AL) (PfKelch13/Pfmdr1) antimalarials. In addition, household antimalarial drug use surveys were administered. Pfcrt 76T prevalence decreased from 76% to 6% from 2003 to 2015. Pfdhfr/ Pfdhps quintuple mutants decreased from 70% in 2003 to 14% in 2008, but increased to near fixation by 2015. SP “super resistant” alleles Pfdhps 581G and 613S/T were not detected in the 2015 samples that were assessed. The Pfmdr1 N86-184F-D1246 haplotype associated with decreased lumefantrine susceptibility increased significantly from 4% in 2005 to 51% in 2015. No PfKelch13 mutations that have been previously associated with artemisinin resistance were detected in the study populations. The increase in Pfdhfr/Pfdhps quintuple mutants that associates with SP resistance may have resulted from the increased usage of SP for intermittent preventative therapy in pregnancy (IPTp) and for malaria treatment in the community. Prevalent Pfdhfr/Pfdhps mutations call for careful monitoring of SP resistance and effectiveness of the current IPTp program in Kenya. In addition, the commonly occurring Pfmdr1 N86-184F-D1246 haplotype associated with increased lumefantrine tolerance calls for surveillance of AL efficacy in Kenya, as well as consideration for a rotating artemisinin-combination therapy regimen.","author":[{"dropping-particle":"","family":"Hemming-Schroeder","given":"Elizabeth","non-dropping-particle":"","parse-names":false,"suffix":""},{"dropping-particle":"","family":"Umukoro","given":"Emuejevuoke","non-dropping-particle":"","parse-names":false,"suffix":""},{"dropping-particle":"","family":"Lo","given":"Eugenia","non-dropping-particle":"","parse-names":false,"suffix":""},{"dropping-particle":"","family":"Fung","given":"Becky","non-dropping-particle":"","parse-names":false,"suffix":""},{"dropping-particle":"","family":"Tomás-Domingo","given":"Pedro","non-dropping-particle":"","parse-names":false,"suffix":""},{"dropping-particle":"","family":"Zhou","given":"Guofa","non-dropping-particle":"","parse-names":false,"suffix":""},{"dropping-particle":"","family":"Zhong","given":"Daibin","non-dropping-particle":"","parse-names":false,"suffix":""},{"dropping-particle":"","family":"Dixit","given":"Amruta","non-dropping-particle":"","parse-names":false,"suffix":""},{"dropping-particle":"","family":"Atieli","given":"Harrysone","non-dropping-particle":"","parse-names":false,"suffix":""},{"dropping-particle":"","family":"Githeko","given":"Andrew","non-dropping-particle":"","parse-names":false,"suffix":""},{"dropping-particle":"","family":"Vardo-Zalik","given":"Anne","non-dropping-particle":"","parse-names":false,"suffix":""},{"dropping-particle":"","family":"Yan","given":"Guiyun","non-dropping-particle":"","parse-names":false,"suffix":""}],"container-title":"American Journal of Tropical Medicine and Hygiene","id":"ITEM-1","issue":"3","issued":{"date-parts":[["2018"]]},"page":"692-699","title":"Impacts of antimalarial drugs on plasmodium falciparum drug resistance markers, Western Kenya, 2003-2015","type":"article-journal","volume":"98"},"uris":["http://www.mendeley.com/documents/?uuid=8abf436d-3849-49a6-a30f-a94b4899be5a"]}],"mendeley":{"formattedCitation":"(Hemming-Schroeder et al., 2018)","plainTextFormattedCitation":"(Hemming-Schroeder et al., 2018)"},"properties":{"noteIndex":0},"schema":"https://github.com/citation-style-language/schema/raw/master/csl-citation.json"}</w:instrText>
      </w:r>
      <w:r w:rsidR="004677AE">
        <w:rPr>
          <w:rFonts w:ascii="Times New Roman" w:hAnsi="Times New Roman" w:cs="Times New Roman"/>
          <w:color w:val="000000" w:themeColor="text1"/>
          <w:sz w:val="24"/>
          <w:szCs w:val="24"/>
        </w:rPr>
        <w:fldChar w:fldCharType="separate"/>
      </w:r>
      <w:r w:rsidR="004677AE" w:rsidRPr="004677AE">
        <w:rPr>
          <w:rFonts w:ascii="Times New Roman" w:hAnsi="Times New Roman" w:cs="Times New Roman"/>
          <w:noProof/>
          <w:color w:val="000000" w:themeColor="text1"/>
          <w:sz w:val="24"/>
          <w:szCs w:val="24"/>
        </w:rPr>
        <w:t>(Hemming-Schroeder et al., 2018)</w:t>
      </w:r>
      <w:r w:rsidR="004677AE">
        <w:rPr>
          <w:rFonts w:ascii="Times New Roman" w:hAnsi="Times New Roman" w:cs="Times New Roman"/>
          <w:color w:val="000000" w:themeColor="text1"/>
          <w:sz w:val="24"/>
          <w:szCs w:val="24"/>
        </w:rPr>
        <w:fldChar w:fldCharType="end"/>
      </w:r>
      <w:r w:rsidR="00A56B3B" w:rsidRPr="00E311A4">
        <w:rPr>
          <w:rFonts w:ascii="Times New Roman" w:hAnsi="Times New Roman" w:cs="Times New Roman"/>
          <w:color w:val="000000" w:themeColor="text1"/>
          <w:sz w:val="24"/>
          <w:szCs w:val="24"/>
        </w:rPr>
        <w:t xml:space="preserve">. </w:t>
      </w:r>
      <w:r w:rsidR="00BE7204" w:rsidRPr="00E311A4">
        <w:rPr>
          <w:rFonts w:ascii="Times New Roman" w:hAnsi="Times New Roman" w:cs="Times New Roman"/>
          <w:color w:val="000000" w:themeColor="text1"/>
          <w:sz w:val="24"/>
          <w:szCs w:val="24"/>
        </w:rPr>
        <w:t xml:space="preserve">Recent research has indicated that SP resistance may be increasing. </w:t>
      </w:r>
      <w:r w:rsidR="00F9662C">
        <w:rPr>
          <w:rFonts w:ascii="Times New Roman" w:hAnsi="Times New Roman" w:cs="Times New Roman"/>
          <w:color w:val="000000" w:themeColor="text1"/>
          <w:sz w:val="24"/>
          <w:szCs w:val="24"/>
        </w:rPr>
        <w:t>Except in India's north-eastern states, SP is the companion medicine in the widely used ACT AS-SP</w:t>
      </w:r>
      <w:r w:rsidR="00BE7204" w:rsidRPr="00E311A4">
        <w:rPr>
          <w:rFonts w:ascii="Times New Roman" w:hAnsi="Times New Roman" w:cs="Times New Roman"/>
          <w:color w:val="000000" w:themeColor="text1"/>
          <w:sz w:val="24"/>
          <w:szCs w:val="24"/>
        </w:rPr>
        <w:t xml:space="preserve">. As a result of the accumulation of resistance mutations, the durability of the </w:t>
      </w:r>
      <w:r w:rsidR="00BE7204" w:rsidRPr="007066FC">
        <w:rPr>
          <w:rFonts w:ascii="Times New Roman" w:hAnsi="Times New Roman" w:cs="Times New Roman"/>
          <w:color w:val="000000" w:themeColor="text1"/>
          <w:sz w:val="24"/>
          <w:szCs w:val="24"/>
        </w:rPr>
        <w:t>ACT AS-SP</w:t>
      </w:r>
      <w:r w:rsidR="00BE7204" w:rsidRPr="00E311A4">
        <w:rPr>
          <w:rFonts w:ascii="Times New Roman" w:hAnsi="Times New Roman" w:cs="Times New Roman"/>
          <w:color w:val="000000" w:themeColor="text1"/>
          <w:sz w:val="24"/>
          <w:szCs w:val="24"/>
        </w:rPr>
        <w:t xml:space="preserve"> in India is uncertain. </w:t>
      </w:r>
      <w:r w:rsidR="00E5642F" w:rsidRPr="00E311A4">
        <w:rPr>
          <w:rFonts w:ascii="Times New Roman" w:hAnsi="Times New Roman" w:cs="Times New Roman"/>
          <w:color w:val="000000" w:themeColor="text1"/>
          <w:sz w:val="24"/>
          <w:szCs w:val="24"/>
        </w:rPr>
        <w:t xml:space="preserve">The first report of </w:t>
      </w:r>
      <w:proofErr w:type="spellStart"/>
      <w:r w:rsidR="00E5642F" w:rsidRPr="00E311A4">
        <w:rPr>
          <w:rFonts w:ascii="Times New Roman" w:hAnsi="Times New Roman" w:cs="Times New Roman"/>
          <w:color w:val="000000" w:themeColor="text1"/>
          <w:sz w:val="24"/>
          <w:szCs w:val="24"/>
        </w:rPr>
        <w:t>chloroquine</w:t>
      </w:r>
      <w:proofErr w:type="spellEnd"/>
      <w:r w:rsidR="00E5642F" w:rsidRPr="00E311A4">
        <w:rPr>
          <w:rFonts w:ascii="Times New Roman" w:hAnsi="Times New Roman" w:cs="Times New Roman"/>
          <w:color w:val="000000" w:themeColor="text1"/>
          <w:sz w:val="24"/>
          <w:szCs w:val="24"/>
        </w:rPr>
        <w:t xml:space="preserve">-resistant </w:t>
      </w:r>
      <w:proofErr w:type="spellStart"/>
      <w:r w:rsidR="00E5642F" w:rsidRPr="00E311A4">
        <w:rPr>
          <w:rFonts w:ascii="Times New Roman" w:hAnsi="Times New Roman" w:cs="Times New Roman"/>
          <w:color w:val="000000" w:themeColor="text1"/>
          <w:sz w:val="24"/>
          <w:szCs w:val="24"/>
        </w:rPr>
        <w:t>Pv</w:t>
      </w:r>
      <w:proofErr w:type="spellEnd"/>
      <w:r w:rsidR="00E5642F" w:rsidRPr="00E311A4">
        <w:rPr>
          <w:rFonts w:ascii="Times New Roman" w:hAnsi="Times New Roman" w:cs="Times New Roman"/>
          <w:color w:val="000000" w:themeColor="text1"/>
          <w:sz w:val="24"/>
          <w:szCs w:val="24"/>
        </w:rPr>
        <w:t xml:space="preserve"> came from Papua New Guinea in 1989. In regions like Indonesia and Oceania, </w:t>
      </w:r>
      <w:r w:rsidR="00765349" w:rsidRPr="00E311A4">
        <w:rPr>
          <w:rFonts w:ascii="Times New Roman" w:hAnsi="Times New Roman" w:cs="Times New Roman"/>
          <w:color w:val="000000" w:themeColor="text1"/>
          <w:sz w:val="24"/>
          <w:szCs w:val="24"/>
        </w:rPr>
        <w:t>considered</w:t>
      </w:r>
      <w:r w:rsidR="00E5642F" w:rsidRPr="00E311A4">
        <w:rPr>
          <w:rFonts w:ascii="Times New Roman" w:hAnsi="Times New Roman" w:cs="Times New Roman"/>
          <w:color w:val="000000" w:themeColor="text1"/>
          <w:sz w:val="24"/>
          <w:szCs w:val="24"/>
        </w:rPr>
        <w:t xml:space="preserve"> the epicentres of chloroquine resistance, high-grade </w:t>
      </w:r>
      <w:proofErr w:type="spellStart"/>
      <w:r w:rsidR="00E5642F" w:rsidRPr="00E311A4">
        <w:rPr>
          <w:rFonts w:ascii="Times New Roman" w:hAnsi="Times New Roman" w:cs="Times New Roman"/>
          <w:color w:val="000000" w:themeColor="text1"/>
          <w:sz w:val="24"/>
          <w:szCs w:val="24"/>
        </w:rPr>
        <w:t>chloroquine</w:t>
      </w:r>
      <w:proofErr w:type="spellEnd"/>
      <w:r w:rsidR="00E5642F" w:rsidRPr="00E311A4">
        <w:rPr>
          <w:rFonts w:ascii="Times New Roman" w:hAnsi="Times New Roman" w:cs="Times New Roman"/>
          <w:color w:val="000000" w:themeColor="text1"/>
          <w:sz w:val="24"/>
          <w:szCs w:val="24"/>
        </w:rPr>
        <w:t xml:space="preserve">-resistant </w:t>
      </w:r>
      <w:proofErr w:type="spellStart"/>
      <w:r w:rsidR="00E5642F" w:rsidRPr="00E311A4">
        <w:rPr>
          <w:rFonts w:ascii="Times New Roman" w:hAnsi="Times New Roman" w:cs="Times New Roman"/>
          <w:color w:val="000000" w:themeColor="text1"/>
          <w:sz w:val="24"/>
          <w:szCs w:val="24"/>
        </w:rPr>
        <w:t>Pv</w:t>
      </w:r>
      <w:proofErr w:type="spellEnd"/>
      <w:r w:rsidR="00E5642F" w:rsidRPr="00E311A4">
        <w:rPr>
          <w:rFonts w:ascii="Times New Roman" w:hAnsi="Times New Roman" w:cs="Times New Roman"/>
          <w:color w:val="000000" w:themeColor="text1"/>
          <w:sz w:val="24"/>
          <w:szCs w:val="24"/>
        </w:rPr>
        <w:t xml:space="preserve"> is </w:t>
      </w:r>
      <w:r w:rsidR="00765349" w:rsidRPr="00E311A4">
        <w:rPr>
          <w:rFonts w:ascii="Times New Roman" w:hAnsi="Times New Roman" w:cs="Times New Roman"/>
          <w:color w:val="000000" w:themeColor="text1"/>
          <w:sz w:val="24"/>
          <w:szCs w:val="24"/>
        </w:rPr>
        <w:t>standard</w:t>
      </w:r>
      <w:r w:rsidR="00E5642F" w:rsidRPr="00E311A4">
        <w:rPr>
          <w:rFonts w:ascii="Times New Roman" w:hAnsi="Times New Roman" w:cs="Times New Roman"/>
          <w:color w:val="000000" w:themeColor="text1"/>
          <w:sz w:val="24"/>
          <w:szCs w:val="24"/>
        </w:rPr>
        <w:t xml:space="preserve">. </w:t>
      </w:r>
      <w:r w:rsidR="00765349" w:rsidRPr="00E311A4">
        <w:rPr>
          <w:rFonts w:ascii="Times New Roman" w:hAnsi="Times New Roman" w:cs="Times New Roman"/>
          <w:color w:val="000000" w:themeColor="text1"/>
          <w:sz w:val="24"/>
          <w:szCs w:val="24"/>
        </w:rPr>
        <w:t>Combining</w:t>
      </w:r>
      <w:r w:rsidR="00E5642F" w:rsidRPr="00E311A4">
        <w:rPr>
          <w:rFonts w:ascii="Times New Roman" w:hAnsi="Times New Roman" w:cs="Times New Roman"/>
          <w:color w:val="000000" w:themeColor="text1"/>
          <w:sz w:val="24"/>
          <w:szCs w:val="24"/>
        </w:rPr>
        <w:t xml:space="preserve"> chloroquine and primaquine can prevent acute sickness and hypnozoite relapses. Primaquine is effective against blood and liver stages</w:t>
      </w:r>
      <w:r w:rsidR="00765349" w:rsidRPr="00E311A4">
        <w:rPr>
          <w:rFonts w:ascii="Times New Roman" w:hAnsi="Times New Roman" w:cs="Times New Roman"/>
          <w:color w:val="000000" w:themeColor="text1"/>
          <w:sz w:val="24"/>
          <w:szCs w:val="24"/>
        </w:rPr>
        <w:t xml:space="preserve"> and</w:t>
      </w:r>
      <w:r w:rsidR="00E5642F" w:rsidRPr="00E311A4">
        <w:rPr>
          <w:rFonts w:ascii="Times New Roman" w:hAnsi="Times New Roman" w:cs="Times New Roman"/>
          <w:color w:val="000000" w:themeColor="text1"/>
          <w:sz w:val="24"/>
          <w:szCs w:val="24"/>
        </w:rPr>
        <w:t xml:space="preserve"> against strains resistant to chloroquine. Acute lung injury, pulmonary oedema, splenic rupture, acute renal failure, severe anaemia, severe thrombocytopenia, with or without bleeding from various parts of the body, severe hepatic dysfunction, and status epilepticus are all possible outcomes of severe </w:t>
      </w:r>
      <w:proofErr w:type="spellStart"/>
      <w:r w:rsidR="00E5642F" w:rsidRPr="00E311A4">
        <w:rPr>
          <w:rFonts w:ascii="Times New Roman" w:hAnsi="Times New Roman" w:cs="Times New Roman"/>
          <w:color w:val="000000" w:themeColor="text1"/>
          <w:sz w:val="24"/>
          <w:szCs w:val="24"/>
        </w:rPr>
        <w:t>Pv</w:t>
      </w:r>
      <w:proofErr w:type="spellEnd"/>
      <w:r w:rsidR="00E5642F" w:rsidRPr="00E311A4">
        <w:rPr>
          <w:rFonts w:ascii="Times New Roman" w:hAnsi="Times New Roman" w:cs="Times New Roman"/>
          <w:color w:val="000000" w:themeColor="text1"/>
          <w:sz w:val="24"/>
          <w:szCs w:val="24"/>
        </w:rPr>
        <w:t xml:space="preserve"> infections</w:t>
      </w:r>
      <w:r w:rsidR="004677AE">
        <w:rPr>
          <w:rFonts w:ascii="Times New Roman" w:hAnsi="Times New Roman" w:cs="Times New Roman"/>
          <w:color w:val="000000" w:themeColor="text1"/>
          <w:sz w:val="24"/>
          <w:szCs w:val="24"/>
        </w:rPr>
        <w:t xml:space="preserve"> </w:t>
      </w:r>
      <w:r w:rsidR="00722D93">
        <w:rPr>
          <w:rFonts w:ascii="Times New Roman" w:hAnsi="Times New Roman" w:cs="Times New Roman"/>
          <w:color w:val="000000" w:themeColor="text1"/>
          <w:sz w:val="24"/>
          <w:szCs w:val="24"/>
        </w:rPr>
        <w:fldChar w:fldCharType="begin" w:fldLock="1"/>
      </w:r>
      <w:r w:rsidR="004677AE">
        <w:rPr>
          <w:rFonts w:ascii="Times New Roman" w:hAnsi="Times New Roman" w:cs="Times New Roman"/>
          <w:color w:val="000000" w:themeColor="text1"/>
          <w:sz w:val="24"/>
          <w:szCs w:val="24"/>
        </w:rPr>
        <w:instrText>ADDIN CSL_CITATION {"citationItems":[{"id":"ITEM-1","itemData":{"DOI":"10.1021/acsinfecdis.1c00322","author":[{"dropping-particle":"","family":"Forte","given":"Barbara","non-dropping-particle":"","parse-names":false,"suffix":""},{"dropping-particle":"","family":"Ottilie","given":"Sabine","non-dropping-particle":"","parse-names":false,"suffix":""},{"dropping-particle":"","family":"Plater","given":"Andrew","non-dropping-particle":"","parse-names":false,"suffix":""},{"dropping-particle":"","family":"Campo","given":"Brice","non-dropping-particle":"","parse-names":false,"suffix":""},{"dropping-particle":"","family":"Dechering","given":"Koen J","non-dropping-particle":"","parse-names":false,"suffix":""},{"dropping-particle":"","family":"Gamo","given":"Francisco Javier","non-dropping-particle":"","parse-names":false,"suffix":""},{"dropping-particle":"","family":"Goldberg","given":"Daniel E","non-dropping-particle":"","parse-names":false,"suffix":""},{"dropping-particle":"","family":"Istvan","given":"Eva S","non-dropping-particle":"","parse-names":false,"suffix":""},{"dropping-particle":"","family":"Lee","given":"Marcus","non-dropping-particle":"","parse-names":false,"suffix":""},{"dropping-particle":"","family":"Lukens","given":"Amanda K","non-dropping-particle":"","parse-names":false,"suffix":""},{"dropping-particle":"","family":"Mcnamara","given":"Case W","non-dropping-particle":"","parse-names":false,"suffix":""},{"dropping-particle":"","family":"Niles","given":"Jacquin C","non-dropping-particle":"","parse-names":false,"suffix":""},{"dropping-particle":"","family":"Okombo","given":"John","non-dropping-particle":"","parse-names":false,"suffix":""},{"dropping-particle":"","family":"Pasaje","given":"Charisse Flerida A","non-dropping-particle":"","parse-names":false,"suffix":""},{"dropping-particle":"","family":"Siegel","given":"Miles G","non-dropping-particle":"","parse-names":false,"suffix":""},{"dropping-particle":"","family":"Wirth","given":"Dyann","non-dropping-particle":"","parse-names":false,"suffix":""},{"dropping-particle":"","family":"Wyllie","given":"Susan","non-dropping-particle":"","parse-names":false,"suffix":""},{"dropping-particle":"","family":"Fidock","given":"David A","non-dropping-particle":"","parse-names":false,"suffix":""},{"dropping-particle":"","family":"Baragan","given":"Beatriz","non-dropping-particle":"","parse-names":false,"suffix":""},{"dropping-particle":"","family":"Winzeler","given":"Elizabeth A","non-dropping-particle":"","parse-names":false,"suffix":""},{"dropping-particle":"","family":"Gilbert","given":"Ian H","non-dropping-particle":"","parse-names":false,"suffix":""}],"id":"ITEM-1","issued":{"date-parts":[["2021"]]},"title":"Prioritization of Molecular Targets for Antimalarial Drug Discovery","type":"article-journal"},"uris":["http://www.mendeley.com/documents/?uuid=9505f3c5-07f6-450c-acda-32f4c9f48cda"]}],"mendeley":{"formattedCitation":"(Forte et al., 2021)","plainTextFormattedCitation":"(Forte et al., 2021)","previouslyFormattedCitation":"(Forte et al., 2021)"},"properties":{"noteIndex":0},"schema":"https://github.com/citation-style-language/schema/raw/master/csl-citation.json"}</w:instrText>
      </w:r>
      <w:r w:rsidR="00722D93">
        <w:rPr>
          <w:rFonts w:ascii="Times New Roman" w:hAnsi="Times New Roman" w:cs="Times New Roman"/>
          <w:color w:val="000000" w:themeColor="text1"/>
          <w:sz w:val="24"/>
          <w:szCs w:val="24"/>
        </w:rPr>
        <w:fldChar w:fldCharType="separate"/>
      </w:r>
      <w:r w:rsidR="00722D93" w:rsidRPr="00722D93">
        <w:rPr>
          <w:rFonts w:ascii="Times New Roman" w:hAnsi="Times New Roman" w:cs="Times New Roman"/>
          <w:noProof/>
          <w:color w:val="000000" w:themeColor="text1"/>
          <w:sz w:val="24"/>
          <w:szCs w:val="24"/>
        </w:rPr>
        <w:t>(Forte et al., 2021)</w:t>
      </w:r>
      <w:r w:rsidR="00722D93">
        <w:rPr>
          <w:rFonts w:ascii="Times New Roman" w:hAnsi="Times New Roman" w:cs="Times New Roman"/>
          <w:color w:val="000000" w:themeColor="text1"/>
          <w:sz w:val="24"/>
          <w:szCs w:val="24"/>
        </w:rPr>
        <w:fldChar w:fldCharType="end"/>
      </w:r>
      <w:r w:rsidR="00E5642F" w:rsidRPr="00E311A4">
        <w:rPr>
          <w:rFonts w:ascii="Times New Roman" w:hAnsi="Times New Roman" w:cs="Times New Roman"/>
          <w:color w:val="000000" w:themeColor="text1"/>
          <w:sz w:val="24"/>
          <w:szCs w:val="24"/>
        </w:rPr>
        <w:t>.</w:t>
      </w:r>
    </w:p>
    <w:p w14:paraId="66521E97" w14:textId="77777777" w:rsidR="00144009" w:rsidRDefault="00144009" w:rsidP="00372EFD">
      <w:pPr>
        <w:pStyle w:val="ListParagraph"/>
        <w:spacing w:after="0" w:line="276" w:lineRule="auto"/>
        <w:jc w:val="both"/>
        <w:rPr>
          <w:rFonts w:ascii="Times New Roman" w:hAnsi="Times New Roman" w:cs="Times New Roman"/>
          <w:color w:val="000000" w:themeColor="text1"/>
          <w:sz w:val="24"/>
          <w:szCs w:val="24"/>
        </w:rPr>
      </w:pPr>
    </w:p>
    <w:tbl>
      <w:tblPr>
        <w:tblStyle w:val="TableGrid"/>
        <w:tblW w:w="9918" w:type="dxa"/>
        <w:tblLook w:val="04A0" w:firstRow="1" w:lastRow="0" w:firstColumn="1" w:lastColumn="0" w:noHBand="0" w:noVBand="1"/>
      </w:tblPr>
      <w:tblGrid>
        <w:gridCol w:w="1549"/>
        <w:gridCol w:w="1392"/>
        <w:gridCol w:w="2235"/>
        <w:gridCol w:w="1426"/>
        <w:gridCol w:w="1918"/>
        <w:gridCol w:w="1398"/>
      </w:tblGrid>
      <w:tr w:rsidR="00F15A58" w:rsidRPr="00144009" w14:paraId="43942629" w14:textId="77777777" w:rsidTr="00A46BDD">
        <w:tc>
          <w:tcPr>
            <w:tcW w:w="1549" w:type="dxa"/>
          </w:tcPr>
          <w:p w14:paraId="02A6E3D4"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Antimalarial drug</w:t>
            </w:r>
          </w:p>
        </w:tc>
        <w:tc>
          <w:tcPr>
            <w:tcW w:w="1392" w:type="dxa"/>
          </w:tcPr>
          <w:p w14:paraId="577EE5AD"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Protozoa</w:t>
            </w:r>
          </w:p>
        </w:tc>
        <w:tc>
          <w:tcPr>
            <w:tcW w:w="2235" w:type="dxa"/>
          </w:tcPr>
          <w:p w14:paraId="3A3DF764"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Mechanism</w:t>
            </w:r>
          </w:p>
        </w:tc>
        <w:tc>
          <w:tcPr>
            <w:tcW w:w="1426" w:type="dxa"/>
          </w:tcPr>
          <w:p w14:paraId="76488420"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Site of action</w:t>
            </w:r>
          </w:p>
        </w:tc>
        <w:tc>
          <w:tcPr>
            <w:tcW w:w="1918" w:type="dxa"/>
          </w:tcPr>
          <w:p w14:paraId="5701C6CB"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Mechanism of resistance</w:t>
            </w:r>
          </w:p>
        </w:tc>
        <w:tc>
          <w:tcPr>
            <w:tcW w:w="1398" w:type="dxa"/>
          </w:tcPr>
          <w:p w14:paraId="7A344DA8"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Citation</w:t>
            </w:r>
          </w:p>
        </w:tc>
      </w:tr>
      <w:tr w:rsidR="00F15A58" w:rsidRPr="00144009" w14:paraId="75CAD3BB" w14:textId="77777777" w:rsidTr="00A46BDD">
        <w:tc>
          <w:tcPr>
            <w:tcW w:w="1549" w:type="dxa"/>
          </w:tcPr>
          <w:p w14:paraId="2588BDC0"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Chloroquine,</w:t>
            </w:r>
          </w:p>
          <w:p w14:paraId="09E433D6"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Amodiaquine,</w:t>
            </w:r>
          </w:p>
          <w:p w14:paraId="12A55E5B"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Piperaquine,</w:t>
            </w:r>
          </w:p>
          <w:p w14:paraId="6D2172B7"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Mefloquine, quinine, quinidine</w:t>
            </w:r>
          </w:p>
        </w:tc>
        <w:tc>
          <w:tcPr>
            <w:tcW w:w="1392" w:type="dxa"/>
          </w:tcPr>
          <w:p w14:paraId="373AD662"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Plasmodium spp.</w:t>
            </w:r>
          </w:p>
        </w:tc>
        <w:tc>
          <w:tcPr>
            <w:tcW w:w="2235" w:type="dxa"/>
          </w:tcPr>
          <w:p w14:paraId="673F49D6" w14:textId="711EC569" w:rsidR="00144009" w:rsidRPr="00144009" w:rsidRDefault="00144009" w:rsidP="00372EFD">
            <w:pPr>
              <w:rPr>
                <w:rFonts w:ascii="Times New Roman" w:hAnsi="Times New Roman" w:cs="Times New Roman"/>
              </w:rPr>
            </w:pPr>
            <w:r w:rsidRPr="00144009">
              <w:rPr>
                <w:rFonts w:ascii="Times New Roman" w:hAnsi="Times New Roman" w:cs="Times New Roman"/>
              </w:rPr>
              <w:t xml:space="preserve">It accumulates in the digestive vacuoles of the parasite and inhibits the polymerization of toxic </w:t>
            </w:r>
            <w:proofErr w:type="spellStart"/>
            <w:r w:rsidRPr="00144009">
              <w:rPr>
                <w:rFonts w:ascii="Times New Roman" w:hAnsi="Times New Roman" w:cs="Times New Roman"/>
              </w:rPr>
              <w:t>heme</w:t>
            </w:r>
            <w:proofErr w:type="spellEnd"/>
            <w:r w:rsidRPr="00144009">
              <w:rPr>
                <w:rFonts w:ascii="Times New Roman" w:hAnsi="Times New Roman" w:cs="Times New Roman"/>
              </w:rPr>
              <w:t xml:space="preserve"> molecules in the infected blood cells from the haemoglobin breakdown</w:t>
            </w:r>
            <w:r w:rsidR="004F7E79">
              <w:rPr>
                <w:rFonts w:ascii="Times New Roman" w:hAnsi="Times New Roman" w:cs="Times New Roman"/>
              </w:rPr>
              <w:t>;</w:t>
            </w:r>
            <w:r w:rsidRPr="00144009">
              <w:rPr>
                <w:rFonts w:ascii="Times New Roman" w:hAnsi="Times New Roman" w:cs="Times New Roman"/>
              </w:rPr>
              <w:t xml:space="preserve"> the accumulation of th</w:t>
            </w:r>
            <w:r w:rsidR="004F7E79">
              <w:rPr>
                <w:rFonts w:ascii="Times New Roman" w:hAnsi="Times New Roman" w:cs="Times New Roman"/>
              </w:rPr>
              <w:t>is</w:t>
            </w:r>
            <w:r w:rsidRPr="00144009">
              <w:rPr>
                <w:rFonts w:ascii="Times New Roman" w:hAnsi="Times New Roman" w:cs="Times New Roman"/>
              </w:rPr>
              <w:t xml:space="preserve"> </w:t>
            </w:r>
            <w:proofErr w:type="spellStart"/>
            <w:r w:rsidRPr="00144009">
              <w:rPr>
                <w:rFonts w:ascii="Times New Roman" w:hAnsi="Times New Roman" w:cs="Times New Roman"/>
              </w:rPr>
              <w:t>heme</w:t>
            </w:r>
            <w:proofErr w:type="spellEnd"/>
            <w:r w:rsidRPr="00144009">
              <w:rPr>
                <w:rFonts w:ascii="Times New Roman" w:hAnsi="Times New Roman" w:cs="Times New Roman"/>
              </w:rPr>
              <w:t xml:space="preserve"> molecule causes damage to the parasite and lead</w:t>
            </w:r>
            <w:r w:rsidR="004F7E79">
              <w:rPr>
                <w:rFonts w:ascii="Times New Roman" w:hAnsi="Times New Roman" w:cs="Times New Roman"/>
              </w:rPr>
              <w:t>s</w:t>
            </w:r>
            <w:r w:rsidRPr="00144009">
              <w:rPr>
                <w:rFonts w:ascii="Times New Roman" w:hAnsi="Times New Roman" w:cs="Times New Roman"/>
              </w:rPr>
              <w:t xml:space="preserve"> to its death. </w:t>
            </w:r>
          </w:p>
        </w:tc>
        <w:tc>
          <w:tcPr>
            <w:tcW w:w="1426" w:type="dxa"/>
          </w:tcPr>
          <w:p w14:paraId="02008797"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Digestive vacuoles</w:t>
            </w:r>
          </w:p>
        </w:tc>
        <w:tc>
          <w:tcPr>
            <w:tcW w:w="1918" w:type="dxa"/>
          </w:tcPr>
          <w:p w14:paraId="695E4E18"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Mutations in the gene encoding the P. Falciparum chloroquine resistance transporter (</w:t>
            </w:r>
            <w:proofErr w:type="spellStart"/>
            <w:r w:rsidRPr="00144009">
              <w:rPr>
                <w:rFonts w:ascii="Times New Roman" w:hAnsi="Times New Roman" w:cs="Times New Roman"/>
              </w:rPr>
              <w:t>pfcrt</w:t>
            </w:r>
            <w:proofErr w:type="spellEnd"/>
            <w:r w:rsidRPr="00144009">
              <w:rPr>
                <w:rFonts w:ascii="Times New Roman" w:hAnsi="Times New Roman" w:cs="Times New Roman"/>
              </w:rPr>
              <w:t>).</w:t>
            </w:r>
          </w:p>
          <w:p w14:paraId="61E6EF4C"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Mutations in other genes, such as the multidrug resistance gene 1 (mdr1)</w:t>
            </w:r>
          </w:p>
          <w:p w14:paraId="73771BC2" w14:textId="77777777" w:rsidR="00144009" w:rsidRPr="00144009" w:rsidRDefault="00144009" w:rsidP="00372EFD">
            <w:pPr>
              <w:rPr>
                <w:rFonts w:ascii="Times New Roman" w:hAnsi="Times New Roman" w:cs="Times New Roman"/>
              </w:rPr>
            </w:pPr>
          </w:p>
        </w:tc>
        <w:tc>
          <w:tcPr>
            <w:tcW w:w="1398" w:type="dxa"/>
          </w:tcPr>
          <w:p w14:paraId="3B70E9EC" w14:textId="6C639C9E" w:rsidR="00144009" w:rsidRPr="00144009" w:rsidRDefault="00081951" w:rsidP="00372EFD">
            <w:pP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{"citationItems":[{"id":"ITEM-1","itemData":{"DOI":"10.3390/molecules25010066","ISSN":"14203049","PMID":"31878190","abstract":"Cinnamic acids are compounds of natural origin that can be found in many different parts of a wide panoply of plants, where they play the most diverse biological roles, often in a conjugated form. For a long time, this has been driving Medicinal Chemists towards the investigation of the therapeutic potential of natural, semi-synthetic, or fully synthetic cinnamic acid conjugates. These efforts have been steadily disclosing promising drug leads, but a wide chemical space remains that deserves to be further explored. Amongst different reported approaches, the combination or conjugation of cinnamic acids with known drugs has been addressed in an attempt to produce either synergistic or multi-target action. In this connection, the present review will focus on efforts of the past decade regarding conjugation with cinnamic acids as a tool for the rescuing or the repurposing of classical antimalarial drugs, and also on future perspectives in this particular field of research.","author":[{"dropping-particle":"","family":"Silva","given":"Ana Teresa","non-dropping-particle":"","parse-names":false,"suffix":""},{"dropping-particle":"","family":"Bento","given":"Clara M.","non-dropping-particle":"","parse-names":false,"suffix":""},{"dropping-particle":"","family":"Pena","given":"Ana C.","non-dropping-particle":"","parse-names":false,"suffix":""},{"dropping-particle":"","family":"Figueiredo","given":"Luísa M.","non-dropping-particle":"","parse-names":false,"suffix":""},{"dropping-particle":"","family":"Prudêncio","given":"Cristina","non-dropping-particle":"","parse-names":false,"suffix":""},{"dropping-particle":"","family":"Aguiar","given":"Luísa","non-dropping-particle":"","parse-names":false,"suffix":""},{"dropping-particle":"","family":"Silva","given":"Tânia","non-dropping-particle":"","parse-names":false,"suffix":""},{"dropping-particle":"","family":"Ferraz","given":"Ricardo","non-dropping-particle":"","parse-names":false,"suffix":""},{"dropping-particle":"","family":"Gomes","given":"Maria Salomé","non-dropping-particle":"","parse-names":false,"suffix":""},{"dropping-particle":"","family":"Teixeira","given":"Cátia","non-dropping-particle":"","parse-names":false,"suffix":""},{"dropping-particle":"","family":"Gomes","given":"Paula","non-dropping-particle":"","parse-names":false,"suffix":""}],"container-title":"Molecules","id":"ITEM-1","issue":"1","issued":{"date-parts":[["2020"]]},"page":"1-15","title":"Cinnamic acid conjugates in the rescuing and repurposing of classical antimalarial drugs","type":"article-journal","volume":"25"},"uris":["http://www.mendeley.com/documents/?uuid=62a6e13a-044b-44f3-b31e-2d90767548da"]}],"mendeley":{"formattedCitation":"(Silva et al., 2020)","plainTextFormattedCitation":"(Silva et al., 2020)","previouslyFormattedCitation":"(Silva et al., 2020)"},"properties":{"noteIndex":0},"schema":"https://github.com/citation-style-language/schema/raw/master/csl-citation.json"}</w:instrText>
            </w:r>
            <w:r>
              <w:rPr>
                <w:rFonts w:ascii="Times New Roman" w:hAnsi="Times New Roman" w:cs="Times New Roman"/>
              </w:rPr>
              <w:fldChar w:fldCharType="separate"/>
            </w:r>
            <w:r w:rsidRPr="00081951">
              <w:rPr>
                <w:rFonts w:ascii="Times New Roman" w:hAnsi="Times New Roman" w:cs="Times New Roman"/>
                <w:noProof/>
              </w:rPr>
              <w:t>(Silva et al., 2020)</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{"citationItems":[{"id":"ITEM-1","itemData":{"DOI":"10.1371/journal.pntd.0008255","ISBN":"1111111111","ISSN":"19352735","PMID":"32530913","abstract":"Background Vivax malaria is an important public health problem in the Greater Mekong Subregion (GMS), including the China-Myanmar border. Previous studies have found that Plasmodium vivax has decreased sensitivity to antimalarial drugs in some areas of the GMS, but the sensitivity of P. vivax to antimalarial drugs is unclear in the China-Myanmar border. Here, we investigate the drug sensitivity profile and genetic variations for two drug resistance related genes in P. vivax isolates to provide baseline information for future drug studies in the China-Myanmar border. Methodology/Principal findings A total of 64 P. vivax clinical isolates collected from the China-Myanmar border area were assessed for ex vivo susceptibility to eight antimalarial drugs by the schizont maturation assay. The medians of IC50 (half-maximum inhibitory concentrations) for chloroquine, mef-loquine, pyronaridine, piperaquine, quinine, artesunate, artemether, dihydroartemisinin were 84.2 nM, 34.9 nM, 4.0 nM, 22.3 nM, 41.4 nM, 2.8 nM, 2.1 nM and 2.0 nM, respectively. Twelve P. vivax clinical isolates were found over the cut-off IC50 value (220 nM) for chloro-quine resistance. In addition, sequence polymorphisms in pvmdr1 (P. vivax multidrug resistance-1), pvcrt-o (P. vivax chloroquine resistance transporter-o), and difference in pvmdr1 copy number were studied. Sequencing of the pvmdr1 gene in 52 samples identified 12 amino acid substitutions, among which two (G698S and T958M) were fixed, M908L were present in 98.1% of the isolates, while Y976F and F1076L were present in 3.8% and 78.8% of the isolates, respectively. Amplification of the pvmdr1 gene was only detected in 4.8% of the samples. Sequencing of the pvcrt-o in 59 parasite isolates identified a single lysine inser-tion at position 10 in 32.2% of the isolates. The pvmdr1 M908L substitutions in pvmdr1 in our samples was associated with reduced sensitivity to chloroquine, mefloquine, pyronari-dine, piperaquine, quinine, artesunate and dihydroartemisinin. Conclusions Our findings depict a drug sensitivity profile and genetic variations of the P. vivax isolates from the China-Myanmar border area, and suggest possible emergence of chloroquine resistant P. vivax isolates in the region, which demands further efforts for resistance monitoring and mechanism studies.","author":[{"dropping-particle":"","family":"Li","given":"Jiangyan","non-dropping-particle":"","parse-names":false,"suffix":""},{"dropping-particle":"","family":"Zhang","given":"Jie","non-dropping-particle":"","parse-names":false,"suffix":""},{"dropping-particle":"","family":"Li","given":"Qian","non-dropping-particle":"","parse-names":false,"suffix":""},{"dropping-particle":"","family":"Hu","given":"Yue","non-dropping-particle":"","parse-names":false,"suffix":""},{"dropping-particle":"","family":"Ruan","given":"Yonghua","non-dropping-particle":"","parse-names":false,"suffix":""},{"dropping-particle":"","family":"Tao","given":"Zhiyong","non-dropping-particle":"","parse-names":false,"suffix":""},{"dropping-particle":"","family":"Xia","given":"Hui","non-dropping-particle":"","parse-names":false,"suffix":""},{"dropping-particle":"","family":"Qiao","given":"Jichen","non-dropping-particle":"","parse-names":false,"suffix":""},{"dropping-particle":"","family":"Meng","given":"Lingwen","non-dropping-particle":"","parse-names":false,"suffix":""},{"dropping-particle":"","family":"Zeng","given":"Weilin","non-dropping-particle":"","parse-names":false,"suffix":""},{"dropping-particle":"","family":"Li","given":"Cuiying","non-dropping-particle":"","parse-names":false,"suffix":""},{"dropping-particle":"","family":"He","given":"Xi","non-dropping-particle":"","parse-names":false,"suffix":""},{"dropping-particle":"","family":"Zhao","given":"Luyi","non-dropping-particle":"","parse-names":false,"suffix":""},{"dropping-particle":"","family":"Siddiqui","given":"Faiza A.","non-dropping-particle":"","parse-names":false,"suffix":""},{"dropping-particle":"","family":"Miao","given":"Jun","non-dropping-particle":"","parse-names":false,"suffix":""},{"dropping-particle":"","family":"Yang","given":"Zhaoqing","non-dropping-particle":"","parse-names":false,"suffix":""},{"dropping-particle":"","family":"Fang","given":"Qiang","non-dropping-particle":"","parse-names":false,"suffix":""},{"dropping-particle":"","family":"Cui","given":"Liwang","non-dropping-particle":"","parse-names":false,"suffix":""}],"container-title":"PLoS Neglected Tropical Diseases","id":"ITEM-1","issue":"6","issued":{"date-parts":[["2020"]]},"page":"1-17","title":"Ex vivo susceptibilities of plasmodium vivax isolates from the China-Myanmar border to antimalarial drugs and association with polymorphisms in PVMDR1 and PVCRT-O genes","type":"article-journal","volume":"14"},"uris":["http://www.mendeley.com/documents/?uuid=b03a08d6-cef4-4df3-96d6-5cc41cec122d"]}],"mendeley":{"formattedCitation":"(Li et al., 2020)","plainTextFormattedCitation":"(Li et al., 2020)","previouslyFormattedCitation":"(Li et al., 2020)"},"properties":{"noteIndex":0},"schema":"https://github.com/citation-style-language/schema/raw/master/csl-citation.json"}</w:instrText>
            </w:r>
            <w:r>
              <w:rPr>
                <w:rFonts w:ascii="Times New Roman" w:hAnsi="Times New Roman" w:cs="Times New Roman"/>
              </w:rPr>
              <w:fldChar w:fldCharType="separate"/>
            </w:r>
            <w:r w:rsidRPr="00081951">
              <w:rPr>
                <w:rFonts w:ascii="Times New Roman" w:hAnsi="Times New Roman" w:cs="Times New Roman"/>
                <w:noProof/>
              </w:rPr>
              <w:t>(Li et al., 2020)</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ldLock="1"/>
            </w:r>
            <w:r w:rsidR="00BC09DE">
              <w:rPr>
                <w:rFonts w:ascii="Times New Roman" w:hAnsi="Times New Roman" w:cs="Times New Roman"/>
              </w:rPr>
              <w:instrText>ADDIN CSL_CITATION {"citationItems":[{"id":"ITEM-1","itemData":{"DOI":"10.1016/S1473-3099(20)30228-0","ISSN":"14744457","PMID":"32679084","abstract":"Background: The Greater Mekong subregion is a recurrent source of antimalarial drug resistance in Plasmodium falciparum malaria. This study aimed to characterise the extent and spread of resistance across this entire region between 2007 and 2018. Methods: P falciparum isolates from Myanmar, Thailand, Laos, and Cambodia were obtained from clinical trials and epidemiological studies done between Jan 1, 2007, and Dec 31, 2018, and were genotyped for molecular markers (pfkelch, pfcrt, pfplasmepsin2, and pfmdr1) of antimalarial drug resistance. Genetic relatedness was assessed using microsatellite and single nucleotide polymorphism typing of flanking sequences around target genes. Findings: 10 632 isolates were genotyped. A single long pfkelch Cys580Tyr haplotype (from −50 kb to +31·5 kb) conferring artemisinin resistance (PfPailin) now dominates across the eastern Greater Mekong subregion. Piperaquine resistance associated with pfplasmepsin2 gene amplification and mutations in pfcrt downstream of the Lys76Thr chloroquine resistance locus has also developed. On the Thailand–Myanmar border a different pfkelch Cys580Tyr lineage rose to high frequencies before it was eliminated. Elsewhere in Myanmar the Cys580Tyr allele remains widespread at low allele frequencies. Meanwhile a single artemisinin-resistant pfkelch Phe446Ile haplotype has spread across Myanmar. Despite intense use of dihydroartemisinin–piperaquine in Kayin state, eastern Myanmar, both in treatment and mass drug administrations, no selection of piperaquine resistance markers was observed. pfmdr1 amplification, a marker of resistance to mefloquine, remains at low prevalence across the entire region. Interpretation: Artemisinin resistance in P falciparum is now prevalent across the Greater Mekong subregion. In the eastern Greater Mekong subregion a multidrug resistant P falciparum lineage (PfPailin) dominates. In Myanmar a long pfkelch Phe446Ile haplotype has spread widely but, by contrast with the eastern Greater Mekong subregion, there is no indication of artemisinin combination therapy (ACT) partner drug resistance from genotyping known markers, and no evidence of spread of ACT resistant P falciparum from the east to the west. There is still a window of opportunity to prevent global spread of ACT resistance. Funding: Thailand Science Research and Innovation, Initiative 5%, Expertise France, Wellcome Trust.","author":[{"dropping-particle":"","family":"Imwong","given":"Mallika","non-dropping-particle":"","parse-names":false,"suffix":""},{"dropping-particle":"","family":"Dhorda","given":"Mehul","non-dropping-particle":"","parse-names":false,"suffix":""},{"dropping-particle":"","family":"Myo Tun","given":"Kyaw","non-dropping-particle":"","parse-names":false,"suffix":""},{"dropping-particle":"","family":"Thu","given":"Aung Myint","non-dropping-particle":"","parse-names":false,"suffix":""},{"dropping-particle":"","family":"Phyo","given":"Aung Pyae","non-dropping-particle":"","parse-names":false,"suffix":""},{"dropping-particle":"","family":"Proux","given":"Stephane","non-dropping-particle":"","parse-names":false,"suffix":""},{"dropping-particle":"","family":"Suwannasin","given":"Kanokon","non-dropping-particle":"","parse-names":false,"suffix":""},{"dropping-particle":"","family":"Kunasol","given":"Chanon","non-dropping-particle":"","parse-names":false,"suffix":""},{"dropping-particle":"","family":"Srisutham","given":"Suttipat","non-dropping-particle":"","parse-names":false,"suffix":""},{"dropping-particle":"","family":"Duanguppama","given":"Jureeporn","non-dropping-particle":"","parse-names":false,"suffix":""},{"dropping-particle":"","family":"Vongpromek","given":"Ranitha","non-dropping-particle":"","parse-names":false,"suffix":""},{"dropping-particle":"","family":"Promnarate","given":"Cholrawee","non-dropping-particle":"","parse-names":false,"suffix":""},{"dropping-particle":"","family":"Saejeng","given":"Aungkana","non-dropping-particle":"","parse-names":false,"suffix":""},{"dropping-particle":"","family":"Khantikul","given":"Nardlada","non-dropping-particle":"","parse-names":false,"suffix":""},{"dropping-particle":"","family":"Sugaram","given":"Rungniran","non-dropping-particle":"","parse-names":false,"suffix":""},{"dropping-particle":"","family":"Thanapongpichat","given":"Supinya","non-dropping-particle":"","parse-names":false,"suffix":""},{"dropping-particle":"","family":"Sawangjaroen","given":"Nongyao","non-dropping-particle":"","parse-names":false,"suffix":""},{"dropping-particle":"","family":"Sutawong","given":"Kreepol","non-dropping-particle":"","parse-names":false,"suffix":""},{"dropping-particle":"","family":"Han","given":"Kay Thwe","non-dropping-particle":"","parse-names":false,"suffix":""},{"dropping-particle":"","family":"Htut","given":"Ye","non-dropping-particle":"","parse-names":false,"suffix":""},{"dropping-particle":"","family":"Linn","given":"Khin","non-dropping-particle":"","parse-names":false,"suffix":""},{"dropping-particle":"","family":"Win","given":"Aye Aye","non-dropping-particle":"","parse-names":false,"suffix":""},{"dropping-particle":"","family":"Hlaing","given":"Tin M.","non-dropping-particle":"","parse-names":false,"suffix":""},{"dropping-particle":"","family":"Pluijm","given":"Rob W.","non-dropping-particle":"van der","parse-names":false,"suffix":""},{"dropping-particle":"","family":"Mayxay","given":"Mayfong","non-dropping-particle":"","parse-names":false,"suffix":""},{"dropping-particle":"","family":"Pongvongsa","given":"Tiengkham","non-dropping-particle":"","parse-names":false,"suffix":""},{"dropping-particle":"","family":"Phommasone","given":"Koukeo","non-dropping-particle":"","parse-names":false,"suffix":""},{"dropping-particle":"","family":"Tripura","given":"Rupam","non-dropping-particle":"","parse-names":false,"suffix":""},{"dropping-particle":"","family":"Peto","given":"Thomas J.","non-dropping-particle":"","parse-names":false,"suffix":""},{"dropping-particle":"","family":"Seidlein","given":"Lorenz","non-dropping-particle":"von","parse-names":false,"suffix":""},{"dropping-particle":"","family":"Nguon","given":"Chea","non-dropping-particle":"","parse-names":false,"suffix":""},{"dropping-particle":"","family":"Lek","given":"Dysoley","non-dropping-particle":"","parse-names":false,"suffix":""},{"dropping-particle":"","family":"Chan","given":"Xin Hui S.","non-dropping-particle":"","parse-names":false,"suffix":""},{"dropping-particle":"","family":"Rekol","given":"Huy","non-dropping-particle":"","parse-names":false,"suffix":""},{"dropping-particle":"","family":"Leang","given":"Rithea","non-dropping-particle":"","parse-names":false,"suffix":""},{"dropping-particle":"","family":"Huch","given":"Cheah","non-dropping-particle":"","parse-names":false,"suffix":""},{"dropping-particle":"","family":"Kwiatkowski","given":"Dominic P.","non-dropping-particle":"","parse-names":false,"suffix":""},{"dropping-particle":"","family":"Miotto","given":"Olivo","non-dropping-particle":"","parse-names":false,"suffix":""},{"dropping-particle":"","family":"Ashley","given":"Elizabeth A.","non-dropping-particle":"","parse-names":false,"suffix":""},{"dropping-particle":"","family":"Kyaw","given":"Myat Phone","non-dropping-particle":"","parse-names":false,"suffix":""},{"dropping-particle":"","family":"Pukrittayakamee","given":"Sasithon","non-dropping-particle":"","parse-names":false,"suffix":""},{"dropping-particle":"","family":"Day","given":"Nicholas P.J.","non-dropping-particle":"","parse-names":false,"suffix":""},{"dropping-particle":"","family":"Dondorp","given":"Arjen M.","non-dropping-particle":"","parse-names":false,"suffix":""},{"dropping-particle":"","family":"Smithuis","given":"Frank M.","non-dropping-particle":"","parse-names":false,"suffix":""},{"dropping-particle":"","family":"Nosten","given":"Francois H.","non-dropping-particle":"","parse-names":false,"suffix":""},{"dropping-particle":"","family":"White","given":"Nicholas J.","non-dropping-particle":"","parse-names":false,"suffix":""}],"container-title":"The Lancet Infectious Diseases","id":"ITEM-1","issue":"12","issued":{"date-parts":[["2020"]]},"page":"1470-1480","publisher":"The Author(s). Published by Elsevier Ltd. This is an Open Access article under the CC BY 4.0 license","title":"Molecular epidemiology of resistance to antimalarial drugs in the Greater Mekong subregion: an observational study","type":"article-journal","volume":"20"},"uris":["http://www.mendeley.com/documents/?uuid=a4233ac9-170e-4dbb-a772-e9645379a911"]}],"mendeley":{"formattedCitation":"(Imwong et al., 2020)","plainTextFormattedCitation":"(Imwong et al., 2020)","previouslyFormattedCitation":"(Imwong et al., 2020)"},"properties":{"noteIndex":0},"schema":"https://github.com/citation-style-language/schema/raw/master/csl-citation.json"}</w:instrText>
            </w:r>
            <w:r>
              <w:rPr>
                <w:rFonts w:ascii="Times New Roman" w:hAnsi="Times New Roman" w:cs="Times New Roman"/>
              </w:rPr>
              <w:fldChar w:fldCharType="separate"/>
            </w:r>
            <w:r w:rsidRPr="00081951">
              <w:rPr>
                <w:rFonts w:ascii="Times New Roman" w:hAnsi="Times New Roman" w:cs="Times New Roman"/>
                <w:noProof/>
              </w:rPr>
              <w:t>(Imwong et al., 2020)</w:t>
            </w:r>
            <w:r>
              <w:rPr>
                <w:rFonts w:ascii="Times New Roman" w:hAnsi="Times New Roman" w:cs="Times New Roman"/>
              </w:rPr>
              <w:fldChar w:fldCharType="end"/>
            </w:r>
            <w:r>
              <w:rPr>
                <w:rFonts w:ascii="Times New Roman" w:hAnsi="Times New Roman" w:cs="Times New Roman"/>
              </w:rPr>
              <w:t>.</w:t>
            </w:r>
          </w:p>
        </w:tc>
      </w:tr>
      <w:tr w:rsidR="00F15A58" w:rsidRPr="00144009" w14:paraId="4A51399C" w14:textId="77777777" w:rsidTr="00A46BDD">
        <w:tc>
          <w:tcPr>
            <w:tcW w:w="1549" w:type="dxa"/>
          </w:tcPr>
          <w:p w14:paraId="01299457"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 xml:space="preserve">Proguanil, pyrimethamine </w:t>
            </w:r>
          </w:p>
        </w:tc>
        <w:tc>
          <w:tcPr>
            <w:tcW w:w="1392" w:type="dxa"/>
          </w:tcPr>
          <w:p w14:paraId="332C7432"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Plasmodium spp.</w:t>
            </w:r>
          </w:p>
        </w:tc>
        <w:tc>
          <w:tcPr>
            <w:tcW w:w="2235" w:type="dxa"/>
          </w:tcPr>
          <w:p w14:paraId="4B726A8C" w14:textId="37FB8FE5" w:rsidR="00144009" w:rsidRPr="00144009" w:rsidRDefault="00144009" w:rsidP="00372EFD">
            <w:pPr>
              <w:rPr>
                <w:rFonts w:ascii="Times New Roman" w:hAnsi="Times New Roman" w:cs="Times New Roman"/>
              </w:rPr>
            </w:pPr>
            <w:r w:rsidRPr="00144009">
              <w:rPr>
                <w:rFonts w:ascii="Times New Roman" w:hAnsi="Times New Roman" w:cs="Times New Roman"/>
              </w:rPr>
              <w:t>The metabolite cycloguanil inhibits the enzyme dihydrofolate reductase</w:t>
            </w:r>
            <w:r w:rsidR="004F7E79">
              <w:rPr>
                <w:rFonts w:ascii="Times New Roman" w:hAnsi="Times New Roman" w:cs="Times New Roman"/>
              </w:rPr>
              <w:t>,</w:t>
            </w:r>
            <w:r w:rsidRPr="00144009">
              <w:rPr>
                <w:rFonts w:ascii="Times New Roman" w:hAnsi="Times New Roman" w:cs="Times New Roman"/>
              </w:rPr>
              <w:t xml:space="preserve"> disrupting the parasite’s ability to replicate and survive.</w:t>
            </w:r>
          </w:p>
        </w:tc>
        <w:tc>
          <w:tcPr>
            <w:tcW w:w="1426" w:type="dxa"/>
          </w:tcPr>
          <w:p w14:paraId="7F6E4DAA"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Cytosol</w:t>
            </w:r>
          </w:p>
        </w:tc>
        <w:tc>
          <w:tcPr>
            <w:tcW w:w="1918" w:type="dxa"/>
          </w:tcPr>
          <w:p w14:paraId="45A68252"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Genetic mutation in the parasite’s dihydrofolate reductase enzyme.</w:t>
            </w:r>
          </w:p>
        </w:tc>
        <w:tc>
          <w:tcPr>
            <w:tcW w:w="1398" w:type="dxa"/>
          </w:tcPr>
          <w:p w14:paraId="1FE25E88" w14:textId="7E4F1B2A" w:rsidR="00144009" w:rsidRPr="00144009" w:rsidRDefault="00081951" w:rsidP="00372EFD">
            <w:pP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{"citationItems":[{"id":"ITEM-1","itemData":{"DOI":"10.4269/ajtmh.17-0763","ISSN":"00029637","PMID":"29363453","abstract":"Antimalarial drug resistance has threatened global malaria control since chloroquine (CQ)-resistant Plasmodium falciparum emerged in Asia in the 1950s. Understanding the impacts of changing antimalarial drug policy on resistance is critical for resistance management. Plasmodium falciparum isolates were collected from 2003 to 2015 in western Kenya and analyzed for genetic markers associated with resistance to CQ (Pfcrt), sulfadoxine-pyrimethamine (SP) (Pfdhfr/Pfdhps), and artemether-lumefantrine (AL) (PfKelch13/Pfmdr1) antimalarials. In addition, household antimalarial drug use surveys were administered. Pfcrt 76T prevalence decreased from 76% to 6% from 2003 to 2015. Pfdhfr/ Pfdhps quintuple mutants decreased from 70% in 2003 to 14% in 2008, but increased to near fixation by 2015. SP “super resistant” alleles Pfdhps 581G and 613S/T were not detected in the 2015 samples that were assessed. The Pfmdr1 N86-184F-D1246 haplotype associated with decreased lumefantrine susceptibility increased significantly from 4% in 2005 to 51% in 2015. No PfKelch13 mutations that have been previously associated with artemisinin resistance were detected in the study populations. The increase in Pfdhfr/Pfdhps quintuple mutants that associates with SP resistance may have resulted from the increased usage of SP for intermittent preventative therapy in pregnancy (IPTp) and for malaria treatment in the community. Prevalent Pfdhfr/Pfdhps mutations call for careful monitoring of SP resistance and effectiveness of the current IPTp program in Kenya. In addition, the commonly occurring Pfmdr1 N86-184F-D1246 haplotype associated with increased lumefantrine tolerance calls for surveillance of AL efficacy in Kenya, as well as consideration for a rotating artemisinin-combination therapy regimen.","author":[{"dropping-particle":"","family":"Hemming-Schroeder","given":"Elizabeth","non-dropping-particle":"","parse-names":false,"suffix":""},{"dropping-particle":"","family":"Umukoro","given":"Emuejevuoke","non-dropping-particle":"","parse-names":false,"suffix":""},{"dropping-particle":"","family":"Lo","given":"Eugenia","non-dropping-particle":"","parse-names":false,"suffix":""},{"dropping-particle":"","family":"Fung","given":"Becky","non-dropping-particle":"","parse-names":false,"suffix":""},{"dropping-particle":"","family":"Tomás-Domingo","given":"Pedro","non-dropping-particle":"","parse-names":false,"suffix":""},{"dropping-particle":"","family":"Zhou","given":"Guofa","non-dropping-particle":"","parse-names":false,"suffix":""},{"dropping-particle":"","family":"Zhong","given":"Daibin","non-dropping-particle":"","parse-names":false,"suffix":""},{"dropping-particle":"","family":"Dixit","given":"Amruta","non-dropping-particle":"","parse-names":false,"suffix":""},{"dropping-particle":"","family":"Atieli","given":"Harrysone","non-dropping-particle":"","parse-names":false,"suffix":""},{"dropping-particle":"","family":"Githeko","given":"Andrew","non-dropping-particle":"","parse-names":false,"suffix":""},{"dropping-particle":"","family":"Vardo-Zalik","given":"Anne","non-dropping-particle":"","parse-names":false,"suffix":""},{"dropping-particle":"","family":"Yan","given":"Guiyun","non-dropping-particle":"","parse-names":false,"suffix":""}],"container-title":"American Journal of Tropical Medicine and Hygiene","id":"ITEM-1","issue":"3","issued":{"date-parts":[["2018"]]},"page":"692-699","title":"Impacts of antimalarial drugs on plasmodium falciparum drug resistance markers, Western Kenya, 2003-2015","type":"article-journal","volume":"98"},"uris":["http://www.mendeley.com/documents/?uuid=8abf436d-3849-49a6-a30f-a94b4899be5a"]}],"mendeley":{"formattedCitation":"(Hemming-Schroeder et al., 2018)","plainTextFormattedCitation":"(Hemming-Schroeder et al., 2018)","previouslyFormattedCitation":"(Hemming-Schroeder et al., 2018)"},"properties":{"noteIndex":0},"schema":"https://github.com/citation-style-language/schema/raw/master/csl-citation.json"}</w:instrText>
            </w:r>
            <w:r>
              <w:rPr>
                <w:rFonts w:ascii="Times New Roman" w:hAnsi="Times New Roman" w:cs="Times New Roman"/>
              </w:rPr>
              <w:fldChar w:fldCharType="separate"/>
            </w:r>
            <w:r w:rsidRPr="00081951">
              <w:rPr>
                <w:rFonts w:ascii="Times New Roman" w:hAnsi="Times New Roman" w:cs="Times New Roman"/>
                <w:noProof/>
              </w:rPr>
              <w:t>(Hemming-Schroeder et al., 2018)</w:t>
            </w:r>
            <w:r>
              <w:rPr>
                <w:rFonts w:ascii="Times New Roman" w:hAnsi="Times New Roman" w:cs="Times New Roman"/>
              </w:rPr>
              <w:fldChar w:fldCharType="end"/>
            </w:r>
          </w:p>
        </w:tc>
      </w:tr>
      <w:tr w:rsidR="00F15A58" w:rsidRPr="00144009" w14:paraId="545E90D1" w14:textId="77777777" w:rsidTr="00A46BDD">
        <w:tc>
          <w:tcPr>
            <w:tcW w:w="1549" w:type="dxa"/>
          </w:tcPr>
          <w:p w14:paraId="291BE3F9"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Primaquine,</w:t>
            </w:r>
          </w:p>
          <w:p w14:paraId="2E059A2E"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Tafenoquine</w:t>
            </w:r>
          </w:p>
        </w:tc>
        <w:tc>
          <w:tcPr>
            <w:tcW w:w="1392" w:type="dxa"/>
          </w:tcPr>
          <w:p w14:paraId="27F89E92"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 xml:space="preserve">Plasmodium </w:t>
            </w:r>
            <w:proofErr w:type="spellStart"/>
            <w:r w:rsidRPr="00144009">
              <w:rPr>
                <w:rFonts w:ascii="Times New Roman" w:hAnsi="Times New Roman" w:cs="Times New Roman"/>
              </w:rPr>
              <w:t>vivax</w:t>
            </w:r>
            <w:proofErr w:type="spellEnd"/>
            <w:r w:rsidRPr="00144009">
              <w:rPr>
                <w:rFonts w:ascii="Times New Roman" w:hAnsi="Times New Roman" w:cs="Times New Roman"/>
              </w:rPr>
              <w:t xml:space="preserve">, plasmodium </w:t>
            </w:r>
            <w:proofErr w:type="spellStart"/>
            <w:r w:rsidRPr="00144009">
              <w:rPr>
                <w:rFonts w:ascii="Times New Roman" w:hAnsi="Times New Roman" w:cs="Times New Roman"/>
              </w:rPr>
              <w:t>ovale</w:t>
            </w:r>
            <w:proofErr w:type="spellEnd"/>
          </w:p>
        </w:tc>
        <w:tc>
          <w:tcPr>
            <w:tcW w:w="2235" w:type="dxa"/>
          </w:tcPr>
          <w:p w14:paraId="07E801F0" w14:textId="59FC46D4" w:rsidR="00144009" w:rsidRPr="00144009" w:rsidRDefault="00144009" w:rsidP="00372EFD">
            <w:pPr>
              <w:rPr>
                <w:rFonts w:ascii="Times New Roman" w:hAnsi="Times New Roman" w:cs="Times New Roman"/>
              </w:rPr>
            </w:pPr>
            <w:r w:rsidRPr="00144009">
              <w:rPr>
                <w:rFonts w:ascii="Times New Roman" w:hAnsi="Times New Roman" w:cs="Times New Roman"/>
              </w:rPr>
              <w:t>It interferes with the metabolism of the malarial parasite,</w:t>
            </w:r>
            <w:r w:rsidR="004F7E79">
              <w:rPr>
                <w:rFonts w:ascii="Times New Roman" w:hAnsi="Times New Roman" w:cs="Times New Roman"/>
              </w:rPr>
              <w:t xml:space="preserve"> and</w:t>
            </w:r>
            <w:r w:rsidRPr="00144009">
              <w:rPr>
                <w:rFonts w:ascii="Times New Roman" w:hAnsi="Times New Roman" w:cs="Times New Roman"/>
              </w:rPr>
              <w:t xml:space="preserve"> its active metabolite generates oxidative species causing oxidative damage and destruction of </w:t>
            </w:r>
            <w:r w:rsidR="004F7E79">
              <w:rPr>
                <w:rFonts w:ascii="Times New Roman" w:hAnsi="Times New Roman" w:cs="Times New Roman"/>
              </w:rPr>
              <w:t xml:space="preserve">the </w:t>
            </w:r>
            <w:r w:rsidRPr="00144009">
              <w:rPr>
                <w:rFonts w:ascii="Times New Roman" w:hAnsi="Times New Roman" w:cs="Times New Roman"/>
              </w:rPr>
              <w:t>parasite’s cellular components.</w:t>
            </w:r>
          </w:p>
        </w:tc>
        <w:tc>
          <w:tcPr>
            <w:tcW w:w="1426" w:type="dxa"/>
          </w:tcPr>
          <w:p w14:paraId="6A9EFED2"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Hepatocyte</w:t>
            </w:r>
          </w:p>
          <w:p w14:paraId="70A2A5B0"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(hypnozoites)</w:t>
            </w:r>
          </w:p>
        </w:tc>
        <w:tc>
          <w:tcPr>
            <w:tcW w:w="1918" w:type="dxa"/>
          </w:tcPr>
          <w:p w14:paraId="2ABB4441"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Mutations in the parasite's genes involved in drug metabolism and detoxification, such as the cytochrome P450 enzymes</w:t>
            </w:r>
          </w:p>
        </w:tc>
        <w:tc>
          <w:tcPr>
            <w:tcW w:w="1398" w:type="dxa"/>
          </w:tcPr>
          <w:p w14:paraId="6D363A11" w14:textId="56FFE95C" w:rsidR="00144009" w:rsidRPr="00144009" w:rsidRDefault="00081951" w:rsidP="00372EFD">
            <w:pP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{"citationItems":[{"id":"ITEM-1","itemData":{"DOI":"10.1080/14656566.2022.2058394","ISSN":"17447666","PMID":"35379070","abstract":"Introduction: Plasmodium vivax malaria causes significant disease burden worldwide, especially in Latin America, Southeast Asia, and Oceania. P. vivax is characterized by the production of liver hypnozoites that cause clinical relapses upon periodic activation. Primaquine, an 8-aminoquinoline drug, has been the standard of care for decades to treat liver-stage P. vivax malaria; however, it requires long treatment regimens (one to two weeks) that lead to poor adherence and thus clinical relapses. Tafenoquine (TFQ), a newly available and efficacious single-dose 8-aminoquinoline, aims to address this challenge. Safe administration is possible when paired with the use of glucose-6-phosphate dehydrogenase (G6PD) diagnostics to prevent 8-aminoquinoline-induced hemolysis in patients with underlying G6PD deficiency (G6PDd). Areas covered: In this review, the authors present the recent literature regarding the pharmacology, efficacy, safety, and tolerability of TFQ and highlight regional differences in these areas. The authors also discuss the potential for TFQ, complemented with primaquine PQ and effective screening for G6PDd, to improve P. vivax clinical management and facilitate targeted mass drug administration in communities to decrease transmission. Expert opinion: Clinical studies show therapeutic efficacy of TFQ as well as a good performance in terms of safety and tolerability. Additional research regarding the effectiveness and safety TFQ in malaria elimination strategies, such as targeted or mass drug administration, are needed.","author":[{"dropping-particle":"","family":"Llanos-Cuentas","given":"Alejandro","non-dropping-particle":"","parse-names":false,"suffix":""},{"dropping-particle":"","family":"Manrrique","given":"Paulo","non-dropping-particle":"","parse-names":false,"suffix":""},{"dropping-particle":"","family":"Rosas-Aguirre","given":"Angel","non-dropping-particle":"","parse-names":false,"suffix":""},{"dropping-particle":"","family":"Herrera","given":"Sonia","non-dropping-particle":"","parse-names":false,"suffix":""},{"dropping-particle":"","family":"Hsiang","given":"Michelle S.","non-dropping-particle":"","parse-names":false,"suffix":""}],"container-title":"Expert Opinion on Pharmacotherapy","id":"ITEM-1","issue":"7","issued":{"date-parts":[["2022"]]},"page":"759-768","publisher":"Taylor &amp; Francis","title":"Tafenoquine for the treatment of Plasmodium vivax malaria","type":"article-journal","volume":"23"},"uris":["http://www.mendeley.com/documents/?uuid=c485f430-d57a-4f7d-b5ad-d91dd64a54a8"]}],"mendeley":{"formattedCitation":"(Llanos-Cuentas et al., 2022)","plainTextFormattedCitation":"(Llanos-Cuentas et al., 2022)","previouslyFormattedCitation":"(Llanos-Cuentas et al., 2022)"},"properties":{"noteIndex":0},"schema":"https://github.com/citation-style-language/schema/raw/master/csl-citation.json"}</w:instrText>
            </w:r>
            <w:r>
              <w:rPr>
                <w:rFonts w:ascii="Times New Roman" w:hAnsi="Times New Roman" w:cs="Times New Roman"/>
              </w:rPr>
              <w:fldChar w:fldCharType="separate"/>
            </w:r>
            <w:r w:rsidRPr="00081951">
              <w:rPr>
                <w:rFonts w:ascii="Times New Roman" w:hAnsi="Times New Roman" w:cs="Times New Roman"/>
                <w:noProof/>
              </w:rPr>
              <w:t>(Llanos-Cuentas et al., 2022)</w:t>
            </w:r>
            <w:r>
              <w:rPr>
                <w:rFonts w:ascii="Times New Roman" w:hAnsi="Times New Roman" w:cs="Times New Roman"/>
              </w:rPr>
              <w:fldChar w:fldCharType="end"/>
            </w:r>
          </w:p>
        </w:tc>
      </w:tr>
      <w:tr w:rsidR="00F15A58" w:rsidRPr="00144009" w14:paraId="162A3777" w14:textId="77777777" w:rsidTr="00A46BDD">
        <w:tc>
          <w:tcPr>
            <w:tcW w:w="1549" w:type="dxa"/>
          </w:tcPr>
          <w:p w14:paraId="4AE67878"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 xml:space="preserve">Sulfadoxine </w:t>
            </w:r>
          </w:p>
        </w:tc>
        <w:tc>
          <w:tcPr>
            <w:tcW w:w="1392" w:type="dxa"/>
          </w:tcPr>
          <w:p w14:paraId="06A86592" w14:textId="77777777" w:rsidR="00144009" w:rsidRPr="00144009" w:rsidRDefault="00144009" w:rsidP="00372EFD">
            <w:pPr>
              <w:rPr>
                <w:rFonts w:ascii="Times New Roman" w:hAnsi="Times New Roman" w:cs="Times New Roman"/>
              </w:rPr>
            </w:pPr>
          </w:p>
        </w:tc>
        <w:tc>
          <w:tcPr>
            <w:tcW w:w="2235" w:type="dxa"/>
          </w:tcPr>
          <w:p w14:paraId="054D3A94" w14:textId="45015AB9" w:rsidR="00144009" w:rsidRPr="00144009" w:rsidRDefault="00144009" w:rsidP="00372EFD">
            <w:pPr>
              <w:rPr>
                <w:rFonts w:ascii="Times New Roman" w:hAnsi="Times New Roman" w:cs="Times New Roman"/>
              </w:rPr>
            </w:pPr>
            <w:r w:rsidRPr="00144009">
              <w:rPr>
                <w:rFonts w:ascii="Times New Roman" w:hAnsi="Times New Roman" w:cs="Times New Roman"/>
              </w:rPr>
              <w:t xml:space="preserve">It acts as a competitive inhibitor of the </w:t>
            </w:r>
            <w:r w:rsidR="003E278D">
              <w:rPr>
                <w:rFonts w:ascii="Times New Roman" w:hAnsi="Times New Roman" w:cs="Times New Roman"/>
              </w:rPr>
              <w:t>dihydropteroate synthase enzyme, thereby preventing folate production</w:t>
            </w:r>
            <w:r w:rsidRPr="00144009">
              <w:rPr>
                <w:rFonts w:ascii="Times New Roman" w:hAnsi="Times New Roman" w:cs="Times New Roman"/>
              </w:rPr>
              <w:t xml:space="preserve"> and inhibiting the parasite</w:t>
            </w:r>
            <w:r w:rsidR="003E278D">
              <w:rPr>
                <w:rFonts w:ascii="Times New Roman" w:hAnsi="Times New Roman" w:cs="Times New Roman"/>
              </w:rPr>
              <w:t>'s</w:t>
            </w:r>
            <w:r w:rsidRPr="00144009">
              <w:rPr>
                <w:rFonts w:ascii="Times New Roman" w:hAnsi="Times New Roman" w:cs="Times New Roman"/>
              </w:rPr>
              <w:t xml:space="preserve"> growth and replication</w:t>
            </w:r>
            <w:r w:rsidR="00430619">
              <w:rPr>
                <w:rFonts w:ascii="Times New Roman" w:hAnsi="Times New Roman" w:cs="Times New Roman"/>
              </w:rPr>
              <w:t>.</w:t>
            </w:r>
          </w:p>
        </w:tc>
        <w:tc>
          <w:tcPr>
            <w:tcW w:w="1426" w:type="dxa"/>
          </w:tcPr>
          <w:p w14:paraId="7ECCFD81"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Cytosol</w:t>
            </w:r>
          </w:p>
        </w:tc>
        <w:tc>
          <w:tcPr>
            <w:tcW w:w="1918" w:type="dxa"/>
          </w:tcPr>
          <w:p w14:paraId="1926317B"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Genetic mutations in the dihydropteroate synthase (DHPS) enzyme of the parasite</w:t>
            </w:r>
          </w:p>
        </w:tc>
        <w:tc>
          <w:tcPr>
            <w:tcW w:w="1398" w:type="dxa"/>
          </w:tcPr>
          <w:p w14:paraId="6944F9A6" w14:textId="0484E20F" w:rsidR="00144009" w:rsidRPr="00144009" w:rsidRDefault="00081951" w:rsidP="00372EFD">
            <w:pP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{"citationItems":[{"id":"ITEM-1","itemData":{"DOI":"10.4269/ajtmh.17-0763","ISSN":"00029637","PMID":"29363453","abstract":"Antimalarial drug resistance has threatened global malaria control since chloroquine (CQ)-resistant Plasmodium falciparum emerged in Asia in the 1950s. Understanding the impacts of changing antimalarial drug policy on resistance is critical for resistance management. Plasmodium falciparum isolates were collected from 2003 to 2015 in western Kenya and analyzed for genetic markers associated with resistance to CQ (Pfcrt), sulfadoxine-pyrimethamine (SP) (Pfdhfr/Pfdhps), and artemether-lumefantrine (AL) (PfKelch13/Pfmdr1) antimalarials. In addition, household antimalarial drug use surveys were administered. Pfcrt 76T prevalence decreased from 76% to 6% from 2003 to 2015. Pfdhfr/ Pfdhps quintuple mutants decreased from 70% in 2003 to 14% in 2008, but increased to near fixation by 2015. SP “super resistant” alleles Pfdhps 581G and 613S/T were not detected in the 2015 samples that were assessed. The Pfmdr1 N86-184F-D1246 haplotype associated with decreased lumefantrine susceptibility increased significantly from 4% in 2005 to 51% in 2015. No PfKelch13 mutations that have been previously associated with artemisinin resistance were detected in the study populations. The increase in Pfdhfr/Pfdhps quintuple mutants that associates with SP resistance may have resulted from the increased usage of SP for intermittent preventative therapy in pregnancy (IPTp) and for malaria treatment in the community. Prevalent Pfdhfr/Pfdhps mutations call for careful monitoring of SP resistance and effectiveness of the current IPTp program in Kenya. In addition, the commonly occurring Pfmdr1 N86-184F-D1246 haplotype associated with increased lumefantrine tolerance calls for surveillance of AL efficacy in Kenya, as well as consideration for a rotating artemisinin-combination therapy regimen.","author":[{"dropping-particle":"","family":"Hemming-Schroeder","given":"Elizabeth","non-dropping-particle":"","parse-names":false,"suffix":""},{"dropping-particle":"","family":"Umukoro","given":"Emuejevuoke","non-dropping-particle":"","parse-names":false,"suffix":""},{"dropping-particle":"","family":"Lo","given":"Eugenia","non-dropping-particle":"","parse-names":false,"suffix":""},{"dropping-particle":"","family":"Fung","given":"Becky","non-dropping-particle":"","parse-names":false,"suffix":""},{"dropping-particle":"","family":"Tomás-Domingo","given":"Pedro","non-dropping-particle":"","parse-names":false,"suffix":""},{"dropping-particle":"","family":"Zhou","given":"Guofa","non-dropping-particle":"","parse-names":false,"suffix":""},{"dropping-particle":"","family":"Zhong","given":"Daibin","non-dropping-particle":"","parse-names":false,"suffix":""},{"dropping-particle":"","family":"Dixit","given":"Amruta","non-dropping-particle":"","parse-names":false,"suffix":""},{"dropping-particle":"","family":"Atieli","given":"Harrysone","non-dropping-particle":"","parse-names":false,"suffix":""},{"dropping-particle":"","family":"Githeko","given":"Andrew","non-dropping-particle":"","parse-names":false,"suffix":""},{"dropping-particle":"","family":"Vardo-Zalik","given":"Anne","non-dropping-particle":"","parse-names":false,"suffix":""},{"dropping-particle":"","family":"Yan","given":"Guiyun","non-dropping-particle":"","parse-names":false,"suffix":""}],"container-title":"American Journal of Tropical Medicine and Hygiene","id":"ITEM-1","issue":"3","issued":{"date-parts":[["2018"]]},"page":"692-699","title":"Impacts of antimalarial drugs on plasmodium falciparum drug resistance markers, Western Kenya, 2003-2015","type":"article-journal","volume":"98"},"uris":["http://www.mendeley.com/documents/?uuid=8abf436d-3849-49a6-a30f-a94b4899be5a"]}],"mendeley":{"formattedCitation":"(Hemming-Schroeder et al., 2018)","plainTextFormattedCitation":"(Hemming-Schroeder et al., 2018)","previouslyFormattedCitation":"(Hemming-Schroeder et al., 2018)"},"properties":{"noteIndex":0},"schema":"https://github.com/citation-style-language/schema/raw/master/csl-citation.json"}</w:instrText>
            </w:r>
            <w:r>
              <w:rPr>
                <w:rFonts w:ascii="Times New Roman" w:hAnsi="Times New Roman" w:cs="Times New Roman"/>
              </w:rPr>
              <w:fldChar w:fldCharType="separate"/>
            </w:r>
            <w:r w:rsidRPr="00081951">
              <w:rPr>
                <w:rFonts w:ascii="Times New Roman" w:hAnsi="Times New Roman" w:cs="Times New Roman"/>
                <w:noProof/>
              </w:rPr>
              <w:t>(Hemming-Schroeder et al., 2018)</w:t>
            </w:r>
            <w:r>
              <w:rPr>
                <w:rFonts w:ascii="Times New Roman" w:hAnsi="Times New Roman" w:cs="Times New Roman"/>
              </w:rPr>
              <w:fldChar w:fldCharType="end"/>
            </w:r>
          </w:p>
        </w:tc>
      </w:tr>
      <w:tr w:rsidR="00F15A58" w:rsidRPr="00144009" w14:paraId="3B3E7C68" w14:textId="77777777" w:rsidTr="00A46BDD">
        <w:tc>
          <w:tcPr>
            <w:tcW w:w="1549" w:type="dxa"/>
          </w:tcPr>
          <w:p w14:paraId="6C9E81C1"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lastRenderedPageBreak/>
              <w:t xml:space="preserve">Dapsone </w:t>
            </w:r>
          </w:p>
        </w:tc>
        <w:tc>
          <w:tcPr>
            <w:tcW w:w="1392" w:type="dxa"/>
          </w:tcPr>
          <w:p w14:paraId="17E4CBCA"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Plasmodium spp.</w:t>
            </w:r>
          </w:p>
        </w:tc>
        <w:tc>
          <w:tcPr>
            <w:tcW w:w="2235" w:type="dxa"/>
          </w:tcPr>
          <w:p w14:paraId="3F6AD5D5" w14:textId="17283893" w:rsidR="00144009" w:rsidRPr="00144009" w:rsidRDefault="00144009" w:rsidP="00372EFD">
            <w:pPr>
              <w:rPr>
                <w:rFonts w:ascii="Times New Roman" w:hAnsi="Times New Roman" w:cs="Times New Roman"/>
              </w:rPr>
            </w:pPr>
            <w:r w:rsidRPr="00144009">
              <w:rPr>
                <w:rFonts w:ascii="Times New Roman" w:hAnsi="Times New Roman" w:cs="Times New Roman"/>
              </w:rPr>
              <w:t xml:space="preserve">Inhibition of dihydropteroate synthase </w:t>
            </w:r>
            <w:r w:rsidR="004F7E79">
              <w:rPr>
                <w:rFonts w:ascii="Times New Roman" w:hAnsi="Times New Roman" w:cs="Times New Roman"/>
              </w:rPr>
              <w:t>alters</w:t>
            </w:r>
            <w:r w:rsidRPr="00144009">
              <w:rPr>
                <w:rFonts w:ascii="Times New Roman" w:hAnsi="Times New Roman" w:cs="Times New Roman"/>
              </w:rPr>
              <w:t xml:space="preserve"> folate metabolism and impairs the parasite’s ability to synthesize DNA and essential cellular components.</w:t>
            </w:r>
          </w:p>
        </w:tc>
        <w:tc>
          <w:tcPr>
            <w:tcW w:w="1426" w:type="dxa"/>
          </w:tcPr>
          <w:p w14:paraId="009A10DE"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Cytosol</w:t>
            </w:r>
          </w:p>
        </w:tc>
        <w:tc>
          <w:tcPr>
            <w:tcW w:w="1918" w:type="dxa"/>
          </w:tcPr>
          <w:p w14:paraId="377C67BE" w14:textId="77777777" w:rsidR="00066417" w:rsidRDefault="00144009" w:rsidP="00372EFD">
            <w:pPr>
              <w:rPr>
                <w:rFonts w:ascii="Times New Roman" w:hAnsi="Times New Roman" w:cs="Times New Roman"/>
              </w:rPr>
            </w:pPr>
            <w:r w:rsidRPr="00144009">
              <w:rPr>
                <w:rFonts w:ascii="Times New Roman" w:hAnsi="Times New Roman" w:cs="Times New Roman"/>
              </w:rPr>
              <w:t xml:space="preserve">Point mutations in the dihydropteroate synthase (DHPS) </w:t>
            </w:r>
          </w:p>
          <w:p w14:paraId="3185C8E0" w14:textId="26C51075" w:rsidR="00144009" w:rsidRPr="00144009" w:rsidRDefault="004A0A53" w:rsidP="00372EFD">
            <w:pPr>
              <w:rPr>
                <w:rFonts w:ascii="Times New Roman" w:hAnsi="Times New Roman" w:cs="Times New Roman"/>
              </w:rPr>
            </w:pPr>
            <w:r w:rsidRPr="00144009">
              <w:rPr>
                <w:rFonts w:ascii="Times New Roman" w:hAnsi="Times New Roman" w:cs="Times New Roman"/>
              </w:rPr>
              <w:t>E</w:t>
            </w:r>
            <w:r w:rsidR="00144009" w:rsidRPr="00144009">
              <w:rPr>
                <w:rFonts w:ascii="Times New Roman" w:hAnsi="Times New Roman" w:cs="Times New Roman"/>
              </w:rPr>
              <w:t>nzyme</w:t>
            </w:r>
          </w:p>
        </w:tc>
        <w:tc>
          <w:tcPr>
            <w:tcW w:w="1398" w:type="dxa"/>
          </w:tcPr>
          <w:p w14:paraId="74780400" w14:textId="5C227DEE" w:rsidR="00144009" w:rsidRPr="00144009" w:rsidRDefault="00081951" w:rsidP="00372EFD">
            <w:pP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{"citationItems":[{"id":"ITEM-1","itemData":{"DOI":"10.1016/S0895-4356(97)00049-8","ISSN":"08954356","PMID":"9250266","abstract":"When little or no data directly comparing two treatments are available, investigators often rely on indirect comparisons from studies testing the treatments against a control or placebo. One approach to indirect comparison is to pool findings from the active treatment arms of the original controlled trials. This approach offers no advantage over a comparison of observational study data and is prone to bias. We present an alternative model that evaluates the differences between treatment and placebo in two sets of clinical trials, and preserves the randomization of the originally assigned patient groups. We apply the method to data on sulphamethoxazole-trimethoprim or dapsone/pyrimethamine as prophylaxis against Pneumocystis carinii in HIV infected patients. The indirect comparison showed substantial increased benefit from the former (odds ratio 0.37, 95% CI 0.21 to 0.65), while direct comparisons from randomized trials suggests a much smaller difference (risk ratio 0.64, 95% CI 0.45 to 0.90; p-value for difference of effect = O.11). Direct comparisons of treatments should be sought. When direct comparisons are unavailable, indirect comparison meta-analysis should evaluate the magnitude of treatment effects across studies, recognizing the limited strength of inference.","author":[{"dropping-particle":"","family":"Bucher","given":"Heiner C.","non-dropping-particle":"","parse-names":false,"suffix":""},{"dropping-particle":"","family":"Guyatt","given":"Gordon H.","non-dropping-particle":"","parse-names":false,"suffix":""},{"dropping-particle":"","family":"Griffith","given":"Lauren E.","non-dropping-particle":"","parse-names":false,"suffix":""},{"dropping-particle":"","family":"Walter","given":"Stephen D.","non-dropping-particle":"","parse-names":false,"suffix":""}],"container-title":"Journal of Clinical Epidemiology","id":"ITEM-1","issue":"6","issued":{"date-parts":[["1997"]]},"page":"683-691","title":"The results of direct and indirect treatment comparisons in meta-analysis of randomized controlled trials","type":"article-journal","volume":"50"},"uris":["http://www.mendeley.com/documents/?uuid=517ae698-1677-4517-8e0a-fa29beaa164a"]}],"mendeley":{"formattedCitation":"(Bucher et al., 1997)","plainTextFormattedCitation":"(Bucher et al., 1997)","previouslyFormattedCitation":"(Bucher et al., 1997)"},"properties":{"noteIndex":0},"schema":"https://github.com/citation-style-language/schema/raw/master/csl-citation.json"}</w:instrText>
            </w:r>
            <w:r>
              <w:rPr>
                <w:rFonts w:ascii="Times New Roman" w:hAnsi="Times New Roman" w:cs="Times New Roman"/>
              </w:rPr>
              <w:fldChar w:fldCharType="separate"/>
            </w:r>
            <w:r w:rsidRPr="00081951">
              <w:rPr>
                <w:rFonts w:ascii="Times New Roman" w:hAnsi="Times New Roman" w:cs="Times New Roman"/>
                <w:noProof/>
              </w:rPr>
              <w:t>(Bucher et al., 1997)</w:t>
            </w:r>
            <w:r>
              <w:rPr>
                <w:rFonts w:ascii="Times New Roman" w:hAnsi="Times New Roman" w:cs="Times New Roman"/>
              </w:rPr>
              <w:fldChar w:fldCharType="end"/>
            </w:r>
          </w:p>
        </w:tc>
      </w:tr>
      <w:tr w:rsidR="00F15A58" w:rsidRPr="00144009" w14:paraId="7DBF58FB" w14:textId="77777777" w:rsidTr="00A46BDD">
        <w:tc>
          <w:tcPr>
            <w:tcW w:w="1549" w:type="dxa"/>
          </w:tcPr>
          <w:p w14:paraId="67378283"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 xml:space="preserve">Atovaquone </w:t>
            </w:r>
          </w:p>
        </w:tc>
        <w:tc>
          <w:tcPr>
            <w:tcW w:w="1392" w:type="dxa"/>
          </w:tcPr>
          <w:p w14:paraId="5796C889"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Plasmodium spp.</w:t>
            </w:r>
          </w:p>
        </w:tc>
        <w:tc>
          <w:tcPr>
            <w:tcW w:w="2235" w:type="dxa"/>
          </w:tcPr>
          <w:p w14:paraId="4E980DA7"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Inhibition of the mitochondrial electron transport chain of the malaria parasite.</w:t>
            </w:r>
          </w:p>
        </w:tc>
        <w:tc>
          <w:tcPr>
            <w:tcW w:w="1426" w:type="dxa"/>
          </w:tcPr>
          <w:p w14:paraId="3A50B05C"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Mitochondria</w:t>
            </w:r>
          </w:p>
        </w:tc>
        <w:tc>
          <w:tcPr>
            <w:tcW w:w="1918" w:type="dxa"/>
          </w:tcPr>
          <w:p w14:paraId="448A9A74" w14:textId="4864FB9D" w:rsidR="00144009" w:rsidRPr="00144009" w:rsidRDefault="004F7E79" w:rsidP="00372EFD">
            <w:pPr>
              <w:rPr>
                <w:rFonts w:ascii="Times New Roman" w:hAnsi="Times New Roman" w:cs="Times New Roman"/>
              </w:rPr>
            </w:pPr>
            <w:r>
              <w:rPr>
                <w:rFonts w:ascii="Times New Roman" w:hAnsi="Times New Roman" w:cs="Times New Roman"/>
              </w:rPr>
              <w:t>The d</w:t>
            </w:r>
            <w:r w:rsidR="00144009" w:rsidRPr="00144009">
              <w:rPr>
                <w:rFonts w:ascii="Times New Roman" w:hAnsi="Times New Roman" w:cs="Times New Roman"/>
              </w:rPr>
              <w:t xml:space="preserve">evelopment of mutations in the </w:t>
            </w:r>
            <w:r>
              <w:rPr>
                <w:rFonts w:ascii="Times New Roman" w:hAnsi="Times New Roman" w:cs="Times New Roman"/>
              </w:rPr>
              <w:t>parasite's cytochrome b gene</w:t>
            </w:r>
            <w:r w:rsidR="00144009" w:rsidRPr="00144009">
              <w:rPr>
                <w:rFonts w:ascii="Times New Roman" w:hAnsi="Times New Roman" w:cs="Times New Roman"/>
              </w:rPr>
              <w:t xml:space="preserve"> reduces the drug's binding affinity and effectiveness.</w:t>
            </w:r>
          </w:p>
        </w:tc>
        <w:tc>
          <w:tcPr>
            <w:tcW w:w="1398" w:type="dxa"/>
          </w:tcPr>
          <w:p w14:paraId="14543699" w14:textId="0C9A6EE4" w:rsidR="00144009" w:rsidRPr="00144009" w:rsidRDefault="00081951" w:rsidP="00372EFD">
            <w:pP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{"citationItems":[{"id":"ITEM-1","itemData":{"DOI":"10.1021/acsinfecdis.0c00676","ISSN":"23738227","PMID":"33715347","abstract":"In malaria, chemical genetics is a powerful method for assigning function to uncharacterized genes. MMV085203 and GNF-Pf-3600 are two structurally related napthoquinone phenotypic screening hits that kill both blood- and sexual-stage P. falciparum parasites in the low nanomolar to low micromolar range. In order to understand their mechanism of action, parasites from two different genetic backgrounds were exposed to sublethal concentrations of MMV085203 and GNF-Pf-3600 until resistance emerged. Whole genome sequencing revealed all 17 resistant clones acquired nonsynonymous mutations in the gene encoding the orphan apicomplexan transporter PF3D7_0312500 (pfmfr3) predicted to encode a member of the major facilitator superfamily (MFS). Disruption of pfmfr3 and testing against a panel of antimalarial compounds showed decreased sensitivity to MMV085203 and GNF-Pf-3600 as well as other compounds that have a mitochondrial mechanism of action. In contrast, mutations in pfmfr3 provided no protection against compounds that act in the food vacuole or the cytosol. A dihydroorotate dehydrogenase rescue assay using transgenic parasite lines, however, indicated a different mechanism of action for both MMV085203 and GNF-Pf-3600 than the direct inhibition of cytochrome bc1. Green fluorescent protein (GFP) tagging of PfMFR3 revealed that it localizes to the parasite mitochondrion. Our data are consistent with PfMFR3 playing roles in mitochondrial transport as well as drug resistance for clinically relevant antimalarials that target the mitochondria. Furthermore, given that pfmfr3 is naturally polymorphic, naturally occurring mutations may lead to differential sensitivity to clinically relevant compounds such as atovaquone.","author":[{"dropping-particle":"","family":"Rocamora","given":"Frances","non-dropping-particle":"","parse-names":false,"suffix":""},{"dropping-particle":"","family":"Gupta","given":"Purva","non-dropping-particle":"","parse-names":false,"suffix":""},{"dropping-particle":"","family":"Istvan","given":"Eva S.","non-dropping-particle":"","parse-names":false,"suffix":""},{"dropping-particle":"","family":"Luth","given":"Madeline R.","non-dropping-particle":"","parse-names":false,"suffix":""},{"dropping-particle":"","family":"Carpenter","given":"Emma F.","non-dropping-particle":"","parse-names":false,"suffix":""},{"dropping-particle":"","family":"Kümpornsin","given":"Krittikorn","non-dropping-particle":"","parse-names":false,"suffix":""},{"dropping-particle":"","family":"Sasaki","given":"Erika","non-dropping-particle":"","parse-names":false,"suffix":""},{"dropping-particle":"","family":"Calla","given":"Jaeson","non-dropping-particle":"","parse-names":false,"suffix":""},{"dropping-particle":"","family":"Mittal","given":"Nimisha","non-dropping-particle":"","parse-names":false,"suffix":""},{"dropping-particle":"","family":"Carolino","given":"Krypton","non-dropping-particle":"","parse-names":false,"suffix":""},{"dropping-particle":"","family":"Owen","given":"Edward","non-dropping-particle":"","parse-names":false,"suffix":""},{"dropping-particle":"","family":"Llinás","given":"Manuel","non-dropping-particle":"","parse-names":false,"suffix":""},{"dropping-particle":"","family":"Ottilie","given":"Sabine","non-dropping-particle":"","parse-names":false,"suffix":""},{"dropping-particle":"","family":"Goldberg","given":"Daniel E.","non-dropping-particle":"","parse-names":false,"suffix":""},{"dropping-particle":"","family":"Lee","given":"Marcus C.S.","non-dropping-particle":"","parse-names":false,"suffix":""},{"dropping-particle":"","family":"Winzeler","given":"Elizabeth A.","non-dropping-particle":"","parse-names":false,"suffix":""}],"container-title":"ACS Infectious Diseases","id":"ITEM-1","issue":"4","issued":{"date-parts":[["2021"]]},"page":"811-825","title":"PfMFR3: A Multidrug-Resistant Modulator in Plasmodium falciparum","type":"article-journal","volume":"7"},"uris":["http://www.mendeley.com/documents/?uuid=5b1c6ad4-f0f4-4bba-9d89-a97017eab4b3"]}],"mendeley":{"formattedCitation":"(Rocamora et al., 2021)","plainTextFormattedCitation":"(Rocamora et al., 2021)","previouslyFormattedCitation":"(Rocamora et al., 2021)"},"properties":{"noteIndex":0},"schema":"https://github.com/citation-style-language/schema/raw/master/csl-citation.json"}</w:instrText>
            </w:r>
            <w:r>
              <w:rPr>
                <w:rFonts w:ascii="Times New Roman" w:hAnsi="Times New Roman" w:cs="Times New Roman"/>
              </w:rPr>
              <w:fldChar w:fldCharType="separate"/>
            </w:r>
            <w:r w:rsidRPr="00081951">
              <w:rPr>
                <w:rFonts w:ascii="Times New Roman" w:hAnsi="Times New Roman" w:cs="Times New Roman"/>
                <w:noProof/>
              </w:rPr>
              <w:t>(Rocamora et al., 2021)</w:t>
            </w:r>
            <w:r>
              <w:rPr>
                <w:rFonts w:ascii="Times New Roman" w:hAnsi="Times New Roman" w:cs="Times New Roman"/>
              </w:rPr>
              <w:fldChar w:fldCharType="end"/>
            </w:r>
          </w:p>
        </w:tc>
      </w:tr>
      <w:tr w:rsidR="00F15A58" w:rsidRPr="00144009" w14:paraId="10C5C909" w14:textId="77777777" w:rsidTr="00A46BDD">
        <w:tc>
          <w:tcPr>
            <w:tcW w:w="1549" w:type="dxa"/>
          </w:tcPr>
          <w:p w14:paraId="30C58760"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 xml:space="preserve">Artesunate, Artemisinin  </w:t>
            </w:r>
          </w:p>
        </w:tc>
        <w:tc>
          <w:tcPr>
            <w:tcW w:w="1392" w:type="dxa"/>
          </w:tcPr>
          <w:p w14:paraId="24E740D3"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Plasmodium spp.</w:t>
            </w:r>
          </w:p>
        </w:tc>
        <w:tc>
          <w:tcPr>
            <w:tcW w:w="2235" w:type="dxa"/>
          </w:tcPr>
          <w:p w14:paraId="56AE950D" w14:textId="064526C5" w:rsidR="00144009" w:rsidRPr="00144009" w:rsidRDefault="00144009" w:rsidP="00372EFD">
            <w:pPr>
              <w:rPr>
                <w:rFonts w:ascii="Times New Roman" w:hAnsi="Times New Roman" w:cs="Times New Roman"/>
              </w:rPr>
            </w:pPr>
            <w:r w:rsidRPr="00144009">
              <w:rPr>
                <w:rFonts w:ascii="Times New Roman" w:hAnsi="Times New Roman" w:cs="Times New Roman"/>
              </w:rPr>
              <w:t>It converts into an active metabolite within the parasite</w:t>
            </w:r>
            <w:r w:rsidR="004F7E79">
              <w:rPr>
                <w:rFonts w:ascii="Times New Roman" w:hAnsi="Times New Roman" w:cs="Times New Roman"/>
              </w:rPr>
              <w:t>,</w:t>
            </w:r>
            <w:r w:rsidRPr="00144009">
              <w:rPr>
                <w:rFonts w:ascii="Times New Roman" w:hAnsi="Times New Roman" w:cs="Times New Roman"/>
              </w:rPr>
              <w:t xml:space="preserve"> which interacts with the </w:t>
            </w:r>
            <w:proofErr w:type="spellStart"/>
            <w:r w:rsidRPr="00144009">
              <w:rPr>
                <w:rFonts w:ascii="Times New Roman" w:hAnsi="Times New Roman" w:cs="Times New Roman"/>
              </w:rPr>
              <w:t>heme</w:t>
            </w:r>
            <w:proofErr w:type="spellEnd"/>
            <w:r w:rsidRPr="00144009">
              <w:rPr>
                <w:rFonts w:ascii="Times New Roman" w:hAnsi="Times New Roman" w:cs="Times New Roman"/>
              </w:rPr>
              <w:t xml:space="preserve"> and leads to </w:t>
            </w:r>
            <w:r w:rsidR="004F7E79">
              <w:rPr>
                <w:rFonts w:ascii="Times New Roman" w:hAnsi="Times New Roman" w:cs="Times New Roman"/>
              </w:rPr>
              <w:t xml:space="preserve">the </w:t>
            </w:r>
            <w:r w:rsidRPr="00144009">
              <w:rPr>
                <w:rFonts w:ascii="Times New Roman" w:hAnsi="Times New Roman" w:cs="Times New Roman"/>
              </w:rPr>
              <w:t>generation of reactive oxygen species</w:t>
            </w:r>
            <w:r w:rsidR="004F7E79">
              <w:rPr>
                <w:rFonts w:ascii="Times New Roman" w:hAnsi="Times New Roman" w:cs="Times New Roman"/>
              </w:rPr>
              <w:t>,</w:t>
            </w:r>
            <w:r w:rsidRPr="00144009">
              <w:rPr>
                <w:rFonts w:ascii="Times New Roman" w:hAnsi="Times New Roman" w:cs="Times New Roman"/>
              </w:rPr>
              <w:t xml:space="preserve"> which causes damage to </w:t>
            </w:r>
            <w:r w:rsidR="004F7E79">
              <w:rPr>
                <w:rFonts w:ascii="Times New Roman" w:hAnsi="Times New Roman" w:cs="Times New Roman"/>
              </w:rPr>
              <w:t xml:space="preserve">the </w:t>
            </w:r>
            <w:r w:rsidRPr="00144009">
              <w:rPr>
                <w:rFonts w:ascii="Times New Roman" w:hAnsi="Times New Roman" w:cs="Times New Roman"/>
              </w:rPr>
              <w:t>parasite’s proteins, membranes and other cellular components as well as disruption of calcium homeostasis</w:t>
            </w:r>
            <w:r w:rsidR="004F7E79">
              <w:rPr>
                <w:rFonts w:ascii="Times New Roman" w:hAnsi="Times New Roman" w:cs="Times New Roman"/>
              </w:rPr>
              <w:t>,</w:t>
            </w:r>
            <w:r w:rsidRPr="00144009">
              <w:rPr>
                <w:rFonts w:ascii="Times New Roman" w:hAnsi="Times New Roman" w:cs="Times New Roman"/>
              </w:rPr>
              <w:t xml:space="preserve"> thereby causing </w:t>
            </w:r>
            <w:r w:rsidR="004F7E79">
              <w:rPr>
                <w:rFonts w:ascii="Times New Roman" w:hAnsi="Times New Roman" w:cs="Times New Roman"/>
              </w:rPr>
              <w:t xml:space="preserve">the </w:t>
            </w:r>
            <w:r w:rsidRPr="00144009">
              <w:rPr>
                <w:rFonts w:ascii="Times New Roman" w:hAnsi="Times New Roman" w:cs="Times New Roman"/>
              </w:rPr>
              <w:t>death of the parasite</w:t>
            </w:r>
            <w:r w:rsidR="00D64768">
              <w:rPr>
                <w:rFonts w:ascii="Times New Roman" w:hAnsi="Times New Roman" w:cs="Times New Roman"/>
              </w:rPr>
              <w:t>.</w:t>
            </w:r>
            <w:r w:rsidRPr="00144009">
              <w:rPr>
                <w:rFonts w:ascii="Times New Roman" w:hAnsi="Times New Roman" w:cs="Times New Roman"/>
              </w:rPr>
              <w:t xml:space="preserve"> </w:t>
            </w:r>
          </w:p>
        </w:tc>
        <w:tc>
          <w:tcPr>
            <w:tcW w:w="1426" w:type="dxa"/>
          </w:tcPr>
          <w:p w14:paraId="0298E89F"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Endoplasmic reticulum</w:t>
            </w:r>
          </w:p>
        </w:tc>
        <w:tc>
          <w:tcPr>
            <w:tcW w:w="1918" w:type="dxa"/>
          </w:tcPr>
          <w:p w14:paraId="3F20C785"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Mutations in the parasite's kelch13 gene and altered drug uptake and metabolism</w:t>
            </w:r>
          </w:p>
        </w:tc>
        <w:tc>
          <w:tcPr>
            <w:tcW w:w="1398" w:type="dxa"/>
          </w:tcPr>
          <w:p w14:paraId="67931627" w14:textId="22B5AD8C" w:rsidR="00144009" w:rsidRPr="00144009" w:rsidRDefault="00081951" w:rsidP="00372EFD">
            <w:pPr>
              <w:rPr>
                <w:rFonts w:ascii="Times New Roman" w:hAnsi="Times New Roman" w:cs="Times New Roman"/>
              </w:rPr>
            </w:pPr>
            <w:r>
              <w:rPr>
                <w:rFonts w:ascii="Times New Roman" w:hAnsi="Times New Roman" w:cs="Times New Roman"/>
              </w:rPr>
              <w:fldChar w:fldCharType="begin" w:fldLock="1"/>
            </w:r>
            <w:r w:rsidR="00BC09DE">
              <w:rPr>
                <w:rFonts w:ascii="Times New Roman" w:hAnsi="Times New Roman" w:cs="Times New Roman"/>
              </w:rPr>
              <w:instrText>ADDIN CSL_CITATION {"citationItems":[{"id":"ITEM-1","itemData":{"DOI":"10.1016/S1473-3099(20)30064-5","ISSN":"14744457","PMID":"32530424","abstract":"Background: Malaria in pregnancy affects both the mother and the fetus. However, evidence supporting treatment guidelines for uncomplicated (including asymptomatic) falciparum malaria in pregnant women is scarce and assessed in varied ways. We did a systematic literature review and individual patient data (IPD) meta-analysis to compare the efficacy and tolerability of different artemisinin-based or quinine-based treatments for malaria in pregnant women. Methods: We did a systematic review of interventional or observational cohort studies assessing the efficacy of artemisinin-based or quinine-based treatments in pregnancy. Seven databases (MEDLINE, Embase, Global Health, Cochrane Library, Scopus, Web of Science, and Literatura Latino Americana em Ciencias da Saude) and two clinical trial registries (International Clinical Trials Registry Platform and ClinicalTrials.gov) were searched. The final search was done on April 26, 2019. Studies that assessed PCR-corrected treatment efficacy in pregnancy with follow-up of 28 days or more were included. Investigators of identified studies were invited to share data from individual patients. The outcomes assessed included PCR-corrected efficacy, PCR-uncorrected efficacy, parasite clearance, fever clearance, gametocyte development, and acute adverse events. One-stage IPD meta-analysis using Cox and logistic regression with random-effects was done to estimate the risk factors associated with PCR-corrected treatment failure, using artemether-lumefantrine as the reference. This study is registered with PROSPERO, CRD42018104013. Findings: Of the 30 studies assessed, 19 were included, representing 92% of patients in the literature (4968 of 5360 episodes). Risk of PCR-corrected treatment failure was higher for the quinine monotherapy (n=244, adjusted hazard ratio [aHR] 6·11, 95% CI 2·57–14·54, p&lt;0·0001) but lower for artesunate-amodiaquine (n=840, 0·27, 95% 0·14–0·52, p&lt;0·0001), artesunate-mefloquine (n=1028, 0·56, 95% 0·34–0·94, p=0·03), and dihydroartemisinin-piperaquine (n=872, 0·35, 95% CI 0·18–0·68, p=0·002) than artemether-lumefantrine (n=1278) after adjustment for baseline asexual parasitaemia and parity. The risk of gametocyte carriage on day 7 was higher after quinine-based therapy than artemisinin-based treatment (adjusted odds ratio [OR] 7·38, 95% CI 2·29–23·82). Interpretation: Efficacy and tolerability of artemisinin-based combination therapies (ACTs) in pregnant women are better than quinine. The lower effic…","author":[{"dropping-particle":"","family":"Saito","given":"Makoto","non-dropping-particle":"","parse-names":false,"suffix":""},{"dropping-particle":"","family":"Mansoor","given":"Rashid","non-dropping-particle":"","parse-names":false,"suffix":""},{"dropping-particle":"","family":"Kennon","given":"Kalynn","non-dropping-particle":"","parse-names":false,"suffix":""},{"dropping-particle":"","family":"Anvikar","given":"Anupkumar R.","non-dropping-particle":"","parse-names":false,"suffix":""},{"dropping-particle":"","family":"Ashley","given":"Elizabeth A.","non-dropping-particle":"","parse-names":false,"suffix":""},{"dropping-particle":"","family":"Chandramohan","given":"Daniel","non-dropping-particle":"","parse-names":false,"suffix":""},{"dropping-particle":"","family":"Cohee","given":"Lauren M.","non-dropping-particle":"","parse-names":false,"suffix":""},{"dropping-particle":"","family":"D'Alessandro","given":"Umberto","non-dropping-particle":"","parse-names":false,"suffix":""},{"dropping-particle":"","family":"Genton","given":"Blaise","non-dropping-particle":"","parse-names":false,"suffix":""},{"dropping-particle":"","family":"Gilder","given":"Mary Ellen","non-dropping-particle":"","parse-names":false,"suffix":""},{"dropping-particle":"","family":"Juma","given":"Elizabeth","non-dropping-particle":"","parse-names":false,"suffix":""},{"dropping-particle":"","family":"Kalilani-Phiri","given":"Linda","non-dropping-particle":"","parse-names":false,"suffix":""},{"dropping-particle":"","family":"Kuepfer","given":"Irene","non-dropping-particle":"","parse-names":false,"suffix":""},{"dropping-particle":"","family":"Laufer","given":"Miriam K.","non-dropping-particle":"","parse-names":false,"suffix":""},{"dropping-particle":"","family":"Lwin","given":"Khin Maung","non-dropping-particle":"","parse-names":false,"suffix":""},{"dropping-particle":"","family":"Meshnick","given":"Steven R.","non-dropping-particle":"","parse-names":false,"suffix":""},{"dropping-particle":"","family":"Mosha","given":"Dominic","non-dropping-particle":"","parse-names":false,"suffix":""},{"dropping-particle":"","family":"Mwapasa","given":"Victor","non-dropping-particle":"","parse-names":false,"suffix":""},{"dropping-particle":"","family":"Mwebaza","given":"Norah","non-dropping-particle":"","parse-names":false,"suffix":""},{"dropping-particle":"","family":"Nambozi","given":"Michael","non-dropping-particle":"","parse-names":false,"suffix":""},{"dropping-particle":"","family":"Ndiaye","given":"Jean Louis A.","non-dropping-particle":"","parse-names":false,"suffix":""},{"dropping-particle":"","family":"Nosten","given":"François","non-dropping-particle":"","parse-names":false,"suffix":""},{"dropping-particle":"","family":"Nyunt","given":"Myaing","non-dropping-particle":"","parse-names":false,"suffix":""},{"dropping-particle":"","family":"Ogutu","given":"Bernhards","non-dropping-particle":"","parse-names":false,"suffix":""},{"dropping-particle":"","family":"Parikh","given":"Sunil","non-dropping-particle":"","parse-names":false,"suffix":""},{"dropping-particle":"","family":"Paw","given":"Moo Kho","non-dropping-particle":"","parse-names":false,"suffix":""},{"dropping-particle":"","family":"Phyo","given":"Aung Pyae","non-dropping-particle":"","parse-names":false,"suffix":""},{"dropping-particle":"","family":"Pimanpanarak","given":"Mupawjay","non-dropping-particle":"","parse-names":false,"suffix":""},{"dropping-particle":"","family":"Piola","given":"Patrice","non-dropping-particle":"","parse-names":false,"suffix":""},{"dropping-particle":"","family":"Rijken","given":"Marcus J.","non-dropping-particle":"","parse-names":false,"suffix":""},{"dropping-particle":"","family":"Sriprawat","given":"Kanlaya","non-dropping-particle":"","parse-names":false,"suffix":""},{"dropping-particle":"","family":"Tagbor","given":"Harry K.","non-dropping-particle":"","parse-names":false,"suffix":""},{"dropping-particle":"","family":"Tarning","given":"Joel","non-dropping-particle":"","parse-names":false,"suffix":""},{"dropping-particle":"","family":"Tinto","given":"Halidou","non-dropping-particle":"","parse-names":false,"suffix":""},{"dropping-particle":"","family":"Valéa","given":"Innocent","non-dropping-particle":"","parse-names":false,"suffix":""},{"dropping-particle":"","family":"Valecha","given":"Neena","non-dropping-particle":"","parse-names":false,"suffix":""},{"dropping-particle":"","family":"White","given":"Nicholas J.","non-dropping-particle":"","parse-names":false,"suffix":""},{"dropping-particle":"","family":"Wiladphaingern","given":"Jacher","non-dropping-particle":"","parse-names":false,"suffix":""},{"dropping-particle":"","family":"Stepniewska","given":"Kasia","non-dropping-particle":"","parse-names":false,"suffix":""},{"dropping-particle":"","family":"McGready","given":"Rose","non-dropping-particle":"","parse-names":false,"suffix":""},{"dropping-particle":"","family":"Guérin","given":"Philippe J.","non-dropping-particle":"","parse-names":false,"suffix":""}],"container-title":"The Lancet Infectious Diseases","id":"ITEM-1","issue":"8","issued":{"date-parts":[["2020"]]},"page":"943-952","title":"Efficacy and tolerability of artemisinin-based and quinine-based treatments for uncomplicated falciparum malaria in pregnancy: a systematic review and individual patient data meta-analysis","type":"article-journal","volume":"20"},"uris":["http://www.mendeley.com/documents/?uuid=0e6ae303-e8d9-4fb0-a27e-5567cd5378ce","http://www.mendeley.com/documents/?uuid=421503ef-b1bb-4ba1-a2ca-a9fb0c60348d"]}],"mendeley":{"formattedCitation":"(Saito et al., 2020)","plainTextFormattedCitation":"(Saito et al., 2020)","previouslyFormattedCitation":"(Saito et al., 2020)"},"properties":{"noteIndex":0},"schema":"https://github.com/citation-style-language/schema/raw/master/csl-citation.json"}</w:instrText>
            </w:r>
            <w:r>
              <w:rPr>
                <w:rFonts w:ascii="Times New Roman" w:hAnsi="Times New Roman" w:cs="Times New Roman"/>
              </w:rPr>
              <w:fldChar w:fldCharType="separate"/>
            </w:r>
            <w:r w:rsidRPr="00081951">
              <w:rPr>
                <w:rFonts w:ascii="Times New Roman" w:hAnsi="Times New Roman" w:cs="Times New Roman"/>
                <w:noProof/>
              </w:rPr>
              <w:t>(Saito et al., 2020)</w:t>
            </w:r>
            <w:r>
              <w:rPr>
                <w:rFonts w:ascii="Times New Roman" w:hAnsi="Times New Roman" w:cs="Times New Roman"/>
              </w:rPr>
              <w:fldChar w:fldCharType="end"/>
            </w:r>
          </w:p>
        </w:tc>
      </w:tr>
      <w:tr w:rsidR="00F15A58" w:rsidRPr="00144009" w14:paraId="7CEBD7E2" w14:textId="77777777" w:rsidTr="00A46BDD">
        <w:tc>
          <w:tcPr>
            <w:tcW w:w="1549" w:type="dxa"/>
          </w:tcPr>
          <w:p w14:paraId="0EBE2335" w14:textId="77777777" w:rsidR="00144009" w:rsidRPr="00144009" w:rsidRDefault="00144009" w:rsidP="00372EFD">
            <w:pPr>
              <w:rPr>
                <w:rFonts w:ascii="Times New Roman" w:hAnsi="Times New Roman" w:cs="Times New Roman"/>
              </w:rPr>
            </w:pPr>
            <w:proofErr w:type="spellStart"/>
            <w:r w:rsidRPr="00144009">
              <w:rPr>
                <w:rFonts w:ascii="Times New Roman" w:hAnsi="Times New Roman" w:cs="Times New Roman"/>
              </w:rPr>
              <w:t>Lumifrantine</w:t>
            </w:r>
            <w:proofErr w:type="spellEnd"/>
            <w:r w:rsidRPr="00144009">
              <w:rPr>
                <w:rFonts w:ascii="Times New Roman" w:hAnsi="Times New Roman" w:cs="Times New Roman"/>
              </w:rPr>
              <w:t xml:space="preserve"> </w:t>
            </w:r>
          </w:p>
        </w:tc>
        <w:tc>
          <w:tcPr>
            <w:tcW w:w="1392" w:type="dxa"/>
          </w:tcPr>
          <w:p w14:paraId="2F595FED"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Plasmodium spp.</w:t>
            </w:r>
          </w:p>
        </w:tc>
        <w:tc>
          <w:tcPr>
            <w:tcW w:w="2235" w:type="dxa"/>
          </w:tcPr>
          <w:p w14:paraId="12C1DF5E"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It interferes with the function of the parasite's mitochondria, leading to disruption of ATP synthesis and subsequent inhibition of protein synthesis and parasite growth.</w:t>
            </w:r>
          </w:p>
        </w:tc>
        <w:tc>
          <w:tcPr>
            <w:tcW w:w="1426" w:type="dxa"/>
          </w:tcPr>
          <w:p w14:paraId="32A2CB94"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 xml:space="preserve">Mitochondria </w:t>
            </w:r>
          </w:p>
        </w:tc>
        <w:tc>
          <w:tcPr>
            <w:tcW w:w="1918" w:type="dxa"/>
          </w:tcPr>
          <w:p w14:paraId="2A68A99C"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Mutations in the P. Falciparum multidrug resistance 1 (pfmdr1) gene</w:t>
            </w:r>
          </w:p>
        </w:tc>
        <w:tc>
          <w:tcPr>
            <w:tcW w:w="1398" w:type="dxa"/>
          </w:tcPr>
          <w:p w14:paraId="0C3F8C08" w14:textId="2BE44C59" w:rsidR="00144009" w:rsidRPr="00144009" w:rsidRDefault="003D4F79" w:rsidP="00372EFD">
            <w:pPr>
              <w:rPr>
                <w:rFonts w:ascii="Times New Roman" w:hAnsi="Times New Roman" w:cs="Times New Roman"/>
              </w:rPr>
            </w:pPr>
            <w:r>
              <w:rPr>
                <w:rFonts w:ascii="Times New Roman" w:hAnsi="Times New Roman" w:cs="Times New Roman"/>
              </w:rPr>
              <w:fldChar w:fldCharType="begin" w:fldLock="1"/>
            </w:r>
            <w:r w:rsidR="00F15A58">
              <w:rPr>
                <w:rFonts w:ascii="Times New Roman" w:hAnsi="Times New Roman" w:cs="Times New Roman"/>
              </w:rPr>
              <w:instrText>ADDIN CSL_CITATION {"citationItems":[{"id":"ITEM-1","itemData":{"DOI":"10.2337/db16-0806","ISSN":"1939327X","PMID":"27980006","abstract":"The American Diabetes Association, JDRF, the European Association for the Study of Diabetes, and the American Association of Clinical Endocrinologists convened a research symposium, \"The Differentiation of Diabetes by Pathophysiology, Natural History and Prognosis\" on 10-12 October 2015. International experts in genetics, immunology, metabolism, endocrinology, and systems biology discussed genetic and environmental determinants of type 1 and type 2 diabetes risk and progression, as well as complications. The participants debated how to determine appropriate therapeutic approaches based on disease pathophysiology and stage and defined remaining research gaps hindering a personalized medical approach for diabetes to drive the field to address these gaps. The authors recommend a structure for data stratification to define the phenotypes and genotypes of subtypes of diabetes that will facilitate individualized treatment.","author":[{"dropping-particle":"","family":"Skyler","given":"Jay S.","non-dropping-particle":"","parse-names":false,"suffix":""},{"dropping-particle":"","family":"Bakris","given":"George L.","non-dropping-particle":"","parse-names":false,"suffix":""},{"dropping-particle":"","family":"Bonifacio","given":"Ezio","non-dropping-particle":"","parse-names":false,"suffix":""},{"dropping-particle":"","family":"Darsow","given":"Tamara","non-dropping-particle":"","parse-names":false,"suffix":""},{"dropping-particle":"","family":"Eckel","given":"Robert H.","non-dropping-particle":"","parse-names":false,"suffix":""},{"dropping-particle":"","family":"Groop","given":"Leif","non-dropping-particle":"","parse-names":false,"suffix":""},{"dropping-particle":"","family":"Groop","given":"Per Henrik","non-dropping-particle":"","parse-names":false,"suffix":""},{"dropping-particle":"","family":"Handelsman","given":"Yehuda","non-dropping-particle":"","parse-names":false,"suffix":""},{"dropping-particle":"","family":"Insel","given":"Richard A.","non-dropping-particle":"","parse-names":false,"suffix":""},{"dropping-particle":"","family":"Mathieu","given":"Chantal","non-dropping-particle":"","parse-names":false,"suffix":""},{"dropping-particle":"","family":"McElvaine","given":"Allison T.","non-dropping-particle":"","parse-names":false,"suffix":""},{"dropping-particle":"","family":"Palmer","given":"Jerry P.","non-dropping-particle":"","parse-names":false,"suffix":""},{"dropping-particle":"","family":"Pugliese","given":"Alberto","non-dropping-particle":"","parse-names":false,"suffix":""},{"dropping-particle":"","family":"Schatz","given":"Desmond A.","non-dropping-particle":"","parse-names":false,"suffix":""},{"dropping-particle":"","family":"Sosenko","given":"Jay M.","non-dropping-particle":"","parse-names":false,"suffix":""},{"dropping-particle":"","family":"Wilding","given":"John P.H.","non-dropping-particle":"","parse-names":false,"suffix":""},{"dropping-particle":"","family":"Ratner","given":"Robert E.","non-dropping-particle":"","parse-names":false,"suffix":""}],"container-title":"Diabetes","id":"ITEM-1","issue":"2","issued":{"date-parts":[["2017"]]},"page":"241-255","title":"Differentiation of diabetes by pathophysiology, natural history, and prognosis","type":"article-journal","volume":"66"},"uris":["http://www.mendeley.com/documents/?uuid=b330536a-47b5-467b-a01b-9d4d15987969"]}],"mendeley":{"formattedCitation":"(Skyler et al., 2017)","plainTextFormattedCitation":"(Skyler et al., 2017)","previouslyFormattedCitation":"(Skyler et al., 2017)"},"properties":{"noteIndex":0},"schema":"https://github.com/citation-style-language/schema/raw/master/csl-citation.json"}</w:instrText>
            </w:r>
            <w:r>
              <w:rPr>
                <w:rFonts w:ascii="Times New Roman" w:hAnsi="Times New Roman" w:cs="Times New Roman"/>
              </w:rPr>
              <w:fldChar w:fldCharType="separate"/>
            </w:r>
            <w:r w:rsidRPr="003D4F79">
              <w:rPr>
                <w:rFonts w:ascii="Times New Roman" w:hAnsi="Times New Roman" w:cs="Times New Roman"/>
                <w:noProof/>
              </w:rPr>
              <w:t>(Skyler et al., 2017)</w:t>
            </w:r>
            <w:r>
              <w:rPr>
                <w:rFonts w:ascii="Times New Roman" w:hAnsi="Times New Roman" w:cs="Times New Roman"/>
              </w:rPr>
              <w:fldChar w:fldCharType="end"/>
            </w:r>
            <w:r w:rsidR="003A5BFC">
              <w:rPr>
                <w:rFonts w:ascii="Times New Roman" w:hAnsi="Times New Roman" w:cs="Times New Roman"/>
              </w:rPr>
              <w:t xml:space="preserve">, </w:t>
            </w:r>
            <w:r w:rsidR="00F15A58">
              <w:rPr>
                <w:rFonts w:ascii="Times New Roman" w:hAnsi="Times New Roman" w:cs="Times New Roman"/>
              </w:rPr>
              <w:fldChar w:fldCharType="begin" w:fldLock="1"/>
            </w:r>
            <w:r w:rsidR="00722D93">
              <w:rPr>
                <w:rFonts w:ascii="Times New Roman" w:hAnsi="Times New Roman" w:cs="Times New Roman"/>
              </w:rPr>
              <w:instrText>ADDIN CSL_CITATION {"citationItems":[{"id":"ITEM-1","itemData":{"DOI":"10.1016/j.pt.2012.08.002","ISSN":"14714922","PMID":"23020971","abstract":"Plasmodium falciparum resistance to chloroquine, the former gold standard antimalarial drug, is mediated primarily by mutant forms of the chloroquine resistance transporter (PfCRT). These mutations impart upon PfCRT the ability to efflux chloroquine from the intracellular digestive vacuole, the site of drug action. Recent studies reveal that PfCRT variants can also affect parasite fitness, protect immature gametocytes against chloroquine action, and alter P. falciparum susceptibility to current first-line therapies. These results highlight the need to be vigilant in screening for the appearance of novel pfcrt alleles that could contribute to new multi-drug resistance phenotypes. © 2012 Elsevier Ltd.","author":[{"dropping-particle":"","family":"Ecker","given":"Andrea","non-dropping-particle":"","parse-names":false,"suffix":""},{"dropping-particle":"","family":"Lehane","given":"Adele M.","non-dropping-particle":"","parse-names":false,"suffix":""},{"dropping-particle":"","family":"Clain","given":"Jérôme","non-dropping-particle":"","parse-names":false,"suffix":""},{"dropping-particle":"","family":"Fidock","given":"David A.","non-dropping-particle":"","parse-names":false,"suffix":""}],"container-title":"Trends in Parasitology","id":"ITEM-1","issue":"11","issued":{"date-parts":[["2012"]]},"page":"504-514","title":"PfCRT and its role in antimalarial drug resistance","type":"article-journal","volume":"28"},"uris":["http://www.mendeley.com/documents/?uuid=dca687dc-a93d-4af1-a5c6-7b32484a98c1"]}],"mendeley":{"formattedCitation":"(Ecker et al., 2012)","plainTextFormattedCitation":"(Ecker et al., 2012)","previouslyFormattedCitation":"(Ecker et al., 2012)"},"properties":{"noteIndex":0},"schema":"https://github.com/citation-style-language/schema/raw/master/csl-citation.json"}</w:instrText>
            </w:r>
            <w:r w:rsidR="00F15A58">
              <w:rPr>
                <w:rFonts w:ascii="Times New Roman" w:hAnsi="Times New Roman" w:cs="Times New Roman"/>
              </w:rPr>
              <w:fldChar w:fldCharType="separate"/>
            </w:r>
            <w:r w:rsidR="00F15A58" w:rsidRPr="00F15A58">
              <w:rPr>
                <w:rFonts w:ascii="Times New Roman" w:hAnsi="Times New Roman" w:cs="Times New Roman"/>
                <w:noProof/>
              </w:rPr>
              <w:t>(Ecker et al., 2012)</w:t>
            </w:r>
            <w:r w:rsidR="00F15A58">
              <w:rPr>
                <w:rFonts w:ascii="Times New Roman" w:hAnsi="Times New Roman" w:cs="Times New Roman"/>
              </w:rPr>
              <w:fldChar w:fldCharType="end"/>
            </w:r>
          </w:p>
        </w:tc>
      </w:tr>
      <w:tr w:rsidR="00F15A58" w:rsidRPr="00144009" w14:paraId="32DD6BA8" w14:textId="77777777" w:rsidTr="00A46BDD">
        <w:tc>
          <w:tcPr>
            <w:tcW w:w="1549" w:type="dxa"/>
          </w:tcPr>
          <w:p w14:paraId="7EC5F627"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 xml:space="preserve">Pyronaridine </w:t>
            </w:r>
          </w:p>
        </w:tc>
        <w:tc>
          <w:tcPr>
            <w:tcW w:w="1392" w:type="dxa"/>
          </w:tcPr>
          <w:p w14:paraId="0B813C85" w14:textId="60F760D9" w:rsidR="00144009" w:rsidRPr="00144009" w:rsidRDefault="00144009" w:rsidP="00372EFD">
            <w:pPr>
              <w:rPr>
                <w:rFonts w:ascii="Times New Roman" w:hAnsi="Times New Roman" w:cs="Times New Roman"/>
              </w:rPr>
            </w:pPr>
            <w:r w:rsidRPr="00144009">
              <w:rPr>
                <w:rFonts w:ascii="Times New Roman" w:hAnsi="Times New Roman" w:cs="Times New Roman"/>
              </w:rPr>
              <w:t xml:space="preserve">Plasmodium falciparum and </w:t>
            </w:r>
            <w:r w:rsidR="004F7E79">
              <w:rPr>
                <w:rFonts w:ascii="Times New Roman" w:hAnsi="Times New Roman" w:cs="Times New Roman"/>
              </w:rPr>
              <w:t>P</w:t>
            </w:r>
            <w:r w:rsidRPr="00144009">
              <w:rPr>
                <w:rFonts w:ascii="Times New Roman" w:hAnsi="Times New Roman" w:cs="Times New Roman"/>
              </w:rPr>
              <w:t>lasmodium vivax</w:t>
            </w:r>
          </w:p>
        </w:tc>
        <w:tc>
          <w:tcPr>
            <w:tcW w:w="2235" w:type="dxa"/>
          </w:tcPr>
          <w:p w14:paraId="77FB61A7" w14:textId="1A51426D" w:rsidR="00144009" w:rsidRPr="00144009" w:rsidRDefault="00144009" w:rsidP="00372EFD">
            <w:pPr>
              <w:rPr>
                <w:rFonts w:ascii="Times New Roman" w:hAnsi="Times New Roman" w:cs="Times New Roman"/>
              </w:rPr>
            </w:pPr>
            <w:r w:rsidRPr="00144009">
              <w:rPr>
                <w:rFonts w:ascii="Times New Roman" w:hAnsi="Times New Roman" w:cs="Times New Roman"/>
              </w:rPr>
              <w:t xml:space="preserve">It inhibits the </w:t>
            </w:r>
            <w:proofErr w:type="spellStart"/>
            <w:r w:rsidRPr="00144009">
              <w:rPr>
                <w:rFonts w:ascii="Times New Roman" w:hAnsi="Times New Roman" w:cs="Times New Roman"/>
              </w:rPr>
              <w:t>heme</w:t>
            </w:r>
            <w:proofErr w:type="spellEnd"/>
            <w:r w:rsidRPr="00144009">
              <w:rPr>
                <w:rFonts w:ascii="Times New Roman" w:hAnsi="Times New Roman" w:cs="Times New Roman"/>
              </w:rPr>
              <w:t xml:space="preserve"> detoxification process in the malaria parasite.</w:t>
            </w:r>
            <w:r w:rsidR="004F7E79">
              <w:rPr>
                <w:rFonts w:ascii="Times New Roman" w:hAnsi="Times New Roman" w:cs="Times New Roman"/>
              </w:rPr>
              <w:t xml:space="preserve"> In addition,</w:t>
            </w:r>
            <w:r w:rsidRPr="00144009">
              <w:rPr>
                <w:rFonts w:ascii="Times New Roman" w:hAnsi="Times New Roman" w:cs="Times New Roman"/>
              </w:rPr>
              <w:t xml:space="preserve"> </w:t>
            </w:r>
            <w:proofErr w:type="spellStart"/>
            <w:r w:rsidRPr="00144009">
              <w:rPr>
                <w:rFonts w:ascii="Times New Roman" w:hAnsi="Times New Roman" w:cs="Times New Roman"/>
              </w:rPr>
              <w:t>Pyronaridine</w:t>
            </w:r>
            <w:proofErr w:type="spellEnd"/>
            <w:r w:rsidRPr="00144009">
              <w:rPr>
                <w:rFonts w:ascii="Times New Roman" w:hAnsi="Times New Roman" w:cs="Times New Roman"/>
              </w:rPr>
              <w:t xml:space="preserve"> interacts with </w:t>
            </w:r>
            <w:proofErr w:type="spellStart"/>
            <w:r w:rsidRPr="00144009">
              <w:rPr>
                <w:rFonts w:ascii="Times New Roman" w:hAnsi="Times New Roman" w:cs="Times New Roman"/>
              </w:rPr>
              <w:t>heme</w:t>
            </w:r>
            <w:proofErr w:type="spellEnd"/>
            <w:r w:rsidRPr="00144009">
              <w:rPr>
                <w:rFonts w:ascii="Times New Roman" w:hAnsi="Times New Roman" w:cs="Times New Roman"/>
              </w:rPr>
              <w:t xml:space="preserve"> released during h</w:t>
            </w:r>
            <w:r w:rsidR="004F7E79">
              <w:rPr>
                <w:rFonts w:ascii="Times New Roman" w:hAnsi="Times New Roman" w:cs="Times New Roman"/>
              </w:rPr>
              <w:t>a</w:t>
            </w:r>
            <w:r w:rsidRPr="00144009">
              <w:rPr>
                <w:rFonts w:ascii="Times New Roman" w:hAnsi="Times New Roman" w:cs="Times New Roman"/>
              </w:rPr>
              <w:t xml:space="preserve">emoglobin digestion by the parasite and prevents its conversion into hemozoin, a non-toxic crystalline form. As a result, the accumulation of toxic </w:t>
            </w:r>
            <w:proofErr w:type="spellStart"/>
            <w:r w:rsidRPr="00144009">
              <w:rPr>
                <w:rFonts w:ascii="Times New Roman" w:hAnsi="Times New Roman" w:cs="Times New Roman"/>
              </w:rPr>
              <w:t>heme</w:t>
            </w:r>
            <w:proofErr w:type="spellEnd"/>
            <w:r w:rsidRPr="00144009">
              <w:rPr>
                <w:rFonts w:ascii="Times New Roman" w:hAnsi="Times New Roman" w:cs="Times New Roman"/>
              </w:rPr>
              <w:t xml:space="preserve"> molecules within the parasite leads to its death.</w:t>
            </w:r>
          </w:p>
        </w:tc>
        <w:tc>
          <w:tcPr>
            <w:tcW w:w="1426" w:type="dxa"/>
          </w:tcPr>
          <w:p w14:paraId="01DE2B5F" w14:textId="77777777" w:rsidR="00144009" w:rsidRPr="00144009" w:rsidRDefault="00144009" w:rsidP="00372EFD">
            <w:pPr>
              <w:rPr>
                <w:rFonts w:ascii="Times New Roman" w:hAnsi="Times New Roman" w:cs="Times New Roman"/>
              </w:rPr>
            </w:pPr>
          </w:p>
        </w:tc>
        <w:tc>
          <w:tcPr>
            <w:tcW w:w="1918" w:type="dxa"/>
          </w:tcPr>
          <w:p w14:paraId="43329DF9"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The exact mechanisms of resistance are not well-defined but may involve mutations in the parasite's drug target or alterations in drug transport or metabolism.</w:t>
            </w:r>
          </w:p>
        </w:tc>
        <w:tc>
          <w:tcPr>
            <w:tcW w:w="1398" w:type="dxa"/>
          </w:tcPr>
          <w:p w14:paraId="07E337B9" w14:textId="5BA48FFD" w:rsidR="00144009" w:rsidRPr="00144009" w:rsidRDefault="00081951" w:rsidP="00372EFD">
            <w:pPr>
              <w:rPr>
                <w:rFonts w:ascii="Times New Roman" w:hAnsi="Times New Roman" w:cs="Times New Roman"/>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{"citationItems":[{"id":"ITEM-1","itemData":{"DOI":"10.1371/journal.pntd.0008255","ISBN":"1111111111","ISSN":"19352735","PMID":"32530913","abstract":"Background Vivax malaria is an important public health problem in the Greater Mekong Subregion (GMS), including the China-Myanmar border. Previous studies have found that Plasmodium vivax has decreased sensitivity to antimalarial drugs in some areas of the GMS, but the sensitivity of P. vivax to antimalarial drugs is unclear in the China-Myanmar border. Here, we investigate the drug sensitivity profile and genetic variations for two drug resistance related genes in P. vivax isolates to provide baseline information for future drug studies in the China-Myanmar border. Methodology/Principal findings A total of 64 P. vivax clinical isolates collected from the China-Myanmar border area were assessed for ex vivo susceptibility to eight antimalarial drugs by the schizont maturation assay. The medians of IC50 (half-maximum inhibitory concentrations) for chloroquine, mef-loquine, pyronaridine, piperaquine, quinine, artesunate, artemether, dihydroartemisinin were 84.2 nM, 34.9 nM, 4.0 nM, 22.3 nM, 41.4 nM, 2.8 nM, 2.1 nM and 2.0 nM, respectively. Twelve P. vivax clinical isolates were found over the cut-off IC50 value (220 nM) for chloro-quine resistance. In addition, sequence polymorphisms in pvmdr1 (P. vivax multidrug resistance-1), pvcrt-o (P. vivax chloroquine resistance transporter-o), and difference in pvmdr1 copy number were studied. Sequencing of the pvmdr1 gene in 52 samples identified 12 amino acid substitutions, among which two (G698S and T958M) were fixed, M908L were present in 98.1% of the isolates, while Y976F and F1076L were present in 3.8% and 78.8% of the isolates, respectively. Amplification of the pvmdr1 gene was only detected in 4.8% of the samples. Sequencing of the pvcrt-o in 59 parasite isolates identified a single lysine inser-tion at position 10 in 32.2% of the isolates. The pvmdr1 M908L substitutions in pvmdr1 in our samples was associated with reduced sensitivity to chloroquine, mefloquine, pyronari-dine, piperaquine, quinine, artesunate and dihydroartemisinin. Conclusions Our findings depict a drug sensitivity profile and genetic variations of the P. vivax isolates from the China-Myanmar border area, and suggest possible emergence of chloroquine resistant P. vivax isolates in the region, which demands further efforts for resistance monitoring and mechanism studies.","author":[{"dropping-particle":"","family":"Li","given":"Jiangyan","non-dropping-particle":"","parse-names":false,"suffix":""},{"dropping-particle":"","family":"Zhang","given":"Jie","non-dropping-particle":"","parse-names":false,"suffix":""},{"dropping-particle":"","family":"Li","given":"Qian","non-dropping-particle":"","parse-names":false,"suffix":""},{"dropping-particle":"","family":"Hu","given":"Yue","non-dropping-particle":"","parse-names":false,"suffix":""},{"dropping-particle":"","family":"Ruan","given":"Yonghua","non-dropping-particle":"","parse-names":false,"suffix":""},{"dropping-particle":"","family":"Tao","given":"Zhiyong","non-dropping-particle":"","parse-names":false,"suffix":""},{"dropping-particle":"","family":"Xia","given":"Hui","non-dropping-particle":"","parse-names":false,"suffix":""},{"dropping-particle":"","family":"Qiao","given":"Jichen","non-dropping-particle":"","parse-names":false,"suffix":""},{"dropping-particle":"","family":"Meng","given":"Lingwen","non-dropping-particle":"","parse-names":false,"suffix":""},{"dropping-particle":"","family":"Zeng","given":"Weilin","non-dropping-particle":"","parse-names":false,"suffix":""},{"dropping-particle":"","family":"Li","given":"Cuiying","non-dropping-particle":"","parse-names":false,"suffix":""},{"dropping-particle":"","family":"He","given":"Xi","non-dropping-particle":"","parse-names":false,"suffix":""},{"dropping-particle":"","family":"Zhao","given":"Luyi","non-dropping-particle":"","parse-names":false,"suffix":""},{"dropping-particle":"","family":"Siddiqui","given":"Faiza A.","non-dropping-particle":"","parse-names":false,"suffix":""},{"dropping-particle":"","family":"Miao","given":"Jun","non-dropping-particle":"","parse-names":false,"suffix":""},{"dropping-particle":"","family":"Yang","given":"Zhaoqing","non-dropping-particle":"","parse-names":false,"suffix":""},{"dropping-particle":"","family":"Fang","given":"Qiang","non-dropping-particle":"","parse-names":false,"suffix":""},{"dropping-particle":"","family":"Cui","given":"Liwang","non-dropping-particle":"","parse-names":false,"suffix":""}],"container-title":"PLoS Neglected Tropical Diseases","id":"ITEM-1","issue":"6","issued":{"date-parts":[["2020"]]},"page":"1-17","title":"Ex vivo susceptibilities of plasmodium vivax isolates from the China-Myanmar border to antimalarial drugs and association with polymorphisms in PVMDR1 and PVCRT-O genes","type":"article-journal","volume":"14"},"uris":["http://www.mendeley.com/documents/?uuid=b03a08d6-cef4-4df3-96d6-5cc41cec122d"]}],"mendeley":{"formattedCitation":"(Li et al., 2020)","plainTextFormattedCitation":"(Li et al., 2020)","previouslyFormattedCitation":"(Li et al., 2020)"},"properties":{"noteIndex":0},"schema":"https://github.com/citation-style-language/schema/raw/master/csl-citation.json"}</w:instrText>
            </w:r>
            <w:r>
              <w:rPr>
                <w:rFonts w:ascii="Times New Roman" w:hAnsi="Times New Roman" w:cs="Times New Roman"/>
              </w:rPr>
              <w:fldChar w:fldCharType="separate"/>
            </w:r>
            <w:r w:rsidRPr="00081951">
              <w:rPr>
                <w:rFonts w:ascii="Times New Roman" w:hAnsi="Times New Roman" w:cs="Times New Roman"/>
                <w:noProof/>
              </w:rPr>
              <w:t>(Li et al., 2020)</w:t>
            </w:r>
            <w:r>
              <w:rPr>
                <w:rFonts w:ascii="Times New Roman" w:hAnsi="Times New Roman" w:cs="Times New Roman"/>
              </w:rPr>
              <w:fldChar w:fldCharType="end"/>
            </w:r>
          </w:p>
        </w:tc>
      </w:tr>
      <w:tr w:rsidR="00F15A58" w:rsidRPr="00144009" w14:paraId="13A3BA95" w14:textId="77777777" w:rsidTr="00A46BDD">
        <w:tc>
          <w:tcPr>
            <w:tcW w:w="1549" w:type="dxa"/>
          </w:tcPr>
          <w:p w14:paraId="7377CF64"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 xml:space="preserve">Doxycycline </w:t>
            </w:r>
          </w:p>
        </w:tc>
        <w:tc>
          <w:tcPr>
            <w:tcW w:w="1392" w:type="dxa"/>
          </w:tcPr>
          <w:p w14:paraId="565C147B" w14:textId="2C897E45" w:rsidR="00144009" w:rsidRPr="00144009" w:rsidRDefault="00144009" w:rsidP="00372EFD">
            <w:pPr>
              <w:rPr>
                <w:rFonts w:ascii="Times New Roman" w:hAnsi="Times New Roman" w:cs="Times New Roman"/>
              </w:rPr>
            </w:pPr>
            <w:r w:rsidRPr="00144009">
              <w:rPr>
                <w:rFonts w:ascii="Times New Roman" w:hAnsi="Times New Roman" w:cs="Times New Roman"/>
              </w:rPr>
              <w:t xml:space="preserve">Plasmodium </w:t>
            </w:r>
            <w:r w:rsidR="004F7E79">
              <w:rPr>
                <w:rFonts w:ascii="Times New Roman" w:hAnsi="Times New Roman" w:cs="Times New Roman"/>
              </w:rPr>
              <w:t>s</w:t>
            </w:r>
            <w:r w:rsidRPr="00144009">
              <w:rPr>
                <w:rFonts w:ascii="Times New Roman" w:hAnsi="Times New Roman" w:cs="Times New Roman"/>
              </w:rPr>
              <w:t>pp.</w:t>
            </w:r>
          </w:p>
        </w:tc>
        <w:tc>
          <w:tcPr>
            <w:tcW w:w="2235" w:type="dxa"/>
          </w:tcPr>
          <w:p w14:paraId="258A94EB" w14:textId="0EA470F6" w:rsidR="00144009" w:rsidRPr="00144009" w:rsidRDefault="00144009" w:rsidP="00372EFD">
            <w:pPr>
              <w:rPr>
                <w:rFonts w:ascii="Times New Roman" w:hAnsi="Times New Roman" w:cs="Times New Roman"/>
              </w:rPr>
            </w:pPr>
            <w:r w:rsidRPr="00144009">
              <w:rPr>
                <w:rFonts w:ascii="Times New Roman" w:hAnsi="Times New Roman" w:cs="Times New Roman"/>
              </w:rPr>
              <w:t>It disrupts protein synthesis in Plasmodium Parasites, inhibiting their growth and replication</w:t>
            </w:r>
            <w:r w:rsidR="00D64768">
              <w:rPr>
                <w:rFonts w:ascii="Times New Roman" w:hAnsi="Times New Roman" w:cs="Times New Roman"/>
              </w:rPr>
              <w:t>.</w:t>
            </w:r>
          </w:p>
        </w:tc>
        <w:tc>
          <w:tcPr>
            <w:tcW w:w="1426" w:type="dxa"/>
          </w:tcPr>
          <w:p w14:paraId="507FB3DE"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 xml:space="preserve">Ribosome </w:t>
            </w:r>
          </w:p>
        </w:tc>
        <w:tc>
          <w:tcPr>
            <w:tcW w:w="1918" w:type="dxa"/>
          </w:tcPr>
          <w:p w14:paraId="4E2423D7" w14:textId="5DC4AA53" w:rsidR="00144009" w:rsidRPr="00144009" w:rsidRDefault="00144009" w:rsidP="00372EFD">
            <w:pPr>
              <w:rPr>
                <w:rFonts w:ascii="Times New Roman" w:hAnsi="Times New Roman" w:cs="Times New Roman"/>
              </w:rPr>
            </w:pPr>
            <w:r w:rsidRPr="00144009">
              <w:rPr>
                <w:rFonts w:ascii="Times New Roman" w:hAnsi="Times New Roman" w:cs="Times New Roman"/>
              </w:rPr>
              <w:t>Mutation in the protozoan ribosomal subunits</w:t>
            </w:r>
            <w:r w:rsidR="004F7E79">
              <w:rPr>
                <w:rFonts w:ascii="Times New Roman" w:hAnsi="Times New Roman" w:cs="Times New Roman"/>
              </w:rPr>
              <w:t xml:space="preserve"> alters the drug's binding affinity</w:t>
            </w:r>
            <w:r w:rsidRPr="00144009">
              <w:rPr>
                <w:rFonts w:ascii="Times New Roman" w:hAnsi="Times New Roman" w:cs="Times New Roman"/>
              </w:rPr>
              <w:t>.</w:t>
            </w:r>
          </w:p>
        </w:tc>
        <w:tc>
          <w:tcPr>
            <w:tcW w:w="1398" w:type="dxa"/>
          </w:tcPr>
          <w:p w14:paraId="5B7FC0ED" w14:textId="606AB94D" w:rsidR="00144009" w:rsidRPr="00144009" w:rsidRDefault="00663DCE" w:rsidP="00372EFD">
            <w:pPr>
              <w:rPr>
                <w:rFonts w:ascii="Times New Roman" w:hAnsi="Times New Roman" w:cs="Times New Roman"/>
              </w:rPr>
            </w:pPr>
            <w:r>
              <w:rPr>
                <w:rFonts w:ascii="Times New Roman" w:hAnsi="Times New Roman" w:cs="Times New Roman"/>
              </w:rPr>
              <w:fldChar w:fldCharType="begin" w:fldLock="1"/>
            </w:r>
            <w:r w:rsidR="003D4F79">
              <w:rPr>
                <w:rFonts w:ascii="Times New Roman" w:hAnsi="Times New Roman" w:cs="Times New Roman"/>
              </w:rPr>
              <w:instrText>ADDIN CSL_CITATION {"citationItems":[{"id":"ITEM-1","itemData":{"DOI":"10.4269/ajtmh.20-0241","ISSN":"14761645","PMID":"32815505","abstract":"International travelers are frequently at risk for travelers’ diarrhea (TD) and malaria. Doxycycline was one of the earliest antibiotics shown to have efficacy in TD prevention. With increasing resistance and recommendations against antibiotic chemoprophylaxis, doxycycline fell out of use. We evaluated TD incidence and risk factors in a prospective cohort of travelers, specifically in regard to malaria prophylaxis. Travelers’ diarrhea was defined as 3 3 loose stools in 24 hours or two loose stools in 24 hours associated with other gastrointestinal symptoms. The Poisson regression model with robust error variance was used to estimate the RR of TD. Three thousand two hundred twenty-seven trips were enrolled: 62.1% of participants were male, with a median age of 39 years (interquartile range [IQR] 27,59) and a median travel duration of 19 days (IQR 12,49); 17.4% developed TD; 32% traveled to Africa, 40% to Asia, and 27% to the Caribbean and Latin America; and 20% took doxycycline for malaria chemoprophylaxis, 50% took other antimalarials, and 30% took none. Decreased RR of TD was associated with doxycycline (RR 0.62 [0.47–0.82], P &lt; 0.01) and military travel (RR 0.57 [0.47–0.70], P &lt; 0.01). Increased risk of TD was associated with female gender (RR 1.28 [1.09–1.50], P &lt; 0.01), hotel accommodations (RR 1.30 [1.10–1.53], P &lt; 0.01), travel to tropical South America (RR 1.34 [1.09–1.64], P &lt; 0.01), and duration of travel (RR 1.00 [1.00–1.01], P &lt; 0.01). The use of doxycycline for malaria prophylaxis is associated with lower TD risk, suggesting increasing bacterial enteropathogen susceptibility similar to previous observations. Doxycycline selection for antimalarial chemoprophylaxis may provide additional traveler benefit in infection prevention.","author":[{"dropping-particle":"","family":"Lago","given":"Kathryn","non-dropping-particle":"","parse-names":false,"suffix":""},{"dropping-particle":"","family":"Telu","given":"Kalyani","non-dropping-particle":"","parse-names":false,"suffix":""},{"dropping-particle":"","family":"Tribble","given":"David","non-dropping-particle":"","parse-names":false,"suffix":""},{"dropping-particle":"","family":"Ganesan","given":"Anuradha","non-dropping-particle":"","parse-names":false,"suffix":""},{"dropping-particle":"","family":"Kunz","given":"Anjali","non-dropping-particle":"","parse-names":false,"suffix":""},{"dropping-particle":"","family":"Geist","given":"Charla","non-dropping-particle":"","parse-names":false,"suffix":""},{"dropping-particle":"","family":"Fraser","given":"Jamie","non-dropping-particle":"","parse-names":false,"suffix":""},{"dropping-particle":"","family":"Mitra","given":"Indrani","non-dropping-particle":"","parse-names":false,"suffix":""},{"dropping-particle":"","family":"Lalani","given":"Tahaniyat","non-dropping-particle":"","parse-names":false,"suffix":""},{"dropping-particle":"","family":"Yun","given":"Heather C.","non-dropping-particle":"","parse-names":false,"suffix":""}],"container-title":"American Journal of Tropical Medicine and Hygiene","id":"ITEM-1","issue":"5","issued":{"date-parts":[["2020"]]},"page":"1864-1870","title":"Doxycycline Malaria Prophylaxis Impact on Risk of Travelers’ Diarrhea among International Travelers","type":"article-journal","volume":"103"},"uris":["http://www.mendeley.com/documents/?uuid=2bd710d1-962e-42f3-83a0-b5aab77b26d5"]}],"mendeley":{"formattedCitation":"(Lago et al., 2020)","plainTextFormattedCitation":"(Lago et al., 2020)","previouslyFormattedCitation":"(Lago et al., 2020)"},"properties":{"noteIndex":0},"schema":"https://github.com/citation-style-language/schema/raw/master/csl-citation.json"}</w:instrText>
            </w:r>
            <w:r>
              <w:rPr>
                <w:rFonts w:ascii="Times New Roman" w:hAnsi="Times New Roman" w:cs="Times New Roman"/>
              </w:rPr>
              <w:fldChar w:fldCharType="separate"/>
            </w:r>
            <w:r w:rsidRPr="00663DCE">
              <w:rPr>
                <w:rFonts w:ascii="Times New Roman" w:hAnsi="Times New Roman" w:cs="Times New Roman"/>
                <w:noProof/>
              </w:rPr>
              <w:t>(Lago et al., 2020)</w:t>
            </w:r>
            <w:r>
              <w:rPr>
                <w:rFonts w:ascii="Times New Roman" w:hAnsi="Times New Roman" w:cs="Times New Roman"/>
              </w:rPr>
              <w:fldChar w:fldCharType="end"/>
            </w:r>
          </w:p>
          <w:p w14:paraId="4F192B6C" w14:textId="77777777" w:rsidR="00144009" w:rsidRPr="00144009" w:rsidRDefault="00144009" w:rsidP="00372EFD">
            <w:pPr>
              <w:rPr>
                <w:rFonts w:ascii="Times New Roman" w:hAnsi="Times New Roman" w:cs="Times New Roman"/>
              </w:rPr>
            </w:pPr>
          </w:p>
        </w:tc>
      </w:tr>
      <w:tr w:rsidR="00F15A58" w:rsidRPr="00144009" w14:paraId="77DAABF8" w14:textId="77777777" w:rsidTr="00A46BDD">
        <w:tc>
          <w:tcPr>
            <w:tcW w:w="1549" w:type="dxa"/>
          </w:tcPr>
          <w:p w14:paraId="0B39B2A2"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t xml:space="preserve">Clindamycin </w:t>
            </w:r>
          </w:p>
        </w:tc>
        <w:tc>
          <w:tcPr>
            <w:tcW w:w="1392" w:type="dxa"/>
          </w:tcPr>
          <w:p w14:paraId="3F86B5C9" w14:textId="3820B2F9" w:rsidR="00144009" w:rsidRPr="00144009" w:rsidRDefault="00144009" w:rsidP="00372EFD">
            <w:pPr>
              <w:rPr>
                <w:rFonts w:ascii="Times New Roman" w:hAnsi="Times New Roman" w:cs="Times New Roman"/>
              </w:rPr>
            </w:pPr>
            <w:r w:rsidRPr="00144009">
              <w:rPr>
                <w:rFonts w:ascii="Times New Roman" w:hAnsi="Times New Roman" w:cs="Times New Roman"/>
              </w:rPr>
              <w:t xml:space="preserve">Plasmodium </w:t>
            </w:r>
            <w:r w:rsidR="004F7E79">
              <w:rPr>
                <w:rFonts w:ascii="Times New Roman" w:hAnsi="Times New Roman" w:cs="Times New Roman"/>
              </w:rPr>
              <w:t>s</w:t>
            </w:r>
            <w:r w:rsidRPr="00144009">
              <w:rPr>
                <w:rFonts w:ascii="Times New Roman" w:hAnsi="Times New Roman" w:cs="Times New Roman"/>
              </w:rPr>
              <w:t>pp.</w:t>
            </w:r>
          </w:p>
        </w:tc>
        <w:tc>
          <w:tcPr>
            <w:tcW w:w="2235" w:type="dxa"/>
          </w:tcPr>
          <w:p w14:paraId="2DF8BE0E" w14:textId="0FE691AC" w:rsidR="00144009" w:rsidRPr="00144009" w:rsidRDefault="00144009" w:rsidP="00372EFD">
            <w:pPr>
              <w:rPr>
                <w:rFonts w:ascii="Times New Roman" w:hAnsi="Times New Roman" w:cs="Times New Roman"/>
              </w:rPr>
            </w:pPr>
            <w:r w:rsidRPr="00144009">
              <w:rPr>
                <w:rFonts w:ascii="Times New Roman" w:hAnsi="Times New Roman" w:cs="Times New Roman"/>
              </w:rPr>
              <w:t xml:space="preserve">It specifically acts on the mitochondrial protein synthesis machinery of the parasite, leading to </w:t>
            </w:r>
            <w:r w:rsidRPr="00144009">
              <w:rPr>
                <w:rFonts w:ascii="Times New Roman" w:hAnsi="Times New Roman" w:cs="Times New Roman"/>
              </w:rPr>
              <w:lastRenderedPageBreak/>
              <w:t>impaired protein synthesis within the organelle and subsequent parasite death</w:t>
            </w:r>
            <w:r w:rsidR="00D64768">
              <w:rPr>
                <w:rFonts w:ascii="Times New Roman" w:hAnsi="Times New Roman" w:cs="Times New Roman"/>
              </w:rPr>
              <w:t>.</w:t>
            </w:r>
          </w:p>
        </w:tc>
        <w:tc>
          <w:tcPr>
            <w:tcW w:w="1426" w:type="dxa"/>
          </w:tcPr>
          <w:p w14:paraId="3A9FF75A" w14:textId="77777777" w:rsidR="00144009" w:rsidRPr="00144009" w:rsidRDefault="00144009" w:rsidP="00372EFD">
            <w:pPr>
              <w:rPr>
                <w:rFonts w:ascii="Times New Roman" w:hAnsi="Times New Roman" w:cs="Times New Roman"/>
              </w:rPr>
            </w:pPr>
            <w:r w:rsidRPr="00144009">
              <w:rPr>
                <w:rFonts w:ascii="Times New Roman" w:hAnsi="Times New Roman" w:cs="Times New Roman"/>
              </w:rPr>
              <w:lastRenderedPageBreak/>
              <w:t xml:space="preserve">Ribosome </w:t>
            </w:r>
          </w:p>
        </w:tc>
        <w:tc>
          <w:tcPr>
            <w:tcW w:w="1918" w:type="dxa"/>
          </w:tcPr>
          <w:p w14:paraId="25E1107D" w14:textId="5E6E1B0D" w:rsidR="00144009" w:rsidRPr="00144009" w:rsidRDefault="00144009" w:rsidP="00372EFD">
            <w:pPr>
              <w:rPr>
                <w:rFonts w:ascii="Times New Roman" w:hAnsi="Times New Roman" w:cs="Times New Roman"/>
              </w:rPr>
            </w:pPr>
            <w:r w:rsidRPr="00144009">
              <w:rPr>
                <w:rFonts w:ascii="Times New Roman" w:hAnsi="Times New Roman" w:cs="Times New Roman"/>
              </w:rPr>
              <w:t xml:space="preserve">Alterations in the </w:t>
            </w:r>
            <w:r w:rsidR="004F7E79">
              <w:rPr>
                <w:rFonts w:ascii="Times New Roman" w:hAnsi="Times New Roman" w:cs="Times New Roman"/>
              </w:rPr>
              <w:t>drug's target site (ribosomal subunit)</w:t>
            </w:r>
            <w:r w:rsidRPr="00144009">
              <w:rPr>
                <w:rFonts w:ascii="Times New Roman" w:hAnsi="Times New Roman" w:cs="Times New Roman"/>
              </w:rPr>
              <w:t xml:space="preserve"> or the acquisition of </w:t>
            </w:r>
            <w:r w:rsidRPr="00144009">
              <w:rPr>
                <w:rFonts w:ascii="Times New Roman" w:hAnsi="Times New Roman" w:cs="Times New Roman"/>
              </w:rPr>
              <w:lastRenderedPageBreak/>
              <w:t>enzymes that modify or inactivate the drug.</w:t>
            </w:r>
          </w:p>
        </w:tc>
        <w:tc>
          <w:tcPr>
            <w:tcW w:w="1398" w:type="dxa"/>
          </w:tcPr>
          <w:p w14:paraId="46424840" w14:textId="02DB7B5E" w:rsidR="00144009" w:rsidRPr="00144009" w:rsidRDefault="00081951" w:rsidP="00372EFD">
            <w:pPr>
              <w:rPr>
                <w:rFonts w:ascii="Times New Roman" w:hAnsi="Times New Roman" w:cs="Times New Roman"/>
              </w:rPr>
            </w:pPr>
            <w:r>
              <w:rPr>
                <w:rFonts w:ascii="Times New Roman" w:hAnsi="Times New Roman" w:cs="Times New Roman"/>
              </w:rPr>
              <w:lastRenderedPageBreak/>
              <w:fldChar w:fldCharType="begin" w:fldLock="1"/>
            </w:r>
            <w:r w:rsidR="00BC09DE">
              <w:rPr>
                <w:rFonts w:ascii="Times New Roman" w:hAnsi="Times New Roman" w:cs="Times New Roman"/>
              </w:rPr>
              <w:instrText>ADDIN CSL_CITATION {"citationItems":[{"id":"ITEM-1","itemData":{"ISSN":"0951-7375","container-title":"Current Opinion in Infectious Diseases","id":"ITEM-1","issue":"6","issued":{"date-parts":[["2003"]]},"title":"Current World Literature","type":"article-journal","volume":"16"},"uris":["http://www.mendeley.com/documents/?uuid=2e3ca034-9d3b-4aaf-95ca-c445260f039c","http://www.mendeley.com/documents/?uuid=40475a1e-8064-44f3-ac17-724cbbb5b40d"]}],"mendeley":{"formattedCitation":"(“Current World Literature,” 2003)","plainTextFormattedCitation":"(“Current World Literature,” 2003)","previouslyFormattedCitation":"(“Current World Literature,” 2003)"},"properties":{"noteIndex":0},"schema":"https://github.com/citation-style-language/schema/raw/master/csl-citation.json"}</w:instrText>
            </w:r>
            <w:r>
              <w:rPr>
                <w:rFonts w:ascii="Times New Roman" w:hAnsi="Times New Roman" w:cs="Times New Roman"/>
              </w:rPr>
              <w:fldChar w:fldCharType="separate"/>
            </w:r>
            <w:r w:rsidRPr="00081951">
              <w:rPr>
                <w:rFonts w:ascii="Times New Roman" w:hAnsi="Times New Roman" w:cs="Times New Roman"/>
                <w:noProof/>
              </w:rPr>
              <w:t>(“Current World Literature,” 2003)</w:t>
            </w:r>
            <w:r>
              <w:rPr>
                <w:rFonts w:ascii="Times New Roman" w:hAnsi="Times New Roman" w:cs="Times New Roman"/>
              </w:rPr>
              <w:fldChar w:fldCharType="end"/>
            </w:r>
          </w:p>
        </w:tc>
      </w:tr>
    </w:tbl>
    <w:p w14:paraId="15EB65A3" w14:textId="77777777" w:rsidR="00144009" w:rsidRPr="00F3795D" w:rsidRDefault="00144009" w:rsidP="00372EFD">
      <w:pPr>
        <w:pStyle w:val="ListParagraph"/>
        <w:spacing w:after="0" w:line="276" w:lineRule="auto"/>
        <w:jc w:val="both"/>
        <w:rPr>
          <w:rFonts w:ascii="Times New Roman" w:hAnsi="Times New Roman" w:cs="Times New Roman"/>
          <w:color w:val="000000" w:themeColor="text1"/>
          <w:sz w:val="24"/>
          <w:szCs w:val="24"/>
        </w:rPr>
      </w:pPr>
    </w:p>
    <w:p w14:paraId="754B8E19" w14:textId="08721102" w:rsidR="007B631F" w:rsidRPr="00F3795D" w:rsidRDefault="004F4898" w:rsidP="00372EFD">
      <w:pPr>
        <w:spacing w:after="0" w:line="276" w:lineRule="auto"/>
        <w:jc w:val="both"/>
        <w:rPr>
          <w:rFonts w:ascii="Times New Roman" w:hAnsi="Times New Roman" w:cs="Times New Roman"/>
          <w:b/>
          <w:bCs/>
          <w:color w:val="000000" w:themeColor="text1"/>
          <w:sz w:val="24"/>
          <w:szCs w:val="24"/>
        </w:rPr>
      </w:pPr>
      <w:r w:rsidRPr="00F3795D">
        <w:rPr>
          <w:rFonts w:ascii="Times New Roman" w:hAnsi="Times New Roman" w:cs="Times New Roman"/>
          <w:b/>
          <w:bCs/>
          <w:color w:val="000000" w:themeColor="text1"/>
          <w:sz w:val="24"/>
          <w:szCs w:val="24"/>
        </w:rPr>
        <w:t>Enzyme deficiency</w:t>
      </w:r>
    </w:p>
    <w:p w14:paraId="3D312621" w14:textId="38A7EF1B" w:rsidR="00514BA6" w:rsidRDefault="00A11C47" w:rsidP="00372EFD">
      <w:pPr>
        <w:spacing w:after="0" w:line="276" w:lineRule="auto"/>
        <w:jc w:val="both"/>
        <w:rPr>
          <w:rFonts w:ascii="Times New Roman" w:hAnsi="Times New Roman" w:cs="Times New Roman"/>
          <w:color w:val="000000" w:themeColor="text1"/>
          <w:sz w:val="24"/>
          <w:szCs w:val="24"/>
        </w:rPr>
      </w:pPr>
      <w:r w:rsidRPr="00F3795D">
        <w:rPr>
          <w:rFonts w:ascii="Times New Roman" w:hAnsi="Times New Roman" w:cs="Times New Roman"/>
          <w:color w:val="000000" w:themeColor="text1"/>
          <w:sz w:val="24"/>
          <w:szCs w:val="24"/>
          <w:shd w:val="clear" w:color="auto" w:fill="FFFFFF"/>
        </w:rPr>
        <w:t xml:space="preserve">G6PD is a hereditary, x-linked </w:t>
      </w:r>
      <w:r w:rsidR="00ED6D43" w:rsidRPr="00F3795D">
        <w:rPr>
          <w:rFonts w:ascii="Times New Roman" w:hAnsi="Times New Roman" w:cs="Times New Roman"/>
          <w:color w:val="000000" w:themeColor="text1"/>
          <w:sz w:val="24"/>
          <w:szCs w:val="24"/>
          <w:shd w:val="clear" w:color="auto" w:fill="FFFFFF"/>
        </w:rPr>
        <w:t xml:space="preserve">enzymatic disease </w:t>
      </w:r>
      <w:r w:rsidRPr="00F3795D">
        <w:rPr>
          <w:rFonts w:ascii="Times New Roman" w:hAnsi="Times New Roman" w:cs="Times New Roman"/>
          <w:color w:val="000000" w:themeColor="text1"/>
          <w:sz w:val="24"/>
          <w:szCs w:val="24"/>
          <w:shd w:val="clear" w:color="auto" w:fill="FFFFFF"/>
        </w:rPr>
        <w:t>caused by</w:t>
      </w:r>
      <w:r w:rsidR="00A749D9">
        <w:rPr>
          <w:rFonts w:ascii="Times New Roman" w:hAnsi="Times New Roman" w:cs="Times New Roman"/>
          <w:color w:val="000000" w:themeColor="text1"/>
          <w:sz w:val="24"/>
          <w:szCs w:val="24"/>
          <w:shd w:val="clear" w:color="auto" w:fill="FFFFFF"/>
        </w:rPr>
        <w:t xml:space="preserve"> single nucleotide </w:t>
      </w:r>
      <w:r w:rsidR="00670A77">
        <w:rPr>
          <w:rFonts w:ascii="Times New Roman" w:hAnsi="Times New Roman" w:cs="Times New Roman"/>
          <w:color w:val="000000" w:themeColor="text1"/>
          <w:sz w:val="24"/>
          <w:szCs w:val="24"/>
          <w:shd w:val="clear" w:color="auto" w:fill="FFFFFF"/>
        </w:rPr>
        <w:t>polymorphism</w:t>
      </w:r>
      <w:r w:rsidR="00F9662C">
        <w:rPr>
          <w:rFonts w:ascii="Times New Roman" w:hAnsi="Times New Roman" w:cs="Times New Roman"/>
          <w:color w:val="000000" w:themeColor="text1"/>
          <w:sz w:val="24"/>
          <w:szCs w:val="24"/>
          <w:shd w:val="clear" w:color="auto" w:fill="FFFFFF"/>
        </w:rPr>
        <w:t>s</w:t>
      </w:r>
      <w:r w:rsidR="00670A77">
        <w:rPr>
          <w:rFonts w:ascii="Times New Roman" w:hAnsi="Times New Roman" w:cs="Times New Roman"/>
          <w:color w:val="000000" w:themeColor="text1"/>
          <w:sz w:val="24"/>
          <w:szCs w:val="24"/>
          <w:shd w:val="clear" w:color="auto" w:fill="FFFFFF"/>
        </w:rPr>
        <w:t xml:space="preserve"> </w:t>
      </w:r>
      <w:r w:rsidR="00670A77" w:rsidRPr="00F3795D">
        <w:rPr>
          <w:rFonts w:ascii="Times New Roman" w:hAnsi="Times New Roman" w:cs="Times New Roman"/>
          <w:color w:val="000000" w:themeColor="text1"/>
          <w:sz w:val="24"/>
          <w:szCs w:val="24"/>
          <w:shd w:val="clear" w:color="auto" w:fill="FFFFFF"/>
        </w:rPr>
        <w:t>that</w:t>
      </w:r>
      <w:r w:rsidRPr="00F3795D">
        <w:rPr>
          <w:rFonts w:ascii="Times New Roman" w:hAnsi="Times New Roman" w:cs="Times New Roman"/>
          <w:color w:val="000000" w:themeColor="text1"/>
          <w:sz w:val="24"/>
          <w:szCs w:val="24"/>
          <w:shd w:val="clear" w:color="auto" w:fill="FFFFFF"/>
        </w:rPr>
        <w:t xml:space="preserve"> impair the </w:t>
      </w:r>
      <w:r w:rsidR="00962DCD" w:rsidRPr="00F3795D">
        <w:rPr>
          <w:rFonts w:ascii="Times New Roman" w:hAnsi="Times New Roman" w:cs="Times New Roman"/>
          <w:color w:val="000000" w:themeColor="text1"/>
          <w:sz w:val="24"/>
          <w:szCs w:val="24"/>
          <w:shd w:val="clear" w:color="auto" w:fill="FFFFFF"/>
        </w:rPr>
        <w:t>regular</w:t>
      </w:r>
      <w:r w:rsidRPr="00F3795D">
        <w:rPr>
          <w:rFonts w:ascii="Times New Roman" w:hAnsi="Times New Roman" w:cs="Times New Roman"/>
          <w:color w:val="000000" w:themeColor="text1"/>
          <w:sz w:val="24"/>
          <w:szCs w:val="24"/>
          <w:shd w:val="clear" w:color="auto" w:fill="FFFFFF"/>
        </w:rPr>
        <w:t xml:space="preserve"> operation of the G6PD enzyme. Glucose-6-phosphate dehydrogenase is an enzyme that works in the pentose monophosphate pathway. </w:t>
      </w:r>
      <w:r w:rsidR="000E20F2" w:rsidRPr="00F3795D">
        <w:rPr>
          <w:rFonts w:ascii="Times New Roman" w:hAnsi="Times New Roman" w:cs="Times New Roman"/>
          <w:color w:val="000000" w:themeColor="text1"/>
          <w:sz w:val="24"/>
          <w:szCs w:val="24"/>
          <w:shd w:val="clear" w:color="auto" w:fill="FFFFFF"/>
        </w:rPr>
        <w:t>Red blood cells may prematurely oxidise due to a deficiency of the G6PD enzyme</w:t>
      </w:r>
      <w:r w:rsidR="004D2E18" w:rsidRPr="00F3795D">
        <w:rPr>
          <w:rFonts w:ascii="Times New Roman" w:hAnsi="Times New Roman" w:cs="Times New Roman"/>
          <w:color w:val="000000" w:themeColor="text1"/>
          <w:sz w:val="24"/>
          <w:szCs w:val="24"/>
          <w:shd w:val="clear" w:color="auto" w:fill="FFFFFF"/>
        </w:rPr>
        <w:t>.</w:t>
      </w:r>
      <w:r w:rsidR="000E20F2" w:rsidRPr="00F3795D">
        <w:rPr>
          <w:rFonts w:ascii="Times New Roman" w:hAnsi="Times New Roman" w:cs="Times New Roman"/>
          <w:color w:val="000000" w:themeColor="text1"/>
          <w:sz w:val="24"/>
          <w:szCs w:val="24"/>
          <w:shd w:val="clear" w:color="auto" w:fill="FFFFFF"/>
        </w:rPr>
        <w:t xml:space="preserve"> </w:t>
      </w:r>
      <w:r w:rsidRPr="00F3795D">
        <w:rPr>
          <w:rFonts w:ascii="Times New Roman" w:hAnsi="Times New Roman" w:cs="Times New Roman"/>
          <w:color w:val="000000" w:themeColor="text1"/>
          <w:sz w:val="24"/>
          <w:szCs w:val="24"/>
          <w:shd w:val="clear" w:color="auto" w:fill="FFFFFF"/>
        </w:rPr>
        <w:t xml:space="preserve">Lack of this enzyme results in </w:t>
      </w:r>
      <w:proofErr w:type="spellStart"/>
      <w:r w:rsidRPr="00F3795D">
        <w:rPr>
          <w:rFonts w:ascii="Times New Roman" w:hAnsi="Times New Roman" w:cs="Times New Roman"/>
          <w:color w:val="000000" w:themeColor="text1"/>
          <w:sz w:val="24"/>
          <w:szCs w:val="24"/>
          <w:shd w:val="clear" w:color="auto" w:fill="FFFFFF"/>
        </w:rPr>
        <w:t>hemolysis</w:t>
      </w:r>
      <w:proofErr w:type="spellEnd"/>
      <w:r w:rsidRPr="00F3795D">
        <w:rPr>
          <w:rFonts w:ascii="Times New Roman" w:hAnsi="Times New Roman" w:cs="Times New Roman"/>
          <w:color w:val="000000" w:themeColor="text1"/>
          <w:sz w:val="24"/>
          <w:szCs w:val="24"/>
          <w:shd w:val="clear" w:color="auto" w:fill="FFFFFF"/>
        </w:rPr>
        <w:t xml:space="preserve">, which causes oxidative damage to red blood cells brought on by free radicals. </w:t>
      </w:r>
      <w:r w:rsidR="000779A9" w:rsidRPr="00F3795D">
        <w:rPr>
          <w:rFonts w:ascii="Times New Roman" w:hAnsi="Times New Roman" w:cs="Times New Roman"/>
          <w:color w:val="000000" w:themeColor="text1"/>
          <w:sz w:val="24"/>
          <w:szCs w:val="24"/>
          <w:shd w:val="clear" w:color="auto" w:fill="FFFFFF"/>
        </w:rPr>
        <w:t xml:space="preserve">This </w:t>
      </w:r>
      <w:r w:rsidRPr="00F3795D">
        <w:rPr>
          <w:rFonts w:ascii="Times New Roman" w:hAnsi="Times New Roman" w:cs="Times New Roman"/>
          <w:color w:val="000000" w:themeColor="text1"/>
          <w:sz w:val="24"/>
          <w:szCs w:val="24"/>
          <w:shd w:val="clear" w:color="auto" w:fill="FFFFFF"/>
        </w:rPr>
        <w:t>affect</w:t>
      </w:r>
      <w:r w:rsidR="004D2E18" w:rsidRPr="00F3795D">
        <w:rPr>
          <w:rFonts w:ascii="Times New Roman" w:hAnsi="Times New Roman" w:cs="Times New Roman"/>
          <w:color w:val="000000" w:themeColor="text1"/>
          <w:sz w:val="24"/>
          <w:szCs w:val="24"/>
          <w:shd w:val="clear" w:color="auto" w:fill="FFFFFF"/>
        </w:rPr>
        <w:t>s</w:t>
      </w:r>
      <w:r w:rsidRPr="00F3795D">
        <w:rPr>
          <w:rFonts w:ascii="Times New Roman" w:hAnsi="Times New Roman" w:cs="Times New Roman"/>
          <w:color w:val="000000" w:themeColor="text1"/>
          <w:sz w:val="24"/>
          <w:szCs w:val="24"/>
          <w:shd w:val="clear" w:color="auto" w:fill="FFFFFF"/>
        </w:rPr>
        <w:t xml:space="preserve"> 400 million people worldwide. </w:t>
      </w:r>
      <w:r w:rsidR="00E25C34" w:rsidRPr="00F3795D">
        <w:rPr>
          <w:rFonts w:ascii="Times New Roman" w:hAnsi="Times New Roman" w:cs="Times New Roman"/>
          <w:color w:val="000000" w:themeColor="text1"/>
          <w:sz w:val="24"/>
          <w:szCs w:val="24"/>
          <w:shd w:val="clear" w:color="auto" w:fill="FFFFFF"/>
        </w:rPr>
        <w:t xml:space="preserve">There are 13 exons and 12 introns in the gene on the x chromosome that codes for the G6PD protein. </w:t>
      </w:r>
      <w:r w:rsidR="00962DCD" w:rsidRPr="00F3795D">
        <w:rPr>
          <w:rFonts w:ascii="Times New Roman" w:hAnsi="Times New Roman" w:cs="Times New Roman"/>
          <w:color w:val="000000" w:themeColor="text1"/>
          <w:sz w:val="24"/>
          <w:szCs w:val="24"/>
          <w:shd w:val="clear" w:color="auto" w:fill="FFFFFF"/>
        </w:rPr>
        <w:t>Approximately 160 highly polymorphic DNA-level variations in this gene</w:t>
      </w:r>
      <w:r w:rsidR="00E25C34" w:rsidRPr="00F3795D">
        <w:rPr>
          <w:rFonts w:ascii="Times New Roman" w:hAnsi="Times New Roman" w:cs="Times New Roman"/>
          <w:color w:val="000000" w:themeColor="text1"/>
          <w:sz w:val="24"/>
          <w:szCs w:val="24"/>
          <w:shd w:val="clear" w:color="auto" w:fill="FFFFFF"/>
        </w:rPr>
        <w:t xml:space="preserve"> may be connected to </w:t>
      </w:r>
      <w:r w:rsidR="000779A9" w:rsidRPr="00F3795D">
        <w:rPr>
          <w:rFonts w:ascii="Times New Roman" w:hAnsi="Times New Roman" w:cs="Times New Roman"/>
          <w:color w:val="000000" w:themeColor="text1"/>
          <w:sz w:val="24"/>
          <w:szCs w:val="24"/>
          <w:shd w:val="clear" w:color="auto" w:fill="FFFFFF"/>
        </w:rPr>
        <w:t>G6PD</w:t>
      </w:r>
      <w:r w:rsidR="00E25C34" w:rsidRPr="00F3795D">
        <w:rPr>
          <w:rFonts w:ascii="Times New Roman" w:hAnsi="Times New Roman" w:cs="Times New Roman"/>
          <w:color w:val="000000" w:themeColor="text1"/>
          <w:sz w:val="24"/>
          <w:szCs w:val="24"/>
          <w:shd w:val="clear" w:color="auto" w:fill="FFFFFF"/>
        </w:rPr>
        <w:t xml:space="preserve"> deficiency</w:t>
      </w:r>
      <w:r w:rsidR="002517CF" w:rsidRPr="00F3795D">
        <w:rPr>
          <w:rFonts w:ascii="Times New Roman" w:hAnsi="Times New Roman" w:cs="Times New Roman"/>
          <w:color w:val="000000" w:themeColor="text1"/>
          <w:sz w:val="24"/>
          <w:szCs w:val="24"/>
          <w:shd w:val="clear" w:color="auto" w:fill="FFFFFF"/>
        </w:rPr>
        <w:t xml:space="preserve"> </w:t>
      </w:r>
      <w:r w:rsidR="000E4AC0" w:rsidRPr="00F3795D">
        <w:rPr>
          <w:rFonts w:ascii="Times New Roman" w:hAnsi="Times New Roman" w:cs="Times New Roman"/>
          <w:color w:val="000000" w:themeColor="text1"/>
          <w:sz w:val="24"/>
          <w:szCs w:val="24"/>
          <w:shd w:val="clear" w:color="auto" w:fill="FFFFFF"/>
        </w:rPr>
        <w:fldChar w:fldCharType="begin" w:fldLock="1"/>
      </w:r>
      <w:r w:rsidR="008B28D0" w:rsidRPr="00F3795D">
        <w:rPr>
          <w:rFonts w:ascii="Times New Roman" w:hAnsi="Times New Roman" w:cs="Times New Roman"/>
          <w:color w:val="000000" w:themeColor="text1"/>
          <w:sz w:val="24"/>
          <w:szCs w:val="24"/>
          <w:shd w:val="clear" w:color="auto" w:fill="FFFFFF"/>
        </w:rPr>
        <w:instrText>ADDIN CSL_CITATION {"citationItems":[{"id":"ITEM-1","itemData":{"DOI":"10.1186/s12936-019-2981-x","ISSN":"14752875","PMID":"31590661","abstract":"Background: G6PD enzyme deficiency is a common enzymatic X-linked disorder. Deficiency of the G6PD enzyme can cause free radical-mediated oxidative damage to red blood cells, leading to premature haemolysis. Treatment of Plasmodium vivax malaria with primaquine poses a potential risk of mild to severe acute haemolytic anaemia in G6PD deficient people. In this study, the prevalence and distribution of G6PD mutations were investigated across broad areas of Ethiopia, and tested the association between G6PD genotype and phenotype with the goal to provide additional information relevant to the use of primaquine in malaria treatment. Methods: This study examined G6PD mutations in exons 3-11 for 344 febrile patient samples collected from seven sites across Ethiopia. In addition, the G6PD enzyme level of 400 febrile patient samples from Southwestern Ethiopia was determined by the CareStart™ biosensor. The association between G6PD phenotype and genotype was examined by Fisher exact test on a subset of 184 samples. Results: Mutations were observed at three positions of the G6PD gene. The most common G6PD mutation across all sites was A376G, which was detected in 21 of 344 (6.1%) febrile patients. Thirteen of them were homozygous and eight were heterozygous for this mutation. The G267+119C/T mutation was found in 4 (1.2%) individuals in South Ethiopia, but absent in other sites. The G1116A mutation was also found in 4 (1.2%) individuals from East and South Ethiopia. For the 400 samples in the south, 17 (4.25%) were shown to be G6PD-deficient. G6PD enzyme level was not significantly different by age or gender. Among a subset of 202 febrile patients who were diagnosed with malaria, 11 (5.45%) were G6PD-deficient. These 11 infected samples were diagnosed with Plasmodium vivax by microscopy. Parasitaemia was not significantly different between the G6PD-deficient and G6PD-normal infections. Conclusions: The prevalence of G6PD deficiency is modest among febrile patients in Ethiopia. G6PD deficiency testing is thus recommended before administrating primaquine for radical cure of P. vivax infected patients. The present study did not indicate a significant association between G6PD gene mutations and enzyme levels.","author":[{"dropping-particle":"","family":"Lo","given":"Eugenia","non-dropping-particle":"","parse-names":false,"suffix":""},{"dropping-particle":"","family":"Zhong","given":"Daibin","non-dropping-particle":"","parse-names":false,"suffix":""},{"dropping-particle":"","family":"Raya","given":"Beka","non-dropping-particle":"","parse-names":false,"suffix":""},{"dropping-particle":"","family":"Pestana","given":"Kareen","non-dropping-particle":"","parse-names":false,"suffix":""},{"dropping-particle":"","family":"Koepfli","given":"Cristian","non-dropping-particle":"","parse-names":false,"suffix":""},{"dropping-particle":"","family":"Lee","given":"Ming Chieh","non-dropping-particle":"","parse-names":false,"suffix":""},{"dropping-particle":"","family":"Yewhalaw","given":"Delenasaw","non-dropping-particle":"","parse-names":false,"suffix":""},{"dropping-particle":"","family":"Yan","given":"Guiyun","non-dropping-particle":"","parse-names":false,"suffix":""}],"container-title":"Malaria Journal","id":"ITEM-1","issue":"1","issued":{"date-parts":[["2019"]]},"page":"1-10","publisher":"BioMed Central","title":"Prevalence and distribution of G6PD deficiency: Implication for the use of primaquine in malaria treatment in Ethiopia","type":"article-journal","volume":"18"},"uris":["http://www.mendeley.com/documents/?uuid=61286b6f-68d1-41d3-8d12-fed59038aedc","http://www.mendeley.com/documents/?uuid=add46457-b897-4b11-8316-babc9a831be4"]}],"mendeley":{"formattedCitation":"(Lo et al., 2019)","plainTextFormattedCitation":"(Lo et al., 2019)","previouslyFormattedCitation":"(Lo et al., 2019)"},"properties":{"noteIndex":0},"schema":"https://github.com/citation-style-language/schema/raw/master/csl-citation.json"}</w:instrText>
      </w:r>
      <w:r w:rsidR="000E4AC0" w:rsidRPr="00F3795D">
        <w:rPr>
          <w:rFonts w:ascii="Times New Roman" w:hAnsi="Times New Roman" w:cs="Times New Roman"/>
          <w:color w:val="000000" w:themeColor="text1"/>
          <w:sz w:val="24"/>
          <w:szCs w:val="24"/>
          <w:shd w:val="clear" w:color="auto" w:fill="FFFFFF"/>
        </w:rPr>
        <w:fldChar w:fldCharType="separate"/>
      </w:r>
      <w:r w:rsidR="005D682C" w:rsidRPr="00F3795D">
        <w:rPr>
          <w:rFonts w:ascii="Times New Roman" w:hAnsi="Times New Roman" w:cs="Times New Roman"/>
          <w:noProof/>
          <w:color w:val="000000" w:themeColor="text1"/>
          <w:sz w:val="24"/>
          <w:szCs w:val="24"/>
          <w:shd w:val="clear" w:color="auto" w:fill="FFFFFF"/>
        </w:rPr>
        <w:t>(Lo et al., 2019)</w:t>
      </w:r>
      <w:r w:rsidR="000E4AC0" w:rsidRPr="00F3795D">
        <w:rPr>
          <w:rFonts w:ascii="Times New Roman" w:hAnsi="Times New Roman" w:cs="Times New Roman"/>
          <w:color w:val="000000" w:themeColor="text1"/>
          <w:sz w:val="24"/>
          <w:szCs w:val="24"/>
          <w:shd w:val="clear" w:color="auto" w:fill="FFFFFF"/>
        </w:rPr>
        <w:fldChar w:fldCharType="end"/>
      </w:r>
      <w:r w:rsidR="00E25C34" w:rsidRPr="00F3795D">
        <w:rPr>
          <w:rFonts w:ascii="Times New Roman" w:hAnsi="Times New Roman" w:cs="Times New Roman"/>
          <w:color w:val="000000" w:themeColor="text1"/>
          <w:sz w:val="24"/>
          <w:szCs w:val="24"/>
        </w:rPr>
        <w:t xml:space="preserve">. </w:t>
      </w:r>
      <w:r w:rsidR="00E25C34" w:rsidRPr="00F3795D">
        <w:rPr>
          <w:rFonts w:ascii="Times New Roman" w:hAnsi="Times New Roman" w:cs="Times New Roman"/>
          <w:color w:val="000000" w:themeColor="text1"/>
          <w:sz w:val="24"/>
          <w:szCs w:val="24"/>
          <w:shd w:val="clear" w:color="auto" w:fill="FFFFFF"/>
        </w:rPr>
        <w:t>S</w:t>
      </w:r>
      <w:r w:rsidR="00C41588" w:rsidRPr="00F3795D">
        <w:rPr>
          <w:rFonts w:ascii="Times New Roman" w:hAnsi="Times New Roman" w:cs="Times New Roman"/>
          <w:color w:val="000000" w:themeColor="text1"/>
          <w:sz w:val="24"/>
          <w:szCs w:val="24"/>
          <w:shd w:val="clear" w:color="auto" w:fill="FFFFFF"/>
        </w:rPr>
        <w:t>ome</w:t>
      </w:r>
      <w:r w:rsidR="00E25C34" w:rsidRPr="00F3795D">
        <w:rPr>
          <w:rFonts w:ascii="Times New Roman" w:hAnsi="Times New Roman" w:cs="Times New Roman"/>
          <w:color w:val="000000" w:themeColor="text1"/>
          <w:sz w:val="24"/>
          <w:szCs w:val="24"/>
          <w:shd w:val="clear" w:color="auto" w:fill="FFFFFF"/>
        </w:rPr>
        <w:t xml:space="preserve"> </w:t>
      </w:r>
      <w:r w:rsidR="00C41588" w:rsidRPr="00F3795D">
        <w:rPr>
          <w:rFonts w:ascii="Times New Roman" w:hAnsi="Times New Roman" w:cs="Times New Roman"/>
          <w:color w:val="000000" w:themeColor="text1"/>
          <w:sz w:val="24"/>
          <w:szCs w:val="24"/>
          <w:shd w:val="clear" w:color="auto" w:fill="FFFFFF"/>
        </w:rPr>
        <w:t xml:space="preserve">drugs, such as </w:t>
      </w:r>
      <w:proofErr w:type="spellStart"/>
      <w:r w:rsidR="00C41588" w:rsidRPr="00F3795D">
        <w:rPr>
          <w:rFonts w:ascii="Times New Roman" w:hAnsi="Times New Roman" w:cs="Times New Roman"/>
          <w:color w:val="000000" w:themeColor="text1"/>
          <w:sz w:val="24"/>
          <w:szCs w:val="24"/>
          <w:shd w:val="clear" w:color="auto" w:fill="FFFFFF"/>
        </w:rPr>
        <w:t>primaquine</w:t>
      </w:r>
      <w:proofErr w:type="spellEnd"/>
      <w:r w:rsidR="00C41588" w:rsidRPr="00F3795D">
        <w:rPr>
          <w:rFonts w:ascii="Times New Roman" w:hAnsi="Times New Roman" w:cs="Times New Roman"/>
          <w:color w:val="000000" w:themeColor="text1"/>
          <w:sz w:val="24"/>
          <w:szCs w:val="24"/>
          <w:shd w:val="clear" w:color="auto" w:fill="FFFFFF"/>
        </w:rPr>
        <w:t xml:space="preserve">, </w:t>
      </w:r>
      <w:proofErr w:type="spellStart"/>
      <w:r w:rsidR="00C41588" w:rsidRPr="00F3795D">
        <w:rPr>
          <w:rFonts w:ascii="Times New Roman" w:hAnsi="Times New Roman" w:cs="Times New Roman"/>
          <w:color w:val="000000" w:themeColor="text1"/>
          <w:sz w:val="24"/>
          <w:szCs w:val="24"/>
          <w:shd w:val="clear" w:color="auto" w:fill="FFFFFF"/>
        </w:rPr>
        <w:t>dapsone</w:t>
      </w:r>
      <w:proofErr w:type="spellEnd"/>
      <w:r w:rsidR="00C41588" w:rsidRPr="00F3795D">
        <w:rPr>
          <w:rFonts w:ascii="Times New Roman" w:hAnsi="Times New Roman" w:cs="Times New Roman"/>
          <w:color w:val="000000" w:themeColor="text1"/>
          <w:sz w:val="24"/>
          <w:szCs w:val="24"/>
          <w:shd w:val="clear" w:color="auto" w:fill="FFFFFF"/>
        </w:rPr>
        <w:t xml:space="preserve">, </w:t>
      </w:r>
      <w:proofErr w:type="spellStart"/>
      <w:r w:rsidR="00C41588" w:rsidRPr="00F3795D">
        <w:rPr>
          <w:rFonts w:ascii="Times New Roman" w:hAnsi="Times New Roman" w:cs="Times New Roman"/>
          <w:color w:val="000000" w:themeColor="text1"/>
          <w:sz w:val="24"/>
          <w:szCs w:val="24"/>
          <w:shd w:val="clear" w:color="auto" w:fill="FFFFFF"/>
        </w:rPr>
        <w:t>sulfonamides</w:t>
      </w:r>
      <w:proofErr w:type="spellEnd"/>
      <w:r w:rsidR="00C41588" w:rsidRPr="00F3795D">
        <w:rPr>
          <w:rFonts w:ascii="Times New Roman" w:hAnsi="Times New Roman" w:cs="Times New Roman"/>
          <w:color w:val="000000" w:themeColor="text1"/>
          <w:sz w:val="24"/>
          <w:szCs w:val="24"/>
          <w:shd w:val="clear" w:color="auto" w:fill="FFFFFF"/>
        </w:rPr>
        <w:t xml:space="preserve">, quinolones, chloramphenicol, nitrofurantoin (antibiotics), and phenazopyridine (analgesics), have been described as the </w:t>
      </w:r>
      <w:proofErr w:type="spellStart"/>
      <w:r w:rsidR="003D0C69" w:rsidRPr="00F3795D">
        <w:rPr>
          <w:rFonts w:ascii="Times New Roman" w:hAnsi="Times New Roman" w:cs="Times New Roman"/>
          <w:color w:val="000000" w:themeColor="text1"/>
          <w:sz w:val="24"/>
          <w:szCs w:val="24"/>
          <w:shd w:val="clear" w:color="auto" w:fill="FFFFFF"/>
        </w:rPr>
        <w:t>hemolytic</w:t>
      </w:r>
      <w:proofErr w:type="spellEnd"/>
      <w:r w:rsidR="00C41588" w:rsidRPr="00F3795D">
        <w:rPr>
          <w:rFonts w:ascii="Times New Roman" w:hAnsi="Times New Roman" w:cs="Times New Roman"/>
          <w:color w:val="000000" w:themeColor="text1"/>
          <w:sz w:val="24"/>
          <w:szCs w:val="24"/>
          <w:shd w:val="clear" w:color="auto" w:fill="FFFFFF"/>
        </w:rPr>
        <w:t xml:space="preserve"> trigger that causes a </w:t>
      </w:r>
      <w:proofErr w:type="spellStart"/>
      <w:r w:rsidR="003D0C69" w:rsidRPr="00F3795D">
        <w:rPr>
          <w:rFonts w:ascii="Times New Roman" w:hAnsi="Times New Roman" w:cs="Times New Roman"/>
          <w:color w:val="000000" w:themeColor="text1"/>
          <w:sz w:val="24"/>
          <w:szCs w:val="24"/>
          <w:shd w:val="clear" w:color="auto" w:fill="FFFFFF"/>
        </w:rPr>
        <w:t>hemolytic</w:t>
      </w:r>
      <w:proofErr w:type="spellEnd"/>
      <w:r w:rsidR="00C41588" w:rsidRPr="00F3795D">
        <w:rPr>
          <w:rFonts w:ascii="Times New Roman" w:hAnsi="Times New Roman" w:cs="Times New Roman"/>
          <w:color w:val="000000" w:themeColor="text1"/>
          <w:sz w:val="24"/>
          <w:szCs w:val="24"/>
          <w:shd w:val="clear" w:color="auto" w:fill="FFFFFF"/>
        </w:rPr>
        <w:t xml:space="preserve"> crisis in </w:t>
      </w:r>
      <w:r w:rsidR="00035A17" w:rsidRPr="00F3795D">
        <w:rPr>
          <w:rFonts w:ascii="Times New Roman" w:hAnsi="Times New Roman" w:cs="Times New Roman"/>
          <w:color w:val="000000" w:themeColor="text1"/>
          <w:sz w:val="24"/>
          <w:szCs w:val="24"/>
          <w:shd w:val="clear" w:color="auto" w:fill="FFFFFF"/>
        </w:rPr>
        <w:t>G6PD</w:t>
      </w:r>
      <w:r w:rsidR="00C41588" w:rsidRPr="00F3795D">
        <w:rPr>
          <w:rFonts w:ascii="Times New Roman" w:hAnsi="Times New Roman" w:cs="Times New Roman"/>
          <w:color w:val="000000" w:themeColor="text1"/>
          <w:sz w:val="24"/>
          <w:szCs w:val="24"/>
          <w:shd w:val="clear" w:color="auto" w:fill="FFFFFF"/>
        </w:rPr>
        <w:t>-deficient individuals</w:t>
      </w:r>
      <w:r w:rsidR="00327387" w:rsidRPr="00F3795D">
        <w:rPr>
          <w:rFonts w:ascii="Times New Roman" w:hAnsi="Times New Roman" w:cs="Times New Roman"/>
          <w:color w:val="000000" w:themeColor="text1"/>
          <w:sz w:val="24"/>
          <w:szCs w:val="24"/>
          <w:shd w:val="clear" w:color="auto" w:fill="FFFFFF"/>
        </w:rPr>
        <w:t xml:space="preserve"> </w:t>
      </w:r>
      <w:r w:rsidR="004559BD" w:rsidRPr="00F3795D">
        <w:rPr>
          <w:rFonts w:ascii="Times New Roman" w:hAnsi="Times New Roman" w:cs="Times New Roman"/>
          <w:color w:val="000000" w:themeColor="text1"/>
          <w:sz w:val="24"/>
          <w:szCs w:val="24"/>
          <w:shd w:val="clear" w:color="auto" w:fill="FFFFFF"/>
        </w:rPr>
        <w:fldChar w:fldCharType="begin" w:fldLock="1"/>
      </w:r>
      <w:r w:rsidR="008B28D0" w:rsidRPr="00F3795D">
        <w:rPr>
          <w:rFonts w:ascii="Times New Roman" w:hAnsi="Times New Roman" w:cs="Times New Roman"/>
          <w:color w:val="000000" w:themeColor="text1"/>
          <w:sz w:val="24"/>
          <w:szCs w:val="24"/>
          <w:shd w:val="clear" w:color="auto" w:fill="FFFFFF"/>
        </w:rPr>
        <w:instrText>ADDIN CSL_CITATION {"citationItems":[{"id":"ITEM-1","itemData":{"DOI":"10.1016/j.chembiol.2020.04.001","ISSN":"24519448","PMID":"32359426","abstract":"The search for antimalarial chemotypes with modes of action unrelated to existing drugs has intensified with the recent failure of first-line therapies across Southeast Asia. Here, we show that the trisubstituted imidazole MMV030084 potently inhibits hepatocyte invasion by Plasmodium sporozoites, merozoite egress from asexual blood stage schizonts, and male gamete exflagellation. Metabolomic, phosphoproteomic, and chemoproteomic studies, validated with conditional knockdown parasites, molecular docking, and recombinant kinase assays, identified cGMP-dependent protein kinase (PKG) as the primary target of MMV030084. PKG is known to play essential roles in Plasmodium invasion of and egress from host cells, matching MMV030084's activity profile. Resistance selections and gene editing identified tyrosine kinase-like protein 3 as a low-level resistance mediator for PKG inhibitors, while PKG itself never mutated under pressure. These studies highlight PKG as a resistance-refractory antimalarial target throughout the Plasmodium life cycle and promote MMV030084 as a promising Plasmodium PKG-targeting chemotype.","author":[{"dropping-particle":"","family":"Vanaerschot","given":"Manu","non-dropping-particle":"","parse-names":false,"suffix":""},{"dropping-particle":"","family":"Murithi","given":"James M.","non-dropping-particle":"","parse-names":false,"suffix":""},{"dropping-particle":"","family":"Pasaje","given":"Charisse Flerida A.","non-dropping-particle":"","parse-names":false,"suffix":""},{"dropping-particle":"","family":"Ghidelli-Disse","given":"Sonja","non-dropping-particle":"","parse-names":false,"suffix":""},{"dropping-particle":"","family":"Dwomoh","given":"Louis","non-dropping-particle":"","parse-names":false,"suffix":""},{"dropping-particle":"","family":"Bird","given":"Megan","non-dropping-particle":"","parse-names":false,"suffix":""},{"dropping-particle":"","family":"Spottiswoode","given":"Natasha","non-dropping-particle":"","parse-names":false,"suffix":""},{"dropping-particle":"","family":"Mittal","given":"Nimisha","non-dropping-particle":"","parse-names":false,"suffix":""},{"dropping-particle":"","family":"Arendse","given":"Lauren B.","non-dropping-particle":"","parse-names":false,"suffix":""},{"dropping-particle":"","family":"Owen","given":"Edward S.","non-dropping-particle":"","parse-names":false,"suffix":""},{"dropping-particle":"","family":"Wicht","given":"Kathryn J.","non-dropping-particle":"","parse-names":false,"suffix":""},{"dropping-particle":"","family":"Siciliano","given":"Giulia","non-dropping-particle":"","parse-names":false,"suffix":""},{"dropping-particle":"","family":"Bösche","given":"Markus","non-dropping-particle":"","parse-names":false,"suffix":""},{"dropping-particle":"","family":"Yeo","given":"Tomas","non-dropping-particle":"","parse-names":false,"suffix":""},{"dropping-particle":"","family":"Kumar","given":"T. R.Santha","non-dropping-particle":"","parse-names":false,"suffix":""},{"dropping-particle":"","family":"Mok","given":"Sachel","non-dropping-particle":"","parse-names":false,"suffix":""},{"dropping-particle":"","family":"Carpenter","given":"Emma F.","non-dropping-particle":"","parse-names":false,"suffix":""},{"dropping-particle":"","family":"Giddins","given":"Marla J.","non-dropping-particle":"","parse-names":false,"suffix":""},{"dropping-particle":"","family":"Sanz","given":"Olalla","non-dropping-particle":"","parse-names":false,"suffix":""},{"dropping-particle":"","family":"Ottilie","given":"Sabine","non-dropping-particle":"","parse-names":false,"suffix":""},{"dropping-particle":"","family":"Alano","given":"Pietro","non-dropping-particle":"","parse-names":false,"suffix":""},{"dropping-particle":"","family":"Chibale","given":"Kelly","non-dropping-particle":"","parse-names":false,"suffix":""},{"dropping-particle":"","family":"Llinás","given":"Manuel","non-dropping-particle":"","parse-names":false,"suffix":""},{"dropping-particle":"","family":"Uhlemann","given":"Anne Catrin","non-dropping-particle":"","parse-names":false,"suffix":""},{"dropping-particle":"","family":"Delves","given":"Michael","non-dropping-particle":"","parse-names":false,"suffix":""},{"dropping-particle":"","family":"Tobin","given":"Andrew B.","non-dropping-particle":"","parse-names":false,"suffix":""},{"dropping-particle":"","family":"Doerig","given":"Christian","non-dropping-particle":"","parse-names":false,"suffix":""},{"dropping-particle":"","family":"Winzeler","given":"Elizabeth A.","non-dropping-particle":"","parse-names":false,"suffix":""},{"dropping-particle":"","family":"Lee","given":"Marcus C.S.","non-dropping-particle":"","parse-names":false,"suffix":""},{"dropping-particle":"","family":"Niles","given":"Jacquin C.","non-dropping-particle":"","parse-names":false,"suffix":""},{"dropping-particle":"","family":"Fidock","given":"David A.","non-dropping-particle":"","parse-names":false,"suffix":""}],"container-title":"Cell Chemical Biology","id":"ITEM-1","issue":"7","issued":{"date-parts":[["2020"]]},"page":"806-816.e8","title":"Inhibition of Resistance-Refractory P. falciparum Kinase PKG Delivers Prophylactic, Blood Stage, and Transmission-Blocking Antiplasmodial Activity","type":"article-journal","volume":"27"},"uris":["http://www.mendeley.com/documents/?uuid=f898122e-0a1c-4d62-bdd4-2fb812f804fc"]}],"mendeley":{"formattedCitation":"(Vanaerschot et al., 2020)","plainTextFormattedCitation":"(Vanaerschot et al., 2020)","previouslyFormattedCitation":"(Vanaerschot et al., 2020)"},"properties":{"noteIndex":0},"schema":"https://github.com/citation-style-language/schema/raw/master/csl-citation.json"}</w:instrText>
      </w:r>
      <w:r w:rsidR="004559BD" w:rsidRPr="00F3795D">
        <w:rPr>
          <w:rFonts w:ascii="Times New Roman" w:hAnsi="Times New Roman" w:cs="Times New Roman"/>
          <w:color w:val="000000" w:themeColor="text1"/>
          <w:sz w:val="24"/>
          <w:szCs w:val="24"/>
          <w:shd w:val="clear" w:color="auto" w:fill="FFFFFF"/>
        </w:rPr>
        <w:fldChar w:fldCharType="separate"/>
      </w:r>
      <w:r w:rsidR="005D682C" w:rsidRPr="00F3795D">
        <w:rPr>
          <w:rFonts w:ascii="Times New Roman" w:hAnsi="Times New Roman" w:cs="Times New Roman"/>
          <w:noProof/>
          <w:color w:val="000000" w:themeColor="text1"/>
          <w:sz w:val="24"/>
          <w:szCs w:val="24"/>
          <w:shd w:val="clear" w:color="auto" w:fill="FFFFFF"/>
        </w:rPr>
        <w:t>(Vanaerschot et al., 2020)</w:t>
      </w:r>
      <w:r w:rsidR="004559BD" w:rsidRPr="00F3795D">
        <w:rPr>
          <w:rFonts w:ascii="Times New Roman" w:hAnsi="Times New Roman" w:cs="Times New Roman"/>
          <w:color w:val="000000" w:themeColor="text1"/>
          <w:sz w:val="24"/>
          <w:szCs w:val="24"/>
          <w:shd w:val="clear" w:color="auto" w:fill="FFFFFF"/>
        </w:rPr>
        <w:fldChar w:fldCharType="end"/>
      </w:r>
      <w:r w:rsidR="00327387" w:rsidRPr="00F3795D">
        <w:rPr>
          <w:rFonts w:ascii="Times New Roman" w:hAnsi="Times New Roman" w:cs="Times New Roman"/>
          <w:color w:val="000000" w:themeColor="text1"/>
          <w:sz w:val="24"/>
          <w:szCs w:val="24"/>
        </w:rPr>
        <w:t>.</w:t>
      </w:r>
      <w:r w:rsidR="009C53B2" w:rsidRPr="00F3795D">
        <w:rPr>
          <w:rFonts w:ascii="Times New Roman" w:hAnsi="Times New Roman" w:cs="Times New Roman"/>
          <w:color w:val="000000" w:themeColor="text1"/>
          <w:sz w:val="24"/>
          <w:szCs w:val="24"/>
          <w:shd w:val="clear" w:color="auto" w:fill="FFFFFF"/>
        </w:rPr>
        <w:t xml:space="preserve"> </w:t>
      </w:r>
      <w:r w:rsidR="00A23773" w:rsidRPr="00F3795D">
        <w:rPr>
          <w:rFonts w:ascii="Times New Roman" w:hAnsi="Times New Roman" w:cs="Times New Roman"/>
          <w:color w:val="000000" w:themeColor="text1"/>
          <w:sz w:val="24"/>
          <w:szCs w:val="24"/>
        </w:rPr>
        <w:t xml:space="preserve">Antimalarial medications known as 8-aminoquinolines, such as primaquine and </w:t>
      </w:r>
      <w:proofErr w:type="spellStart"/>
      <w:r w:rsidR="00A23773" w:rsidRPr="00F3795D">
        <w:rPr>
          <w:rFonts w:ascii="Times New Roman" w:hAnsi="Times New Roman" w:cs="Times New Roman"/>
          <w:color w:val="000000" w:themeColor="text1"/>
          <w:sz w:val="24"/>
          <w:szCs w:val="24"/>
        </w:rPr>
        <w:t>tafenoquine</w:t>
      </w:r>
      <w:proofErr w:type="spellEnd"/>
      <w:r w:rsidR="00A23773" w:rsidRPr="00F3795D">
        <w:rPr>
          <w:rFonts w:ascii="Times New Roman" w:hAnsi="Times New Roman" w:cs="Times New Roman"/>
          <w:color w:val="000000" w:themeColor="text1"/>
          <w:sz w:val="24"/>
          <w:szCs w:val="24"/>
        </w:rPr>
        <w:t xml:space="preserve">, can severely </w:t>
      </w:r>
      <w:proofErr w:type="spellStart"/>
      <w:r w:rsidR="00242AD8">
        <w:rPr>
          <w:rFonts w:ascii="Times New Roman" w:hAnsi="Times New Roman" w:cs="Times New Roman"/>
          <w:color w:val="000000" w:themeColor="text1"/>
          <w:sz w:val="24"/>
          <w:szCs w:val="24"/>
        </w:rPr>
        <w:t>hemolysis</w:t>
      </w:r>
      <w:proofErr w:type="spellEnd"/>
      <w:r w:rsidR="00A23773" w:rsidRPr="00F3795D">
        <w:rPr>
          <w:rFonts w:ascii="Times New Roman" w:hAnsi="Times New Roman" w:cs="Times New Roman"/>
          <w:color w:val="000000" w:themeColor="text1"/>
          <w:sz w:val="24"/>
          <w:szCs w:val="24"/>
        </w:rPr>
        <w:t xml:space="preserve"> those deficient in the enzyme glucose-6-phosphate dehydrogenase (G6PD). </w:t>
      </w:r>
      <w:r w:rsidR="00962DCD" w:rsidRPr="00F3795D">
        <w:rPr>
          <w:rFonts w:ascii="Times New Roman" w:hAnsi="Times New Roman" w:cs="Times New Roman"/>
          <w:color w:val="000000" w:themeColor="text1"/>
          <w:sz w:val="24"/>
          <w:szCs w:val="24"/>
        </w:rPr>
        <w:t xml:space="preserve">In malaria-endemic regions, females with intermediate G6PD activity (70% enzymatic activity) should be avoided (Commons et al., 2020). </w:t>
      </w:r>
      <w:r w:rsidR="00E4628A">
        <w:rPr>
          <w:rFonts w:ascii="Times New Roman" w:hAnsi="Times New Roman" w:cs="Times New Roman"/>
          <w:color w:val="000000" w:themeColor="text1"/>
          <w:sz w:val="24"/>
          <w:szCs w:val="24"/>
        </w:rPr>
        <w:t>However, t</w:t>
      </w:r>
      <w:r w:rsidR="00C41588" w:rsidRPr="00F3795D">
        <w:rPr>
          <w:rFonts w:ascii="Times New Roman" w:hAnsi="Times New Roman" w:cs="Times New Roman"/>
          <w:color w:val="000000" w:themeColor="text1"/>
          <w:sz w:val="24"/>
          <w:szCs w:val="24"/>
        </w:rPr>
        <w:t xml:space="preserve">he requirement for a quantitative test currently prevents widespread diagnosis of </w:t>
      </w:r>
      <w:r w:rsidR="006044BB" w:rsidRPr="00F3795D">
        <w:rPr>
          <w:rFonts w:ascii="Times New Roman" w:hAnsi="Times New Roman" w:cs="Times New Roman"/>
          <w:color w:val="000000" w:themeColor="text1"/>
          <w:sz w:val="24"/>
          <w:szCs w:val="24"/>
        </w:rPr>
        <w:t xml:space="preserve">G6PD </w:t>
      </w:r>
      <w:r w:rsidR="00C41588" w:rsidRPr="00F3795D">
        <w:rPr>
          <w:rFonts w:ascii="Times New Roman" w:hAnsi="Times New Roman" w:cs="Times New Roman"/>
          <w:color w:val="000000" w:themeColor="text1"/>
          <w:sz w:val="24"/>
          <w:szCs w:val="24"/>
        </w:rPr>
        <w:t xml:space="preserve">deficiency at the more conservative threshold required for prescribing </w:t>
      </w:r>
      <w:r w:rsidR="001A663A">
        <w:rPr>
          <w:rFonts w:ascii="Times New Roman" w:hAnsi="Times New Roman" w:cs="Times New Roman"/>
          <w:color w:val="000000" w:themeColor="text1"/>
          <w:sz w:val="24"/>
          <w:szCs w:val="24"/>
        </w:rPr>
        <w:t>T</w:t>
      </w:r>
      <w:r w:rsidR="00C41588" w:rsidRPr="00F3795D">
        <w:rPr>
          <w:rFonts w:ascii="Times New Roman" w:hAnsi="Times New Roman" w:cs="Times New Roman"/>
          <w:color w:val="000000" w:themeColor="text1"/>
          <w:sz w:val="24"/>
          <w:szCs w:val="24"/>
        </w:rPr>
        <w:t>afenoquine</w:t>
      </w:r>
      <w:r w:rsidR="001A663A">
        <w:rPr>
          <w:rFonts w:ascii="Times New Roman" w:hAnsi="Times New Roman" w:cs="Times New Roman"/>
          <w:color w:val="000000" w:themeColor="text1"/>
          <w:sz w:val="24"/>
          <w:szCs w:val="24"/>
        </w:rPr>
        <w:t xml:space="preserve"> </w:t>
      </w:r>
      <w:r w:rsidR="001A663A">
        <w:rPr>
          <w:rFonts w:ascii="Times New Roman" w:hAnsi="Times New Roman" w:cs="Times New Roman"/>
          <w:color w:val="000000" w:themeColor="text1"/>
          <w:sz w:val="24"/>
          <w:szCs w:val="24"/>
        </w:rPr>
        <w:fldChar w:fldCharType="begin" w:fldLock="1"/>
      </w:r>
      <w:r w:rsidR="00702943">
        <w:rPr>
          <w:rFonts w:ascii="Times New Roman" w:hAnsi="Times New Roman" w:cs="Times New Roman"/>
          <w:color w:val="000000" w:themeColor="text1"/>
          <w:sz w:val="24"/>
          <w:szCs w:val="24"/>
        </w:rPr>
        <w:instrText>ADDIN CSL_CITATION {"citationItems":[{"id":"ITEM-1","itemData":{"DOI":"10.1080/14656566.2022.2058394","ISSN":"17447666","PMID":"35379070","abstract":"Introduction: Plasmodium vivax malaria causes significant disease burden worldwide, especially in Latin America, Southeast Asia, and Oceania. P. vivax is characterized by the production of liver hypnozoites that cause clinical relapses upon periodic activation. Primaquine, an 8-aminoquinoline drug, has been the standard of care for decades to treat liver-stage P. vivax malaria; however, it requires long treatment regimens (one to two weeks) that lead to poor adherence and thus clinical relapses. Tafenoquine (TFQ), a newly available and efficacious single-dose 8-aminoquinoline, aims to address this challenge. Safe administration is possible when paired with the use of glucose-6-phosphate dehydrogenase (G6PD) diagnostics to prevent 8-aminoquinoline-induced hemolysis in patients with underlying G6PD deficiency (G6PDd). Areas covered: In this review, the authors present the recent literature regarding the pharmacology, efficacy, safety, and tolerability of TFQ and highlight regional differences in these areas. The authors also discuss the potential for TFQ, complemented with primaquine PQ and effective screening for G6PDd, to improve P. vivax clinical management and facilitate targeted mass drug administration in communities to decrease transmission. Expert opinion: Clinical studies show therapeutic efficacy of TFQ as well as a good performance in terms of safety and tolerability. Additional research regarding the effectiveness and safety TFQ in malaria elimination strategies, such as targeted or mass drug administration, are needed.","author":[{"dropping-particle":"","family":"Llanos-Cuentas","given":"Alejandro","non-dropping-particle":"","parse-names":false,"suffix":""},{"dropping-particle":"","family":"Manrrique","given":"Paulo","non-dropping-particle":"","parse-names":false,"suffix":""},{"dropping-particle":"","family":"Rosas-Aguirre","given":"Angel","non-dropping-particle":"","parse-names":false,"suffix":""},{"dropping-particle":"","family":"Herrera","given":"Sonia","non-dropping-particle":"","parse-names":false,"suffix":""},{"dropping-particle":"","family":"Hsiang","given":"Michelle S.","non-dropping-particle":"","parse-names":false,"suffix":""}],"container-title":"Expert Opinion on Pharmacotherapy","id":"ITEM-1","issue":"7","issued":{"date-parts":[["2022"]]},"page":"759-768","publisher":"Taylor &amp; Francis","title":"Tafenoquine for the treatment of Plasmodium vivax malaria","type":"article-journal","volume":"23"},"uris":["http://www.mendeley.com/documents/?uuid=c485f430-d57a-4f7d-b5ad-d91dd64a54a8"]}],"mendeley":{"formattedCitation":"(Llanos-Cuentas et al., 2022)","plainTextFormattedCitation":"(Llanos-Cuentas et al., 2022)","previouslyFormattedCitation":"(Llanos-Cuentas et al., 2022)"},"properties":{"noteIndex":0},"schema":"https://github.com/citation-style-language/schema/raw/master/csl-citation.json"}</w:instrText>
      </w:r>
      <w:r w:rsidR="001A663A">
        <w:rPr>
          <w:rFonts w:ascii="Times New Roman" w:hAnsi="Times New Roman" w:cs="Times New Roman"/>
          <w:color w:val="000000" w:themeColor="text1"/>
          <w:sz w:val="24"/>
          <w:szCs w:val="24"/>
        </w:rPr>
        <w:fldChar w:fldCharType="separate"/>
      </w:r>
      <w:r w:rsidR="001A663A" w:rsidRPr="001A663A">
        <w:rPr>
          <w:rFonts w:ascii="Times New Roman" w:hAnsi="Times New Roman" w:cs="Times New Roman"/>
          <w:noProof/>
          <w:color w:val="000000" w:themeColor="text1"/>
          <w:sz w:val="24"/>
          <w:szCs w:val="24"/>
        </w:rPr>
        <w:t>(Llanos-Cuentas et al., 2022)</w:t>
      </w:r>
      <w:r w:rsidR="001A663A">
        <w:rPr>
          <w:rFonts w:ascii="Times New Roman" w:hAnsi="Times New Roman" w:cs="Times New Roman"/>
          <w:color w:val="000000" w:themeColor="text1"/>
          <w:sz w:val="24"/>
          <w:szCs w:val="24"/>
        </w:rPr>
        <w:fldChar w:fldCharType="end"/>
      </w:r>
      <w:r w:rsidR="00C41588" w:rsidRPr="00F3795D">
        <w:rPr>
          <w:rFonts w:ascii="Times New Roman" w:hAnsi="Times New Roman" w:cs="Times New Roman"/>
          <w:color w:val="000000" w:themeColor="text1"/>
          <w:sz w:val="24"/>
          <w:szCs w:val="24"/>
        </w:rPr>
        <w:t xml:space="preserve">. </w:t>
      </w:r>
    </w:p>
    <w:p w14:paraId="6402383B" w14:textId="6CCFBFFC" w:rsidR="00AB716B" w:rsidRPr="00F3795D" w:rsidRDefault="004F4898" w:rsidP="00372EFD">
      <w:pPr>
        <w:spacing w:after="0" w:line="276" w:lineRule="auto"/>
        <w:jc w:val="both"/>
        <w:rPr>
          <w:rFonts w:ascii="Times New Roman" w:hAnsi="Times New Roman" w:cs="Times New Roman"/>
          <w:b/>
          <w:bCs/>
          <w:color w:val="000000" w:themeColor="text1"/>
          <w:sz w:val="24"/>
          <w:szCs w:val="24"/>
        </w:rPr>
      </w:pPr>
      <w:r w:rsidRPr="00F3795D">
        <w:rPr>
          <w:rFonts w:ascii="Times New Roman" w:hAnsi="Times New Roman" w:cs="Times New Roman"/>
          <w:b/>
          <w:bCs/>
          <w:color w:val="000000" w:themeColor="text1"/>
          <w:sz w:val="24"/>
          <w:szCs w:val="24"/>
        </w:rPr>
        <w:t>Vector resistance</w:t>
      </w:r>
    </w:p>
    <w:p w14:paraId="780757D5" w14:textId="4849BFD0" w:rsidR="005660B4" w:rsidRPr="00F3795D" w:rsidRDefault="003A2496" w:rsidP="00372EFD">
      <w:pPr>
        <w:spacing w:after="0" w:line="276" w:lineRule="auto"/>
        <w:jc w:val="both"/>
        <w:rPr>
          <w:rFonts w:ascii="Times New Roman" w:hAnsi="Times New Roman" w:cs="Times New Roman"/>
          <w:color w:val="000000" w:themeColor="text1"/>
          <w:sz w:val="24"/>
          <w:szCs w:val="24"/>
        </w:rPr>
      </w:pPr>
      <w:r w:rsidRPr="00F3795D">
        <w:rPr>
          <w:rFonts w:ascii="Times New Roman" w:hAnsi="Times New Roman" w:cs="Times New Roman"/>
          <w:color w:val="000000" w:themeColor="text1"/>
          <w:sz w:val="24"/>
          <w:szCs w:val="24"/>
          <w:shd w:val="clear" w:color="auto" w:fill="FFFFFF"/>
        </w:rPr>
        <w:t xml:space="preserve">In India, pyrethroids, the family of insecticides used on all long-lasting insecticidal nets, are particularly resistant to the anopheles mosquito. As a result, vector control is a necessary component of any effort to combat the disease conveyed by Anopheles mosquitoes. </w:t>
      </w:r>
      <w:r w:rsidR="00DC2B3B" w:rsidRPr="00F3795D">
        <w:rPr>
          <w:rFonts w:ascii="Times New Roman" w:hAnsi="Times New Roman" w:cs="Times New Roman"/>
          <w:color w:val="000000" w:themeColor="text1"/>
          <w:sz w:val="24"/>
          <w:szCs w:val="24"/>
        </w:rPr>
        <w:t>The main strategies for managing resistance are (</w:t>
      </w:r>
      <w:proofErr w:type="spellStart"/>
      <w:r w:rsidR="00DC2B3B" w:rsidRPr="00F3795D">
        <w:rPr>
          <w:rFonts w:ascii="Times New Roman" w:hAnsi="Times New Roman" w:cs="Times New Roman"/>
          <w:color w:val="000000" w:themeColor="text1"/>
          <w:sz w:val="24"/>
          <w:szCs w:val="24"/>
        </w:rPr>
        <w:t>i</w:t>
      </w:r>
      <w:proofErr w:type="spellEnd"/>
      <w:r w:rsidR="00DC2B3B" w:rsidRPr="00F3795D">
        <w:rPr>
          <w:rFonts w:ascii="Times New Roman" w:hAnsi="Times New Roman" w:cs="Times New Roman"/>
          <w:color w:val="000000" w:themeColor="text1"/>
          <w:sz w:val="24"/>
          <w:szCs w:val="24"/>
        </w:rPr>
        <w:t xml:space="preserve">) </w:t>
      </w:r>
      <w:r w:rsidR="00727318">
        <w:rPr>
          <w:rFonts w:ascii="Times New Roman" w:hAnsi="Times New Roman" w:cs="Times New Roman"/>
          <w:color w:val="000000" w:themeColor="text1"/>
          <w:sz w:val="24"/>
          <w:szCs w:val="24"/>
        </w:rPr>
        <w:t>A</w:t>
      </w:r>
      <w:r w:rsidR="00DC2B3B" w:rsidRPr="00F3795D">
        <w:rPr>
          <w:rFonts w:ascii="Times New Roman" w:hAnsi="Times New Roman" w:cs="Times New Roman"/>
          <w:color w:val="000000" w:themeColor="text1"/>
          <w:sz w:val="24"/>
          <w:szCs w:val="24"/>
        </w:rPr>
        <w:t xml:space="preserve">nnual rotation of insecticides with various modes of action, (ii) </w:t>
      </w:r>
      <w:r w:rsidR="00727318">
        <w:rPr>
          <w:rFonts w:ascii="Times New Roman" w:hAnsi="Times New Roman" w:cs="Times New Roman"/>
          <w:color w:val="000000" w:themeColor="text1"/>
          <w:sz w:val="24"/>
          <w:szCs w:val="24"/>
        </w:rPr>
        <w:t>C</w:t>
      </w:r>
      <w:r w:rsidR="00DC2B3B" w:rsidRPr="00F3795D">
        <w:rPr>
          <w:rFonts w:ascii="Times New Roman" w:hAnsi="Times New Roman" w:cs="Times New Roman"/>
          <w:color w:val="000000" w:themeColor="text1"/>
          <w:sz w:val="24"/>
          <w:szCs w:val="24"/>
        </w:rPr>
        <w:t xml:space="preserve">ombining pyrethroid-based </w:t>
      </w:r>
      <w:r w:rsidR="00727318">
        <w:rPr>
          <w:rFonts w:ascii="Times New Roman" w:hAnsi="Times New Roman" w:cs="Times New Roman"/>
          <w:color w:val="000000" w:themeColor="text1"/>
          <w:sz w:val="24"/>
          <w:szCs w:val="24"/>
        </w:rPr>
        <w:t>ITN</w:t>
      </w:r>
      <w:r w:rsidR="00DC2B3B" w:rsidRPr="00F3795D">
        <w:rPr>
          <w:rFonts w:ascii="Times New Roman" w:hAnsi="Times New Roman" w:cs="Times New Roman"/>
          <w:color w:val="000000" w:themeColor="text1"/>
          <w:sz w:val="24"/>
          <w:szCs w:val="24"/>
        </w:rPr>
        <w:t xml:space="preserve"> and </w:t>
      </w:r>
      <w:r w:rsidR="007F362E" w:rsidRPr="00F3795D">
        <w:rPr>
          <w:rFonts w:ascii="Times New Roman" w:hAnsi="Times New Roman" w:cs="Times New Roman"/>
          <w:color w:val="000000" w:themeColor="text1"/>
          <w:sz w:val="24"/>
          <w:szCs w:val="24"/>
        </w:rPr>
        <w:t xml:space="preserve">IRS </w:t>
      </w:r>
      <w:r w:rsidR="00DC2B3B" w:rsidRPr="00F3795D">
        <w:rPr>
          <w:rFonts w:ascii="Times New Roman" w:hAnsi="Times New Roman" w:cs="Times New Roman"/>
          <w:color w:val="000000" w:themeColor="text1"/>
          <w:sz w:val="24"/>
          <w:szCs w:val="24"/>
        </w:rPr>
        <w:t xml:space="preserve">with non-pyrethroids, (iii) </w:t>
      </w:r>
      <w:r w:rsidR="00727318">
        <w:rPr>
          <w:rFonts w:ascii="Times New Roman" w:hAnsi="Times New Roman" w:cs="Times New Roman"/>
          <w:color w:val="000000" w:themeColor="text1"/>
          <w:sz w:val="24"/>
          <w:szCs w:val="24"/>
        </w:rPr>
        <w:t>M</w:t>
      </w:r>
      <w:r w:rsidR="00DC2B3B" w:rsidRPr="00F3795D">
        <w:rPr>
          <w:rFonts w:ascii="Times New Roman" w:hAnsi="Times New Roman" w:cs="Times New Roman"/>
          <w:color w:val="000000" w:themeColor="text1"/>
          <w:sz w:val="24"/>
          <w:szCs w:val="24"/>
        </w:rPr>
        <w:t>osaic spraying of two different insecticide classes in various locations, and (iv) combining various insecticide classes into a single product</w:t>
      </w:r>
      <w:r w:rsidR="004420DE" w:rsidRPr="00F3795D">
        <w:rPr>
          <w:rFonts w:ascii="Times New Roman" w:hAnsi="Times New Roman" w:cs="Times New Roman"/>
          <w:color w:val="000000" w:themeColor="text1"/>
          <w:sz w:val="24"/>
          <w:szCs w:val="24"/>
        </w:rPr>
        <w:t xml:space="preserve"> </w:t>
      </w:r>
      <w:r w:rsidR="00396D5C" w:rsidRPr="00F3795D">
        <w:rPr>
          <w:rFonts w:ascii="Times New Roman" w:hAnsi="Times New Roman" w:cs="Times New Roman"/>
          <w:color w:val="000000" w:themeColor="text1"/>
          <w:sz w:val="24"/>
          <w:szCs w:val="24"/>
          <w:shd w:val="clear" w:color="auto" w:fill="FCFCFC"/>
        </w:rPr>
        <w:fldChar w:fldCharType="begin" w:fldLock="1"/>
      </w:r>
      <w:r w:rsidR="008B28D0" w:rsidRPr="00F3795D">
        <w:rPr>
          <w:rFonts w:ascii="Times New Roman" w:hAnsi="Times New Roman" w:cs="Times New Roman"/>
          <w:color w:val="000000" w:themeColor="text1"/>
          <w:sz w:val="24"/>
          <w:szCs w:val="24"/>
          <w:shd w:val="clear" w:color="auto" w:fill="FCFCFC"/>
        </w:rPr>
        <w:instrText>ADDIN CSL_CITATION {"citationItems":[{"id":"ITEM-1","itemData":{"DOI":"10.1186/s12936-020-03331-4","ISSN":"14752875","PMID":"32677961","abstract":"Background: Unrestricted use of pesticides in agriculture is likely to increase insecticide resistance in mosquito vectors. Unfortunately, strategies for managing insecticide resistance in agriculture and public health sectors lack integration. This study explored the types and usage of agricultural pesticides, and awareness and management practices among retailers and farmers in Ulanga and Kilombero districts in south-eastern Tanzania, where Anopheles mosquitoes are resistant to pyrethroids. Methods: An exploratory sequential mixed-methods approach was employed. First, a survey to characterize pesticide stocks was conducted in agricultural and veterinary (agrovet) retail stores. Interviews to assess general knowledge and practices regarding agricultural pesticides were performed with 17 retailers and 30 farmers, followed by a survey involving 427 farmers. Concurrently, field observations were done to validate the results. Results: Lambda-cyhalothrin, cypermethrin (both pyrethroids) and imidacloprids (neonicotinoids) were the most common agricultural insecticides sold to farmers. The herbicide glyphosate (amino-phosphonates) (59.0%), and the fungicides dithiocarbamate and acylalanine (54.5%), and organochlorine (27.3%) were also readily available in the agrovet shops and widely used by farmers. Although both retailers and farmers had at least primary-level education and recognized pesticides by their trade names, they lacked knowledge on pest control or proper usage of these pesticides. Most of the farmers (54.4%, n = 316) relied on instructions from pesticides dealers. Overall, 93.7% (400) farmers practised pesticides mixing in their farms, often in close proximity to water sources. One-third of the farmers disposed of their pesticide leftovers (30.0%, n = 128) and most farmers discarded empty pesticide containers into rivers or nearby bushes (55.7%, n = 238). Conclusion: Similarities of active ingredients used in agriculture and malaria vector control, poor pesticide management practices and low-levels of awareness among farmers and pesticides retailers might enhance the selection of insecticide resistance in malaria vectors. This study emphasizes the need for improving awareness among retailers and farmers on proper usage and management of pesticides. The study also highlights the need for an integrated approach, including coordinated education on pesticide use, to improve the overall management of insecticide resistance in both agricultural and publ…","author":[{"dropping-particle":"","family":"Matowo","given":"Nancy S.","non-dropping-particle":"","parse-names":false,"suffix":""},{"dropping-particle":"","family":"Tanner","given":"Marcel","non-dropping-particle":"","parse-names":false,"suffix":""},{"dropping-particle":"","family":"Munhenga","given":"Givemore","non-dropping-particle":"","parse-names":false,"suffix":""},{"dropping-particle":"","family":"Mapua","given":"Salum A.","non-dropping-particle":"","parse-names":false,"suffix":""},{"dropping-particle":"","family":"Finda","given":"Marceline","non-dropping-particle":"","parse-names":false,"suffix":""},{"dropping-particle":"","family":"Utzinger","given":"Jürg","non-dropping-particle":"","parse-names":false,"suffix":""},{"dropping-particle":"","family":"Ngowi","given":"Vera","non-dropping-particle":"","parse-names":false,"suffix":""},{"dropping-particle":"","family":"Okumu","given":"Fredros O.","non-dropping-particle":"","parse-names":false,"suffix":""}],"container-title":"Malaria Journal","id":"ITEM-1","issue":"1","issued":{"date-parts":[["2020"]]},"page":"1-16","publisher":"BioMed Central","title":"Patterns of pesticide usage in agriculture in rural Tanzania call for integrating agricultural and public health practices in managing insecticide-resistance in malaria vectors","type":"article-journal","volume":"19"},"uris":["http://www.mendeley.com/documents/?uuid=5f7622c1-f1f7-4f71-a14d-8c5be619866a","http://www.mendeley.com/documents/?uuid=0a89b247-1c73-4c4e-a876-cd85e4842e9a"]}],"mendeley":{"formattedCitation":"(Matowo et al., 2020a)","plainTextFormattedCitation":"(Matowo et al., 2020a)","previouslyFormattedCitation":"(Matowo et al., 2020a)"},"properties":{"noteIndex":0},"schema":"https://github.com/citation-style-language/schema/raw/master/csl-citation.json"}</w:instrText>
      </w:r>
      <w:r w:rsidR="00396D5C" w:rsidRPr="00F3795D">
        <w:rPr>
          <w:rFonts w:ascii="Times New Roman" w:hAnsi="Times New Roman" w:cs="Times New Roman"/>
          <w:color w:val="000000" w:themeColor="text1"/>
          <w:sz w:val="24"/>
          <w:szCs w:val="24"/>
          <w:shd w:val="clear" w:color="auto" w:fill="FCFCFC"/>
        </w:rPr>
        <w:fldChar w:fldCharType="separate"/>
      </w:r>
      <w:r w:rsidR="005D682C" w:rsidRPr="00F3795D">
        <w:rPr>
          <w:rFonts w:ascii="Times New Roman" w:hAnsi="Times New Roman" w:cs="Times New Roman"/>
          <w:noProof/>
          <w:color w:val="000000" w:themeColor="text1"/>
          <w:sz w:val="24"/>
          <w:szCs w:val="24"/>
          <w:shd w:val="clear" w:color="auto" w:fill="FCFCFC"/>
        </w:rPr>
        <w:t>(Matowo et al., 2020a)</w:t>
      </w:r>
      <w:r w:rsidR="00396D5C" w:rsidRPr="00F3795D">
        <w:rPr>
          <w:rFonts w:ascii="Times New Roman" w:hAnsi="Times New Roman" w:cs="Times New Roman"/>
          <w:color w:val="000000" w:themeColor="text1"/>
          <w:sz w:val="24"/>
          <w:szCs w:val="24"/>
          <w:shd w:val="clear" w:color="auto" w:fill="FCFCFC"/>
        </w:rPr>
        <w:fldChar w:fldCharType="end"/>
      </w:r>
      <w:r w:rsidR="00C41588" w:rsidRPr="00F3795D">
        <w:rPr>
          <w:rFonts w:ascii="Times New Roman" w:hAnsi="Times New Roman" w:cs="Times New Roman"/>
          <w:color w:val="000000" w:themeColor="text1"/>
          <w:sz w:val="24"/>
          <w:szCs w:val="24"/>
          <w:shd w:val="clear" w:color="auto" w:fill="FCFCFC"/>
        </w:rPr>
        <w:t xml:space="preserve">. </w:t>
      </w:r>
      <w:r w:rsidR="00CE4DFF">
        <w:rPr>
          <w:rFonts w:ascii="Times New Roman" w:hAnsi="Times New Roman" w:cs="Times New Roman"/>
          <w:color w:val="000000" w:themeColor="text1"/>
          <w:sz w:val="24"/>
          <w:szCs w:val="24"/>
        </w:rPr>
        <w:t>In addition, the</w:t>
      </w:r>
      <w:r w:rsidR="004420DE" w:rsidRPr="00F3795D">
        <w:rPr>
          <w:rFonts w:ascii="Times New Roman" w:hAnsi="Times New Roman" w:cs="Times New Roman"/>
          <w:color w:val="000000" w:themeColor="text1"/>
          <w:sz w:val="24"/>
          <w:szCs w:val="24"/>
        </w:rPr>
        <w:t xml:space="preserve"> world's commitment to eradicating </w:t>
      </w:r>
      <w:r w:rsidR="00765349" w:rsidRPr="00F3795D">
        <w:rPr>
          <w:rFonts w:ascii="Times New Roman" w:hAnsi="Times New Roman" w:cs="Times New Roman"/>
          <w:color w:val="000000" w:themeColor="text1"/>
          <w:sz w:val="24"/>
          <w:szCs w:val="24"/>
        </w:rPr>
        <w:t>M</w:t>
      </w:r>
      <w:r w:rsidR="004420DE" w:rsidRPr="00F3795D">
        <w:rPr>
          <w:rFonts w:ascii="Times New Roman" w:hAnsi="Times New Roman" w:cs="Times New Roman"/>
          <w:color w:val="000000" w:themeColor="text1"/>
          <w:sz w:val="24"/>
          <w:szCs w:val="24"/>
        </w:rPr>
        <w:t xml:space="preserve">alaria by 2030 necessitates immediate action, including </w:t>
      </w:r>
      <w:r w:rsidR="0090557F" w:rsidRPr="00F3795D">
        <w:rPr>
          <w:rFonts w:ascii="Times New Roman" w:hAnsi="Times New Roman" w:cs="Times New Roman"/>
          <w:color w:val="000000" w:themeColor="text1"/>
          <w:sz w:val="24"/>
          <w:szCs w:val="24"/>
        </w:rPr>
        <w:t>developing</w:t>
      </w:r>
      <w:r w:rsidR="004420DE" w:rsidRPr="00F3795D">
        <w:rPr>
          <w:rFonts w:ascii="Times New Roman" w:hAnsi="Times New Roman" w:cs="Times New Roman"/>
          <w:color w:val="000000" w:themeColor="text1"/>
          <w:sz w:val="24"/>
          <w:szCs w:val="24"/>
        </w:rPr>
        <w:t xml:space="preserve"> combined and efficient control products like organochlorine (DDT) </w:t>
      </w:r>
      <w:r w:rsidR="0090557F" w:rsidRPr="00F3795D">
        <w:rPr>
          <w:rFonts w:ascii="Times New Roman" w:hAnsi="Times New Roman" w:cs="Times New Roman"/>
          <w:color w:val="000000" w:themeColor="text1"/>
          <w:sz w:val="24"/>
          <w:szCs w:val="24"/>
        </w:rPr>
        <w:t xml:space="preserve">and </w:t>
      </w:r>
      <w:r w:rsidR="004420DE" w:rsidRPr="00F3795D">
        <w:rPr>
          <w:rFonts w:ascii="Times New Roman" w:hAnsi="Times New Roman" w:cs="Times New Roman"/>
          <w:color w:val="000000" w:themeColor="text1"/>
          <w:sz w:val="24"/>
          <w:szCs w:val="24"/>
        </w:rPr>
        <w:t>organophosphate (malathion)</w:t>
      </w:r>
      <w:r w:rsidR="00C50EA1" w:rsidRPr="00F3795D">
        <w:rPr>
          <w:rFonts w:ascii="Times New Roman" w:hAnsi="Times New Roman" w:cs="Times New Roman"/>
          <w:color w:val="000000" w:themeColor="text1"/>
          <w:sz w:val="24"/>
          <w:szCs w:val="24"/>
        </w:rPr>
        <w:t xml:space="preserve"> and synthetic </w:t>
      </w:r>
      <w:proofErr w:type="spellStart"/>
      <w:r w:rsidR="00C50EA1" w:rsidRPr="00F3795D">
        <w:rPr>
          <w:rFonts w:ascii="Times New Roman" w:hAnsi="Times New Roman" w:cs="Times New Roman"/>
          <w:color w:val="000000" w:themeColor="text1"/>
          <w:sz w:val="24"/>
          <w:szCs w:val="24"/>
        </w:rPr>
        <w:t>pyrethroids</w:t>
      </w:r>
      <w:proofErr w:type="spellEnd"/>
      <w:r w:rsidR="00C50EA1" w:rsidRPr="00F3795D">
        <w:rPr>
          <w:rFonts w:ascii="Times New Roman" w:hAnsi="Times New Roman" w:cs="Times New Roman"/>
          <w:color w:val="000000" w:themeColor="text1"/>
          <w:sz w:val="24"/>
          <w:szCs w:val="24"/>
        </w:rPr>
        <w:t xml:space="preserve">; impregnated </w:t>
      </w:r>
      <w:proofErr w:type="spellStart"/>
      <w:r w:rsidR="00C50EA1" w:rsidRPr="00F3795D">
        <w:rPr>
          <w:rFonts w:ascii="Times New Roman" w:hAnsi="Times New Roman" w:cs="Times New Roman"/>
          <w:color w:val="000000" w:themeColor="text1"/>
          <w:sz w:val="24"/>
          <w:szCs w:val="24"/>
        </w:rPr>
        <w:t>bednets</w:t>
      </w:r>
      <w:proofErr w:type="spellEnd"/>
      <w:r w:rsidR="00C50EA1" w:rsidRPr="00F3795D">
        <w:rPr>
          <w:rFonts w:ascii="Times New Roman" w:hAnsi="Times New Roman" w:cs="Times New Roman"/>
          <w:color w:val="000000" w:themeColor="text1"/>
          <w:sz w:val="24"/>
          <w:szCs w:val="24"/>
        </w:rPr>
        <w:t xml:space="preserve"> are treated with deltamethrin and alpha-cypermethrin</w:t>
      </w:r>
      <w:r w:rsidR="007E4718" w:rsidRPr="00F3795D">
        <w:rPr>
          <w:rFonts w:ascii="Times New Roman" w:hAnsi="Times New Roman" w:cs="Times New Roman"/>
          <w:color w:val="000000" w:themeColor="text1"/>
          <w:sz w:val="24"/>
          <w:szCs w:val="24"/>
        </w:rPr>
        <w:t xml:space="preserve">. </w:t>
      </w:r>
      <w:r w:rsidR="004420DE" w:rsidRPr="00F3795D">
        <w:rPr>
          <w:rFonts w:ascii="Times New Roman" w:hAnsi="Times New Roman" w:cs="Times New Roman"/>
          <w:color w:val="000000" w:themeColor="text1"/>
          <w:sz w:val="24"/>
          <w:szCs w:val="24"/>
        </w:rPr>
        <w:t xml:space="preserve">Following the worldwide plan for </w:t>
      </w:r>
      <w:r w:rsidR="0021556D" w:rsidRPr="00F3795D">
        <w:rPr>
          <w:rFonts w:ascii="Times New Roman" w:hAnsi="Times New Roman" w:cs="Times New Roman"/>
          <w:color w:val="000000" w:themeColor="text1"/>
          <w:sz w:val="24"/>
          <w:szCs w:val="24"/>
        </w:rPr>
        <w:t>insecticide resistance management (IRM)</w:t>
      </w:r>
      <w:r w:rsidR="004420DE" w:rsidRPr="00F3795D">
        <w:rPr>
          <w:rFonts w:ascii="Times New Roman" w:hAnsi="Times New Roman" w:cs="Times New Roman"/>
          <w:color w:val="000000" w:themeColor="text1"/>
          <w:sz w:val="24"/>
          <w:szCs w:val="24"/>
        </w:rPr>
        <w:t xml:space="preserve">, several Asian nations are </w:t>
      </w:r>
      <w:r w:rsidR="004A146B" w:rsidRPr="00F3795D">
        <w:rPr>
          <w:rFonts w:ascii="Times New Roman" w:hAnsi="Times New Roman" w:cs="Times New Roman"/>
          <w:color w:val="000000" w:themeColor="text1"/>
          <w:sz w:val="24"/>
          <w:szCs w:val="24"/>
        </w:rPr>
        <w:t>implementing</w:t>
      </w:r>
      <w:r w:rsidR="004420DE" w:rsidRPr="00F3795D">
        <w:rPr>
          <w:rFonts w:ascii="Times New Roman" w:hAnsi="Times New Roman" w:cs="Times New Roman"/>
          <w:color w:val="000000" w:themeColor="text1"/>
          <w:sz w:val="24"/>
          <w:szCs w:val="24"/>
        </w:rPr>
        <w:t xml:space="preserve"> an IRM approach against malaria vectors, which includes management strategies for choosing insecticides, utilising a rotation system during field interventions, routinely monitoring, and integrating</w:t>
      </w:r>
      <w:r w:rsidR="007B10DB" w:rsidRPr="00F3795D">
        <w:rPr>
          <w:rFonts w:ascii="Times New Roman" w:hAnsi="Times New Roman" w:cs="Times New Roman"/>
          <w:color w:val="000000" w:themeColor="text1"/>
          <w:sz w:val="24"/>
          <w:szCs w:val="24"/>
        </w:rPr>
        <w:t xml:space="preserve"> </w:t>
      </w:r>
      <w:r w:rsidR="00947826" w:rsidRPr="00F3795D">
        <w:rPr>
          <w:rFonts w:ascii="Times New Roman" w:hAnsi="Times New Roman" w:cs="Times New Roman"/>
          <w:color w:val="000000" w:themeColor="text1"/>
          <w:sz w:val="24"/>
          <w:szCs w:val="24"/>
        </w:rPr>
        <w:fldChar w:fldCharType="begin" w:fldLock="1"/>
      </w:r>
      <w:r w:rsidR="001B0416">
        <w:rPr>
          <w:rFonts w:ascii="Times New Roman" w:hAnsi="Times New Roman" w:cs="Times New Roman"/>
          <w:color w:val="000000" w:themeColor="text1"/>
          <w:sz w:val="24"/>
          <w:szCs w:val="24"/>
        </w:rPr>
        <w:instrText>ADDIN CSL_CITATION {"citationItems":[{"id":"ITEM-1","itemData":{"DOI":"10.1186/s12936-019-2852-5","ISSN":"1475-2875","author":[{"dropping-particle":"","family":"Edwards","given":"Hannah M","non-dropping-particle":"","parse-names":false,"suffix":""},{"dropping-particle":"","family":"Sriwichai","given":"Patchara","non-dropping-particle":"","parse-names":false,"suffix":""},{"dropping-particle":"","family":"Kirabittir","given":"Kirakorn","non-dropping-particle":"","parse-names":false,"suffix":""},{"dropping-particle":"","family":"Prachumsri","given":"Jetsumon","non-dropping-particle":"","parse-names":false,"suffix":""},{"dropping-particle":"","family":"Chavez","given":"Irwin F","non-dropping-particle":"","parse-names":false,"suffix":""},{"dropping-particle":"","family":"Hii","given":"Jeffrey","non-dropping-particle":"","parse-names":false,"suffix":""}],"container-title":"Malaria Journal","id":"ITEM-1","issued":{"date-parts":[["2019"]]},"page":"1-20","publisher":"BioMed Central","title":"Transmission risk beyond the village : entomological and human factors contributing to residual malaria transmission in an area approaching malaria elimination on the Thailand – Myanmar border","type":"article-journal"},"uris":["http://www.mendeley.com/documents/?uuid=8bb99784-7727-4481-82cf-19a9eb8e7a9a"]}],"mendeley":{"formattedCitation":"(Edwards et al., 2019)","plainTextFormattedCitation":"(Edwards et al., 2019)","previouslyFormattedCitation":"(Edwards et al., 2019)"},"properties":{"noteIndex":0},"schema":"https://github.com/citation-style-language/schema/raw/master/csl-citation.json"}</w:instrText>
      </w:r>
      <w:r w:rsidR="00947826" w:rsidRPr="00F3795D">
        <w:rPr>
          <w:rFonts w:ascii="Times New Roman" w:hAnsi="Times New Roman" w:cs="Times New Roman"/>
          <w:color w:val="000000" w:themeColor="text1"/>
          <w:sz w:val="24"/>
          <w:szCs w:val="24"/>
        </w:rPr>
        <w:fldChar w:fldCharType="separate"/>
      </w:r>
      <w:r w:rsidR="00947826" w:rsidRPr="00F3795D">
        <w:rPr>
          <w:rFonts w:ascii="Times New Roman" w:hAnsi="Times New Roman" w:cs="Times New Roman"/>
          <w:noProof/>
          <w:color w:val="000000" w:themeColor="text1"/>
          <w:sz w:val="24"/>
          <w:szCs w:val="24"/>
        </w:rPr>
        <w:t>(Edwards et al., 2019)</w:t>
      </w:r>
      <w:r w:rsidR="00947826" w:rsidRPr="00F3795D">
        <w:rPr>
          <w:rFonts w:ascii="Times New Roman" w:hAnsi="Times New Roman" w:cs="Times New Roman"/>
          <w:color w:val="000000" w:themeColor="text1"/>
          <w:sz w:val="24"/>
          <w:szCs w:val="24"/>
        </w:rPr>
        <w:fldChar w:fldCharType="end"/>
      </w:r>
      <w:r w:rsidR="004420DE" w:rsidRPr="00F3795D">
        <w:rPr>
          <w:rFonts w:ascii="Times New Roman" w:hAnsi="Times New Roman" w:cs="Times New Roman"/>
          <w:color w:val="000000" w:themeColor="text1"/>
          <w:sz w:val="24"/>
          <w:szCs w:val="24"/>
        </w:rPr>
        <w:t xml:space="preserve">. </w:t>
      </w:r>
    </w:p>
    <w:p w14:paraId="44798EF0" w14:textId="181D345C" w:rsidR="00652FDA" w:rsidRPr="00F3795D" w:rsidRDefault="005660B4" w:rsidP="00372EFD">
      <w:pPr>
        <w:spacing w:after="0" w:line="276" w:lineRule="auto"/>
        <w:jc w:val="both"/>
        <w:rPr>
          <w:rFonts w:ascii="Times New Roman" w:hAnsi="Times New Roman" w:cs="Times New Roman"/>
          <w:color w:val="000000" w:themeColor="text1"/>
          <w:sz w:val="24"/>
          <w:szCs w:val="24"/>
        </w:rPr>
      </w:pPr>
      <w:r w:rsidRPr="00F3795D">
        <w:rPr>
          <w:rFonts w:ascii="Times New Roman" w:hAnsi="Times New Roman" w:cs="Times New Roman"/>
          <w:color w:val="000000" w:themeColor="text1"/>
          <w:sz w:val="24"/>
          <w:szCs w:val="24"/>
        </w:rPr>
        <w:t xml:space="preserve">The cornerstones of India's and other nations' vector control methods against </w:t>
      </w:r>
      <w:r w:rsidR="00765349" w:rsidRPr="00F3795D">
        <w:rPr>
          <w:rFonts w:ascii="Times New Roman" w:hAnsi="Times New Roman" w:cs="Times New Roman"/>
          <w:color w:val="000000" w:themeColor="text1"/>
          <w:sz w:val="24"/>
          <w:szCs w:val="24"/>
        </w:rPr>
        <w:t>M</w:t>
      </w:r>
      <w:r w:rsidRPr="00F3795D">
        <w:rPr>
          <w:rFonts w:ascii="Times New Roman" w:hAnsi="Times New Roman" w:cs="Times New Roman"/>
          <w:color w:val="000000" w:themeColor="text1"/>
          <w:sz w:val="24"/>
          <w:szCs w:val="24"/>
        </w:rPr>
        <w:t xml:space="preserve">alaria are </w:t>
      </w:r>
      <w:r w:rsidR="007F362E">
        <w:rPr>
          <w:rFonts w:ascii="Times New Roman" w:hAnsi="Times New Roman" w:cs="Times New Roman"/>
          <w:color w:val="000000" w:themeColor="text1"/>
          <w:sz w:val="24"/>
          <w:szCs w:val="24"/>
        </w:rPr>
        <w:t>ITN</w:t>
      </w:r>
      <w:r w:rsidRPr="00F3795D">
        <w:rPr>
          <w:rFonts w:ascii="Times New Roman" w:hAnsi="Times New Roman" w:cs="Times New Roman"/>
          <w:color w:val="000000" w:themeColor="text1"/>
          <w:sz w:val="24"/>
          <w:szCs w:val="24"/>
        </w:rPr>
        <w:t xml:space="preserve"> and IR</w:t>
      </w:r>
      <w:r w:rsidR="007F362E">
        <w:rPr>
          <w:rFonts w:ascii="Times New Roman" w:hAnsi="Times New Roman" w:cs="Times New Roman"/>
          <w:color w:val="000000" w:themeColor="text1"/>
          <w:sz w:val="24"/>
          <w:szCs w:val="24"/>
        </w:rPr>
        <w:t>S</w:t>
      </w:r>
      <w:r w:rsidR="00A11675" w:rsidRPr="00F3795D">
        <w:rPr>
          <w:rFonts w:ascii="Times New Roman" w:hAnsi="Times New Roman" w:cs="Times New Roman"/>
          <w:color w:val="000000" w:themeColor="text1"/>
          <w:sz w:val="24"/>
          <w:szCs w:val="24"/>
        </w:rPr>
        <w:t xml:space="preserve"> </w:t>
      </w:r>
      <w:r w:rsidR="00B42C4E" w:rsidRPr="00F3795D">
        <w:rPr>
          <w:rFonts w:ascii="Times New Roman" w:hAnsi="Times New Roman" w:cs="Times New Roman"/>
          <w:color w:val="000000" w:themeColor="text1"/>
          <w:sz w:val="24"/>
          <w:szCs w:val="24"/>
        </w:rPr>
        <w:fldChar w:fldCharType="begin" w:fldLock="1"/>
      </w:r>
      <w:r w:rsidR="00A11675" w:rsidRPr="00F3795D">
        <w:rPr>
          <w:rFonts w:ascii="Times New Roman" w:hAnsi="Times New Roman" w:cs="Times New Roman"/>
          <w:color w:val="000000" w:themeColor="text1"/>
          <w:sz w:val="24"/>
          <w:szCs w:val="24"/>
        </w:rPr>
        <w:instrText>ADDIN CSL_CITATION {"citationItems":[{"id":"ITEM-1","itemData":{"DOI":"10.3389/fitd.2021.718804","abstract":" Female Anopheles mosquitoes transmit Plasmodium parasites that cause human malaria. Currently, vector control is the most widely deployed approach to reduce mosquito population and hence disease transmission. This relies on use of insecticide-based interventions including Long-lasting Insecticide-treated Nets (LLINs) and Indoor Residual Spraying (IRS) where scale-up has contributed to a dramatic decline in malaria deaths and morbidity over the past decade. Challenges to their effective use include the emergence and spread of insecticide resistance by malaria vector populations coupled with the inability to curb outdoor transmission. Under these situations, use of larvicides through larval source management (LSM) can complement these existing measures. The need to minimize environmental impact and effect on non-target organisms has spurred interest in the development of eco-friendly larvicides of natural origin. Here, we review literature published in the last five years to highlight compounds of natural origin found to exhibit larvicidal activity against malaria mosquitoes. Specifically, the larvicidal activity of different classes of compounds is discussed including their effect on non-target organisms. Additionally, we provide suggestions for future research into mosquito larvicides including the use of chemical synthesis to improve the bioactivity of known natural compounds. ","author":[{"dropping-particle":"","family":"Milugo","given":"Trizah K.","non-dropping-particle":"","parse-names":false,"suffix":""},{"dropping-particle":"","family":"Tchouassi","given":"David P.","non-dropping-particle":"","parse-names":false,"suffix":""},{"dropping-particle":"","family":"Kavishe","given":"Reginald A.","non-dropping-particle":"","parse-names":false,"suffix":""},{"dropping-particle":"","family":"Dinglasan","given":"Rhoel R.","non-dropping-particle":"","parse-names":false,"suffix":""},{"dropping-particle":"","family":"Torto","given":"Baldwyn","non-dropping-particle":"","parse-names":false,"suffix":""}],"container-title":"Frontiers in Tropical Diseases","id":"ITEM-1","issue":"August","issued":{"date-parts":[["2021"]]},"page":"1-10","title":"Naturally Occurring Compounds With Larvicidal Activity Against Malaria Mosquitoes","type":"article-journal","volume":"2"},"uris":["http://www.mendeley.com/documents/?uuid=fa3db7a2-5b77-40c1-992d-ebcddbe60458"]}],"mendeley":{"formattedCitation":"(Milugo et al., 2021)","plainTextFormattedCitation":"(Milugo et al., 2021)","previouslyFormattedCitation":"(Milugo et al., 2021)"},"properties":{"noteIndex":0},"schema":"https://github.com/citation-style-language/schema/raw/master/csl-citation.json"}</w:instrText>
      </w:r>
      <w:r w:rsidR="00B42C4E" w:rsidRPr="00F3795D">
        <w:rPr>
          <w:rFonts w:ascii="Times New Roman" w:hAnsi="Times New Roman" w:cs="Times New Roman"/>
          <w:color w:val="000000" w:themeColor="text1"/>
          <w:sz w:val="24"/>
          <w:szCs w:val="24"/>
        </w:rPr>
        <w:fldChar w:fldCharType="separate"/>
      </w:r>
      <w:r w:rsidR="00B42C4E" w:rsidRPr="00F3795D">
        <w:rPr>
          <w:rFonts w:ascii="Times New Roman" w:hAnsi="Times New Roman" w:cs="Times New Roman"/>
          <w:noProof/>
          <w:color w:val="000000" w:themeColor="text1"/>
          <w:sz w:val="24"/>
          <w:szCs w:val="24"/>
        </w:rPr>
        <w:t>(Milugo et al., 2021)</w:t>
      </w:r>
      <w:r w:rsidR="00B42C4E" w:rsidRPr="00F3795D">
        <w:rPr>
          <w:rFonts w:ascii="Times New Roman" w:hAnsi="Times New Roman" w:cs="Times New Roman"/>
          <w:color w:val="000000" w:themeColor="text1"/>
          <w:sz w:val="24"/>
          <w:szCs w:val="24"/>
        </w:rPr>
        <w:fldChar w:fldCharType="end"/>
      </w:r>
      <w:r w:rsidRPr="00F3795D">
        <w:rPr>
          <w:rFonts w:ascii="Times New Roman" w:hAnsi="Times New Roman" w:cs="Times New Roman"/>
          <w:color w:val="000000" w:themeColor="text1"/>
          <w:sz w:val="24"/>
          <w:szCs w:val="24"/>
        </w:rPr>
        <w:t>. The IRS targets indoor resting (endophilic) mosquitoes, and the I</w:t>
      </w:r>
      <w:r w:rsidR="00152BA1">
        <w:rPr>
          <w:rFonts w:ascii="Times New Roman" w:hAnsi="Times New Roman" w:cs="Times New Roman"/>
          <w:color w:val="000000" w:themeColor="text1"/>
          <w:sz w:val="24"/>
          <w:szCs w:val="24"/>
        </w:rPr>
        <w:t>TN</w:t>
      </w:r>
      <w:r w:rsidRPr="00F3795D">
        <w:rPr>
          <w:rFonts w:ascii="Times New Roman" w:hAnsi="Times New Roman" w:cs="Times New Roman"/>
          <w:color w:val="000000" w:themeColor="text1"/>
          <w:sz w:val="24"/>
          <w:szCs w:val="24"/>
        </w:rPr>
        <w:t xml:space="preserve"> only offers protection from mosquito bites at night when a person </w:t>
      </w:r>
      <w:r w:rsidR="004A146B" w:rsidRPr="00F3795D">
        <w:rPr>
          <w:rFonts w:ascii="Times New Roman" w:hAnsi="Times New Roman" w:cs="Times New Roman"/>
          <w:color w:val="000000" w:themeColor="text1"/>
          <w:sz w:val="24"/>
          <w:szCs w:val="24"/>
        </w:rPr>
        <w:t>sleeps</w:t>
      </w:r>
      <w:r w:rsidRPr="00F3795D">
        <w:rPr>
          <w:rFonts w:ascii="Times New Roman" w:hAnsi="Times New Roman" w:cs="Times New Roman"/>
          <w:color w:val="000000" w:themeColor="text1"/>
          <w:sz w:val="24"/>
          <w:szCs w:val="24"/>
        </w:rPr>
        <w:t xml:space="preserve"> beneath the net. There is a warning for more zoophilic, oesophageal, and exophilic vectors because both vector control methods only affect anthropophilic, endophytic mosquitoes. </w:t>
      </w:r>
      <w:r w:rsidR="00652FDA" w:rsidRPr="00F3795D">
        <w:rPr>
          <w:rFonts w:ascii="Times New Roman" w:hAnsi="Times New Roman" w:cs="Times New Roman"/>
          <w:color w:val="000000" w:themeColor="text1"/>
          <w:sz w:val="24"/>
          <w:szCs w:val="24"/>
        </w:rPr>
        <w:t xml:space="preserve">In India, outdoor biting during the early evening hours when people are unprotected by a </w:t>
      </w:r>
      <w:proofErr w:type="spellStart"/>
      <w:r w:rsidR="00652FDA" w:rsidRPr="00F3795D">
        <w:rPr>
          <w:rFonts w:ascii="Times New Roman" w:hAnsi="Times New Roman" w:cs="Times New Roman"/>
          <w:color w:val="000000" w:themeColor="text1"/>
          <w:sz w:val="24"/>
          <w:szCs w:val="24"/>
        </w:rPr>
        <w:t>bednet</w:t>
      </w:r>
      <w:proofErr w:type="spellEnd"/>
      <w:r w:rsidR="00652FDA" w:rsidRPr="00F3795D">
        <w:rPr>
          <w:rFonts w:ascii="Times New Roman" w:hAnsi="Times New Roman" w:cs="Times New Roman"/>
          <w:color w:val="000000" w:themeColor="text1"/>
          <w:sz w:val="24"/>
          <w:szCs w:val="24"/>
        </w:rPr>
        <w:t xml:space="preserve"> and residual spray can encourage persistent/residual </w:t>
      </w:r>
      <w:r w:rsidR="00765349" w:rsidRPr="00F3795D">
        <w:rPr>
          <w:rFonts w:ascii="Times New Roman" w:hAnsi="Times New Roman" w:cs="Times New Roman"/>
          <w:color w:val="000000" w:themeColor="text1"/>
          <w:sz w:val="24"/>
          <w:szCs w:val="24"/>
        </w:rPr>
        <w:t>M</w:t>
      </w:r>
      <w:r w:rsidR="00652FDA" w:rsidRPr="00F3795D">
        <w:rPr>
          <w:rFonts w:ascii="Times New Roman" w:hAnsi="Times New Roman" w:cs="Times New Roman"/>
          <w:color w:val="000000" w:themeColor="text1"/>
          <w:sz w:val="24"/>
          <w:szCs w:val="24"/>
        </w:rPr>
        <w:t xml:space="preserve">alaria. Additionally, </w:t>
      </w:r>
      <w:r w:rsidR="004A146B" w:rsidRPr="00F3795D">
        <w:rPr>
          <w:rFonts w:ascii="Times New Roman" w:hAnsi="Times New Roman" w:cs="Times New Roman"/>
          <w:color w:val="000000" w:themeColor="text1"/>
          <w:sz w:val="24"/>
          <w:szCs w:val="24"/>
        </w:rPr>
        <w:t>mosquito behaviour changes over time</w:t>
      </w:r>
      <w:r w:rsidR="00652FDA" w:rsidRPr="00F3795D">
        <w:rPr>
          <w:rFonts w:ascii="Times New Roman" w:hAnsi="Times New Roman" w:cs="Times New Roman"/>
          <w:color w:val="000000" w:themeColor="text1"/>
          <w:sz w:val="24"/>
          <w:szCs w:val="24"/>
        </w:rPr>
        <w:t xml:space="preserve"> due to evolutionary processes such </w:t>
      </w:r>
      <w:r w:rsidR="004A146B" w:rsidRPr="00F3795D">
        <w:rPr>
          <w:rFonts w:ascii="Times New Roman" w:hAnsi="Times New Roman" w:cs="Times New Roman"/>
          <w:color w:val="000000" w:themeColor="text1"/>
          <w:sz w:val="24"/>
          <w:szCs w:val="24"/>
        </w:rPr>
        <w:t xml:space="preserve">as </w:t>
      </w:r>
      <w:r w:rsidR="00652FDA" w:rsidRPr="00F3795D">
        <w:rPr>
          <w:rFonts w:ascii="Times New Roman" w:hAnsi="Times New Roman" w:cs="Times New Roman"/>
          <w:color w:val="000000" w:themeColor="text1"/>
          <w:sz w:val="24"/>
          <w:szCs w:val="24"/>
        </w:rPr>
        <w:t xml:space="preserve">behavioural plasticity, protective behaviour, and </w:t>
      </w:r>
      <w:proofErr w:type="spellStart"/>
      <w:r w:rsidR="00652FDA" w:rsidRPr="00F3795D">
        <w:rPr>
          <w:rFonts w:ascii="Times New Roman" w:hAnsi="Times New Roman" w:cs="Times New Roman"/>
          <w:color w:val="000000" w:themeColor="text1"/>
          <w:sz w:val="24"/>
          <w:szCs w:val="24"/>
        </w:rPr>
        <w:t>behavioristic</w:t>
      </w:r>
      <w:proofErr w:type="spellEnd"/>
      <w:r w:rsidR="00652FDA" w:rsidRPr="00F3795D">
        <w:rPr>
          <w:rFonts w:ascii="Times New Roman" w:hAnsi="Times New Roman" w:cs="Times New Roman"/>
          <w:color w:val="000000" w:themeColor="text1"/>
          <w:sz w:val="24"/>
          <w:szCs w:val="24"/>
        </w:rPr>
        <w:t xml:space="preserve"> resistance. Studies have shown that when vectors rest in cattle sheds, their activity switches from indoor to outdoor resting. </w:t>
      </w:r>
      <w:r w:rsidR="004A146B" w:rsidRPr="00F3795D">
        <w:rPr>
          <w:rFonts w:ascii="Times New Roman" w:hAnsi="Times New Roman" w:cs="Times New Roman"/>
          <w:color w:val="000000" w:themeColor="text1"/>
          <w:sz w:val="24"/>
          <w:szCs w:val="24"/>
        </w:rPr>
        <w:t>Like</w:t>
      </w:r>
      <w:r w:rsidR="00652FDA" w:rsidRPr="00F3795D">
        <w:rPr>
          <w:rFonts w:ascii="Times New Roman" w:hAnsi="Times New Roman" w:cs="Times New Roman"/>
          <w:color w:val="000000" w:themeColor="text1"/>
          <w:sz w:val="24"/>
          <w:szCs w:val="24"/>
        </w:rPr>
        <w:t xml:space="preserve"> early biting, blood meal feeding before people sleep under the </w:t>
      </w:r>
      <w:r w:rsidR="00152BA1">
        <w:rPr>
          <w:rFonts w:ascii="Times New Roman" w:hAnsi="Times New Roman" w:cs="Times New Roman"/>
          <w:color w:val="000000" w:themeColor="text1"/>
          <w:sz w:val="24"/>
          <w:szCs w:val="24"/>
        </w:rPr>
        <w:t>ITNs</w:t>
      </w:r>
      <w:r w:rsidR="00652FDA" w:rsidRPr="00F3795D">
        <w:rPr>
          <w:rFonts w:ascii="Times New Roman" w:hAnsi="Times New Roman" w:cs="Times New Roman"/>
          <w:color w:val="000000" w:themeColor="text1"/>
          <w:sz w:val="24"/>
          <w:szCs w:val="24"/>
        </w:rPr>
        <w:t xml:space="preserve"> has been seen to avoid interaction with IRS. </w:t>
      </w:r>
      <w:r w:rsidR="00CE4DFF">
        <w:rPr>
          <w:rFonts w:ascii="Times New Roman" w:hAnsi="Times New Roman" w:cs="Times New Roman"/>
          <w:color w:val="000000" w:themeColor="text1"/>
          <w:sz w:val="24"/>
          <w:szCs w:val="24"/>
        </w:rPr>
        <w:t>It is</w:t>
      </w:r>
      <w:r w:rsidR="00652FDA" w:rsidRPr="00F3795D">
        <w:rPr>
          <w:rFonts w:ascii="Times New Roman" w:hAnsi="Times New Roman" w:cs="Times New Roman"/>
          <w:color w:val="000000" w:themeColor="text1"/>
          <w:sz w:val="24"/>
          <w:szCs w:val="24"/>
        </w:rPr>
        <w:t xml:space="preserve"> crucial to acknowledge the difficulty posed by the spread of malaria vectors to </w:t>
      </w:r>
      <w:r w:rsidR="004A146B" w:rsidRPr="00F3795D">
        <w:rPr>
          <w:rFonts w:ascii="Times New Roman" w:hAnsi="Times New Roman" w:cs="Times New Roman"/>
          <w:color w:val="000000" w:themeColor="text1"/>
          <w:sz w:val="24"/>
          <w:szCs w:val="24"/>
        </w:rPr>
        <w:t>new</w:t>
      </w:r>
      <w:r w:rsidR="00652FDA" w:rsidRPr="00F3795D">
        <w:rPr>
          <w:rFonts w:ascii="Times New Roman" w:hAnsi="Times New Roman" w:cs="Times New Roman"/>
          <w:color w:val="000000" w:themeColor="text1"/>
          <w:sz w:val="24"/>
          <w:szCs w:val="24"/>
        </w:rPr>
        <w:t xml:space="preserve"> regions</w:t>
      </w:r>
      <w:r w:rsidR="00847B5B" w:rsidRPr="00F3795D">
        <w:rPr>
          <w:rFonts w:ascii="Times New Roman" w:hAnsi="Times New Roman" w:cs="Times New Roman"/>
          <w:color w:val="000000" w:themeColor="text1"/>
          <w:sz w:val="24"/>
          <w:szCs w:val="24"/>
        </w:rPr>
        <w:t xml:space="preserve"> </w:t>
      </w:r>
      <w:r w:rsidR="00A11675" w:rsidRPr="00F3795D">
        <w:rPr>
          <w:rFonts w:ascii="Times New Roman" w:hAnsi="Times New Roman" w:cs="Times New Roman"/>
          <w:color w:val="000000" w:themeColor="text1"/>
          <w:sz w:val="24"/>
          <w:szCs w:val="24"/>
        </w:rPr>
        <w:fldChar w:fldCharType="begin" w:fldLock="1"/>
      </w:r>
      <w:r w:rsidR="00847B5B" w:rsidRPr="00F3795D">
        <w:rPr>
          <w:rFonts w:ascii="Times New Roman" w:hAnsi="Times New Roman" w:cs="Times New Roman"/>
          <w:color w:val="000000" w:themeColor="text1"/>
          <w:sz w:val="24"/>
          <w:szCs w:val="24"/>
        </w:rPr>
        <w:instrText>ADDIN CSL_CITATION {"citationItems":[{"id":"ITEM-1","itemData":{"DOI":"10.3389/fitd.2021.718804","abstract":" Female Anopheles mosquitoes transmit Plasmodium parasites that cause human malaria. Currently, vector control is the most widely deployed approach to reduce mosquito population and hence disease transmission. This relies on use of insecticide-based interventions including Long-lasting Insecticide-treated Nets (LLINs) and Indoor Residual Spraying (IRS) where scale-up has contributed to a dramatic decline in malaria deaths and morbidity over the past decade. Challenges to their effective use include the emergence and spread of insecticide resistance by malaria vector populations coupled with the inability to curb outdoor transmission. Under these situations, use of larvicides through larval source management (LSM) can complement these existing measures. The need to minimize environmental impact and effect on non-target organisms has spurred interest in the development of eco-friendly larvicides of natural origin. Here, we review literature published in the last five years to highlight compounds of natural origin found to exhibit larvicidal activity against malaria mosquitoes. Specifically, the larvicidal activity of different classes of compounds is discussed including their effect on non-target organisms. Additionally, we provide suggestions for future research into mosquito larvicides including the use of chemical synthesis to improve the bioactivity of known natural compounds. ","author":[{"dropping-particle":"","family":"Milugo","given":"Trizah K.","non-dropping-particle":"","parse-names":false,"suffix":""},{"dropping-particle":"","family":"Tchouassi","given":"David P.","non-dropping-particle":"","parse-names":false,"suffix":""},{"dropping-particle":"","family":"Kavishe","given":"Reginald A.","non-dropping-particle":"","parse-names":false,"suffix":""},{"dropping-particle":"","family":"Dinglasan","given":"Rhoel R.","non-dropping-particle":"","parse-names":false,"suffix":""},{"dropping-particle":"","family":"Torto","given":"Baldwyn","non-dropping-particle":"","parse-names":false,"suffix":""}],"container-title":"Frontiers in Tropical Diseases","id":"ITEM-1","issue":"August","issued":{"date-parts":[["2021"]]},"page":"1-10","title":"Naturally Occurring Compounds With Larvicidal Activity Against Malaria Mosquitoes","type":"article-journal","volume":"2"},"uris":["http://www.mendeley.com/documents/?uuid=6dbbcc7b-3c75-40ee-99cb-f4059e09dc7e"]}],"mendeley":{"formattedCitation":"(Milugo et al., 2021)","plainTextFormattedCitation":"(Milugo et al., 2021)","previouslyFormattedCitation":"(Milugo et al., 2021)"},"properties":{"noteIndex":0},"schema":"https://github.com/citation-style-language/schema/raw/master/csl-citation.json"}</w:instrText>
      </w:r>
      <w:r w:rsidR="00A11675" w:rsidRPr="00F3795D">
        <w:rPr>
          <w:rFonts w:ascii="Times New Roman" w:hAnsi="Times New Roman" w:cs="Times New Roman"/>
          <w:color w:val="000000" w:themeColor="text1"/>
          <w:sz w:val="24"/>
          <w:szCs w:val="24"/>
        </w:rPr>
        <w:fldChar w:fldCharType="separate"/>
      </w:r>
      <w:r w:rsidR="00A11675" w:rsidRPr="00F3795D">
        <w:rPr>
          <w:rFonts w:ascii="Times New Roman" w:hAnsi="Times New Roman" w:cs="Times New Roman"/>
          <w:noProof/>
          <w:color w:val="000000" w:themeColor="text1"/>
          <w:sz w:val="24"/>
          <w:szCs w:val="24"/>
        </w:rPr>
        <w:t>(Milugo et al., 2021)</w:t>
      </w:r>
      <w:r w:rsidR="00A11675" w:rsidRPr="00F3795D">
        <w:rPr>
          <w:rFonts w:ascii="Times New Roman" w:hAnsi="Times New Roman" w:cs="Times New Roman"/>
          <w:color w:val="000000" w:themeColor="text1"/>
          <w:sz w:val="24"/>
          <w:szCs w:val="24"/>
        </w:rPr>
        <w:fldChar w:fldCharType="end"/>
      </w:r>
      <w:r w:rsidR="00652FDA" w:rsidRPr="00F3795D">
        <w:rPr>
          <w:rFonts w:ascii="Times New Roman" w:hAnsi="Times New Roman" w:cs="Times New Roman"/>
          <w:color w:val="000000" w:themeColor="text1"/>
          <w:sz w:val="24"/>
          <w:szCs w:val="24"/>
        </w:rPr>
        <w:t>.</w:t>
      </w:r>
    </w:p>
    <w:p w14:paraId="460D4E9E" w14:textId="7BF35D94" w:rsidR="00183774" w:rsidRPr="00F3795D" w:rsidRDefault="002565DE" w:rsidP="00372EFD">
      <w:pPr>
        <w:spacing w:after="0" w:line="276" w:lineRule="auto"/>
        <w:jc w:val="both"/>
        <w:rPr>
          <w:rFonts w:ascii="Times New Roman" w:hAnsi="Times New Roman" w:cs="Times New Roman"/>
          <w:color w:val="000000" w:themeColor="text1"/>
          <w:sz w:val="24"/>
          <w:szCs w:val="24"/>
        </w:rPr>
      </w:pPr>
      <w:r w:rsidRPr="00F3795D">
        <w:rPr>
          <w:rFonts w:ascii="Times New Roman" w:hAnsi="Times New Roman" w:cs="Times New Roman"/>
          <w:color w:val="000000" w:themeColor="text1"/>
          <w:sz w:val="24"/>
          <w:szCs w:val="24"/>
          <w:shd w:val="clear" w:color="auto" w:fill="FCFCFC"/>
        </w:rPr>
        <w:t>Mosquito exposure to public health insecticides is m</w:t>
      </w:r>
      <w:r w:rsidR="004A146B" w:rsidRPr="00F3795D">
        <w:rPr>
          <w:rFonts w:ascii="Times New Roman" w:hAnsi="Times New Roman" w:cs="Times New Roman"/>
          <w:color w:val="000000" w:themeColor="text1"/>
          <w:sz w:val="24"/>
          <w:szCs w:val="24"/>
          <w:shd w:val="clear" w:color="auto" w:fill="FCFCFC"/>
        </w:rPr>
        <w:t>ain</w:t>
      </w:r>
      <w:r w:rsidRPr="00F3795D">
        <w:rPr>
          <w:rFonts w:ascii="Times New Roman" w:hAnsi="Times New Roman" w:cs="Times New Roman"/>
          <w:color w:val="000000" w:themeColor="text1"/>
          <w:sz w:val="24"/>
          <w:szCs w:val="24"/>
          <w:shd w:val="clear" w:color="auto" w:fill="FCFCFC"/>
        </w:rPr>
        <w:t xml:space="preserve">ly </w:t>
      </w:r>
      <w:r w:rsidR="004A146B" w:rsidRPr="00F3795D">
        <w:rPr>
          <w:rFonts w:ascii="Times New Roman" w:hAnsi="Times New Roman" w:cs="Times New Roman"/>
          <w:color w:val="000000" w:themeColor="text1"/>
          <w:sz w:val="24"/>
          <w:szCs w:val="24"/>
          <w:shd w:val="clear" w:color="auto" w:fill="FCFCFC"/>
        </w:rPr>
        <w:t>blamed</w:t>
      </w:r>
      <w:r w:rsidRPr="00F3795D">
        <w:rPr>
          <w:rFonts w:ascii="Times New Roman" w:hAnsi="Times New Roman" w:cs="Times New Roman"/>
          <w:color w:val="000000" w:themeColor="text1"/>
          <w:sz w:val="24"/>
          <w:szCs w:val="24"/>
          <w:shd w:val="clear" w:color="auto" w:fill="FCFCFC"/>
        </w:rPr>
        <w:t xml:space="preserve"> for insecticide resistance in malaria vectors. </w:t>
      </w:r>
      <w:r w:rsidR="004A146B" w:rsidRPr="00F3795D">
        <w:rPr>
          <w:rFonts w:ascii="Times New Roman" w:hAnsi="Times New Roman" w:cs="Times New Roman"/>
          <w:color w:val="000000" w:themeColor="text1"/>
          <w:sz w:val="24"/>
          <w:szCs w:val="24"/>
          <w:shd w:val="clear" w:color="auto" w:fill="FCFCFC"/>
        </w:rPr>
        <w:t>However, intense</w:t>
      </w:r>
      <w:r w:rsidRPr="00F3795D">
        <w:rPr>
          <w:rFonts w:ascii="Times New Roman" w:hAnsi="Times New Roman" w:cs="Times New Roman"/>
          <w:color w:val="000000" w:themeColor="text1"/>
          <w:sz w:val="24"/>
          <w:szCs w:val="24"/>
          <w:shd w:val="clear" w:color="auto" w:fill="FCFCFC"/>
        </w:rPr>
        <w:t xml:space="preserve"> selection pressure is also exerted by agricultural pesticides, which helps explain why some vector species have developed resistance. This is due to the shared chemical properties, concurrent applications, and agricultural use of these chemicals without restriction. Higher insecticide tolerance in malaria vectors has also been linked to water exposure of mosquito larvae to sub-lethal levels of pesticides, herbicides, and other pollutants. </w:t>
      </w:r>
      <w:r w:rsidR="00083BBA" w:rsidRPr="00F3795D">
        <w:rPr>
          <w:rFonts w:ascii="Times New Roman" w:hAnsi="Times New Roman" w:cs="Times New Roman"/>
          <w:color w:val="000000" w:themeColor="text1"/>
          <w:sz w:val="24"/>
          <w:szCs w:val="24"/>
          <w:shd w:val="clear" w:color="auto" w:fill="FCFCFC"/>
        </w:rPr>
        <w:fldChar w:fldCharType="begin" w:fldLock="1"/>
      </w:r>
      <w:r w:rsidR="008B28D0" w:rsidRPr="00F3795D">
        <w:rPr>
          <w:rFonts w:ascii="Times New Roman" w:hAnsi="Times New Roman" w:cs="Times New Roman"/>
          <w:color w:val="000000" w:themeColor="text1"/>
          <w:sz w:val="24"/>
          <w:szCs w:val="24"/>
          <w:shd w:val="clear" w:color="auto" w:fill="FCFCFC"/>
        </w:rPr>
        <w:instrText>ADDIN CSL_CITATION {"citationItems":[{"id":"ITEM-1","itemData":{"DOI":"10.1186/s12936-020-03331-4","ISSN":"14752875","PMID":"32677961","abstract":"Background: Unrestricted use of pesticides in agriculture is likely to increase insecticide resistance in mosquito vectors. Unfortunately, strategies for managing insecticide resistance in agriculture and public health sectors lack integration. This study explored the types and usage of agricultural pesticides, and awareness and management practices among retailers and farmers in Ulanga and Kilombero districts in south-eastern Tanzania, where Anopheles mosquitoes are resistant to pyrethroids. Methods: An exploratory sequential mixed-methods approach was employed. First, a survey to characterize pesticide stocks was conducted in agricultural and veterinary (agrovet) retail stores. Interviews to assess general knowledge and practices regarding agricultural pesticides were performed with 17 retailers and 30 farmers, followed by a survey involving 427 farmers. Concurrently, field observations were done to validate the results. Results: Lambda-cyhalothrin, cypermethrin (both pyrethroids) and imidacloprids (neonicotinoids) were the most common agricultural insecticides sold to farmers. The herbicide glyphosate (amino-phosphonates) (59.0%), and the fungicides dithiocarbamate and acylalanine (54.5%), and organochlorine (27.3%) were also readily available in the agrovet shops and widely used by farmers. Although both retailers and farmers had at least primary-level education and recognized pesticides by their trade names, they lacked knowledge on pest control or proper usage of these pesticides. Most of the farmers (54.4%, n = 316) relied on instructions from pesticides dealers. Overall, 93.7% (400) farmers practised pesticides mixing in their farms, often in close proximity to water sources. One-third of the farmers disposed of their pesticide leftovers (30.0%, n = 128) and most farmers discarded empty pesticide containers into rivers or nearby bushes (55.7%, n = 238). Conclusion: Similarities of active ingredients used in agriculture and malaria vector control, poor pesticide management practices and low-levels of awareness among farmers and pesticides retailers might enhance the selection of insecticide resistance in malaria vectors. This study emphasizes the need for improving awareness among retailers and farmers on proper usage and management of pesticides. The study also highlights the need for an integrated approach, including coordinated education on pesticide use, to improve the overall management of insecticide resistance in both agricultural and publ…","author":[{"dropping-particle":"","family":"Matowo","given":"Nancy S.","non-dropping-particle":"","parse-names":false,"suffix":""},{"dropping-particle":"","family":"Tanner","given":"Marcel","non-dropping-particle":"","parse-names":false,"suffix":""},{"dropping-particle":"","family":"Munhenga","given":"Givemore","non-dropping-particle":"","parse-names":false,"suffix":""},{"dropping-particle":"","family":"Mapua","given":"Salum A.","non-dropping-particle":"","parse-names":false,"suffix":""},{"dropping-particle":"","family":"Finda","given":"Marceline","non-dropping-particle":"","parse-names":false,"suffix":""},{"dropping-particle":"","family":"Utzinger","given":"Jürg","non-dropping-particle":"","parse-names":false,"suffix":""},{"dropping-particle":"","family":"Ngowi","given":"Vera","non-dropping-particle":"","parse-names":false,"suffix":""},{"dropping-particle":"","family":"Okumu","given":"Fredros O.","non-dropping-particle":"","parse-names":false,"suffix":""}],"container-title":"Malaria Journal","id":"ITEM-1","issue":"1","issued":{"date-parts":[["2020"]]},"page":"1-16","publisher":"BioMed Central","title":"Patterns of pesticide usage in agriculture in rural Tanzania call for integrating agricultural and public health practices in managing insecticide-resistance in malaria vectors","type":"article-journal","volume":"19"},"uris":["http://www.mendeley.com/documents/?uuid=0a89b247-1c73-4c4e-a876-cd85e4842e9a","http://www.mendeley.com/documents/?uuid=5f7622c1-f1f7-4f71-a14d-8c5be619866a"]}],"mendeley":{"formattedCitation":"(Matowo et al., 2020b)","plainTextFormattedCitation":"(Matowo et al., 2020b)","previouslyFormattedCitation":"(Matowo et al., 2020b)"},"properties":{"noteIndex":0},"schema":"https://github.com/citation-style-language/schema/raw/master/csl-citation.json"}</w:instrText>
      </w:r>
      <w:r w:rsidR="00083BBA" w:rsidRPr="00F3795D">
        <w:rPr>
          <w:rFonts w:ascii="Times New Roman" w:hAnsi="Times New Roman" w:cs="Times New Roman"/>
          <w:color w:val="000000" w:themeColor="text1"/>
          <w:sz w:val="24"/>
          <w:szCs w:val="24"/>
          <w:shd w:val="clear" w:color="auto" w:fill="FCFCFC"/>
        </w:rPr>
        <w:fldChar w:fldCharType="separate"/>
      </w:r>
      <w:r w:rsidR="005D682C" w:rsidRPr="00F3795D">
        <w:rPr>
          <w:rFonts w:ascii="Times New Roman" w:hAnsi="Times New Roman" w:cs="Times New Roman"/>
          <w:noProof/>
          <w:color w:val="000000" w:themeColor="text1"/>
          <w:sz w:val="24"/>
          <w:szCs w:val="24"/>
          <w:shd w:val="clear" w:color="auto" w:fill="FCFCFC"/>
        </w:rPr>
        <w:t>(Matowo et al., 2020b)</w:t>
      </w:r>
      <w:r w:rsidR="00083BBA" w:rsidRPr="00F3795D">
        <w:rPr>
          <w:rFonts w:ascii="Times New Roman" w:hAnsi="Times New Roman" w:cs="Times New Roman"/>
          <w:color w:val="000000" w:themeColor="text1"/>
          <w:sz w:val="24"/>
          <w:szCs w:val="24"/>
          <w:shd w:val="clear" w:color="auto" w:fill="FCFCFC"/>
        </w:rPr>
        <w:fldChar w:fldCharType="end"/>
      </w:r>
      <w:r w:rsidR="00C41588" w:rsidRPr="00F3795D">
        <w:rPr>
          <w:rFonts w:ascii="Times New Roman" w:hAnsi="Times New Roman" w:cs="Times New Roman"/>
          <w:color w:val="000000" w:themeColor="text1"/>
          <w:sz w:val="24"/>
          <w:szCs w:val="24"/>
          <w:shd w:val="clear" w:color="auto" w:fill="FCFCFC"/>
        </w:rPr>
        <w:t>.</w:t>
      </w:r>
    </w:p>
    <w:p w14:paraId="014F0A9D" w14:textId="4C3B6AA8" w:rsidR="008B5A9E" w:rsidRPr="00F3795D" w:rsidRDefault="005D578C" w:rsidP="00372EFD">
      <w:pPr>
        <w:spacing w:after="0" w:line="276" w:lineRule="auto"/>
        <w:jc w:val="both"/>
        <w:rPr>
          <w:rFonts w:ascii="Times New Roman" w:hAnsi="Times New Roman" w:cs="Times New Roman"/>
          <w:color w:val="000000" w:themeColor="text1"/>
          <w:sz w:val="24"/>
          <w:szCs w:val="24"/>
          <w:shd w:val="clear" w:color="auto" w:fill="FCFCFC"/>
        </w:rPr>
      </w:pPr>
      <w:r w:rsidRPr="00F3795D">
        <w:rPr>
          <w:rFonts w:ascii="Times New Roman" w:hAnsi="Times New Roman" w:cs="Times New Roman"/>
          <w:color w:val="000000" w:themeColor="text1"/>
          <w:sz w:val="24"/>
          <w:szCs w:val="24"/>
          <w:shd w:val="clear" w:color="auto" w:fill="FCFCFC"/>
        </w:rPr>
        <w:t xml:space="preserve">This earlier investigation also identified two promising substances, </w:t>
      </w:r>
      <w:proofErr w:type="spellStart"/>
      <w:r w:rsidR="00E325BA" w:rsidRPr="00F3795D">
        <w:rPr>
          <w:rFonts w:ascii="Times New Roman" w:hAnsi="Times New Roman" w:cs="Times New Roman"/>
          <w:color w:val="000000" w:themeColor="text1"/>
          <w:sz w:val="24"/>
          <w:szCs w:val="24"/>
          <w:shd w:val="clear" w:color="auto" w:fill="FCFCFC"/>
        </w:rPr>
        <w:t>I</w:t>
      </w:r>
      <w:r w:rsidRPr="00F3795D">
        <w:rPr>
          <w:rFonts w:ascii="Times New Roman" w:hAnsi="Times New Roman" w:cs="Times New Roman"/>
          <w:color w:val="000000" w:themeColor="text1"/>
          <w:sz w:val="24"/>
          <w:szCs w:val="24"/>
          <w:shd w:val="clear" w:color="auto" w:fill="FCFCFC"/>
        </w:rPr>
        <w:t>midacloprid</w:t>
      </w:r>
      <w:proofErr w:type="spellEnd"/>
      <w:r w:rsidRPr="00F3795D">
        <w:rPr>
          <w:rFonts w:ascii="Times New Roman" w:hAnsi="Times New Roman" w:cs="Times New Roman"/>
          <w:color w:val="000000" w:themeColor="text1"/>
          <w:sz w:val="24"/>
          <w:szCs w:val="24"/>
          <w:shd w:val="clear" w:color="auto" w:fill="FCFCFC"/>
        </w:rPr>
        <w:t xml:space="preserve"> and </w:t>
      </w:r>
      <w:proofErr w:type="spellStart"/>
      <w:r w:rsidRPr="00F3795D">
        <w:rPr>
          <w:rFonts w:ascii="Times New Roman" w:hAnsi="Times New Roman" w:cs="Times New Roman"/>
          <w:color w:val="000000" w:themeColor="text1"/>
          <w:sz w:val="24"/>
          <w:szCs w:val="24"/>
          <w:shd w:val="clear" w:color="auto" w:fill="FCFCFC"/>
        </w:rPr>
        <w:t>chlorpyrifos</w:t>
      </w:r>
      <w:proofErr w:type="spellEnd"/>
      <w:r w:rsidRPr="00F3795D">
        <w:rPr>
          <w:rFonts w:ascii="Times New Roman" w:hAnsi="Times New Roman" w:cs="Times New Roman"/>
          <w:color w:val="000000" w:themeColor="text1"/>
          <w:sz w:val="24"/>
          <w:szCs w:val="24"/>
          <w:shd w:val="clear" w:color="auto" w:fill="FCFCFC"/>
        </w:rPr>
        <w:t xml:space="preserve"> </w:t>
      </w:r>
      <w:proofErr w:type="spellStart"/>
      <w:r w:rsidRPr="00F3795D">
        <w:rPr>
          <w:rFonts w:ascii="Times New Roman" w:hAnsi="Times New Roman" w:cs="Times New Roman"/>
          <w:color w:val="000000" w:themeColor="text1"/>
          <w:sz w:val="24"/>
          <w:szCs w:val="24"/>
          <w:shd w:val="clear" w:color="auto" w:fill="FCFCFC"/>
        </w:rPr>
        <w:t>emulsifiable</w:t>
      </w:r>
      <w:proofErr w:type="spellEnd"/>
      <w:r w:rsidRPr="00F3795D">
        <w:rPr>
          <w:rFonts w:ascii="Times New Roman" w:hAnsi="Times New Roman" w:cs="Times New Roman"/>
          <w:color w:val="000000" w:themeColor="text1"/>
          <w:sz w:val="24"/>
          <w:szCs w:val="24"/>
          <w:shd w:val="clear" w:color="auto" w:fill="FCFCFC"/>
        </w:rPr>
        <w:t xml:space="preserve"> concentrate, for farm pest control and cereal preservation during storage. The WHO pesticide evaluation programme</w:t>
      </w:r>
      <w:r w:rsidR="00A72DF3" w:rsidRPr="00F3795D">
        <w:rPr>
          <w:rFonts w:ascii="Times New Roman" w:hAnsi="Times New Roman" w:cs="Times New Roman"/>
          <w:color w:val="000000" w:themeColor="text1"/>
          <w:sz w:val="24"/>
          <w:szCs w:val="24"/>
          <w:shd w:val="clear" w:color="auto" w:fill="FCFCFC"/>
        </w:rPr>
        <w:t xml:space="preserve"> </w:t>
      </w:r>
      <w:r w:rsidRPr="00F3795D">
        <w:rPr>
          <w:rFonts w:ascii="Times New Roman" w:hAnsi="Times New Roman" w:cs="Times New Roman"/>
          <w:color w:val="000000" w:themeColor="text1"/>
          <w:sz w:val="24"/>
          <w:szCs w:val="24"/>
          <w:shd w:val="clear" w:color="auto" w:fill="FCFCFC"/>
        </w:rPr>
        <w:t xml:space="preserve">endorsed the organophosphate chlorpyrifos for controlling immature mosquitoes and </w:t>
      </w:r>
      <w:r w:rsidR="00997EFD" w:rsidRPr="00F3795D">
        <w:rPr>
          <w:rFonts w:ascii="Times New Roman" w:hAnsi="Times New Roman" w:cs="Times New Roman"/>
          <w:color w:val="000000" w:themeColor="text1"/>
          <w:sz w:val="24"/>
          <w:szCs w:val="24"/>
          <w:shd w:val="clear" w:color="auto" w:fill="FCFCFC"/>
        </w:rPr>
        <w:t>assessed it for</w:t>
      </w:r>
      <w:r w:rsidRPr="00F3795D">
        <w:rPr>
          <w:rFonts w:ascii="Times New Roman" w:hAnsi="Times New Roman" w:cs="Times New Roman"/>
          <w:color w:val="000000" w:themeColor="text1"/>
          <w:sz w:val="24"/>
          <w:szCs w:val="24"/>
          <w:shd w:val="clear" w:color="auto" w:fill="FCFCFC"/>
        </w:rPr>
        <w:t xml:space="preserve"> net impregnation. In addition, </w:t>
      </w:r>
      <w:r w:rsidR="00E325BA" w:rsidRPr="00F3795D">
        <w:rPr>
          <w:rFonts w:ascii="Times New Roman" w:hAnsi="Times New Roman" w:cs="Times New Roman"/>
          <w:color w:val="000000" w:themeColor="text1"/>
          <w:sz w:val="24"/>
          <w:szCs w:val="24"/>
          <w:shd w:val="clear" w:color="auto" w:fill="FCFCFC"/>
        </w:rPr>
        <w:t>I</w:t>
      </w:r>
      <w:r w:rsidRPr="00F3795D">
        <w:rPr>
          <w:rFonts w:ascii="Times New Roman" w:hAnsi="Times New Roman" w:cs="Times New Roman"/>
          <w:color w:val="000000" w:themeColor="text1"/>
          <w:sz w:val="24"/>
          <w:szCs w:val="24"/>
          <w:shd w:val="clear" w:color="auto" w:fill="FCFCFC"/>
        </w:rPr>
        <w:t xml:space="preserve">midacloprid (neonicotinoids), a stimulator of the nicotinic acetylcholine receptor, is sometimes employed in combination with the widely-used pyrethroids. In mosquitoes, metabolic resistance is one of the </w:t>
      </w:r>
      <w:r w:rsidR="00997EFD" w:rsidRPr="00F3795D">
        <w:rPr>
          <w:rFonts w:ascii="Times New Roman" w:hAnsi="Times New Roman" w:cs="Times New Roman"/>
          <w:color w:val="000000" w:themeColor="text1"/>
          <w:sz w:val="24"/>
          <w:szCs w:val="24"/>
          <w:shd w:val="clear" w:color="auto" w:fill="FCFCFC"/>
        </w:rPr>
        <w:t>primary</w:t>
      </w:r>
      <w:r w:rsidRPr="00F3795D">
        <w:rPr>
          <w:rFonts w:ascii="Times New Roman" w:hAnsi="Times New Roman" w:cs="Times New Roman"/>
          <w:color w:val="000000" w:themeColor="text1"/>
          <w:sz w:val="24"/>
          <w:szCs w:val="24"/>
          <w:shd w:val="clear" w:color="auto" w:fill="FCFCFC"/>
        </w:rPr>
        <w:t xml:space="preserve"> mechanisms.</w:t>
      </w:r>
      <w:r w:rsidR="004F4898" w:rsidRPr="00F3795D">
        <w:rPr>
          <w:rFonts w:ascii="Times New Roman" w:hAnsi="Times New Roman" w:cs="Times New Roman"/>
          <w:color w:val="000000" w:themeColor="text1"/>
          <w:sz w:val="24"/>
          <w:szCs w:val="24"/>
          <w:shd w:val="clear" w:color="auto" w:fill="FCFCFC"/>
        </w:rPr>
        <w:t xml:space="preserve"> </w:t>
      </w:r>
      <w:r w:rsidR="008B5A9E" w:rsidRPr="00F3795D">
        <w:rPr>
          <w:rFonts w:ascii="Times New Roman" w:hAnsi="Times New Roman" w:cs="Times New Roman"/>
          <w:color w:val="000000" w:themeColor="text1"/>
          <w:sz w:val="24"/>
          <w:szCs w:val="24"/>
          <w:shd w:val="clear" w:color="auto" w:fill="FCFCFC"/>
        </w:rPr>
        <w:t xml:space="preserve">It has been connected to the widespread application of pesticides in rice crops that get irrigation, </w:t>
      </w:r>
      <w:r w:rsidR="00997EFD" w:rsidRPr="00F3795D">
        <w:rPr>
          <w:rFonts w:ascii="Times New Roman" w:hAnsi="Times New Roman" w:cs="Times New Roman"/>
          <w:color w:val="000000" w:themeColor="text1"/>
          <w:sz w:val="24"/>
          <w:szCs w:val="24"/>
          <w:shd w:val="clear" w:color="auto" w:fill="FCFCFC"/>
        </w:rPr>
        <w:t>facilitating</w:t>
      </w:r>
      <w:r w:rsidR="008B5A9E" w:rsidRPr="00F3795D">
        <w:rPr>
          <w:rFonts w:ascii="Times New Roman" w:hAnsi="Times New Roman" w:cs="Times New Roman"/>
          <w:color w:val="000000" w:themeColor="text1"/>
          <w:sz w:val="24"/>
          <w:szCs w:val="24"/>
          <w:shd w:val="clear" w:color="auto" w:fill="FCFCFC"/>
        </w:rPr>
        <w:t xml:space="preserve"> the overproduction of detoxifying enzymes. Four </w:t>
      </w:r>
      <w:r w:rsidR="009720F3" w:rsidRPr="00F3795D">
        <w:rPr>
          <w:rFonts w:ascii="Times New Roman" w:hAnsi="Times New Roman" w:cs="Times New Roman"/>
          <w:color w:val="000000" w:themeColor="text1"/>
          <w:sz w:val="24"/>
          <w:szCs w:val="24"/>
          <w:shd w:val="clear" w:color="auto" w:fill="FCFCFC"/>
        </w:rPr>
        <w:t>CYP</w:t>
      </w:r>
      <w:r w:rsidR="003C0560" w:rsidRPr="00F3795D">
        <w:rPr>
          <w:rFonts w:ascii="Times New Roman" w:hAnsi="Times New Roman" w:cs="Times New Roman"/>
          <w:color w:val="000000" w:themeColor="text1"/>
          <w:sz w:val="24"/>
          <w:szCs w:val="24"/>
          <w:shd w:val="clear" w:color="auto" w:fill="FCFCFC"/>
        </w:rPr>
        <w:t>6P3</w:t>
      </w:r>
      <w:r w:rsidR="008B5A9E" w:rsidRPr="00F3795D">
        <w:rPr>
          <w:rFonts w:ascii="Times New Roman" w:hAnsi="Times New Roman" w:cs="Times New Roman"/>
          <w:color w:val="000000" w:themeColor="text1"/>
          <w:sz w:val="24"/>
          <w:szCs w:val="24"/>
          <w:shd w:val="clear" w:color="auto" w:fill="FCFCFC"/>
        </w:rPr>
        <w:t xml:space="preserve"> and one </w:t>
      </w:r>
      <w:r w:rsidR="009720F3" w:rsidRPr="00F3795D">
        <w:rPr>
          <w:rFonts w:ascii="Times New Roman" w:hAnsi="Times New Roman" w:cs="Times New Roman"/>
          <w:color w:val="000000" w:themeColor="text1"/>
          <w:sz w:val="24"/>
          <w:szCs w:val="24"/>
          <w:shd w:val="clear" w:color="auto" w:fill="FCFCFC"/>
        </w:rPr>
        <w:t>CYP</w:t>
      </w:r>
      <w:r w:rsidR="008B5A9E" w:rsidRPr="00F3795D">
        <w:rPr>
          <w:rFonts w:ascii="Times New Roman" w:hAnsi="Times New Roman" w:cs="Times New Roman"/>
          <w:color w:val="000000" w:themeColor="text1"/>
          <w:sz w:val="24"/>
          <w:szCs w:val="24"/>
          <w:shd w:val="clear" w:color="auto" w:fill="FCFCFC"/>
        </w:rPr>
        <w:t xml:space="preserve">325 cytochrome </w:t>
      </w:r>
      <w:r w:rsidR="006B24FC" w:rsidRPr="00F3795D">
        <w:rPr>
          <w:rFonts w:ascii="Times New Roman" w:hAnsi="Times New Roman" w:cs="Times New Roman"/>
          <w:color w:val="000000" w:themeColor="text1"/>
          <w:sz w:val="24"/>
          <w:szCs w:val="24"/>
          <w:shd w:val="clear" w:color="auto" w:fill="FCFCFC"/>
        </w:rPr>
        <w:t>P450</w:t>
      </w:r>
      <w:r w:rsidR="008B5A9E" w:rsidRPr="00F3795D">
        <w:rPr>
          <w:rFonts w:ascii="Times New Roman" w:hAnsi="Times New Roman" w:cs="Times New Roman"/>
          <w:color w:val="000000" w:themeColor="text1"/>
          <w:sz w:val="24"/>
          <w:szCs w:val="24"/>
          <w:shd w:val="clear" w:color="auto" w:fill="FCFCFC"/>
        </w:rPr>
        <w:t xml:space="preserve">, two delta class </w:t>
      </w:r>
      <w:r w:rsidR="00101428" w:rsidRPr="00F3795D">
        <w:rPr>
          <w:rFonts w:ascii="Times New Roman" w:hAnsi="Times New Roman" w:cs="Times New Roman"/>
          <w:color w:val="000000" w:themeColor="text1"/>
          <w:sz w:val="24"/>
          <w:szCs w:val="24"/>
          <w:shd w:val="clear" w:color="auto" w:fill="FCFCFC"/>
        </w:rPr>
        <w:t>GST</w:t>
      </w:r>
      <w:r w:rsidR="008B5A9E" w:rsidRPr="00F3795D">
        <w:rPr>
          <w:rFonts w:ascii="Times New Roman" w:hAnsi="Times New Roman" w:cs="Times New Roman"/>
          <w:color w:val="000000" w:themeColor="text1"/>
          <w:sz w:val="24"/>
          <w:szCs w:val="24"/>
          <w:shd w:val="clear" w:color="auto" w:fill="FCFCFC"/>
        </w:rPr>
        <w:t>s, one peroxiredoxin, and two cuticular precursor genes were found to be overexpressed in adult mosquitoes, and this overexpression was reported to be influenced by the presence of xenobiotics and agricultural pesticides in the agroecological sites</w:t>
      </w:r>
      <w:r w:rsidR="00D93EBC" w:rsidRPr="00F3795D">
        <w:rPr>
          <w:rFonts w:ascii="Times New Roman" w:hAnsi="Times New Roman" w:cs="Times New Roman"/>
          <w:color w:val="000000" w:themeColor="text1"/>
          <w:sz w:val="24"/>
          <w:szCs w:val="24"/>
          <w:shd w:val="clear" w:color="auto" w:fill="FCFCFC"/>
        </w:rPr>
        <w:t xml:space="preserve"> </w:t>
      </w:r>
      <w:r w:rsidR="00FA18E2" w:rsidRPr="00F3795D">
        <w:rPr>
          <w:rFonts w:ascii="Times New Roman" w:hAnsi="Times New Roman" w:cs="Times New Roman"/>
          <w:color w:val="000000" w:themeColor="text1"/>
          <w:sz w:val="24"/>
          <w:szCs w:val="24"/>
          <w:shd w:val="clear" w:color="auto" w:fill="FCFCFC"/>
        </w:rPr>
        <w:fldChar w:fldCharType="begin" w:fldLock="1"/>
      </w:r>
      <w:r w:rsidR="00947826" w:rsidRPr="00F3795D">
        <w:rPr>
          <w:rFonts w:ascii="Times New Roman" w:hAnsi="Times New Roman" w:cs="Times New Roman"/>
          <w:color w:val="000000" w:themeColor="text1"/>
          <w:sz w:val="24"/>
          <w:szCs w:val="24"/>
          <w:shd w:val="clear" w:color="auto" w:fill="FCFCFC"/>
        </w:rPr>
        <w:instrText>ADDIN CSL_CITATION {"citationItems":[{"id":"ITEM-1","itemData":{"DOI":"10.1186/s12936-020-03216-6","ISSN":"1475-2875","author":[{"dropping-particle":"","family":"Tangena","given":"Julie Anne A","non-dropping-particle":"","parse-names":false,"suffix":""},{"dropping-particle":"","family":"Hendriks","given":"Chantal M J","non-dropping-particle":"","parse-names":false,"suffix":""},{"dropping-particle":"","family":"Devine","given":"Maria","non-dropping-particle":"","parse-names":false,"suffix":""},{"dropping-particle":"","family":"Tammaro","given":"Meghan","non-dropping-particle":"","parse-names":false,"suffix":""},{"dropping-particle":"","family":"Trett","given":"Anna E","non-dropping-particle":"","parse-names":false,"suffix":""},{"dropping-particle":"","family":"Williams","given":"Ignatius","non-dropping-particle":"","parse-names":false,"suffix":""},{"dropping-particle":"","family":"Depina","given":"Adilson José","non-dropping-particle":"","parse-names":false,"suffix":""},{"dropping-particle":"","family":"Sisay","given":"Achamylesh","non-dropping-particle":"","parse-names":false,"suffix":""},{"dropping-particle":"","family":"Herizo","given":"Ramandimbiarijaona","non-dropping-particle":"","parse-names":false,"suffix":""},{"dropping-particle":"","family":"Kafy","given":"Hmooda Toto","non-dropping-particle":"","parse-names":false,"suffix":""},{"dropping-particle":"","family":"Chizema","given":"Elizabeth","non-dropping-particle":"","parse-names":false,"suffix":""},{"dropping-particle":"","family":"Were","given":"Allan","non-dropping-particle":"","parse-names":false,"suffix":""},{"dropping-particle":"","family":"Rozier","given":"Jennifer","non-dropping-particle":"","parse-names":false,"suffix":""},{"dropping-particle":"","family":"Coleman","given":"Michael","non-dropping-particle":"","parse-names":false,"suffix":""},{"dropping-particle":"","family":"Moyes","given":"Catherine L","non-dropping-particle":"","parse-names":false,"suffix":""}],"container-title":"Malaria Journal","id":"ITEM-1","issued":{"date-parts":[["2020"]]},"page":"1-15","publisher":"BioMed Central","title":"Indoor residual spraying for malaria control in sub ‑ Saharan Africa 1997 to 2017 : an adjusted retrospective analysis","type":"article-journal"},"uris":["http://www.mendeley.com/documents/?uuid=1c599c82-9e41-4045-986b-f74e7df84acc"]}],"mendeley":{"formattedCitation":"(Tangena et al., 2020)","plainTextFormattedCitation":"(Tangena et al., 2020)","previouslyFormattedCitation":"(Tangena et al., 2020)"},"properties":{"noteIndex":0},"schema":"https://github.com/citation-style-language/schema/raw/master/csl-citation.json"}</w:instrText>
      </w:r>
      <w:r w:rsidR="00FA18E2" w:rsidRPr="00F3795D">
        <w:rPr>
          <w:rFonts w:ascii="Times New Roman" w:hAnsi="Times New Roman" w:cs="Times New Roman"/>
          <w:color w:val="000000" w:themeColor="text1"/>
          <w:sz w:val="24"/>
          <w:szCs w:val="24"/>
          <w:shd w:val="clear" w:color="auto" w:fill="FCFCFC"/>
        </w:rPr>
        <w:fldChar w:fldCharType="separate"/>
      </w:r>
      <w:r w:rsidR="00FA18E2" w:rsidRPr="00F3795D">
        <w:rPr>
          <w:rFonts w:ascii="Times New Roman" w:hAnsi="Times New Roman" w:cs="Times New Roman"/>
          <w:noProof/>
          <w:color w:val="000000" w:themeColor="text1"/>
          <w:sz w:val="24"/>
          <w:szCs w:val="24"/>
          <w:shd w:val="clear" w:color="auto" w:fill="FCFCFC"/>
        </w:rPr>
        <w:t>(Tangena et al., 2020)</w:t>
      </w:r>
      <w:r w:rsidR="00FA18E2" w:rsidRPr="00F3795D">
        <w:rPr>
          <w:rFonts w:ascii="Times New Roman" w:hAnsi="Times New Roman" w:cs="Times New Roman"/>
          <w:color w:val="000000" w:themeColor="text1"/>
          <w:sz w:val="24"/>
          <w:szCs w:val="24"/>
          <w:shd w:val="clear" w:color="auto" w:fill="FCFCFC"/>
        </w:rPr>
        <w:fldChar w:fldCharType="end"/>
      </w:r>
      <w:r w:rsidR="008B5A9E" w:rsidRPr="00F3795D">
        <w:rPr>
          <w:rFonts w:ascii="Times New Roman" w:hAnsi="Times New Roman" w:cs="Times New Roman"/>
          <w:color w:val="000000" w:themeColor="text1"/>
          <w:sz w:val="24"/>
          <w:szCs w:val="24"/>
          <w:shd w:val="clear" w:color="auto" w:fill="FCFCFC"/>
        </w:rPr>
        <w:t>.</w:t>
      </w:r>
    </w:p>
    <w:p w14:paraId="2A8BE0DA" w14:textId="6D80CD40" w:rsidR="00025A3C" w:rsidRPr="00F3795D" w:rsidRDefault="004F4898" w:rsidP="00372EFD">
      <w:pPr>
        <w:spacing w:after="0" w:line="276" w:lineRule="auto"/>
        <w:jc w:val="both"/>
        <w:rPr>
          <w:rFonts w:ascii="Times New Roman" w:hAnsi="Times New Roman" w:cs="Times New Roman"/>
          <w:b/>
          <w:bCs/>
          <w:color w:val="000000" w:themeColor="text1"/>
          <w:sz w:val="24"/>
          <w:szCs w:val="24"/>
        </w:rPr>
      </w:pPr>
      <w:r w:rsidRPr="00F3795D">
        <w:rPr>
          <w:rFonts w:ascii="Times New Roman" w:hAnsi="Times New Roman" w:cs="Times New Roman"/>
          <w:b/>
          <w:bCs/>
          <w:color w:val="000000" w:themeColor="text1"/>
          <w:sz w:val="24"/>
          <w:szCs w:val="24"/>
        </w:rPr>
        <w:t>Protozoal manifestation of the human</w:t>
      </w:r>
    </w:p>
    <w:p w14:paraId="26E1FC72" w14:textId="4787FB0B" w:rsidR="00B23B99" w:rsidRPr="00F3795D" w:rsidRDefault="00193FCA" w:rsidP="00372EFD">
      <w:pPr>
        <w:pStyle w:val="ListParagraph"/>
        <w:numPr>
          <w:ilvl w:val="0"/>
          <w:numId w:val="10"/>
        </w:numPr>
        <w:spacing w:after="0" w:line="276" w:lineRule="auto"/>
        <w:jc w:val="both"/>
        <w:rPr>
          <w:rFonts w:ascii="Times New Roman" w:hAnsi="Times New Roman" w:cs="Times New Roman"/>
          <w:color w:val="000000" w:themeColor="text1"/>
          <w:sz w:val="24"/>
          <w:szCs w:val="24"/>
        </w:rPr>
      </w:pPr>
      <w:r w:rsidRPr="00F3795D">
        <w:rPr>
          <w:rFonts w:ascii="Times New Roman" w:hAnsi="Times New Roman" w:cs="Times New Roman"/>
          <w:color w:val="000000" w:themeColor="text1"/>
          <w:sz w:val="24"/>
          <w:szCs w:val="24"/>
        </w:rPr>
        <w:t xml:space="preserve">Unrousable coma or cerebral </w:t>
      </w:r>
      <w:r w:rsidR="00765349" w:rsidRPr="00F3795D">
        <w:rPr>
          <w:rFonts w:ascii="Times New Roman" w:hAnsi="Times New Roman" w:cs="Times New Roman"/>
          <w:color w:val="000000" w:themeColor="text1"/>
          <w:sz w:val="24"/>
          <w:szCs w:val="24"/>
        </w:rPr>
        <w:t>M</w:t>
      </w:r>
      <w:r w:rsidRPr="00F3795D">
        <w:rPr>
          <w:rFonts w:ascii="Times New Roman" w:hAnsi="Times New Roman" w:cs="Times New Roman"/>
          <w:color w:val="000000" w:themeColor="text1"/>
          <w:sz w:val="24"/>
          <w:szCs w:val="24"/>
        </w:rPr>
        <w:t xml:space="preserve">alaria is the most distinctive symptom of severe falciparum malaria. The main mechanisms of cerebral </w:t>
      </w:r>
      <w:r w:rsidR="00765349" w:rsidRPr="00F3795D">
        <w:rPr>
          <w:rFonts w:ascii="Times New Roman" w:hAnsi="Times New Roman" w:cs="Times New Roman"/>
          <w:color w:val="000000" w:themeColor="text1"/>
          <w:sz w:val="24"/>
          <w:szCs w:val="24"/>
        </w:rPr>
        <w:t>M</w:t>
      </w:r>
      <w:r w:rsidRPr="00F3795D">
        <w:rPr>
          <w:rFonts w:ascii="Times New Roman" w:hAnsi="Times New Roman" w:cs="Times New Roman"/>
          <w:color w:val="000000" w:themeColor="text1"/>
          <w:sz w:val="24"/>
          <w:szCs w:val="24"/>
        </w:rPr>
        <w:t xml:space="preserve">alaria include the accumulation of immune cells and platelets, the sequestration of </w:t>
      </w:r>
      <w:r w:rsidR="00CE4DFF">
        <w:rPr>
          <w:rFonts w:ascii="Times New Roman" w:hAnsi="Times New Roman" w:cs="Times New Roman"/>
          <w:color w:val="000000" w:themeColor="text1"/>
          <w:sz w:val="24"/>
          <w:szCs w:val="24"/>
        </w:rPr>
        <w:t>parasitised</w:t>
      </w:r>
      <w:r w:rsidRPr="00F3795D">
        <w:rPr>
          <w:rFonts w:ascii="Times New Roman" w:hAnsi="Times New Roman" w:cs="Times New Roman"/>
          <w:color w:val="000000" w:themeColor="text1"/>
          <w:sz w:val="24"/>
          <w:szCs w:val="24"/>
        </w:rPr>
        <w:t xml:space="preserve"> red blood cells in brain capillaries, the production of cytokines, and the release of microparticles. This leads to endothelial blood-brain barrier lesions, which </w:t>
      </w:r>
      <w:r w:rsidR="00997EFD" w:rsidRPr="00F3795D">
        <w:rPr>
          <w:rFonts w:ascii="Times New Roman" w:hAnsi="Times New Roman" w:cs="Times New Roman"/>
          <w:color w:val="000000" w:themeColor="text1"/>
          <w:sz w:val="24"/>
          <w:szCs w:val="24"/>
        </w:rPr>
        <w:t>cause</w:t>
      </w:r>
      <w:r w:rsidRPr="00F3795D">
        <w:rPr>
          <w:rFonts w:ascii="Times New Roman" w:hAnsi="Times New Roman" w:cs="Times New Roman"/>
          <w:color w:val="000000" w:themeColor="text1"/>
          <w:sz w:val="24"/>
          <w:szCs w:val="24"/>
        </w:rPr>
        <w:t xml:space="preserve"> brain injuries like oedema, ischemia, and haemorrhages. Any age can experience this symmetrical, widespread encephalopathy. People with low immunity are more likely to develop cerebral </w:t>
      </w:r>
      <w:r w:rsidR="00765349" w:rsidRPr="00F3795D">
        <w:rPr>
          <w:rFonts w:ascii="Times New Roman" w:hAnsi="Times New Roman" w:cs="Times New Roman"/>
          <w:color w:val="000000" w:themeColor="text1"/>
          <w:sz w:val="24"/>
          <w:szCs w:val="24"/>
        </w:rPr>
        <w:t>M</w:t>
      </w:r>
      <w:r w:rsidRPr="00F3795D">
        <w:rPr>
          <w:rFonts w:ascii="Times New Roman" w:hAnsi="Times New Roman" w:cs="Times New Roman"/>
          <w:color w:val="000000" w:themeColor="text1"/>
          <w:sz w:val="24"/>
          <w:szCs w:val="24"/>
        </w:rPr>
        <w:t xml:space="preserve">alaria, and treatment options, access to critical care, and the level of accompanying </w:t>
      </w:r>
      <w:r w:rsidR="00997EFD" w:rsidRPr="00F3795D">
        <w:rPr>
          <w:rFonts w:ascii="Times New Roman" w:hAnsi="Times New Roman" w:cs="Times New Roman"/>
          <w:color w:val="000000" w:themeColor="text1"/>
          <w:sz w:val="24"/>
          <w:szCs w:val="24"/>
        </w:rPr>
        <w:t>signific</w:t>
      </w:r>
      <w:r w:rsidRPr="00F3795D">
        <w:rPr>
          <w:rFonts w:ascii="Times New Roman" w:hAnsi="Times New Roman" w:cs="Times New Roman"/>
          <w:color w:val="000000" w:themeColor="text1"/>
          <w:sz w:val="24"/>
          <w:szCs w:val="24"/>
        </w:rPr>
        <w:t xml:space="preserve">ant organ failure all </w:t>
      </w:r>
      <w:r w:rsidR="00997EFD" w:rsidRPr="00F3795D">
        <w:rPr>
          <w:rFonts w:ascii="Times New Roman" w:hAnsi="Times New Roman" w:cs="Times New Roman"/>
          <w:color w:val="000000" w:themeColor="text1"/>
          <w:sz w:val="24"/>
          <w:szCs w:val="24"/>
        </w:rPr>
        <w:t>affect</w:t>
      </w:r>
      <w:r w:rsidRPr="00F3795D">
        <w:rPr>
          <w:rFonts w:ascii="Times New Roman" w:hAnsi="Times New Roman" w:cs="Times New Roman"/>
          <w:color w:val="000000" w:themeColor="text1"/>
          <w:sz w:val="24"/>
          <w:szCs w:val="24"/>
        </w:rPr>
        <w:t xml:space="preserve"> how severe it gets. </w:t>
      </w:r>
      <w:r w:rsidR="00EA63C4" w:rsidRPr="00F3795D">
        <w:rPr>
          <w:rFonts w:ascii="Times New Roman" w:hAnsi="Times New Roman" w:cs="Times New Roman"/>
          <w:color w:val="000000" w:themeColor="text1"/>
          <w:sz w:val="24"/>
          <w:szCs w:val="24"/>
        </w:rPr>
        <w:t xml:space="preserve">Nearly half of </w:t>
      </w:r>
      <w:r w:rsidR="00997EFD" w:rsidRPr="00F3795D">
        <w:rPr>
          <w:rFonts w:ascii="Times New Roman" w:hAnsi="Times New Roman" w:cs="Times New Roman"/>
          <w:color w:val="000000" w:themeColor="text1"/>
          <w:sz w:val="24"/>
          <w:szCs w:val="24"/>
        </w:rPr>
        <w:t xml:space="preserve">the </w:t>
      </w:r>
      <w:r w:rsidR="00EA63C4" w:rsidRPr="00F3795D">
        <w:rPr>
          <w:rFonts w:ascii="Times New Roman" w:hAnsi="Times New Roman" w:cs="Times New Roman"/>
          <w:color w:val="000000" w:themeColor="text1"/>
          <w:sz w:val="24"/>
          <w:szCs w:val="24"/>
        </w:rPr>
        <w:t xml:space="preserve">patients with coma and other organ dysfunction, such as renal impairment, pulmonary oedema, jaundice, metabolic acidosis, or </w:t>
      </w:r>
      <w:proofErr w:type="spellStart"/>
      <w:r w:rsidR="00EA63C4" w:rsidRPr="00F3795D">
        <w:rPr>
          <w:rFonts w:ascii="Times New Roman" w:hAnsi="Times New Roman" w:cs="Times New Roman"/>
          <w:color w:val="000000" w:themeColor="text1"/>
          <w:sz w:val="24"/>
          <w:szCs w:val="24"/>
        </w:rPr>
        <w:t>hypoglycemia</w:t>
      </w:r>
      <w:proofErr w:type="spellEnd"/>
      <w:r w:rsidR="00EA63C4" w:rsidRPr="00F3795D">
        <w:rPr>
          <w:rFonts w:ascii="Times New Roman" w:hAnsi="Times New Roman" w:cs="Times New Roman"/>
          <w:color w:val="000000" w:themeColor="text1"/>
          <w:sz w:val="24"/>
          <w:szCs w:val="24"/>
        </w:rPr>
        <w:t xml:space="preserve">, also have cerebral </w:t>
      </w:r>
      <w:r w:rsidR="00765349" w:rsidRPr="00F3795D">
        <w:rPr>
          <w:rFonts w:ascii="Times New Roman" w:hAnsi="Times New Roman" w:cs="Times New Roman"/>
          <w:color w:val="000000" w:themeColor="text1"/>
          <w:sz w:val="24"/>
          <w:szCs w:val="24"/>
        </w:rPr>
        <w:t>M</w:t>
      </w:r>
      <w:r w:rsidR="00EA63C4" w:rsidRPr="00F3795D">
        <w:rPr>
          <w:rFonts w:ascii="Times New Roman" w:hAnsi="Times New Roman" w:cs="Times New Roman"/>
          <w:color w:val="000000" w:themeColor="text1"/>
          <w:sz w:val="24"/>
          <w:szCs w:val="24"/>
        </w:rPr>
        <w:t xml:space="preserve">alaria. Additionally, </w:t>
      </w:r>
      <w:r w:rsidR="00997EFD" w:rsidRPr="00F3795D">
        <w:rPr>
          <w:rFonts w:ascii="Times New Roman" w:hAnsi="Times New Roman" w:cs="Times New Roman"/>
          <w:color w:val="000000" w:themeColor="text1"/>
          <w:sz w:val="24"/>
          <w:szCs w:val="24"/>
        </w:rPr>
        <w:t>even though</w:t>
      </w:r>
      <w:r w:rsidR="00EA63C4" w:rsidRPr="00F3795D">
        <w:rPr>
          <w:rFonts w:ascii="Times New Roman" w:hAnsi="Times New Roman" w:cs="Times New Roman"/>
          <w:color w:val="000000" w:themeColor="text1"/>
          <w:sz w:val="24"/>
          <w:szCs w:val="24"/>
        </w:rPr>
        <w:t xml:space="preserve"> </w:t>
      </w:r>
      <w:r w:rsidR="00997EFD" w:rsidRPr="00F3795D">
        <w:rPr>
          <w:rFonts w:ascii="Times New Roman" w:hAnsi="Times New Roman" w:cs="Times New Roman"/>
          <w:color w:val="000000" w:themeColor="text1"/>
          <w:sz w:val="24"/>
          <w:szCs w:val="24"/>
        </w:rPr>
        <w:t>most</w:t>
      </w:r>
      <w:r w:rsidR="00EA63C4" w:rsidRPr="00F3795D">
        <w:rPr>
          <w:rFonts w:ascii="Times New Roman" w:hAnsi="Times New Roman" w:cs="Times New Roman"/>
          <w:color w:val="000000" w:themeColor="text1"/>
          <w:sz w:val="24"/>
          <w:szCs w:val="24"/>
        </w:rPr>
        <w:t xml:space="preserve"> kids fully recover, cerebral </w:t>
      </w:r>
      <w:r w:rsidR="00765349" w:rsidRPr="00F3795D">
        <w:rPr>
          <w:rFonts w:ascii="Times New Roman" w:hAnsi="Times New Roman" w:cs="Times New Roman"/>
          <w:color w:val="000000" w:themeColor="text1"/>
          <w:sz w:val="24"/>
          <w:szCs w:val="24"/>
        </w:rPr>
        <w:t>M</w:t>
      </w:r>
      <w:r w:rsidR="00EA63C4" w:rsidRPr="00F3795D">
        <w:rPr>
          <w:rFonts w:ascii="Times New Roman" w:hAnsi="Times New Roman" w:cs="Times New Roman"/>
          <w:color w:val="000000" w:themeColor="text1"/>
          <w:sz w:val="24"/>
          <w:szCs w:val="24"/>
        </w:rPr>
        <w:t>alaria in kids is linked to se</w:t>
      </w:r>
      <w:r w:rsidR="00997EFD" w:rsidRPr="00F3795D">
        <w:rPr>
          <w:rFonts w:ascii="Times New Roman" w:hAnsi="Times New Roman" w:cs="Times New Roman"/>
          <w:color w:val="000000" w:themeColor="text1"/>
          <w:sz w:val="24"/>
          <w:szCs w:val="24"/>
        </w:rPr>
        <w:t>vere</w:t>
      </w:r>
      <w:r w:rsidR="00EA63C4" w:rsidRPr="00F3795D">
        <w:rPr>
          <w:rFonts w:ascii="Times New Roman" w:hAnsi="Times New Roman" w:cs="Times New Roman"/>
          <w:color w:val="000000" w:themeColor="text1"/>
          <w:sz w:val="24"/>
          <w:szCs w:val="24"/>
        </w:rPr>
        <w:t xml:space="preserve"> neurodevelopmental aftereffects, including stroke, cognitive decline, and an elevated risk of epilepsy.</w:t>
      </w:r>
    </w:p>
    <w:p w14:paraId="05C5A11E" w14:textId="364E390A" w:rsidR="00CB00AF" w:rsidRPr="00F3795D" w:rsidRDefault="000E42DF" w:rsidP="00372EFD">
      <w:pPr>
        <w:pStyle w:val="ListParagraph"/>
        <w:numPr>
          <w:ilvl w:val="0"/>
          <w:numId w:val="10"/>
        </w:numPr>
        <w:spacing w:after="0" w:line="276" w:lineRule="auto"/>
        <w:jc w:val="both"/>
        <w:rPr>
          <w:rFonts w:ascii="Times New Roman" w:hAnsi="Times New Roman" w:cs="Times New Roman"/>
          <w:color w:val="000000" w:themeColor="text1"/>
          <w:sz w:val="24"/>
          <w:szCs w:val="24"/>
        </w:rPr>
      </w:pPr>
      <w:r w:rsidRPr="00F3795D">
        <w:rPr>
          <w:rFonts w:ascii="Times New Roman" w:hAnsi="Times New Roman" w:cs="Times New Roman"/>
          <w:color w:val="000000" w:themeColor="text1"/>
          <w:sz w:val="24"/>
          <w:szCs w:val="24"/>
        </w:rPr>
        <w:t xml:space="preserve">Prolonged, repetitive, focused, and refractory seizures are linked to cerebral </w:t>
      </w:r>
      <w:r w:rsidR="00765349" w:rsidRPr="00F3795D">
        <w:rPr>
          <w:rFonts w:ascii="Times New Roman" w:hAnsi="Times New Roman" w:cs="Times New Roman"/>
          <w:color w:val="000000" w:themeColor="text1"/>
          <w:sz w:val="24"/>
          <w:szCs w:val="24"/>
        </w:rPr>
        <w:t>M</w:t>
      </w:r>
      <w:r w:rsidRPr="00F3795D">
        <w:rPr>
          <w:rFonts w:ascii="Times New Roman" w:hAnsi="Times New Roman" w:cs="Times New Roman"/>
          <w:color w:val="000000" w:themeColor="text1"/>
          <w:sz w:val="24"/>
          <w:szCs w:val="24"/>
        </w:rPr>
        <w:t xml:space="preserve">alaria, and 18–47% remain subclinical. Because phenobarbital and benzodiazepines continue to be the </w:t>
      </w:r>
      <w:r w:rsidR="00997EFD" w:rsidRPr="00F3795D">
        <w:rPr>
          <w:rFonts w:ascii="Times New Roman" w:hAnsi="Times New Roman" w:cs="Times New Roman"/>
          <w:color w:val="000000" w:themeColor="text1"/>
          <w:sz w:val="24"/>
          <w:szCs w:val="24"/>
        </w:rPr>
        <w:t>effective</w:t>
      </w:r>
      <w:r w:rsidRPr="00F3795D">
        <w:rPr>
          <w:rFonts w:ascii="Times New Roman" w:hAnsi="Times New Roman" w:cs="Times New Roman"/>
          <w:color w:val="000000" w:themeColor="text1"/>
          <w:sz w:val="24"/>
          <w:szCs w:val="24"/>
        </w:rPr>
        <w:t xml:space="preserve"> treatment for seizures, respiratory suppression is a frequent side effect of both drugs and ventilatory support is typically not accessible</w:t>
      </w:r>
      <w:r w:rsidR="00FD050C">
        <w:rPr>
          <w:rFonts w:ascii="Times New Roman" w:hAnsi="Times New Roman" w:cs="Times New Roman"/>
          <w:color w:val="000000" w:themeColor="text1"/>
          <w:sz w:val="24"/>
          <w:szCs w:val="24"/>
        </w:rPr>
        <w:t>;</w:t>
      </w:r>
      <w:r w:rsidRPr="00F3795D">
        <w:rPr>
          <w:rFonts w:ascii="Times New Roman" w:hAnsi="Times New Roman" w:cs="Times New Roman"/>
          <w:color w:val="000000" w:themeColor="text1"/>
          <w:sz w:val="24"/>
          <w:szCs w:val="24"/>
        </w:rPr>
        <w:t xml:space="preserve"> managing </w:t>
      </w:r>
      <w:r w:rsidR="00997EFD" w:rsidRPr="00F3795D">
        <w:rPr>
          <w:rFonts w:ascii="Times New Roman" w:hAnsi="Times New Roman" w:cs="Times New Roman"/>
          <w:color w:val="000000" w:themeColor="text1"/>
          <w:sz w:val="24"/>
          <w:szCs w:val="24"/>
        </w:rPr>
        <w:t>episod</w:t>
      </w:r>
      <w:r w:rsidRPr="00F3795D">
        <w:rPr>
          <w:rFonts w:ascii="Times New Roman" w:hAnsi="Times New Roman" w:cs="Times New Roman"/>
          <w:color w:val="000000" w:themeColor="text1"/>
          <w:sz w:val="24"/>
          <w:szCs w:val="24"/>
        </w:rPr>
        <w:t xml:space="preserve">es can be difficult. </w:t>
      </w:r>
      <w:r w:rsidR="00997EFD" w:rsidRPr="00F3795D">
        <w:rPr>
          <w:rFonts w:ascii="Times New Roman" w:hAnsi="Times New Roman" w:cs="Times New Roman"/>
          <w:color w:val="000000" w:themeColor="text1"/>
          <w:sz w:val="24"/>
          <w:szCs w:val="24"/>
        </w:rPr>
        <w:t>Most malarial locations require some level of toleration for continuous seizure activity</w:t>
      </w:r>
      <w:r w:rsidRPr="00F3795D">
        <w:rPr>
          <w:rFonts w:ascii="Times New Roman" w:hAnsi="Times New Roman" w:cs="Times New Roman"/>
          <w:color w:val="000000" w:themeColor="text1"/>
          <w:sz w:val="24"/>
          <w:szCs w:val="24"/>
        </w:rPr>
        <w:t xml:space="preserve"> to </w:t>
      </w:r>
      <w:r w:rsidR="00997EFD" w:rsidRPr="00F3795D">
        <w:rPr>
          <w:rFonts w:ascii="Times New Roman" w:hAnsi="Times New Roman" w:cs="Times New Roman"/>
          <w:color w:val="000000" w:themeColor="text1"/>
          <w:sz w:val="24"/>
          <w:szCs w:val="24"/>
        </w:rPr>
        <w:t>work</w:t>
      </w:r>
      <w:r w:rsidRPr="00F3795D">
        <w:rPr>
          <w:rFonts w:ascii="Times New Roman" w:hAnsi="Times New Roman" w:cs="Times New Roman"/>
          <w:color w:val="000000" w:themeColor="text1"/>
          <w:sz w:val="24"/>
          <w:szCs w:val="24"/>
        </w:rPr>
        <w:t xml:space="preserve"> </w:t>
      </w:r>
      <w:r w:rsidR="00997EFD" w:rsidRPr="00F3795D">
        <w:rPr>
          <w:rFonts w:ascii="Times New Roman" w:hAnsi="Times New Roman" w:cs="Times New Roman"/>
          <w:color w:val="000000" w:themeColor="text1"/>
          <w:sz w:val="24"/>
          <w:szCs w:val="24"/>
        </w:rPr>
        <w:t xml:space="preserve">with </w:t>
      </w:r>
      <w:r w:rsidRPr="00F3795D">
        <w:rPr>
          <w:rFonts w:ascii="Times New Roman" w:hAnsi="Times New Roman" w:cs="Times New Roman"/>
          <w:color w:val="000000" w:themeColor="text1"/>
          <w:sz w:val="24"/>
          <w:szCs w:val="24"/>
        </w:rPr>
        <w:t xml:space="preserve">cerebral malaria-associated </w:t>
      </w:r>
      <w:r w:rsidR="00997EFD" w:rsidRPr="00F3795D">
        <w:rPr>
          <w:rFonts w:ascii="Times New Roman" w:hAnsi="Times New Roman" w:cs="Times New Roman"/>
          <w:color w:val="000000" w:themeColor="text1"/>
          <w:sz w:val="24"/>
          <w:szCs w:val="24"/>
        </w:rPr>
        <w:t>attack</w:t>
      </w:r>
      <w:r w:rsidRPr="00F3795D">
        <w:rPr>
          <w:rFonts w:ascii="Times New Roman" w:hAnsi="Times New Roman" w:cs="Times New Roman"/>
          <w:color w:val="000000" w:themeColor="text1"/>
          <w:sz w:val="24"/>
          <w:szCs w:val="24"/>
        </w:rPr>
        <w:t xml:space="preserve">s because intensive phenobarbital treatment carries a risk of respiratory failure and mortality </w:t>
      </w:r>
      <w:r w:rsidR="003D33E3" w:rsidRPr="00F3795D">
        <w:rPr>
          <w:rFonts w:ascii="Times New Roman" w:hAnsi="Times New Roman" w:cs="Times New Roman"/>
          <w:color w:val="000000" w:themeColor="text1"/>
          <w:sz w:val="24"/>
          <w:szCs w:val="24"/>
        </w:rPr>
        <w:fldChar w:fldCharType="begin" w:fldLock="1"/>
      </w:r>
      <w:r w:rsidR="008B28D0" w:rsidRPr="00F3795D">
        <w:rPr>
          <w:rFonts w:ascii="Times New Roman" w:hAnsi="Times New Roman" w:cs="Times New Roman"/>
          <w:color w:val="000000" w:themeColor="text1"/>
          <w:sz w:val="24"/>
          <w:szCs w:val="24"/>
        </w:rPr>
        <w:instrText>ADDIN CSL_CITATION {"citationItems":[{"id":"ITEM-1","itemData":{"DOI":"10.1186/s12887-019-1766-2","ISSN":"14712431","PMID":"31672143","abstract":"Background: Acute seizures are common in pediatric cerebral malaria (CM), but usual care with phenobarbital risks respiratory suppression. We undertook studies of enteral levetiracetam (eLVT) to evaluate pharmacokinetics (PK), safety and efficacy including an open-label, randomized controlled trial (RCT) comparing eLVT to phenobarbital. Methods: Children 24-83 months old with CM were enrolled in an eLVT dose-finding study starting with standard dose (40 mg/kg load, then 30 mg/kg Q12 hours) titrated upward until seizure freedom was attained in 75% of subjects. The RCT that followed randomized children to eLVT vs. phenobarbital for acute seizures and compared the groups on minutes with seizures based upon continuous electroencephalogram. Due to safety concerns, midway through the study children allocated to phenobarbital received the drug only if they continued to have seizures (either clinically or electrographically) after benzodiazepine treatment. Secondary outcomes were treatment failure requiring cross over, coma duration and neurologic sequelae at discharge. PK and safety assessments were also undertaken. Results: Among 30 comatose CM children, eLVT was rapidly absorbed and well-tolerated. eLVT clearance was lower in patients with higher admission serum creatinine (SCr), but overall PK parameters were similar to prior pediatric PK studies. Within 4 h of the first dose, 90% reached therapeutic levels (&gt; 20 μg/mL) and all were above 6 μg/mL. 7/7 children achieved seizure freedom on the initial eLVT dose. Comparing 23 eLVT to 21 phenobarbital patients among whom 15/21 received phenobarbital, no differences were seen for minutes with seizure, seizure freedom, coma duration, neurologic sequelae or death, but eLVT was safer (p = 0.019). Phenobarbital was discontinued in 3/15 due to respiratory side effects. Conclusion: Enteral LVT offers an affordable option for seizure control in pediatric CM and is safer than phenobarbital.","author":[{"dropping-particle":"","family":"Birbeck","given":"Gretchen L.","non-dropping-particle":"","parse-names":false,"suffix":""},{"dropping-particle":"","family":"Herman","given":"Susan T.","non-dropping-particle":"","parse-names":false,"suffix":""},{"dropping-particle":"V.","family":"Capparelli","given":"Edmund","non-dropping-particle":"","parse-names":false,"suffix":""},{"dropping-particle":"","family":"Dzinjalamala","given":"Fraction K.","non-dropping-particle":"","parse-names":false,"suffix":""},{"dropping-particle":"","family":"Abdel Baki","given":"Samah G.","non-dropping-particle":"","parse-names":false,"suffix":""},{"dropping-particle":"","family":"Mallewa","given":"MacPherson","non-dropping-particle":"","parse-names":false,"suffix":""},{"dropping-particle":"","family":"Toto","given":"Neema M.","non-dropping-particle":"","parse-names":false,"suffix":""},{"dropping-particle":"","family":"Postels","given":"Douglas G.","non-dropping-particle":"","parse-names":false,"suffix":""},{"dropping-particle":"","family":"Gardiner","given":"Joseph C.","non-dropping-particle":"","parse-names":false,"suffix":""},{"dropping-particle":"","family":"Taylor","given":"Terrie E.","non-dropping-particle":"","parse-names":false,"suffix":""},{"dropping-particle":"","family":"Seydel","given":"Karl B.","non-dropping-particle":"","parse-names":false,"suffix":""}],"container-title":"BMC Pediatrics","id":"ITEM-1","issue":"1","issued":{"date-parts":[["2019"]]},"page":"1-12","publisher":"BMC Pediatrics","title":"A clinical trial of enteral Levetiracetam for acute seizures in pediatric cerebral malaria","type":"article-journal","volume":"19"},"uris":["http://www.mendeley.com/documents/?uuid=cae33306-d61e-42fe-9bdf-54cc0b58694e","http://www.mendeley.com/documents/?uuid=d3e5564d-39d8-4f49-b657-062a353bf1b2"]}],"mendeley":{"formattedCitation":"(Birbeck et al., 2019)","plainTextFormattedCitation":"(Birbeck et al., 2019)","previouslyFormattedCitation":"(Birbeck et al., 2019)"},"properties":{"noteIndex":0},"schema":"https://github.com/citation-style-language/schema/raw/master/csl-citation.json"}</w:instrText>
      </w:r>
      <w:r w:rsidR="003D33E3" w:rsidRPr="00F3795D">
        <w:rPr>
          <w:rFonts w:ascii="Times New Roman" w:hAnsi="Times New Roman" w:cs="Times New Roman"/>
          <w:color w:val="000000" w:themeColor="text1"/>
          <w:sz w:val="24"/>
          <w:szCs w:val="24"/>
        </w:rPr>
        <w:fldChar w:fldCharType="separate"/>
      </w:r>
      <w:r w:rsidR="005D682C" w:rsidRPr="00F3795D">
        <w:rPr>
          <w:rFonts w:ascii="Times New Roman" w:hAnsi="Times New Roman" w:cs="Times New Roman"/>
          <w:noProof/>
          <w:color w:val="000000" w:themeColor="text1"/>
          <w:sz w:val="24"/>
          <w:szCs w:val="24"/>
        </w:rPr>
        <w:t>(Birbeck et al., 2019)</w:t>
      </w:r>
      <w:r w:rsidR="003D33E3" w:rsidRPr="00F3795D">
        <w:rPr>
          <w:rFonts w:ascii="Times New Roman" w:hAnsi="Times New Roman" w:cs="Times New Roman"/>
          <w:color w:val="000000" w:themeColor="text1"/>
          <w:sz w:val="24"/>
          <w:szCs w:val="24"/>
        </w:rPr>
        <w:fldChar w:fldCharType="end"/>
      </w:r>
      <w:r w:rsidR="00C41588" w:rsidRPr="00F3795D">
        <w:rPr>
          <w:rFonts w:ascii="Times New Roman" w:hAnsi="Times New Roman" w:cs="Times New Roman"/>
          <w:color w:val="000000" w:themeColor="text1"/>
          <w:sz w:val="24"/>
          <w:szCs w:val="24"/>
        </w:rPr>
        <w:t xml:space="preserve">. </w:t>
      </w:r>
      <w:r w:rsidR="00997EFD" w:rsidRPr="00F3795D">
        <w:rPr>
          <w:rFonts w:ascii="Times New Roman" w:hAnsi="Times New Roman" w:cs="Times New Roman"/>
          <w:color w:val="000000" w:themeColor="text1"/>
          <w:sz w:val="24"/>
          <w:szCs w:val="24"/>
        </w:rPr>
        <w:t>In addition, t</w:t>
      </w:r>
      <w:r w:rsidR="004F4898" w:rsidRPr="00F3795D">
        <w:rPr>
          <w:rFonts w:ascii="Times New Roman" w:hAnsi="Times New Roman" w:cs="Times New Roman"/>
          <w:color w:val="000000" w:themeColor="text1"/>
          <w:sz w:val="24"/>
          <w:szCs w:val="24"/>
        </w:rPr>
        <w:t xml:space="preserve">he seizures are usually </w:t>
      </w:r>
      <w:r w:rsidR="00EA0A27" w:rsidRPr="00F3795D">
        <w:rPr>
          <w:rFonts w:ascii="Times New Roman" w:hAnsi="Times New Roman" w:cs="Times New Roman"/>
          <w:color w:val="000000" w:themeColor="text1"/>
          <w:sz w:val="24"/>
          <w:szCs w:val="24"/>
        </w:rPr>
        <w:t>generalised</w:t>
      </w:r>
      <w:r w:rsidR="00997EFD" w:rsidRPr="00F3795D">
        <w:rPr>
          <w:rFonts w:ascii="Times New Roman" w:hAnsi="Times New Roman" w:cs="Times New Roman"/>
          <w:color w:val="000000" w:themeColor="text1"/>
          <w:sz w:val="24"/>
          <w:szCs w:val="24"/>
        </w:rPr>
        <w:t xml:space="preserve"> and may herald a coma's onset</w:t>
      </w:r>
      <w:r w:rsidR="004F4898" w:rsidRPr="00F3795D">
        <w:rPr>
          <w:rFonts w:ascii="Times New Roman" w:hAnsi="Times New Roman" w:cs="Times New Roman"/>
          <w:color w:val="000000" w:themeColor="text1"/>
          <w:sz w:val="24"/>
          <w:szCs w:val="24"/>
        </w:rPr>
        <w:t>.</w:t>
      </w:r>
    </w:p>
    <w:p w14:paraId="09C2A018" w14:textId="77777777" w:rsidR="00CB00AF" w:rsidRPr="00F3795D" w:rsidRDefault="00CB00AF" w:rsidP="00372EFD">
      <w:pPr>
        <w:pStyle w:val="ListParagraph"/>
        <w:spacing w:after="0" w:line="276" w:lineRule="auto"/>
        <w:jc w:val="both"/>
        <w:rPr>
          <w:rFonts w:ascii="Times New Roman" w:hAnsi="Times New Roman" w:cs="Times New Roman"/>
          <w:color w:val="000000" w:themeColor="text1"/>
          <w:sz w:val="24"/>
          <w:szCs w:val="24"/>
        </w:rPr>
      </w:pPr>
    </w:p>
    <w:p w14:paraId="4FFEB7AE" w14:textId="77777777" w:rsidR="00B00966" w:rsidRPr="00F3795D" w:rsidRDefault="004031DC" w:rsidP="00372EFD">
      <w:pPr>
        <w:pStyle w:val="ListParagraph"/>
        <w:numPr>
          <w:ilvl w:val="0"/>
          <w:numId w:val="10"/>
        </w:numPr>
        <w:spacing w:after="0" w:line="276" w:lineRule="auto"/>
        <w:jc w:val="both"/>
        <w:rPr>
          <w:rFonts w:ascii="Times New Roman" w:hAnsi="Times New Roman" w:cs="Times New Roman"/>
          <w:color w:val="000000" w:themeColor="text1"/>
          <w:sz w:val="24"/>
          <w:szCs w:val="24"/>
        </w:rPr>
      </w:pPr>
      <w:r w:rsidRPr="00F3795D">
        <w:rPr>
          <w:rFonts w:ascii="Times New Roman" w:hAnsi="Times New Roman" w:cs="Times New Roman"/>
          <w:color w:val="000000" w:themeColor="text1"/>
          <w:sz w:val="24"/>
          <w:szCs w:val="24"/>
          <w:shd w:val="clear" w:color="auto" w:fill="FFFFFF"/>
        </w:rPr>
        <w:t xml:space="preserve">Potential causes of lactic acidosis and hyperlactatemia in malaria patients are explored. Lactic acidosis may be caused by increased lactate production and decreased lactate removal </w:t>
      </w:r>
      <w:r w:rsidR="00426AE5" w:rsidRPr="00F3795D">
        <w:rPr>
          <w:rFonts w:ascii="Times New Roman" w:hAnsi="Times New Roman" w:cs="Times New Roman"/>
          <w:color w:val="000000" w:themeColor="text1"/>
          <w:sz w:val="24"/>
          <w:szCs w:val="24"/>
          <w:shd w:val="clear" w:color="auto" w:fill="FFFFFF"/>
        </w:rPr>
        <w:fldChar w:fldCharType="begin" w:fldLock="1"/>
      </w:r>
      <w:r w:rsidR="008B28D0" w:rsidRPr="00F3795D">
        <w:rPr>
          <w:rFonts w:ascii="Times New Roman" w:hAnsi="Times New Roman" w:cs="Times New Roman"/>
          <w:color w:val="000000" w:themeColor="text1"/>
          <w:sz w:val="24"/>
          <w:szCs w:val="24"/>
          <w:shd w:val="clear" w:color="auto" w:fill="FFFFFF"/>
        </w:rPr>
        <w:instrText>ADDIN CSL_CITATION {"citationItems":[{"id":"ITEM-1","itemData":{"DOI":"10.1371/journal.ppat.1009122","ISBN":"1111111111","ISSN":"15537374","PMID":"33411818","abstract":"Lactic acidosis and hyperlactatemia are common metabolic disturbances in patients with severe malaria. Lactic acidosis causes physiological adverse effects, which can aggravate the outcome of malaria. Despite its clear association with mortality in malaria patients, the etiology of lactic acidosis is not completely understood. In this review, the possible contributors to lactic acidosis and hyperlactatemia in patients with malaria are discussed. Both increased lactate production and impaired lactate clearance may play a role in the pathogenesis of lactic acidosis. The increased lactate production is caused by several factors, including the metabolism of intraerythrocytic Plasmodium parasites, aerobic glycolysis by activated immune cells, and an increase in anaerobic glycolysis in hypoxic cells and tissues as a consequence of parasite sequestration and anemia. Impaired hepatic and renal lactate clearance, caused by underlying liver and kidney disease, might further aggravate hyperlactatemia. Multiple factors thus participate in the etiology of lactic acidosis in malaria, and further investigations are required to fully understand their relative contributions and the consequences of this major metabolic disturbance. Copyright:","author":[{"dropping-particle":"","family":"Possemiers","given":"Hendrik","non-dropping-particle":"","parse-names":false,"suffix":""},{"dropping-particle":"","family":"Vandermosten","given":"Leen","non-dropping-particle":"","parse-names":false,"suffix":""},{"dropping-particle":"","family":"Steen","given":"Philippe E.","non-dropping-particle":"Van Den","parse-names":false,"suffix":""}],"container-title":"PLoS Pathogens","id":"ITEM-1","issue":"1","issued":{"date-parts":[["2021"]]},"page":"1-17","title":"Etiology of lactic acidosis in malaria","type":"article-journal","volume":"17"},"uris":["http://www.mendeley.com/documents/?uuid=83e388eb-d4c9-4307-9786-f55d2b4709c2","http://www.mendeley.com/documents/?uuid=cf71d6b3-95cc-4417-940f-e87b5b6cb0c7"]}],"mendeley":{"formattedCitation":"(Possemiers et al., 2021)","plainTextFormattedCitation":"(Possemiers et al., 2021)","previouslyFormattedCitation":"(Possemiers et al., 2021)"},"properties":{"noteIndex":0},"schema":"https://github.com/citation-style-language/schema/raw/master/csl-citation.json"}</w:instrText>
      </w:r>
      <w:r w:rsidR="00426AE5" w:rsidRPr="00F3795D">
        <w:rPr>
          <w:rFonts w:ascii="Times New Roman" w:hAnsi="Times New Roman" w:cs="Times New Roman"/>
          <w:color w:val="000000" w:themeColor="text1"/>
          <w:sz w:val="24"/>
          <w:szCs w:val="24"/>
          <w:shd w:val="clear" w:color="auto" w:fill="FFFFFF"/>
        </w:rPr>
        <w:fldChar w:fldCharType="separate"/>
      </w:r>
      <w:r w:rsidR="005D682C" w:rsidRPr="00F3795D">
        <w:rPr>
          <w:rFonts w:ascii="Times New Roman" w:hAnsi="Times New Roman" w:cs="Times New Roman"/>
          <w:noProof/>
          <w:color w:val="000000" w:themeColor="text1"/>
          <w:sz w:val="24"/>
          <w:szCs w:val="24"/>
          <w:shd w:val="clear" w:color="auto" w:fill="FFFFFF"/>
        </w:rPr>
        <w:t>(Possemiers et al., 2021)</w:t>
      </w:r>
      <w:r w:rsidR="00426AE5" w:rsidRPr="00F3795D">
        <w:rPr>
          <w:rFonts w:ascii="Times New Roman" w:hAnsi="Times New Roman" w:cs="Times New Roman"/>
          <w:color w:val="000000" w:themeColor="text1"/>
          <w:sz w:val="24"/>
          <w:szCs w:val="24"/>
          <w:shd w:val="clear" w:color="auto" w:fill="FFFFFF"/>
        </w:rPr>
        <w:fldChar w:fldCharType="end"/>
      </w:r>
      <w:r w:rsidR="00F43544" w:rsidRPr="00F3795D">
        <w:rPr>
          <w:rFonts w:ascii="Times New Roman" w:hAnsi="Times New Roman" w:cs="Times New Roman"/>
          <w:color w:val="000000" w:themeColor="text1"/>
          <w:sz w:val="24"/>
          <w:szCs w:val="24"/>
          <w:shd w:val="clear" w:color="auto" w:fill="FFFFFF"/>
        </w:rPr>
        <w:t xml:space="preserve">. </w:t>
      </w:r>
      <w:r w:rsidR="00CA4B77" w:rsidRPr="00F3795D">
        <w:rPr>
          <w:rFonts w:ascii="Times New Roman" w:hAnsi="Times New Roman" w:cs="Times New Roman"/>
          <w:color w:val="000000" w:themeColor="text1"/>
          <w:sz w:val="24"/>
          <w:szCs w:val="24"/>
          <w:shd w:val="clear" w:color="auto" w:fill="FFFFFF"/>
        </w:rPr>
        <w:t xml:space="preserve">Numerous processes, such as the metabolism of intraerythrocytic Plasmodium parasites, aerobic glycolysis by stimulated immune cells, and an increase in anaerobic glycolysis in hypoxic cells and tissues as a result of parasite sequestration and anaemia, all contribute to the increased lactate production. Hyperlactatemia may </w:t>
      </w:r>
      <w:r w:rsidR="00997EFD" w:rsidRPr="00F3795D">
        <w:rPr>
          <w:rFonts w:ascii="Times New Roman" w:hAnsi="Times New Roman" w:cs="Times New Roman"/>
          <w:color w:val="000000" w:themeColor="text1"/>
          <w:sz w:val="24"/>
          <w:szCs w:val="24"/>
          <w:shd w:val="clear" w:color="auto" w:fill="FFFFFF"/>
        </w:rPr>
        <w:t>worsen</w:t>
      </w:r>
      <w:r w:rsidR="00CA4B77" w:rsidRPr="00F3795D">
        <w:rPr>
          <w:rFonts w:ascii="Times New Roman" w:hAnsi="Times New Roman" w:cs="Times New Roman"/>
          <w:color w:val="000000" w:themeColor="text1"/>
          <w:sz w:val="24"/>
          <w:szCs w:val="24"/>
          <w:shd w:val="clear" w:color="auto" w:fill="FFFFFF"/>
        </w:rPr>
        <w:t xml:space="preserve"> if there is impaired liver and kidney lactate clearance brought on by underlying liver and kidney illness. Unless it is caused by severe anaemia alone, in which case the prognosis is better, metabolic acidosis is a worrisome symptom in adults and children with severe </w:t>
      </w:r>
      <w:r w:rsidR="00765349" w:rsidRPr="00F3795D">
        <w:rPr>
          <w:rFonts w:ascii="Times New Roman" w:hAnsi="Times New Roman" w:cs="Times New Roman"/>
          <w:color w:val="000000" w:themeColor="text1"/>
          <w:sz w:val="24"/>
          <w:szCs w:val="24"/>
          <w:shd w:val="clear" w:color="auto" w:fill="FFFFFF"/>
        </w:rPr>
        <w:t>M</w:t>
      </w:r>
      <w:r w:rsidR="00CA4B77" w:rsidRPr="00F3795D">
        <w:rPr>
          <w:rFonts w:ascii="Times New Roman" w:hAnsi="Times New Roman" w:cs="Times New Roman"/>
          <w:color w:val="000000" w:themeColor="text1"/>
          <w:sz w:val="24"/>
          <w:szCs w:val="24"/>
          <w:shd w:val="clear" w:color="auto" w:fill="FFFFFF"/>
        </w:rPr>
        <w:t xml:space="preserve">alaria. Acidosis due to </w:t>
      </w:r>
      <w:r w:rsidR="00765349" w:rsidRPr="00F3795D">
        <w:rPr>
          <w:rFonts w:ascii="Times New Roman" w:hAnsi="Times New Roman" w:cs="Times New Roman"/>
          <w:color w:val="000000" w:themeColor="text1"/>
          <w:sz w:val="24"/>
          <w:szCs w:val="24"/>
          <w:shd w:val="clear" w:color="auto" w:fill="FFFFFF"/>
        </w:rPr>
        <w:t>M</w:t>
      </w:r>
      <w:r w:rsidR="00CA4B77" w:rsidRPr="00F3795D">
        <w:rPr>
          <w:rFonts w:ascii="Times New Roman" w:hAnsi="Times New Roman" w:cs="Times New Roman"/>
          <w:color w:val="000000" w:themeColor="text1"/>
          <w:sz w:val="24"/>
          <w:szCs w:val="24"/>
          <w:shd w:val="clear" w:color="auto" w:fill="FFFFFF"/>
        </w:rPr>
        <w:t>alaria is dependent on lactate buildup. Other organic acids, m</w:t>
      </w:r>
      <w:r w:rsidR="00997EFD" w:rsidRPr="00F3795D">
        <w:rPr>
          <w:rFonts w:ascii="Times New Roman" w:hAnsi="Times New Roman" w:cs="Times New Roman"/>
          <w:color w:val="000000" w:themeColor="text1"/>
          <w:sz w:val="24"/>
          <w:szCs w:val="24"/>
          <w:shd w:val="clear" w:color="auto" w:fill="FFFFFF"/>
        </w:rPr>
        <w:t>ain</w:t>
      </w:r>
      <w:r w:rsidR="00CA4B77" w:rsidRPr="00F3795D">
        <w:rPr>
          <w:rFonts w:ascii="Times New Roman" w:hAnsi="Times New Roman" w:cs="Times New Roman"/>
          <w:color w:val="000000" w:themeColor="text1"/>
          <w:sz w:val="24"/>
          <w:szCs w:val="24"/>
          <w:shd w:val="clear" w:color="auto" w:fill="FFFFFF"/>
        </w:rPr>
        <w:t xml:space="preserve">ly from the stomach, </w:t>
      </w:r>
      <w:r w:rsidR="00997EFD" w:rsidRPr="00F3795D">
        <w:rPr>
          <w:rFonts w:ascii="Times New Roman" w:hAnsi="Times New Roman" w:cs="Times New Roman"/>
          <w:color w:val="000000" w:themeColor="text1"/>
          <w:sz w:val="24"/>
          <w:szCs w:val="24"/>
          <w:shd w:val="clear" w:color="auto" w:fill="FFFFFF"/>
        </w:rPr>
        <w:t>also play a crucial role</w:t>
      </w:r>
      <w:r w:rsidR="00CA4B77" w:rsidRPr="00F3795D">
        <w:rPr>
          <w:rFonts w:ascii="Times New Roman" w:hAnsi="Times New Roman" w:cs="Times New Roman"/>
          <w:color w:val="000000" w:themeColor="text1"/>
          <w:sz w:val="24"/>
          <w:szCs w:val="24"/>
          <w:shd w:val="clear" w:color="auto" w:fill="FFFFFF"/>
        </w:rPr>
        <w:t>.</w:t>
      </w:r>
    </w:p>
    <w:p w14:paraId="63E3FB7E" w14:textId="0B1231F6" w:rsidR="00093258" w:rsidRPr="00F3795D" w:rsidRDefault="003F065F" w:rsidP="00372EFD">
      <w:pPr>
        <w:pStyle w:val="ListParagraph"/>
        <w:numPr>
          <w:ilvl w:val="0"/>
          <w:numId w:val="10"/>
        </w:numPr>
        <w:spacing w:after="0" w:line="276" w:lineRule="auto"/>
        <w:jc w:val="both"/>
        <w:rPr>
          <w:rFonts w:ascii="Times New Roman" w:hAnsi="Times New Roman" w:cs="Times New Roman"/>
          <w:color w:val="000000" w:themeColor="text1"/>
          <w:sz w:val="24"/>
          <w:szCs w:val="24"/>
        </w:rPr>
      </w:pPr>
      <w:r w:rsidRPr="00F3795D">
        <w:rPr>
          <w:rFonts w:ascii="Times New Roman" w:hAnsi="Times New Roman" w:cs="Times New Roman"/>
          <w:color w:val="000000" w:themeColor="text1"/>
          <w:sz w:val="24"/>
          <w:szCs w:val="24"/>
        </w:rPr>
        <w:t xml:space="preserve">Acute kidney injury (AKI) is one of the main risk factors for severe </w:t>
      </w:r>
      <w:r w:rsidR="00644F7D">
        <w:rPr>
          <w:rFonts w:ascii="Times New Roman" w:hAnsi="Times New Roman" w:cs="Times New Roman"/>
          <w:color w:val="000000" w:themeColor="text1"/>
          <w:sz w:val="24"/>
          <w:szCs w:val="24"/>
        </w:rPr>
        <w:t>M</w:t>
      </w:r>
      <w:r w:rsidRPr="00F3795D">
        <w:rPr>
          <w:rFonts w:ascii="Times New Roman" w:hAnsi="Times New Roman" w:cs="Times New Roman"/>
          <w:color w:val="000000" w:themeColor="text1"/>
          <w:sz w:val="24"/>
          <w:szCs w:val="24"/>
        </w:rPr>
        <w:t xml:space="preserve">alaria. </w:t>
      </w:r>
      <w:r w:rsidR="0069183C">
        <w:rPr>
          <w:rFonts w:ascii="Times New Roman" w:hAnsi="Times New Roman" w:cs="Times New Roman"/>
          <w:color w:val="000000" w:themeColor="text1"/>
          <w:sz w:val="24"/>
          <w:szCs w:val="24"/>
        </w:rPr>
        <w:t xml:space="preserve">Reduced renal function is a </w:t>
      </w:r>
      <w:r w:rsidR="00C6146B">
        <w:rPr>
          <w:rFonts w:ascii="Times New Roman" w:hAnsi="Times New Roman" w:cs="Times New Roman"/>
          <w:color w:val="000000" w:themeColor="text1"/>
          <w:sz w:val="24"/>
          <w:szCs w:val="24"/>
        </w:rPr>
        <w:t>vital</w:t>
      </w:r>
      <w:r w:rsidR="0069183C">
        <w:rPr>
          <w:rFonts w:ascii="Times New Roman" w:hAnsi="Times New Roman" w:cs="Times New Roman"/>
          <w:color w:val="000000" w:themeColor="text1"/>
          <w:sz w:val="24"/>
          <w:szCs w:val="24"/>
        </w:rPr>
        <w:t xml:space="preserve"> sign of severity in younger childre</w:t>
      </w:r>
      <w:r w:rsidRPr="00F3795D">
        <w:rPr>
          <w:rFonts w:ascii="Times New Roman" w:hAnsi="Times New Roman" w:cs="Times New Roman"/>
          <w:color w:val="000000" w:themeColor="text1"/>
          <w:sz w:val="24"/>
          <w:szCs w:val="24"/>
        </w:rPr>
        <w:t xml:space="preserve">n, whereas AKI affects older children and adults almost exclusively and necessitates renal replacement treatment. The fulminant form of AKI is associated with a poor prognosis and is typically accompanied by multiple </w:t>
      </w:r>
      <w:r w:rsidR="00E05D7D" w:rsidRPr="00F3795D">
        <w:rPr>
          <w:rFonts w:ascii="Times New Roman" w:hAnsi="Times New Roman" w:cs="Times New Roman"/>
          <w:color w:val="000000" w:themeColor="text1"/>
          <w:sz w:val="24"/>
          <w:szCs w:val="24"/>
        </w:rPr>
        <w:t>signific</w:t>
      </w:r>
      <w:r w:rsidRPr="00F3795D">
        <w:rPr>
          <w:rFonts w:ascii="Times New Roman" w:hAnsi="Times New Roman" w:cs="Times New Roman"/>
          <w:color w:val="000000" w:themeColor="text1"/>
          <w:sz w:val="24"/>
          <w:szCs w:val="24"/>
        </w:rPr>
        <w:t>ant organ failure</w:t>
      </w:r>
      <w:r w:rsidR="00E05D7D" w:rsidRPr="00F3795D">
        <w:rPr>
          <w:rFonts w:ascii="Times New Roman" w:hAnsi="Times New Roman" w:cs="Times New Roman"/>
          <w:color w:val="000000" w:themeColor="text1"/>
          <w:sz w:val="24"/>
          <w:szCs w:val="24"/>
        </w:rPr>
        <w:t>s</w:t>
      </w:r>
      <w:r w:rsidRPr="00F3795D">
        <w:rPr>
          <w:rFonts w:ascii="Times New Roman" w:hAnsi="Times New Roman" w:cs="Times New Roman"/>
          <w:color w:val="000000" w:themeColor="text1"/>
          <w:sz w:val="24"/>
          <w:szCs w:val="24"/>
        </w:rPr>
        <w:t xml:space="preserve">. Following renal replacement therapy, ideally hemofiltration or </w:t>
      </w:r>
      <w:proofErr w:type="spellStart"/>
      <w:r w:rsidRPr="00F3795D">
        <w:rPr>
          <w:rFonts w:ascii="Times New Roman" w:hAnsi="Times New Roman" w:cs="Times New Roman"/>
          <w:color w:val="000000" w:themeColor="text1"/>
          <w:sz w:val="24"/>
          <w:szCs w:val="24"/>
        </w:rPr>
        <w:t>hemodialysis</w:t>
      </w:r>
      <w:proofErr w:type="spellEnd"/>
      <w:r w:rsidRPr="00F3795D">
        <w:rPr>
          <w:rFonts w:ascii="Times New Roman" w:hAnsi="Times New Roman" w:cs="Times New Roman"/>
          <w:color w:val="000000" w:themeColor="text1"/>
          <w:sz w:val="24"/>
          <w:szCs w:val="24"/>
        </w:rPr>
        <w:t>, survivors fully regain their renal function. The histological features of acute tubular necrosis, interstitial nephritis, and glomerulonephritis in malaria-related AKI are less common</w:t>
      </w:r>
      <w:r w:rsidR="004C3AC7" w:rsidRPr="00F3795D">
        <w:rPr>
          <w:rFonts w:ascii="Times New Roman" w:hAnsi="Times New Roman" w:cs="Times New Roman"/>
          <w:color w:val="000000" w:themeColor="text1"/>
          <w:sz w:val="24"/>
          <w:szCs w:val="24"/>
        </w:rPr>
        <w:t xml:space="preserve"> </w:t>
      </w:r>
      <w:r w:rsidR="009700D7" w:rsidRPr="00F3795D">
        <w:rPr>
          <w:rFonts w:ascii="Times New Roman" w:hAnsi="Times New Roman" w:cs="Times New Roman"/>
          <w:color w:val="000000" w:themeColor="text1"/>
          <w:sz w:val="24"/>
          <w:szCs w:val="24"/>
        </w:rPr>
        <w:fldChar w:fldCharType="begin" w:fldLock="1"/>
      </w:r>
      <w:r w:rsidR="001F1436" w:rsidRPr="00F3795D">
        <w:rPr>
          <w:rFonts w:ascii="Times New Roman" w:hAnsi="Times New Roman" w:cs="Times New Roman"/>
          <w:color w:val="000000" w:themeColor="text1"/>
          <w:sz w:val="24"/>
          <w:szCs w:val="24"/>
        </w:rPr>
        <w:instrText>ADDIN CSL_CITATION {"citationItems":[{"id":"ITEM-1","itemData":{"DOI":"10.2147/IJGM.S136153","ISSN":"11787074","abstract":"Background: Snake bites are a neglected public health problem in all tropical countries, and particularly in Malabar region of Kerala, India. Demographic characteristics and clinical parameters vary in this part of the world, and studies based on them are scarce. Increased incidence of capillary leak syndrome (CLS) in hemotoxic snake bites and emergence of cases of hump-nosed pit viper (HNPV, Hypnale hypnale) envenomation are some notable features seen here. Objectives: The study was conducted to assess the epidemiological profile and clinical features to identify factors contributing to outcome in patients with venomous snakebites. Materials and methods: An observational cross-sectional study was done among patients with snakebite envenomation, admitted to Government Medical College, Kozhikode, Kerala, from January 2012 to October 2016. Results: There were 1,500 cases of toxic snake bites, of which 65% of these cases were males. Forty eight percent of them were aged between 21 and 40 years. Hemotoxic snake bites predominated, accounting for 912 cases. Viperine bite was the most commonly observed snakebite, and 70% of this was due to Russell’s viper and 25% due to HNPV. Among the neurotoxic bites, common krait bites predominated. Overall mortality was 8.8%. CLS was the major cause of death (80%). The mean dose of antivenom given for neuroparalytic snakebite was 10.25 vials, and 18.5 vials for hemotoxic bites. Albuminuria, neutrophilic leucocytosis, thrombocytopenia, acute kidney injury (AKI), and early onset of symptoms were associated with poor outcome. Conclusion: This study emphasizes the importance of snakebite as a significant threat to the community in the tropics. CLS in hemotoxic snake bites is the leading cause of mortality and is often refractory to any treatment measures. This study also brings to light the graveness of complications caused by HNPV envenomation. Anti-snake venom with activity against HNPV venom needs to be manufactured. Lack of awareness, delayed presentation to the hospital, and treatment by nonmedical personnel also add to the risk of mortality.","author":[{"dropping-particle":"","family":"Kumar","given":"K. G.Sajeeth","non-dropping-particle":"","parse-names":false,"suffix":""},{"dropping-particle":"","family":"Narayanan","given":"Santhosh","non-dropping-particle":"","parse-names":false,"suffix":""},{"dropping-particle":"","family":"Udayabhaskaran","given":"V.","non-dropping-particle":"","parse-names":false,"suffix":""},{"dropping-particle":"","family":"Thulaseedharan","given":"N. K.","non-dropping-particle":"","parse-names":false,"suffix":""}],"container-title":"International Journal of General Medicine","id":"ITEM-1","issued":{"date-parts":[["2018"]]},"page":"209-216","title":"Clinical and epidemiologic profile and predictors of outcome of poisonous snake bites – an analysis of 1,500 cases from a tertiary care center in Malabar, North Kerala, India","type":"article-journal","volume":"11"},"uris":["http://www.mendeley.com/documents/?uuid=c7cdac48-d5a1-4a7c-9135-c1ee35f8b6c5"]}],"mendeley":{"formattedCitation":"(Kumar et al., 2018)","plainTextFormattedCitation":"(Kumar et al., 2018)","previouslyFormattedCitation":"(Kumar et al., 2018)"},"properties":{"noteIndex":0},"schema":"https://github.com/citation-style-language/schema/raw/master/csl-citation.json"}</w:instrText>
      </w:r>
      <w:r w:rsidR="009700D7" w:rsidRPr="00F3795D">
        <w:rPr>
          <w:rFonts w:ascii="Times New Roman" w:hAnsi="Times New Roman" w:cs="Times New Roman"/>
          <w:color w:val="000000" w:themeColor="text1"/>
          <w:sz w:val="24"/>
          <w:szCs w:val="24"/>
        </w:rPr>
        <w:fldChar w:fldCharType="separate"/>
      </w:r>
      <w:r w:rsidR="009700D7" w:rsidRPr="00F3795D">
        <w:rPr>
          <w:rFonts w:ascii="Times New Roman" w:hAnsi="Times New Roman" w:cs="Times New Roman"/>
          <w:noProof/>
          <w:color w:val="000000" w:themeColor="text1"/>
          <w:sz w:val="24"/>
          <w:szCs w:val="24"/>
        </w:rPr>
        <w:t>(Kumar et al., 2018)</w:t>
      </w:r>
      <w:r w:rsidR="009700D7" w:rsidRPr="00F3795D">
        <w:rPr>
          <w:rFonts w:ascii="Times New Roman" w:hAnsi="Times New Roman" w:cs="Times New Roman"/>
          <w:color w:val="000000" w:themeColor="text1"/>
          <w:sz w:val="24"/>
          <w:szCs w:val="24"/>
        </w:rPr>
        <w:fldChar w:fldCharType="end"/>
      </w:r>
      <w:r w:rsidRPr="00F3795D">
        <w:rPr>
          <w:rFonts w:ascii="Times New Roman" w:hAnsi="Times New Roman" w:cs="Times New Roman"/>
          <w:color w:val="000000" w:themeColor="text1"/>
          <w:sz w:val="24"/>
          <w:szCs w:val="24"/>
        </w:rPr>
        <w:t>.</w:t>
      </w:r>
    </w:p>
    <w:p w14:paraId="456C1F74" w14:textId="0C10EA10" w:rsidR="002E450E" w:rsidRPr="00F3795D" w:rsidRDefault="00093258" w:rsidP="00372EFD">
      <w:pPr>
        <w:pStyle w:val="ListParagraph"/>
        <w:numPr>
          <w:ilvl w:val="0"/>
          <w:numId w:val="10"/>
        </w:numPr>
        <w:spacing w:after="0" w:line="276" w:lineRule="auto"/>
        <w:jc w:val="both"/>
        <w:rPr>
          <w:rFonts w:ascii="Times New Roman" w:hAnsi="Times New Roman" w:cs="Times New Roman"/>
          <w:color w:val="000000" w:themeColor="text1"/>
          <w:sz w:val="24"/>
          <w:szCs w:val="24"/>
        </w:rPr>
      </w:pPr>
      <w:r w:rsidRPr="00F3795D">
        <w:rPr>
          <w:rFonts w:ascii="Times New Roman" w:hAnsi="Times New Roman" w:cs="Times New Roman"/>
          <w:color w:val="000000" w:themeColor="text1"/>
          <w:sz w:val="24"/>
          <w:szCs w:val="24"/>
        </w:rPr>
        <w:t xml:space="preserve">One of the traits of malaria infection is intravascular </w:t>
      </w:r>
      <w:proofErr w:type="spellStart"/>
      <w:r w:rsidRPr="00F3795D">
        <w:rPr>
          <w:rFonts w:ascii="Times New Roman" w:hAnsi="Times New Roman" w:cs="Times New Roman"/>
          <w:color w:val="000000" w:themeColor="text1"/>
          <w:sz w:val="24"/>
          <w:szCs w:val="24"/>
        </w:rPr>
        <w:t>hemolysis</w:t>
      </w:r>
      <w:proofErr w:type="spellEnd"/>
      <w:r w:rsidRPr="00F3795D">
        <w:rPr>
          <w:rFonts w:ascii="Times New Roman" w:hAnsi="Times New Roman" w:cs="Times New Roman"/>
          <w:color w:val="000000" w:themeColor="text1"/>
          <w:sz w:val="24"/>
          <w:szCs w:val="24"/>
        </w:rPr>
        <w:t>, especially of red blood cells (</w:t>
      </w:r>
      <w:proofErr w:type="spellStart"/>
      <w:r w:rsidRPr="00F3795D">
        <w:rPr>
          <w:rFonts w:ascii="Times New Roman" w:hAnsi="Times New Roman" w:cs="Times New Roman"/>
          <w:color w:val="000000" w:themeColor="text1"/>
          <w:sz w:val="24"/>
          <w:szCs w:val="24"/>
        </w:rPr>
        <w:t>pRBCs</w:t>
      </w:r>
      <w:proofErr w:type="spellEnd"/>
      <w:r w:rsidRPr="00F3795D">
        <w:rPr>
          <w:rFonts w:ascii="Times New Roman" w:hAnsi="Times New Roman" w:cs="Times New Roman"/>
          <w:color w:val="000000" w:themeColor="text1"/>
          <w:sz w:val="24"/>
          <w:szCs w:val="24"/>
        </w:rPr>
        <w:t xml:space="preserve">) infected with Plasmodium. This </w:t>
      </w:r>
      <w:proofErr w:type="spellStart"/>
      <w:r w:rsidRPr="00F3795D">
        <w:rPr>
          <w:rFonts w:ascii="Times New Roman" w:hAnsi="Times New Roman" w:cs="Times New Roman"/>
          <w:color w:val="000000" w:themeColor="text1"/>
          <w:sz w:val="24"/>
          <w:szCs w:val="24"/>
        </w:rPr>
        <w:t>hemolysis</w:t>
      </w:r>
      <w:proofErr w:type="spellEnd"/>
      <w:r w:rsidRPr="00F3795D">
        <w:rPr>
          <w:rFonts w:ascii="Times New Roman" w:hAnsi="Times New Roman" w:cs="Times New Roman"/>
          <w:color w:val="000000" w:themeColor="text1"/>
          <w:sz w:val="24"/>
          <w:szCs w:val="24"/>
        </w:rPr>
        <w:t xml:space="preserve"> produces host- and parasite-derived compounds, cell-free </w:t>
      </w:r>
      <w:proofErr w:type="spellStart"/>
      <w:r w:rsidRPr="00F3795D">
        <w:rPr>
          <w:rFonts w:ascii="Times New Roman" w:hAnsi="Times New Roman" w:cs="Times New Roman"/>
          <w:color w:val="000000" w:themeColor="text1"/>
          <w:sz w:val="24"/>
          <w:szCs w:val="24"/>
        </w:rPr>
        <w:t>heme</w:t>
      </w:r>
      <w:proofErr w:type="spellEnd"/>
      <w:r w:rsidRPr="00F3795D">
        <w:rPr>
          <w:rFonts w:ascii="Times New Roman" w:hAnsi="Times New Roman" w:cs="Times New Roman"/>
          <w:color w:val="000000" w:themeColor="text1"/>
          <w:sz w:val="24"/>
          <w:szCs w:val="24"/>
        </w:rPr>
        <w:t>, and other substances that may result in inflammatory reactions</w:t>
      </w:r>
      <w:r w:rsidR="00AF35FA">
        <w:rPr>
          <w:rFonts w:ascii="Times New Roman" w:hAnsi="Times New Roman" w:cs="Times New Roman"/>
          <w:color w:val="000000" w:themeColor="text1"/>
          <w:sz w:val="24"/>
          <w:szCs w:val="24"/>
        </w:rPr>
        <w:t xml:space="preserve"> </w:t>
      </w:r>
      <w:r w:rsidRPr="00AF35FA">
        <w:rPr>
          <w:rFonts w:ascii="Times New Roman" w:hAnsi="Times New Roman" w:cs="Times New Roman"/>
          <w:color w:val="000000" w:themeColor="text1"/>
          <w:sz w:val="24"/>
          <w:szCs w:val="24"/>
        </w:rPr>
        <w:t>such as</w:t>
      </w:r>
      <w:r w:rsidRPr="00F3795D">
        <w:rPr>
          <w:rFonts w:ascii="Times New Roman" w:hAnsi="Times New Roman" w:cs="Times New Roman"/>
          <w:color w:val="000000" w:themeColor="text1"/>
          <w:sz w:val="24"/>
          <w:szCs w:val="24"/>
        </w:rPr>
        <w:t xml:space="preserve"> parasite sequestration, microvascular dysfunction, endothelial activation, extensive intravascular </w:t>
      </w:r>
      <w:proofErr w:type="spellStart"/>
      <w:r w:rsidRPr="00F3795D">
        <w:rPr>
          <w:rFonts w:ascii="Times New Roman" w:hAnsi="Times New Roman" w:cs="Times New Roman"/>
          <w:color w:val="000000" w:themeColor="text1"/>
          <w:sz w:val="24"/>
          <w:szCs w:val="24"/>
        </w:rPr>
        <w:t>hemolysis</w:t>
      </w:r>
      <w:proofErr w:type="spellEnd"/>
      <w:r w:rsidRPr="00F3795D">
        <w:rPr>
          <w:rFonts w:ascii="Times New Roman" w:hAnsi="Times New Roman" w:cs="Times New Roman"/>
          <w:color w:val="000000" w:themeColor="text1"/>
          <w:sz w:val="24"/>
          <w:szCs w:val="24"/>
        </w:rPr>
        <w:t xml:space="preserve">, and hemodynamic instability, leading to the exacerbation of a potent systemic inflammatory response on the kidneys, is the most likely mechanism by which </w:t>
      </w:r>
      <w:r w:rsidR="00983875">
        <w:rPr>
          <w:rFonts w:ascii="Times New Roman" w:hAnsi="Times New Roman" w:cs="Times New Roman"/>
          <w:color w:val="000000" w:themeColor="text1"/>
          <w:sz w:val="24"/>
          <w:szCs w:val="24"/>
        </w:rPr>
        <w:t>severe</w:t>
      </w:r>
      <w:r w:rsidRPr="00F3795D">
        <w:rPr>
          <w:rFonts w:ascii="Times New Roman" w:hAnsi="Times New Roman" w:cs="Times New Roman"/>
          <w:color w:val="000000" w:themeColor="text1"/>
          <w:sz w:val="24"/>
          <w:szCs w:val="24"/>
        </w:rPr>
        <w:t xml:space="preserve"> causes the development of AKI </w:t>
      </w:r>
      <w:r w:rsidR="00C07FFD" w:rsidRPr="00F3795D">
        <w:rPr>
          <w:rFonts w:ascii="Times New Roman" w:hAnsi="Times New Roman" w:cs="Times New Roman"/>
          <w:color w:val="000000" w:themeColor="text1"/>
          <w:sz w:val="24"/>
          <w:szCs w:val="24"/>
        </w:rPr>
        <w:fldChar w:fldCharType="begin" w:fldLock="1"/>
      </w:r>
      <w:r w:rsidR="008B28D0" w:rsidRPr="00F3795D">
        <w:rPr>
          <w:rFonts w:ascii="Times New Roman" w:hAnsi="Times New Roman" w:cs="Times New Roman"/>
          <w:color w:val="000000" w:themeColor="text1"/>
          <w:sz w:val="24"/>
          <w:szCs w:val="24"/>
        </w:rPr>
        <w:instrText>ADDIN CSL_CITATION {"citationItems":[{"id":"ITEM-1","itemData":{"DOI":"10.3389/fimmu.2021.651739","ISSN":"16643224","PMID":"33968051","abstract":"Acute kidney injury (AKI) is a common feature of severe malaria, and an independent risk factor for death. Previous research has suggested that an overactivation of the host inflammatory response is at least partly involved in mediating the kidney damage observed in P. falciparum patients with AKI, however the exact pathophysiology of AKI in severe malaria remains unknown. The purpose of this mini-review is to describe how different aspects of malaria pathology, including parasite sequestration, microvascular obstruction and extensive intravascular hemolysis, may interact with each other and contribute to the development of AKI in severe malaria, by amplifying the damaging effects of the host inflammatory response. Here, we highlight the importance of considering how the systemic effects and multi-organ involvement of malaria are intertwined with the localized effects on the kidney.","author":[{"dropping-particle":"","family":"Katsoulis","given":"Orestis","non-dropping-particle":"","parse-names":false,"suffix":""},{"dropping-particle":"","family":"Georgiadou","given":"Athina","non-dropping-particle":"","parse-names":false,"suffix":""},{"dropping-particle":"","family":"Cunnington","given":"Aubrey J.","non-dropping-particle":"","parse-names":false,"suffix":""}],"container-title":"Frontiers in Immunology","id":"ITEM-1","issue":"April","issued":{"date-parts":[["2021"]]},"page":"1-8","title":"Immunopathology of Acute Kidney Injury in Severe Malaria","type":"article-journal","volume":"12"},"uris":["http://www.mendeley.com/documents/?uuid=7c8a7247-1192-4391-afaf-4780cff3e394","http://www.mendeley.com/documents/?uuid=cd321ac9-d77b-48f9-a747-42de6a2a40b3"]}],"mendeley":{"formattedCitation":"(Katsoulis et al., 2021)","plainTextFormattedCitation":"(Katsoulis et al., 2021)","previouslyFormattedCitation":"(Katsoulis et al., 2021)"},"properties":{"noteIndex":0},"schema":"https://github.com/citation-style-language/schema/raw/master/csl-citation.json"}</w:instrText>
      </w:r>
      <w:r w:rsidR="00C07FFD" w:rsidRPr="00F3795D">
        <w:rPr>
          <w:rFonts w:ascii="Times New Roman" w:hAnsi="Times New Roman" w:cs="Times New Roman"/>
          <w:color w:val="000000" w:themeColor="text1"/>
          <w:sz w:val="24"/>
          <w:szCs w:val="24"/>
        </w:rPr>
        <w:fldChar w:fldCharType="separate"/>
      </w:r>
      <w:r w:rsidR="005D682C" w:rsidRPr="00F3795D">
        <w:rPr>
          <w:rFonts w:ascii="Times New Roman" w:hAnsi="Times New Roman" w:cs="Times New Roman"/>
          <w:noProof/>
          <w:color w:val="000000" w:themeColor="text1"/>
          <w:sz w:val="24"/>
          <w:szCs w:val="24"/>
        </w:rPr>
        <w:t>(Katsoulis et al., 2021)</w:t>
      </w:r>
      <w:r w:rsidR="00C07FFD" w:rsidRPr="00F3795D">
        <w:rPr>
          <w:rFonts w:ascii="Times New Roman" w:hAnsi="Times New Roman" w:cs="Times New Roman"/>
          <w:color w:val="000000" w:themeColor="text1"/>
          <w:sz w:val="24"/>
          <w:szCs w:val="24"/>
        </w:rPr>
        <w:fldChar w:fldCharType="end"/>
      </w:r>
    </w:p>
    <w:p w14:paraId="18723B00" w14:textId="77777777" w:rsidR="00CB46CA" w:rsidRPr="00F3795D" w:rsidRDefault="00CB46CA" w:rsidP="00372EFD">
      <w:pPr>
        <w:pStyle w:val="ListParagraph"/>
        <w:spacing w:after="0" w:line="276" w:lineRule="auto"/>
        <w:jc w:val="both"/>
        <w:rPr>
          <w:rFonts w:ascii="Times New Roman" w:hAnsi="Times New Roman" w:cs="Times New Roman"/>
          <w:b/>
          <w:bCs/>
          <w:color w:val="000000" w:themeColor="text1"/>
          <w:sz w:val="24"/>
          <w:szCs w:val="24"/>
        </w:rPr>
      </w:pPr>
    </w:p>
    <w:p w14:paraId="38FBDDD3" w14:textId="53525420" w:rsidR="00CB46CA" w:rsidRPr="00F3795D" w:rsidRDefault="00CB46CA" w:rsidP="00372EFD">
      <w:pPr>
        <w:spacing w:after="0" w:line="276" w:lineRule="auto"/>
        <w:jc w:val="both"/>
        <w:rPr>
          <w:rFonts w:ascii="Times New Roman" w:hAnsi="Times New Roman" w:cs="Times New Roman"/>
          <w:b/>
          <w:bCs/>
          <w:color w:val="000000" w:themeColor="text1"/>
          <w:sz w:val="24"/>
          <w:szCs w:val="24"/>
        </w:rPr>
      </w:pPr>
      <w:r w:rsidRPr="00F3795D">
        <w:rPr>
          <w:rFonts w:ascii="Times New Roman" w:hAnsi="Times New Roman" w:cs="Times New Roman"/>
          <w:b/>
          <w:bCs/>
          <w:color w:val="000000" w:themeColor="text1"/>
          <w:sz w:val="24"/>
          <w:szCs w:val="24"/>
        </w:rPr>
        <w:t>Recommendation</w:t>
      </w:r>
    </w:p>
    <w:p w14:paraId="3179BC19" w14:textId="3B395F63" w:rsidR="00CB46CA" w:rsidRPr="00F3795D" w:rsidRDefault="00271A98" w:rsidP="00372EFD">
      <w:pPr>
        <w:spacing w:after="0" w:line="276" w:lineRule="auto"/>
        <w:jc w:val="both"/>
        <w:rPr>
          <w:rFonts w:ascii="Times New Roman" w:hAnsi="Times New Roman" w:cs="Times New Roman"/>
          <w:color w:val="000000" w:themeColor="text1"/>
          <w:sz w:val="24"/>
          <w:szCs w:val="24"/>
          <w:shd w:val="clear" w:color="auto" w:fill="FFFFFF"/>
        </w:rPr>
      </w:pPr>
      <w:r w:rsidRPr="00271A98">
        <w:rPr>
          <w:rFonts w:ascii="Times New Roman" w:hAnsi="Times New Roman" w:cs="Times New Roman"/>
          <w:color w:val="000000" w:themeColor="text1"/>
          <w:sz w:val="24"/>
          <w:szCs w:val="24"/>
          <w:shd w:val="clear" w:color="auto" w:fill="FFFFFF"/>
        </w:rPr>
        <w:t xml:space="preserve">Malaria should then be brought to the public's attention so that ongoing public health initiatives aimed at </w:t>
      </w:r>
      <w:r w:rsidR="000E1DFC">
        <w:rPr>
          <w:rFonts w:ascii="Times New Roman" w:hAnsi="Times New Roman" w:cs="Times New Roman"/>
          <w:color w:val="000000" w:themeColor="text1"/>
          <w:sz w:val="24"/>
          <w:szCs w:val="24"/>
          <w:shd w:val="clear" w:color="auto" w:fill="FFFFFF"/>
        </w:rPr>
        <w:t xml:space="preserve">the </w:t>
      </w:r>
      <w:r w:rsidRPr="00271A98">
        <w:rPr>
          <w:rFonts w:ascii="Times New Roman" w:hAnsi="Times New Roman" w:cs="Times New Roman"/>
          <w:color w:val="000000" w:themeColor="text1"/>
          <w:sz w:val="24"/>
          <w:szCs w:val="24"/>
          <w:shd w:val="clear" w:color="auto" w:fill="FFFFFF"/>
        </w:rPr>
        <w:t>proper use of bed nets, drainage of standing water, and increased public awareness about lowering the risk of insect bites can potentially reduce the prevalence of malaria and improve children's health. In order to reduce the incidence of malaria, the population should also practise good hygiene</w:t>
      </w:r>
      <w:r w:rsidR="000E1DFC">
        <w:rPr>
          <w:rFonts w:ascii="Times New Roman" w:hAnsi="Times New Roman" w:cs="Times New Roman"/>
          <w:color w:val="000000" w:themeColor="text1"/>
          <w:sz w:val="24"/>
          <w:szCs w:val="24"/>
          <w:shd w:val="clear" w:color="auto" w:fill="FFFFFF"/>
        </w:rPr>
        <w:t>, sanitise their environments,</w:t>
      </w:r>
      <w:r w:rsidRPr="00271A98">
        <w:rPr>
          <w:rFonts w:ascii="Times New Roman" w:hAnsi="Times New Roman" w:cs="Times New Roman"/>
          <w:color w:val="000000" w:themeColor="text1"/>
          <w:sz w:val="24"/>
          <w:szCs w:val="24"/>
          <w:shd w:val="clear" w:color="auto" w:fill="FFFFFF"/>
        </w:rPr>
        <w:t xml:space="preserve"> and use water purifiers and clean water storage. Managing water Achieving malaria eradication requires multisectoral collaboration and methods that link environmental science and malaria control, such as conducting locally pertinent ecological monitoring, incorporating landscape data into malaria surveillance systems, and developing environmental management strategies to lessen malaria burdens. Along with rural development, a</w:t>
      </w:r>
      <w:r w:rsidR="000E1DFC">
        <w:rPr>
          <w:rFonts w:ascii="Times New Roman" w:hAnsi="Times New Roman" w:cs="Times New Roman"/>
          <w:color w:val="000000" w:themeColor="text1"/>
          <w:sz w:val="24"/>
          <w:szCs w:val="24"/>
          <w:shd w:val="clear" w:color="auto" w:fill="FFFFFF"/>
        </w:rPr>
        <w:t>n intelligen</w:t>
      </w:r>
      <w:r w:rsidRPr="00271A98">
        <w:rPr>
          <w:rFonts w:ascii="Times New Roman" w:hAnsi="Times New Roman" w:cs="Times New Roman"/>
          <w:color w:val="000000" w:themeColor="text1"/>
          <w:sz w:val="24"/>
          <w:szCs w:val="24"/>
          <w:shd w:val="clear" w:color="auto" w:fill="FFFFFF"/>
        </w:rPr>
        <w:t xml:space="preserve">t urbanisation policy </w:t>
      </w:r>
      <w:r w:rsidR="000E1DFC">
        <w:rPr>
          <w:rFonts w:ascii="Times New Roman" w:hAnsi="Times New Roman" w:cs="Times New Roman"/>
          <w:color w:val="000000" w:themeColor="text1"/>
          <w:sz w:val="24"/>
          <w:szCs w:val="24"/>
          <w:shd w:val="clear" w:color="auto" w:fill="FFFFFF"/>
        </w:rPr>
        <w:t>must be implemented nationwide</w:t>
      </w:r>
      <w:r w:rsidRPr="00271A98">
        <w:rPr>
          <w:rFonts w:ascii="Times New Roman" w:hAnsi="Times New Roman" w:cs="Times New Roman"/>
          <w:color w:val="000000" w:themeColor="text1"/>
          <w:sz w:val="24"/>
          <w:szCs w:val="24"/>
          <w:shd w:val="clear" w:color="auto" w:fill="FFFFFF"/>
        </w:rPr>
        <w:t xml:space="preserve">. </w:t>
      </w:r>
      <w:r w:rsidR="001B3560" w:rsidRPr="001B3560">
        <w:rPr>
          <w:rFonts w:ascii="Times New Roman" w:hAnsi="Times New Roman" w:cs="Times New Roman"/>
          <w:color w:val="000000" w:themeColor="text1"/>
          <w:sz w:val="24"/>
          <w:szCs w:val="24"/>
          <w:shd w:val="clear" w:color="auto" w:fill="FFFFFF"/>
        </w:rPr>
        <w:t xml:space="preserve">In comparison to other times and scenarios during the century, the higher magnitude of change in species prevalence predicted for the latter half of the twenty-first century under the high emission scenario, driven primarily by increasing and fluctuating temperature, along with more extended seasonal tropical rainfall accompanied by drier phases and the inherent influence of rapid land use change, may lead to the more significant increase in malaria burden. It is always appreciated when malaria eradication policies are created at the district level. The government should implement preventative measures through the health department as </w:t>
      </w:r>
      <w:r w:rsidR="000E1DFC">
        <w:rPr>
          <w:rFonts w:ascii="Times New Roman" w:hAnsi="Times New Roman" w:cs="Times New Roman"/>
          <w:color w:val="000000" w:themeColor="text1"/>
          <w:sz w:val="24"/>
          <w:szCs w:val="24"/>
          <w:shd w:val="clear" w:color="auto" w:fill="FFFFFF"/>
        </w:rPr>
        <w:t>malaria cases increase</w:t>
      </w:r>
      <w:r w:rsidR="001B3560" w:rsidRPr="001B3560">
        <w:rPr>
          <w:rFonts w:ascii="Times New Roman" w:hAnsi="Times New Roman" w:cs="Times New Roman"/>
          <w:color w:val="000000" w:themeColor="text1"/>
          <w:sz w:val="24"/>
          <w:szCs w:val="24"/>
          <w:shd w:val="clear" w:color="auto" w:fill="FFFFFF"/>
        </w:rPr>
        <w:t>.</w:t>
      </w:r>
      <w:r w:rsidR="00CB46CA" w:rsidRPr="00F3795D">
        <w:rPr>
          <w:rFonts w:ascii="Times New Roman" w:hAnsi="Times New Roman" w:cs="Times New Roman"/>
          <w:color w:val="000000" w:themeColor="text1"/>
          <w:sz w:val="24"/>
          <w:szCs w:val="24"/>
          <w:shd w:val="clear" w:color="auto" w:fill="FFFFFF"/>
        </w:rPr>
        <w:t xml:space="preserve"> </w:t>
      </w:r>
      <w:r w:rsidR="0077136F" w:rsidRPr="0077136F">
        <w:rPr>
          <w:rFonts w:ascii="Times New Roman" w:hAnsi="Times New Roman" w:cs="Times New Roman"/>
          <w:color w:val="000000" w:themeColor="text1"/>
          <w:sz w:val="24"/>
          <w:szCs w:val="24"/>
          <w:shd w:val="clear" w:color="auto" w:fill="FFFFFF"/>
        </w:rPr>
        <w:t xml:space="preserve">Changes to therapies or treatments will result from this. There is a limited understanding of how people in developing regions interact on social media during outbreaks and what </w:t>
      </w:r>
      <w:r w:rsidR="000E1DFC">
        <w:rPr>
          <w:rFonts w:ascii="Times New Roman" w:hAnsi="Times New Roman" w:cs="Times New Roman"/>
          <w:color w:val="000000" w:themeColor="text1"/>
          <w:sz w:val="24"/>
          <w:szCs w:val="24"/>
          <w:shd w:val="clear" w:color="auto" w:fill="FFFFFF"/>
        </w:rPr>
        <w:t>valuable</w:t>
      </w:r>
      <w:r w:rsidR="0077136F" w:rsidRPr="0077136F">
        <w:rPr>
          <w:rFonts w:ascii="Times New Roman" w:hAnsi="Times New Roman" w:cs="Times New Roman"/>
          <w:color w:val="000000" w:themeColor="text1"/>
          <w:sz w:val="24"/>
          <w:szCs w:val="24"/>
          <w:shd w:val="clear" w:color="auto" w:fill="FFFFFF"/>
        </w:rPr>
        <w:t xml:space="preserve"> insights this dataset could offer during public health crises, </w:t>
      </w:r>
      <w:r w:rsidR="000E1DFC">
        <w:rPr>
          <w:rFonts w:ascii="Times New Roman" w:hAnsi="Times New Roman" w:cs="Times New Roman"/>
          <w:color w:val="000000" w:themeColor="text1"/>
          <w:sz w:val="24"/>
          <w:szCs w:val="24"/>
          <w:shd w:val="clear" w:color="auto" w:fill="FFFFFF"/>
        </w:rPr>
        <w:t>even though</w:t>
      </w:r>
      <w:r w:rsidR="0077136F" w:rsidRPr="0077136F">
        <w:rPr>
          <w:rFonts w:ascii="Times New Roman" w:hAnsi="Times New Roman" w:cs="Times New Roman"/>
          <w:color w:val="000000" w:themeColor="text1"/>
          <w:sz w:val="24"/>
          <w:szCs w:val="24"/>
          <w:shd w:val="clear" w:color="auto" w:fill="FFFFFF"/>
        </w:rPr>
        <w:t xml:space="preserve"> government agencies and healthcare institutions in developed </w:t>
      </w:r>
      <w:r w:rsidR="000E1DFC">
        <w:rPr>
          <w:rFonts w:ascii="Times New Roman" w:hAnsi="Times New Roman" w:cs="Times New Roman"/>
          <w:color w:val="000000" w:themeColor="text1"/>
          <w:sz w:val="24"/>
          <w:szCs w:val="24"/>
          <w:shd w:val="clear" w:color="auto" w:fill="FFFFFF"/>
        </w:rPr>
        <w:t>area</w:t>
      </w:r>
      <w:r w:rsidR="0077136F" w:rsidRPr="0077136F">
        <w:rPr>
          <w:rFonts w:ascii="Times New Roman" w:hAnsi="Times New Roman" w:cs="Times New Roman"/>
          <w:color w:val="000000" w:themeColor="text1"/>
          <w:sz w:val="24"/>
          <w:szCs w:val="24"/>
          <w:shd w:val="clear" w:color="auto" w:fill="FFFFFF"/>
        </w:rPr>
        <w:t xml:space="preserve">s increasingly rely on social media to build epidemic forecasts and outbreak response. Demand for bed nets treated with insecticides will rise. The general public is urged to </w:t>
      </w:r>
      <w:r w:rsidR="000E1DFC">
        <w:rPr>
          <w:rFonts w:ascii="Times New Roman" w:hAnsi="Times New Roman" w:cs="Times New Roman"/>
          <w:color w:val="000000" w:themeColor="text1"/>
          <w:sz w:val="24"/>
          <w:szCs w:val="24"/>
          <w:shd w:val="clear" w:color="auto" w:fill="FFFFFF"/>
        </w:rPr>
        <w:t>use</w:t>
      </w:r>
      <w:r w:rsidR="0077136F" w:rsidRPr="0077136F">
        <w:rPr>
          <w:rFonts w:ascii="Times New Roman" w:hAnsi="Times New Roman" w:cs="Times New Roman"/>
          <w:color w:val="000000" w:themeColor="text1"/>
          <w:sz w:val="24"/>
          <w:szCs w:val="24"/>
          <w:shd w:val="clear" w:color="auto" w:fill="FFFFFF"/>
        </w:rPr>
        <w:t xml:space="preserve"> insecticide-treated bed nets, which also serve as a physical barrier between humans and animals or protozoa. A schedule for immunisations should be developed</w:t>
      </w:r>
      <w:r w:rsidR="000E1DFC">
        <w:rPr>
          <w:rFonts w:ascii="Times New Roman" w:hAnsi="Times New Roman" w:cs="Times New Roman"/>
          <w:color w:val="000000" w:themeColor="text1"/>
          <w:sz w:val="24"/>
          <w:szCs w:val="24"/>
          <w:shd w:val="clear" w:color="auto" w:fill="FFFFFF"/>
        </w:rPr>
        <w:t>; f</w:t>
      </w:r>
      <w:r w:rsidR="0077136F" w:rsidRPr="0077136F">
        <w:rPr>
          <w:rFonts w:ascii="Times New Roman" w:hAnsi="Times New Roman" w:cs="Times New Roman"/>
          <w:color w:val="000000" w:themeColor="text1"/>
          <w:sz w:val="24"/>
          <w:szCs w:val="24"/>
          <w:shd w:val="clear" w:color="auto" w:fill="FFFFFF"/>
        </w:rPr>
        <w:t xml:space="preserve">ew </w:t>
      </w:r>
      <w:r w:rsidR="000E1DFC">
        <w:rPr>
          <w:rFonts w:ascii="Times New Roman" w:hAnsi="Times New Roman" w:cs="Times New Roman"/>
          <w:color w:val="000000" w:themeColor="text1"/>
          <w:sz w:val="24"/>
          <w:szCs w:val="24"/>
          <w:shd w:val="clear" w:color="auto" w:fill="FFFFFF"/>
        </w:rPr>
        <w:t>recently introduced vaccinations</w:t>
      </w:r>
      <w:r w:rsidR="0077136F" w:rsidRPr="0077136F">
        <w:rPr>
          <w:rFonts w:ascii="Times New Roman" w:hAnsi="Times New Roman" w:cs="Times New Roman"/>
          <w:color w:val="000000" w:themeColor="text1"/>
          <w:sz w:val="24"/>
          <w:szCs w:val="24"/>
          <w:shd w:val="clear" w:color="auto" w:fill="FFFFFF"/>
        </w:rPr>
        <w:t xml:space="preserve"> were used in preclinical or clinical settings. </w:t>
      </w:r>
      <w:r w:rsidR="000E1DFC" w:rsidRPr="000E1DFC">
        <w:rPr>
          <w:rFonts w:ascii="Times New Roman" w:hAnsi="Times New Roman" w:cs="Times New Roman"/>
          <w:color w:val="000000" w:themeColor="text1"/>
          <w:sz w:val="24"/>
          <w:szCs w:val="24"/>
        </w:rPr>
        <w:t xml:space="preserve">Based on the high safety and effectiveness evidence from a pilot programme initiated in Ghana, Kenya, and Malawi, the WHO advised the first-ever malaria vaccine, RTS, S/AS01, for </w:t>
      </w:r>
      <w:r w:rsidR="000E1DFC">
        <w:rPr>
          <w:rFonts w:ascii="Times New Roman" w:hAnsi="Times New Roman" w:cs="Times New Roman"/>
          <w:color w:val="000000" w:themeColor="text1"/>
          <w:sz w:val="24"/>
          <w:szCs w:val="24"/>
        </w:rPr>
        <w:t>at-risk children</w:t>
      </w:r>
      <w:r w:rsidR="000E1DFC" w:rsidRPr="000E1DFC">
        <w:rPr>
          <w:rFonts w:ascii="Times New Roman" w:hAnsi="Times New Roman" w:cs="Times New Roman"/>
          <w:color w:val="000000" w:themeColor="text1"/>
          <w:sz w:val="24"/>
          <w:szCs w:val="24"/>
        </w:rPr>
        <w:t>. It will be a historic development for malaria prevention—at least for P falciparum malaria and child health—if a malaria vaccine is added to the regular schedule of childhood vaccinations. Community-focused malaria interventions should be suggested everywhere to ensure and increase access to the currently available tools among hard-to-reach communities, such as persons living and working in remote woods and the minority Indigenous populations.</w:t>
      </w:r>
    </w:p>
    <w:p w14:paraId="35A291F2" w14:textId="4D3355B7" w:rsidR="00A132A7" w:rsidRPr="00F3795D" w:rsidRDefault="004F4898" w:rsidP="00372EFD">
      <w:pPr>
        <w:spacing w:after="0" w:line="276" w:lineRule="auto"/>
        <w:jc w:val="both"/>
        <w:rPr>
          <w:rFonts w:ascii="Times New Roman" w:hAnsi="Times New Roman" w:cs="Times New Roman"/>
          <w:b/>
          <w:bCs/>
          <w:color w:val="000000" w:themeColor="text1"/>
          <w:sz w:val="24"/>
          <w:szCs w:val="24"/>
        </w:rPr>
      </w:pPr>
      <w:r w:rsidRPr="00F3795D">
        <w:rPr>
          <w:rFonts w:ascii="Times New Roman" w:hAnsi="Times New Roman" w:cs="Times New Roman"/>
          <w:b/>
          <w:bCs/>
          <w:color w:val="000000" w:themeColor="text1"/>
          <w:sz w:val="24"/>
          <w:szCs w:val="24"/>
        </w:rPr>
        <w:t xml:space="preserve">Conclusion </w:t>
      </w:r>
    </w:p>
    <w:p w14:paraId="444CB11C" w14:textId="697B3286" w:rsidR="002E450E" w:rsidRPr="00F3795D" w:rsidRDefault="006B10B8" w:rsidP="00372EFD">
      <w:pPr>
        <w:spacing w:after="0" w:line="276" w:lineRule="auto"/>
        <w:jc w:val="both"/>
        <w:rPr>
          <w:rFonts w:ascii="Times New Roman" w:hAnsi="Times New Roman" w:cs="Times New Roman"/>
          <w:color w:val="000000" w:themeColor="text1"/>
          <w:sz w:val="24"/>
          <w:szCs w:val="24"/>
        </w:rPr>
      </w:pPr>
      <w:r w:rsidRPr="00F3795D">
        <w:rPr>
          <w:rFonts w:ascii="Times New Roman" w:hAnsi="Times New Roman" w:cs="Times New Roman"/>
          <w:color w:val="000000" w:themeColor="text1"/>
          <w:sz w:val="24"/>
          <w:szCs w:val="24"/>
        </w:rPr>
        <w:t>This review add</w:t>
      </w:r>
      <w:r w:rsidR="009A2F2A" w:rsidRPr="00F3795D">
        <w:rPr>
          <w:rFonts w:ascii="Times New Roman" w:hAnsi="Times New Roman" w:cs="Times New Roman"/>
          <w:color w:val="000000" w:themeColor="text1"/>
          <w:sz w:val="24"/>
          <w:szCs w:val="24"/>
        </w:rPr>
        <w:t xml:space="preserve">s the prevalence of </w:t>
      </w:r>
      <w:r w:rsidR="003D0C69" w:rsidRPr="00F3795D">
        <w:rPr>
          <w:rFonts w:ascii="Times New Roman" w:hAnsi="Times New Roman" w:cs="Times New Roman"/>
          <w:color w:val="000000" w:themeColor="text1"/>
          <w:sz w:val="24"/>
          <w:szCs w:val="24"/>
        </w:rPr>
        <w:t>malaria-causing</w:t>
      </w:r>
      <w:r w:rsidR="009A2F2A" w:rsidRPr="00F3795D">
        <w:rPr>
          <w:rFonts w:ascii="Times New Roman" w:hAnsi="Times New Roman" w:cs="Times New Roman"/>
          <w:color w:val="000000" w:themeColor="text1"/>
          <w:sz w:val="24"/>
          <w:szCs w:val="24"/>
        </w:rPr>
        <w:t xml:space="preserve"> protozoa, their genetic expression, and </w:t>
      </w:r>
      <w:r w:rsidR="003D0C69" w:rsidRPr="00F3795D">
        <w:rPr>
          <w:rFonts w:ascii="Times New Roman" w:hAnsi="Times New Roman" w:cs="Times New Roman"/>
          <w:color w:val="000000" w:themeColor="text1"/>
          <w:sz w:val="24"/>
          <w:szCs w:val="24"/>
        </w:rPr>
        <w:t xml:space="preserve">their </w:t>
      </w:r>
      <w:r w:rsidR="009A2F2A" w:rsidRPr="00F3795D">
        <w:rPr>
          <w:rFonts w:ascii="Times New Roman" w:hAnsi="Times New Roman" w:cs="Times New Roman"/>
          <w:color w:val="000000" w:themeColor="text1"/>
          <w:sz w:val="24"/>
          <w:szCs w:val="24"/>
        </w:rPr>
        <w:t>resistance to</w:t>
      </w:r>
      <w:r w:rsidR="00485171" w:rsidRPr="00F3795D">
        <w:rPr>
          <w:rFonts w:ascii="Times New Roman" w:hAnsi="Times New Roman" w:cs="Times New Roman"/>
          <w:color w:val="000000" w:themeColor="text1"/>
          <w:sz w:val="24"/>
          <w:szCs w:val="24"/>
        </w:rPr>
        <w:t xml:space="preserve"> </w:t>
      </w:r>
      <w:r w:rsidR="00535DE9" w:rsidRPr="00F3795D">
        <w:rPr>
          <w:rFonts w:ascii="Times New Roman" w:hAnsi="Times New Roman" w:cs="Times New Roman"/>
          <w:color w:val="000000" w:themeColor="text1"/>
          <w:sz w:val="24"/>
          <w:szCs w:val="24"/>
        </w:rPr>
        <w:t xml:space="preserve">medication. Our study also includes </w:t>
      </w:r>
      <w:r w:rsidR="009A2F2A" w:rsidRPr="00F3795D">
        <w:rPr>
          <w:rFonts w:ascii="Times New Roman" w:hAnsi="Times New Roman" w:cs="Times New Roman"/>
          <w:color w:val="000000" w:themeColor="text1"/>
          <w:sz w:val="24"/>
          <w:szCs w:val="24"/>
        </w:rPr>
        <w:t xml:space="preserve">the </w:t>
      </w:r>
      <w:r w:rsidR="00EA0A27" w:rsidRPr="00F3795D">
        <w:rPr>
          <w:rFonts w:ascii="Times New Roman" w:hAnsi="Times New Roman" w:cs="Times New Roman"/>
          <w:color w:val="000000" w:themeColor="text1"/>
          <w:sz w:val="24"/>
          <w:szCs w:val="24"/>
        </w:rPr>
        <w:t>aetiology</w:t>
      </w:r>
      <w:r w:rsidR="00567896" w:rsidRPr="00F3795D">
        <w:rPr>
          <w:rFonts w:ascii="Times New Roman" w:hAnsi="Times New Roman" w:cs="Times New Roman"/>
          <w:color w:val="000000" w:themeColor="text1"/>
          <w:sz w:val="24"/>
          <w:szCs w:val="24"/>
        </w:rPr>
        <w:t xml:space="preserve"> behind </w:t>
      </w:r>
      <w:r w:rsidR="0017399E" w:rsidRPr="00F3795D">
        <w:rPr>
          <w:rFonts w:ascii="Times New Roman" w:hAnsi="Times New Roman" w:cs="Times New Roman"/>
          <w:color w:val="000000" w:themeColor="text1"/>
          <w:sz w:val="24"/>
          <w:szCs w:val="24"/>
        </w:rPr>
        <w:t>M</w:t>
      </w:r>
      <w:r w:rsidR="00567896" w:rsidRPr="00F3795D">
        <w:rPr>
          <w:rFonts w:ascii="Times New Roman" w:hAnsi="Times New Roman" w:cs="Times New Roman"/>
          <w:color w:val="000000" w:themeColor="text1"/>
          <w:sz w:val="24"/>
          <w:szCs w:val="24"/>
        </w:rPr>
        <w:t>alaria</w:t>
      </w:r>
      <w:r w:rsidR="009A2F2A" w:rsidRPr="00F3795D">
        <w:rPr>
          <w:rFonts w:ascii="Times New Roman" w:hAnsi="Times New Roman" w:cs="Times New Roman"/>
          <w:color w:val="000000" w:themeColor="text1"/>
          <w:sz w:val="24"/>
          <w:szCs w:val="24"/>
        </w:rPr>
        <w:t>,</w:t>
      </w:r>
      <w:r w:rsidR="00567896" w:rsidRPr="00F3795D">
        <w:rPr>
          <w:rFonts w:ascii="Times New Roman" w:hAnsi="Times New Roman" w:cs="Times New Roman"/>
          <w:color w:val="000000" w:themeColor="text1"/>
          <w:sz w:val="24"/>
          <w:szCs w:val="24"/>
        </w:rPr>
        <w:t xml:space="preserve"> </w:t>
      </w:r>
      <w:r w:rsidR="00F475A1" w:rsidRPr="00F3795D">
        <w:rPr>
          <w:rFonts w:ascii="Times New Roman" w:hAnsi="Times New Roman" w:cs="Times New Roman"/>
          <w:color w:val="000000" w:themeColor="text1"/>
          <w:sz w:val="24"/>
          <w:szCs w:val="24"/>
        </w:rPr>
        <w:t xml:space="preserve">such as HERP 2/3 gene deletion suitable environment </w:t>
      </w:r>
      <w:r w:rsidR="009A2F2A" w:rsidRPr="00F3795D">
        <w:rPr>
          <w:rFonts w:ascii="Times New Roman" w:hAnsi="Times New Roman" w:cs="Times New Roman"/>
          <w:color w:val="000000" w:themeColor="text1"/>
          <w:sz w:val="24"/>
          <w:szCs w:val="24"/>
        </w:rPr>
        <w:t xml:space="preserve">and </w:t>
      </w:r>
      <w:r w:rsidR="00F475A1" w:rsidRPr="00F3795D">
        <w:rPr>
          <w:rFonts w:ascii="Times New Roman" w:hAnsi="Times New Roman" w:cs="Times New Roman"/>
          <w:color w:val="000000" w:themeColor="text1"/>
          <w:sz w:val="24"/>
          <w:szCs w:val="24"/>
        </w:rPr>
        <w:t>vector resistance</w:t>
      </w:r>
      <w:r w:rsidR="00526032" w:rsidRPr="00F3795D">
        <w:rPr>
          <w:rFonts w:ascii="Times New Roman" w:hAnsi="Times New Roman" w:cs="Times New Roman"/>
          <w:color w:val="000000" w:themeColor="text1"/>
          <w:sz w:val="24"/>
          <w:szCs w:val="24"/>
        </w:rPr>
        <w:t xml:space="preserve">. </w:t>
      </w:r>
      <w:r w:rsidR="003D0C69" w:rsidRPr="00F3795D">
        <w:rPr>
          <w:rFonts w:ascii="Times New Roman" w:hAnsi="Times New Roman" w:cs="Times New Roman"/>
          <w:color w:val="000000" w:themeColor="text1"/>
          <w:sz w:val="24"/>
          <w:szCs w:val="24"/>
        </w:rPr>
        <w:t>However,</w:t>
      </w:r>
      <w:r w:rsidR="00526032" w:rsidRPr="00F3795D">
        <w:rPr>
          <w:rFonts w:ascii="Times New Roman" w:hAnsi="Times New Roman" w:cs="Times New Roman"/>
          <w:color w:val="000000" w:themeColor="text1"/>
          <w:sz w:val="24"/>
          <w:szCs w:val="24"/>
        </w:rPr>
        <w:t xml:space="preserve"> we failed to highlight </w:t>
      </w:r>
      <w:r w:rsidR="009A2F2A" w:rsidRPr="00F3795D">
        <w:rPr>
          <w:rFonts w:ascii="Times New Roman" w:hAnsi="Times New Roman" w:cs="Times New Roman"/>
          <w:color w:val="000000" w:themeColor="text1"/>
          <w:sz w:val="24"/>
          <w:szCs w:val="24"/>
        </w:rPr>
        <w:t xml:space="preserve">the </w:t>
      </w:r>
      <w:r w:rsidR="00526032" w:rsidRPr="00F3795D">
        <w:rPr>
          <w:rFonts w:ascii="Times New Roman" w:hAnsi="Times New Roman" w:cs="Times New Roman"/>
          <w:color w:val="000000" w:themeColor="text1"/>
          <w:sz w:val="24"/>
          <w:szCs w:val="24"/>
        </w:rPr>
        <w:t xml:space="preserve">cause of </w:t>
      </w:r>
      <w:r w:rsidR="00C50138" w:rsidRPr="00F3795D">
        <w:rPr>
          <w:rFonts w:ascii="Times New Roman" w:hAnsi="Times New Roman" w:cs="Times New Roman"/>
          <w:color w:val="000000" w:themeColor="text1"/>
          <w:sz w:val="24"/>
          <w:szCs w:val="24"/>
        </w:rPr>
        <w:t>herp2/3</w:t>
      </w:r>
      <w:r w:rsidR="009A2F2A" w:rsidRPr="00F3795D">
        <w:rPr>
          <w:rFonts w:ascii="Times New Roman" w:hAnsi="Times New Roman" w:cs="Times New Roman"/>
          <w:color w:val="000000" w:themeColor="text1"/>
          <w:sz w:val="24"/>
          <w:szCs w:val="24"/>
        </w:rPr>
        <w:t>,</w:t>
      </w:r>
      <w:r w:rsidR="00C50138" w:rsidRPr="00F3795D">
        <w:rPr>
          <w:rFonts w:ascii="Times New Roman" w:hAnsi="Times New Roman" w:cs="Times New Roman"/>
          <w:color w:val="000000" w:themeColor="text1"/>
          <w:sz w:val="24"/>
          <w:szCs w:val="24"/>
        </w:rPr>
        <w:t xml:space="preserve"> responsible for </w:t>
      </w:r>
      <w:r w:rsidR="0017399E" w:rsidRPr="00F3795D">
        <w:rPr>
          <w:rFonts w:ascii="Times New Roman" w:hAnsi="Times New Roman" w:cs="Times New Roman"/>
          <w:color w:val="000000" w:themeColor="text1"/>
          <w:sz w:val="24"/>
          <w:szCs w:val="24"/>
        </w:rPr>
        <w:t>M</w:t>
      </w:r>
      <w:r w:rsidR="00565509" w:rsidRPr="00F3795D">
        <w:rPr>
          <w:rFonts w:ascii="Times New Roman" w:hAnsi="Times New Roman" w:cs="Times New Roman"/>
          <w:color w:val="000000" w:themeColor="text1"/>
          <w:sz w:val="24"/>
          <w:szCs w:val="24"/>
        </w:rPr>
        <w:t xml:space="preserve">alaria. </w:t>
      </w:r>
      <w:r w:rsidR="002E7C4D" w:rsidRPr="00F3795D">
        <w:rPr>
          <w:rFonts w:ascii="Times New Roman" w:hAnsi="Times New Roman" w:cs="Times New Roman"/>
          <w:color w:val="000000" w:themeColor="text1"/>
          <w:sz w:val="24"/>
          <w:szCs w:val="24"/>
        </w:rPr>
        <w:t xml:space="preserve">Despite the </w:t>
      </w:r>
      <w:r w:rsidR="009728E3" w:rsidRPr="00F3795D">
        <w:rPr>
          <w:rFonts w:ascii="Times New Roman" w:hAnsi="Times New Roman" w:cs="Times New Roman"/>
          <w:color w:val="000000" w:themeColor="text1"/>
          <w:sz w:val="24"/>
          <w:szCs w:val="24"/>
        </w:rPr>
        <w:t xml:space="preserve">novel medication and </w:t>
      </w:r>
      <w:r w:rsidR="00225BA2" w:rsidRPr="00F3795D">
        <w:rPr>
          <w:rFonts w:ascii="Times New Roman" w:hAnsi="Times New Roman" w:cs="Times New Roman"/>
          <w:color w:val="000000" w:themeColor="text1"/>
          <w:sz w:val="24"/>
          <w:szCs w:val="24"/>
        </w:rPr>
        <w:t>existing</w:t>
      </w:r>
      <w:r w:rsidR="009728E3" w:rsidRPr="00F3795D">
        <w:rPr>
          <w:rFonts w:ascii="Times New Roman" w:hAnsi="Times New Roman" w:cs="Times New Roman"/>
          <w:color w:val="000000" w:themeColor="text1"/>
          <w:sz w:val="24"/>
          <w:szCs w:val="24"/>
        </w:rPr>
        <w:t xml:space="preserve"> combination</w:t>
      </w:r>
      <w:r w:rsidR="0007154D" w:rsidRPr="00F3795D">
        <w:rPr>
          <w:rFonts w:ascii="Times New Roman" w:hAnsi="Times New Roman" w:cs="Times New Roman"/>
          <w:color w:val="000000" w:themeColor="text1"/>
          <w:sz w:val="24"/>
          <w:szCs w:val="24"/>
        </w:rPr>
        <w:t>,</w:t>
      </w:r>
      <w:r w:rsidR="009728E3" w:rsidRPr="00F3795D">
        <w:rPr>
          <w:rFonts w:ascii="Times New Roman" w:hAnsi="Times New Roman" w:cs="Times New Roman"/>
          <w:color w:val="000000" w:themeColor="text1"/>
          <w:sz w:val="24"/>
          <w:szCs w:val="24"/>
        </w:rPr>
        <w:t xml:space="preserve"> </w:t>
      </w:r>
      <w:r w:rsidR="005807DB" w:rsidRPr="00F3795D">
        <w:rPr>
          <w:rFonts w:ascii="Times New Roman" w:hAnsi="Times New Roman" w:cs="Times New Roman"/>
          <w:color w:val="000000" w:themeColor="text1"/>
          <w:sz w:val="24"/>
          <w:szCs w:val="24"/>
        </w:rPr>
        <w:t>people still suffer from malaria</w:t>
      </w:r>
      <w:r w:rsidR="0007154D" w:rsidRPr="00F3795D">
        <w:rPr>
          <w:rFonts w:ascii="Times New Roman" w:hAnsi="Times New Roman" w:cs="Times New Roman"/>
          <w:color w:val="000000" w:themeColor="text1"/>
          <w:sz w:val="24"/>
          <w:szCs w:val="24"/>
        </w:rPr>
        <w:t>-</w:t>
      </w:r>
      <w:r w:rsidR="005807DB" w:rsidRPr="00F3795D">
        <w:rPr>
          <w:rFonts w:ascii="Times New Roman" w:hAnsi="Times New Roman" w:cs="Times New Roman"/>
          <w:color w:val="000000" w:themeColor="text1"/>
          <w:sz w:val="24"/>
          <w:szCs w:val="24"/>
        </w:rPr>
        <w:t xml:space="preserve">associated acute kidney disease, </w:t>
      </w:r>
      <w:r w:rsidR="00EA0A27" w:rsidRPr="00F3795D">
        <w:rPr>
          <w:rFonts w:ascii="Times New Roman" w:hAnsi="Times New Roman" w:cs="Times New Roman"/>
          <w:color w:val="000000" w:themeColor="text1"/>
          <w:sz w:val="24"/>
          <w:szCs w:val="24"/>
        </w:rPr>
        <w:t>anaemia</w:t>
      </w:r>
      <w:r w:rsidR="005807DB" w:rsidRPr="00F3795D">
        <w:rPr>
          <w:rFonts w:ascii="Times New Roman" w:hAnsi="Times New Roman" w:cs="Times New Roman"/>
          <w:color w:val="000000" w:themeColor="text1"/>
          <w:sz w:val="24"/>
          <w:szCs w:val="24"/>
        </w:rPr>
        <w:t xml:space="preserve">, </w:t>
      </w:r>
      <w:r w:rsidR="00225BA2" w:rsidRPr="00F3795D">
        <w:rPr>
          <w:rFonts w:ascii="Times New Roman" w:hAnsi="Times New Roman" w:cs="Times New Roman"/>
          <w:color w:val="000000" w:themeColor="text1"/>
          <w:sz w:val="24"/>
          <w:szCs w:val="24"/>
        </w:rPr>
        <w:t xml:space="preserve">metabolic acidosis, </w:t>
      </w:r>
      <w:r w:rsidR="0007154D" w:rsidRPr="00F3795D">
        <w:rPr>
          <w:rFonts w:ascii="Times New Roman" w:hAnsi="Times New Roman" w:cs="Times New Roman"/>
          <w:color w:val="000000" w:themeColor="text1"/>
          <w:sz w:val="24"/>
          <w:szCs w:val="24"/>
        </w:rPr>
        <w:t xml:space="preserve">and </w:t>
      </w:r>
      <w:r w:rsidR="00225BA2" w:rsidRPr="00F3795D">
        <w:rPr>
          <w:rFonts w:ascii="Times New Roman" w:hAnsi="Times New Roman" w:cs="Times New Roman"/>
          <w:color w:val="000000" w:themeColor="text1"/>
          <w:sz w:val="24"/>
          <w:szCs w:val="24"/>
        </w:rPr>
        <w:t xml:space="preserve">delayed chronic kidney ailments. </w:t>
      </w:r>
      <w:r w:rsidR="00E62EF2" w:rsidRPr="00F3795D">
        <w:rPr>
          <w:rFonts w:ascii="Times New Roman" w:hAnsi="Times New Roman" w:cs="Times New Roman"/>
          <w:color w:val="000000" w:themeColor="text1"/>
          <w:sz w:val="24"/>
          <w:szCs w:val="24"/>
        </w:rPr>
        <w:t xml:space="preserve">Based on the review, our study </w:t>
      </w:r>
      <w:r w:rsidR="00B47D97" w:rsidRPr="00F3795D">
        <w:rPr>
          <w:rFonts w:ascii="Times New Roman" w:hAnsi="Times New Roman" w:cs="Times New Roman"/>
          <w:color w:val="000000" w:themeColor="text1"/>
          <w:sz w:val="24"/>
          <w:szCs w:val="24"/>
        </w:rPr>
        <w:t>concludes</w:t>
      </w:r>
      <w:r w:rsidR="00E62EF2" w:rsidRPr="00F3795D">
        <w:rPr>
          <w:rFonts w:ascii="Times New Roman" w:hAnsi="Times New Roman" w:cs="Times New Roman"/>
          <w:color w:val="000000" w:themeColor="text1"/>
          <w:sz w:val="24"/>
          <w:szCs w:val="24"/>
        </w:rPr>
        <w:t xml:space="preserve"> that </w:t>
      </w:r>
      <w:r w:rsidR="00B47D97" w:rsidRPr="00F3795D">
        <w:rPr>
          <w:rFonts w:ascii="Times New Roman" w:hAnsi="Times New Roman" w:cs="Times New Roman"/>
          <w:color w:val="000000" w:themeColor="text1"/>
          <w:sz w:val="24"/>
          <w:szCs w:val="24"/>
        </w:rPr>
        <w:t xml:space="preserve">severe health complications could be observed if </w:t>
      </w:r>
      <w:r w:rsidR="0017399E" w:rsidRPr="00F3795D">
        <w:rPr>
          <w:rFonts w:ascii="Times New Roman" w:hAnsi="Times New Roman" w:cs="Times New Roman"/>
          <w:color w:val="000000" w:themeColor="text1"/>
          <w:sz w:val="24"/>
          <w:szCs w:val="24"/>
        </w:rPr>
        <w:t>M</w:t>
      </w:r>
      <w:r w:rsidR="00B47D97" w:rsidRPr="00F3795D">
        <w:rPr>
          <w:rFonts w:ascii="Times New Roman" w:hAnsi="Times New Roman" w:cs="Times New Roman"/>
          <w:color w:val="000000" w:themeColor="text1"/>
          <w:sz w:val="24"/>
          <w:szCs w:val="24"/>
        </w:rPr>
        <w:t xml:space="preserve">alaria is not eradicated </w:t>
      </w:r>
      <w:r w:rsidR="00E62EF2" w:rsidRPr="00F3795D">
        <w:rPr>
          <w:rFonts w:ascii="Times New Roman" w:hAnsi="Times New Roman" w:cs="Times New Roman"/>
          <w:color w:val="000000" w:themeColor="text1"/>
          <w:sz w:val="24"/>
          <w:szCs w:val="24"/>
        </w:rPr>
        <w:t xml:space="preserve">in </w:t>
      </w:r>
      <w:r w:rsidR="00B47D97" w:rsidRPr="00F3795D">
        <w:rPr>
          <w:rFonts w:ascii="Times New Roman" w:hAnsi="Times New Roman" w:cs="Times New Roman"/>
          <w:color w:val="000000" w:themeColor="text1"/>
          <w:sz w:val="24"/>
          <w:szCs w:val="24"/>
        </w:rPr>
        <w:t xml:space="preserve">the </w:t>
      </w:r>
      <w:r w:rsidR="00E62EF2" w:rsidRPr="00F3795D">
        <w:rPr>
          <w:rFonts w:ascii="Times New Roman" w:hAnsi="Times New Roman" w:cs="Times New Roman"/>
          <w:color w:val="000000" w:themeColor="text1"/>
          <w:sz w:val="24"/>
          <w:szCs w:val="24"/>
        </w:rPr>
        <w:t xml:space="preserve">coming days. </w:t>
      </w:r>
      <w:r w:rsidR="004E591A" w:rsidRPr="00F3795D">
        <w:rPr>
          <w:rFonts w:ascii="Times New Roman" w:hAnsi="Times New Roman" w:cs="Times New Roman"/>
          <w:color w:val="000000" w:themeColor="text1"/>
          <w:sz w:val="24"/>
          <w:szCs w:val="24"/>
          <w:shd w:val="clear" w:color="auto" w:fill="FFFFFF"/>
        </w:rPr>
        <w:t xml:space="preserve">To achieve malaria eradication, </w:t>
      </w:r>
      <w:r w:rsidR="00C263F4" w:rsidRPr="00F3795D">
        <w:rPr>
          <w:rFonts w:ascii="Times New Roman" w:hAnsi="Times New Roman" w:cs="Times New Roman"/>
          <w:color w:val="000000" w:themeColor="text1"/>
          <w:sz w:val="24"/>
          <w:szCs w:val="24"/>
          <w:shd w:val="clear" w:color="auto" w:fill="FFFFFF"/>
        </w:rPr>
        <w:t>several strategies</w:t>
      </w:r>
      <w:r w:rsidR="004E591A" w:rsidRPr="00F3795D">
        <w:rPr>
          <w:rFonts w:ascii="Times New Roman" w:hAnsi="Times New Roman" w:cs="Times New Roman"/>
          <w:color w:val="000000" w:themeColor="text1"/>
          <w:sz w:val="24"/>
          <w:szCs w:val="24"/>
          <w:shd w:val="clear" w:color="auto" w:fill="FFFFFF"/>
        </w:rPr>
        <w:t xml:space="preserve"> need to be implemented. The first step is to strengthen health systems in endemic countries to ensure that malaria cases are accurately diagnosed and treated quickly. This requires training health workers and improving laboratory facilities to </w:t>
      </w:r>
      <w:r w:rsidR="00C263F4" w:rsidRPr="00F3795D">
        <w:rPr>
          <w:rFonts w:ascii="Times New Roman" w:hAnsi="Times New Roman" w:cs="Times New Roman"/>
          <w:color w:val="000000" w:themeColor="text1"/>
          <w:sz w:val="24"/>
          <w:szCs w:val="24"/>
          <w:shd w:val="clear" w:color="auto" w:fill="FFFFFF"/>
        </w:rPr>
        <w:t>diagnose malaria cases accurately</w:t>
      </w:r>
      <w:r w:rsidR="004E591A" w:rsidRPr="00F3795D">
        <w:rPr>
          <w:rFonts w:ascii="Times New Roman" w:hAnsi="Times New Roman" w:cs="Times New Roman"/>
          <w:color w:val="000000" w:themeColor="text1"/>
          <w:sz w:val="24"/>
          <w:szCs w:val="24"/>
          <w:shd w:val="clear" w:color="auto" w:fill="FFFFFF"/>
        </w:rPr>
        <w:t>.</w:t>
      </w:r>
      <w:r w:rsidR="00C263F4" w:rsidRPr="00F3795D">
        <w:rPr>
          <w:rFonts w:ascii="Times New Roman" w:hAnsi="Times New Roman" w:cs="Times New Roman"/>
          <w:color w:val="000000" w:themeColor="text1"/>
          <w:sz w:val="24"/>
          <w:szCs w:val="24"/>
        </w:rPr>
        <w:t xml:space="preserve"> </w:t>
      </w:r>
      <w:r w:rsidR="004E591A" w:rsidRPr="00F3795D">
        <w:rPr>
          <w:rFonts w:ascii="Times New Roman" w:hAnsi="Times New Roman" w:cs="Times New Roman"/>
          <w:color w:val="000000" w:themeColor="text1"/>
          <w:sz w:val="24"/>
          <w:szCs w:val="24"/>
          <w:shd w:val="clear" w:color="auto" w:fill="FFFFFF"/>
        </w:rPr>
        <w:t xml:space="preserve">Another strategy is to implement vector control measures such as </w:t>
      </w:r>
      <w:r w:rsidR="00C263F4" w:rsidRPr="00F3795D">
        <w:rPr>
          <w:rFonts w:ascii="Times New Roman" w:hAnsi="Times New Roman" w:cs="Times New Roman"/>
          <w:color w:val="000000" w:themeColor="text1"/>
          <w:sz w:val="24"/>
          <w:szCs w:val="24"/>
          <w:shd w:val="clear" w:color="auto" w:fill="FFFFFF"/>
        </w:rPr>
        <w:t>using</w:t>
      </w:r>
      <w:r w:rsidR="004E591A" w:rsidRPr="00F3795D">
        <w:rPr>
          <w:rFonts w:ascii="Times New Roman" w:hAnsi="Times New Roman" w:cs="Times New Roman"/>
          <w:color w:val="000000" w:themeColor="text1"/>
          <w:sz w:val="24"/>
          <w:szCs w:val="24"/>
          <w:shd w:val="clear" w:color="auto" w:fill="FFFFFF"/>
        </w:rPr>
        <w:t xml:space="preserve"> insecticide-treated bed nets and indoor residual spraying to reduce the number of Anopheles mosquitoes that transmit the Plasmodium parasite. These interventions </w:t>
      </w:r>
      <w:r w:rsidR="00C263F4" w:rsidRPr="00F3795D">
        <w:rPr>
          <w:rFonts w:ascii="Times New Roman" w:hAnsi="Times New Roman" w:cs="Times New Roman"/>
          <w:color w:val="000000" w:themeColor="text1"/>
          <w:sz w:val="24"/>
          <w:szCs w:val="24"/>
          <w:shd w:val="clear" w:color="auto" w:fill="FFFFFF"/>
        </w:rPr>
        <w:t>ar</w:t>
      </w:r>
      <w:r w:rsidR="004E591A" w:rsidRPr="00F3795D">
        <w:rPr>
          <w:rFonts w:ascii="Times New Roman" w:hAnsi="Times New Roman" w:cs="Times New Roman"/>
          <w:color w:val="000000" w:themeColor="text1"/>
          <w:sz w:val="24"/>
          <w:szCs w:val="24"/>
          <w:shd w:val="clear" w:color="auto" w:fill="FFFFFF"/>
        </w:rPr>
        <w:t>e effective in reducing malaria transmission in many settings.</w:t>
      </w:r>
      <w:r w:rsidR="00C263F4" w:rsidRPr="00F3795D">
        <w:rPr>
          <w:rFonts w:ascii="Times New Roman" w:hAnsi="Times New Roman" w:cs="Times New Roman"/>
          <w:color w:val="000000" w:themeColor="text1"/>
          <w:sz w:val="24"/>
          <w:szCs w:val="24"/>
        </w:rPr>
        <w:t xml:space="preserve"> </w:t>
      </w:r>
      <w:r w:rsidR="004E591A" w:rsidRPr="00F3795D">
        <w:rPr>
          <w:rFonts w:ascii="Times New Roman" w:hAnsi="Times New Roman" w:cs="Times New Roman"/>
          <w:color w:val="000000" w:themeColor="text1"/>
          <w:sz w:val="24"/>
          <w:szCs w:val="24"/>
          <w:shd w:val="clear" w:color="auto" w:fill="FFFFFF"/>
        </w:rPr>
        <w:t xml:space="preserve">In addition, there is a need for effective antimalarial drugs that can cure the disease and prevent its transmission. </w:t>
      </w:r>
      <w:r w:rsidR="00C263F4" w:rsidRPr="00F3795D">
        <w:rPr>
          <w:rFonts w:ascii="Times New Roman" w:hAnsi="Times New Roman" w:cs="Times New Roman"/>
          <w:color w:val="000000" w:themeColor="text1"/>
          <w:sz w:val="24"/>
          <w:szCs w:val="24"/>
          <w:shd w:val="clear" w:color="auto" w:fill="FFFFFF"/>
        </w:rPr>
        <w:t>Developing</w:t>
      </w:r>
      <w:r w:rsidR="004E591A" w:rsidRPr="00F3795D">
        <w:rPr>
          <w:rFonts w:ascii="Times New Roman" w:hAnsi="Times New Roman" w:cs="Times New Roman"/>
          <w:color w:val="000000" w:themeColor="text1"/>
          <w:sz w:val="24"/>
          <w:szCs w:val="24"/>
          <w:shd w:val="clear" w:color="auto" w:fill="FFFFFF"/>
        </w:rPr>
        <w:t xml:space="preserve"> </w:t>
      </w:r>
      <w:r w:rsidR="00C263F4" w:rsidRPr="00F3795D">
        <w:rPr>
          <w:rFonts w:ascii="Times New Roman" w:hAnsi="Times New Roman" w:cs="Times New Roman"/>
          <w:color w:val="000000" w:themeColor="text1"/>
          <w:sz w:val="24"/>
          <w:szCs w:val="24"/>
          <w:shd w:val="clear" w:color="auto" w:fill="FFFFFF"/>
        </w:rPr>
        <w:t>new antimalarial medicine</w:t>
      </w:r>
      <w:r w:rsidR="004E591A" w:rsidRPr="00F3795D">
        <w:rPr>
          <w:rFonts w:ascii="Times New Roman" w:hAnsi="Times New Roman" w:cs="Times New Roman"/>
          <w:color w:val="000000" w:themeColor="text1"/>
          <w:sz w:val="24"/>
          <w:szCs w:val="24"/>
          <w:shd w:val="clear" w:color="auto" w:fill="FFFFFF"/>
        </w:rPr>
        <w:t>s and vaccines is crucial for the success of malaria eradication efforts.</w:t>
      </w:r>
      <w:r w:rsidR="00C263F4" w:rsidRPr="00F3795D">
        <w:rPr>
          <w:rFonts w:ascii="Times New Roman" w:hAnsi="Times New Roman" w:cs="Times New Roman"/>
          <w:color w:val="000000" w:themeColor="text1"/>
          <w:sz w:val="24"/>
          <w:szCs w:val="24"/>
        </w:rPr>
        <w:t xml:space="preserve"> </w:t>
      </w:r>
      <w:r w:rsidR="004E591A" w:rsidRPr="00F3795D">
        <w:rPr>
          <w:rFonts w:ascii="Times New Roman" w:hAnsi="Times New Roman" w:cs="Times New Roman"/>
          <w:color w:val="000000" w:themeColor="text1"/>
          <w:sz w:val="24"/>
          <w:szCs w:val="24"/>
          <w:shd w:val="clear" w:color="auto" w:fill="FFFFFF"/>
        </w:rPr>
        <w:t>Finally, community engagement and participation are essential for the success of malaria eradication efforts. This involves educating communities about malaria prevention and control measures and involving them in the planning and implement</w:t>
      </w:r>
      <w:r w:rsidR="000E1DFC">
        <w:rPr>
          <w:rFonts w:ascii="Times New Roman" w:hAnsi="Times New Roman" w:cs="Times New Roman"/>
          <w:color w:val="000000" w:themeColor="text1"/>
          <w:sz w:val="24"/>
          <w:szCs w:val="24"/>
          <w:shd w:val="clear" w:color="auto" w:fill="FFFFFF"/>
        </w:rPr>
        <w:t>ation</w:t>
      </w:r>
      <w:r w:rsidR="00D64768">
        <w:rPr>
          <w:rFonts w:ascii="Times New Roman" w:hAnsi="Times New Roman" w:cs="Times New Roman"/>
          <w:color w:val="000000" w:themeColor="text1"/>
          <w:sz w:val="24"/>
          <w:szCs w:val="24"/>
          <w:shd w:val="clear" w:color="auto" w:fill="FFFFFF"/>
        </w:rPr>
        <w:t xml:space="preserve"> </w:t>
      </w:r>
      <w:r w:rsidR="000E1DFC">
        <w:rPr>
          <w:rFonts w:ascii="Times New Roman" w:hAnsi="Times New Roman" w:cs="Times New Roman"/>
          <w:color w:val="000000" w:themeColor="text1"/>
          <w:sz w:val="24"/>
          <w:szCs w:val="24"/>
          <w:shd w:val="clear" w:color="auto" w:fill="FFFFFF"/>
        </w:rPr>
        <w:t xml:space="preserve">of </w:t>
      </w:r>
      <w:r w:rsidR="004E591A" w:rsidRPr="00F3795D">
        <w:rPr>
          <w:rFonts w:ascii="Times New Roman" w:hAnsi="Times New Roman" w:cs="Times New Roman"/>
          <w:color w:val="000000" w:themeColor="text1"/>
          <w:sz w:val="24"/>
          <w:szCs w:val="24"/>
          <w:shd w:val="clear" w:color="auto" w:fill="FFFFFF"/>
        </w:rPr>
        <w:t>malaria control activities</w:t>
      </w:r>
      <w:r w:rsidR="00884BE7" w:rsidRPr="00F3795D">
        <w:rPr>
          <w:rFonts w:ascii="Times New Roman" w:hAnsi="Times New Roman" w:cs="Times New Roman"/>
          <w:color w:val="000000" w:themeColor="text1"/>
          <w:sz w:val="24"/>
          <w:szCs w:val="24"/>
          <w:shd w:val="clear" w:color="auto" w:fill="FFFFFF"/>
        </w:rPr>
        <w:t xml:space="preserve">. </w:t>
      </w:r>
      <w:r w:rsidR="00F2267A" w:rsidRPr="00F3795D">
        <w:rPr>
          <w:rFonts w:ascii="Times New Roman" w:hAnsi="Times New Roman" w:cs="Times New Roman"/>
          <w:color w:val="000000" w:themeColor="text1"/>
          <w:sz w:val="24"/>
          <w:szCs w:val="24"/>
          <w:shd w:val="clear" w:color="auto" w:fill="FFFFFF"/>
        </w:rPr>
        <w:t>M</w:t>
      </w:r>
      <w:r w:rsidR="00884BE7" w:rsidRPr="00F3795D">
        <w:rPr>
          <w:rFonts w:ascii="Times New Roman" w:hAnsi="Times New Roman" w:cs="Times New Roman"/>
          <w:color w:val="000000" w:themeColor="text1"/>
          <w:sz w:val="24"/>
          <w:szCs w:val="24"/>
          <w:shd w:val="clear" w:color="auto" w:fill="FFFFFF"/>
        </w:rPr>
        <w:t xml:space="preserve">alaria remains a significant global health challenge, affecting millions </w:t>
      </w:r>
      <w:r w:rsidR="00F2267A" w:rsidRPr="00F3795D">
        <w:rPr>
          <w:rFonts w:ascii="Times New Roman" w:hAnsi="Times New Roman" w:cs="Times New Roman"/>
          <w:color w:val="000000" w:themeColor="text1"/>
          <w:sz w:val="24"/>
          <w:szCs w:val="24"/>
          <w:shd w:val="clear" w:color="auto" w:fill="FFFFFF"/>
        </w:rPr>
        <w:t>yearly</w:t>
      </w:r>
      <w:r w:rsidR="00884BE7" w:rsidRPr="00F3795D">
        <w:rPr>
          <w:rFonts w:ascii="Times New Roman" w:hAnsi="Times New Roman" w:cs="Times New Roman"/>
          <w:color w:val="000000" w:themeColor="text1"/>
          <w:sz w:val="24"/>
          <w:szCs w:val="24"/>
          <w:shd w:val="clear" w:color="auto" w:fill="FFFFFF"/>
        </w:rPr>
        <w:t xml:space="preserve">, particularly in sub-Saharan Africa. While efforts to combat the disease have </w:t>
      </w:r>
      <w:r w:rsidR="00276FDE" w:rsidRPr="00F3795D">
        <w:rPr>
          <w:rFonts w:ascii="Times New Roman" w:hAnsi="Times New Roman" w:cs="Times New Roman"/>
          <w:color w:val="000000" w:themeColor="text1"/>
          <w:sz w:val="24"/>
          <w:szCs w:val="24"/>
          <w:shd w:val="clear" w:color="auto" w:fill="FFFFFF"/>
        </w:rPr>
        <w:t>progressed</w:t>
      </w:r>
      <w:r w:rsidR="00884BE7" w:rsidRPr="00F3795D">
        <w:rPr>
          <w:rFonts w:ascii="Times New Roman" w:hAnsi="Times New Roman" w:cs="Times New Roman"/>
          <w:color w:val="000000" w:themeColor="text1"/>
          <w:sz w:val="24"/>
          <w:szCs w:val="24"/>
          <w:shd w:val="clear" w:color="auto" w:fill="FFFFFF"/>
        </w:rPr>
        <w:t xml:space="preserve"> in recent years, </w:t>
      </w:r>
      <w:r w:rsidR="00F2267A" w:rsidRPr="00F3795D">
        <w:rPr>
          <w:rFonts w:ascii="Times New Roman" w:hAnsi="Times New Roman" w:cs="Times New Roman"/>
          <w:color w:val="000000" w:themeColor="text1"/>
          <w:sz w:val="24"/>
          <w:szCs w:val="24"/>
          <w:shd w:val="clear" w:color="auto" w:fill="FFFFFF"/>
        </w:rPr>
        <w:t>much work remains</w:t>
      </w:r>
      <w:r w:rsidR="00884BE7" w:rsidRPr="00F3795D">
        <w:rPr>
          <w:rFonts w:ascii="Times New Roman" w:hAnsi="Times New Roman" w:cs="Times New Roman"/>
          <w:color w:val="000000" w:themeColor="text1"/>
          <w:sz w:val="24"/>
          <w:szCs w:val="24"/>
          <w:shd w:val="clear" w:color="auto" w:fill="FFFFFF"/>
        </w:rPr>
        <w:t xml:space="preserve"> to be done to prevent and treat </w:t>
      </w:r>
      <w:r w:rsidR="0017399E" w:rsidRPr="00F3795D">
        <w:rPr>
          <w:rFonts w:ascii="Times New Roman" w:hAnsi="Times New Roman" w:cs="Times New Roman"/>
          <w:color w:val="000000" w:themeColor="text1"/>
          <w:sz w:val="24"/>
          <w:szCs w:val="24"/>
          <w:shd w:val="clear" w:color="auto" w:fill="FFFFFF"/>
        </w:rPr>
        <w:t>M</w:t>
      </w:r>
      <w:r w:rsidR="00884BE7" w:rsidRPr="00F3795D">
        <w:rPr>
          <w:rFonts w:ascii="Times New Roman" w:hAnsi="Times New Roman" w:cs="Times New Roman"/>
          <w:color w:val="000000" w:themeColor="text1"/>
          <w:sz w:val="24"/>
          <w:szCs w:val="24"/>
          <w:shd w:val="clear" w:color="auto" w:fill="FFFFFF"/>
        </w:rPr>
        <w:t xml:space="preserve">alaria effectively. </w:t>
      </w:r>
      <w:r w:rsidR="00F2267A" w:rsidRPr="00F3795D">
        <w:rPr>
          <w:rFonts w:ascii="Times New Roman" w:hAnsi="Times New Roman" w:cs="Times New Roman"/>
          <w:color w:val="000000" w:themeColor="text1"/>
          <w:sz w:val="24"/>
          <w:szCs w:val="24"/>
          <w:shd w:val="clear" w:color="auto" w:fill="FFFFFF"/>
        </w:rPr>
        <w:t>Developing</w:t>
      </w:r>
      <w:r w:rsidR="00884BE7" w:rsidRPr="00F3795D">
        <w:rPr>
          <w:rFonts w:ascii="Times New Roman" w:hAnsi="Times New Roman" w:cs="Times New Roman"/>
          <w:color w:val="000000" w:themeColor="text1"/>
          <w:sz w:val="24"/>
          <w:szCs w:val="24"/>
          <w:shd w:val="clear" w:color="auto" w:fill="FFFFFF"/>
        </w:rPr>
        <w:t xml:space="preserve"> new and improved prevention and treatment strategies, combined with efforts to improve access to resources and education, is essential for reducing the burden of </w:t>
      </w:r>
      <w:r w:rsidR="0017399E" w:rsidRPr="00F3795D">
        <w:rPr>
          <w:rFonts w:ascii="Times New Roman" w:hAnsi="Times New Roman" w:cs="Times New Roman"/>
          <w:color w:val="000000" w:themeColor="text1"/>
          <w:sz w:val="24"/>
          <w:szCs w:val="24"/>
          <w:shd w:val="clear" w:color="auto" w:fill="FFFFFF"/>
        </w:rPr>
        <w:t>M</w:t>
      </w:r>
      <w:r w:rsidR="00884BE7" w:rsidRPr="00F3795D">
        <w:rPr>
          <w:rFonts w:ascii="Times New Roman" w:hAnsi="Times New Roman" w:cs="Times New Roman"/>
          <w:color w:val="000000" w:themeColor="text1"/>
          <w:sz w:val="24"/>
          <w:szCs w:val="24"/>
          <w:shd w:val="clear" w:color="auto" w:fill="FFFFFF"/>
        </w:rPr>
        <w:t xml:space="preserve">alaria and improving public health worldwide. </w:t>
      </w:r>
      <w:r w:rsidR="00F2267A" w:rsidRPr="00F3795D">
        <w:rPr>
          <w:rFonts w:ascii="Times New Roman" w:hAnsi="Times New Roman" w:cs="Times New Roman"/>
          <w:color w:val="000000" w:themeColor="text1"/>
          <w:sz w:val="24"/>
          <w:szCs w:val="24"/>
          <w:shd w:val="clear" w:color="auto" w:fill="FFFFFF"/>
        </w:rPr>
        <w:t xml:space="preserve">Governments, </w:t>
      </w:r>
      <w:r w:rsidR="00CE4DFF">
        <w:rPr>
          <w:rFonts w:ascii="Times New Roman" w:hAnsi="Times New Roman" w:cs="Times New Roman"/>
          <w:color w:val="000000" w:themeColor="text1"/>
          <w:sz w:val="24"/>
          <w:szCs w:val="24"/>
          <w:shd w:val="clear" w:color="auto" w:fill="FFFFFF"/>
        </w:rPr>
        <w:t>organisations</w:t>
      </w:r>
      <w:r w:rsidR="00F2267A" w:rsidRPr="00F3795D">
        <w:rPr>
          <w:rFonts w:ascii="Times New Roman" w:hAnsi="Times New Roman" w:cs="Times New Roman"/>
          <w:color w:val="000000" w:themeColor="text1"/>
          <w:sz w:val="24"/>
          <w:szCs w:val="24"/>
          <w:shd w:val="clear" w:color="auto" w:fill="FFFFFF"/>
        </w:rPr>
        <w:t>, and individuals must</w:t>
      </w:r>
      <w:r w:rsidR="00884BE7" w:rsidRPr="00F3795D">
        <w:rPr>
          <w:rFonts w:ascii="Times New Roman" w:hAnsi="Times New Roman" w:cs="Times New Roman"/>
          <w:color w:val="000000" w:themeColor="text1"/>
          <w:sz w:val="24"/>
          <w:szCs w:val="24"/>
          <w:shd w:val="clear" w:color="auto" w:fill="FFFFFF"/>
        </w:rPr>
        <w:t xml:space="preserve"> continue to work together and invest in malaria control and elimination efforts to ensure a healthier, more prosperous future for all. </w:t>
      </w:r>
    </w:p>
    <w:p w14:paraId="237FFE5A" w14:textId="77777777" w:rsidR="0007074F" w:rsidRDefault="0007074F" w:rsidP="00372EFD">
      <w:pPr>
        <w:spacing w:after="0" w:line="276" w:lineRule="auto"/>
        <w:jc w:val="both"/>
        <w:rPr>
          <w:rFonts w:ascii="Times New Roman" w:hAnsi="Times New Roman" w:cs="Times New Roman"/>
          <w:color w:val="000000" w:themeColor="text1"/>
          <w:sz w:val="24"/>
          <w:szCs w:val="24"/>
        </w:rPr>
      </w:pPr>
    </w:p>
    <w:p w14:paraId="643CEAB0" w14:textId="21E9DAEA" w:rsidR="009B2472" w:rsidRPr="00F3795D" w:rsidRDefault="004F4898" w:rsidP="00372EFD">
      <w:pPr>
        <w:spacing w:after="0" w:line="276" w:lineRule="auto"/>
        <w:jc w:val="both"/>
        <w:rPr>
          <w:rFonts w:ascii="Times New Roman" w:hAnsi="Times New Roman" w:cs="Times New Roman"/>
          <w:color w:val="000000" w:themeColor="text1"/>
          <w:sz w:val="24"/>
          <w:szCs w:val="24"/>
        </w:rPr>
      </w:pPr>
      <w:r w:rsidRPr="00F3795D">
        <w:rPr>
          <w:rFonts w:ascii="Times New Roman" w:hAnsi="Times New Roman" w:cs="Times New Roman"/>
          <w:color w:val="000000" w:themeColor="text1"/>
          <w:sz w:val="24"/>
          <w:szCs w:val="24"/>
        </w:rPr>
        <w:t xml:space="preserve">References </w:t>
      </w:r>
    </w:p>
    <w:p w14:paraId="55C4D822" w14:textId="30C4A13C" w:rsidR="004677AE" w:rsidRPr="004677AE" w:rsidRDefault="009B2472"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F3795D">
        <w:rPr>
          <w:rFonts w:ascii="Times New Roman" w:hAnsi="Times New Roman" w:cs="Times New Roman"/>
          <w:color w:val="000000" w:themeColor="text1"/>
          <w:sz w:val="24"/>
          <w:szCs w:val="24"/>
        </w:rPr>
        <w:fldChar w:fldCharType="begin" w:fldLock="1"/>
      </w:r>
      <w:r w:rsidRPr="00F3795D">
        <w:rPr>
          <w:rFonts w:ascii="Times New Roman" w:hAnsi="Times New Roman" w:cs="Times New Roman"/>
          <w:color w:val="000000" w:themeColor="text1"/>
          <w:sz w:val="24"/>
          <w:szCs w:val="24"/>
        </w:rPr>
        <w:instrText xml:space="preserve">ADDIN Mendeley Bibliography CSL_BIBLIOGRAPHY </w:instrText>
      </w:r>
      <w:r w:rsidRPr="00F3795D">
        <w:rPr>
          <w:rFonts w:ascii="Times New Roman" w:hAnsi="Times New Roman" w:cs="Times New Roman"/>
          <w:color w:val="000000" w:themeColor="text1"/>
          <w:sz w:val="24"/>
          <w:szCs w:val="24"/>
        </w:rPr>
        <w:fldChar w:fldCharType="separate"/>
      </w:r>
      <w:r w:rsidR="004677AE" w:rsidRPr="004677AE">
        <w:rPr>
          <w:rFonts w:ascii="Times New Roman" w:hAnsi="Times New Roman" w:cs="Times New Roman"/>
          <w:noProof/>
          <w:sz w:val="24"/>
          <w:szCs w:val="24"/>
        </w:rPr>
        <w:t>An, J., Minie, M., Sasaki, T., Woodward, J.J., Elkon, K.B., 2017. Antimalarial Drugs as Immune Modulators: New Mechanisms for Old Drugs. Annu. Rev. Med. 68, 317–330. https://doi.org/10.1146/annurev-med-043015-123453</w:t>
      </w:r>
    </w:p>
    <w:p w14:paraId="7BA46205" w14:textId="77777777"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677AE">
        <w:rPr>
          <w:rFonts w:ascii="Times New Roman" w:hAnsi="Times New Roman" w:cs="Times New Roman"/>
          <w:noProof/>
          <w:sz w:val="24"/>
          <w:szCs w:val="24"/>
        </w:rPr>
        <w:t>Belete, T.M., 2020. Recent progress in the development of new antimalarial drugs with novel targets. Drug Des. Devel. Ther. 14, 3875–3889. https://doi.org/10.2147/DDDT.S265602</w:t>
      </w:r>
    </w:p>
    <w:p w14:paraId="6C515991" w14:textId="03AE140B"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677AE">
        <w:rPr>
          <w:rFonts w:ascii="Times New Roman" w:hAnsi="Times New Roman" w:cs="Times New Roman"/>
          <w:noProof/>
          <w:sz w:val="24"/>
          <w:szCs w:val="24"/>
        </w:rPr>
        <w:t xml:space="preserve">Birbeck, G.L., Herman, S.T., Capparelli, E. V., Dzinjalamala, F.K., Abdel Baki, S.G., Mallewa, M., Toto, N.M., Postels, D.G., Gardiner, J.C., Taylor, T.E., Seydel, K.B., 2019. A clinical trial of enteral Levetiracetam for acute seizures in pediatric cerebral </w:t>
      </w:r>
      <w:r w:rsidR="00644F7D">
        <w:rPr>
          <w:rFonts w:ascii="Times New Roman" w:hAnsi="Times New Roman" w:cs="Times New Roman"/>
          <w:noProof/>
          <w:sz w:val="24"/>
          <w:szCs w:val="24"/>
        </w:rPr>
        <w:t>M</w:t>
      </w:r>
      <w:r w:rsidRPr="004677AE">
        <w:rPr>
          <w:rFonts w:ascii="Times New Roman" w:hAnsi="Times New Roman" w:cs="Times New Roman"/>
          <w:noProof/>
          <w:sz w:val="24"/>
          <w:szCs w:val="24"/>
        </w:rPr>
        <w:t>alaria. BMC Pediatr. 19, 1–12. https://doi.org/10.1186/s12887-019-1766-2</w:t>
      </w:r>
    </w:p>
    <w:p w14:paraId="07E60458" w14:textId="77777777"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677AE">
        <w:rPr>
          <w:rFonts w:ascii="Times New Roman" w:hAnsi="Times New Roman" w:cs="Times New Roman"/>
          <w:noProof/>
          <w:sz w:val="24"/>
          <w:szCs w:val="24"/>
        </w:rPr>
        <w:t>Bucher, H.C., Guyatt, G.H., Griffith, L.E., Walter, S.D., 1997. The results of direct and indirect treatment comparisons in meta-analysis of randomized controlled trials. J. Clin. Epidemiol. 50, 683–691. https://doi.org/10.1016/S0895-4356(97)00049-8</w:t>
      </w:r>
    </w:p>
    <w:p w14:paraId="1E415067" w14:textId="77777777"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677AE">
        <w:rPr>
          <w:rFonts w:ascii="Times New Roman" w:hAnsi="Times New Roman" w:cs="Times New Roman"/>
          <w:noProof/>
          <w:sz w:val="24"/>
          <w:szCs w:val="24"/>
        </w:rPr>
        <w:t>Current World Literature, 2003. . Curr. Opin. Infect. Dis. 16.</w:t>
      </w:r>
    </w:p>
    <w:p w14:paraId="4AB64E3E" w14:textId="77777777"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677AE">
        <w:rPr>
          <w:rFonts w:ascii="Times New Roman" w:hAnsi="Times New Roman" w:cs="Times New Roman"/>
          <w:noProof/>
          <w:sz w:val="24"/>
          <w:szCs w:val="24"/>
        </w:rPr>
        <w:t>Duffey, M., Blasco, B., Burrows, J.N., Wells, T.N.C., Fidock, D.A., Leroy, D., 2021. Assessing risks of Plasmodium falciparum resistance to select next-generation antimalarials. Trends Parasitol. 37, 709–721. https://doi.org/10.1016/j.pt.2021.04.006</w:t>
      </w:r>
    </w:p>
    <w:p w14:paraId="4EE47DA9" w14:textId="77777777"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677AE">
        <w:rPr>
          <w:rFonts w:ascii="Times New Roman" w:hAnsi="Times New Roman" w:cs="Times New Roman"/>
          <w:noProof/>
          <w:sz w:val="24"/>
          <w:szCs w:val="24"/>
        </w:rPr>
        <w:t>Ecker, A., Lehane, A.M., Clain, J., Fidock, D.A., 2012. PfCRT and its role in antimalarial drug resistance. Trends Parasitol. 28, 504–514. https://doi.org/10.1016/j.pt.2012.08.002</w:t>
      </w:r>
    </w:p>
    <w:p w14:paraId="2EB58DC5" w14:textId="77777777"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677AE">
        <w:rPr>
          <w:rFonts w:ascii="Times New Roman" w:hAnsi="Times New Roman" w:cs="Times New Roman"/>
          <w:noProof/>
          <w:sz w:val="24"/>
          <w:szCs w:val="24"/>
        </w:rPr>
        <w:t>Edwards, H.M., Sriwichai, P., Kirabittir, K., Prachumsri, J., Chavez, I.F., Hii, J., 2019. Transmission risk beyond the village : entomological and human factors contributing to residual malaria transmission in an area approaching malaria elimination on the Thailand – Myanmar border. Malar. J. 1–20. https://doi.org/10.1186/s12936-019-2852-5</w:t>
      </w:r>
    </w:p>
    <w:p w14:paraId="060C7C16" w14:textId="77777777"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677AE">
        <w:rPr>
          <w:rFonts w:ascii="Times New Roman" w:hAnsi="Times New Roman" w:cs="Times New Roman"/>
          <w:noProof/>
          <w:sz w:val="24"/>
          <w:szCs w:val="24"/>
        </w:rPr>
        <w:t>Fahad, F.I., Barua, N., Shafiqul Islam, M., Al Jawad Sayem, S., Barua, K., Uddin, M.J., Nazim Uddin Chy, M., Adnan, M., Islam, M.N., Sayeed, M.A., Emran, T. Bin, Simal-Gandara, J., Pagano, E., Capasso, R., 2021. Investigation of the pharmacological properties of lepidagathis hyalina nees through experimental approaches. Life 11, 1–16. https://doi.org/10.3390/life11030180</w:t>
      </w:r>
    </w:p>
    <w:p w14:paraId="28011057" w14:textId="77777777"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677AE">
        <w:rPr>
          <w:rFonts w:ascii="Times New Roman" w:hAnsi="Times New Roman" w:cs="Times New Roman"/>
          <w:noProof/>
          <w:sz w:val="24"/>
          <w:szCs w:val="24"/>
        </w:rPr>
        <w:t>Forte, B., Ottilie, S., Plater, A., Campo, B., Dechering, K.J., Gamo, F.J., Goldberg, D.E., Istvan, E.S., Lee, M., Lukens, A.K., Mcnamara, C.W., Niles, J.C., Okombo, J., Pasaje, C.F.A., Siegel, M.G., Wirth, D., Wyllie, S., Fidock, D.A., Baragan, B., Winzeler, E.A., Gilbert, I.H., 2021. Prioritization of Molecular Targets for Antimalarial Drug Discovery. https://doi.org/10.1021/acsinfecdis.1c00322</w:t>
      </w:r>
    </w:p>
    <w:p w14:paraId="4BDCA3DC" w14:textId="77777777"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677AE">
        <w:rPr>
          <w:rFonts w:ascii="Times New Roman" w:hAnsi="Times New Roman" w:cs="Times New Roman"/>
          <w:noProof/>
          <w:sz w:val="24"/>
          <w:szCs w:val="24"/>
        </w:rPr>
        <w:t>Hemming-Schroeder, E., Umukoro, E., Lo, E., Fung, B., Tomás-Domingo, P., Zhou, G., Zhong, D., Dixit, A., Atieli, H., Githeko, A., Vardo-Zalik, A., Yan, G., 2018. Impacts of antimalarial drugs on plasmodium falciparum drug resistance markers, Western Kenya, 2003-2015. Am. J. Trop. Med. Hyg. 98, 692–699. https://doi.org/10.4269/ajtmh.17-0763</w:t>
      </w:r>
    </w:p>
    <w:p w14:paraId="6A8708FC" w14:textId="77777777"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677AE">
        <w:rPr>
          <w:rFonts w:ascii="Times New Roman" w:hAnsi="Times New Roman" w:cs="Times New Roman"/>
          <w:noProof/>
          <w:sz w:val="24"/>
          <w:szCs w:val="24"/>
        </w:rPr>
        <w:t>Id, K.A.T., Id, D.A.P., Baird, J.K., Price, R.N., Zimmerman, A., Id, S.I.H., Gething, P.W., Battle, K.E., Id, E.H., 2019. Growing evidence of Plasmodium vivax across malaria-endemic Africa 1–16.</w:t>
      </w:r>
    </w:p>
    <w:p w14:paraId="5970921F" w14:textId="77777777"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677AE">
        <w:rPr>
          <w:rFonts w:ascii="Times New Roman" w:hAnsi="Times New Roman" w:cs="Times New Roman"/>
          <w:noProof/>
          <w:sz w:val="24"/>
          <w:szCs w:val="24"/>
        </w:rPr>
        <w:t>Imwong, M., Dhorda, M., Myo Tun, K., Thu, A.M., Phyo, A.P., Proux, S., Suwannasin, K., Kunasol, C., Srisutham, S., Duanguppama, J., Vongpromek, R., Promnarate, C., Saejeng, A., Khantikul, N., Sugaram, R., Thanapongpichat, S., Sawangjaroen, N., Sutawong, K., Han, K.T., Htut, Y., Linn, K., Win, A.A., Hlaing, T.M., van der Pluijm, R.W., Mayxay, M., Pongvongsa, T., Phommasone, K., Tripura, R., Peto, T.J., von Seidlein, L., Nguon, C., Lek, D., Chan, X.H.S., Rekol, H., Leang, R., Huch, C., Kwiatkowski, D.P., Miotto, O., Ashley, E.A., Kyaw, M.P., Pukrittayakamee, S., Day, N.P.J., Dondorp, A.M., Smithuis, F.M., Nosten, F.H., White, N.J., 2020. Molecular epidemiology of resistance to antimalarial drugs in the Greater Mekong subregion: an observational study. Lancet Infect. Dis. 20, 1470–1480. https://doi.org/10.1016/S1473-3099(20)30228-0</w:t>
      </w:r>
    </w:p>
    <w:p w14:paraId="4EA2A2A7" w14:textId="77777777"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677AE">
        <w:rPr>
          <w:rFonts w:ascii="Times New Roman" w:hAnsi="Times New Roman" w:cs="Times New Roman"/>
          <w:noProof/>
          <w:sz w:val="24"/>
          <w:szCs w:val="24"/>
        </w:rPr>
        <w:t>Jejaw Zeleke, A., Hailu, A., Bayih, A.G., Kefale, M., Amare, A.T., Tegegne, Y., Aemero, M., 2022. P lasmodium falciparum histidine-rich protein 2 and 3 genes deletion in global settings (2010–2021): a systematic review and meta-analysis. Malar. J. 21, 1–13. https://doi.org/10.1186/s12936-022-04051-7</w:t>
      </w:r>
    </w:p>
    <w:p w14:paraId="5046B004" w14:textId="77777777"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677AE">
        <w:rPr>
          <w:rFonts w:ascii="Times New Roman" w:hAnsi="Times New Roman" w:cs="Times New Roman"/>
          <w:noProof/>
          <w:sz w:val="24"/>
          <w:szCs w:val="24"/>
        </w:rPr>
        <w:t>Kapishnikov, S., Staalsø, T., Yang, Y., Lee, J., Pérez-Berná, A.J., Pereiro, E., Yang, Y., Werner, S., Guttmann, P., Leiserowitz, L., Als-Nielsen, J., 2019. Mode of action of quinoline antimalarial drugs in red blood cells infected by Plasmodium falciparum revealed in vivo. Proc. Natl. Acad. Sci. U. S. A. 116, 22946–22952. https://doi.org/10.1073/pnas.1910123116</w:t>
      </w:r>
    </w:p>
    <w:p w14:paraId="42DB7101" w14:textId="77777777"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677AE">
        <w:rPr>
          <w:rFonts w:ascii="Times New Roman" w:hAnsi="Times New Roman" w:cs="Times New Roman"/>
          <w:noProof/>
          <w:sz w:val="24"/>
          <w:szCs w:val="24"/>
        </w:rPr>
        <w:t>Katsoulis, O., Georgiadou, A., Cunnington, A.J., 2021. Immunopathology of Acute Kidney Injury in Severe Malaria. Front. Immunol. 12, 1–8. https://doi.org/10.3389/fimmu.2021.651739</w:t>
      </w:r>
    </w:p>
    <w:p w14:paraId="778B0E40" w14:textId="66E5A6A4"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677AE">
        <w:rPr>
          <w:rFonts w:ascii="Times New Roman" w:hAnsi="Times New Roman" w:cs="Times New Roman"/>
          <w:noProof/>
          <w:sz w:val="24"/>
          <w:szCs w:val="24"/>
        </w:rPr>
        <w:t xml:space="preserve">Khan, N., Awasthi, G., Das, A., 2023. How can the complex epidemiology of </w:t>
      </w:r>
      <w:r w:rsidR="00644F7D">
        <w:rPr>
          <w:rFonts w:ascii="Times New Roman" w:hAnsi="Times New Roman" w:cs="Times New Roman"/>
          <w:noProof/>
          <w:sz w:val="24"/>
          <w:szCs w:val="24"/>
        </w:rPr>
        <w:t>M</w:t>
      </w:r>
      <w:r w:rsidRPr="004677AE">
        <w:rPr>
          <w:rFonts w:ascii="Times New Roman" w:hAnsi="Times New Roman" w:cs="Times New Roman"/>
          <w:noProof/>
          <w:sz w:val="24"/>
          <w:szCs w:val="24"/>
        </w:rPr>
        <w:t>alaria in India impact its elimination? Trends Parasitol. 39, 432–444. https://doi.org/10.1016/j.pt.2023.03.006</w:t>
      </w:r>
    </w:p>
    <w:p w14:paraId="2CAE93C1" w14:textId="77777777"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677AE">
        <w:rPr>
          <w:rFonts w:ascii="Times New Roman" w:hAnsi="Times New Roman" w:cs="Times New Roman"/>
          <w:noProof/>
          <w:sz w:val="24"/>
          <w:szCs w:val="24"/>
        </w:rPr>
        <w:t>Kotepui, M., Kotepui, K.U., Milanez, G.D., Masangkay, F.R., 2020. Severity and mortality of severe plasmodium ovale infection: A systematic review and meta-analysis. PLoS One 15. https://doi.org/10.1371/journal.pone.0235014</w:t>
      </w:r>
    </w:p>
    <w:p w14:paraId="4067192C" w14:textId="77777777"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677AE">
        <w:rPr>
          <w:rFonts w:ascii="Times New Roman" w:hAnsi="Times New Roman" w:cs="Times New Roman"/>
          <w:noProof/>
          <w:sz w:val="24"/>
          <w:szCs w:val="24"/>
        </w:rPr>
        <w:t>Kumar, K.G.S., Narayanan, S., Udayabhaskaran, V., Thulaseedharan, N.K., 2018. Clinical and epidemiologic profile and predictors of outcome of poisonous snake bites – an analysis of 1,500 cases from a tertiary care center in Malabar, North Kerala, India. Int. J. Gen. Med. 11, 209–216. https://doi.org/10.2147/IJGM.S136153</w:t>
      </w:r>
    </w:p>
    <w:p w14:paraId="4E3D8074" w14:textId="77777777"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677AE">
        <w:rPr>
          <w:rFonts w:ascii="Times New Roman" w:hAnsi="Times New Roman" w:cs="Times New Roman"/>
          <w:noProof/>
          <w:sz w:val="24"/>
          <w:szCs w:val="24"/>
        </w:rPr>
        <w:t>Lago, K., Telu, K., Tribble, D., Ganesan, A., Kunz, A., Geist, C., Fraser, J., Mitra, I., Lalani, T., Yun, H.C., 2020. Doxycycline Malaria Prophylaxis Impact on Risk of Travelers’ Diarrhea among International Travelers. Am. J. Trop. Med. Hyg. 103, 1864–1870. https://doi.org/10.4269/ajtmh.20-0241</w:t>
      </w:r>
    </w:p>
    <w:p w14:paraId="2875C952" w14:textId="77777777"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677AE">
        <w:rPr>
          <w:rFonts w:ascii="Times New Roman" w:hAnsi="Times New Roman" w:cs="Times New Roman"/>
          <w:noProof/>
          <w:sz w:val="24"/>
          <w:szCs w:val="24"/>
        </w:rPr>
        <w:t>Li, J., Zhang, J., Li, Q., Hu, Y., Ruan, Y., Tao, Z., Xia, H., Qiao, J., Meng, L., Zeng, W., Li, C., He, X., Zhao, L., Siddiqui, F.A., Miao, J., Yang, Z., Fang, Q., Cui, L., 2020. Ex vivo susceptibilities of plasmodium vivax isolates from the China-Myanmar border to antimalarial drugs and association with polymorphisms in PVMDR1 and PVCRT-O genes. PLoS Negl. Trop. Dis. 14, 1–17. https://doi.org/10.1371/journal.pntd.0008255</w:t>
      </w:r>
    </w:p>
    <w:p w14:paraId="49B906D6" w14:textId="77777777"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677AE">
        <w:rPr>
          <w:rFonts w:ascii="Times New Roman" w:hAnsi="Times New Roman" w:cs="Times New Roman"/>
          <w:noProof/>
          <w:sz w:val="24"/>
          <w:szCs w:val="24"/>
        </w:rPr>
        <w:t>Llanos-Cuentas, A., Manrrique, P., Rosas-Aguirre, A., Herrera, S., Hsiang, M.S., 2022. Tafenoquine for the treatment of Plasmodium vivax malaria. Expert Opin. Pharmacother. 23, 759–768. https://doi.org/10.1080/14656566.2022.2058394</w:t>
      </w:r>
    </w:p>
    <w:p w14:paraId="5A48147C" w14:textId="77777777"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677AE">
        <w:rPr>
          <w:rFonts w:ascii="Times New Roman" w:hAnsi="Times New Roman" w:cs="Times New Roman"/>
          <w:noProof/>
          <w:sz w:val="24"/>
          <w:szCs w:val="24"/>
        </w:rPr>
        <w:t>Lo, E., Zhong, D., Raya, B., Pestana, K., Koepfli, C., Lee, M.C., Yewhalaw, D., Yan, G., 2019. Prevalence and distribution of G6PD deficiency: Implication for the use of primaquine in malaria treatment in Ethiopia. Malar. J. 18, 1–10. https://doi.org/10.1186/s12936-019-2981-x</w:t>
      </w:r>
    </w:p>
    <w:p w14:paraId="1A46C399" w14:textId="39EE196F"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677AE">
        <w:rPr>
          <w:rFonts w:ascii="Times New Roman" w:hAnsi="Times New Roman" w:cs="Times New Roman"/>
          <w:noProof/>
          <w:sz w:val="24"/>
          <w:szCs w:val="24"/>
        </w:rPr>
        <w:t xml:space="preserve">Marques-Da-silva, C., Peissig, K., Kurup, S.P., 2020. Pre-erythrocytic vaccines against </w:t>
      </w:r>
      <w:r w:rsidR="00644F7D">
        <w:rPr>
          <w:rFonts w:ascii="Times New Roman" w:hAnsi="Times New Roman" w:cs="Times New Roman"/>
          <w:noProof/>
          <w:sz w:val="24"/>
          <w:szCs w:val="24"/>
        </w:rPr>
        <w:t>M</w:t>
      </w:r>
      <w:r w:rsidRPr="004677AE">
        <w:rPr>
          <w:rFonts w:ascii="Times New Roman" w:hAnsi="Times New Roman" w:cs="Times New Roman"/>
          <w:noProof/>
          <w:sz w:val="24"/>
          <w:szCs w:val="24"/>
        </w:rPr>
        <w:t>alaria. Vaccines 8, 1–16. https://doi.org/10.3390/vaccines8030400</w:t>
      </w:r>
    </w:p>
    <w:p w14:paraId="27CA834C" w14:textId="77777777"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677AE">
        <w:rPr>
          <w:rFonts w:ascii="Times New Roman" w:hAnsi="Times New Roman" w:cs="Times New Roman"/>
          <w:noProof/>
          <w:sz w:val="24"/>
          <w:szCs w:val="24"/>
        </w:rPr>
        <w:t>Matowo, N.S., Tanner, M., Munhenga, G., Mapua, S.A., Finda, M., Utzinger, J., Ngowi, V., Okumu, F.O., 2020a. Patterns of pesticide usage in agriculture in rural Tanzania call for integrating agricultural and public health practices in managing insecticide-resistance in malaria vectors. Malar. J. 19, 1–16. https://doi.org/10.1186/s12936-020-03331-4</w:t>
      </w:r>
    </w:p>
    <w:p w14:paraId="1F1BD5B9" w14:textId="77777777"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677AE">
        <w:rPr>
          <w:rFonts w:ascii="Times New Roman" w:hAnsi="Times New Roman" w:cs="Times New Roman"/>
          <w:noProof/>
          <w:sz w:val="24"/>
          <w:szCs w:val="24"/>
        </w:rPr>
        <w:t>Matowo, N.S., Tanner, M., Munhenga, G., Mapua, S.A., Finda, M., Utzinger, J., Ngowi, V., Okumu, F.O., 2020b. Patterns of pesticide usage in agriculture in rural Tanzania call for integrating agricultural and public health practices in managing insecticide-resistance in malaria vectors. Malar. J. 19, 1–16. https://doi.org/10.1186/s12936-020-03331-4</w:t>
      </w:r>
    </w:p>
    <w:p w14:paraId="09E2EF41" w14:textId="77777777"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677AE">
        <w:rPr>
          <w:rFonts w:ascii="Times New Roman" w:hAnsi="Times New Roman" w:cs="Times New Roman"/>
          <w:noProof/>
          <w:sz w:val="24"/>
          <w:szCs w:val="24"/>
        </w:rPr>
        <w:t>Milugo, T.K., Tchouassi, D.P., Kavishe, R.A., Dinglasan, R.R., Torto, B., 2021. Naturally Occurring Compounds With Larvicidal Activity Against Malaria Mosquitoes. Front. Trop. Dis. 2, 1–10. https://doi.org/10.3389/fitd.2021.718804</w:t>
      </w:r>
    </w:p>
    <w:p w14:paraId="62014A4E" w14:textId="77777777"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677AE">
        <w:rPr>
          <w:rFonts w:ascii="Times New Roman" w:hAnsi="Times New Roman" w:cs="Times New Roman"/>
          <w:noProof/>
          <w:sz w:val="24"/>
          <w:szCs w:val="24"/>
        </w:rPr>
        <w:t>National Vector Born Control Programme, 2017. Malaria Situation. Dir. Gen. Heal. Serv. Minist. Heal. Fam. Welf. 4, 4.</w:t>
      </w:r>
    </w:p>
    <w:p w14:paraId="668C8D4B" w14:textId="77777777"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677AE">
        <w:rPr>
          <w:rFonts w:ascii="Times New Roman" w:hAnsi="Times New Roman" w:cs="Times New Roman"/>
          <w:noProof/>
          <w:sz w:val="24"/>
          <w:szCs w:val="24"/>
        </w:rPr>
        <w:t>Oladeji, O.S., Oluyori, A.P., Bankole, D.T., Afolabi, T.Y., 2020. Natural Products as Sources of Antimalarial Drugs : Ethnobotanical and Ethnopharmacological Studies 2020.</w:t>
      </w:r>
    </w:p>
    <w:p w14:paraId="391552DC" w14:textId="77777777"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677AE">
        <w:rPr>
          <w:rFonts w:ascii="Times New Roman" w:hAnsi="Times New Roman" w:cs="Times New Roman"/>
          <w:noProof/>
          <w:sz w:val="24"/>
          <w:szCs w:val="24"/>
        </w:rPr>
        <w:t>Plouffe, D.M., Wree, M., Du, A.Y., Meister, S., Li, F., Patra, K., Lubar, A., Okitsu, S.L., Flannery, E.L., Kato, N., Tanaseichuk, O., Comer, E., Zhou, B., Kuhen, K., Zhou, Y., Leroy, D., Schreiber, S.L., Scherer, C.A., Vinetz, J., Winzeler, E.A., 2016. High-Throughput Assay and Discovery of Small Molecules that Interrupt Malaria Transmission. Cell Host Microbe 19, 114–126. https://doi.org/10.1016/j.chom.2015.12.001</w:t>
      </w:r>
    </w:p>
    <w:p w14:paraId="021888E2" w14:textId="77777777"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677AE">
        <w:rPr>
          <w:rFonts w:ascii="Times New Roman" w:hAnsi="Times New Roman" w:cs="Times New Roman"/>
          <w:noProof/>
          <w:sz w:val="24"/>
          <w:szCs w:val="24"/>
        </w:rPr>
        <w:t>Possemiers, H., Vandermosten, L., Van Den Steen, P.E., 2021. Etiology of lactic acidosis in malaria. PLoS Pathog. 17, 1–17. https://doi.org/10.1371/journal.ppat.1009122</w:t>
      </w:r>
    </w:p>
    <w:p w14:paraId="0247FA1B" w14:textId="77777777"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677AE">
        <w:rPr>
          <w:rFonts w:ascii="Times New Roman" w:hAnsi="Times New Roman" w:cs="Times New Roman"/>
          <w:noProof/>
          <w:sz w:val="24"/>
          <w:szCs w:val="24"/>
        </w:rPr>
        <w:t>Poti, K.E., Sullivan, D.J., Dondorp, A.M., Woodrow, C.J., 2020. HRP2: Transforming Malaria Diagnosis, but with Caveats. Trends Parasitol. 36, 112–126. https://doi.org/10.1016/j.pt.2019.12.004</w:t>
      </w:r>
    </w:p>
    <w:p w14:paraId="1E529389" w14:textId="77777777"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677AE">
        <w:rPr>
          <w:rFonts w:ascii="Times New Roman" w:hAnsi="Times New Roman" w:cs="Times New Roman"/>
          <w:noProof/>
          <w:sz w:val="24"/>
          <w:szCs w:val="24"/>
        </w:rPr>
        <w:t>Rahi, M., Sharma, A., 2022. Malaria control initiatives that have the potential to be gamechangers in India’s quest for malaria elimination. Lancet Reg. Heal. - Southeast Asia 2, 100009. https://doi.org/10.1016/j.lansea.2022.04.005</w:t>
      </w:r>
    </w:p>
    <w:p w14:paraId="60F2C24F" w14:textId="77777777"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677AE">
        <w:rPr>
          <w:rFonts w:ascii="Times New Roman" w:hAnsi="Times New Roman" w:cs="Times New Roman"/>
          <w:noProof/>
          <w:sz w:val="24"/>
          <w:szCs w:val="24"/>
        </w:rPr>
        <w:t>Rahman, L., Ul, Z., 2019. Nano-biotechnology : a new approach to treat and prevent malaria 1401–1410.</w:t>
      </w:r>
    </w:p>
    <w:p w14:paraId="5C153733" w14:textId="77777777"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677AE">
        <w:rPr>
          <w:rFonts w:ascii="Times New Roman" w:hAnsi="Times New Roman" w:cs="Times New Roman"/>
          <w:noProof/>
          <w:sz w:val="24"/>
          <w:szCs w:val="24"/>
        </w:rPr>
        <w:t>Rocamora, F., Gupta, P., Istvan, E.S., Luth, M.R., Carpenter, E.F., Kümpornsin, K., Sasaki, E., Calla, J., Mittal, N., Carolino, K., Owen, E., Llinás, M., Ottilie, S., Goldberg, D.E., Lee, M.C.S., Winzeler, E.A., 2021. PfMFR3: A Multidrug-Resistant Modulator in Plasmodium falciparum. ACS Infect. Dis. 7, 811–825. https://doi.org/10.1021/acsinfecdis.0c00676</w:t>
      </w:r>
    </w:p>
    <w:p w14:paraId="34F38BF3" w14:textId="77777777"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677AE">
        <w:rPr>
          <w:rFonts w:ascii="Times New Roman" w:hAnsi="Times New Roman" w:cs="Times New Roman"/>
          <w:noProof/>
          <w:sz w:val="24"/>
          <w:szCs w:val="24"/>
        </w:rPr>
        <w:t>Saito, M., Mansoor, R., Kennon, K., Anvikar, A.R., Ashley, E.A., Chandramohan, D., Cohee, L.M., D’Alessandro, U., Genton, B., Gilder, M.E., Juma, E., Kalilani-Phiri, L., Kuepfer, I., Laufer, M.K., Lwin, K.M., Meshnick, S.R., Mosha, D., Mwapasa, V., Mwebaza, N., Nambozi, M., Ndiaye, J.L.A., Nosten, F., Nyunt, M., Ogutu, B., Parikh, S., Paw, M.K., Phyo, A.P., Pimanpanarak, M., Piola, P., Rijken, M.J., Sriprawat, K., Tagbor, H.K., Tarning, J., Tinto, H., Valéa, I., Valecha, N., White, N.J., Wiladphaingern, J., Stepniewska, K., McGready, R., Guérin, P.J., 2020. Efficacy and tolerability of artemisinin-based and quinine-based treatments for uncomplicated falciparum malaria in pregnancy: a systematic review and individual patient data meta-analysis. Lancet Infect. Dis. 20, 943–952. https://doi.org/10.1016/S1473-3099(20)30064-5</w:t>
      </w:r>
    </w:p>
    <w:p w14:paraId="7E4CBCBE" w14:textId="77777777"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677AE">
        <w:rPr>
          <w:rFonts w:ascii="Times New Roman" w:hAnsi="Times New Roman" w:cs="Times New Roman"/>
          <w:noProof/>
          <w:sz w:val="24"/>
          <w:szCs w:val="24"/>
        </w:rPr>
        <w:t>Santhoshkumar, T., Rahuman, A.A., Rajakumar, G., Marimuthu, S., Bagavan, A., Jayaseelan, C., Zahir, A.A., Elango, G., Kamaraj, C., 2011a. Synthesis of silver nanoparticles using Nelumbo nucifera leaf extract and its larvicidal activity against malaria and filariasis vectors. Parasitol. Res. 108, 693–702. https://doi.org/10.1007/s00436-010-2115-4</w:t>
      </w:r>
    </w:p>
    <w:p w14:paraId="60F1D290" w14:textId="77777777"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677AE">
        <w:rPr>
          <w:rFonts w:ascii="Times New Roman" w:hAnsi="Times New Roman" w:cs="Times New Roman"/>
          <w:noProof/>
          <w:sz w:val="24"/>
          <w:szCs w:val="24"/>
        </w:rPr>
        <w:t>Santhoshkumar, T., Rahuman, A.A., Rajakumar, G., Marimuthu, S., Bagavan, A., Jayaseelan, C., Zahir, A.A., Elango, G., Kamaraj, C., 2011b. Synthesis of silver nanoparticles using Nelumbo nucifera leaf extract and its larvicidal activity against malaria and filariasis vectors. Parasitol. Res. 108, 693–702. https://doi.org/10.1007/s00436-010-2115-4</w:t>
      </w:r>
    </w:p>
    <w:p w14:paraId="3827BCCC" w14:textId="77777777"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677AE">
        <w:rPr>
          <w:rFonts w:ascii="Times New Roman" w:hAnsi="Times New Roman" w:cs="Times New Roman"/>
          <w:noProof/>
          <w:sz w:val="24"/>
          <w:szCs w:val="24"/>
        </w:rPr>
        <w:t>Silva, A.T., Bento, C.M., Pena, A.C., Figueiredo, L.M., Prudêncio, C., Aguiar, L., Silva, T., Ferraz, R., Gomes, M.S., Teixeira, C., Gomes, P., 2020. Cinnamic acid conjugates in the rescuing and repurposing of classical antimalarial drugs. Molecules 25, 1–15. https://doi.org/10.3390/molecules25010066</w:t>
      </w:r>
    </w:p>
    <w:p w14:paraId="6782B9D2" w14:textId="2D372C36"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677AE">
        <w:rPr>
          <w:rFonts w:ascii="Times New Roman" w:hAnsi="Times New Roman" w:cs="Times New Roman"/>
          <w:noProof/>
          <w:sz w:val="24"/>
          <w:szCs w:val="24"/>
        </w:rPr>
        <w:t>Singh, K., Bharti, P.K., Devi, N.C., Ahmed, N., Sharma, A., 2022. Plasmodium malariae Detected by Microscopy in the International Bordering Area of Mizoram, a North</w:t>
      </w:r>
      <w:r w:rsidR="00F9662C">
        <w:rPr>
          <w:rFonts w:ascii="Times New Roman" w:hAnsi="Times New Roman" w:cs="Times New Roman"/>
          <w:noProof/>
          <w:sz w:val="24"/>
          <w:szCs w:val="24"/>
        </w:rPr>
        <w:t>-</w:t>
      </w:r>
      <w:r w:rsidRPr="004677AE">
        <w:rPr>
          <w:rFonts w:ascii="Times New Roman" w:hAnsi="Times New Roman" w:cs="Times New Roman"/>
          <w:noProof/>
          <w:sz w:val="24"/>
          <w:szCs w:val="24"/>
        </w:rPr>
        <w:t>eastern State of India. Diagnostics 12. https://doi.org/10.3390/diagnostics12082015</w:t>
      </w:r>
    </w:p>
    <w:p w14:paraId="1D1F93B8" w14:textId="77777777"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677AE">
        <w:rPr>
          <w:rFonts w:ascii="Times New Roman" w:hAnsi="Times New Roman" w:cs="Times New Roman"/>
          <w:noProof/>
          <w:sz w:val="24"/>
          <w:szCs w:val="24"/>
        </w:rPr>
        <w:t>Singhal, C., Aremu, T.O., Garg, P., Shah, K., Okoro, O.N., 2022. Awareness of the Malaria Vaccine in India. Cureus 14, 3–10. https://doi.org/10.7759/cureus.29210</w:t>
      </w:r>
    </w:p>
    <w:p w14:paraId="5F72B8EF" w14:textId="77777777"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677AE">
        <w:rPr>
          <w:rFonts w:ascii="Times New Roman" w:hAnsi="Times New Roman" w:cs="Times New Roman"/>
          <w:noProof/>
          <w:sz w:val="24"/>
          <w:szCs w:val="24"/>
        </w:rPr>
        <w:t>Skyler, J.S., Bakris, G.L., Bonifacio, E., Darsow, T., Eckel, R.H., Groop, L., Groop, P.H., Handelsman, Y., Insel, R.A., Mathieu, C., McElvaine, A.T., Palmer, J.P., Pugliese, A., Schatz, D.A., Sosenko, J.M., Wilding, J.P.H., Ratner, R.E., 2017. Differentiation of diabetes by pathophysiology, natural history, and prognosis. Diabetes 66, 241–255. https://doi.org/10.2337/db16-0806</w:t>
      </w:r>
    </w:p>
    <w:p w14:paraId="4F2D806A" w14:textId="77777777"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677AE">
        <w:rPr>
          <w:rFonts w:ascii="Times New Roman" w:hAnsi="Times New Roman" w:cs="Times New Roman"/>
          <w:noProof/>
          <w:sz w:val="24"/>
          <w:szCs w:val="24"/>
        </w:rPr>
        <w:t>Talipouo, A., Ngadjeu, C.S., Doumbe-Belisse, P., Djamouko-Djonkam, L., Sonhafouo-Chiana, N., Kopya, E., Bamou, R., Awono-Ambene, P., Woromogo, S., Kekeunou, S., Wondji, C.S., Antonio-Nkondjio, C., 2019. Malaria prevention in the city of Yaoundé: Knowledge and practices of urban dwellers. Malar. J. 18, 1–13. https://doi.org/10.1186/s12936-019-2799-6</w:t>
      </w:r>
    </w:p>
    <w:p w14:paraId="1FA44950" w14:textId="77777777"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4677AE">
        <w:rPr>
          <w:rFonts w:ascii="Times New Roman" w:hAnsi="Times New Roman" w:cs="Times New Roman"/>
          <w:noProof/>
          <w:sz w:val="24"/>
          <w:szCs w:val="24"/>
        </w:rPr>
        <w:t>Tangena, J.A.A., Hendriks, C.M.J., Devine, M., Tammaro, M., Trett, A.E., Williams, I., Depina, A.J., Sisay, A., Herizo, R., Kafy, H.T., Chizema, E., Were, A., Rozier, J., Coleman, M., Moyes, C.L., 2020. Indoor residual spraying for malaria control in sub ‑ Saharan Africa 1997 to 2017 : an adjusted retrospective analysis. Malar. J. 1–15. https://doi.org/10.1186/s12936-020-03216-6</w:t>
      </w:r>
    </w:p>
    <w:p w14:paraId="7C9D3DA1" w14:textId="77777777" w:rsidR="004677AE" w:rsidRPr="004677AE" w:rsidRDefault="004677AE" w:rsidP="0054029E">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4677AE">
        <w:rPr>
          <w:rFonts w:ascii="Times New Roman" w:hAnsi="Times New Roman" w:cs="Times New Roman"/>
          <w:noProof/>
          <w:sz w:val="24"/>
          <w:szCs w:val="24"/>
        </w:rPr>
        <w:t>Vanaerschot, M., Murithi, J.M., Pasaje, C.F.A., Ghidelli-Disse, S., Dwomoh, L., Bird, M., Spottiswoode, N., Mittal, N., Arendse, L.B., Owen, E.S., Wicht, K.J., Siciliano, G., Bösche, M., Yeo, T., Kumar, T.R.S., Mok, S., Carpenter, E.F., Giddins, M.J., Sanz, O., Ottilie, S., Alano, P., Chibale, K., Llinás, M., Uhlemann, A.C., Delves, M., Tobin, A.B., Doerig, C., Winzeler, E.A., Lee, M.C.S., Niles, J.C., Fidock, D.A., 2020. Inhibition of Resistance-Refractory P. falciparum Kinase PKG Delivers Prophylactic, Blood Stage, and Transmission-Blocking Antiplasmodial Activity. Cell Chem. Biol. 27, 806-816.e8. https://doi.org/10.1016/j.chembiol.2020.04.001</w:t>
      </w:r>
    </w:p>
    <w:p w14:paraId="1314D24D" w14:textId="67B9A2C8" w:rsidR="009B2472" w:rsidRPr="00F3795D" w:rsidRDefault="009B2472" w:rsidP="0054029E">
      <w:pPr>
        <w:spacing w:after="0" w:line="276" w:lineRule="auto"/>
        <w:jc w:val="both"/>
        <w:rPr>
          <w:rFonts w:ascii="Times New Roman" w:hAnsi="Times New Roman" w:cs="Times New Roman"/>
          <w:color w:val="000000" w:themeColor="text1"/>
          <w:sz w:val="24"/>
          <w:szCs w:val="24"/>
        </w:rPr>
      </w:pPr>
      <w:r w:rsidRPr="00F3795D">
        <w:rPr>
          <w:rFonts w:ascii="Times New Roman" w:hAnsi="Times New Roman" w:cs="Times New Roman"/>
          <w:color w:val="000000" w:themeColor="text1"/>
          <w:sz w:val="24"/>
          <w:szCs w:val="24"/>
        </w:rPr>
        <w:fldChar w:fldCharType="end"/>
      </w:r>
    </w:p>
    <w:p w14:paraId="36656A24" w14:textId="77777777" w:rsidR="00052A48" w:rsidRPr="00F3795D" w:rsidRDefault="00052A48" w:rsidP="0054029E">
      <w:pPr>
        <w:spacing w:after="0" w:line="276" w:lineRule="auto"/>
        <w:jc w:val="both"/>
        <w:rPr>
          <w:rFonts w:ascii="Times New Roman" w:hAnsi="Times New Roman" w:cs="Times New Roman"/>
          <w:color w:val="000000" w:themeColor="text1"/>
          <w:sz w:val="24"/>
          <w:szCs w:val="24"/>
        </w:rPr>
      </w:pPr>
    </w:p>
    <w:sectPr w:rsidR="00052A48" w:rsidRPr="00F3795D" w:rsidSect="00DA138B">
      <w:pgSz w:w="11906" w:h="16838" w:code="9"/>
      <w:pgMar w:top="1440" w:right="1440" w:bottom="1440" w:left="1440"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D86F2" w14:textId="77777777" w:rsidR="00997EE1" w:rsidRDefault="00997EE1" w:rsidP="00831D43">
      <w:pPr>
        <w:spacing w:after="0" w:line="240" w:lineRule="auto"/>
      </w:pPr>
      <w:r>
        <w:separator/>
      </w:r>
    </w:p>
  </w:endnote>
  <w:endnote w:type="continuationSeparator" w:id="0">
    <w:p w14:paraId="781F61B6" w14:textId="77777777" w:rsidR="00997EE1" w:rsidRDefault="00997EE1" w:rsidP="00831D43">
      <w:pPr>
        <w:spacing w:after="0" w:line="240" w:lineRule="auto"/>
      </w:pPr>
      <w:r>
        <w:continuationSeparator/>
      </w:r>
    </w:p>
  </w:endnote>
  <w:endnote w:type="continuationNotice" w:id="1">
    <w:p w14:paraId="4EC6024B" w14:textId="77777777" w:rsidR="00997EE1" w:rsidRDefault="00997E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calaLancetPro">
    <w:altName w:val="Cambria"/>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8D728" w14:textId="77777777" w:rsidR="00997EE1" w:rsidRDefault="00997EE1" w:rsidP="00831D43">
      <w:pPr>
        <w:spacing w:after="0" w:line="240" w:lineRule="auto"/>
      </w:pPr>
      <w:r>
        <w:separator/>
      </w:r>
    </w:p>
  </w:footnote>
  <w:footnote w:type="continuationSeparator" w:id="0">
    <w:p w14:paraId="026F8B1A" w14:textId="77777777" w:rsidR="00997EE1" w:rsidRDefault="00997EE1" w:rsidP="00831D43">
      <w:pPr>
        <w:spacing w:after="0" w:line="240" w:lineRule="auto"/>
      </w:pPr>
      <w:r>
        <w:continuationSeparator/>
      </w:r>
    </w:p>
  </w:footnote>
  <w:footnote w:type="continuationNotice" w:id="1">
    <w:p w14:paraId="5CBBA446" w14:textId="77777777" w:rsidR="00997EE1" w:rsidRDefault="00997EE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73C6"/>
    <w:multiLevelType w:val="hybridMultilevel"/>
    <w:tmpl w:val="DC486C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3E1CA3"/>
    <w:multiLevelType w:val="hybridMultilevel"/>
    <w:tmpl w:val="AC68A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E0D2E"/>
    <w:multiLevelType w:val="hybridMultilevel"/>
    <w:tmpl w:val="DC486C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2E75F3"/>
    <w:multiLevelType w:val="hybridMultilevel"/>
    <w:tmpl w:val="678E4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E55E5F"/>
    <w:multiLevelType w:val="hybridMultilevel"/>
    <w:tmpl w:val="DC486C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D636971"/>
    <w:multiLevelType w:val="hybridMultilevel"/>
    <w:tmpl w:val="DC486C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387679"/>
    <w:multiLevelType w:val="hybridMultilevel"/>
    <w:tmpl w:val="DC486C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017184"/>
    <w:multiLevelType w:val="hybridMultilevel"/>
    <w:tmpl w:val="DC486C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FB2F78"/>
    <w:multiLevelType w:val="hybridMultilevel"/>
    <w:tmpl w:val="14C2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662CF"/>
    <w:multiLevelType w:val="hybridMultilevel"/>
    <w:tmpl w:val="D6D8C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2D7904"/>
    <w:multiLevelType w:val="multilevel"/>
    <w:tmpl w:val="AAFE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9730600">
    <w:abstractNumId w:val="10"/>
  </w:num>
  <w:num w:numId="2" w16cid:durableId="126245665">
    <w:abstractNumId w:val="0"/>
  </w:num>
  <w:num w:numId="3" w16cid:durableId="646010629">
    <w:abstractNumId w:val="5"/>
  </w:num>
  <w:num w:numId="4" w16cid:durableId="1572495354">
    <w:abstractNumId w:val="2"/>
  </w:num>
  <w:num w:numId="5" w16cid:durableId="1439642986">
    <w:abstractNumId w:val="6"/>
  </w:num>
  <w:num w:numId="6" w16cid:durableId="320231983">
    <w:abstractNumId w:val="7"/>
  </w:num>
  <w:num w:numId="7" w16cid:durableId="1470630761">
    <w:abstractNumId w:val="4"/>
  </w:num>
  <w:num w:numId="8" w16cid:durableId="1369381082">
    <w:abstractNumId w:val="8"/>
  </w:num>
  <w:num w:numId="9" w16cid:durableId="1424960586">
    <w:abstractNumId w:val="3"/>
  </w:num>
  <w:num w:numId="10" w16cid:durableId="1273047242">
    <w:abstractNumId w:val="1"/>
  </w:num>
  <w:num w:numId="11" w16cid:durableId="4341353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displayBackgroundShape/>
  <w:hideSpellingErrors/>
  <w:hideGrammaticalErrors/>
  <w:proofState w:spelling="clean"/>
  <w:revisionView w:inkAnnotations="0"/>
  <w:defaultTabStop w:val="720"/>
  <w:drawingGridHorizontalSpacing w:val="12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3tDQ3Mza2MDE0MbFU0lEKTi0uzszPAykwsagFAKqEfhUtAAAA"/>
  </w:docVars>
  <w:rsids>
    <w:rsidRoot w:val="00DA0B38"/>
    <w:rsid w:val="000009A5"/>
    <w:rsid w:val="00003242"/>
    <w:rsid w:val="00003668"/>
    <w:rsid w:val="00005BEE"/>
    <w:rsid w:val="00006DDB"/>
    <w:rsid w:val="000075FE"/>
    <w:rsid w:val="00007739"/>
    <w:rsid w:val="00007CBC"/>
    <w:rsid w:val="00012C76"/>
    <w:rsid w:val="00014827"/>
    <w:rsid w:val="00014CC4"/>
    <w:rsid w:val="0001561A"/>
    <w:rsid w:val="000204BF"/>
    <w:rsid w:val="00020614"/>
    <w:rsid w:val="0002300E"/>
    <w:rsid w:val="0002326E"/>
    <w:rsid w:val="00024BB6"/>
    <w:rsid w:val="00025A3C"/>
    <w:rsid w:val="00027331"/>
    <w:rsid w:val="000324BE"/>
    <w:rsid w:val="00033D2B"/>
    <w:rsid w:val="00033EFE"/>
    <w:rsid w:val="00035A17"/>
    <w:rsid w:val="000361D9"/>
    <w:rsid w:val="00037D7C"/>
    <w:rsid w:val="00042071"/>
    <w:rsid w:val="00052A48"/>
    <w:rsid w:val="000542D0"/>
    <w:rsid w:val="0005523D"/>
    <w:rsid w:val="00055250"/>
    <w:rsid w:val="000552EC"/>
    <w:rsid w:val="00055390"/>
    <w:rsid w:val="000628E4"/>
    <w:rsid w:val="00063941"/>
    <w:rsid w:val="00064161"/>
    <w:rsid w:val="00064666"/>
    <w:rsid w:val="00065D52"/>
    <w:rsid w:val="00066417"/>
    <w:rsid w:val="000666FD"/>
    <w:rsid w:val="000670EB"/>
    <w:rsid w:val="0007074F"/>
    <w:rsid w:val="0007154D"/>
    <w:rsid w:val="00071557"/>
    <w:rsid w:val="00071A70"/>
    <w:rsid w:val="00073A03"/>
    <w:rsid w:val="0007457C"/>
    <w:rsid w:val="00074A8E"/>
    <w:rsid w:val="0007600F"/>
    <w:rsid w:val="000779A9"/>
    <w:rsid w:val="00081951"/>
    <w:rsid w:val="00081EBD"/>
    <w:rsid w:val="00083BBA"/>
    <w:rsid w:val="00084F59"/>
    <w:rsid w:val="0008661B"/>
    <w:rsid w:val="00093258"/>
    <w:rsid w:val="00094130"/>
    <w:rsid w:val="00094312"/>
    <w:rsid w:val="00094500"/>
    <w:rsid w:val="00094FE2"/>
    <w:rsid w:val="000950A2"/>
    <w:rsid w:val="000965B2"/>
    <w:rsid w:val="000A184C"/>
    <w:rsid w:val="000A6086"/>
    <w:rsid w:val="000A6E07"/>
    <w:rsid w:val="000A761F"/>
    <w:rsid w:val="000B0AF9"/>
    <w:rsid w:val="000B6EA0"/>
    <w:rsid w:val="000C0099"/>
    <w:rsid w:val="000C2189"/>
    <w:rsid w:val="000C3346"/>
    <w:rsid w:val="000C4AFE"/>
    <w:rsid w:val="000C75D7"/>
    <w:rsid w:val="000C7641"/>
    <w:rsid w:val="000D0B8D"/>
    <w:rsid w:val="000D10D8"/>
    <w:rsid w:val="000D17FA"/>
    <w:rsid w:val="000D239C"/>
    <w:rsid w:val="000D352A"/>
    <w:rsid w:val="000D4C9A"/>
    <w:rsid w:val="000D56BC"/>
    <w:rsid w:val="000E1DFC"/>
    <w:rsid w:val="000E20F2"/>
    <w:rsid w:val="000E4105"/>
    <w:rsid w:val="000E42DF"/>
    <w:rsid w:val="000E468E"/>
    <w:rsid w:val="000E4AC0"/>
    <w:rsid w:val="000E65CB"/>
    <w:rsid w:val="000E6EF8"/>
    <w:rsid w:val="000E7587"/>
    <w:rsid w:val="000E7C0D"/>
    <w:rsid w:val="000F067C"/>
    <w:rsid w:val="000F370F"/>
    <w:rsid w:val="000F3BE3"/>
    <w:rsid w:val="000F6243"/>
    <w:rsid w:val="00100451"/>
    <w:rsid w:val="00101428"/>
    <w:rsid w:val="0010200B"/>
    <w:rsid w:val="001041F4"/>
    <w:rsid w:val="00104B53"/>
    <w:rsid w:val="00111319"/>
    <w:rsid w:val="00112701"/>
    <w:rsid w:val="00114157"/>
    <w:rsid w:val="00114658"/>
    <w:rsid w:val="00115ACA"/>
    <w:rsid w:val="001176D8"/>
    <w:rsid w:val="00120215"/>
    <w:rsid w:val="00122DC5"/>
    <w:rsid w:val="001244A7"/>
    <w:rsid w:val="0012644A"/>
    <w:rsid w:val="00130F06"/>
    <w:rsid w:val="0013319B"/>
    <w:rsid w:val="001336EE"/>
    <w:rsid w:val="001352B9"/>
    <w:rsid w:val="00135816"/>
    <w:rsid w:val="0013597D"/>
    <w:rsid w:val="001361A7"/>
    <w:rsid w:val="001365BC"/>
    <w:rsid w:val="001366CF"/>
    <w:rsid w:val="00140B98"/>
    <w:rsid w:val="00141EBD"/>
    <w:rsid w:val="00143CD1"/>
    <w:rsid w:val="00144009"/>
    <w:rsid w:val="00144499"/>
    <w:rsid w:val="00145F72"/>
    <w:rsid w:val="00150394"/>
    <w:rsid w:val="00150528"/>
    <w:rsid w:val="001509C3"/>
    <w:rsid w:val="00150BFD"/>
    <w:rsid w:val="0015232B"/>
    <w:rsid w:val="00152BA1"/>
    <w:rsid w:val="00153A83"/>
    <w:rsid w:val="00154DE5"/>
    <w:rsid w:val="001563FB"/>
    <w:rsid w:val="00157D90"/>
    <w:rsid w:val="00164EBB"/>
    <w:rsid w:val="001679DF"/>
    <w:rsid w:val="0017125D"/>
    <w:rsid w:val="00171FC7"/>
    <w:rsid w:val="001722FC"/>
    <w:rsid w:val="00172760"/>
    <w:rsid w:val="00173343"/>
    <w:rsid w:val="0017399E"/>
    <w:rsid w:val="00173E7A"/>
    <w:rsid w:val="00177D95"/>
    <w:rsid w:val="00177E9C"/>
    <w:rsid w:val="0018329A"/>
    <w:rsid w:val="00183774"/>
    <w:rsid w:val="001858A8"/>
    <w:rsid w:val="0018692A"/>
    <w:rsid w:val="0018771E"/>
    <w:rsid w:val="0019325C"/>
    <w:rsid w:val="00193FCA"/>
    <w:rsid w:val="00194D2A"/>
    <w:rsid w:val="001A0054"/>
    <w:rsid w:val="001A10D6"/>
    <w:rsid w:val="001A136F"/>
    <w:rsid w:val="001A50F1"/>
    <w:rsid w:val="001A5546"/>
    <w:rsid w:val="001A663A"/>
    <w:rsid w:val="001A7968"/>
    <w:rsid w:val="001B0416"/>
    <w:rsid w:val="001B1906"/>
    <w:rsid w:val="001B3560"/>
    <w:rsid w:val="001B3C7C"/>
    <w:rsid w:val="001B7604"/>
    <w:rsid w:val="001C0697"/>
    <w:rsid w:val="001C584C"/>
    <w:rsid w:val="001D05B1"/>
    <w:rsid w:val="001D0635"/>
    <w:rsid w:val="001D0901"/>
    <w:rsid w:val="001D1F37"/>
    <w:rsid w:val="001D2907"/>
    <w:rsid w:val="001D35D0"/>
    <w:rsid w:val="001D3D2A"/>
    <w:rsid w:val="001D435A"/>
    <w:rsid w:val="001E1EDC"/>
    <w:rsid w:val="001E3254"/>
    <w:rsid w:val="001E5B65"/>
    <w:rsid w:val="001E7C18"/>
    <w:rsid w:val="001F1436"/>
    <w:rsid w:val="001F32A8"/>
    <w:rsid w:val="001F3F2C"/>
    <w:rsid w:val="001F63A7"/>
    <w:rsid w:val="001F6492"/>
    <w:rsid w:val="001F6907"/>
    <w:rsid w:val="001F71AE"/>
    <w:rsid w:val="0020369D"/>
    <w:rsid w:val="002037ED"/>
    <w:rsid w:val="00203ACA"/>
    <w:rsid w:val="0020589F"/>
    <w:rsid w:val="00207E21"/>
    <w:rsid w:val="00207E3E"/>
    <w:rsid w:val="00210E8B"/>
    <w:rsid w:val="002123FC"/>
    <w:rsid w:val="0021556D"/>
    <w:rsid w:val="002207E2"/>
    <w:rsid w:val="00225BA2"/>
    <w:rsid w:val="00226649"/>
    <w:rsid w:val="00227804"/>
    <w:rsid w:val="00234258"/>
    <w:rsid w:val="00234C10"/>
    <w:rsid w:val="00234C75"/>
    <w:rsid w:val="00234D6F"/>
    <w:rsid w:val="00236885"/>
    <w:rsid w:val="00237F45"/>
    <w:rsid w:val="00240CEB"/>
    <w:rsid w:val="00241CAB"/>
    <w:rsid w:val="00242A55"/>
    <w:rsid w:val="00242AD8"/>
    <w:rsid w:val="0025106D"/>
    <w:rsid w:val="002512B3"/>
    <w:rsid w:val="002517CF"/>
    <w:rsid w:val="00251AC0"/>
    <w:rsid w:val="00252284"/>
    <w:rsid w:val="00253703"/>
    <w:rsid w:val="00254AA5"/>
    <w:rsid w:val="00254E55"/>
    <w:rsid w:val="002550FE"/>
    <w:rsid w:val="002565DE"/>
    <w:rsid w:val="002603DC"/>
    <w:rsid w:val="0026149E"/>
    <w:rsid w:val="00264155"/>
    <w:rsid w:val="00266753"/>
    <w:rsid w:val="00266899"/>
    <w:rsid w:val="00266AE6"/>
    <w:rsid w:val="002672D4"/>
    <w:rsid w:val="00267ED4"/>
    <w:rsid w:val="00271A98"/>
    <w:rsid w:val="00271C7E"/>
    <w:rsid w:val="00272CA1"/>
    <w:rsid w:val="0027367F"/>
    <w:rsid w:val="002756CD"/>
    <w:rsid w:val="002763CA"/>
    <w:rsid w:val="00276FDE"/>
    <w:rsid w:val="002779EC"/>
    <w:rsid w:val="00277A38"/>
    <w:rsid w:val="00277FED"/>
    <w:rsid w:val="00280067"/>
    <w:rsid w:val="002810DE"/>
    <w:rsid w:val="002825C1"/>
    <w:rsid w:val="002830A9"/>
    <w:rsid w:val="002907F4"/>
    <w:rsid w:val="00291377"/>
    <w:rsid w:val="00294249"/>
    <w:rsid w:val="002950E3"/>
    <w:rsid w:val="002A0418"/>
    <w:rsid w:val="002A0EB2"/>
    <w:rsid w:val="002A10F4"/>
    <w:rsid w:val="002A12B1"/>
    <w:rsid w:val="002A572B"/>
    <w:rsid w:val="002A7CBE"/>
    <w:rsid w:val="002B2989"/>
    <w:rsid w:val="002B4DF1"/>
    <w:rsid w:val="002B6B70"/>
    <w:rsid w:val="002B7F6E"/>
    <w:rsid w:val="002C0AF1"/>
    <w:rsid w:val="002C1004"/>
    <w:rsid w:val="002C1F55"/>
    <w:rsid w:val="002C2B42"/>
    <w:rsid w:val="002C4D21"/>
    <w:rsid w:val="002D5344"/>
    <w:rsid w:val="002D7585"/>
    <w:rsid w:val="002D78F0"/>
    <w:rsid w:val="002E0528"/>
    <w:rsid w:val="002E226A"/>
    <w:rsid w:val="002E237C"/>
    <w:rsid w:val="002E2A1E"/>
    <w:rsid w:val="002E450E"/>
    <w:rsid w:val="002E70DC"/>
    <w:rsid w:val="002E7831"/>
    <w:rsid w:val="002E7C4D"/>
    <w:rsid w:val="002F02C9"/>
    <w:rsid w:val="002F241D"/>
    <w:rsid w:val="002F2946"/>
    <w:rsid w:val="002F2B1F"/>
    <w:rsid w:val="002F4853"/>
    <w:rsid w:val="002F4E39"/>
    <w:rsid w:val="00303FB0"/>
    <w:rsid w:val="003044D7"/>
    <w:rsid w:val="00306DD9"/>
    <w:rsid w:val="00306F02"/>
    <w:rsid w:val="003072C5"/>
    <w:rsid w:val="00311058"/>
    <w:rsid w:val="0031327D"/>
    <w:rsid w:val="00315354"/>
    <w:rsid w:val="003154BB"/>
    <w:rsid w:val="00317220"/>
    <w:rsid w:val="00321FC9"/>
    <w:rsid w:val="00323843"/>
    <w:rsid w:val="00327387"/>
    <w:rsid w:val="003303B2"/>
    <w:rsid w:val="00336488"/>
    <w:rsid w:val="00336D3C"/>
    <w:rsid w:val="00343E1C"/>
    <w:rsid w:val="003470BE"/>
    <w:rsid w:val="00352055"/>
    <w:rsid w:val="003526F7"/>
    <w:rsid w:val="003536D2"/>
    <w:rsid w:val="00361E6B"/>
    <w:rsid w:val="003622BA"/>
    <w:rsid w:val="00362AAD"/>
    <w:rsid w:val="00367CB0"/>
    <w:rsid w:val="00370B9E"/>
    <w:rsid w:val="00372EFD"/>
    <w:rsid w:val="0037395A"/>
    <w:rsid w:val="00373D05"/>
    <w:rsid w:val="00375804"/>
    <w:rsid w:val="00376358"/>
    <w:rsid w:val="00377ED8"/>
    <w:rsid w:val="0038267C"/>
    <w:rsid w:val="003837D3"/>
    <w:rsid w:val="00385571"/>
    <w:rsid w:val="00385AC4"/>
    <w:rsid w:val="003872BC"/>
    <w:rsid w:val="00387703"/>
    <w:rsid w:val="00387B14"/>
    <w:rsid w:val="00387F0F"/>
    <w:rsid w:val="003904F8"/>
    <w:rsid w:val="00393234"/>
    <w:rsid w:val="0039343E"/>
    <w:rsid w:val="00393999"/>
    <w:rsid w:val="00394BDE"/>
    <w:rsid w:val="00394EDF"/>
    <w:rsid w:val="00396D5C"/>
    <w:rsid w:val="00397A2A"/>
    <w:rsid w:val="003A08DD"/>
    <w:rsid w:val="003A0DCE"/>
    <w:rsid w:val="003A0E63"/>
    <w:rsid w:val="003A2496"/>
    <w:rsid w:val="003A5BFC"/>
    <w:rsid w:val="003B123D"/>
    <w:rsid w:val="003B165E"/>
    <w:rsid w:val="003B16B0"/>
    <w:rsid w:val="003B3086"/>
    <w:rsid w:val="003B53E5"/>
    <w:rsid w:val="003C01C5"/>
    <w:rsid w:val="003C0560"/>
    <w:rsid w:val="003C36A2"/>
    <w:rsid w:val="003C4741"/>
    <w:rsid w:val="003C498C"/>
    <w:rsid w:val="003D0C69"/>
    <w:rsid w:val="003D2A04"/>
    <w:rsid w:val="003D3310"/>
    <w:rsid w:val="003D33E3"/>
    <w:rsid w:val="003D3805"/>
    <w:rsid w:val="003D4A17"/>
    <w:rsid w:val="003D4F79"/>
    <w:rsid w:val="003E0E9D"/>
    <w:rsid w:val="003E278D"/>
    <w:rsid w:val="003E314C"/>
    <w:rsid w:val="003E4425"/>
    <w:rsid w:val="003E5F76"/>
    <w:rsid w:val="003E640B"/>
    <w:rsid w:val="003E6A50"/>
    <w:rsid w:val="003E76B3"/>
    <w:rsid w:val="003F065F"/>
    <w:rsid w:val="003F15D6"/>
    <w:rsid w:val="003F1632"/>
    <w:rsid w:val="003F1775"/>
    <w:rsid w:val="003F5765"/>
    <w:rsid w:val="003F5B3C"/>
    <w:rsid w:val="00402DA2"/>
    <w:rsid w:val="00403134"/>
    <w:rsid w:val="004031DC"/>
    <w:rsid w:val="004058E1"/>
    <w:rsid w:val="004060ED"/>
    <w:rsid w:val="00406413"/>
    <w:rsid w:val="00406D9A"/>
    <w:rsid w:val="004076A2"/>
    <w:rsid w:val="004078AC"/>
    <w:rsid w:val="00416796"/>
    <w:rsid w:val="00420D2D"/>
    <w:rsid w:val="00422340"/>
    <w:rsid w:val="00422D6A"/>
    <w:rsid w:val="004248E3"/>
    <w:rsid w:val="00424C86"/>
    <w:rsid w:val="00426A48"/>
    <w:rsid w:val="00426AE5"/>
    <w:rsid w:val="00426B2F"/>
    <w:rsid w:val="00426C6A"/>
    <w:rsid w:val="00427F03"/>
    <w:rsid w:val="00430619"/>
    <w:rsid w:val="00431465"/>
    <w:rsid w:val="00432002"/>
    <w:rsid w:val="00437CDC"/>
    <w:rsid w:val="004409B1"/>
    <w:rsid w:val="004420DE"/>
    <w:rsid w:val="00442D68"/>
    <w:rsid w:val="00444F91"/>
    <w:rsid w:val="00451ECC"/>
    <w:rsid w:val="00452585"/>
    <w:rsid w:val="00453BA2"/>
    <w:rsid w:val="00454F6F"/>
    <w:rsid w:val="004559BD"/>
    <w:rsid w:val="00456B28"/>
    <w:rsid w:val="00460A0E"/>
    <w:rsid w:val="00460D5F"/>
    <w:rsid w:val="004648AB"/>
    <w:rsid w:val="004659B7"/>
    <w:rsid w:val="004677AE"/>
    <w:rsid w:val="00470214"/>
    <w:rsid w:val="0047305C"/>
    <w:rsid w:val="00473359"/>
    <w:rsid w:val="00473890"/>
    <w:rsid w:val="00473FF2"/>
    <w:rsid w:val="004745DB"/>
    <w:rsid w:val="00476B78"/>
    <w:rsid w:val="00480CC4"/>
    <w:rsid w:val="0048166A"/>
    <w:rsid w:val="00482C48"/>
    <w:rsid w:val="00485171"/>
    <w:rsid w:val="00486ED2"/>
    <w:rsid w:val="00486EDA"/>
    <w:rsid w:val="004912DB"/>
    <w:rsid w:val="004946BD"/>
    <w:rsid w:val="004956C4"/>
    <w:rsid w:val="004A0A53"/>
    <w:rsid w:val="004A0C6B"/>
    <w:rsid w:val="004A146B"/>
    <w:rsid w:val="004A485E"/>
    <w:rsid w:val="004A4D84"/>
    <w:rsid w:val="004B016A"/>
    <w:rsid w:val="004B54C9"/>
    <w:rsid w:val="004B5A22"/>
    <w:rsid w:val="004B5C60"/>
    <w:rsid w:val="004B698D"/>
    <w:rsid w:val="004C1AD3"/>
    <w:rsid w:val="004C2426"/>
    <w:rsid w:val="004C27A5"/>
    <w:rsid w:val="004C2EB6"/>
    <w:rsid w:val="004C3AC7"/>
    <w:rsid w:val="004C4E26"/>
    <w:rsid w:val="004C4F06"/>
    <w:rsid w:val="004C5DB0"/>
    <w:rsid w:val="004D1130"/>
    <w:rsid w:val="004D2E18"/>
    <w:rsid w:val="004D54A0"/>
    <w:rsid w:val="004D6419"/>
    <w:rsid w:val="004E24E8"/>
    <w:rsid w:val="004E554C"/>
    <w:rsid w:val="004E591A"/>
    <w:rsid w:val="004F0ABE"/>
    <w:rsid w:val="004F1239"/>
    <w:rsid w:val="004F20EC"/>
    <w:rsid w:val="004F2973"/>
    <w:rsid w:val="004F29A1"/>
    <w:rsid w:val="004F4898"/>
    <w:rsid w:val="004F4C14"/>
    <w:rsid w:val="004F5DA8"/>
    <w:rsid w:val="004F7372"/>
    <w:rsid w:val="004F7E79"/>
    <w:rsid w:val="00500156"/>
    <w:rsid w:val="0050130E"/>
    <w:rsid w:val="00505533"/>
    <w:rsid w:val="0050577C"/>
    <w:rsid w:val="00505E69"/>
    <w:rsid w:val="005075B0"/>
    <w:rsid w:val="00510C41"/>
    <w:rsid w:val="00514BA6"/>
    <w:rsid w:val="00514C18"/>
    <w:rsid w:val="00515EB3"/>
    <w:rsid w:val="0051639F"/>
    <w:rsid w:val="00520AD1"/>
    <w:rsid w:val="00520EA0"/>
    <w:rsid w:val="00521B96"/>
    <w:rsid w:val="00522D86"/>
    <w:rsid w:val="00523A68"/>
    <w:rsid w:val="00526032"/>
    <w:rsid w:val="0052688E"/>
    <w:rsid w:val="0053023E"/>
    <w:rsid w:val="005353FA"/>
    <w:rsid w:val="00535DE9"/>
    <w:rsid w:val="00535E40"/>
    <w:rsid w:val="00536166"/>
    <w:rsid w:val="00536FCC"/>
    <w:rsid w:val="005373DE"/>
    <w:rsid w:val="0054029E"/>
    <w:rsid w:val="00542AAE"/>
    <w:rsid w:val="00545179"/>
    <w:rsid w:val="00546F62"/>
    <w:rsid w:val="00554FB8"/>
    <w:rsid w:val="00560580"/>
    <w:rsid w:val="00564C2D"/>
    <w:rsid w:val="00565509"/>
    <w:rsid w:val="005660B4"/>
    <w:rsid w:val="0056635E"/>
    <w:rsid w:val="005671AE"/>
    <w:rsid w:val="00567381"/>
    <w:rsid w:val="00567896"/>
    <w:rsid w:val="0057026B"/>
    <w:rsid w:val="0057084C"/>
    <w:rsid w:val="00573938"/>
    <w:rsid w:val="00575670"/>
    <w:rsid w:val="00576BF4"/>
    <w:rsid w:val="005770DC"/>
    <w:rsid w:val="00577249"/>
    <w:rsid w:val="005775E4"/>
    <w:rsid w:val="005807DB"/>
    <w:rsid w:val="00581055"/>
    <w:rsid w:val="005820C7"/>
    <w:rsid w:val="00582354"/>
    <w:rsid w:val="00582A8B"/>
    <w:rsid w:val="00582F8E"/>
    <w:rsid w:val="00583190"/>
    <w:rsid w:val="00584E3A"/>
    <w:rsid w:val="0058575C"/>
    <w:rsid w:val="00586AF1"/>
    <w:rsid w:val="00590236"/>
    <w:rsid w:val="00591131"/>
    <w:rsid w:val="005A0159"/>
    <w:rsid w:val="005A01A6"/>
    <w:rsid w:val="005A169F"/>
    <w:rsid w:val="005A3F8E"/>
    <w:rsid w:val="005A57BC"/>
    <w:rsid w:val="005A65AF"/>
    <w:rsid w:val="005B0F44"/>
    <w:rsid w:val="005B2276"/>
    <w:rsid w:val="005B4196"/>
    <w:rsid w:val="005B60F9"/>
    <w:rsid w:val="005B6DDD"/>
    <w:rsid w:val="005B7873"/>
    <w:rsid w:val="005B7F19"/>
    <w:rsid w:val="005C151F"/>
    <w:rsid w:val="005C306E"/>
    <w:rsid w:val="005C6D52"/>
    <w:rsid w:val="005D3E9B"/>
    <w:rsid w:val="005D5120"/>
    <w:rsid w:val="005D578C"/>
    <w:rsid w:val="005D682C"/>
    <w:rsid w:val="005D7DD0"/>
    <w:rsid w:val="005E08FC"/>
    <w:rsid w:val="005E4D04"/>
    <w:rsid w:val="005E5F92"/>
    <w:rsid w:val="005F3B34"/>
    <w:rsid w:val="005F65E6"/>
    <w:rsid w:val="00603FA4"/>
    <w:rsid w:val="006044BB"/>
    <w:rsid w:val="00605442"/>
    <w:rsid w:val="006064A4"/>
    <w:rsid w:val="00606D09"/>
    <w:rsid w:val="006078C9"/>
    <w:rsid w:val="00611CDA"/>
    <w:rsid w:val="00613F9A"/>
    <w:rsid w:val="0061454F"/>
    <w:rsid w:val="006149D3"/>
    <w:rsid w:val="006158BE"/>
    <w:rsid w:val="00617B88"/>
    <w:rsid w:val="0062103B"/>
    <w:rsid w:val="00622BF7"/>
    <w:rsid w:val="00623A95"/>
    <w:rsid w:val="00623D91"/>
    <w:rsid w:val="0062756B"/>
    <w:rsid w:val="00633878"/>
    <w:rsid w:val="006349A9"/>
    <w:rsid w:val="00643C44"/>
    <w:rsid w:val="00644F7D"/>
    <w:rsid w:val="00651851"/>
    <w:rsid w:val="00652FDA"/>
    <w:rsid w:val="00654905"/>
    <w:rsid w:val="00655224"/>
    <w:rsid w:val="00655765"/>
    <w:rsid w:val="0066041D"/>
    <w:rsid w:val="00663DCE"/>
    <w:rsid w:val="00664460"/>
    <w:rsid w:val="00667372"/>
    <w:rsid w:val="00667836"/>
    <w:rsid w:val="00667A0E"/>
    <w:rsid w:val="00670A77"/>
    <w:rsid w:val="00671B1E"/>
    <w:rsid w:val="006728BE"/>
    <w:rsid w:val="00672FC4"/>
    <w:rsid w:val="00677B3C"/>
    <w:rsid w:val="00682703"/>
    <w:rsid w:val="006836D2"/>
    <w:rsid w:val="00683B7F"/>
    <w:rsid w:val="006906FC"/>
    <w:rsid w:val="0069183C"/>
    <w:rsid w:val="00691F47"/>
    <w:rsid w:val="00692FD3"/>
    <w:rsid w:val="006944B5"/>
    <w:rsid w:val="006948B3"/>
    <w:rsid w:val="00696224"/>
    <w:rsid w:val="0069689E"/>
    <w:rsid w:val="00697FAF"/>
    <w:rsid w:val="006A001D"/>
    <w:rsid w:val="006A078F"/>
    <w:rsid w:val="006A0876"/>
    <w:rsid w:val="006A5297"/>
    <w:rsid w:val="006A56BB"/>
    <w:rsid w:val="006A6B3F"/>
    <w:rsid w:val="006A7ADC"/>
    <w:rsid w:val="006B105D"/>
    <w:rsid w:val="006B10B8"/>
    <w:rsid w:val="006B1DA7"/>
    <w:rsid w:val="006B24FC"/>
    <w:rsid w:val="006B2924"/>
    <w:rsid w:val="006B3E8B"/>
    <w:rsid w:val="006B6BBF"/>
    <w:rsid w:val="006C1481"/>
    <w:rsid w:val="006C267E"/>
    <w:rsid w:val="006C4B14"/>
    <w:rsid w:val="006C4F15"/>
    <w:rsid w:val="006C764A"/>
    <w:rsid w:val="006D053C"/>
    <w:rsid w:val="006D0893"/>
    <w:rsid w:val="006D1624"/>
    <w:rsid w:val="006D2E4E"/>
    <w:rsid w:val="006D356F"/>
    <w:rsid w:val="006D39F2"/>
    <w:rsid w:val="006D3C44"/>
    <w:rsid w:val="006D40D4"/>
    <w:rsid w:val="006D438A"/>
    <w:rsid w:val="006D50A4"/>
    <w:rsid w:val="006E05C1"/>
    <w:rsid w:val="006E0D54"/>
    <w:rsid w:val="006E6756"/>
    <w:rsid w:val="006F2023"/>
    <w:rsid w:val="006F4127"/>
    <w:rsid w:val="006F72E6"/>
    <w:rsid w:val="00702848"/>
    <w:rsid w:val="00702943"/>
    <w:rsid w:val="007066FC"/>
    <w:rsid w:val="00707243"/>
    <w:rsid w:val="007134A0"/>
    <w:rsid w:val="00713B23"/>
    <w:rsid w:val="007220B6"/>
    <w:rsid w:val="00722D93"/>
    <w:rsid w:val="00727318"/>
    <w:rsid w:val="007339D7"/>
    <w:rsid w:val="00736A58"/>
    <w:rsid w:val="00737519"/>
    <w:rsid w:val="00747331"/>
    <w:rsid w:val="00747A64"/>
    <w:rsid w:val="007514CE"/>
    <w:rsid w:val="00752E5E"/>
    <w:rsid w:val="007533E6"/>
    <w:rsid w:val="00754543"/>
    <w:rsid w:val="00755B7D"/>
    <w:rsid w:val="00757EA0"/>
    <w:rsid w:val="0076260D"/>
    <w:rsid w:val="007627E2"/>
    <w:rsid w:val="00765349"/>
    <w:rsid w:val="00770D28"/>
    <w:rsid w:val="0077136F"/>
    <w:rsid w:val="0077386B"/>
    <w:rsid w:val="0077458D"/>
    <w:rsid w:val="00774E9A"/>
    <w:rsid w:val="0077554B"/>
    <w:rsid w:val="00776541"/>
    <w:rsid w:val="00783FAF"/>
    <w:rsid w:val="00785553"/>
    <w:rsid w:val="00787A90"/>
    <w:rsid w:val="00790055"/>
    <w:rsid w:val="00792038"/>
    <w:rsid w:val="00792A07"/>
    <w:rsid w:val="007935F7"/>
    <w:rsid w:val="00794B41"/>
    <w:rsid w:val="007969E9"/>
    <w:rsid w:val="0079783F"/>
    <w:rsid w:val="007A2279"/>
    <w:rsid w:val="007A2366"/>
    <w:rsid w:val="007A2A74"/>
    <w:rsid w:val="007A5C30"/>
    <w:rsid w:val="007B0DCF"/>
    <w:rsid w:val="007B10DB"/>
    <w:rsid w:val="007B631F"/>
    <w:rsid w:val="007B7A42"/>
    <w:rsid w:val="007C11F4"/>
    <w:rsid w:val="007C37FC"/>
    <w:rsid w:val="007C3A3F"/>
    <w:rsid w:val="007C4B07"/>
    <w:rsid w:val="007C6B0C"/>
    <w:rsid w:val="007D0956"/>
    <w:rsid w:val="007D1A43"/>
    <w:rsid w:val="007D613F"/>
    <w:rsid w:val="007D70C6"/>
    <w:rsid w:val="007E0CD9"/>
    <w:rsid w:val="007E3231"/>
    <w:rsid w:val="007E37B3"/>
    <w:rsid w:val="007E4718"/>
    <w:rsid w:val="007E4DBE"/>
    <w:rsid w:val="007F15E9"/>
    <w:rsid w:val="007F362E"/>
    <w:rsid w:val="007F5B7C"/>
    <w:rsid w:val="007F7801"/>
    <w:rsid w:val="007F7DBE"/>
    <w:rsid w:val="008008AF"/>
    <w:rsid w:val="00800B97"/>
    <w:rsid w:val="00800E52"/>
    <w:rsid w:val="0080290E"/>
    <w:rsid w:val="00802BAF"/>
    <w:rsid w:val="00802BFF"/>
    <w:rsid w:val="00806688"/>
    <w:rsid w:val="008066C1"/>
    <w:rsid w:val="00811766"/>
    <w:rsid w:val="008126CC"/>
    <w:rsid w:val="008158D2"/>
    <w:rsid w:val="00817122"/>
    <w:rsid w:val="00820B1C"/>
    <w:rsid w:val="00824AD4"/>
    <w:rsid w:val="00825335"/>
    <w:rsid w:val="00826DBF"/>
    <w:rsid w:val="008309F7"/>
    <w:rsid w:val="00830B0B"/>
    <w:rsid w:val="00831D43"/>
    <w:rsid w:val="008329A0"/>
    <w:rsid w:val="0083658E"/>
    <w:rsid w:val="00840A5C"/>
    <w:rsid w:val="0084252E"/>
    <w:rsid w:val="00843635"/>
    <w:rsid w:val="00844652"/>
    <w:rsid w:val="00844D55"/>
    <w:rsid w:val="00847B5B"/>
    <w:rsid w:val="0085650F"/>
    <w:rsid w:val="0086144B"/>
    <w:rsid w:val="00862468"/>
    <w:rsid w:val="00863190"/>
    <w:rsid w:val="00863C59"/>
    <w:rsid w:val="00864627"/>
    <w:rsid w:val="008652EE"/>
    <w:rsid w:val="00873611"/>
    <w:rsid w:val="00874D83"/>
    <w:rsid w:val="00877C8F"/>
    <w:rsid w:val="008818B3"/>
    <w:rsid w:val="00881D8F"/>
    <w:rsid w:val="008827D4"/>
    <w:rsid w:val="00883085"/>
    <w:rsid w:val="00884000"/>
    <w:rsid w:val="00884BE7"/>
    <w:rsid w:val="00884DE9"/>
    <w:rsid w:val="00884ECB"/>
    <w:rsid w:val="0088564E"/>
    <w:rsid w:val="00885E97"/>
    <w:rsid w:val="00887AF9"/>
    <w:rsid w:val="00887FAC"/>
    <w:rsid w:val="00891293"/>
    <w:rsid w:val="008925C4"/>
    <w:rsid w:val="00892772"/>
    <w:rsid w:val="008929BA"/>
    <w:rsid w:val="008A0B80"/>
    <w:rsid w:val="008A36E7"/>
    <w:rsid w:val="008A38A3"/>
    <w:rsid w:val="008A6903"/>
    <w:rsid w:val="008B1653"/>
    <w:rsid w:val="008B22FA"/>
    <w:rsid w:val="008B28D0"/>
    <w:rsid w:val="008B54C4"/>
    <w:rsid w:val="008B5641"/>
    <w:rsid w:val="008B5A9E"/>
    <w:rsid w:val="008B5AD9"/>
    <w:rsid w:val="008B72BF"/>
    <w:rsid w:val="008C129C"/>
    <w:rsid w:val="008C14C9"/>
    <w:rsid w:val="008C36D2"/>
    <w:rsid w:val="008C442C"/>
    <w:rsid w:val="008C50EC"/>
    <w:rsid w:val="008C5FC6"/>
    <w:rsid w:val="008C6DAB"/>
    <w:rsid w:val="008C70DB"/>
    <w:rsid w:val="008C7796"/>
    <w:rsid w:val="008D14CE"/>
    <w:rsid w:val="008D1A55"/>
    <w:rsid w:val="008D1E2A"/>
    <w:rsid w:val="008D2471"/>
    <w:rsid w:val="008D2F42"/>
    <w:rsid w:val="008D4282"/>
    <w:rsid w:val="008D4F52"/>
    <w:rsid w:val="008D4FA2"/>
    <w:rsid w:val="008D50F5"/>
    <w:rsid w:val="008D63DB"/>
    <w:rsid w:val="008D7749"/>
    <w:rsid w:val="008E3E18"/>
    <w:rsid w:val="008E5726"/>
    <w:rsid w:val="008E6568"/>
    <w:rsid w:val="008F125D"/>
    <w:rsid w:val="008F3107"/>
    <w:rsid w:val="008F3447"/>
    <w:rsid w:val="008F6602"/>
    <w:rsid w:val="008F73DE"/>
    <w:rsid w:val="0090348E"/>
    <w:rsid w:val="00903FD3"/>
    <w:rsid w:val="0090557F"/>
    <w:rsid w:val="0090620F"/>
    <w:rsid w:val="0090653B"/>
    <w:rsid w:val="009100A8"/>
    <w:rsid w:val="00912BCA"/>
    <w:rsid w:val="00914EF8"/>
    <w:rsid w:val="00915985"/>
    <w:rsid w:val="0091624A"/>
    <w:rsid w:val="00935CE9"/>
    <w:rsid w:val="00936563"/>
    <w:rsid w:val="0093697A"/>
    <w:rsid w:val="00936AF5"/>
    <w:rsid w:val="00944B46"/>
    <w:rsid w:val="00944E5B"/>
    <w:rsid w:val="00946117"/>
    <w:rsid w:val="009470C6"/>
    <w:rsid w:val="009477FF"/>
    <w:rsid w:val="00947826"/>
    <w:rsid w:val="00947843"/>
    <w:rsid w:val="00951EEA"/>
    <w:rsid w:val="0095545A"/>
    <w:rsid w:val="009558C8"/>
    <w:rsid w:val="00955E23"/>
    <w:rsid w:val="00957D80"/>
    <w:rsid w:val="00960268"/>
    <w:rsid w:val="009607EB"/>
    <w:rsid w:val="00962DCD"/>
    <w:rsid w:val="00965788"/>
    <w:rsid w:val="00965C62"/>
    <w:rsid w:val="00967517"/>
    <w:rsid w:val="009700D7"/>
    <w:rsid w:val="009720F3"/>
    <w:rsid w:val="009726F5"/>
    <w:rsid w:val="009728E3"/>
    <w:rsid w:val="009732D7"/>
    <w:rsid w:val="00973E0B"/>
    <w:rsid w:val="00973F86"/>
    <w:rsid w:val="00976F08"/>
    <w:rsid w:val="0097797D"/>
    <w:rsid w:val="009802FA"/>
    <w:rsid w:val="00980998"/>
    <w:rsid w:val="00983875"/>
    <w:rsid w:val="00984602"/>
    <w:rsid w:val="00985BFC"/>
    <w:rsid w:val="00985DD9"/>
    <w:rsid w:val="0098666D"/>
    <w:rsid w:val="009900A5"/>
    <w:rsid w:val="0099173D"/>
    <w:rsid w:val="009918EF"/>
    <w:rsid w:val="00992153"/>
    <w:rsid w:val="00992418"/>
    <w:rsid w:val="00992A6C"/>
    <w:rsid w:val="00992BDB"/>
    <w:rsid w:val="009947A7"/>
    <w:rsid w:val="00997851"/>
    <w:rsid w:val="00997DCC"/>
    <w:rsid w:val="00997EE1"/>
    <w:rsid w:val="00997EFD"/>
    <w:rsid w:val="00997FC9"/>
    <w:rsid w:val="009A1B70"/>
    <w:rsid w:val="009A2F2A"/>
    <w:rsid w:val="009A2F94"/>
    <w:rsid w:val="009A43FE"/>
    <w:rsid w:val="009A50FF"/>
    <w:rsid w:val="009A520E"/>
    <w:rsid w:val="009A7F3E"/>
    <w:rsid w:val="009B0B96"/>
    <w:rsid w:val="009B2472"/>
    <w:rsid w:val="009B3A65"/>
    <w:rsid w:val="009B4192"/>
    <w:rsid w:val="009B56EE"/>
    <w:rsid w:val="009B5D09"/>
    <w:rsid w:val="009B5E82"/>
    <w:rsid w:val="009C3AB7"/>
    <w:rsid w:val="009C3BFC"/>
    <w:rsid w:val="009C3C87"/>
    <w:rsid w:val="009C452C"/>
    <w:rsid w:val="009C53B2"/>
    <w:rsid w:val="009C5D84"/>
    <w:rsid w:val="009E0B9A"/>
    <w:rsid w:val="009E4365"/>
    <w:rsid w:val="009E632B"/>
    <w:rsid w:val="009E7D15"/>
    <w:rsid w:val="009F0403"/>
    <w:rsid w:val="009F0B51"/>
    <w:rsid w:val="009F2305"/>
    <w:rsid w:val="009F29EA"/>
    <w:rsid w:val="009F4771"/>
    <w:rsid w:val="009F6730"/>
    <w:rsid w:val="00A017CE"/>
    <w:rsid w:val="00A02F01"/>
    <w:rsid w:val="00A050CA"/>
    <w:rsid w:val="00A11675"/>
    <w:rsid w:val="00A11C47"/>
    <w:rsid w:val="00A11C6A"/>
    <w:rsid w:val="00A132A7"/>
    <w:rsid w:val="00A13D67"/>
    <w:rsid w:val="00A1581A"/>
    <w:rsid w:val="00A162C8"/>
    <w:rsid w:val="00A168EF"/>
    <w:rsid w:val="00A20D53"/>
    <w:rsid w:val="00A23773"/>
    <w:rsid w:val="00A25D4F"/>
    <w:rsid w:val="00A26E26"/>
    <w:rsid w:val="00A30849"/>
    <w:rsid w:val="00A3193B"/>
    <w:rsid w:val="00A31E51"/>
    <w:rsid w:val="00A3304F"/>
    <w:rsid w:val="00A3508C"/>
    <w:rsid w:val="00A35954"/>
    <w:rsid w:val="00A35AEF"/>
    <w:rsid w:val="00A40F41"/>
    <w:rsid w:val="00A4203D"/>
    <w:rsid w:val="00A42B21"/>
    <w:rsid w:val="00A4730F"/>
    <w:rsid w:val="00A47BA8"/>
    <w:rsid w:val="00A54601"/>
    <w:rsid w:val="00A56B3B"/>
    <w:rsid w:val="00A57A61"/>
    <w:rsid w:val="00A57D2F"/>
    <w:rsid w:val="00A620B1"/>
    <w:rsid w:val="00A6313A"/>
    <w:rsid w:val="00A63EDC"/>
    <w:rsid w:val="00A70FFB"/>
    <w:rsid w:val="00A71C05"/>
    <w:rsid w:val="00A7286F"/>
    <w:rsid w:val="00A72DF3"/>
    <w:rsid w:val="00A7442A"/>
    <w:rsid w:val="00A749D9"/>
    <w:rsid w:val="00A75220"/>
    <w:rsid w:val="00A75259"/>
    <w:rsid w:val="00A75798"/>
    <w:rsid w:val="00A772DC"/>
    <w:rsid w:val="00A83BD6"/>
    <w:rsid w:val="00A86B9F"/>
    <w:rsid w:val="00A875CC"/>
    <w:rsid w:val="00A90F8B"/>
    <w:rsid w:val="00A91F92"/>
    <w:rsid w:val="00A952C3"/>
    <w:rsid w:val="00A97DE3"/>
    <w:rsid w:val="00AA1207"/>
    <w:rsid w:val="00AA2595"/>
    <w:rsid w:val="00AA3326"/>
    <w:rsid w:val="00AA34E6"/>
    <w:rsid w:val="00AA3852"/>
    <w:rsid w:val="00AA49D4"/>
    <w:rsid w:val="00AA50A7"/>
    <w:rsid w:val="00AA50E2"/>
    <w:rsid w:val="00AA578C"/>
    <w:rsid w:val="00AA7504"/>
    <w:rsid w:val="00AA7A3A"/>
    <w:rsid w:val="00AB1811"/>
    <w:rsid w:val="00AB249F"/>
    <w:rsid w:val="00AB30BF"/>
    <w:rsid w:val="00AB3636"/>
    <w:rsid w:val="00AB46F6"/>
    <w:rsid w:val="00AB59CE"/>
    <w:rsid w:val="00AB6115"/>
    <w:rsid w:val="00AB666F"/>
    <w:rsid w:val="00AB716B"/>
    <w:rsid w:val="00AB7362"/>
    <w:rsid w:val="00AC1781"/>
    <w:rsid w:val="00AC3480"/>
    <w:rsid w:val="00AC4947"/>
    <w:rsid w:val="00AC72D1"/>
    <w:rsid w:val="00AD0D66"/>
    <w:rsid w:val="00AD412F"/>
    <w:rsid w:val="00AE0186"/>
    <w:rsid w:val="00AE1E0C"/>
    <w:rsid w:val="00AE289A"/>
    <w:rsid w:val="00AE541D"/>
    <w:rsid w:val="00AE544D"/>
    <w:rsid w:val="00AE5C82"/>
    <w:rsid w:val="00AF24C1"/>
    <w:rsid w:val="00AF26E3"/>
    <w:rsid w:val="00AF2C86"/>
    <w:rsid w:val="00AF2EB3"/>
    <w:rsid w:val="00AF2F68"/>
    <w:rsid w:val="00AF35FA"/>
    <w:rsid w:val="00AF388B"/>
    <w:rsid w:val="00AF7A6E"/>
    <w:rsid w:val="00AF7AB6"/>
    <w:rsid w:val="00B00966"/>
    <w:rsid w:val="00B01863"/>
    <w:rsid w:val="00B04422"/>
    <w:rsid w:val="00B078AE"/>
    <w:rsid w:val="00B11253"/>
    <w:rsid w:val="00B1490F"/>
    <w:rsid w:val="00B15B88"/>
    <w:rsid w:val="00B15E84"/>
    <w:rsid w:val="00B16AA1"/>
    <w:rsid w:val="00B21802"/>
    <w:rsid w:val="00B21FCE"/>
    <w:rsid w:val="00B23B99"/>
    <w:rsid w:val="00B25944"/>
    <w:rsid w:val="00B274CF"/>
    <w:rsid w:val="00B36229"/>
    <w:rsid w:val="00B36276"/>
    <w:rsid w:val="00B403F3"/>
    <w:rsid w:val="00B41BBD"/>
    <w:rsid w:val="00B42200"/>
    <w:rsid w:val="00B42C4E"/>
    <w:rsid w:val="00B42CCF"/>
    <w:rsid w:val="00B43316"/>
    <w:rsid w:val="00B46C3F"/>
    <w:rsid w:val="00B47D97"/>
    <w:rsid w:val="00B51206"/>
    <w:rsid w:val="00B514FA"/>
    <w:rsid w:val="00B60FD0"/>
    <w:rsid w:val="00B6119A"/>
    <w:rsid w:val="00B62234"/>
    <w:rsid w:val="00B62272"/>
    <w:rsid w:val="00B66A2A"/>
    <w:rsid w:val="00B740A7"/>
    <w:rsid w:val="00B753D3"/>
    <w:rsid w:val="00B76B1E"/>
    <w:rsid w:val="00B775D7"/>
    <w:rsid w:val="00B829BF"/>
    <w:rsid w:val="00B858A1"/>
    <w:rsid w:val="00B85E5A"/>
    <w:rsid w:val="00B861A6"/>
    <w:rsid w:val="00B93944"/>
    <w:rsid w:val="00B94E9D"/>
    <w:rsid w:val="00B94F04"/>
    <w:rsid w:val="00B95462"/>
    <w:rsid w:val="00B965E1"/>
    <w:rsid w:val="00BA0A35"/>
    <w:rsid w:val="00BA1B4E"/>
    <w:rsid w:val="00BA3F48"/>
    <w:rsid w:val="00BA56EF"/>
    <w:rsid w:val="00BA5780"/>
    <w:rsid w:val="00BA6BC4"/>
    <w:rsid w:val="00BB044A"/>
    <w:rsid w:val="00BB275B"/>
    <w:rsid w:val="00BB4FA6"/>
    <w:rsid w:val="00BB6C5B"/>
    <w:rsid w:val="00BB7B14"/>
    <w:rsid w:val="00BC0142"/>
    <w:rsid w:val="00BC09DE"/>
    <w:rsid w:val="00BC5355"/>
    <w:rsid w:val="00BC5AC6"/>
    <w:rsid w:val="00BC5B4F"/>
    <w:rsid w:val="00BC5D20"/>
    <w:rsid w:val="00BC7053"/>
    <w:rsid w:val="00BC78E8"/>
    <w:rsid w:val="00BD0FBD"/>
    <w:rsid w:val="00BD13DA"/>
    <w:rsid w:val="00BD3777"/>
    <w:rsid w:val="00BD65CF"/>
    <w:rsid w:val="00BD6A45"/>
    <w:rsid w:val="00BD6C2D"/>
    <w:rsid w:val="00BD76B8"/>
    <w:rsid w:val="00BD7803"/>
    <w:rsid w:val="00BE3123"/>
    <w:rsid w:val="00BE54B0"/>
    <w:rsid w:val="00BE5CD8"/>
    <w:rsid w:val="00BE7204"/>
    <w:rsid w:val="00BE7ADB"/>
    <w:rsid w:val="00BF1324"/>
    <w:rsid w:val="00BF5434"/>
    <w:rsid w:val="00BF5EDB"/>
    <w:rsid w:val="00BF6F0C"/>
    <w:rsid w:val="00BF7D06"/>
    <w:rsid w:val="00C005CA"/>
    <w:rsid w:val="00C023F4"/>
    <w:rsid w:val="00C05113"/>
    <w:rsid w:val="00C06B26"/>
    <w:rsid w:val="00C06F1A"/>
    <w:rsid w:val="00C07FFD"/>
    <w:rsid w:val="00C1080D"/>
    <w:rsid w:val="00C11866"/>
    <w:rsid w:val="00C12679"/>
    <w:rsid w:val="00C1410B"/>
    <w:rsid w:val="00C14A2D"/>
    <w:rsid w:val="00C17253"/>
    <w:rsid w:val="00C20315"/>
    <w:rsid w:val="00C208C1"/>
    <w:rsid w:val="00C21EDA"/>
    <w:rsid w:val="00C24FCA"/>
    <w:rsid w:val="00C263F4"/>
    <w:rsid w:val="00C26D40"/>
    <w:rsid w:val="00C27BC2"/>
    <w:rsid w:val="00C30BFE"/>
    <w:rsid w:val="00C31046"/>
    <w:rsid w:val="00C32B9C"/>
    <w:rsid w:val="00C32DCD"/>
    <w:rsid w:val="00C34C13"/>
    <w:rsid w:val="00C371C0"/>
    <w:rsid w:val="00C401BD"/>
    <w:rsid w:val="00C41588"/>
    <w:rsid w:val="00C433CD"/>
    <w:rsid w:val="00C45022"/>
    <w:rsid w:val="00C46E26"/>
    <w:rsid w:val="00C47598"/>
    <w:rsid w:val="00C50138"/>
    <w:rsid w:val="00C501D9"/>
    <w:rsid w:val="00C50BA5"/>
    <w:rsid w:val="00C50D0D"/>
    <w:rsid w:val="00C50EA1"/>
    <w:rsid w:val="00C52019"/>
    <w:rsid w:val="00C53069"/>
    <w:rsid w:val="00C6146B"/>
    <w:rsid w:val="00C620B7"/>
    <w:rsid w:val="00C634E9"/>
    <w:rsid w:val="00C6363F"/>
    <w:rsid w:val="00C66600"/>
    <w:rsid w:val="00C66D04"/>
    <w:rsid w:val="00C70BA7"/>
    <w:rsid w:val="00C71ADF"/>
    <w:rsid w:val="00C72BEB"/>
    <w:rsid w:val="00C72DC7"/>
    <w:rsid w:val="00C75D47"/>
    <w:rsid w:val="00C769AB"/>
    <w:rsid w:val="00C7741F"/>
    <w:rsid w:val="00C866FA"/>
    <w:rsid w:val="00C8672B"/>
    <w:rsid w:val="00C87C52"/>
    <w:rsid w:val="00C941D2"/>
    <w:rsid w:val="00C95B70"/>
    <w:rsid w:val="00CA19FE"/>
    <w:rsid w:val="00CA367E"/>
    <w:rsid w:val="00CA466C"/>
    <w:rsid w:val="00CA46D0"/>
    <w:rsid w:val="00CA4B77"/>
    <w:rsid w:val="00CA4E9A"/>
    <w:rsid w:val="00CA53B3"/>
    <w:rsid w:val="00CA5713"/>
    <w:rsid w:val="00CA5CCB"/>
    <w:rsid w:val="00CA68B8"/>
    <w:rsid w:val="00CA6922"/>
    <w:rsid w:val="00CA7898"/>
    <w:rsid w:val="00CB00AF"/>
    <w:rsid w:val="00CB1174"/>
    <w:rsid w:val="00CB46CA"/>
    <w:rsid w:val="00CB561D"/>
    <w:rsid w:val="00CB7B38"/>
    <w:rsid w:val="00CC0F98"/>
    <w:rsid w:val="00CC2D7E"/>
    <w:rsid w:val="00CC32C3"/>
    <w:rsid w:val="00CC35C3"/>
    <w:rsid w:val="00CC5D56"/>
    <w:rsid w:val="00CC66AA"/>
    <w:rsid w:val="00CC69B5"/>
    <w:rsid w:val="00CD0552"/>
    <w:rsid w:val="00CD0E4B"/>
    <w:rsid w:val="00CD2858"/>
    <w:rsid w:val="00CD34CB"/>
    <w:rsid w:val="00CD6CD6"/>
    <w:rsid w:val="00CE2EE3"/>
    <w:rsid w:val="00CE327A"/>
    <w:rsid w:val="00CE33FF"/>
    <w:rsid w:val="00CE450C"/>
    <w:rsid w:val="00CE4894"/>
    <w:rsid w:val="00CE4DFF"/>
    <w:rsid w:val="00CE4E7C"/>
    <w:rsid w:val="00CE4F3A"/>
    <w:rsid w:val="00CE6631"/>
    <w:rsid w:val="00CE7052"/>
    <w:rsid w:val="00CF0E63"/>
    <w:rsid w:val="00CF0F18"/>
    <w:rsid w:val="00CF6DC0"/>
    <w:rsid w:val="00D00F70"/>
    <w:rsid w:val="00D01065"/>
    <w:rsid w:val="00D03274"/>
    <w:rsid w:val="00D0347D"/>
    <w:rsid w:val="00D0520D"/>
    <w:rsid w:val="00D05E3A"/>
    <w:rsid w:val="00D065F0"/>
    <w:rsid w:val="00D06E06"/>
    <w:rsid w:val="00D12E5A"/>
    <w:rsid w:val="00D14BA1"/>
    <w:rsid w:val="00D20756"/>
    <w:rsid w:val="00D211C0"/>
    <w:rsid w:val="00D226C0"/>
    <w:rsid w:val="00D24A4B"/>
    <w:rsid w:val="00D24CD9"/>
    <w:rsid w:val="00D310DC"/>
    <w:rsid w:val="00D319AC"/>
    <w:rsid w:val="00D321BF"/>
    <w:rsid w:val="00D33C06"/>
    <w:rsid w:val="00D33C30"/>
    <w:rsid w:val="00D35589"/>
    <w:rsid w:val="00D35A44"/>
    <w:rsid w:val="00D42544"/>
    <w:rsid w:val="00D427F0"/>
    <w:rsid w:val="00D43527"/>
    <w:rsid w:val="00D44685"/>
    <w:rsid w:val="00D47117"/>
    <w:rsid w:val="00D47357"/>
    <w:rsid w:val="00D50539"/>
    <w:rsid w:val="00D5107D"/>
    <w:rsid w:val="00D51436"/>
    <w:rsid w:val="00D51BE6"/>
    <w:rsid w:val="00D54576"/>
    <w:rsid w:val="00D618E5"/>
    <w:rsid w:val="00D64768"/>
    <w:rsid w:val="00D64CAD"/>
    <w:rsid w:val="00D64D6C"/>
    <w:rsid w:val="00D6609F"/>
    <w:rsid w:val="00D66812"/>
    <w:rsid w:val="00D74931"/>
    <w:rsid w:val="00D74D81"/>
    <w:rsid w:val="00D75C90"/>
    <w:rsid w:val="00D764F4"/>
    <w:rsid w:val="00D76663"/>
    <w:rsid w:val="00D806C0"/>
    <w:rsid w:val="00D822FF"/>
    <w:rsid w:val="00D86091"/>
    <w:rsid w:val="00D865FC"/>
    <w:rsid w:val="00D90CE8"/>
    <w:rsid w:val="00D91180"/>
    <w:rsid w:val="00D92F6E"/>
    <w:rsid w:val="00D93EBC"/>
    <w:rsid w:val="00D94F13"/>
    <w:rsid w:val="00D958A6"/>
    <w:rsid w:val="00D96854"/>
    <w:rsid w:val="00DA0B38"/>
    <w:rsid w:val="00DA1355"/>
    <w:rsid w:val="00DA138B"/>
    <w:rsid w:val="00DA3DC1"/>
    <w:rsid w:val="00DA74CA"/>
    <w:rsid w:val="00DB0C74"/>
    <w:rsid w:val="00DB13CA"/>
    <w:rsid w:val="00DB25AF"/>
    <w:rsid w:val="00DB2DA5"/>
    <w:rsid w:val="00DB4844"/>
    <w:rsid w:val="00DC2B3B"/>
    <w:rsid w:val="00DC392B"/>
    <w:rsid w:val="00DC3BCB"/>
    <w:rsid w:val="00DC3F47"/>
    <w:rsid w:val="00DC46F8"/>
    <w:rsid w:val="00DC63D2"/>
    <w:rsid w:val="00DC6A43"/>
    <w:rsid w:val="00DD4D76"/>
    <w:rsid w:val="00DD550E"/>
    <w:rsid w:val="00DD5BFE"/>
    <w:rsid w:val="00DD64C2"/>
    <w:rsid w:val="00DD78A6"/>
    <w:rsid w:val="00DE09A2"/>
    <w:rsid w:val="00DE15D4"/>
    <w:rsid w:val="00DE42DF"/>
    <w:rsid w:val="00DE4E38"/>
    <w:rsid w:val="00DE78D1"/>
    <w:rsid w:val="00DF251F"/>
    <w:rsid w:val="00DF31D2"/>
    <w:rsid w:val="00DF35B4"/>
    <w:rsid w:val="00DF4D65"/>
    <w:rsid w:val="00DF54F8"/>
    <w:rsid w:val="00DF58DC"/>
    <w:rsid w:val="00DF7402"/>
    <w:rsid w:val="00DF755B"/>
    <w:rsid w:val="00DF7977"/>
    <w:rsid w:val="00E00719"/>
    <w:rsid w:val="00E01D52"/>
    <w:rsid w:val="00E0225C"/>
    <w:rsid w:val="00E02D39"/>
    <w:rsid w:val="00E0569E"/>
    <w:rsid w:val="00E05D7D"/>
    <w:rsid w:val="00E11711"/>
    <w:rsid w:val="00E14CC5"/>
    <w:rsid w:val="00E16560"/>
    <w:rsid w:val="00E206C1"/>
    <w:rsid w:val="00E22156"/>
    <w:rsid w:val="00E25C34"/>
    <w:rsid w:val="00E267D8"/>
    <w:rsid w:val="00E2703F"/>
    <w:rsid w:val="00E272FB"/>
    <w:rsid w:val="00E311A4"/>
    <w:rsid w:val="00E325BA"/>
    <w:rsid w:val="00E338F2"/>
    <w:rsid w:val="00E33D00"/>
    <w:rsid w:val="00E36E0E"/>
    <w:rsid w:val="00E40CD0"/>
    <w:rsid w:val="00E42E47"/>
    <w:rsid w:val="00E4628A"/>
    <w:rsid w:val="00E46AC5"/>
    <w:rsid w:val="00E46BA2"/>
    <w:rsid w:val="00E46D36"/>
    <w:rsid w:val="00E521D2"/>
    <w:rsid w:val="00E5446F"/>
    <w:rsid w:val="00E546C9"/>
    <w:rsid w:val="00E5642F"/>
    <w:rsid w:val="00E57375"/>
    <w:rsid w:val="00E57432"/>
    <w:rsid w:val="00E60E69"/>
    <w:rsid w:val="00E61F3E"/>
    <w:rsid w:val="00E62EF2"/>
    <w:rsid w:val="00E630DC"/>
    <w:rsid w:val="00E634DC"/>
    <w:rsid w:val="00E66F2E"/>
    <w:rsid w:val="00E67430"/>
    <w:rsid w:val="00E70743"/>
    <w:rsid w:val="00E70E32"/>
    <w:rsid w:val="00E747E2"/>
    <w:rsid w:val="00E751F6"/>
    <w:rsid w:val="00E75BFF"/>
    <w:rsid w:val="00E75C98"/>
    <w:rsid w:val="00E75DDE"/>
    <w:rsid w:val="00E76623"/>
    <w:rsid w:val="00E77D5E"/>
    <w:rsid w:val="00E8100B"/>
    <w:rsid w:val="00E825E9"/>
    <w:rsid w:val="00E83671"/>
    <w:rsid w:val="00E90521"/>
    <w:rsid w:val="00E90576"/>
    <w:rsid w:val="00E923E3"/>
    <w:rsid w:val="00E924FC"/>
    <w:rsid w:val="00E93A09"/>
    <w:rsid w:val="00E957EF"/>
    <w:rsid w:val="00E979B0"/>
    <w:rsid w:val="00E97EB5"/>
    <w:rsid w:val="00EA0A27"/>
    <w:rsid w:val="00EA37B0"/>
    <w:rsid w:val="00EA587B"/>
    <w:rsid w:val="00EA63C4"/>
    <w:rsid w:val="00EA73DF"/>
    <w:rsid w:val="00EA7C0A"/>
    <w:rsid w:val="00EB01A5"/>
    <w:rsid w:val="00EB0461"/>
    <w:rsid w:val="00EB28C5"/>
    <w:rsid w:val="00EB34B4"/>
    <w:rsid w:val="00EB51F0"/>
    <w:rsid w:val="00EB5448"/>
    <w:rsid w:val="00EC00D3"/>
    <w:rsid w:val="00EC2984"/>
    <w:rsid w:val="00EC3980"/>
    <w:rsid w:val="00EC4D46"/>
    <w:rsid w:val="00EC611F"/>
    <w:rsid w:val="00EC6BB2"/>
    <w:rsid w:val="00ED005B"/>
    <w:rsid w:val="00ED0257"/>
    <w:rsid w:val="00ED40E5"/>
    <w:rsid w:val="00ED52CE"/>
    <w:rsid w:val="00ED5E99"/>
    <w:rsid w:val="00ED6D43"/>
    <w:rsid w:val="00ED7573"/>
    <w:rsid w:val="00EE0E22"/>
    <w:rsid w:val="00EE104D"/>
    <w:rsid w:val="00EE31C8"/>
    <w:rsid w:val="00EE3321"/>
    <w:rsid w:val="00EE48B1"/>
    <w:rsid w:val="00EE6E97"/>
    <w:rsid w:val="00EE7599"/>
    <w:rsid w:val="00EF45A0"/>
    <w:rsid w:val="00EF5D4D"/>
    <w:rsid w:val="00EF6444"/>
    <w:rsid w:val="00F0004E"/>
    <w:rsid w:val="00F01B6C"/>
    <w:rsid w:val="00F01FE5"/>
    <w:rsid w:val="00F03159"/>
    <w:rsid w:val="00F03CD5"/>
    <w:rsid w:val="00F06273"/>
    <w:rsid w:val="00F066C9"/>
    <w:rsid w:val="00F06DA0"/>
    <w:rsid w:val="00F06EA6"/>
    <w:rsid w:val="00F11FC5"/>
    <w:rsid w:val="00F147E8"/>
    <w:rsid w:val="00F15A58"/>
    <w:rsid w:val="00F15D6D"/>
    <w:rsid w:val="00F1771D"/>
    <w:rsid w:val="00F20D61"/>
    <w:rsid w:val="00F2233E"/>
    <w:rsid w:val="00F2267A"/>
    <w:rsid w:val="00F22BC3"/>
    <w:rsid w:val="00F24478"/>
    <w:rsid w:val="00F26187"/>
    <w:rsid w:val="00F270E4"/>
    <w:rsid w:val="00F27DB9"/>
    <w:rsid w:val="00F313DF"/>
    <w:rsid w:val="00F31D5A"/>
    <w:rsid w:val="00F31F2E"/>
    <w:rsid w:val="00F3253F"/>
    <w:rsid w:val="00F3795D"/>
    <w:rsid w:val="00F432AE"/>
    <w:rsid w:val="00F43544"/>
    <w:rsid w:val="00F44CE8"/>
    <w:rsid w:val="00F4702B"/>
    <w:rsid w:val="00F475A1"/>
    <w:rsid w:val="00F540AB"/>
    <w:rsid w:val="00F55DD4"/>
    <w:rsid w:val="00F55F21"/>
    <w:rsid w:val="00F57297"/>
    <w:rsid w:val="00F61217"/>
    <w:rsid w:val="00F6658D"/>
    <w:rsid w:val="00F67E15"/>
    <w:rsid w:val="00F716BF"/>
    <w:rsid w:val="00F71DD1"/>
    <w:rsid w:val="00F726B2"/>
    <w:rsid w:val="00F761F2"/>
    <w:rsid w:val="00F7650D"/>
    <w:rsid w:val="00F7733D"/>
    <w:rsid w:val="00F7783B"/>
    <w:rsid w:val="00F82675"/>
    <w:rsid w:val="00F83536"/>
    <w:rsid w:val="00F845E1"/>
    <w:rsid w:val="00F85762"/>
    <w:rsid w:val="00F9147A"/>
    <w:rsid w:val="00F94C8D"/>
    <w:rsid w:val="00F9662C"/>
    <w:rsid w:val="00F97E5F"/>
    <w:rsid w:val="00FA18E2"/>
    <w:rsid w:val="00FA2199"/>
    <w:rsid w:val="00FA2500"/>
    <w:rsid w:val="00FA276F"/>
    <w:rsid w:val="00FA3EFC"/>
    <w:rsid w:val="00FA6374"/>
    <w:rsid w:val="00FA70C2"/>
    <w:rsid w:val="00FA73A1"/>
    <w:rsid w:val="00FA7EE3"/>
    <w:rsid w:val="00FB344C"/>
    <w:rsid w:val="00FB4F1C"/>
    <w:rsid w:val="00FB6C21"/>
    <w:rsid w:val="00FC03A7"/>
    <w:rsid w:val="00FC0524"/>
    <w:rsid w:val="00FC3ED0"/>
    <w:rsid w:val="00FC67F4"/>
    <w:rsid w:val="00FC6FA7"/>
    <w:rsid w:val="00FD050C"/>
    <w:rsid w:val="00FD1831"/>
    <w:rsid w:val="00FD21C8"/>
    <w:rsid w:val="00FD4007"/>
    <w:rsid w:val="00FD5222"/>
    <w:rsid w:val="00FD574F"/>
    <w:rsid w:val="00FE0DA0"/>
    <w:rsid w:val="00FE28DB"/>
    <w:rsid w:val="00FE3AB1"/>
    <w:rsid w:val="00FE7115"/>
    <w:rsid w:val="00FF17AC"/>
    <w:rsid w:val="00FF4C32"/>
    <w:rsid w:val="00FF5117"/>
    <w:rsid w:val="00FF56FB"/>
    <w:rsid w:val="00FF59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028ECE"/>
  <w15:chartTrackingRefBased/>
  <w15:docId w15:val="{596FE2E7-E1A3-4FA4-89ED-1C0A09C21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N"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D43"/>
  </w:style>
  <w:style w:type="paragraph" w:styleId="Heading1">
    <w:name w:val="heading 1"/>
    <w:basedOn w:val="Normal"/>
    <w:next w:val="Normal"/>
    <w:link w:val="Heading1Char"/>
    <w:uiPriority w:val="9"/>
    <w:qFormat/>
    <w:rsid w:val="00831D43"/>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31D43"/>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831D43"/>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31D43"/>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31D43"/>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31D43"/>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31D43"/>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831D43"/>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31D43"/>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31D43"/>
    <w:rPr>
      <w:i/>
      <w:iCs/>
    </w:rPr>
  </w:style>
  <w:style w:type="character" w:styleId="Strong">
    <w:name w:val="Strong"/>
    <w:basedOn w:val="DefaultParagraphFont"/>
    <w:uiPriority w:val="22"/>
    <w:qFormat/>
    <w:rsid w:val="00831D43"/>
    <w:rPr>
      <w:b/>
      <w:bCs/>
    </w:rPr>
  </w:style>
  <w:style w:type="character" w:styleId="Hyperlink">
    <w:name w:val="Hyperlink"/>
    <w:basedOn w:val="DefaultParagraphFont"/>
    <w:uiPriority w:val="99"/>
    <w:semiHidden/>
    <w:unhideWhenUsed/>
    <w:rsid w:val="00DC3F47"/>
    <w:rPr>
      <w:color w:val="0000FF"/>
      <w:u w:val="single"/>
    </w:rPr>
  </w:style>
  <w:style w:type="table" w:styleId="TableGrid">
    <w:name w:val="Table Grid"/>
    <w:basedOn w:val="TableNormal"/>
    <w:uiPriority w:val="39"/>
    <w:rsid w:val="00394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31D4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31D43"/>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31D43"/>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31D43"/>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31D43"/>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31D43"/>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31D43"/>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831D43"/>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31D43"/>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31D43"/>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831D43"/>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831D43"/>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831D43"/>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31D43"/>
    <w:rPr>
      <w:rFonts w:asciiTheme="majorHAnsi" w:eastAsiaTheme="majorEastAsia" w:hAnsiTheme="majorHAnsi" w:cstheme="majorBidi"/>
      <w:sz w:val="24"/>
      <w:szCs w:val="24"/>
    </w:rPr>
  </w:style>
  <w:style w:type="paragraph" w:styleId="NoSpacing">
    <w:name w:val="No Spacing"/>
    <w:uiPriority w:val="1"/>
    <w:qFormat/>
    <w:rsid w:val="00831D43"/>
    <w:pPr>
      <w:spacing w:after="0" w:line="240" w:lineRule="auto"/>
    </w:pPr>
  </w:style>
  <w:style w:type="paragraph" w:styleId="Quote">
    <w:name w:val="Quote"/>
    <w:basedOn w:val="Normal"/>
    <w:next w:val="Normal"/>
    <w:link w:val="QuoteChar"/>
    <w:uiPriority w:val="29"/>
    <w:qFormat/>
    <w:rsid w:val="00831D43"/>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31D43"/>
    <w:rPr>
      <w:i/>
      <w:iCs/>
      <w:color w:val="404040" w:themeColor="text1" w:themeTint="BF"/>
    </w:rPr>
  </w:style>
  <w:style w:type="paragraph" w:styleId="IntenseQuote">
    <w:name w:val="Intense Quote"/>
    <w:basedOn w:val="Normal"/>
    <w:next w:val="Normal"/>
    <w:link w:val="IntenseQuoteChar"/>
    <w:uiPriority w:val="30"/>
    <w:qFormat/>
    <w:rsid w:val="00831D43"/>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831D43"/>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831D43"/>
    <w:rPr>
      <w:i/>
      <w:iCs/>
      <w:color w:val="404040" w:themeColor="text1" w:themeTint="BF"/>
    </w:rPr>
  </w:style>
  <w:style w:type="character" w:styleId="IntenseEmphasis">
    <w:name w:val="Intense Emphasis"/>
    <w:basedOn w:val="DefaultParagraphFont"/>
    <w:uiPriority w:val="21"/>
    <w:qFormat/>
    <w:rsid w:val="00831D43"/>
    <w:rPr>
      <w:b/>
      <w:bCs/>
      <w:i/>
      <w:iCs/>
    </w:rPr>
  </w:style>
  <w:style w:type="character" w:styleId="SubtleReference">
    <w:name w:val="Subtle Reference"/>
    <w:basedOn w:val="DefaultParagraphFont"/>
    <w:uiPriority w:val="31"/>
    <w:qFormat/>
    <w:rsid w:val="00831D4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31D43"/>
    <w:rPr>
      <w:b/>
      <w:bCs/>
      <w:smallCaps/>
      <w:spacing w:val="5"/>
      <w:u w:val="single"/>
    </w:rPr>
  </w:style>
  <w:style w:type="character" w:styleId="BookTitle">
    <w:name w:val="Book Title"/>
    <w:basedOn w:val="DefaultParagraphFont"/>
    <w:uiPriority w:val="33"/>
    <w:qFormat/>
    <w:rsid w:val="00831D43"/>
    <w:rPr>
      <w:b/>
      <w:bCs/>
      <w:smallCaps/>
    </w:rPr>
  </w:style>
  <w:style w:type="paragraph" w:styleId="TOCHeading">
    <w:name w:val="TOC Heading"/>
    <w:basedOn w:val="Heading1"/>
    <w:next w:val="Normal"/>
    <w:uiPriority w:val="39"/>
    <w:semiHidden/>
    <w:unhideWhenUsed/>
    <w:qFormat/>
    <w:rsid w:val="00831D43"/>
    <w:pPr>
      <w:outlineLvl w:val="9"/>
    </w:pPr>
  </w:style>
  <w:style w:type="paragraph" w:styleId="Header">
    <w:name w:val="header"/>
    <w:basedOn w:val="Normal"/>
    <w:link w:val="HeaderChar"/>
    <w:uiPriority w:val="99"/>
    <w:unhideWhenUsed/>
    <w:rsid w:val="00831D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D43"/>
  </w:style>
  <w:style w:type="paragraph" w:styleId="Footer">
    <w:name w:val="footer"/>
    <w:basedOn w:val="Normal"/>
    <w:link w:val="FooterChar"/>
    <w:uiPriority w:val="99"/>
    <w:unhideWhenUsed/>
    <w:rsid w:val="00831D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D43"/>
  </w:style>
  <w:style w:type="paragraph" w:styleId="ListParagraph">
    <w:name w:val="List Paragraph"/>
    <w:basedOn w:val="Normal"/>
    <w:uiPriority w:val="34"/>
    <w:qFormat/>
    <w:rsid w:val="00280067"/>
    <w:pPr>
      <w:ind w:left="720"/>
      <w:contextualSpacing/>
    </w:pPr>
  </w:style>
  <w:style w:type="paragraph" w:styleId="NormalWeb">
    <w:name w:val="Normal (Web)"/>
    <w:basedOn w:val="Normal"/>
    <w:uiPriority w:val="99"/>
    <w:semiHidden/>
    <w:unhideWhenUsed/>
    <w:rsid w:val="00B94F0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Revision">
    <w:name w:val="Revision"/>
    <w:hidden/>
    <w:uiPriority w:val="99"/>
    <w:semiHidden/>
    <w:rsid w:val="00683B7F"/>
    <w:pPr>
      <w:spacing w:after="0" w:line="240" w:lineRule="auto"/>
    </w:pPr>
  </w:style>
  <w:style w:type="paragraph" w:customStyle="1" w:styleId="Default">
    <w:name w:val="Default"/>
    <w:rsid w:val="00915985"/>
    <w:pPr>
      <w:autoSpaceDE w:val="0"/>
      <w:autoSpaceDN w:val="0"/>
      <w:adjustRightInd w:val="0"/>
      <w:spacing w:after="0" w:line="240" w:lineRule="auto"/>
    </w:pPr>
    <w:rPr>
      <w:rFonts w:ascii="ScalaLancetPro" w:hAnsi="ScalaLancetPro" w:cs="ScalaLancetPro"/>
      <w:color w:val="000000"/>
      <w:sz w:val="24"/>
      <w:szCs w:val="24"/>
      <w:lang w:val="en-US"/>
    </w:rPr>
  </w:style>
  <w:style w:type="character" w:customStyle="1" w:styleId="A5">
    <w:name w:val="A5"/>
    <w:uiPriority w:val="99"/>
    <w:rsid w:val="00915985"/>
    <w:rPr>
      <w:rFonts w:cs="ScalaLancetPro"/>
      <w:color w:val="000000"/>
      <w:sz w:val="9"/>
      <w:szCs w:val="9"/>
    </w:rPr>
  </w:style>
  <w:style w:type="character" w:customStyle="1" w:styleId="html-italic">
    <w:name w:val="html-italic"/>
    <w:basedOn w:val="DefaultParagraphFont"/>
    <w:rsid w:val="00D92F6E"/>
  </w:style>
  <w:style w:type="character" w:customStyle="1" w:styleId="ref-lnk">
    <w:name w:val="ref-lnk"/>
    <w:basedOn w:val="DefaultParagraphFont"/>
    <w:rsid w:val="009C452C"/>
  </w:style>
  <w:style w:type="character" w:customStyle="1" w:styleId="off-screen">
    <w:name w:val="off-screen"/>
    <w:basedOn w:val="DefaultParagraphFont"/>
    <w:rsid w:val="009C452C"/>
  </w:style>
  <w:style w:type="paragraph" w:customStyle="1" w:styleId="TableParagraph">
    <w:name w:val="Table Paragraph"/>
    <w:basedOn w:val="Normal"/>
    <w:uiPriority w:val="1"/>
    <w:qFormat/>
    <w:rsid w:val="008C50EC"/>
    <w:pPr>
      <w:widowControl w:val="0"/>
      <w:autoSpaceDE w:val="0"/>
      <w:autoSpaceDN w:val="0"/>
      <w:spacing w:before="31" w:after="0" w:line="240" w:lineRule="auto"/>
      <w:ind w:right="-15"/>
      <w:jc w:val="right"/>
    </w:pPr>
    <w:rPr>
      <w:rFonts w:ascii="Times New Roman" w:eastAsia="Times New Roman" w:hAnsi="Times New Roman" w:cs="Times New Roman"/>
      <w:sz w:val="22"/>
      <w:szCs w:val="22"/>
      <w:lang w:val="en-US"/>
    </w:rPr>
  </w:style>
  <w:style w:type="character" w:customStyle="1" w:styleId="hlfld-title">
    <w:name w:val="hlfld-title"/>
    <w:basedOn w:val="DefaultParagraphFont"/>
    <w:rsid w:val="00A70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61035">
      <w:bodyDiv w:val="1"/>
      <w:marLeft w:val="0"/>
      <w:marRight w:val="0"/>
      <w:marTop w:val="0"/>
      <w:marBottom w:val="0"/>
      <w:divBdr>
        <w:top w:val="none" w:sz="0" w:space="0" w:color="auto"/>
        <w:left w:val="none" w:sz="0" w:space="0" w:color="auto"/>
        <w:bottom w:val="none" w:sz="0" w:space="0" w:color="auto"/>
        <w:right w:val="none" w:sz="0" w:space="0" w:color="auto"/>
      </w:divBdr>
    </w:div>
    <w:div w:id="105858068">
      <w:bodyDiv w:val="1"/>
      <w:marLeft w:val="0"/>
      <w:marRight w:val="0"/>
      <w:marTop w:val="0"/>
      <w:marBottom w:val="0"/>
      <w:divBdr>
        <w:top w:val="none" w:sz="0" w:space="0" w:color="auto"/>
        <w:left w:val="none" w:sz="0" w:space="0" w:color="auto"/>
        <w:bottom w:val="none" w:sz="0" w:space="0" w:color="auto"/>
        <w:right w:val="none" w:sz="0" w:space="0" w:color="auto"/>
      </w:divBdr>
    </w:div>
    <w:div w:id="358241972">
      <w:bodyDiv w:val="1"/>
      <w:marLeft w:val="0"/>
      <w:marRight w:val="0"/>
      <w:marTop w:val="0"/>
      <w:marBottom w:val="0"/>
      <w:divBdr>
        <w:top w:val="none" w:sz="0" w:space="0" w:color="auto"/>
        <w:left w:val="none" w:sz="0" w:space="0" w:color="auto"/>
        <w:bottom w:val="none" w:sz="0" w:space="0" w:color="auto"/>
        <w:right w:val="none" w:sz="0" w:space="0" w:color="auto"/>
      </w:divBdr>
    </w:div>
    <w:div w:id="451242705">
      <w:bodyDiv w:val="1"/>
      <w:marLeft w:val="0"/>
      <w:marRight w:val="0"/>
      <w:marTop w:val="0"/>
      <w:marBottom w:val="0"/>
      <w:divBdr>
        <w:top w:val="none" w:sz="0" w:space="0" w:color="auto"/>
        <w:left w:val="none" w:sz="0" w:space="0" w:color="auto"/>
        <w:bottom w:val="none" w:sz="0" w:space="0" w:color="auto"/>
        <w:right w:val="none" w:sz="0" w:space="0" w:color="auto"/>
      </w:divBdr>
    </w:div>
    <w:div w:id="550313106">
      <w:bodyDiv w:val="1"/>
      <w:marLeft w:val="0"/>
      <w:marRight w:val="0"/>
      <w:marTop w:val="0"/>
      <w:marBottom w:val="0"/>
      <w:divBdr>
        <w:top w:val="none" w:sz="0" w:space="0" w:color="auto"/>
        <w:left w:val="none" w:sz="0" w:space="0" w:color="auto"/>
        <w:bottom w:val="none" w:sz="0" w:space="0" w:color="auto"/>
        <w:right w:val="none" w:sz="0" w:space="0" w:color="auto"/>
      </w:divBdr>
    </w:div>
    <w:div w:id="871576088">
      <w:bodyDiv w:val="1"/>
      <w:marLeft w:val="0"/>
      <w:marRight w:val="0"/>
      <w:marTop w:val="0"/>
      <w:marBottom w:val="0"/>
      <w:divBdr>
        <w:top w:val="none" w:sz="0" w:space="0" w:color="auto"/>
        <w:left w:val="none" w:sz="0" w:space="0" w:color="auto"/>
        <w:bottom w:val="none" w:sz="0" w:space="0" w:color="auto"/>
        <w:right w:val="none" w:sz="0" w:space="0" w:color="auto"/>
      </w:divBdr>
    </w:div>
    <w:div w:id="1131289106">
      <w:bodyDiv w:val="1"/>
      <w:marLeft w:val="0"/>
      <w:marRight w:val="0"/>
      <w:marTop w:val="0"/>
      <w:marBottom w:val="0"/>
      <w:divBdr>
        <w:top w:val="none" w:sz="0" w:space="0" w:color="auto"/>
        <w:left w:val="none" w:sz="0" w:space="0" w:color="auto"/>
        <w:bottom w:val="none" w:sz="0" w:space="0" w:color="auto"/>
        <w:right w:val="none" w:sz="0" w:space="0" w:color="auto"/>
      </w:divBdr>
    </w:div>
    <w:div w:id="1260790911">
      <w:bodyDiv w:val="1"/>
      <w:marLeft w:val="0"/>
      <w:marRight w:val="0"/>
      <w:marTop w:val="0"/>
      <w:marBottom w:val="0"/>
      <w:divBdr>
        <w:top w:val="none" w:sz="0" w:space="0" w:color="auto"/>
        <w:left w:val="none" w:sz="0" w:space="0" w:color="auto"/>
        <w:bottom w:val="none" w:sz="0" w:space="0" w:color="auto"/>
        <w:right w:val="none" w:sz="0" w:space="0" w:color="auto"/>
      </w:divBdr>
    </w:div>
    <w:div w:id="1450392951">
      <w:bodyDiv w:val="1"/>
      <w:marLeft w:val="0"/>
      <w:marRight w:val="0"/>
      <w:marTop w:val="0"/>
      <w:marBottom w:val="0"/>
      <w:divBdr>
        <w:top w:val="none" w:sz="0" w:space="0" w:color="auto"/>
        <w:left w:val="none" w:sz="0" w:space="0" w:color="auto"/>
        <w:bottom w:val="none" w:sz="0" w:space="0" w:color="auto"/>
        <w:right w:val="none" w:sz="0" w:space="0" w:color="auto"/>
      </w:divBdr>
    </w:div>
    <w:div w:id="1466850736">
      <w:bodyDiv w:val="1"/>
      <w:marLeft w:val="0"/>
      <w:marRight w:val="0"/>
      <w:marTop w:val="0"/>
      <w:marBottom w:val="0"/>
      <w:divBdr>
        <w:top w:val="none" w:sz="0" w:space="0" w:color="auto"/>
        <w:left w:val="none" w:sz="0" w:space="0" w:color="auto"/>
        <w:bottom w:val="none" w:sz="0" w:space="0" w:color="auto"/>
        <w:right w:val="none" w:sz="0" w:space="0" w:color="auto"/>
      </w:divBdr>
    </w:div>
    <w:div w:id="1656565582">
      <w:bodyDiv w:val="1"/>
      <w:marLeft w:val="0"/>
      <w:marRight w:val="0"/>
      <w:marTop w:val="0"/>
      <w:marBottom w:val="0"/>
      <w:divBdr>
        <w:top w:val="none" w:sz="0" w:space="0" w:color="auto"/>
        <w:left w:val="none" w:sz="0" w:space="0" w:color="auto"/>
        <w:bottom w:val="none" w:sz="0" w:space="0" w:color="auto"/>
        <w:right w:val="none" w:sz="0" w:space="0" w:color="auto"/>
      </w:divBdr>
    </w:div>
    <w:div w:id="1781341118">
      <w:bodyDiv w:val="1"/>
      <w:marLeft w:val="0"/>
      <w:marRight w:val="0"/>
      <w:marTop w:val="0"/>
      <w:marBottom w:val="0"/>
      <w:divBdr>
        <w:top w:val="none" w:sz="0" w:space="0" w:color="auto"/>
        <w:left w:val="none" w:sz="0" w:space="0" w:color="auto"/>
        <w:bottom w:val="none" w:sz="0" w:space="0" w:color="auto"/>
        <w:right w:val="none" w:sz="0" w:space="0" w:color="auto"/>
      </w:divBdr>
    </w:div>
    <w:div w:id="1805460594">
      <w:bodyDiv w:val="1"/>
      <w:marLeft w:val="0"/>
      <w:marRight w:val="0"/>
      <w:marTop w:val="0"/>
      <w:marBottom w:val="0"/>
      <w:divBdr>
        <w:top w:val="none" w:sz="0" w:space="0" w:color="auto"/>
        <w:left w:val="none" w:sz="0" w:space="0" w:color="auto"/>
        <w:bottom w:val="none" w:sz="0" w:space="0" w:color="auto"/>
        <w:right w:val="none" w:sz="0" w:space="0" w:color="auto"/>
      </w:divBdr>
    </w:div>
    <w:div w:id="1806658601">
      <w:bodyDiv w:val="1"/>
      <w:marLeft w:val="0"/>
      <w:marRight w:val="0"/>
      <w:marTop w:val="0"/>
      <w:marBottom w:val="0"/>
      <w:divBdr>
        <w:top w:val="none" w:sz="0" w:space="0" w:color="auto"/>
        <w:left w:val="none" w:sz="0" w:space="0" w:color="auto"/>
        <w:bottom w:val="none" w:sz="0" w:space="0" w:color="auto"/>
        <w:right w:val="none" w:sz="0" w:space="0" w:color="auto"/>
      </w:divBdr>
    </w:div>
    <w:div w:id="1859923738">
      <w:bodyDiv w:val="1"/>
      <w:marLeft w:val="0"/>
      <w:marRight w:val="0"/>
      <w:marTop w:val="0"/>
      <w:marBottom w:val="0"/>
      <w:divBdr>
        <w:top w:val="none" w:sz="0" w:space="0" w:color="auto"/>
        <w:left w:val="none" w:sz="0" w:space="0" w:color="auto"/>
        <w:bottom w:val="none" w:sz="0" w:space="0" w:color="auto"/>
        <w:right w:val="none" w:sz="0" w:space="0" w:color="auto"/>
      </w:divBdr>
    </w:div>
    <w:div w:id="197377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E6664-6C5D-4482-A08D-CE866E16769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43536</Words>
  <Characters>248158</Characters>
  <Application>Microsoft Office Word</Application>
  <DocSecurity>0</DocSecurity>
  <Lines>2067</Lines>
  <Paragraphs>582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DEVID CHUTIA</dc:creator>
  <cp:keywords/>
  <dc:description/>
  <cp:lastModifiedBy>samananda singh</cp:lastModifiedBy>
  <cp:revision>2</cp:revision>
  <dcterms:created xsi:type="dcterms:W3CDTF">2023-08-12T13:22:00Z</dcterms:created>
  <dcterms:modified xsi:type="dcterms:W3CDTF">2023-08-12T13:22:00Z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http://www.zotero.org/styles/acta-tropica</vt:lpwstr>
  </property>
  <property fmtid="{D5CDD505-2E9C-101B-9397-08002B2CF9AE}" pid="3" name="Mendeley Recent Style Name 0_1">
    <vt:lpwstr>Acta Tropica</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http://www.zotero.org/styles/indian-journal-of-pharmacology</vt:lpwstr>
  </property>
  <property fmtid="{D5CDD505-2E9C-101B-9397-08002B2CF9AE}" pid="17" name="Mendeley Recent Style Name 7_1">
    <vt:lpwstr>Indian Journal of Pharmacology</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GrammarlyDocumentId">
    <vt:lpwstr>2e2b6f7108b6227f4c1a36302767525d061e419b99bf9d737342e68db0167331</vt:lpwstr>
  </property>
  <property fmtid="{D5CDD505-2E9C-101B-9397-08002B2CF9AE}" pid="23" name="Mendeley Document_1">
    <vt:lpwstr>True</vt:lpwstr>
  </property>
  <property fmtid="{D5CDD505-2E9C-101B-9397-08002B2CF9AE}" pid="24" name="Mendeley Unique User Id_1">
    <vt:lpwstr>39121928-d3f3-3f21-b050-58b1c99ac60c</vt:lpwstr>
  </property>
  <property fmtid="{D5CDD505-2E9C-101B-9397-08002B2CF9AE}" pid="25" name="Mendeley Citation Style_1">
    <vt:lpwstr>http://www.zotero.org/styles/acta-tropica</vt:lpwstr>
  </property>
</Properties>
</file>