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17C" w:rsidRDefault="006C717C" w:rsidP="006C717C">
      <w:pPr>
        <w:spacing w:line="360" w:lineRule="auto"/>
        <w:rPr>
          <w:rFonts w:cs="Times"/>
          <w:b/>
          <w:sz w:val="34"/>
          <w:szCs w:val="34"/>
        </w:rPr>
      </w:pPr>
    </w:p>
    <w:p w:rsidR="00215E94" w:rsidRPr="00105E1D" w:rsidRDefault="0034637F" w:rsidP="00215E94">
      <w:pPr>
        <w:jc w:val="center"/>
        <w:rPr>
          <w:rFonts w:ascii="Times New Roman" w:hAnsi="Times New Roman"/>
          <w:b/>
          <w:sz w:val="28"/>
          <w:szCs w:val="28"/>
        </w:rPr>
      </w:pPr>
      <w:r>
        <w:rPr>
          <w:b/>
          <w:sz w:val="28"/>
          <w:szCs w:val="28"/>
        </w:rPr>
        <w:t>DFT Simulation of</w:t>
      </w:r>
      <w:r w:rsidR="00215E94">
        <w:rPr>
          <w:b/>
          <w:sz w:val="28"/>
          <w:szCs w:val="28"/>
        </w:rPr>
        <w:t xml:space="preserve"> UV-Visible spectra and </w:t>
      </w:r>
      <w:r w:rsidR="00FA121A">
        <w:rPr>
          <w:b/>
          <w:sz w:val="28"/>
          <w:szCs w:val="28"/>
        </w:rPr>
        <w:t>NLO characteristics of</w:t>
      </w:r>
      <w:r w:rsidR="00A1016E">
        <w:rPr>
          <w:b/>
          <w:sz w:val="28"/>
          <w:szCs w:val="28"/>
        </w:rPr>
        <w:t xml:space="preserve"> </w:t>
      </w:r>
      <w:r w:rsidR="00215E94" w:rsidRPr="00105E1D">
        <w:rPr>
          <w:rFonts w:ascii="Times New Roman" w:hAnsi="Times New Roman"/>
          <w:b/>
          <w:sz w:val="28"/>
          <w:szCs w:val="28"/>
        </w:rPr>
        <w:t xml:space="preserve">2, 5- and 2, 6-dihydroxytoluenes </w:t>
      </w:r>
    </w:p>
    <w:p w:rsidR="00BA3700" w:rsidRPr="00BA3700" w:rsidRDefault="00BA3700" w:rsidP="00FA121A">
      <w:pPr>
        <w:pStyle w:val="Authors"/>
        <w:ind w:left="0"/>
      </w:pPr>
    </w:p>
    <w:p w:rsidR="004E5BF6" w:rsidRPr="005F21A3" w:rsidRDefault="004E5BF6" w:rsidP="004E5BF6">
      <w:pPr>
        <w:pStyle w:val="ListParagraph"/>
        <w:spacing w:line="480" w:lineRule="auto"/>
        <w:ind w:left="1571" w:firstLine="131"/>
        <w:rPr>
          <w:rFonts w:ascii="Times New Roman" w:hAnsi="Times New Roman" w:cs="Times New Roman"/>
          <w:b/>
        </w:rPr>
      </w:pPr>
      <w:r w:rsidRPr="005F21A3">
        <w:rPr>
          <w:rFonts w:ascii="Times New Roman" w:hAnsi="Times New Roman" w:cs="Times New Roman"/>
          <w:b/>
        </w:rPr>
        <w:t>P. Venkata Ramana Rao</w:t>
      </w:r>
      <w:r w:rsidRPr="005F21A3">
        <w:rPr>
          <w:rFonts w:ascii="Times New Roman" w:hAnsi="Times New Roman" w:cs="Times New Roman"/>
          <w:b/>
          <w:vertAlign w:val="superscript"/>
        </w:rPr>
        <w:t>1*</w:t>
      </w:r>
      <w:r w:rsidRPr="005F21A3">
        <w:rPr>
          <w:rFonts w:ascii="Times New Roman" w:hAnsi="Times New Roman" w:cs="Times New Roman"/>
          <w:b/>
        </w:rPr>
        <w:t>,K. Srishailam</w:t>
      </w:r>
      <w:r w:rsidRPr="005F21A3">
        <w:rPr>
          <w:rFonts w:ascii="Times New Roman" w:hAnsi="Times New Roman" w:cs="Times New Roman"/>
          <w:b/>
          <w:vertAlign w:val="superscript"/>
        </w:rPr>
        <w:t>1</w:t>
      </w:r>
    </w:p>
    <w:p w:rsidR="004E5BF6" w:rsidRPr="004E5BF6" w:rsidRDefault="004E5BF6" w:rsidP="004E5BF6">
      <w:pPr>
        <w:pStyle w:val="ListParagraph"/>
        <w:spacing w:line="240" w:lineRule="auto"/>
        <w:ind w:left="1702"/>
        <w:rPr>
          <w:rFonts w:ascii="Times New Roman" w:hAnsi="Times New Roman" w:cs="Times New Roman"/>
          <w:sz w:val="24"/>
          <w:szCs w:val="24"/>
        </w:rPr>
      </w:pPr>
      <w:r w:rsidRPr="009A0BA3">
        <w:rPr>
          <w:rFonts w:ascii="Times New Roman" w:hAnsi="Times New Roman" w:cs="Times New Roman"/>
          <w:sz w:val="24"/>
          <w:szCs w:val="24"/>
          <w:vertAlign w:val="superscript"/>
        </w:rPr>
        <w:t>1</w:t>
      </w:r>
      <w:r w:rsidRPr="009A0BA3">
        <w:rPr>
          <w:rFonts w:ascii="Times New Roman" w:hAnsi="Times New Roman" w:cs="Times New Roman"/>
          <w:sz w:val="24"/>
          <w:szCs w:val="24"/>
        </w:rPr>
        <w:t>Department of Physics, SR University, Warangal-506371, Telangana, India</w:t>
      </w:r>
    </w:p>
    <w:p w:rsidR="00BA3700" w:rsidRPr="006C717C" w:rsidRDefault="004E5BF6" w:rsidP="004E5BF6">
      <w:pPr>
        <w:pStyle w:val="Abstract"/>
        <w:ind w:firstLine="284"/>
        <w:jc w:val="left"/>
        <w:rPr>
          <w:sz w:val="22"/>
          <w:szCs w:val="22"/>
        </w:rPr>
      </w:pPr>
      <w:r w:rsidRPr="006C717C">
        <w:rPr>
          <w:rFonts w:ascii="Times New Roman" w:hAnsi="Times New Roman"/>
          <w:sz w:val="22"/>
          <w:szCs w:val="22"/>
        </w:rPr>
        <w:t xml:space="preserve">*Corresponding author: </w:t>
      </w:r>
      <w:r w:rsidRPr="005F21A3">
        <w:rPr>
          <w:rFonts w:ascii="Times New Roman" w:hAnsi="Times New Roman"/>
          <w:sz w:val="24"/>
          <w:szCs w:val="24"/>
          <w:u w:val="single"/>
        </w:rPr>
        <w:t>poladi.ramana@gmail.com</w:t>
      </w:r>
    </w:p>
    <w:p w:rsidR="009A0487" w:rsidRPr="00AC63CD" w:rsidRDefault="009A0487" w:rsidP="00AC63CD">
      <w:pPr>
        <w:ind w:left="1418"/>
        <w:jc w:val="both"/>
        <w:rPr>
          <w:rFonts w:ascii="Times New Roman" w:hAnsi="Times New Roman"/>
          <w:sz w:val="20"/>
        </w:rPr>
      </w:pPr>
      <w:r w:rsidRPr="00AC63CD">
        <w:rPr>
          <w:rFonts w:ascii="Times New Roman" w:hAnsi="Times New Roman"/>
          <w:b/>
          <w:sz w:val="20"/>
        </w:rPr>
        <w:t>Abstract</w:t>
      </w:r>
      <w:r w:rsidRPr="00AC63CD">
        <w:rPr>
          <w:rFonts w:ascii="Times New Roman" w:hAnsi="Times New Roman"/>
          <w:sz w:val="20"/>
        </w:rPr>
        <w:t xml:space="preserve">. </w:t>
      </w:r>
      <w:r w:rsidR="00FF1714" w:rsidRPr="00AC63CD">
        <w:rPr>
          <w:rFonts w:ascii="Times New Roman" w:hAnsi="Times New Roman"/>
          <w:sz w:val="20"/>
        </w:rPr>
        <w:t xml:space="preserve">UV-Visible </w:t>
      </w:r>
      <w:r w:rsidR="00F771DB">
        <w:rPr>
          <w:rFonts w:ascii="Times New Roman" w:hAnsi="Times New Roman"/>
          <w:sz w:val="20"/>
        </w:rPr>
        <w:t>signals</w:t>
      </w:r>
      <w:r w:rsidR="00FF1714" w:rsidRPr="00AC63CD">
        <w:rPr>
          <w:rFonts w:ascii="Times New Roman" w:hAnsi="Times New Roman"/>
          <w:sz w:val="20"/>
        </w:rPr>
        <w:t xml:space="preserve"> were </w:t>
      </w:r>
      <w:r w:rsidR="00AC63CD">
        <w:rPr>
          <w:rFonts w:ascii="Times New Roman" w:hAnsi="Times New Roman"/>
          <w:sz w:val="20"/>
        </w:rPr>
        <w:t>simulated</w:t>
      </w:r>
      <w:r w:rsidR="00FF1714" w:rsidRPr="00AC63CD">
        <w:rPr>
          <w:rFonts w:ascii="Times New Roman" w:hAnsi="Times New Roman"/>
          <w:sz w:val="20"/>
        </w:rPr>
        <w:t xml:space="preserve"> for </w:t>
      </w:r>
      <w:r w:rsidR="00AC63CD" w:rsidRPr="00AC63CD">
        <w:rPr>
          <w:rFonts w:ascii="Times New Roman" w:hAnsi="Times New Roman"/>
          <w:sz w:val="20"/>
        </w:rPr>
        <w:t>2, 5-dihydroxytoluene (5DHT) and 2, 6-dihydroxytoluene (6DHT),</w:t>
      </w:r>
      <w:r w:rsidR="00FF1714" w:rsidRPr="00AC63CD">
        <w:rPr>
          <w:rFonts w:ascii="Times New Roman" w:hAnsi="Times New Roman"/>
          <w:sz w:val="20"/>
        </w:rPr>
        <w:t xml:space="preserve"> Frontier molecular orbital (FMO) </w:t>
      </w:r>
      <w:r w:rsidR="00F771DB">
        <w:rPr>
          <w:rFonts w:ascii="Times New Roman" w:hAnsi="Times New Roman"/>
          <w:sz w:val="20"/>
        </w:rPr>
        <w:t>technique</w:t>
      </w:r>
      <w:r w:rsidR="00FF1714" w:rsidRPr="00AC63CD">
        <w:rPr>
          <w:rFonts w:ascii="Times New Roman" w:hAnsi="Times New Roman"/>
          <w:sz w:val="20"/>
        </w:rPr>
        <w:t xml:space="preserve"> was </w:t>
      </w:r>
      <w:r w:rsidR="005050B9" w:rsidRPr="00AC63CD">
        <w:rPr>
          <w:rFonts w:ascii="Times New Roman" w:hAnsi="Times New Roman"/>
          <w:sz w:val="20"/>
        </w:rPr>
        <w:t>employed</w:t>
      </w:r>
      <w:r w:rsidR="00FF1714" w:rsidRPr="00AC63CD">
        <w:rPr>
          <w:rFonts w:ascii="Times New Roman" w:hAnsi="Times New Roman"/>
          <w:sz w:val="20"/>
        </w:rPr>
        <w:t xml:space="preserve"> to unde</w:t>
      </w:r>
      <w:r w:rsidR="00AC63CD">
        <w:rPr>
          <w:rFonts w:ascii="Times New Roman" w:hAnsi="Times New Roman"/>
          <w:sz w:val="20"/>
        </w:rPr>
        <w:t xml:space="preserve">rstand </w:t>
      </w:r>
      <w:r w:rsidR="00B17F31">
        <w:rPr>
          <w:rFonts w:ascii="Times New Roman" w:hAnsi="Times New Roman"/>
          <w:sz w:val="20"/>
        </w:rPr>
        <w:t xml:space="preserve">the </w:t>
      </w:r>
      <w:r w:rsidR="00AC63CD">
        <w:rPr>
          <w:rFonts w:ascii="Times New Roman" w:hAnsi="Times New Roman"/>
          <w:sz w:val="20"/>
        </w:rPr>
        <w:t xml:space="preserve">origin of </w:t>
      </w:r>
      <w:r w:rsidR="003B60C9">
        <w:rPr>
          <w:rFonts w:ascii="Times New Roman" w:hAnsi="Times New Roman"/>
          <w:sz w:val="20"/>
        </w:rPr>
        <w:t>Ultraviolet</w:t>
      </w:r>
      <w:r w:rsidR="00AC63CD">
        <w:rPr>
          <w:rFonts w:ascii="Times New Roman" w:hAnsi="Times New Roman"/>
          <w:sz w:val="20"/>
        </w:rPr>
        <w:t>-Vis</w:t>
      </w:r>
      <w:r w:rsidR="00B17F31">
        <w:rPr>
          <w:rFonts w:ascii="Times New Roman" w:hAnsi="Times New Roman"/>
          <w:sz w:val="20"/>
        </w:rPr>
        <w:t>ible</w:t>
      </w:r>
      <w:r w:rsidR="00AC63CD">
        <w:rPr>
          <w:rFonts w:ascii="Times New Roman" w:hAnsi="Times New Roman"/>
          <w:sz w:val="20"/>
        </w:rPr>
        <w:t xml:space="preserve"> spectra</w:t>
      </w:r>
      <w:r w:rsidR="00FF1714" w:rsidRPr="00AC63CD">
        <w:rPr>
          <w:rFonts w:ascii="Times New Roman" w:hAnsi="Times New Roman"/>
          <w:sz w:val="20"/>
        </w:rPr>
        <w:t xml:space="preserve"> and chemical reactivity of the </w:t>
      </w:r>
      <w:r w:rsidR="00F771DB">
        <w:rPr>
          <w:rFonts w:ascii="Times New Roman" w:hAnsi="Times New Roman"/>
          <w:sz w:val="20"/>
        </w:rPr>
        <w:t>samples</w:t>
      </w:r>
      <w:r w:rsidR="00FF1714" w:rsidRPr="00AC63CD">
        <w:rPr>
          <w:rFonts w:ascii="Times New Roman" w:hAnsi="Times New Roman"/>
          <w:sz w:val="20"/>
        </w:rPr>
        <w:t>.</w:t>
      </w:r>
      <w:r w:rsidR="00A91611">
        <w:rPr>
          <w:rFonts w:ascii="Times New Roman" w:hAnsi="Times New Roman"/>
          <w:sz w:val="20"/>
        </w:rPr>
        <w:t xml:space="preserve"> </w:t>
      </w:r>
      <w:r w:rsidR="0081657A" w:rsidRPr="00D10586">
        <w:rPr>
          <w:rFonts w:ascii="Times New Roman" w:hAnsi="Times New Roman"/>
          <w:sz w:val="20"/>
        </w:rPr>
        <w:t xml:space="preserve">Non-linear optical </w:t>
      </w:r>
      <w:r w:rsidR="00F771DB">
        <w:rPr>
          <w:rFonts w:ascii="Times New Roman" w:hAnsi="Times New Roman"/>
          <w:sz w:val="20"/>
        </w:rPr>
        <w:t>parameters</w:t>
      </w:r>
      <w:r w:rsidR="0081657A" w:rsidRPr="00D10586">
        <w:rPr>
          <w:rFonts w:ascii="Times New Roman" w:hAnsi="Times New Roman"/>
          <w:sz w:val="20"/>
        </w:rPr>
        <w:t xml:space="preserve"> like dipole moment and hyperpolarizability were calculated</w:t>
      </w:r>
      <w:r w:rsidR="00ED769C">
        <w:rPr>
          <w:rFonts w:ascii="Times New Roman" w:hAnsi="Times New Roman"/>
          <w:sz w:val="20"/>
        </w:rPr>
        <w:t>.</w:t>
      </w:r>
      <w:r w:rsidR="00FF1714" w:rsidRPr="00AC63CD">
        <w:rPr>
          <w:rFonts w:ascii="Times New Roman" w:hAnsi="Times New Roman"/>
          <w:sz w:val="20"/>
        </w:rPr>
        <w:t xml:space="preserve"> DFT/B3LYP/6-311++G(d,p) level of </w:t>
      </w:r>
      <w:r w:rsidR="00276EAF" w:rsidRPr="00AC63CD">
        <w:rPr>
          <w:rFonts w:ascii="Times New Roman" w:hAnsi="Times New Roman"/>
          <w:sz w:val="20"/>
        </w:rPr>
        <w:t>speculation</w:t>
      </w:r>
      <w:r w:rsidR="00A91611">
        <w:rPr>
          <w:rFonts w:ascii="Times New Roman" w:hAnsi="Times New Roman"/>
          <w:sz w:val="20"/>
        </w:rPr>
        <w:t xml:space="preserve"> </w:t>
      </w:r>
      <w:r w:rsidR="006046A0">
        <w:rPr>
          <w:rFonts w:ascii="Times New Roman" w:hAnsi="Times New Roman"/>
          <w:sz w:val="20"/>
        </w:rPr>
        <w:t xml:space="preserve">was used for </w:t>
      </w:r>
      <w:r w:rsidR="0081657A">
        <w:rPr>
          <w:rFonts w:ascii="Times New Roman" w:hAnsi="Times New Roman"/>
          <w:sz w:val="20"/>
        </w:rPr>
        <w:t>computation</w:t>
      </w:r>
      <w:r w:rsidR="00941BDD">
        <w:rPr>
          <w:rFonts w:ascii="Times New Roman" w:hAnsi="Times New Roman"/>
          <w:sz w:val="20"/>
        </w:rPr>
        <w:t>s of 5DHT and 6DHT</w:t>
      </w:r>
      <w:r w:rsidR="00FF1714" w:rsidRPr="00AC63CD">
        <w:rPr>
          <w:rFonts w:ascii="Times New Roman" w:hAnsi="Times New Roman"/>
          <w:sz w:val="20"/>
        </w:rPr>
        <w:t>.</w:t>
      </w:r>
    </w:p>
    <w:p w:rsidR="00DB5DD7" w:rsidRPr="007F0323" w:rsidRDefault="00C11146" w:rsidP="00DB5DD7">
      <w:pPr>
        <w:pStyle w:val="Section"/>
        <w:rPr>
          <w:rFonts w:cs="Times"/>
        </w:rPr>
      </w:pPr>
      <w:r w:rsidRPr="007F0323">
        <w:rPr>
          <w:rFonts w:cs="Times"/>
        </w:rPr>
        <w:t>Introduction</w:t>
      </w:r>
    </w:p>
    <w:p w:rsidR="00DB5DD7" w:rsidRPr="007F0323" w:rsidRDefault="00351B58" w:rsidP="00DB5DD7">
      <w:pPr>
        <w:pStyle w:val="Section"/>
        <w:numPr>
          <w:ilvl w:val="0"/>
          <w:numId w:val="0"/>
        </w:numPr>
        <w:rPr>
          <w:rFonts w:cs="Times"/>
          <w:b w:val="0"/>
        </w:rPr>
      </w:pPr>
      <w:r w:rsidRPr="00A42C51">
        <w:rPr>
          <w:rFonts w:ascii="Times New Roman" w:hAnsi="Times New Roman"/>
          <w:b w:val="0"/>
        </w:rPr>
        <w:t>2, 5- dihydroxytoluene (5DHT) and 2, 6- dihydroxytoluene (6DHT</w:t>
      </w:r>
      <w:r w:rsidRPr="00A42C51">
        <w:rPr>
          <w:rFonts w:ascii="Times New Roman" w:hAnsi="Times New Roman"/>
          <w:b w:val="0"/>
          <w:sz w:val="20"/>
          <w:szCs w:val="20"/>
        </w:rPr>
        <w:t>)</w:t>
      </w:r>
      <w:r w:rsidR="00A42C51">
        <w:rPr>
          <w:rFonts w:ascii="Times New Roman" w:hAnsi="Times New Roman"/>
          <w:b w:val="0"/>
          <w:sz w:val="20"/>
          <w:szCs w:val="20"/>
        </w:rPr>
        <w:t xml:space="preserve"> are </w:t>
      </w:r>
      <w:r w:rsidR="0095673A">
        <w:rPr>
          <w:rFonts w:cs="Times"/>
          <w:b w:val="0"/>
        </w:rPr>
        <w:t>well-</w:t>
      </w:r>
      <w:r w:rsidR="00A42C51">
        <w:rPr>
          <w:rFonts w:cs="Times"/>
          <w:b w:val="0"/>
        </w:rPr>
        <w:t xml:space="preserve">known </w:t>
      </w:r>
      <w:r w:rsidR="009B0B94">
        <w:rPr>
          <w:rFonts w:cs="Times"/>
          <w:b w:val="0"/>
        </w:rPr>
        <w:t>in support of</w:t>
      </w:r>
      <w:r w:rsidR="00A42C51">
        <w:rPr>
          <w:rFonts w:cs="Times"/>
          <w:b w:val="0"/>
        </w:rPr>
        <w:t xml:space="preserve"> their </w:t>
      </w:r>
      <w:r w:rsidR="004E55DC">
        <w:rPr>
          <w:rFonts w:cs="Times"/>
          <w:b w:val="0"/>
        </w:rPr>
        <w:t>employ</w:t>
      </w:r>
      <w:r w:rsidR="00C53ED5">
        <w:rPr>
          <w:rFonts w:cs="Times"/>
          <w:b w:val="0"/>
        </w:rPr>
        <w:t xml:space="preserve"> in </w:t>
      </w:r>
      <w:r w:rsidR="00C53ED5" w:rsidRPr="00C53ED5">
        <w:rPr>
          <w:rFonts w:ascii="Times New Roman" w:hAnsi="Times New Roman"/>
          <w:b w:val="0"/>
          <w:sz w:val="24"/>
          <w:szCs w:val="24"/>
        </w:rPr>
        <w:t>medicinal applications</w:t>
      </w:r>
      <w:r w:rsidR="00C53ED5">
        <w:rPr>
          <w:rFonts w:ascii="Times New Roman" w:hAnsi="Times New Roman"/>
          <w:b w:val="0"/>
          <w:sz w:val="24"/>
          <w:szCs w:val="24"/>
        </w:rPr>
        <w:t xml:space="preserve"> [1-5].</w:t>
      </w:r>
      <w:r w:rsidR="00C53ED5" w:rsidRPr="00D752FB">
        <w:rPr>
          <w:rFonts w:ascii="Times New Roman" w:hAnsi="Times New Roman"/>
          <w:b w:val="0"/>
          <w:sz w:val="24"/>
          <w:szCs w:val="24"/>
        </w:rPr>
        <w:t xml:space="preserve">It was </w:t>
      </w:r>
      <w:r w:rsidR="00D752FB" w:rsidRPr="00D752FB">
        <w:rPr>
          <w:rFonts w:ascii="Times New Roman" w:hAnsi="Times New Roman"/>
          <w:b w:val="0"/>
          <w:sz w:val="24"/>
          <w:szCs w:val="24"/>
        </w:rPr>
        <w:t>revealed</w:t>
      </w:r>
      <w:r w:rsidR="00C53ED5" w:rsidRPr="00D752FB">
        <w:rPr>
          <w:rFonts w:ascii="Times New Roman" w:hAnsi="Times New Roman"/>
          <w:b w:val="0"/>
          <w:sz w:val="24"/>
          <w:szCs w:val="24"/>
        </w:rPr>
        <w:t xml:space="preserve"> that cytotoxicity </w:t>
      </w:r>
      <w:r w:rsidR="00D752FB" w:rsidRPr="00D752FB">
        <w:rPr>
          <w:rFonts w:ascii="Times New Roman" w:hAnsi="Times New Roman"/>
          <w:b w:val="0"/>
          <w:sz w:val="24"/>
          <w:szCs w:val="24"/>
        </w:rPr>
        <w:t>of 5DHToccurs from its methyl moiety</w:t>
      </w:r>
      <w:r w:rsidR="00D752FB">
        <w:rPr>
          <w:rFonts w:ascii="Times New Roman" w:hAnsi="Times New Roman"/>
          <w:b w:val="0"/>
          <w:sz w:val="24"/>
          <w:szCs w:val="24"/>
        </w:rPr>
        <w:t xml:space="preserve"> [6</w:t>
      </w:r>
      <w:r w:rsidR="00C53ED5" w:rsidRPr="00D752FB">
        <w:rPr>
          <w:rFonts w:ascii="Times New Roman" w:hAnsi="Times New Roman"/>
          <w:b w:val="0"/>
          <w:sz w:val="24"/>
          <w:szCs w:val="24"/>
        </w:rPr>
        <w:t xml:space="preserve">]. </w:t>
      </w:r>
      <w:r w:rsidR="00D752FB">
        <w:rPr>
          <w:rFonts w:cs="Times"/>
          <w:b w:val="0"/>
        </w:rPr>
        <w:t>Recently we reported</w:t>
      </w:r>
      <w:r w:rsidR="007F6520">
        <w:rPr>
          <w:rFonts w:cs="Times"/>
          <w:b w:val="0"/>
        </w:rPr>
        <w:t xml:space="preserve"> DFT calculations of such</w:t>
      </w:r>
      <w:r w:rsidR="00DB5DD7" w:rsidRPr="007F0323">
        <w:rPr>
          <w:rFonts w:cs="Times"/>
          <w:b w:val="0"/>
        </w:rPr>
        <w:t xml:space="preserve"> biologically active molecules </w:t>
      </w:r>
      <w:r w:rsidR="00044E28">
        <w:rPr>
          <w:rFonts w:cs="Times"/>
          <w:b w:val="0"/>
        </w:rPr>
        <w:t>[7-15</w:t>
      </w:r>
      <w:r w:rsidR="00DB5DD7" w:rsidRPr="007F0323">
        <w:rPr>
          <w:rFonts w:cs="Times"/>
          <w:b w:val="0"/>
        </w:rPr>
        <w:t xml:space="preserve">]. Hence, we undertook this work with the following </w:t>
      </w:r>
      <w:r w:rsidR="00DC3506">
        <w:rPr>
          <w:rFonts w:cs="Times"/>
          <w:b w:val="0"/>
        </w:rPr>
        <w:t>aspect</w:t>
      </w:r>
      <w:r w:rsidR="00DB5DD7" w:rsidRPr="007F0323">
        <w:rPr>
          <w:rFonts w:cs="Times"/>
          <w:b w:val="0"/>
        </w:rPr>
        <w:t xml:space="preserve">s. </w:t>
      </w:r>
    </w:p>
    <w:p w:rsidR="00B443D2" w:rsidRPr="007F0323" w:rsidRDefault="00044E28" w:rsidP="00B443D2">
      <w:pPr>
        <w:pStyle w:val="ListParagraph"/>
        <w:numPr>
          <w:ilvl w:val="0"/>
          <w:numId w:val="5"/>
        </w:numPr>
        <w:tabs>
          <w:tab w:val="left" w:pos="450"/>
          <w:tab w:val="left" w:pos="540"/>
        </w:tabs>
        <w:spacing w:after="0" w:line="240" w:lineRule="auto"/>
        <w:outlineLvl w:val="1"/>
        <w:rPr>
          <w:rFonts w:ascii="Times" w:hAnsi="Times" w:cs="Times"/>
          <w:strike/>
        </w:rPr>
      </w:pPr>
      <w:r>
        <w:rPr>
          <w:rFonts w:ascii="Times" w:hAnsi="Times" w:cs="Times"/>
          <w:shd w:val="clear" w:color="auto" w:fill="FFFFFF"/>
        </w:rPr>
        <w:t>simulated UV-Visible spectra</w:t>
      </w:r>
      <w:r w:rsidR="00B443D2" w:rsidRPr="007F0323">
        <w:rPr>
          <w:rFonts w:ascii="Times" w:hAnsi="Times" w:cs="Times"/>
          <w:shd w:val="clear" w:color="auto" w:fill="FFFFFF"/>
        </w:rPr>
        <w:t xml:space="preserve"> and, </w:t>
      </w:r>
    </w:p>
    <w:p w:rsidR="0081657A" w:rsidRPr="007F0323" w:rsidRDefault="00044E28" w:rsidP="0081657A">
      <w:pPr>
        <w:pStyle w:val="ListParagraph"/>
        <w:numPr>
          <w:ilvl w:val="0"/>
          <w:numId w:val="5"/>
        </w:numPr>
        <w:tabs>
          <w:tab w:val="left" w:pos="450"/>
          <w:tab w:val="left" w:pos="540"/>
        </w:tabs>
        <w:spacing w:after="0" w:line="240" w:lineRule="auto"/>
        <w:outlineLvl w:val="1"/>
        <w:rPr>
          <w:rFonts w:ascii="Times" w:hAnsi="Times" w:cs="Times"/>
        </w:rPr>
      </w:pPr>
      <w:r>
        <w:rPr>
          <w:rFonts w:ascii="Times" w:hAnsi="Times" w:cs="Times"/>
        </w:rPr>
        <w:t xml:space="preserve">FMO </w:t>
      </w:r>
      <w:r w:rsidR="009D3C4C">
        <w:rPr>
          <w:rFonts w:ascii="Times" w:hAnsi="Times" w:cs="Times"/>
        </w:rPr>
        <w:t xml:space="preserve">and </w:t>
      </w:r>
      <w:r w:rsidR="009D3C4C" w:rsidRPr="007F0323">
        <w:rPr>
          <w:rFonts w:ascii="Times" w:hAnsi="Times" w:cs="Times"/>
        </w:rPr>
        <w:t>chemical</w:t>
      </w:r>
      <w:r>
        <w:rPr>
          <w:rFonts w:ascii="Times" w:hAnsi="Times" w:cs="Times"/>
        </w:rPr>
        <w:t xml:space="preserve"> reactivity </w:t>
      </w:r>
      <w:r w:rsidR="00B443D2" w:rsidRPr="007F0323">
        <w:rPr>
          <w:rFonts w:ascii="Times" w:hAnsi="Times" w:cs="Times"/>
        </w:rPr>
        <w:t>parameters</w:t>
      </w:r>
      <w:r w:rsidR="0081657A">
        <w:rPr>
          <w:rFonts w:ascii="Times" w:hAnsi="Times" w:cs="Times"/>
        </w:rPr>
        <w:t xml:space="preserve"> and Non-linear optical properties</w:t>
      </w:r>
      <w:r w:rsidR="00662286">
        <w:rPr>
          <w:rFonts w:ascii="Times" w:hAnsi="Times" w:cs="Times"/>
        </w:rPr>
        <w:t xml:space="preserve">, </w:t>
      </w:r>
    </w:p>
    <w:p w:rsidR="00B443D2" w:rsidRDefault="00B443D2" w:rsidP="0081657A">
      <w:pPr>
        <w:pStyle w:val="ListParagraph"/>
        <w:tabs>
          <w:tab w:val="left" w:pos="450"/>
          <w:tab w:val="left" w:pos="540"/>
        </w:tabs>
        <w:spacing w:after="0" w:line="240" w:lineRule="auto"/>
        <w:ind w:left="1170"/>
        <w:outlineLvl w:val="1"/>
        <w:rPr>
          <w:rFonts w:ascii="Times" w:hAnsi="Times" w:cs="Times"/>
        </w:rPr>
      </w:pPr>
      <w:r w:rsidRPr="007F0323">
        <w:rPr>
          <w:rFonts w:ascii="Times" w:hAnsi="Times" w:cs="Times"/>
        </w:rPr>
        <w:t xml:space="preserve"> to make the </w:t>
      </w:r>
      <w:r w:rsidR="009D3C4C" w:rsidRPr="007F0323">
        <w:rPr>
          <w:rFonts w:ascii="Times" w:hAnsi="Times" w:cs="Times"/>
        </w:rPr>
        <w:t>exploration</w:t>
      </w:r>
      <w:r w:rsidR="00A91611">
        <w:rPr>
          <w:rFonts w:ascii="Times" w:hAnsi="Times" w:cs="Times"/>
        </w:rPr>
        <w:t xml:space="preserve"> </w:t>
      </w:r>
      <w:r w:rsidR="009D3C4C" w:rsidRPr="007F0323">
        <w:rPr>
          <w:rFonts w:ascii="Times" w:hAnsi="Times" w:cs="Times"/>
        </w:rPr>
        <w:t>complete</w:t>
      </w:r>
      <w:r w:rsidRPr="007F0323">
        <w:rPr>
          <w:rFonts w:ascii="Times" w:hAnsi="Times" w:cs="Times"/>
        </w:rPr>
        <w:t>.</w:t>
      </w:r>
    </w:p>
    <w:p w:rsidR="00B443D2" w:rsidRPr="007F0323" w:rsidRDefault="00B443D2" w:rsidP="00B443D2">
      <w:pPr>
        <w:pStyle w:val="Section"/>
        <w:rPr>
          <w:rFonts w:cs="Times"/>
        </w:rPr>
      </w:pPr>
      <w:r w:rsidRPr="007F0323">
        <w:rPr>
          <w:rFonts w:cs="Times"/>
        </w:rPr>
        <w:t>Computational aspects</w:t>
      </w:r>
    </w:p>
    <w:p w:rsidR="00B443D2" w:rsidRPr="007F0323" w:rsidRDefault="00B443D2" w:rsidP="00B443D2">
      <w:pPr>
        <w:tabs>
          <w:tab w:val="left" w:pos="450"/>
          <w:tab w:val="left" w:pos="540"/>
        </w:tabs>
        <w:jc w:val="both"/>
        <w:outlineLvl w:val="1"/>
        <w:rPr>
          <w:rFonts w:cs="Times"/>
          <w:szCs w:val="22"/>
        </w:rPr>
      </w:pPr>
      <w:r w:rsidRPr="007F0323">
        <w:rPr>
          <w:rFonts w:cs="Times"/>
          <w:szCs w:val="22"/>
        </w:rPr>
        <w:t xml:space="preserve">Using DFT/6-311++G(d,p) level of </w:t>
      </w:r>
      <w:r w:rsidR="009B0B94" w:rsidRPr="007F0323">
        <w:rPr>
          <w:rFonts w:cs="Times"/>
          <w:szCs w:val="22"/>
        </w:rPr>
        <w:t>assumption</w:t>
      </w:r>
      <w:r w:rsidRPr="007F0323">
        <w:rPr>
          <w:rFonts w:cs="Times"/>
          <w:szCs w:val="22"/>
        </w:rPr>
        <w:t xml:space="preserve"> and </w:t>
      </w:r>
      <w:r w:rsidR="009B0B94" w:rsidRPr="007F0323">
        <w:rPr>
          <w:rFonts w:cs="Times"/>
          <w:szCs w:val="22"/>
        </w:rPr>
        <w:t>employ</w:t>
      </w:r>
      <w:r w:rsidRPr="007F0323">
        <w:rPr>
          <w:rFonts w:cs="Times"/>
          <w:szCs w:val="22"/>
        </w:rPr>
        <w:t>ed in Gaussi</w:t>
      </w:r>
      <w:r w:rsidR="006905E5">
        <w:rPr>
          <w:rFonts w:cs="Times"/>
          <w:szCs w:val="22"/>
        </w:rPr>
        <w:t xml:space="preserve">an Window 09 program </w:t>
      </w:r>
      <w:r w:rsidR="009B0B94">
        <w:rPr>
          <w:rFonts w:cs="Times"/>
          <w:szCs w:val="22"/>
        </w:rPr>
        <w:t>suit</w:t>
      </w:r>
      <w:r w:rsidR="006905E5">
        <w:rPr>
          <w:rFonts w:cs="Times"/>
          <w:szCs w:val="22"/>
        </w:rPr>
        <w:t xml:space="preserve"> [16, 17</w:t>
      </w:r>
      <w:r w:rsidRPr="007F0323">
        <w:rPr>
          <w:rFonts w:cs="Times"/>
          <w:szCs w:val="22"/>
        </w:rPr>
        <w:t xml:space="preserve">] simulated UV-Vis spectrum [18-20]. We </w:t>
      </w:r>
      <w:r w:rsidR="006905E5">
        <w:rPr>
          <w:rFonts w:cs="Times"/>
          <w:szCs w:val="22"/>
        </w:rPr>
        <w:t>compute</w:t>
      </w:r>
      <w:r w:rsidRPr="007F0323">
        <w:rPr>
          <w:rFonts w:cs="Times"/>
          <w:szCs w:val="22"/>
        </w:rPr>
        <w:t xml:space="preserve">d </w:t>
      </w:r>
      <w:r w:rsidR="006905E5">
        <w:rPr>
          <w:rFonts w:cs="Times"/>
          <w:szCs w:val="22"/>
        </w:rPr>
        <w:t xml:space="preserve">Chemical reactivity [21-26] of selected compounds. </w:t>
      </w:r>
    </w:p>
    <w:p w:rsidR="00B443D2" w:rsidRPr="007F0323" w:rsidRDefault="00B443D2" w:rsidP="00B443D2">
      <w:pPr>
        <w:pStyle w:val="Section"/>
        <w:rPr>
          <w:rFonts w:cs="Times"/>
          <w:b w:val="0"/>
        </w:rPr>
      </w:pPr>
      <w:r w:rsidRPr="007F0323">
        <w:rPr>
          <w:rFonts w:cs="Times"/>
        </w:rPr>
        <w:t xml:space="preserve"> Results and discussions</w:t>
      </w:r>
    </w:p>
    <w:p w:rsidR="00B443D2" w:rsidRPr="007F0323" w:rsidRDefault="00B443D2" w:rsidP="00B443D2">
      <w:pPr>
        <w:pStyle w:val="Subsection"/>
        <w:rPr>
          <w:rFonts w:cs="Times"/>
          <w:i/>
        </w:rPr>
      </w:pPr>
      <w:r w:rsidRPr="007F0323">
        <w:rPr>
          <w:rFonts w:cs="Times"/>
          <w:i/>
        </w:rPr>
        <w:t xml:space="preserve">  Most stable conformer  </w:t>
      </w:r>
    </w:p>
    <w:p w:rsidR="00B443D2" w:rsidRDefault="0095673A" w:rsidP="00C9445C">
      <w:pPr>
        <w:jc w:val="both"/>
        <w:rPr>
          <w:rFonts w:cs="Times"/>
          <w:szCs w:val="22"/>
        </w:rPr>
      </w:pPr>
      <w:r>
        <w:rPr>
          <w:rFonts w:cs="Times"/>
          <w:szCs w:val="22"/>
        </w:rPr>
        <w:t>Geometry</w:t>
      </w:r>
      <w:r w:rsidR="00A91611">
        <w:rPr>
          <w:rFonts w:cs="Times"/>
          <w:szCs w:val="22"/>
        </w:rPr>
        <w:t xml:space="preserve"> </w:t>
      </w:r>
      <w:r w:rsidR="005271B3">
        <w:rPr>
          <w:rFonts w:cs="Times"/>
          <w:szCs w:val="22"/>
        </w:rPr>
        <w:t xml:space="preserve">of </w:t>
      </w:r>
      <w:r w:rsidR="005271B3" w:rsidRPr="007F0323">
        <w:rPr>
          <w:rFonts w:cs="Times"/>
          <w:szCs w:val="22"/>
        </w:rPr>
        <w:t>chosen</w:t>
      </w:r>
      <w:r w:rsidR="00B443D2" w:rsidRPr="007F0323">
        <w:rPr>
          <w:rFonts w:cs="Times"/>
          <w:szCs w:val="22"/>
        </w:rPr>
        <w:t xml:space="preserve"> sample</w:t>
      </w:r>
      <w:r w:rsidR="00B04435">
        <w:rPr>
          <w:rFonts w:cs="Times"/>
          <w:szCs w:val="22"/>
        </w:rPr>
        <w:t xml:space="preserve">s </w:t>
      </w:r>
      <w:r>
        <w:rPr>
          <w:rFonts w:cs="Times"/>
          <w:szCs w:val="22"/>
        </w:rPr>
        <w:t>was</w:t>
      </w:r>
      <w:r w:rsidR="00B443D2" w:rsidRPr="007F0323">
        <w:rPr>
          <w:rFonts w:cs="Times"/>
          <w:szCs w:val="22"/>
        </w:rPr>
        <w:t xml:space="preserve"> optimized w</w:t>
      </w:r>
      <w:r w:rsidR="0026649F">
        <w:rPr>
          <w:rFonts w:cs="Times"/>
          <w:szCs w:val="22"/>
        </w:rPr>
        <w:t xml:space="preserve">ith the above </w:t>
      </w:r>
      <w:r w:rsidR="00C403F8">
        <w:rPr>
          <w:rFonts w:cs="Times"/>
          <w:szCs w:val="22"/>
        </w:rPr>
        <w:t>selected</w:t>
      </w:r>
      <w:r w:rsidR="0026649F">
        <w:rPr>
          <w:rFonts w:cs="Times"/>
          <w:szCs w:val="22"/>
        </w:rPr>
        <w:t xml:space="preserve"> method, and their </w:t>
      </w:r>
      <w:r w:rsidR="00B443D2" w:rsidRPr="007F0323">
        <w:rPr>
          <w:rFonts w:cs="Times"/>
          <w:szCs w:val="22"/>
        </w:rPr>
        <w:t>minimum energy</w:t>
      </w:r>
      <w:r w:rsidR="0026649F">
        <w:rPr>
          <w:rFonts w:cs="Times"/>
          <w:szCs w:val="22"/>
        </w:rPr>
        <w:t xml:space="preserve"> monomers</w:t>
      </w:r>
      <w:r w:rsidR="00B443D2" w:rsidRPr="007F0323">
        <w:rPr>
          <w:rFonts w:cs="Times"/>
          <w:szCs w:val="22"/>
        </w:rPr>
        <w:t xml:space="preserve"> depicted in figure 1.</w:t>
      </w:r>
    </w:p>
    <w:p w:rsidR="007100F0" w:rsidRPr="007F0323" w:rsidRDefault="007100F0" w:rsidP="007100F0">
      <w:pPr>
        <w:pStyle w:val="Subsection"/>
        <w:rPr>
          <w:rFonts w:cs="Times"/>
          <w:i/>
        </w:rPr>
      </w:pPr>
      <w:r w:rsidRPr="007F0323">
        <w:rPr>
          <w:rFonts w:cs="Times"/>
          <w:i/>
        </w:rPr>
        <w:t>UV-Visible peaks</w:t>
      </w:r>
    </w:p>
    <w:p w:rsidR="007100F0" w:rsidRDefault="007100F0" w:rsidP="007100F0">
      <w:pPr>
        <w:tabs>
          <w:tab w:val="left" w:pos="450"/>
          <w:tab w:val="left" w:pos="540"/>
        </w:tabs>
        <w:jc w:val="both"/>
        <w:outlineLvl w:val="1"/>
        <w:rPr>
          <w:rFonts w:cs="Times"/>
          <w:szCs w:val="22"/>
        </w:rPr>
      </w:pPr>
      <w:r w:rsidRPr="007F0323">
        <w:rPr>
          <w:rFonts w:cs="Times"/>
          <w:szCs w:val="22"/>
        </w:rPr>
        <w:t xml:space="preserve">Calculated </w:t>
      </w:r>
      <w:r w:rsidR="0095673A">
        <w:rPr>
          <w:rFonts w:ascii="Times New Roman" w:hAnsi="Times New Roman"/>
          <w:sz w:val="20"/>
        </w:rPr>
        <w:t>Ultraviolet</w:t>
      </w:r>
      <w:r w:rsidRPr="007F0323">
        <w:rPr>
          <w:rFonts w:cs="Times"/>
          <w:szCs w:val="22"/>
        </w:rPr>
        <w:t>-Vis</w:t>
      </w:r>
      <w:r w:rsidR="0095673A">
        <w:rPr>
          <w:rFonts w:cs="Times"/>
          <w:szCs w:val="22"/>
        </w:rPr>
        <w:t>ible</w:t>
      </w:r>
      <w:r w:rsidRPr="007F0323">
        <w:rPr>
          <w:rFonts w:cs="Times"/>
          <w:szCs w:val="22"/>
        </w:rPr>
        <w:t xml:space="preserve"> absorption </w:t>
      </w:r>
      <w:r w:rsidR="00C43682">
        <w:rPr>
          <w:rFonts w:cs="Times"/>
          <w:szCs w:val="22"/>
        </w:rPr>
        <w:t>signal</w:t>
      </w:r>
      <w:r w:rsidRPr="007F0323">
        <w:rPr>
          <w:rFonts w:cs="Times"/>
          <w:szCs w:val="22"/>
        </w:rPr>
        <w:t xml:space="preserve">s are due to the electronic transitions. The frontier molecular orbitals are </w:t>
      </w:r>
      <w:r w:rsidR="0095673A" w:rsidRPr="007F0323">
        <w:rPr>
          <w:rFonts w:cs="Times"/>
          <w:szCs w:val="22"/>
        </w:rPr>
        <w:t>recognized</w:t>
      </w:r>
      <w:r w:rsidRPr="007F0323">
        <w:rPr>
          <w:rFonts w:cs="Times"/>
          <w:szCs w:val="22"/>
        </w:rPr>
        <w:t xml:space="preserve"> as highest occupied molecular orbital (HOMO) and (LUMO) lowest un-occupied molecular orbital, and they determine the reactivity of the selected compound</w:t>
      </w:r>
      <w:r>
        <w:rPr>
          <w:rFonts w:cs="Times"/>
          <w:szCs w:val="22"/>
        </w:rPr>
        <w:t>s [27</w:t>
      </w:r>
      <w:r w:rsidRPr="007F0323">
        <w:rPr>
          <w:rFonts w:cs="Times"/>
          <w:szCs w:val="22"/>
        </w:rPr>
        <w:t xml:space="preserve">]. Electron donor </w:t>
      </w:r>
      <w:r>
        <w:rPr>
          <w:rFonts w:cs="Times"/>
          <w:szCs w:val="22"/>
        </w:rPr>
        <w:t>is HOMO and acceptor is LUMO [28, 29</w:t>
      </w:r>
      <w:r w:rsidRPr="007F0323">
        <w:rPr>
          <w:rFonts w:cs="Times"/>
          <w:szCs w:val="22"/>
        </w:rPr>
        <w:t>]. The estimated peaks at λ</w:t>
      </w:r>
      <w:r w:rsidRPr="007F0323">
        <w:rPr>
          <w:rFonts w:cs="Times"/>
          <w:szCs w:val="22"/>
          <w:vertAlign w:val="subscript"/>
        </w:rPr>
        <w:t>max</w:t>
      </w:r>
      <w:r>
        <w:rPr>
          <w:rFonts w:cs="Times"/>
          <w:szCs w:val="22"/>
        </w:rPr>
        <w:t xml:space="preserve"> = 235</w:t>
      </w:r>
      <w:r w:rsidRPr="007F0323">
        <w:rPr>
          <w:rFonts w:cs="Times"/>
          <w:szCs w:val="22"/>
        </w:rPr>
        <w:t>.</w:t>
      </w:r>
      <w:r>
        <w:rPr>
          <w:rFonts w:cs="Times"/>
          <w:szCs w:val="22"/>
        </w:rPr>
        <w:t>97</w:t>
      </w:r>
      <w:r w:rsidRPr="007F0323">
        <w:rPr>
          <w:rFonts w:cs="Times"/>
          <w:szCs w:val="22"/>
        </w:rPr>
        <w:t xml:space="preserve"> nm, i</w:t>
      </w:r>
      <w:r>
        <w:rPr>
          <w:rFonts w:cs="Times"/>
          <w:szCs w:val="22"/>
        </w:rPr>
        <w:t>ts oscillator strength, f = 0.001</w:t>
      </w:r>
      <w:r w:rsidRPr="007F0323">
        <w:rPr>
          <w:rFonts w:cs="Times"/>
          <w:szCs w:val="22"/>
        </w:rPr>
        <w:t>2 and another one observed at λ</w:t>
      </w:r>
      <w:r w:rsidRPr="007F0323">
        <w:rPr>
          <w:rFonts w:cs="Times"/>
          <w:szCs w:val="22"/>
          <w:vertAlign w:val="subscript"/>
        </w:rPr>
        <w:t>max</w:t>
      </w:r>
      <w:r w:rsidRPr="007F0323">
        <w:rPr>
          <w:rFonts w:cs="Times"/>
          <w:szCs w:val="22"/>
        </w:rPr>
        <w:t xml:space="preserve"> = </w:t>
      </w:r>
      <w:r>
        <w:rPr>
          <w:rFonts w:cs="Times"/>
          <w:szCs w:val="22"/>
        </w:rPr>
        <w:t>271.41nm</w:t>
      </w:r>
      <w:r w:rsidRPr="007F0323">
        <w:rPr>
          <w:rFonts w:cs="Times"/>
          <w:szCs w:val="22"/>
        </w:rPr>
        <w:t xml:space="preserve"> with f = 0.00</w:t>
      </w:r>
      <w:r>
        <w:rPr>
          <w:rFonts w:cs="Times"/>
          <w:szCs w:val="22"/>
        </w:rPr>
        <w:t xml:space="preserve">02 for 5DHT and  </w:t>
      </w:r>
      <w:r w:rsidRPr="007F0323">
        <w:rPr>
          <w:rFonts w:cs="Times"/>
          <w:szCs w:val="22"/>
        </w:rPr>
        <w:t>λ</w:t>
      </w:r>
      <w:r w:rsidRPr="007F0323">
        <w:rPr>
          <w:rFonts w:cs="Times"/>
          <w:szCs w:val="22"/>
          <w:vertAlign w:val="subscript"/>
        </w:rPr>
        <w:t>max</w:t>
      </w:r>
      <w:r>
        <w:rPr>
          <w:rFonts w:cs="Times"/>
          <w:szCs w:val="22"/>
        </w:rPr>
        <w:t xml:space="preserve"> = 241.11</w:t>
      </w:r>
      <w:r w:rsidRPr="007F0323">
        <w:rPr>
          <w:rFonts w:cs="Times"/>
          <w:szCs w:val="22"/>
        </w:rPr>
        <w:t xml:space="preserve"> nm, i</w:t>
      </w:r>
      <w:r>
        <w:rPr>
          <w:rFonts w:cs="Times"/>
          <w:szCs w:val="22"/>
        </w:rPr>
        <w:t>ts oscillator strength, f = 0.0021</w:t>
      </w:r>
      <w:r w:rsidRPr="007F0323">
        <w:rPr>
          <w:rFonts w:cs="Times"/>
          <w:szCs w:val="22"/>
        </w:rPr>
        <w:t xml:space="preserve"> and another one observed at λ</w:t>
      </w:r>
      <w:r w:rsidRPr="007F0323">
        <w:rPr>
          <w:rFonts w:cs="Times"/>
          <w:szCs w:val="22"/>
          <w:vertAlign w:val="subscript"/>
        </w:rPr>
        <w:t>max</w:t>
      </w:r>
      <w:r w:rsidRPr="007F0323">
        <w:rPr>
          <w:rFonts w:cs="Times"/>
          <w:szCs w:val="22"/>
        </w:rPr>
        <w:t xml:space="preserve"> = </w:t>
      </w:r>
      <w:r>
        <w:rPr>
          <w:rFonts w:cs="Times"/>
          <w:szCs w:val="22"/>
        </w:rPr>
        <w:t>247.37  nm</w:t>
      </w:r>
      <w:r w:rsidRPr="007F0323">
        <w:rPr>
          <w:rFonts w:cs="Times"/>
          <w:szCs w:val="22"/>
        </w:rPr>
        <w:t xml:space="preserve"> with f = 0.00</w:t>
      </w:r>
      <w:r>
        <w:rPr>
          <w:rFonts w:cs="Times"/>
          <w:szCs w:val="22"/>
        </w:rPr>
        <w:t xml:space="preserve">72 for 6DHT </w:t>
      </w:r>
      <w:r w:rsidRPr="007F0323">
        <w:rPr>
          <w:rFonts w:cs="Times"/>
          <w:szCs w:val="22"/>
        </w:rPr>
        <w:t xml:space="preserve">, and are shown in figure </w:t>
      </w:r>
      <w:r w:rsidR="00662286">
        <w:rPr>
          <w:rFonts w:cs="Times"/>
          <w:szCs w:val="22"/>
        </w:rPr>
        <w:t>2</w:t>
      </w:r>
      <w:r w:rsidRPr="007F0323">
        <w:rPr>
          <w:rFonts w:cs="Times"/>
          <w:szCs w:val="22"/>
        </w:rPr>
        <w:t xml:space="preserve">. The origin of the signals is mainly due to the </w:t>
      </w:r>
      <w:r w:rsidR="006A3AD7" w:rsidRPr="007F0323">
        <w:rPr>
          <w:rFonts w:cs="Times"/>
          <w:szCs w:val="22"/>
        </w:rPr>
        <w:t>shif</w:t>
      </w:r>
      <w:r w:rsidR="006A3AD7">
        <w:rPr>
          <w:rFonts w:cs="Times"/>
          <w:szCs w:val="22"/>
        </w:rPr>
        <w:t>t</w:t>
      </w:r>
      <w:r>
        <w:rPr>
          <w:rFonts w:cs="Times"/>
          <w:szCs w:val="22"/>
        </w:rPr>
        <w:t xml:space="preserve">s </w:t>
      </w:r>
      <w:r w:rsidR="00C43682">
        <w:rPr>
          <w:rFonts w:cs="Times"/>
          <w:szCs w:val="22"/>
        </w:rPr>
        <w:t>as of</w:t>
      </w:r>
      <w:r w:rsidRPr="007F0323">
        <w:rPr>
          <w:rFonts w:cs="Times"/>
          <w:szCs w:val="22"/>
        </w:rPr>
        <w:t xml:space="preserve"> H→L</w:t>
      </w:r>
      <w:r>
        <w:rPr>
          <w:rFonts w:cs="Times"/>
          <w:szCs w:val="22"/>
        </w:rPr>
        <w:t xml:space="preserve">+1, </w:t>
      </w:r>
      <w:r w:rsidRPr="007F0323">
        <w:rPr>
          <w:rFonts w:cs="Times"/>
          <w:szCs w:val="22"/>
        </w:rPr>
        <w:t>H→L</w:t>
      </w:r>
      <w:r>
        <w:rPr>
          <w:rFonts w:cs="Times"/>
          <w:szCs w:val="22"/>
        </w:rPr>
        <w:t>+3 in 5DHT and H</w:t>
      </w:r>
      <w:r w:rsidRPr="007F0323">
        <w:rPr>
          <w:rFonts w:cs="Times"/>
          <w:szCs w:val="22"/>
        </w:rPr>
        <w:t>→L</w:t>
      </w:r>
      <w:r>
        <w:rPr>
          <w:rFonts w:cs="Times"/>
          <w:szCs w:val="22"/>
        </w:rPr>
        <w:t xml:space="preserve">+1, </w:t>
      </w:r>
      <w:r w:rsidRPr="007F0323">
        <w:rPr>
          <w:rFonts w:cs="Times"/>
          <w:szCs w:val="22"/>
        </w:rPr>
        <w:t>H→L</w:t>
      </w:r>
      <w:r>
        <w:rPr>
          <w:rFonts w:cs="Times"/>
          <w:szCs w:val="22"/>
        </w:rPr>
        <w:t>+2 in 6DHT</w:t>
      </w:r>
      <w:r w:rsidRPr="007F0323">
        <w:rPr>
          <w:rFonts w:cs="Times"/>
          <w:szCs w:val="22"/>
        </w:rPr>
        <w:t>.</w:t>
      </w:r>
    </w:p>
    <w:p w:rsidR="007100F0" w:rsidRPr="007F0323" w:rsidRDefault="007100F0" w:rsidP="00C9445C">
      <w:pPr>
        <w:jc w:val="both"/>
        <w:rPr>
          <w:rFonts w:cs="Times"/>
          <w:szCs w:val="22"/>
        </w:rPr>
      </w:pPr>
    </w:p>
    <w:tbl>
      <w:tblPr>
        <w:tblStyle w:val="TableGrid"/>
        <w:tblW w:w="0" w:type="auto"/>
        <w:tblInd w:w="360" w:type="dxa"/>
        <w:tblLook w:val="04A0"/>
      </w:tblPr>
      <w:tblGrid>
        <w:gridCol w:w="3996"/>
        <w:gridCol w:w="4506"/>
      </w:tblGrid>
      <w:tr w:rsidR="00366EFD" w:rsidTr="00B04435">
        <w:trPr>
          <w:trHeight w:val="3468"/>
        </w:trPr>
        <w:tc>
          <w:tcPr>
            <w:tcW w:w="3925" w:type="dxa"/>
          </w:tcPr>
          <w:p w:rsidR="00366EFD" w:rsidRDefault="00366EFD" w:rsidP="00B443D2">
            <w:pPr>
              <w:pStyle w:val="ListParagraph"/>
              <w:tabs>
                <w:tab w:val="left" w:pos="450"/>
                <w:tab w:val="left" w:pos="540"/>
              </w:tabs>
              <w:spacing w:after="0" w:line="240" w:lineRule="auto"/>
              <w:ind w:left="0"/>
              <w:jc w:val="both"/>
              <w:outlineLvl w:val="1"/>
              <w:rPr>
                <w:rFonts w:ascii="Times" w:hAnsi="Times" w:cs="Times"/>
              </w:rPr>
            </w:pPr>
            <w:r>
              <w:rPr>
                <w:rFonts w:ascii="Times" w:hAnsi="Times" w:cs="Times"/>
                <w:noProof/>
              </w:rPr>
              <w:lastRenderedPageBreak/>
              <w:drawing>
                <wp:inline distT="0" distB="0" distL="0" distR="0">
                  <wp:extent cx="2381250" cy="2569434"/>
                  <wp:effectExtent l="19050" t="0" r="0" b="0"/>
                  <wp:docPr id="6" name="Picture 1" descr="C:\Users\Srisailam\Desktop\5D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isailam\Desktop\5DHT.PNG"/>
                          <pic:cNvPicPr>
                            <a:picLocks noChangeAspect="1" noChangeArrowheads="1"/>
                          </pic:cNvPicPr>
                        </pic:nvPicPr>
                        <pic:blipFill>
                          <a:blip r:embed="rId8" cstate="print"/>
                          <a:srcRect/>
                          <a:stretch>
                            <a:fillRect/>
                          </a:stretch>
                        </pic:blipFill>
                        <pic:spPr bwMode="auto">
                          <a:xfrm>
                            <a:off x="0" y="0"/>
                            <a:ext cx="2381250" cy="2569434"/>
                          </a:xfrm>
                          <a:prstGeom prst="rect">
                            <a:avLst/>
                          </a:prstGeom>
                          <a:noFill/>
                          <a:ln w="9525">
                            <a:noFill/>
                            <a:miter lim="800000"/>
                            <a:headEnd/>
                            <a:tailEnd/>
                          </a:ln>
                        </pic:spPr>
                      </pic:pic>
                    </a:graphicData>
                  </a:graphic>
                </wp:inline>
              </w:drawing>
            </w:r>
          </w:p>
        </w:tc>
        <w:tc>
          <w:tcPr>
            <w:tcW w:w="4426" w:type="dxa"/>
          </w:tcPr>
          <w:p w:rsidR="00366EFD" w:rsidRDefault="00366EFD" w:rsidP="00B443D2">
            <w:pPr>
              <w:pStyle w:val="ListParagraph"/>
              <w:tabs>
                <w:tab w:val="left" w:pos="450"/>
                <w:tab w:val="left" w:pos="540"/>
              </w:tabs>
              <w:spacing w:after="0" w:line="240" w:lineRule="auto"/>
              <w:ind w:left="0"/>
              <w:jc w:val="both"/>
              <w:outlineLvl w:val="1"/>
              <w:rPr>
                <w:rFonts w:ascii="Times" w:hAnsi="Times" w:cs="Times"/>
              </w:rPr>
            </w:pPr>
            <w:r>
              <w:rPr>
                <w:rFonts w:ascii="Times" w:hAnsi="Times" w:cs="Times"/>
                <w:noProof/>
              </w:rPr>
              <w:drawing>
                <wp:inline distT="0" distB="0" distL="0" distR="0">
                  <wp:extent cx="2705100" cy="2561533"/>
                  <wp:effectExtent l="19050" t="0" r="0" b="0"/>
                  <wp:docPr id="7" name="Picture 2" descr="C:\Users\Srisailam\Desktop\6D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isailam\Desktop\6DHT.PNG"/>
                          <pic:cNvPicPr>
                            <a:picLocks noChangeAspect="1" noChangeArrowheads="1"/>
                          </pic:cNvPicPr>
                        </pic:nvPicPr>
                        <pic:blipFill>
                          <a:blip r:embed="rId9" cstate="print"/>
                          <a:srcRect/>
                          <a:stretch>
                            <a:fillRect/>
                          </a:stretch>
                        </pic:blipFill>
                        <pic:spPr bwMode="auto">
                          <a:xfrm>
                            <a:off x="0" y="0"/>
                            <a:ext cx="2705100" cy="2561533"/>
                          </a:xfrm>
                          <a:prstGeom prst="rect">
                            <a:avLst/>
                          </a:prstGeom>
                          <a:noFill/>
                          <a:ln w="9525">
                            <a:noFill/>
                            <a:miter lim="800000"/>
                            <a:headEnd/>
                            <a:tailEnd/>
                          </a:ln>
                        </pic:spPr>
                      </pic:pic>
                    </a:graphicData>
                  </a:graphic>
                </wp:inline>
              </w:drawing>
            </w:r>
          </w:p>
        </w:tc>
      </w:tr>
    </w:tbl>
    <w:p w:rsidR="00B443D2" w:rsidRPr="007F0323" w:rsidRDefault="00B443D2" w:rsidP="00B443D2">
      <w:pPr>
        <w:pStyle w:val="ListParagraph"/>
        <w:tabs>
          <w:tab w:val="left" w:pos="450"/>
          <w:tab w:val="left" w:pos="540"/>
        </w:tabs>
        <w:spacing w:after="0" w:line="240" w:lineRule="auto"/>
        <w:ind w:left="360"/>
        <w:jc w:val="both"/>
        <w:outlineLvl w:val="1"/>
        <w:rPr>
          <w:rFonts w:ascii="Times" w:hAnsi="Times" w:cs="Times"/>
        </w:rPr>
      </w:pPr>
    </w:p>
    <w:p w:rsidR="00B443D2" w:rsidRPr="007F0323" w:rsidRDefault="00B443D2" w:rsidP="00B443D2">
      <w:pPr>
        <w:pStyle w:val="ListParagraph"/>
        <w:tabs>
          <w:tab w:val="left" w:pos="450"/>
          <w:tab w:val="left" w:pos="540"/>
        </w:tabs>
        <w:spacing w:after="0" w:line="240" w:lineRule="auto"/>
        <w:ind w:left="360"/>
        <w:jc w:val="both"/>
        <w:outlineLvl w:val="1"/>
        <w:rPr>
          <w:rFonts w:ascii="Times" w:hAnsi="Times" w:cs="Times"/>
        </w:rPr>
      </w:pPr>
      <w:r w:rsidRPr="007F0323">
        <w:rPr>
          <w:rFonts w:ascii="Times" w:hAnsi="Times" w:cs="Times"/>
        </w:rPr>
        <w:t xml:space="preserve">Figure 1: Optimized geometrical structure of </w:t>
      </w:r>
      <w:r w:rsidR="00D55544">
        <w:rPr>
          <w:rFonts w:ascii="Times" w:hAnsi="Times" w:cs="Times"/>
        </w:rPr>
        <w:t xml:space="preserve">(a) </w:t>
      </w:r>
      <w:r w:rsidR="00B04435">
        <w:rPr>
          <w:rFonts w:ascii="Times" w:hAnsi="Times" w:cs="Times"/>
        </w:rPr>
        <w:t xml:space="preserve">5DHT and </w:t>
      </w:r>
      <w:r w:rsidR="00D55544">
        <w:rPr>
          <w:rFonts w:ascii="Times" w:hAnsi="Times" w:cs="Times"/>
        </w:rPr>
        <w:t xml:space="preserve">(b) </w:t>
      </w:r>
      <w:r w:rsidR="00B04435">
        <w:rPr>
          <w:rFonts w:ascii="Times" w:hAnsi="Times" w:cs="Times"/>
        </w:rPr>
        <w:t>6DHT.</w:t>
      </w:r>
    </w:p>
    <w:p w:rsidR="00B443D2" w:rsidRPr="007F0323" w:rsidRDefault="00B443D2" w:rsidP="00B443D2">
      <w:pPr>
        <w:pStyle w:val="ListParagraph"/>
        <w:tabs>
          <w:tab w:val="left" w:pos="450"/>
          <w:tab w:val="left" w:pos="540"/>
        </w:tabs>
        <w:spacing w:after="0" w:line="240" w:lineRule="auto"/>
        <w:ind w:left="360"/>
        <w:jc w:val="both"/>
        <w:outlineLvl w:val="1"/>
        <w:rPr>
          <w:rFonts w:ascii="Times" w:hAnsi="Times" w:cs="Times"/>
        </w:rPr>
      </w:pPr>
    </w:p>
    <w:p w:rsidR="00B279BF" w:rsidRPr="007F0323" w:rsidRDefault="00B279BF" w:rsidP="00B443D2">
      <w:pPr>
        <w:tabs>
          <w:tab w:val="left" w:pos="450"/>
          <w:tab w:val="left" w:pos="540"/>
        </w:tabs>
        <w:jc w:val="both"/>
        <w:outlineLvl w:val="1"/>
        <w:rPr>
          <w:rFonts w:cs="Times"/>
          <w:szCs w:val="22"/>
        </w:rPr>
      </w:pPr>
    </w:p>
    <w:tbl>
      <w:tblPr>
        <w:tblStyle w:val="TableGrid"/>
        <w:tblW w:w="0" w:type="auto"/>
        <w:tblInd w:w="360" w:type="dxa"/>
        <w:tblLook w:val="04A0"/>
      </w:tblPr>
      <w:tblGrid>
        <w:gridCol w:w="4626"/>
        <w:gridCol w:w="4301"/>
      </w:tblGrid>
      <w:tr w:rsidR="00B279BF" w:rsidTr="00B279BF">
        <w:tc>
          <w:tcPr>
            <w:tcW w:w="4643" w:type="dxa"/>
          </w:tcPr>
          <w:p w:rsidR="00B279BF" w:rsidRDefault="00B279BF" w:rsidP="00B443D2">
            <w:pPr>
              <w:pStyle w:val="ListParagraph"/>
              <w:tabs>
                <w:tab w:val="left" w:pos="450"/>
                <w:tab w:val="left" w:pos="540"/>
              </w:tabs>
              <w:spacing w:after="0" w:line="240" w:lineRule="auto"/>
              <w:ind w:left="0"/>
              <w:jc w:val="both"/>
              <w:outlineLvl w:val="1"/>
              <w:rPr>
                <w:rFonts w:ascii="Times" w:hAnsi="Times" w:cs="Times"/>
                <w:b/>
              </w:rPr>
            </w:pPr>
            <w:r>
              <w:rPr>
                <w:rFonts w:ascii="Times" w:hAnsi="Times" w:cs="Times"/>
                <w:b/>
                <w:noProof/>
              </w:rPr>
              <w:drawing>
                <wp:inline distT="0" distB="0" distL="0" distR="0">
                  <wp:extent cx="2775497" cy="1905000"/>
                  <wp:effectExtent l="19050" t="0" r="5803" b="0"/>
                  <wp:docPr id="9" name="Picture 3" descr="C:\Users\Srisailam\Desktop\2-5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sailam\Desktop\2-5UV.png"/>
                          <pic:cNvPicPr>
                            <a:picLocks noChangeAspect="1" noChangeArrowheads="1"/>
                          </pic:cNvPicPr>
                        </pic:nvPicPr>
                        <pic:blipFill>
                          <a:blip r:embed="rId10" cstate="print"/>
                          <a:srcRect/>
                          <a:stretch>
                            <a:fillRect/>
                          </a:stretch>
                        </pic:blipFill>
                        <pic:spPr bwMode="auto">
                          <a:xfrm>
                            <a:off x="0" y="0"/>
                            <a:ext cx="2775497" cy="1905000"/>
                          </a:xfrm>
                          <a:prstGeom prst="rect">
                            <a:avLst/>
                          </a:prstGeom>
                          <a:noFill/>
                          <a:ln w="9525">
                            <a:noFill/>
                            <a:miter lim="800000"/>
                            <a:headEnd/>
                            <a:tailEnd/>
                          </a:ln>
                        </pic:spPr>
                      </pic:pic>
                    </a:graphicData>
                  </a:graphic>
                </wp:inline>
              </w:drawing>
            </w:r>
          </w:p>
        </w:tc>
        <w:tc>
          <w:tcPr>
            <w:tcW w:w="4644" w:type="dxa"/>
          </w:tcPr>
          <w:p w:rsidR="00B279BF" w:rsidRDefault="00B279BF" w:rsidP="00B443D2">
            <w:pPr>
              <w:pStyle w:val="ListParagraph"/>
              <w:tabs>
                <w:tab w:val="left" w:pos="450"/>
                <w:tab w:val="left" w:pos="540"/>
              </w:tabs>
              <w:spacing w:after="0" w:line="240" w:lineRule="auto"/>
              <w:ind w:left="0"/>
              <w:jc w:val="both"/>
              <w:outlineLvl w:val="1"/>
              <w:rPr>
                <w:rFonts w:ascii="Times" w:hAnsi="Times" w:cs="Times"/>
                <w:b/>
              </w:rPr>
            </w:pPr>
            <w:r>
              <w:rPr>
                <w:rFonts w:ascii="Times" w:hAnsi="Times" w:cs="Times"/>
                <w:b/>
                <w:noProof/>
              </w:rPr>
              <w:drawing>
                <wp:inline distT="0" distB="0" distL="0" distR="0">
                  <wp:extent cx="2571750" cy="1880183"/>
                  <wp:effectExtent l="19050" t="0" r="0" b="0"/>
                  <wp:docPr id="10" name="Picture 4" descr="C:\Users\Srisailam\Desktop\2-6-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risailam\Desktop\2-6-UV.png"/>
                          <pic:cNvPicPr>
                            <a:picLocks noChangeAspect="1" noChangeArrowheads="1"/>
                          </pic:cNvPicPr>
                        </pic:nvPicPr>
                        <pic:blipFill>
                          <a:blip r:embed="rId11" cstate="print"/>
                          <a:srcRect/>
                          <a:stretch>
                            <a:fillRect/>
                          </a:stretch>
                        </pic:blipFill>
                        <pic:spPr bwMode="auto">
                          <a:xfrm>
                            <a:off x="0" y="0"/>
                            <a:ext cx="2571750" cy="1880183"/>
                          </a:xfrm>
                          <a:prstGeom prst="rect">
                            <a:avLst/>
                          </a:prstGeom>
                          <a:noFill/>
                          <a:ln w="9525">
                            <a:noFill/>
                            <a:miter lim="800000"/>
                            <a:headEnd/>
                            <a:tailEnd/>
                          </a:ln>
                        </pic:spPr>
                      </pic:pic>
                    </a:graphicData>
                  </a:graphic>
                </wp:inline>
              </w:drawing>
            </w:r>
          </w:p>
        </w:tc>
      </w:tr>
    </w:tbl>
    <w:p w:rsidR="00B443D2" w:rsidRPr="007F0323" w:rsidRDefault="00B443D2" w:rsidP="00B443D2">
      <w:pPr>
        <w:pStyle w:val="ListParagraph"/>
        <w:tabs>
          <w:tab w:val="left" w:pos="450"/>
          <w:tab w:val="left" w:pos="540"/>
        </w:tabs>
        <w:spacing w:after="0" w:line="240" w:lineRule="auto"/>
        <w:ind w:left="360"/>
        <w:jc w:val="both"/>
        <w:outlineLvl w:val="1"/>
        <w:rPr>
          <w:rFonts w:ascii="Times" w:hAnsi="Times" w:cs="Times"/>
          <w:b/>
        </w:rPr>
      </w:pPr>
    </w:p>
    <w:p w:rsidR="00B443D2" w:rsidRPr="007F0323" w:rsidRDefault="00B443D2" w:rsidP="0045724C">
      <w:pPr>
        <w:pStyle w:val="ListParagraph"/>
        <w:tabs>
          <w:tab w:val="left" w:pos="450"/>
          <w:tab w:val="left" w:pos="540"/>
        </w:tabs>
        <w:spacing w:after="0" w:line="240" w:lineRule="auto"/>
        <w:ind w:left="360"/>
        <w:outlineLvl w:val="1"/>
        <w:rPr>
          <w:rFonts w:ascii="Times" w:hAnsi="Times" w:cs="Times"/>
        </w:rPr>
      </w:pPr>
      <w:r w:rsidRPr="007F0323">
        <w:rPr>
          <w:rFonts w:ascii="Times" w:hAnsi="Times" w:cs="Times"/>
        </w:rPr>
        <w:t xml:space="preserve">Figure </w:t>
      </w:r>
      <w:r w:rsidR="00662286">
        <w:rPr>
          <w:rFonts w:ascii="Times" w:hAnsi="Times" w:cs="Times"/>
        </w:rPr>
        <w:t>2</w:t>
      </w:r>
      <w:r w:rsidRPr="007F0323">
        <w:rPr>
          <w:rFonts w:ascii="Times" w:hAnsi="Times" w:cs="Times"/>
        </w:rPr>
        <w:t>: UV-Vis peaks</w:t>
      </w:r>
      <w:r w:rsidR="0045724C">
        <w:rPr>
          <w:rFonts w:ascii="Times" w:hAnsi="Times" w:cs="Times"/>
        </w:rPr>
        <w:t>of 5DHT and 6DHT.</w:t>
      </w:r>
    </w:p>
    <w:p w:rsidR="00B443D2" w:rsidRPr="007F0323" w:rsidRDefault="00B443D2" w:rsidP="00B443D2">
      <w:pPr>
        <w:pStyle w:val="ListParagraph"/>
        <w:tabs>
          <w:tab w:val="left" w:pos="450"/>
          <w:tab w:val="left" w:pos="540"/>
        </w:tabs>
        <w:spacing w:after="0" w:line="240" w:lineRule="auto"/>
        <w:ind w:left="360"/>
        <w:jc w:val="both"/>
        <w:outlineLvl w:val="1"/>
        <w:rPr>
          <w:rFonts w:ascii="Times" w:hAnsi="Times" w:cs="Times"/>
          <w:b/>
        </w:rPr>
      </w:pPr>
    </w:p>
    <w:p w:rsidR="00B443D2" w:rsidRPr="007F0323" w:rsidRDefault="00B443D2" w:rsidP="00B443D2">
      <w:pPr>
        <w:pStyle w:val="Subsection"/>
        <w:rPr>
          <w:rFonts w:cs="Times"/>
          <w:i/>
        </w:rPr>
      </w:pPr>
      <w:r w:rsidRPr="007F0323">
        <w:rPr>
          <w:rFonts w:cs="Times"/>
          <w:i/>
        </w:rPr>
        <w:t>Chemica</w:t>
      </w:r>
      <w:r w:rsidR="00505538">
        <w:rPr>
          <w:rFonts w:cs="Times"/>
          <w:i/>
        </w:rPr>
        <w:t>l reactivity of the molecules</w:t>
      </w:r>
    </w:p>
    <w:p w:rsidR="003C67FF" w:rsidRDefault="00B443D2" w:rsidP="00B443D2">
      <w:pPr>
        <w:tabs>
          <w:tab w:val="left" w:pos="450"/>
          <w:tab w:val="left" w:pos="540"/>
        </w:tabs>
        <w:jc w:val="both"/>
        <w:outlineLvl w:val="1"/>
        <w:rPr>
          <w:rFonts w:cs="Times"/>
          <w:szCs w:val="22"/>
        </w:rPr>
      </w:pPr>
      <w:r w:rsidRPr="007F0323">
        <w:rPr>
          <w:rFonts w:cs="Times"/>
          <w:szCs w:val="22"/>
        </w:rPr>
        <w:t>Frontier molecular orbital energy gap plays vital role in understanding the chemical reactivity such as reactants kinetic characteristics and chemical reactions of the molecule. The calculated energy</w:t>
      </w:r>
      <w:r w:rsidR="001742D6">
        <w:rPr>
          <w:rFonts w:cs="Times"/>
          <w:szCs w:val="22"/>
        </w:rPr>
        <w:t xml:space="preserve"> gap between the H and L values for 5DHT and 6DHT are 3.636</w:t>
      </w:r>
      <w:r w:rsidRPr="007F0323">
        <w:rPr>
          <w:rFonts w:cs="Times"/>
          <w:szCs w:val="22"/>
        </w:rPr>
        <w:t xml:space="preserve">eV </w:t>
      </w:r>
      <w:r w:rsidR="001742D6">
        <w:rPr>
          <w:rFonts w:cs="Times"/>
          <w:szCs w:val="22"/>
        </w:rPr>
        <w:t xml:space="preserve"> and  4.404 eV. Their </w:t>
      </w:r>
      <w:r w:rsidRPr="007F0323">
        <w:rPr>
          <w:rFonts w:cs="Times"/>
          <w:szCs w:val="22"/>
        </w:rPr>
        <w:t xml:space="preserve"> chemical potential</w:t>
      </w:r>
      <w:r w:rsidR="001742D6">
        <w:rPr>
          <w:rFonts w:cs="Times"/>
          <w:szCs w:val="22"/>
        </w:rPr>
        <w:t>s (μ = -6.862</w:t>
      </w:r>
      <w:r w:rsidRPr="007F0323">
        <w:rPr>
          <w:rFonts w:cs="Times"/>
          <w:szCs w:val="22"/>
        </w:rPr>
        <w:t xml:space="preserve"> eV</w:t>
      </w:r>
      <w:r w:rsidR="001742D6">
        <w:rPr>
          <w:rFonts w:cs="Times"/>
          <w:szCs w:val="22"/>
        </w:rPr>
        <w:t xml:space="preserve"> and </w:t>
      </w:r>
      <w:r w:rsidR="00447D5E">
        <w:rPr>
          <w:rFonts w:cs="Times"/>
          <w:szCs w:val="22"/>
        </w:rPr>
        <w:t>-</w:t>
      </w:r>
      <w:r w:rsidR="001742D6">
        <w:rPr>
          <w:rFonts w:cs="Times"/>
          <w:szCs w:val="22"/>
        </w:rPr>
        <w:t>7.000eV</w:t>
      </w:r>
      <w:r w:rsidRPr="007F0323">
        <w:rPr>
          <w:rFonts w:cs="Times"/>
          <w:szCs w:val="22"/>
        </w:rPr>
        <w:t xml:space="preserve">) </w:t>
      </w:r>
      <w:r w:rsidR="001742D6">
        <w:rPr>
          <w:rFonts w:cs="Times"/>
          <w:szCs w:val="22"/>
        </w:rPr>
        <w:t xml:space="preserve">are </w:t>
      </w:r>
      <w:r w:rsidRPr="007F0323">
        <w:rPr>
          <w:rFonts w:cs="Times"/>
          <w:szCs w:val="22"/>
        </w:rPr>
        <w:t xml:space="preserve"> negative for </w:t>
      </w:r>
      <w:r w:rsidR="001742D6">
        <w:rPr>
          <w:rFonts w:cs="Times"/>
          <w:szCs w:val="22"/>
        </w:rPr>
        <w:t>both the molecules</w:t>
      </w:r>
      <w:r w:rsidR="00447D5E">
        <w:rPr>
          <w:rFonts w:cs="Times"/>
          <w:szCs w:val="22"/>
        </w:rPr>
        <w:t>, and are</w:t>
      </w:r>
      <w:r w:rsidR="002B093C">
        <w:rPr>
          <w:rFonts w:cs="Times"/>
          <w:szCs w:val="22"/>
        </w:rPr>
        <w:t xml:space="preserve"> chemically stable [30, 31</w:t>
      </w:r>
      <w:r w:rsidRPr="007F0323">
        <w:rPr>
          <w:rFonts w:cs="Times"/>
          <w:szCs w:val="22"/>
        </w:rPr>
        <w:t>]. These parameters describe</w:t>
      </w:r>
      <w:r w:rsidR="00447D5E">
        <w:rPr>
          <w:rFonts w:cs="Times"/>
          <w:szCs w:val="22"/>
        </w:rPr>
        <w:t>s</w:t>
      </w:r>
      <w:r w:rsidR="00454752">
        <w:rPr>
          <w:rFonts w:cs="Times"/>
          <w:szCs w:val="22"/>
        </w:rPr>
        <w:t>, the</w:t>
      </w:r>
      <w:r w:rsidRPr="007F0323">
        <w:rPr>
          <w:rFonts w:cs="Times"/>
          <w:szCs w:val="22"/>
        </w:rPr>
        <w:t xml:space="preserve"> aspects like drug design and toxicological behavio</w:t>
      </w:r>
      <w:r w:rsidR="00454752">
        <w:rPr>
          <w:rFonts w:cs="Times"/>
          <w:szCs w:val="22"/>
        </w:rPr>
        <w:t>u</w:t>
      </w:r>
      <w:r w:rsidRPr="007F0323">
        <w:rPr>
          <w:rFonts w:cs="Times"/>
          <w:szCs w:val="22"/>
        </w:rPr>
        <w:t>r of eco system.</w:t>
      </w:r>
    </w:p>
    <w:p w:rsidR="008305B8" w:rsidRDefault="008305B8" w:rsidP="00B443D2">
      <w:pPr>
        <w:tabs>
          <w:tab w:val="left" w:pos="450"/>
          <w:tab w:val="left" w:pos="540"/>
        </w:tabs>
        <w:jc w:val="both"/>
        <w:outlineLvl w:val="1"/>
        <w:rPr>
          <w:rFonts w:cs="Times"/>
          <w:szCs w:val="22"/>
        </w:rPr>
      </w:pPr>
    </w:p>
    <w:p w:rsidR="003C67FF" w:rsidRDefault="003C67FF" w:rsidP="003C67FF">
      <w:pPr>
        <w:pStyle w:val="ListParagraph"/>
        <w:numPr>
          <w:ilvl w:val="1"/>
          <w:numId w:val="11"/>
        </w:numPr>
        <w:spacing w:line="240" w:lineRule="auto"/>
        <w:jc w:val="both"/>
        <w:rPr>
          <w:rFonts w:ascii="Times New Roman" w:hAnsi="Times New Roman"/>
          <w:i/>
        </w:rPr>
      </w:pPr>
      <w:r w:rsidRPr="003C67FF">
        <w:rPr>
          <w:rFonts w:ascii="Times New Roman" w:hAnsi="Times New Roman"/>
          <w:i/>
        </w:rPr>
        <w:t>NLO properties</w:t>
      </w:r>
    </w:p>
    <w:p w:rsidR="003C67FF" w:rsidRPr="003C67FF" w:rsidRDefault="003C67FF" w:rsidP="003C67FF">
      <w:pPr>
        <w:jc w:val="both"/>
        <w:rPr>
          <w:rFonts w:ascii="Times New Roman" w:hAnsi="Times New Roman"/>
          <w:i/>
        </w:rPr>
      </w:pPr>
      <w:r w:rsidRPr="003C67FF">
        <w:rPr>
          <w:rFonts w:ascii="Times New Roman" w:hAnsi="Times New Roman"/>
        </w:rPr>
        <w:t xml:space="preserve">When Electromagnetic radiation interacts with NLO material, then </w:t>
      </w:r>
      <w:r w:rsidRPr="003C67FF">
        <w:rPr>
          <w:rFonts w:ascii="Times New Roman" w:hAnsi="Times New Roman"/>
          <w:noProof/>
        </w:rPr>
        <w:t>change occurse</w:t>
      </w:r>
      <w:r w:rsidRPr="003C67FF">
        <w:rPr>
          <w:rFonts w:ascii="Times New Roman" w:hAnsi="Times New Roman"/>
        </w:rPr>
        <w:t xml:space="preserve"> in phase, amplitude, frequency, or gives the new propa</w:t>
      </w:r>
      <w:r w:rsidR="00DA6A1E">
        <w:rPr>
          <w:rFonts w:ascii="Times New Roman" w:hAnsi="Times New Roman"/>
        </w:rPr>
        <w:t>gation field characteristics [32</w:t>
      </w:r>
      <w:r w:rsidRPr="003C67FF">
        <w:rPr>
          <w:rFonts w:ascii="Times New Roman" w:hAnsi="Times New Roman"/>
        </w:rPr>
        <w:t xml:space="preserve">]. If this change is significant then the NLO material used in signal processing, optical </w:t>
      </w:r>
      <w:r w:rsidRPr="003C67FF">
        <w:rPr>
          <w:rFonts w:ascii="Times New Roman" w:hAnsi="Times New Roman"/>
          <w:noProof/>
        </w:rPr>
        <w:t>inter-connections</w:t>
      </w:r>
      <w:r w:rsidR="00454752">
        <w:rPr>
          <w:rFonts w:ascii="Times New Roman" w:hAnsi="Times New Roman"/>
          <w:noProof/>
        </w:rPr>
        <w:t>,</w:t>
      </w:r>
      <w:r w:rsidR="00A91611">
        <w:rPr>
          <w:rFonts w:ascii="Times New Roman" w:hAnsi="Times New Roman"/>
          <w:noProof/>
        </w:rPr>
        <w:t xml:space="preserve"> </w:t>
      </w:r>
      <w:r w:rsidRPr="003C67FF">
        <w:rPr>
          <w:rFonts w:ascii="Times New Roman" w:hAnsi="Times New Roman"/>
        </w:rPr>
        <w:t>telecommu</w:t>
      </w:r>
      <w:r w:rsidR="00DA6A1E">
        <w:rPr>
          <w:rFonts w:ascii="Times New Roman" w:hAnsi="Times New Roman"/>
        </w:rPr>
        <w:t>nications and optical memory [33-36</w:t>
      </w:r>
      <w:r w:rsidRPr="003C67FF">
        <w:rPr>
          <w:rFonts w:ascii="Times New Roman" w:hAnsi="Times New Roman"/>
        </w:rPr>
        <w:t xml:space="preserve">]. </w:t>
      </w:r>
    </w:p>
    <w:p w:rsidR="003C67FF" w:rsidRPr="008305B8" w:rsidRDefault="003C67FF" w:rsidP="008305B8">
      <w:pPr>
        <w:ind w:firstLine="360"/>
        <w:jc w:val="both"/>
        <w:rPr>
          <w:rFonts w:ascii="Times New Roman" w:hAnsi="Times New Roman"/>
          <w:szCs w:val="22"/>
        </w:rPr>
      </w:pPr>
      <w:r w:rsidRPr="004C109B">
        <w:rPr>
          <w:rFonts w:ascii="Times New Roman" w:hAnsi="Times New Roman"/>
          <w:szCs w:val="22"/>
        </w:rPr>
        <w:lastRenderedPageBreak/>
        <w:t>The NLO behavio</w:t>
      </w:r>
      <w:r w:rsidR="001541C6">
        <w:rPr>
          <w:rFonts w:ascii="Times New Roman" w:hAnsi="Times New Roman"/>
          <w:szCs w:val="22"/>
        </w:rPr>
        <w:t>u</w:t>
      </w:r>
      <w:r w:rsidRPr="004C109B">
        <w:rPr>
          <w:rFonts w:ascii="Times New Roman" w:hAnsi="Times New Roman"/>
          <w:szCs w:val="22"/>
        </w:rPr>
        <w:t>r of selected compound</w:t>
      </w:r>
      <w:r w:rsidR="001541C6">
        <w:rPr>
          <w:rFonts w:ascii="Times New Roman" w:hAnsi="Times New Roman"/>
          <w:szCs w:val="22"/>
        </w:rPr>
        <w:t>sare</w:t>
      </w:r>
      <w:r w:rsidRPr="004C109B">
        <w:rPr>
          <w:rFonts w:ascii="Times New Roman" w:hAnsi="Times New Roman"/>
          <w:szCs w:val="22"/>
        </w:rPr>
        <w:t xml:space="preserve"> judged by comparing the related quantities of Urea.  For Urea, hyper polarizability (β</w:t>
      </w:r>
      <w:r w:rsidRPr="004C109B">
        <w:rPr>
          <w:rFonts w:ascii="Times New Roman" w:hAnsi="Times New Roman"/>
          <w:szCs w:val="22"/>
          <w:vertAlign w:val="subscript"/>
        </w:rPr>
        <w:t>t</w:t>
      </w:r>
      <w:r w:rsidRPr="004C109B">
        <w:rPr>
          <w:rFonts w:ascii="Times New Roman" w:hAnsi="Times New Roman"/>
          <w:szCs w:val="22"/>
        </w:rPr>
        <w:t>)and dipole moment(µ</w:t>
      </w:r>
      <w:r w:rsidRPr="004C109B">
        <w:rPr>
          <w:rFonts w:ascii="Times New Roman" w:hAnsi="Times New Roman"/>
          <w:szCs w:val="22"/>
          <w:vertAlign w:val="subscript"/>
        </w:rPr>
        <w:t>t</w:t>
      </w:r>
      <w:r w:rsidRPr="004C109B">
        <w:rPr>
          <w:rFonts w:ascii="Times New Roman" w:hAnsi="Times New Roman"/>
          <w:szCs w:val="22"/>
        </w:rPr>
        <w:t>) are 372.8 × 10</w:t>
      </w:r>
      <w:r w:rsidRPr="004C109B">
        <w:rPr>
          <w:rFonts w:ascii="Times New Roman" w:hAnsi="Times New Roman"/>
          <w:szCs w:val="22"/>
          <w:vertAlign w:val="superscript"/>
        </w:rPr>
        <w:t xml:space="preserve">-33 </w:t>
      </w:r>
      <w:r w:rsidRPr="004C109B">
        <w:rPr>
          <w:rFonts w:ascii="Times New Roman" w:hAnsi="Times New Roman"/>
          <w:szCs w:val="22"/>
        </w:rPr>
        <w:t>cm</w:t>
      </w:r>
      <w:r w:rsidRPr="004C109B">
        <w:rPr>
          <w:rFonts w:ascii="Times New Roman" w:hAnsi="Times New Roman"/>
          <w:szCs w:val="22"/>
          <w:vertAlign w:val="superscript"/>
        </w:rPr>
        <w:t>5/</w:t>
      </w:r>
      <w:r w:rsidRPr="004C109B">
        <w:rPr>
          <w:rFonts w:ascii="Times New Roman" w:hAnsi="Times New Roman"/>
          <w:szCs w:val="22"/>
        </w:rPr>
        <w:t>esu and 1.3</w:t>
      </w:r>
      <w:r w:rsidR="00DA6A1E">
        <w:rPr>
          <w:rFonts w:ascii="Times New Roman" w:hAnsi="Times New Roman"/>
          <w:szCs w:val="22"/>
        </w:rPr>
        <w:t>732 Debye, respectively. For 5DHT and 6DHT</w:t>
      </w:r>
      <w:r w:rsidRPr="004C109B">
        <w:rPr>
          <w:rFonts w:ascii="Times New Roman" w:hAnsi="Times New Roman"/>
          <w:szCs w:val="22"/>
        </w:rPr>
        <w:t>, these values are β</w:t>
      </w:r>
      <w:r w:rsidRPr="004C109B">
        <w:rPr>
          <w:rFonts w:ascii="Times New Roman" w:hAnsi="Times New Roman"/>
          <w:szCs w:val="22"/>
          <w:vertAlign w:val="subscript"/>
        </w:rPr>
        <w:t>t</w:t>
      </w:r>
      <w:r w:rsidR="00DA6A1E">
        <w:rPr>
          <w:rFonts w:ascii="Times New Roman" w:hAnsi="Times New Roman"/>
          <w:szCs w:val="22"/>
        </w:rPr>
        <w:t xml:space="preserve"> = 98.594</w:t>
      </w:r>
      <w:r w:rsidRPr="004C109B">
        <w:rPr>
          <w:rFonts w:ascii="Times New Roman" w:hAnsi="Times New Roman"/>
          <w:szCs w:val="22"/>
        </w:rPr>
        <w:t xml:space="preserve"> × 10</w:t>
      </w:r>
      <w:r w:rsidRPr="004C109B">
        <w:rPr>
          <w:rFonts w:ascii="Times New Roman" w:hAnsi="Times New Roman"/>
          <w:szCs w:val="22"/>
          <w:vertAlign w:val="superscript"/>
        </w:rPr>
        <w:t xml:space="preserve">-33 </w:t>
      </w:r>
      <w:r w:rsidRPr="004C109B">
        <w:rPr>
          <w:rFonts w:ascii="Times New Roman" w:hAnsi="Times New Roman"/>
          <w:szCs w:val="22"/>
        </w:rPr>
        <w:t>cm</w:t>
      </w:r>
      <w:r w:rsidRPr="004C109B">
        <w:rPr>
          <w:rFonts w:ascii="Times New Roman" w:hAnsi="Times New Roman"/>
          <w:szCs w:val="22"/>
          <w:vertAlign w:val="superscript"/>
        </w:rPr>
        <w:t>5/</w:t>
      </w:r>
      <w:r w:rsidRPr="004C109B">
        <w:rPr>
          <w:rFonts w:ascii="Times New Roman" w:hAnsi="Times New Roman"/>
          <w:szCs w:val="22"/>
        </w:rPr>
        <w:t>esu</w:t>
      </w:r>
      <w:r w:rsidR="00DA6A1E">
        <w:rPr>
          <w:rFonts w:ascii="Times New Roman" w:hAnsi="Times New Roman"/>
          <w:szCs w:val="22"/>
        </w:rPr>
        <w:t xml:space="preserve">, </w:t>
      </w:r>
      <w:r w:rsidR="00A91611">
        <w:rPr>
          <w:rFonts w:ascii="Times New Roman" w:hAnsi="Times New Roman"/>
          <w:szCs w:val="22"/>
        </w:rPr>
        <w:t xml:space="preserve">               </w:t>
      </w:r>
      <w:r w:rsidR="007F5F75">
        <w:rPr>
          <w:rFonts w:ascii="Times New Roman" w:hAnsi="Times New Roman"/>
          <w:szCs w:val="22"/>
        </w:rPr>
        <w:t>299.729</w:t>
      </w:r>
      <w:r w:rsidR="00DA6A1E" w:rsidRPr="004C109B">
        <w:rPr>
          <w:rFonts w:ascii="Times New Roman" w:hAnsi="Times New Roman"/>
          <w:szCs w:val="22"/>
        </w:rPr>
        <w:t xml:space="preserve"> × 10</w:t>
      </w:r>
      <w:r w:rsidR="00DA6A1E" w:rsidRPr="004C109B">
        <w:rPr>
          <w:rFonts w:ascii="Times New Roman" w:hAnsi="Times New Roman"/>
          <w:szCs w:val="22"/>
          <w:vertAlign w:val="superscript"/>
        </w:rPr>
        <w:t xml:space="preserve">-33 </w:t>
      </w:r>
      <w:r w:rsidR="00DA6A1E" w:rsidRPr="004C109B">
        <w:rPr>
          <w:rFonts w:ascii="Times New Roman" w:hAnsi="Times New Roman"/>
          <w:szCs w:val="22"/>
        </w:rPr>
        <w:t>cm</w:t>
      </w:r>
      <w:r w:rsidR="00DA6A1E" w:rsidRPr="004C109B">
        <w:rPr>
          <w:rFonts w:ascii="Times New Roman" w:hAnsi="Times New Roman"/>
          <w:szCs w:val="22"/>
          <w:vertAlign w:val="superscript"/>
        </w:rPr>
        <w:t>5/</w:t>
      </w:r>
      <w:r w:rsidR="00DA6A1E" w:rsidRPr="004C109B">
        <w:rPr>
          <w:rFonts w:ascii="Times New Roman" w:hAnsi="Times New Roman"/>
          <w:szCs w:val="22"/>
        </w:rPr>
        <w:t>esu</w:t>
      </w:r>
      <w:r w:rsidR="00DA6A1E">
        <w:rPr>
          <w:rFonts w:ascii="Times New Roman" w:hAnsi="Times New Roman"/>
          <w:szCs w:val="22"/>
        </w:rPr>
        <w:t>,</w:t>
      </w:r>
      <w:r w:rsidR="00D658CA">
        <w:rPr>
          <w:rFonts w:ascii="Times New Roman" w:hAnsi="Times New Roman"/>
          <w:szCs w:val="22"/>
        </w:rPr>
        <w:t xml:space="preserve"> and</w:t>
      </w:r>
      <w:r w:rsidRPr="004C109B">
        <w:rPr>
          <w:rFonts w:ascii="Times New Roman" w:hAnsi="Times New Roman"/>
          <w:szCs w:val="22"/>
        </w:rPr>
        <w:t xml:space="preserve"> µ</w:t>
      </w:r>
      <w:r w:rsidRPr="004C109B">
        <w:rPr>
          <w:rFonts w:ascii="Times New Roman" w:hAnsi="Times New Roman"/>
          <w:szCs w:val="22"/>
          <w:vertAlign w:val="subscript"/>
        </w:rPr>
        <w:t xml:space="preserve">t </w:t>
      </w:r>
      <w:r w:rsidR="00DA6A1E">
        <w:rPr>
          <w:rFonts w:ascii="Times New Roman" w:hAnsi="Times New Roman"/>
          <w:szCs w:val="22"/>
        </w:rPr>
        <w:t>= 0.938</w:t>
      </w:r>
      <w:r w:rsidRPr="004C109B">
        <w:rPr>
          <w:rFonts w:ascii="Times New Roman" w:hAnsi="Times New Roman"/>
          <w:szCs w:val="22"/>
        </w:rPr>
        <w:t xml:space="preserve"> Debye</w:t>
      </w:r>
      <w:r w:rsidR="007F5F75">
        <w:rPr>
          <w:rFonts w:ascii="Times New Roman" w:hAnsi="Times New Roman"/>
          <w:szCs w:val="22"/>
        </w:rPr>
        <w:t>, 0.792 Debye</w:t>
      </w:r>
      <w:r w:rsidRPr="004C109B">
        <w:rPr>
          <w:rFonts w:ascii="Times New Roman" w:hAnsi="Times New Roman"/>
          <w:szCs w:val="22"/>
        </w:rPr>
        <w:t xml:space="preserve">. The estimated values are </w:t>
      </w:r>
      <w:r w:rsidR="007F5F75">
        <w:rPr>
          <w:rFonts w:ascii="Times New Roman" w:hAnsi="Times New Roman"/>
          <w:szCs w:val="22"/>
        </w:rPr>
        <w:t>less</w:t>
      </w:r>
      <w:r w:rsidRPr="004C109B">
        <w:rPr>
          <w:rFonts w:ascii="Times New Roman" w:hAnsi="Times New Roman"/>
          <w:szCs w:val="22"/>
        </w:rPr>
        <w:t xml:space="preserve"> compared with that of Urea; </w:t>
      </w:r>
      <w:r w:rsidRPr="004C109B">
        <w:rPr>
          <w:rFonts w:ascii="Times New Roman" w:hAnsi="Times New Roman"/>
          <w:noProof/>
          <w:szCs w:val="22"/>
        </w:rPr>
        <w:t xml:space="preserve">hence </w:t>
      </w:r>
      <w:r w:rsidR="007F5F75">
        <w:rPr>
          <w:rFonts w:ascii="Times New Roman" w:hAnsi="Times New Roman"/>
          <w:szCs w:val="22"/>
        </w:rPr>
        <w:t>titled compounds are not NLO materials.</w:t>
      </w:r>
    </w:p>
    <w:p w:rsidR="00B443D2" w:rsidRPr="007F0323" w:rsidRDefault="00B443D2" w:rsidP="00B443D2">
      <w:pPr>
        <w:pStyle w:val="Section"/>
        <w:rPr>
          <w:rFonts w:cs="Times"/>
          <w:b w:val="0"/>
        </w:rPr>
      </w:pPr>
      <w:r w:rsidRPr="007F0323">
        <w:rPr>
          <w:rFonts w:cs="Times"/>
        </w:rPr>
        <w:t>Conclusion</w:t>
      </w:r>
    </w:p>
    <w:p w:rsidR="00B443D2" w:rsidRPr="002B093C" w:rsidRDefault="00B443D2" w:rsidP="002B093C">
      <w:pPr>
        <w:jc w:val="both"/>
        <w:rPr>
          <w:rFonts w:cs="Times"/>
        </w:rPr>
      </w:pPr>
      <w:r w:rsidRPr="002B093C">
        <w:rPr>
          <w:rFonts w:cs="Times"/>
        </w:rPr>
        <w:t>The</w:t>
      </w:r>
      <w:r w:rsidR="002B093C">
        <w:rPr>
          <w:rFonts w:cs="Times"/>
        </w:rPr>
        <w:t>ore</w:t>
      </w:r>
      <w:r w:rsidR="0055192A">
        <w:rPr>
          <w:rFonts w:cs="Times"/>
        </w:rPr>
        <w:t xml:space="preserve">tical UV-Visible peak values, FMO and chemical reactivity </w:t>
      </w:r>
      <w:r w:rsidR="00BF2A0C">
        <w:rPr>
          <w:rFonts w:cs="Times"/>
        </w:rPr>
        <w:t>parameters computed</w:t>
      </w:r>
      <w:r w:rsidR="00783288">
        <w:rPr>
          <w:rFonts w:cs="Times"/>
        </w:rPr>
        <w:t xml:space="preserve"> for t</w:t>
      </w:r>
      <w:r w:rsidR="007F5F75">
        <w:rPr>
          <w:rFonts w:cs="Times"/>
        </w:rPr>
        <w:t>he selected compounds</w:t>
      </w:r>
      <w:r w:rsidR="00783288">
        <w:rPr>
          <w:rFonts w:cs="Times"/>
        </w:rPr>
        <w:t xml:space="preserve"> and these</w:t>
      </w:r>
      <w:r w:rsidR="007F5F75">
        <w:rPr>
          <w:rFonts w:cs="Times"/>
        </w:rPr>
        <w:t xml:space="preserve"> are not NLO materials.</w:t>
      </w:r>
    </w:p>
    <w:p w:rsidR="009A0487" w:rsidRDefault="009A0487" w:rsidP="00E3387B">
      <w:pPr>
        <w:pStyle w:val="Section"/>
      </w:pPr>
      <w:r>
        <w:t>References</w:t>
      </w:r>
    </w:p>
    <w:p w:rsidR="00045787" w:rsidRPr="00105E1D" w:rsidRDefault="00045787" w:rsidP="00045787">
      <w:pPr>
        <w:pStyle w:val="Reference"/>
      </w:pPr>
      <w:r w:rsidRPr="00105E1D">
        <w:t>Sarkar</w:t>
      </w:r>
      <w:r>
        <w:t xml:space="preserve"> S, </w:t>
      </w:r>
      <w:r w:rsidRPr="00105E1D">
        <w:t>Bhattacharya</w:t>
      </w:r>
      <w:r>
        <w:t xml:space="preserve"> G, </w:t>
      </w:r>
      <w:r w:rsidRPr="00105E1D">
        <w:t>Bandyopadhyay</w:t>
      </w:r>
      <w:r>
        <w:t xml:space="preserve"> S, </w:t>
      </w:r>
      <w:r w:rsidRPr="00105E1D">
        <w:t>Bhattacharjee</w:t>
      </w:r>
      <w:r>
        <w:t xml:space="preserve"> S, </w:t>
      </w:r>
      <w:r w:rsidRPr="00105E1D">
        <w:t>Banerjee</w:t>
      </w:r>
      <w:r>
        <w:t xml:space="preserve"> D</w:t>
      </w:r>
      <w:r w:rsidRPr="00105E1D">
        <w:t xml:space="preserve">, </w:t>
      </w:r>
      <w:r>
        <w:t xml:space="preserve">2010 </w:t>
      </w:r>
      <w:r w:rsidRPr="00105E1D">
        <w:t>Identification of orcinol reactive substance in pleural fluid cell lysate-A new parameter for classification of pleural e</w:t>
      </w:r>
      <w:r>
        <w:t>ffusion,Clin.Chim.Acta.411</w:t>
      </w:r>
      <w:r w:rsidR="000C4316">
        <w:t>,</w:t>
      </w:r>
      <w:r w:rsidRPr="00105E1D">
        <w:t>671-674.</w:t>
      </w:r>
    </w:p>
    <w:p w:rsidR="00045787" w:rsidRPr="00045787" w:rsidRDefault="00045787">
      <w:pPr>
        <w:pStyle w:val="Reference"/>
      </w:pPr>
      <w:r w:rsidRPr="00105E1D">
        <w:rPr>
          <w:rFonts w:ascii="Times New Roman" w:hAnsi="Times New Roman"/>
          <w:sz w:val="24"/>
          <w:szCs w:val="24"/>
        </w:rPr>
        <w:t>Horecker</w:t>
      </w:r>
      <w:r>
        <w:rPr>
          <w:rFonts w:ascii="Times New Roman" w:hAnsi="Times New Roman"/>
          <w:sz w:val="24"/>
          <w:szCs w:val="24"/>
        </w:rPr>
        <w:t xml:space="preserve"> B. L</w:t>
      </w:r>
      <w:r w:rsidRPr="00105E1D">
        <w:rPr>
          <w:rFonts w:ascii="Times New Roman" w:hAnsi="Times New Roman"/>
          <w:sz w:val="24"/>
          <w:szCs w:val="24"/>
        </w:rPr>
        <w:t>,</w:t>
      </w:r>
      <w:r w:rsidR="000C4316">
        <w:rPr>
          <w:rFonts w:ascii="Times New Roman" w:hAnsi="Times New Roman"/>
          <w:sz w:val="24"/>
          <w:szCs w:val="24"/>
        </w:rPr>
        <w:t xml:space="preserve"> 1957</w:t>
      </w:r>
      <w:r w:rsidRPr="00105E1D">
        <w:rPr>
          <w:rFonts w:ascii="Times New Roman" w:hAnsi="Times New Roman"/>
          <w:sz w:val="24"/>
          <w:szCs w:val="24"/>
        </w:rPr>
        <w:t xml:space="preserve"> The orcinol reaction for mixtures of pentose and heptulose, </w:t>
      </w:r>
      <w:r w:rsidR="000C4316">
        <w:rPr>
          <w:rFonts w:ascii="Times New Roman" w:hAnsi="Times New Roman"/>
          <w:sz w:val="24"/>
          <w:szCs w:val="24"/>
        </w:rPr>
        <w:t xml:space="preserve">Methods in Enzymology. 3, </w:t>
      </w:r>
      <w:r w:rsidRPr="00105E1D">
        <w:rPr>
          <w:rFonts w:ascii="Times New Roman" w:hAnsi="Times New Roman"/>
          <w:sz w:val="24"/>
          <w:szCs w:val="24"/>
        </w:rPr>
        <w:t>105-107</w:t>
      </w:r>
    </w:p>
    <w:p w:rsidR="00045787" w:rsidRPr="00105E1D" w:rsidRDefault="00045787" w:rsidP="00045787">
      <w:pPr>
        <w:pStyle w:val="Reference"/>
      </w:pPr>
      <w:r w:rsidRPr="00105E1D">
        <w:t>Slater</w:t>
      </w:r>
      <w:r w:rsidR="00A26A65">
        <w:t xml:space="preserve"> T. F</w:t>
      </w:r>
      <w:r w:rsidRPr="00105E1D">
        <w:t>,</w:t>
      </w:r>
      <w:r w:rsidR="00A26A65">
        <w:t xml:space="preserve"> 1958</w:t>
      </w:r>
      <w:r w:rsidRPr="00105E1D">
        <w:t xml:space="preserve"> Interference by sucrose in the estimation of RNA by the orcinol method, B</w:t>
      </w:r>
      <w:r w:rsidR="00A26A65">
        <w:t xml:space="preserve">iochim. Biophys. Acta. 27, </w:t>
      </w:r>
      <w:r w:rsidRPr="00105E1D">
        <w:t xml:space="preserve"> 201-202.</w:t>
      </w:r>
    </w:p>
    <w:p w:rsidR="00045787" w:rsidRPr="00105E1D" w:rsidRDefault="00045787" w:rsidP="00045787">
      <w:pPr>
        <w:pStyle w:val="Reference"/>
      </w:pPr>
      <w:r w:rsidRPr="00105E1D">
        <w:t>Cocker</w:t>
      </w:r>
      <w:r w:rsidR="00A26A65">
        <w:t>J</w:t>
      </w:r>
      <w:r w:rsidRPr="00105E1D">
        <w:t>, Mason</w:t>
      </w:r>
      <w:r w:rsidR="00A26A65">
        <w:t xml:space="preserve"> H. J</w:t>
      </w:r>
      <w:r w:rsidRPr="00105E1D">
        <w:t>, Garfitt</w:t>
      </w:r>
      <w:r w:rsidR="00F66FC2">
        <w:t xml:space="preserve"> S. J</w:t>
      </w:r>
      <w:r w:rsidRPr="00105E1D">
        <w:t>, Jones</w:t>
      </w:r>
      <w:r w:rsidR="00F66FC2">
        <w:t xml:space="preserve"> K</w:t>
      </w:r>
      <w:r w:rsidRPr="00105E1D">
        <w:t>,</w:t>
      </w:r>
      <w:r w:rsidR="00F66FC2">
        <w:t xml:space="preserve"> 2002</w:t>
      </w:r>
      <w:r w:rsidRPr="00105E1D">
        <w:t xml:space="preserve"> Biological monitoring of exposure to organophosphate pesticides</w:t>
      </w:r>
      <w:r w:rsidR="00F66FC2">
        <w:t>, Toxicology Letters. 177,</w:t>
      </w:r>
      <w:r w:rsidRPr="00105E1D">
        <w:t xml:space="preserve"> 97-103. </w:t>
      </w:r>
    </w:p>
    <w:p w:rsidR="00045787" w:rsidRPr="00045787" w:rsidRDefault="00045787">
      <w:pPr>
        <w:pStyle w:val="Reference"/>
      </w:pPr>
      <w:r w:rsidRPr="00105E1D">
        <w:rPr>
          <w:rFonts w:ascii="Times New Roman" w:hAnsi="Times New Roman"/>
          <w:sz w:val="24"/>
          <w:szCs w:val="24"/>
        </w:rPr>
        <w:t>Manners</w:t>
      </w:r>
      <w:r w:rsidR="00240892">
        <w:rPr>
          <w:rFonts w:ascii="Times New Roman" w:hAnsi="Times New Roman"/>
          <w:sz w:val="24"/>
          <w:szCs w:val="24"/>
        </w:rPr>
        <w:t>G</w:t>
      </w:r>
      <w:r w:rsidRPr="00105E1D">
        <w:rPr>
          <w:rFonts w:ascii="Times New Roman" w:hAnsi="Times New Roman"/>
          <w:sz w:val="24"/>
          <w:szCs w:val="24"/>
        </w:rPr>
        <w:t>, Jurd</w:t>
      </w:r>
      <w:r w:rsidR="00240892" w:rsidRPr="00105E1D">
        <w:rPr>
          <w:rFonts w:ascii="Times New Roman" w:hAnsi="Times New Roman"/>
          <w:sz w:val="24"/>
          <w:szCs w:val="24"/>
        </w:rPr>
        <w:t>L.</w:t>
      </w:r>
      <w:r w:rsidRPr="00105E1D">
        <w:rPr>
          <w:rFonts w:ascii="Times New Roman" w:hAnsi="Times New Roman"/>
          <w:sz w:val="24"/>
          <w:szCs w:val="24"/>
        </w:rPr>
        <w:t>, Stevens</w:t>
      </w:r>
      <w:r w:rsidR="00240892">
        <w:rPr>
          <w:rFonts w:ascii="Times New Roman" w:hAnsi="Times New Roman"/>
          <w:sz w:val="24"/>
          <w:szCs w:val="24"/>
        </w:rPr>
        <w:t>K</w:t>
      </w:r>
      <w:r w:rsidRPr="00105E1D">
        <w:rPr>
          <w:rFonts w:ascii="Times New Roman" w:hAnsi="Times New Roman"/>
          <w:sz w:val="24"/>
          <w:szCs w:val="24"/>
        </w:rPr>
        <w:t>,</w:t>
      </w:r>
      <w:r w:rsidR="00240892">
        <w:rPr>
          <w:rFonts w:ascii="Times New Roman" w:hAnsi="Times New Roman"/>
          <w:sz w:val="24"/>
          <w:szCs w:val="24"/>
        </w:rPr>
        <w:t xml:space="preserve"> 1972</w:t>
      </w:r>
      <w:r w:rsidRPr="00105E1D">
        <w:rPr>
          <w:rFonts w:ascii="Times New Roman" w:hAnsi="Times New Roman"/>
          <w:sz w:val="24"/>
          <w:szCs w:val="24"/>
        </w:rPr>
        <w:t xml:space="preserve"> Biogenetic-type syntheses of isoprenoid and diisoprenoid derivatives of </w:t>
      </w:r>
      <w:r w:rsidR="00240892">
        <w:rPr>
          <w:rFonts w:ascii="Times New Roman" w:hAnsi="Times New Roman"/>
          <w:sz w:val="24"/>
          <w:szCs w:val="24"/>
        </w:rPr>
        <w:t xml:space="preserve">orcinol, Tetrahedron, 28, </w:t>
      </w:r>
      <w:r w:rsidRPr="00105E1D">
        <w:rPr>
          <w:rFonts w:ascii="Times New Roman" w:hAnsi="Times New Roman"/>
          <w:sz w:val="24"/>
          <w:szCs w:val="24"/>
        </w:rPr>
        <w:t>2949-2959.</w:t>
      </w:r>
    </w:p>
    <w:p w:rsidR="00045787" w:rsidRDefault="00045787">
      <w:pPr>
        <w:pStyle w:val="Reference"/>
      </w:pPr>
      <w:r w:rsidRPr="00105E1D">
        <w:rPr>
          <w:rFonts w:ascii="Times New Roman" w:hAnsi="Times New Roman"/>
          <w:sz w:val="24"/>
          <w:szCs w:val="24"/>
          <w:shd w:val="clear" w:color="auto" w:fill="FFFFFF"/>
        </w:rPr>
        <w:t>Xiang-Yu Cao, Jian-Li Liu, Tie-Min Li, Jiang-Bei Yuan, Cheng-Bin Xu, Xiu Juan Hui, Meng Zeng,</w:t>
      </w:r>
      <w:r w:rsidR="00240892">
        <w:rPr>
          <w:rFonts w:ascii="Times New Roman" w:hAnsi="Times New Roman"/>
          <w:sz w:val="24"/>
          <w:szCs w:val="24"/>
          <w:shd w:val="clear" w:color="auto" w:fill="FFFFFF"/>
        </w:rPr>
        <w:t xml:space="preserve"> 2011</w:t>
      </w:r>
      <w:r w:rsidRPr="00105E1D">
        <w:rPr>
          <w:rFonts w:ascii="Times New Roman" w:hAnsi="Times New Roman"/>
          <w:sz w:val="24"/>
          <w:szCs w:val="24"/>
          <w:shd w:val="clear" w:color="auto" w:fill="FFFFFF"/>
        </w:rPr>
        <w:t xml:space="preserve">  Investigation on the interaction between3, 5-dihydroxytoluene and bovine serum albumin by fluorescence spectroscopy. IEEE International Symposium on IT i</w:t>
      </w:r>
      <w:r w:rsidR="00240892">
        <w:rPr>
          <w:rFonts w:ascii="Times New Roman" w:hAnsi="Times New Roman"/>
          <w:sz w:val="24"/>
          <w:szCs w:val="24"/>
          <w:shd w:val="clear" w:color="auto" w:fill="FFFFFF"/>
        </w:rPr>
        <w:t>n Medicine and Education.</w:t>
      </w:r>
    </w:p>
    <w:p w:rsidR="00FA201C" w:rsidRPr="00BE7BE1" w:rsidRDefault="00FA201C" w:rsidP="00FA201C">
      <w:pPr>
        <w:pStyle w:val="Reference"/>
        <w:rPr>
          <w:b/>
        </w:rPr>
      </w:pPr>
      <w:r w:rsidRPr="00BE7BE1">
        <w:t>Srishailam K, Venkata Ramana Rao P, Ravindranath L, Venkatram Reddy B, Ramana Rao G 2019 Experimental and theoretical determination of structural and vibrational properties of pentachlorophenol and pentachlorothiophenol J. Mol. Struct. 1178 142-154.</w:t>
      </w:r>
    </w:p>
    <w:p w:rsidR="00FA201C" w:rsidRPr="00BE7BE1" w:rsidRDefault="00FA201C" w:rsidP="00FA201C">
      <w:pPr>
        <w:pStyle w:val="Reference"/>
        <w:rPr>
          <w:b/>
        </w:rPr>
      </w:pPr>
      <w:r w:rsidRPr="00BE7BE1">
        <w:t>Venkata Ramana Rao P, Srishailam K, Ravindranath L, Venkatram Reddy B, Ramana Rao G 2019 Structural and vibrational properties of pentabromophenol and pentafluorophenol: A spectroscopic investigation using density functional theory. J. Mol. Struct. 1180 665-675.</w:t>
      </w:r>
    </w:p>
    <w:p w:rsidR="00FA201C" w:rsidRPr="00BE7BE1" w:rsidRDefault="00FA201C" w:rsidP="00FA201C">
      <w:pPr>
        <w:pStyle w:val="Reference"/>
        <w:rPr>
          <w:b/>
        </w:rPr>
      </w:pPr>
      <w:r w:rsidRPr="00BE7BE1">
        <w:t>Ramaiah K, Srishailam K, Laxma Reddy K, Venkatram Reddy B, Ramana Rao G 2019 Synthesis, crystal and molecular structure, and characterization of 2-((2-aminopyridin-3- yl)methylene)-N-ethylhydrazinecarbothioamide using spectroscopic (1H and 13C NMR, FT-IR, FT-Raman, UV-Vis) and DFT methods and evaluation of its anticancer activity J. Mol. Struct. 1184 405-417.</w:t>
      </w:r>
    </w:p>
    <w:p w:rsidR="00FA201C" w:rsidRPr="00BE7BE1" w:rsidRDefault="00FA201C" w:rsidP="00FA201C">
      <w:pPr>
        <w:pStyle w:val="Reference"/>
        <w:rPr>
          <w:b/>
        </w:rPr>
      </w:pPr>
      <w:r w:rsidRPr="00BE7BE1">
        <w:t>Srishailam K, Venkatram Reddy B, Ramana Rao G 2019 Investigation of torsional potentials, hindered rotation, molecular structure and vibrational properties of some biphenyl carboxaldehydes using spectroscopic techniques and density functional formalism J. Mol. Struct. 1196 139-161.</w:t>
      </w:r>
    </w:p>
    <w:p w:rsidR="00FA201C" w:rsidRPr="00BE7BE1" w:rsidRDefault="00FA201C" w:rsidP="00FA201C">
      <w:pPr>
        <w:pStyle w:val="Reference"/>
        <w:rPr>
          <w:b/>
        </w:rPr>
      </w:pPr>
      <w:r w:rsidRPr="00BE7BE1">
        <w:t>Padmaja G, Devarajulu G, Deva Prasad Raju B, Turpu G R, Srishailam K , Venkatram Reddy B, Pavan Kumar G 2020 Synthesis of Sr1-xBaxBi2B2O7 glass ceramics: A study for structure and characterization using experimental techniques and DFT method J. Mol. Struct. 1220 128660.</w:t>
      </w:r>
    </w:p>
    <w:p w:rsidR="00FA201C" w:rsidRPr="00BE7BE1" w:rsidRDefault="00FA201C" w:rsidP="00FA201C">
      <w:pPr>
        <w:pStyle w:val="Reference"/>
        <w:rPr>
          <w:b/>
        </w:rPr>
      </w:pPr>
      <w:r w:rsidRPr="00BE7BE1">
        <w:t>Venkata Ramana Rao P, Srishailam K, Ramesh G, Venkatram Reddy B, Ramana Rao G 2020 NMR &amp; Electronic Spectra, NLO, FMO, NBO and Thermodynamic Properties of Pentachlorophenol: An Experimental and Theoretical Investigation, Asian Journal of Chemistry; 32, 12 , 3057-3062</w:t>
      </w:r>
    </w:p>
    <w:p w:rsidR="00FA201C" w:rsidRPr="00BE7BE1" w:rsidRDefault="00FA201C" w:rsidP="00FA201C">
      <w:pPr>
        <w:pStyle w:val="Reference"/>
        <w:rPr>
          <w:b/>
        </w:rPr>
      </w:pPr>
      <w:r w:rsidRPr="00BE7BE1">
        <w:t xml:space="preserve">Venkata Ramana Rao P, Srishailam K, Rajesh A 2020 Electronic, NLO, and thermodynamic </w:t>
      </w:r>
      <w:r w:rsidRPr="00BE7BE1">
        <w:lastRenderedPageBreak/>
        <w:t>parameters and frontier molecular orbital investigation of pentafluoro phenol and pentachloro thiophenol with DFT approach. Mater.Sci.Eng.981.022087.</w:t>
      </w:r>
    </w:p>
    <w:p w:rsidR="00FA201C" w:rsidRPr="00BE7BE1" w:rsidRDefault="00FA201C" w:rsidP="00FA201C">
      <w:pPr>
        <w:pStyle w:val="Reference"/>
        <w:rPr>
          <w:b/>
        </w:rPr>
      </w:pPr>
      <w:r w:rsidRPr="00BE7BE1">
        <w:rPr>
          <w:bCs/>
        </w:rPr>
        <w:t>Srishailam</w:t>
      </w:r>
      <w:r w:rsidR="005B0BBB">
        <w:rPr>
          <w:bCs/>
        </w:rPr>
        <w:t xml:space="preserve"> K</w:t>
      </w:r>
      <w:r w:rsidRPr="00BE7BE1">
        <w:rPr>
          <w:bCs/>
        </w:rPr>
        <w:t xml:space="preserve">, </w:t>
      </w:r>
      <w:r w:rsidRPr="00BE7BE1">
        <w:rPr>
          <w:shd w:val="clear" w:color="auto" w:fill="FCFCFC"/>
        </w:rPr>
        <w:t>Ramaiah</w:t>
      </w:r>
      <w:r w:rsidR="005B0BBB">
        <w:rPr>
          <w:shd w:val="clear" w:color="auto" w:fill="FCFCFC"/>
        </w:rPr>
        <w:t xml:space="preserve"> K, </w:t>
      </w:r>
      <w:r w:rsidRPr="00BE7BE1">
        <w:rPr>
          <w:shd w:val="clear" w:color="auto" w:fill="FCFCFC"/>
        </w:rPr>
        <w:t>Laxma Reddy</w:t>
      </w:r>
      <w:r w:rsidR="005B0BBB">
        <w:rPr>
          <w:shd w:val="clear" w:color="auto" w:fill="FCFCFC"/>
        </w:rPr>
        <w:t xml:space="preserve"> K, </w:t>
      </w:r>
      <w:r w:rsidRPr="00BE7BE1">
        <w:rPr>
          <w:shd w:val="clear" w:color="auto" w:fill="FCFCFC"/>
        </w:rPr>
        <w:t>Venkatram Reddy</w:t>
      </w:r>
      <w:r w:rsidR="005B0BBB">
        <w:rPr>
          <w:shd w:val="clear" w:color="auto" w:fill="FCFCFC"/>
        </w:rPr>
        <w:t xml:space="preserve"> B</w:t>
      </w:r>
      <w:r w:rsidRPr="00BE7BE1">
        <w:rPr>
          <w:shd w:val="clear" w:color="auto" w:fill="FCFCFC"/>
        </w:rPr>
        <w:t xml:space="preserve"> and G. Ramana Rao, 2021 Synthesis and evaluation of molecular  Structure from torsional scans, study of molecular characteristics using spectroscopic and DFT methods of some thiosemicarbazones, and investigation of their anticanceractivity. Chem. Pap.</w:t>
      </w:r>
      <w:r w:rsidRPr="00BE7BE1">
        <w:rPr>
          <w:color w:val="222222"/>
          <w:shd w:val="clear" w:color="auto" w:fill="FFFFFF"/>
        </w:rPr>
        <w:t>Chemical Papers, 75(7), 3635-3647.</w:t>
      </w:r>
    </w:p>
    <w:p w:rsidR="00FA201C" w:rsidRPr="00BE7BE1" w:rsidRDefault="00FA201C" w:rsidP="00FA201C">
      <w:pPr>
        <w:pStyle w:val="Reference"/>
      </w:pPr>
      <w:r w:rsidRPr="00BE7BE1">
        <w:t>Venkata Ramana Rao P, Srishailam K,  Venkatram Reddy B, Ramana Rao G 2021 Theoretical (DFT) and experimental (FT-IR &amp; FT Raman) approach to investigate the molecular geometry and vibrational properties of 2,5- and 2,6-dihydroxytoluenes J. Mol. Struc. 1240, 130617</w:t>
      </w:r>
    </w:p>
    <w:p w:rsidR="00FA201C" w:rsidRPr="00BE7BE1" w:rsidRDefault="00FA201C" w:rsidP="00FA201C">
      <w:pPr>
        <w:pStyle w:val="Reference"/>
        <w:rPr>
          <w:b/>
        </w:rPr>
      </w:pPr>
      <w:r w:rsidRPr="00BE7BE1">
        <w:t>Gaussian 09, Revision B.01, M.J. Frisch M. J et al 2010 Gaussian, Inc., Wallingford CT</w:t>
      </w:r>
    </w:p>
    <w:p w:rsidR="00FA201C" w:rsidRPr="00BE7BE1" w:rsidRDefault="00FA201C" w:rsidP="00FA201C">
      <w:pPr>
        <w:pStyle w:val="Reference"/>
        <w:rPr>
          <w:b/>
        </w:rPr>
      </w:pPr>
      <w:r w:rsidRPr="00BE7BE1">
        <w:t>Becke A. D 1993 Density-functional thermochemistry. III. the role of exact exchange J. Chem. Phys. 98 5648-5652</w:t>
      </w:r>
    </w:p>
    <w:p w:rsidR="00FA201C" w:rsidRPr="00BE7BE1" w:rsidRDefault="00FA201C" w:rsidP="00FA201C">
      <w:pPr>
        <w:pStyle w:val="Reference"/>
        <w:rPr>
          <w:bCs/>
          <w:u w:val="single"/>
        </w:rPr>
      </w:pPr>
      <w:r w:rsidRPr="00BE7BE1">
        <w:t>Scalmani</w:t>
      </w:r>
      <w:r w:rsidR="000941EF">
        <w:t xml:space="preserve"> G ,  </w:t>
      </w:r>
      <w:r w:rsidRPr="00BE7BE1">
        <w:t>Frisch</w:t>
      </w:r>
      <w:r w:rsidR="000941EF">
        <w:t xml:space="preserve"> M. J</w:t>
      </w:r>
      <w:r w:rsidRPr="00BE7BE1">
        <w:t>,  2010 Continuous surface charge polarizable continuum models of    solvation. I. General formalism, J. Chem. Phys</w:t>
      </w:r>
      <w:r w:rsidRPr="00BE7BE1">
        <w:rPr>
          <w:i/>
        </w:rPr>
        <w:t>.</w:t>
      </w:r>
      <w:r w:rsidRPr="00BE7BE1">
        <w:t>, </w:t>
      </w:r>
      <w:r w:rsidRPr="00BE7BE1">
        <w:rPr>
          <w:bCs/>
        </w:rPr>
        <w:t>132</w:t>
      </w:r>
      <w:r w:rsidRPr="00BE7BE1">
        <w:t>  1-15</w:t>
      </w:r>
    </w:p>
    <w:p w:rsidR="00FA201C" w:rsidRPr="00BE7BE1" w:rsidRDefault="00FA201C" w:rsidP="00FA201C">
      <w:pPr>
        <w:pStyle w:val="Reference"/>
        <w:rPr>
          <w:bCs/>
          <w:u w:val="single"/>
        </w:rPr>
      </w:pPr>
      <w:r w:rsidRPr="00BE7BE1">
        <w:rPr>
          <w:shd w:val="clear" w:color="auto" w:fill="FFFFFF"/>
        </w:rPr>
        <w:t>Improta</w:t>
      </w:r>
      <w:r w:rsidR="000941EF">
        <w:rPr>
          <w:shd w:val="clear" w:color="auto" w:fill="FFFFFF"/>
        </w:rPr>
        <w:t xml:space="preserve"> R, </w:t>
      </w:r>
      <w:r w:rsidRPr="00BE7BE1">
        <w:rPr>
          <w:shd w:val="clear" w:color="auto" w:fill="FFFFFF"/>
        </w:rPr>
        <w:t>Barone</w:t>
      </w:r>
      <w:r w:rsidR="000941EF">
        <w:rPr>
          <w:shd w:val="clear" w:color="auto" w:fill="FFFFFF"/>
        </w:rPr>
        <w:t xml:space="preserve"> V, </w:t>
      </w:r>
      <w:r w:rsidRPr="00BE7BE1">
        <w:rPr>
          <w:shd w:val="clear" w:color="auto" w:fill="FFFFFF"/>
        </w:rPr>
        <w:t>Scalmani</w:t>
      </w:r>
      <w:r w:rsidR="000941EF">
        <w:rPr>
          <w:shd w:val="clear" w:color="auto" w:fill="FFFFFF"/>
        </w:rPr>
        <w:t xml:space="preserve"> G</w:t>
      </w:r>
      <w:r w:rsidRPr="00BE7BE1">
        <w:rPr>
          <w:shd w:val="clear" w:color="auto" w:fill="FFFFFF"/>
        </w:rPr>
        <w:t>, and Frisch</w:t>
      </w:r>
      <w:r w:rsidR="000941EF">
        <w:rPr>
          <w:shd w:val="clear" w:color="auto" w:fill="FFFFFF"/>
        </w:rPr>
        <w:t>M. J</w:t>
      </w:r>
      <w:r w:rsidRPr="00BE7BE1">
        <w:rPr>
          <w:shd w:val="clear" w:color="auto" w:fill="FFFFFF"/>
        </w:rPr>
        <w:t>,  2006 A state-specific polarizable continuum model time dependent density functional method for excited state calculations in solution,  </w:t>
      </w:r>
      <w:r w:rsidRPr="00BE7BE1">
        <w:rPr>
          <w:bdr w:val="none" w:sz="0" w:space="0" w:color="auto" w:frame="1"/>
          <w:shd w:val="clear" w:color="auto" w:fill="FFFFFF"/>
        </w:rPr>
        <w:t>J. Chem. Phys</w:t>
      </w:r>
      <w:r w:rsidRPr="00BE7BE1">
        <w:rPr>
          <w:i/>
          <w:bdr w:val="none" w:sz="0" w:space="0" w:color="auto" w:frame="1"/>
          <w:shd w:val="clear" w:color="auto" w:fill="FFFFFF"/>
        </w:rPr>
        <w:t>.,</w:t>
      </w:r>
      <w:r w:rsidRPr="00BE7BE1">
        <w:rPr>
          <w:shd w:val="clear" w:color="auto" w:fill="FFFFFF"/>
        </w:rPr>
        <w:t> </w:t>
      </w:r>
      <w:r w:rsidRPr="00BE7BE1">
        <w:rPr>
          <w:bCs/>
          <w:bdr w:val="none" w:sz="0" w:space="0" w:color="auto" w:frame="1"/>
          <w:shd w:val="clear" w:color="auto" w:fill="FFFFFF"/>
        </w:rPr>
        <w:t>125 </w:t>
      </w:r>
      <w:r w:rsidRPr="00BE7BE1">
        <w:rPr>
          <w:shd w:val="clear" w:color="auto" w:fill="FFFFFF"/>
        </w:rPr>
        <w:t xml:space="preserve"> 1-9.</w:t>
      </w:r>
    </w:p>
    <w:p w:rsidR="00FA201C" w:rsidRPr="00BE7BE1" w:rsidRDefault="00FA201C" w:rsidP="00FA201C">
      <w:pPr>
        <w:pStyle w:val="Reference"/>
        <w:rPr>
          <w:bCs/>
          <w:u w:val="single"/>
        </w:rPr>
      </w:pPr>
      <w:r w:rsidRPr="00BE7BE1">
        <w:t>Improta</w:t>
      </w:r>
      <w:r w:rsidR="000941EF">
        <w:t xml:space="preserve"> R, </w:t>
      </w:r>
      <w:r w:rsidRPr="00BE7BE1">
        <w:t>Scalmani</w:t>
      </w:r>
      <w:r w:rsidR="000941EF">
        <w:t xml:space="preserve"> G</w:t>
      </w:r>
      <w:r w:rsidRPr="00BE7BE1">
        <w:t>, Frisch</w:t>
      </w:r>
      <w:r w:rsidR="000941EF">
        <w:t>M. J</w:t>
      </w:r>
      <w:r w:rsidRPr="00BE7BE1">
        <w:t xml:space="preserve">, </w:t>
      </w:r>
      <w:r w:rsidR="000941EF">
        <w:t xml:space="preserve">and </w:t>
      </w:r>
      <w:r w:rsidRPr="00BE7BE1">
        <w:t>Barone</w:t>
      </w:r>
      <w:r w:rsidR="000941EF">
        <w:t xml:space="preserve"> V</w:t>
      </w:r>
      <w:r w:rsidRPr="00BE7BE1">
        <w:t>,  2007 Toward effective and reliable fluorescence energies in solution by a new State Specific Polarizable    Continuum Model Time Dependent Density Functional Theory Approach,  </w:t>
      </w:r>
      <w:r w:rsidRPr="00BE7BE1">
        <w:rPr>
          <w:bdr w:val="none" w:sz="0" w:space="0" w:color="auto" w:frame="1"/>
        </w:rPr>
        <w:t>J. Chem. Phys.</w:t>
      </w:r>
      <w:r w:rsidRPr="00BE7BE1">
        <w:t>, </w:t>
      </w:r>
      <w:r w:rsidRPr="00BE7BE1">
        <w:rPr>
          <w:bCs/>
          <w:bdr w:val="none" w:sz="0" w:space="0" w:color="auto" w:frame="1"/>
        </w:rPr>
        <w:t>127</w:t>
      </w:r>
      <w:r w:rsidRPr="00BE7BE1">
        <w:t>  1-9.</w:t>
      </w:r>
    </w:p>
    <w:p w:rsidR="00FA201C" w:rsidRPr="00BE7BE1" w:rsidRDefault="00FA201C" w:rsidP="00FA201C">
      <w:pPr>
        <w:pStyle w:val="Reference"/>
        <w:rPr>
          <w:b/>
        </w:rPr>
      </w:pPr>
      <w:r w:rsidRPr="00BE7BE1">
        <w:t>Scalmani G, Frisch M. J 2010 Continuous surface charge polarizable continuum models of solvation. I. General formalism J. Chem. Phys. 132 1-15</w:t>
      </w:r>
    </w:p>
    <w:p w:rsidR="00FA201C" w:rsidRPr="00BE7BE1" w:rsidRDefault="00FA201C" w:rsidP="00FA201C">
      <w:pPr>
        <w:pStyle w:val="Reference"/>
        <w:rPr>
          <w:b/>
        </w:rPr>
      </w:pPr>
      <w:r w:rsidRPr="00BE7BE1">
        <w:t>Improta R, Barone V, Scalmani G, and Frisch M. J 2006 A state-specific polarizable continuum model time dependent density functional method for excited state calculations in solution J. Chem. Phys. 125 1-9</w:t>
      </w:r>
    </w:p>
    <w:p w:rsidR="00FA201C" w:rsidRPr="00BE7BE1" w:rsidRDefault="000941EF" w:rsidP="00FA201C">
      <w:pPr>
        <w:pStyle w:val="Reference"/>
        <w:rPr>
          <w:b/>
        </w:rPr>
      </w:pPr>
      <w:r>
        <w:t>Improta R, Scalmani G, Frisch M</w:t>
      </w:r>
      <w:r w:rsidR="00FA201C" w:rsidRPr="00BE7BE1">
        <w:t xml:space="preserve"> J, and Barone V 2007 Toward effective and reliable fluorescence energies in solution by a new State Specific Polarizable Continuum Model Time Dependent Density Functional Theory Approach, J. Chem. Phys. 127 1-9</w:t>
      </w:r>
    </w:p>
    <w:p w:rsidR="00FA201C" w:rsidRPr="00BE7BE1" w:rsidRDefault="00FA201C" w:rsidP="00FA201C">
      <w:pPr>
        <w:pStyle w:val="Reference"/>
        <w:rPr>
          <w:b/>
        </w:rPr>
      </w:pPr>
      <w:r w:rsidRPr="00BE7BE1">
        <w:t>Gece G 2008 The use of quantum chemical methods in corrosion inhibitor studies, Corros. Sci. 50 2981–2992</w:t>
      </w:r>
    </w:p>
    <w:p w:rsidR="00FA201C" w:rsidRPr="00BE7BE1" w:rsidRDefault="00FA201C" w:rsidP="00FA201C">
      <w:pPr>
        <w:pStyle w:val="Reference"/>
        <w:rPr>
          <w:b/>
        </w:rPr>
      </w:pPr>
      <w:r w:rsidRPr="00BE7BE1">
        <w:t>Parr R. G, Szentpa´ly L. V, Liu S 1999 Electrophilicity Index, J. Am. Chem. Soc.121 1922-1924</w:t>
      </w:r>
    </w:p>
    <w:p w:rsidR="00FA201C" w:rsidRPr="00BE7BE1" w:rsidRDefault="00FA201C" w:rsidP="00FA201C">
      <w:pPr>
        <w:pStyle w:val="Reference"/>
        <w:rPr>
          <w:b/>
        </w:rPr>
      </w:pPr>
      <w:r w:rsidRPr="00BE7BE1">
        <w:t>Ö zdemira N, Erenb B, Dinc¸era M and Bekdemir Y 2010 Experimental and ab initio computational studies on 4-(1H-benzo[d]imidazol-2-yl)-N,N-dimethylaniline, Mol. Phys. 108 13-24</w:t>
      </w:r>
    </w:p>
    <w:p w:rsidR="00FA201C" w:rsidRPr="00BE7BE1" w:rsidRDefault="00FA201C" w:rsidP="00FA201C">
      <w:pPr>
        <w:pStyle w:val="Reference"/>
        <w:rPr>
          <w:lang w:val="en-IN"/>
        </w:rPr>
      </w:pPr>
      <w:r w:rsidRPr="00BE7BE1">
        <w:t>Choi</w:t>
      </w:r>
      <w:r w:rsidR="000941EF">
        <w:t>C.H</w:t>
      </w:r>
      <w:r w:rsidRPr="00BE7BE1">
        <w:t>, Kertez</w:t>
      </w:r>
      <w:r w:rsidR="000941EF">
        <w:t>M</w:t>
      </w:r>
      <w:r w:rsidRPr="00BE7BE1">
        <w:t xml:space="preserve">, 1997 </w:t>
      </w:r>
      <w:r w:rsidRPr="00BE7BE1">
        <w:rPr>
          <w:lang w:val="en-IN"/>
        </w:rPr>
        <w:t xml:space="preserve">Conformational Information from Vibrational Spectra of Styrene, </w:t>
      </w:r>
      <w:r w:rsidRPr="00BE7BE1">
        <w:rPr>
          <w:i/>
          <w:lang w:val="en-IN"/>
        </w:rPr>
        <w:t>trans</w:t>
      </w:r>
      <w:r w:rsidRPr="00BE7BE1">
        <w:rPr>
          <w:lang w:val="en-IN"/>
        </w:rPr>
        <w:t xml:space="preserve">-Stilbene, and </w:t>
      </w:r>
      <w:r w:rsidRPr="00BE7BE1">
        <w:rPr>
          <w:i/>
          <w:lang w:val="en-IN"/>
        </w:rPr>
        <w:t>cis</w:t>
      </w:r>
      <w:r w:rsidRPr="00BE7BE1">
        <w:rPr>
          <w:lang w:val="en-IN"/>
        </w:rPr>
        <w:t>-Stilbene,</w:t>
      </w:r>
      <w:r w:rsidRPr="00BE7BE1">
        <w:t xml:space="preserve"> J. Phys. Chem A 101  3823-3831.</w:t>
      </w:r>
    </w:p>
    <w:p w:rsidR="00FA201C" w:rsidRPr="00BE7BE1" w:rsidRDefault="00FA201C" w:rsidP="00FA201C">
      <w:pPr>
        <w:pStyle w:val="Reference"/>
        <w:rPr>
          <w:rFonts w:eastAsia="AdvGulliv-R"/>
        </w:rPr>
      </w:pPr>
      <w:r w:rsidRPr="00BE7BE1">
        <w:t>Fukui K 1982 Role of frontier orbitals in chemical reactions, Science 218  747-754.</w:t>
      </w:r>
    </w:p>
    <w:p w:rsidR="00FA201C" w:rsidRPr="00BE7BE1" w:rsidRDefault="00FA201C" w:rsidP="00FA201C">
      <w:pPr>
        <w:pStyle w:val="Reference"/>
        <w:rPr>
          <w:lang w:val="en-IN"/>
        </w:rPr>
      </w:pPr>
      <w:r w:rsidRPr="00BE7BE1">
        <w:rPr>
          <w:lang w:val="en-IN"/>
        </w:rPr>
        <w:t>Koopmans T. A, 1933 Ordering of wave functions and eigen energies of the individual electrons of an atom, Physica 1  104-113.</w:t>
      </w:r>
    </w:p>
    <w:p w:rsidR="00FA201C" w:rsidRPr="00BE7BE1" w:rsidRDefault="00FA201C" w:rsidP="00FA201C">
      <w:pPr>
        <w:pStyle w:val="Reference"/>
      </w:pPr>
      <w:r w:rsidRPr="00BE7BE1">
        <w:t>Balachandran</w:t>
      </w:r>
      <w:r w:rsidR="000941EF">
        <w:t xml:space="preserve"> V, </w:t>
      </w:r>
      <w:r w:rsidRPr="00BE7BE1">
        <w:t>Karunakaran</w:t>
      </w:r>
      <w:r w:rsidR="000941EF">
        <w:t xml:space="preserve"> V</w:t>
      </w:r>
      <w:r w:rsidRPr="00BE7BE1">
        <w:t>,</w:t>
      </w:r>
      <w:r w:rsidRPr="00BE7BE1">
        <w:rPr>
          <w:rStyle w:val="title-text"/>
          <w:rFonts w:ascii="Times New Roman" w:hAnsi="Times New Roman"/>
        </w:rPr>
        <w:t xml:space="preserve">2013Quantum mechanical study of the structure and vibrational spectroscopic (FT-IR and FT-Raman), first-order hyperpolarizability, NBO and HOMO−LUMO studies of 4-bromo-3-nitroanisole </w:t>
      </w:r>
      <w:r w:rsidRPr="00BE7BE1">
        <w:t>Spectrochim. Acta, Part A 106  284-298.</w:t>
      </w:r>
    </w:p>
    <w:p w:rsidR="00FA201C" w:rsidRPr="00F260FF" w:rsidRDefault="00FA201C" w:rsidP="00FA201C">
      <w:pPr>
        <w:pStyle w:val="Reference"/>
        <w:rPr>
          <w:bCs/>
        </w:rPr>
      </w:pPr>
      <w:r w:rsidRPr="00BE7BE1">
        <w:t>Politzer P, Murray J. S, 2002 The fundamental nature and role of the electrostatic potential in atoms and molecules Theor Chem Acc  108 134-142.</w:t>
      </w:r>
    </w:p>
    <w:p w:rsidR="00F260FF" w:rsidRPr="00FF5DE1" w:rsidRDefault="00F260FF" w:rsidP="00F260FF">
      <w:pPr>
        <w:pStyle w:val="Reference"/>
        <w:rPr>
          <w:rFonts w:eastAsia="AdvGulliv-R"/>
          <w:lang w:val="en-IN"/>
        </w:rPr>
      </w:pPr>
      <w:r w:rsidRPr="00FF5DE1">
        <w:t>Sun Y-X, Hao Q-L, Wei W-X, Yu Z-X, Lu L-D, Wang X, Wang Y-S, 2009</w:t>
      </w:r>
      <w:r w:rsidRPr="00FF5DE1">
        <w:rPr>
          <w:rFonts w:eastAsia="AdvGulliv-R"/>
          <w:lang w:val="en-IN"/>
        </w:rPr>
        <w:t xml:space="preserve"> Experimental and density functional studies on 4-(3,4-dihydroxybenzylideneamino) antipyrine and 4-(2,3,4-trihydroxybenzylideneamino)antipyrine,</w:t>
      </w:r>
      <w:r w:rsidRPr="00FF5DE1">
        <w:t xml:space="preserve"> J. Mol. Struct. Theochem 904 74-82.</w:t>
      </w:r>
    </w:p>
    <w:p w:rsidR="00F260FF" w:rsidRPr="00FF5DE1" w:rsidRDefault="00F260FF" w:rsidP="00F260FF">
      <w:pPr>
        <w:pStyle w:val="Reference"/>
        <w:rPr>
          <w:lang w:val="en-IN"/>
        </w:rPr>
      </w:pPr>
      <w:r w:rsidRPr="00FF5DE1">
        <w:t>Andraud C, Brotin T, Garcia C, Pelle F, Goldner P, Bigot B, Collet A, 1994</w:t>
      </w:r>
      <w:r w:rsidRPr="00FF5DE1">
        <w:rPr>
          <w:lang w:val="en-IN"/>
        </w:rPr>
        <w:t xml:space="preserve"> Theoretical and </w:t>
      </w:r>
      <w:r w:rsidRPr="00FF5DE1">
        <w:rPr>
          <w:lang w:val="en-IN"/>
        </w:rPr>
        <w:lastRenderedPageBreak/>
        <w:t>Experimental Investigations of the Nonlinear Optical Properties of Vanillin, Polyenovanillin, and Bisvanillin Derivatives,</w:t>
      </w:r>
      <w:r w:rsidRPr="00FF5DE1">
        <w:t xml:space="preserve"> J. Am. Chem. Soc. 116 2094-2102.</w:t>
      </w:r>
    </w:p>
    <w:p w:rsidR="00F260FF" w:rsidRPr="00FF5DE1" w:rsidRDefault="00BE3EAA" w:rsidP="00F260FF">
      <w:pPr>
        <w:pStyle w:val="Reference"/>
        <w:rPr>
          <w:lang w:val="en-IN"/>
        </w:rPr>
      </w:pPr>
      <w:r>
        <w:t xml:space="preserve">Geskin V </w:t>
      </w:r>
      <w:r w:rsidR="00F260FF" w:rsidRPr="00FF5DE1">
        <w:t xml:space="preserve">M, Lambert C, </w:t>
      </w:r>
      <w:r w:rsidR="00F260FF" w:rsidRPr="00FF5DE1">
        <w:rPr>
          <w:lang w:val="en-IN"/>
        </w:rPr>
        <w:t>Bre´das</w:t>
      </w:r>
      <w:r w:rsidR="00F260FF" w:rsidRPr="00FF5DE1">
        <w:t xml:space="preserve"> J-L</w:t>
      </w:r>
      <w:r w:rsidR="00F260FF" w:rsidRPr="00FF5DE1">
        <w:rPr>
          <w:lang w:val="en-IN"/>
        </w:rPr>
        <w:t>, 2003 Origin of High Second- and Third-Order Nonlinear Optical Response in Ammonio/Borato Diphenylpolyene Zwitterions: the Remarkable Role of Polarized Aromatic Groups,</w:t>
      </w:r>
      <w:r w:rsidR="00F260FF" w:rsidRPr="00FF5DE1">
        <w:t xml:space="preserve"> J. Am. Chem. Soc. 125  15651-15658.</w:t>
      </w:r>
    </w:p>
    <w:p w:rsidR="00F260FF" w:rsidRPr="00FF5DE1" w:rsidRDefault="00F260FF" w:rsidP="00F260FF">
      <w:pPr>
        <w:pStyle w:val="Reference"/>
        <w:rPr>
          <w:lang w:val="en-IN"/>
        </w:rPr>
      </w:pPr>
      <w:r w:rsidRPr="00FF5DE1">
        <w:t>Nakano M, Fujita H, Takahata M, Yamaguchi K,2002</w:t>
      </w:r>
      <w:r w:rsidRPr="00FF5DE1">
        <w:rPr>
          <w:lang w:val="en-IN"/>
        </w:rPr>
        <w:t>Theoretical Study on Second Hyperpolarizabilities of Phenylacetylene Dendrimer: Toward an Understanding of Structure-Property Relation in NLO Responses of Fractal Antenna Dendrimers,</w:t>
      </w:r>
      <w:r w:rsidRPr="00FF5DE1">
        <w:t xml:space="preserve"> J. Am. Chem. Soc. 124  9648-9655. </w:t>
      </w:r>
    </w:p>
    <w:p w:rsidR="00F260FF" w:rsidRPr="00FF5DE1" w:rsidRDefault="00F260FF" w:rsidP="00F260FF">
      <w:pPr>
        <w:pStyle w:val="Reference"/>
      </w:pPr>
      <w:r w:rsidRPr="00FF5DE1">
        <w:t>Sajan D, Joe H, Jayakumar V.S, Zaleski J, 2006</w:t>
      </w:r>
      <w:r w:rsidRPr="00FF5DE1">
        <w:rPr>
          <w:lang w:val="en-IN"/>
        </w:rPr>
        <w:t xml:space="preserve"> Structural and electronic contributions to hyperpolarizability in methyl </w:t>
      </w:r>
      <w:r w:rsidRPr="00FF5DE1">
        <w:rPr>
          <w:i/>
          <w:lang w:val="en-IN"/>
        </w:rPr>
        <w:t>p</w:t>
      </w:r>
      <w:r w:rsidRPr="00FF5DE1">
        <w:rPr>
          <w:lang w:val="en-IN"/>
        </w:rPr>
        <w:t>-hydroxy benzoate,</w:t>
      </w:r>
      <w:r w:rsidRPr="00FF5DE1">
        <w:t xml:space="preserve"> J. Mol. Struct. 785  43-53.</w:t>
      </w:r>
    </w:p>
    <w:sectPr w:rsidR="00F260FF" w:rsidRPr="00FF5DE1" w:rsidSect="00CF539A">
      <w:headerReference w:type="even" r:id="rId12"/>
      <w:headerReference w:type="default" r:id="rId13"/>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953" w:rsidRDefault="00826953">
      <w:r>
        <w:separator/>
      </w:r>
    </w:p>
  </w:endnote>
  <w:endnote w:type="continuationSeparator" w:id="1">
    <w:p w:rsidR="00826953" w:rsidRDefault="008269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bon">
    <w:charset w:val="00"/>
    <w:family w:val="auto"/>
    <w:pitch w:val="variable"/>
    <w:sig w:usb0="00000003" w:usb1="00000000" w:usb2="00000000" w:usb3="00000000" w:csb0="00000001" w:csb1="00000000"/>
  </w:font>
  <w:font w:name="AdvGulliv-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953" w:rsidRPr="00043761" w:rsidRDefault="00826953">
      <w:pPr>
        <w:pStyle w:val="Bulleted"/>
        <w:numPr>
          <w:ilvl w:val="0"/>
          <w:numId w:val="0"/>
        </w:numPr>
        <w:rPr>
          <w:rFonts w:ascii="Sabon" w:hAnsi="Sabon"/>
          <w:color w:val="auto"/>
          <w:szCs w:val="20"/>
        </w:rPr>
      </w:pPr>
      <w:r>
        <w:separator/>
      </w:r>
    </w:p>
  </w:footnote>
  <w:footnote w:type="continuationSeparator" w:id="1">
    <w:p w:rsidR="00826953" w:rsidRDefault="00826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87" w:rsidRDefault="009A048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C6A"/>
    <w:multiLevelType w:val="multilevel"/>
    <w:tmpl w:val="B372BDFA"/>
    <w:lvl w:ilvl="0">
      <w:start w:val="1"/>
      <w:numFmt w:val="decimal"/>
      <w:pStyle w:val="Section"/>
      <w:suff w:val="nothing"/>
      <w:lvlText w:val="%1.  "/>
      <w:lvlJc w:val="left"/>
      <w:pPr>
        <w:ind w:left="0" w:firstLine="0"/>
      </w:pPr>
      <w:rPr>
        <w:rFonts w:hint="default"/>
        <w:b/>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4B78B5"/>
    <w:multiLevelType w:val="hybridMultilevel"/>
    <w:tmpl w:val="B89499DE"/>
    <w:lvl w:ilvl="0" w:tplc="8D3E1DC4">
      <w:start w:val="1"/>
      <w:numFmt w:val="decimal"/>
      <w:lvlText w:val="[%1]  "/>
      <w:lvlJc w:val="center"/>
      <w:pPr>
        <w:ind w:left="3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4410BF"/>
    <w:multiLevelType w:val="multilevel"/>
    <w:tmpl w:val="22BE3F9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BA32B69"/>
    <w:multiLevelType w:val="multilevel"/>
    <w:tmpl w:val="9DCAE77C"/>
    <w:lvl w:ilvl="0">
      <w:start w:val="1"/>
      <w:numFmt w:val="decimal"/>
      <w:lvlText w:val="2%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A326ED3"/>
    <w:multiLevelType w:val="hybridMultilevel"/>
    <w:tmpl w:val="EF3ECED8"/>
    <w:lvl w:ilvl="0" w:tplc="C23CFA10">
      <w:start w:val="1"/>
      <w:numFmt w:val="decimal"/>
      <w:lvlText w:val="[%1] "/>
      <w:lvlJc w:val="center"/>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9F3D8C"/>
    <w:multiLevelType w:val="multilevel"/>
    <w:tmpl w:val="AB7E6C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D9556E6"/>
    <w:multiLevelType w:val="hybridMultilevel"/>
    <w:tmpl w:val="64D48284"/>
    <w:lvl w:ilvl="0" w:tplc="A838F06A">
      <w:start w:val="1"/>
      <w:numFmt w:val="decimal"/>
      <w:pStyle w:val="Reference"/>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8A19C0"/>
    <w:multiLevelType w:val="hybridMultilevel"/>
    <w:tmpl w:val="8D625364"/>
    <w:lvl w:ilvl="0" w:tplc="786EB79C">
      <w:start w:val="1"/>
      <w:numFmt w:val="lowerRoman"/>
      <w:lvlText w:val="(%1)"/>
      <w:lvlJc w:val="left"/>
      <w:pPr>
        <w:ind w:left="1170" w:hanging="720"/>
      </w:pPr>
      <w:rPr>
        <w:rFonts w:hint="default"/>
        <w:strike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FB33A93"/>
    <w:multiLevelType w:val="hybridMultilevel"/>
    <w:tmpl w:val="4F0611EA"/>
    <w:lvl w:ilvl="0" w:tplc="6E1A56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2"/>
  </w:num>
  <w:num w:numId="3">
    <w:abstractNumId w:val="0"/>
  </w:num>
  <w:num w:numId="4">
    <w:abstractNumId w:val="7"/>
  </w:num>
  <w:num w:numId="5">
    <w:abstractNumId w:val="8"/>
  </w:num>
  <w:num w:numId="6">
    <w:abstractNumId w:val="4"/>
  </w:num>
  <w:num w:numId="7">
    <w:abstractNumId w:val="9"/>
  </w:num>
  <w:num w:numId="8">
    <w:abstractNumId w:val="5"/>
  </w:num>
  <w:num w:numId="9">
    <w:abstractNumId w:val="1"/>
  </w:num>
  <w:num w:numId="10">
    <w:abstractNumId w:val="3"/>
  </w:num>
  <w:num w:numId="1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001"/>
  <w:defaultTabStop w:val="851"/>
  <w:displayHorizontalDrawingGridEvery w:val="0"/>
  <w:displayVerticalDrawingGridEvery w:val="0"/>
  <w:doNotUseMarginsForDrawingGridOrigin/>
  <w:noPunctuationKerning/>
  <w:characterSpacingControl w:val="doNotCompress"/>
  <w:footnotePr>
    <w:pos w:val="beneathText"/>
    <w:footnote w:id="0"/>
    <w:footnote w:id="1"/>
  </w:footnotePr>
  <w:endnotePr>
    <w:numFmt w:val="chicago"/>
    <w:numStart w:val="4"/>
    <w:endnote w:id="0"/>
    <w:endnote w:id="1"/>
  </w:endnotePr>
  <w:compat/>
  <w:rsids>
    <w:rsidRoot w:val="00EF6BE4"/>
    <w:rsid w:val="00006EA6"/>
    <w:rsid w:val="0001339A"/>
    <w:rsid w:val="00033E9A"/>
    <w:rsid w:val="00043E24"/>
    <w:rsid w:val="00044E28"/>
    <w:rsid w:val="00045787"/>
    <w:rsid w:val="00066FA2"/>
    <w:rsid w:val="000941EF"/>
    <w:rsid w:val="000C4316"/>
    <w:rsid w:val="000D76C3"/>
    <w:rsid w:val="00100908"/>
    <w:rsid w:val="00115390"/>
    <w:rsid w:val="00115FDC"/>
    <w:rsid w:val="00137859"/>
    <w:rsid w:val="001504F5"/>
    <w:rsid w:val="001541C6"/>
    <w:rsid w:val="0017264C"/>
    <w:rsid w:val="001742D6"/>
    <w:rsid w:val="001F6C7E"/>
    <w:rsid w:val="002113EE"/>
    <w:rsid w:val="00215E94"/>
    <w:rsid w:val="00217A99"/>
    <w:rsid w:val="002262C2"/>
    <w:rsid w:val="00226888"/>
    <w:rsid w:val="00237FC9"/>
    <w:rsid w:val="00240892"/>
    <w:rsid w:val="00261846"/>
    <w:rsid w:val="0026649F"/>
    <w:rsid w:val="00276EAF"/>
    <w:rsid w:val="002B093C"/>
    <w:rsid w:val="002C082C"/>
    <w:rsid w:val="002E65BE"/>
    <w:rsid w:val="002E7880"/>
    <w:rsid w:val="003213D1"/>
    <w:rsid w:val="0034637F"/>
    <w:rsid w:val="00351B58"/>
    <w:rsid w:val="00366EFD"/>
    <w:rsid w:val="003B60C9"/>
    <w:rsid w:val="003C67FF"/>
    <w:rsid w:val="003E4CA8"/>
    <w:rsid w:val="00447D5E"/>
    <w:rsid w:val="00454752"/>
    <w:rsid w:val="0045724C"/>
    <w:rsid w:val="00467285"/>
    <w:rsid w:val="004E55DC"/>
    <w:rsid w:val="004E5BF6"/>
    <w:rsid w:val="004F3544"/>
    <w:rsid w:val="00502750"/>
    <w:rsid w:val="005050B9"/>
    <w:rsid w:val="00505538"/>
    <w:rsid w:val="005158FA"/>
    <w:rsid w:val="005271B3"/>
    <w:rsid w:val="00541EC0"/>
    <w:rsid w:val="00544FF8"/>
    <w:rsid w:val="00550335"/>
    <w:rsid w:val="0055192A"/>
    <w:rsid w:val="00584B4A"/>
    <w:rsid w:val="005B0BBB"/>
    <w:rsid w:val="005F51A2"/>
    <w:rsid w:val="006046A0"/>
    <w:rsid w:val="00662286"/>
    <w:rsid w:val="006905E5"/>
    <w:rsid w:val="006A3AD7"/>
    <w:rsid w:val="006C717C"/>
    <w:rsid w:val="006F45A4"/>
    <w:rsid w:val="007100F0"/>
    <w:rsid w:val="0072501F"/>
    <w:rsid w:val="00733CB3"/>
    <w:rsid w:val="0074141B"/>
    <w:rsid w:val="0074362B"/>
    <w:rsid w:val="00783288"/>
    <w:rsid w:val="007A3C7C"/>
    <w:rsid w:val="007A3E63"/>
    <w:rsid w:val="007F0323"/>
    <w:rsid w:val="007F2E86"/>
    <w:rsid w:val="007F4146"/>
    <w:rsid w:val="007F5F75"/>
    <w:rsid w:val="007F6520"/>
    <w:rsid w:val="0081657A"/>
    <w:rsid w:val="00826953"/>
    <w:rsid w:val="008305B8"/>
    <w:rsid w:val="00832AA1"/>
    <w:rsid w:val="008779F8"/>
    <w:rsid w:val="008B0A7D"/>
    <w:rsid w:val="008C4136"/>
    <w:rsid w:val="008C64E6"/>
    <w:rsid w:val="008E092C"/>
    <w:rsid w:val="008F35DA"/>
    <w:rsid w:val="00921360"/>
    <w:rsid w:val="00941BDD"/>
    <w:rsid w:val="0095673A"/>
    <w:rsid w:val="00964FD8"/>
    <w:rsid w:val="0096630E"/>
    <w:rsid w:val="00973DA8"/>
    <w:rsid w:val="009A0487"/>
    <w:rsid w:val="009A56B5"/>
    <w:rsid w:val="009B0B94"/>
    <w:rsid w:val="009C50BC"/>
    <w:rsid w:val="009D3C4C"/>
    <w:rsid w:val="00A1016E"/>
    <w:rsid w:val="00A26A65"/>
    <w:rsid w:val="00A306CA"/>
    <w:rsid w:val="00A34E19"/>
    <w:rsid w:val="00A36A25"/>
    <w:rsid w:val="00A3736E"/>
    <w:rsid w:val="00A42C51"/>
    <w:rsid w:val="00A91611"/>
    <w:rsid w:val="00AC63CD"/>
    <w:rsid w:val="00B04435"/>
    <w:rsid w:val="00B05982"/>
    <w:rsid w:val="00B17F31"/>
    <w:rsid w:val="00B23DD1"/>
    <w:rsid w:val="00B279BF"/>
    <w:rsid w:val="00B443D2"/>
    <w:rsid w:val="00B51A08"/>
    <w:rsid w:val="00B83F45"/>
    <w:rsid w:val="00BA3700"/>
    <w:rsid w:val="00BC304D"/>
    <w:rsid w:val="00BD031F"/>
    <w:rsid w:val="00BE3EAA"/>
    <w:rsid w:val="00BF2A0C"/>
    <w:rsid w:val="00C11146"/>
    <w:rsid w:val="00C3670B"/>
    <w:rsid w:val="00C403F8"/>
    <w:rsid w:val="00C43682"/>
    <w:rsid w:val="00C53ED5"/>
    <w:rsid w:val="00C9445C"/>
    <w:rsid w:val="00CB4687"/>
    <w:rsid w:val="00CF539A"/>
    <w:rsid w:val="00D451A6"/>
    <w:rsid w:val="00D55544"/>
    <w:rsid w:val="00D658CA"/>
    <w:rsid w:val="00D752FB"/>
    <w:rsid w:val="00D84A88"/>
    <w:rsid w:val="00D94B77"/>
    <w:rsid w:val="00DA568A"/>
    <w:rsid w:val="00DA6A1E"/>
    <w:rsid w:val="00DB5DD7"/>
    <w:rsid w:val="00DB626F"/>
    <w:rsid w:val="00DC3506"/>
    <w:rsid w:val="00DC5CD6"/>
    <w:rsid w:val="00E20541"/>
    <w:rsid w:val="00E21987"/>
    <w:rsid w:val="00E3387B"/>
    <w:rsid w:val="00E92FB7"/>
    <w:rsid w:val="00ED3750"/>
    <w:rsid w:val="00ED769C"/>
    <w:rsid w:val="00EF6BE4"/>
    <w:rsid w:val="00F260FF"/>
    <w:rsid w:val="00F4175A"/>
    <w:rsid w:val="00F61101"/>
    <w:rsid w:val="00F66FC2"/>
    <w:rsid w:val="00F771DB"/>
    <w:rsid w:val="00FA121A"/>
    <w:rsid w:val="00FA201C"/>
    <w:rsid w:val="00FB4C0C"/>
    <w:rsid w:val="00FF17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CA8"/>
    <w:rPr>
      <w:rFonts w:ascii="Times" w:hAnsi="Times"/>
      <w:sz w:val="22"/>
      <w:lang w:eastAsia="en-US"/>
    </w:rPr>
  </w:style>
  <w:style w:type="paragraph" w:styleId="Heading1">
    <w:name w:val="heading 1"/>
    <w:basedOn w:val="Normal"/>
    <w:next w:val="Normal"/>
    <w:qFormat/>
    <w:rsid w:val="003E4CA8"/>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rsid w:val="003E4CA8"/>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3E4CA8"/>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3E4CA8"/>
    <w:pPr>
      <w:numPr>
        <w:ilvl w:val="4"/>
        <w:numId w:val="1"/>
      </w:numPr>
      <w:spacing w:before="240" w:after="60"/>
      <w:outlineLvl w:val="4"/>
    </w:pPr>
    <w:rPr>
      <w:b/>
      <w:bCs/>
      <w:i/>
      <w:iCs/>
      <w:sz w:val="26"/>
      <w:szCs w:val="26"/>
    </w:rPr>
  </w:style>
  <w:style w:type="paragraph" w:styleId="Heading6">
    <w:name w:val="heading 6"/>
    <w:basedOn w:val="Normal"/>
    <w:next w:val="Normal"/>
    <w:qFormat/>
    <w:rsid w:val="003E4CA8"/>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3E4CA8"/>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3E4CA8"/>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3E4CA8"/>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3E4CA8"/>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3E4CA8"/>
    <w:pPr>
      <w:jc w:val="both"/>
    </w:pPr>
    <w:rPr>
      <w:rFonts w:ascii="Times" w:hAnsi="Times"/>
      <w:iCs/>
      <w:color w:val="000000"/>
      <w:sz w:val="22"/>
      <w:szCs w:val="22"/>
      <w:lang w:val="en-US" w:eastAsia="en-US"/>
    </w:rPr>
  </w:style>
  <w:style w:type="paragraph" w:customStyle="1" w:styleId="BodytextIndented">
    <w:name w:val="BodytextIndented"/>
    <w:basedOn w:val="Bodytext"/>
    <w:rsid w:val="003E4CA8"/>
    <w:pPr>
      <w:ind w:firstLine="284"/>
    </w:pPr>
  </w:style>
  <w:style w:type="character" w:customStyle="1" w:styleId="SubsubsectionChar">
    <w:name w:val="Subsubsection Char"/>
    <w:link w:val="Subsubsection"/>
    <w:rsid w:val="003E4CA8"/>
    <w:rPr>
      <w:rFonts w:ascii="Times" w:hAnsi="Times"/>
      <w:i/>
      <w:iCs/>
      <w:color w:val="000000"/>
      <w:sz w:val="22"/>
      <w:szCs w:val="22"/>
      <w:lang w:eastAsia="en-US"/>
    </w:rPr>
  </w:style>
  <w:style w:type="paragraph" w:customStyle="1" w:styleId="Section">
    <w:name w:val="Section"/>
    <w:next w:val="Bodytext"/>
    <w:rsid w:val="003E4CA8"/>
    <w:pPr>
      <w:numPr>
        <w:numId w:val="3"/>
      </w:numPr>
      <w:spacing w:before="240"/>
    </w:pPr>
    <w:rPr>
      <w:rFonts w:ascii="Times" w:hAnsi="Times"/>
      <w:b/>
      <w:iCs/>
      <w:color w:val="000000"/>
      <w:sz w:val="22"/>
      <w:szCs w:val="22"/>
      <w:lang w:eastAsia="en-US"/>
    </w:rPr>
  </w:style>
  <w:style w:type="paragraph" w:styleId="FootnoteText">
    <w:name w:val="footnote text"/>
    <w:basedOn w:val="Normal"/>
    <w:semiHidden/>
    <w:rsid w:val="003E4CA8"/>
    <w:rPr>
      <w:sz w:val="20"/>
    </w:rPr>
  </w:style>
  <w:style w:type="character" w:styleId="FootnoteReference">
    <w:name w:val="footnote reference"/>
    <w:semiHidden/>
    <w:rsid w:val="003E4CA8"/>
    <w:rPr>
      <w:rFonts w:ascii="Times New Roman" w:hAnsi="Times New Roman"/>
      <w:sz w:val="22"/>
      <w:szCs w:val="22"/>
      <w:vertAlign w:val="superscript"/>
    </w:rPr>
  </w:style>
  <w:style w:type="paragraph" w:customStyle="1" w:styleId="Bulleted">
    <w:name w:val="Bulleted"/>
    <w:rsid w:val="003E4CA8"/>
    <w:pPr>
      <w:numPr>
        <w:numId w:val="2"/>
      </w:numPr>
      <w:jc w:val="both"/>
    </w:pPr>
    <w:rPr>
      <w:rFonts w:ascii="Times" w:hAnsi="Times"/>
      <w:color w:val="000000"/>
      <w:sz w:val="22"/>
      <w:szCs w:val="22"/>
      <w:lang w:eastAsia="en-US"/>
    </w:rPr>
  </w:style>
  <w:style w:type="paragraph" w:styleId="EndnoteText">
    <w:name w:val="endnote text"/>
    <w:basedOn w:val="Normal"/>
    <w:semiHidden/>
    <w:rsid w:val="003E4CA8"/>
    <w:rPr>
      <w:sz w:val="20"/>
    </w:rPr>
  </w:style>
  <w:style w:type="character" w:styleId="EndnoteReference">
    <w:name w:val="endnote reference"/>
    <w:semiHidden/>
    <w:rsid w:val="003E4CA8"/>
    <w:rPr>
      <w:vertAlign w:val="superscript"/>
    </w:rPr>
  </w:style>
  <w:style w:type="paragraph" w:customStyle="1" w:styleId="Subsection">
    <w:name w:val="Subsection"/>
    <w:next w:val="Bodytext"/>
    <w:rsid w:val="003E4CA8"/>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3E4CA8"/>
    <w:pPr>
      <w:spacing w:after="240"/>
      <w:ind w:left="1418"/>
    </w:pPr>
    <w:rPr>
      <w:rFonts w:ascii="Times" w:hAnsi="Times"/>
      <w:noProof/>
      <w:sz w:val="22"/>
      <w:szCs w:val="22"/>
      <w:lang w:val="en-US" w:eastAsia="en-US"/>
    </w:rPr>
  </w:style>
  <w:style w:type="paragraph" w:customStyle="1" w:styleId="Abstract">
    <w:name w:val="Abstract"/>
    <w:next w:val="Section"/>
    <w:rsid w:val="003E4CA8"/>
    <w:pPr>
      <w:spacing w:after="454"/>
      <w:ind w:left="1418"/>
      <w:jc w:val="both"/>
    </w:pPr>
    <w:rPr>
      <w:rFonts w:ascii="Times" w:hAnsi="Times"/>
      <w:color w:val="000000"/>
      <w:lang w:eastAsia="en-US"/>
    </w:rPr>
  </w:style>
  <w:style w:type="paragraph" w:customStyle="1" w:styleId="Sectionnonumber">
    <w:name w:val="Section (no number)"/>
    <w:next w:val="Bodytext"/>
    <w:rsid w:val="003E4CA8"/>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3E4CA8"/>
  </w:style>
  <w:style w:type="paragraph" w:styleId="Title">
    <w:name w:val="Title"/>
    <w:basedOn w:val="Normal"/>
    <w:next w:val="Authors"/>
    <w:qFormat/>
    <w:rsid w:val="003E4CA8"/>
    <w:pPr>
      <w:spacing w:before="1588" w:after="567"/>
    </w:pPr>
    <w:rPr>
      <w:b/>
      <w:sz w:val="34"/>
      <w:szCs w:val="34"/>
    </w:rPr>
  </w:style>
  <w:style w:type="paragraph" w:customStyle="1" w:styleId="Authors">
    <w:name w:val="Authors"/>
    <w:next w:val="Addresses"/>
    <w:rsid w:val="003E4CA8"/>
    <w:pPr>
      <w:spacing w:after="113"/>
      <w:ind w:left="1418"/>
    </w:pPr>
    <w:rPr>
      <w:rFonts w:ascii="Times" w:hAnsi="Times"/>
      <w:b/>
      <w:sz w:val="22"/>
      <w:szCs w:val="22"/>
      <w:lang w:eastAsia="en-US"/>
    </w:rPr>
  </w:style>
  <w:style w:type="paragraph" w:customStyle="1" w:styleId="Addresses">
    <w:name w:val="Addresses"/>
    <w:next w:val="E-mail"/>
    <w:rsid w:val="003E4CA8"/>
    <w:pPr>
      <w:spacing w:after="240"/>
      <w:ind w:left="1418"/>
    </w:pPr>
    <w:rPr>
      <w:rFonts w:ascii="Times" w:hAnsi="Times"/>
      <w:sz w:val="22"/>
      <w:szCs w:val="22"/>
      <w:lang w:eastAsia="en-US"/>
    </w:rPr>
  </w:style>
  <w:style w:type="paragraph" w:customStyle="1" w:styleId="FigureCaption">
    <w:name w:val="FigureCaption"/>
    <w:rsid w:val="003E4CA8"/>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3E4CA8"/>
    <w:pPr>
      <w:numPr>
        <w:numId w:val="0"/>
      </w:numPr>
      <w:ind w:left="851" w:hanging="284"/>
    </w:pPr>
  </w:style>
  <w:style w:type="paragraph" w:customStyle="1" w:styleId="Reference">
    <w:name w:val="Reference"/>
    <w:rsid w:val="003E4CA8"/>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ListParagraph">
    <w:name w:val="List Paragraph"/>
    <w:basedOn w:val="Normal"/>
    <w:uiPriority w:val="34"/>
    <w:qFormat/>
    <w:rsid w:val="00BA3700"/>
    <w:pPr>
      <w:spacing w:after="200" w:line="276" w:lineRule="auto"/>
      <w:ind w:left="720"/>
      <w:contextualSpacing/>
    </w:pPr>
    <w:rPr>
      <w:rFonts w:asciiTheme="minorHAnsi" w:eastAsiaTheme="minorEastAsia" w:hAnsiTheme="minorHAnsi" w:cstheme="minorBidi"/>
      <w:szCs w:val="22"/>
      <w:lang w:val="en-US"/>
    </w:rPr>
  </w:style>
  <w:style w:type="character" w:styleId="Hyperlink">
    <w:name w:val="Hyperlink"/>
    <w:basedOn w:val="DefaultParagraphFont"/>
    <w:uiPriority w:val="99"/>
    <w:unhideWhenUsed/>
    <w:rsid w:val="00BA3700"/>
    <w:rPr>
      <w:color w:val="0000FF"/>
      <w:u w:val="single"/>
    </w:rPr>
  </w:style>
  <w:style w:type="character" w:customStyle="1" w:styleId="cit-title">
    <w:name w:val="cit-title"/>
    <w:basedOn w:val="DefaultParagraphFont"/>
    <w:rsid w:val="00FA201C"/>
  </w:style>
  <w:style w:type="character" w:customStyle="1" w:styleId="cit-year-info">
    <w:name w:val="cit-year-info"/>
    <w:basedOn w:val="DefaultParagraphFont"/>
    <w:rsid w:val="00FA201C"/>
  </w:style>
  <w:style w:type="character" w:customStyle="1" w:styleId="cit-volume">
    <w:name w:val="cit-volume"/>
    <w:basedOn w:val="DefaultParagraphFont"/>
    <w:rsid w:val="00FA201C"/>
  </w:style>
  <w:style w:type="character" w:customStyle="1" w:styleId="cit-issue">
    <w:name w:val="cit-issue"/>
    <w:basedOn w:val="DefaultParagraphFont"/>
    <w:rsid w:val="00FA201C"/>
  </w:style>
  <w:style w:type="character" w:customStyle="1" w:styleId="cit-pagerange">
    <w:name w:val="cit-pagerange"/>
    <w:basedOn w:val="DefaultParagraphFont"/>
    <w:rsid w:val="00FA201C"/>
  </w:style>
  <w:style w:type="character" w:customStyle="1" w:styleId="hlfld-title">
    <w:name w:val="hlfld-title"/>
    <w:basedOn w:val="DefaultParagraphFont"/>
    <w:rsid w:val="00FA201C"/>
  </w:style>
  <w:style w:type="character" w:customStyle="1" w:styleId="title-text">
    <w:name w:val="title-text"/>
    <w:basedOn w:val="DefaultParagraphFont"/>
    <w:rsid w:val="00FA201C"/>
  </w:style>
  <w:style w:type="paragraph" w:styleId="BalloonText">
    <w:name w:val="Balloon Text"/>
    <w:basedOn w:val="Normal"/>
    <w:link w:val="BalloonTextChar"/>
    <w:uiPriority w:val="99"/>
    <w:semiHidden/>
    <w:unhideWhenUsed/>
    <w:rsid w:val="007A3E63"/>
    <w:rPr>
      <w:rFonts w:ascii="Tahoma" w:hAnsi="Tahoma" w:cs="Tahoma"/>
      <w:sz w:val="16"/>
      <w:szCs w:val="16"/>
    </w:rPr>
  </w:style>
  <w:style w:type="character" w:customStyle="1" w:styleId="BalloonTextChar">
    <w:name w:val="Balloon Text Char"/>
    <w:basedOn w:val="DefaultParagraphFont"/>
    <w:link w:val="BalloonText"/>
    <w:uiPriority w:val="99"/>
    <w:semiHidden/>
    <w:rsid w:val="007A3E63"/>
    <w:rPr>
      <w:rFonts w:ascii="Tahoma" w:hAnsi="Tahoma" w:cs="Tahoma"/>
      <w:sz w:val="16"/>
      <w:szCs w:val="16"/>
      <w:lang w:eastAsia="en-US"/>
    </w:rPr>
  </w:style>
  <w:style w:type="table" w:styleId="TableGrid">
    <w:name w:val="Table Grid"/>
    <w:basedOn w:val="TableNormal"/>
    <w:uiPriority w:val="59"/>
    <w:rsid w:val="00366E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lmarticle-title">
    <w:name w:val="nlm_article-title"/>
    <w:basedOn w:val="DefaultParagraphFont"/>
    <w:rsid w:val="00F260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AA99A-1486-44D9-951E-D5B3F943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TotalTime>
  <Pages>5</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HP</cp:lastModifiedBy>
  <cp:revision>3</cp:revision>
  <cp:lastPrinted>2005-02-25T09:52:00Z</cp:lastPrinted>
  <dcterms:created xsi:type="dcterms:W3CDTF">2023-08-28T17:33:00Z</dcterms:created>
  <dcterms:modified xsi:type="dcterms:W3CDTF">2023-08-28T17:48:00Z</dcterms:modified>
</cp:coreProperties>
</file>