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95CF4" w14:textId="77777777" w:rsidR="000A70FA" w:rsidRDefault="000A70FA" w:rsidP="000A70FA">
      <w:pPr>
        <w:shd w:val="clear" w:color="auto" w:fill="FFFFFF"/>
        <w:spacing w:after="160" w:line="235" w:lineRule="atLeast"/>
        <w:jc w:val="center"/>
        <w:rPr>
          <w:rFonts w:ascii="Times New Roman" w:eastAsia="Times New Roman" w:hAnsi="Times New Roman" w:cs="Times New Roman"/>
          <w:b/>
          <w:color w:val="222222"/>
          <w:sz w:val="48"/>
          <w:lang w:eastAsia="en-IN"/>
        </w:rPr>
      </w:pPr>
      <w:r w:rsidRPr="000A70FA">
        <w:rPr>
          <w:rFonts w:ascii="Times New Roman" w:eastAsia="Times New Roman" w:hAnsi="Times New Roman" w:cs="Times New Roman"/>
          <w:b/>
          <w:color w:val="222222"/>
          <w:sz w:val="48"/>
          <w:lang w:eastAsia="en-IN"/>
        </w:rPr>
        <w:t>Analysis of Effectiveness of Green HRM Practices in Organizations</w:t>
      </w:r>
    </w:p>
    <w:p w14:paraId="680D29FD" w14:textId="48676E39" w:rsidR="00663F6F" w:rsidRPr="00663F6F" w:rsidRDefault="00663F6F" w:rsidP="000A70FA">
      <w:pPr>
        <w:shd w:val="clear" w:color="auto" w:fill="FFFFFF"/>
        <w:spacing w:after="160" w:line="235" w:lineRule="atLeast"/>
        <w:jc w:val="center"/>
        <w:rPr>
          <w:rFonts w:ascii="Times New Roman" w:eastAsia="Times New Roman" w:hAnsi="Times New Roman" w:cs="Times New Roman"/>
          <w:b/>
          <w:color w:val="222222"/>
          <w:sz w:val="24"/>
          <w:szCs w:val="24"/>
          <w:lang w:eastAsia="en-IN"/>
        </w:rPr>
      </w:pPr>
      <w:r w:rsidRPr="00663F6F">
        <w:rPr>
          <w:rFonts w:ascii="Times New Roman" w:eastAsia="Times New Roman" w:hAnsi="Times New Roman" w:cs="Times New Roman"/>
          <w:b/>
          <w:color w:val="222222"/>
          <w:sz w:val="24"/>
          <w:szCs w:val="24"/>
          <w:lang w:eastAsia="en-IN"/>
        </w:rPr>
        <w:t>Dr Vijay Kulkarni</w:t>
      </w:r>
      <w:r>
        <w:rPr>
          <w:rFonts w:ascii="Times New Roman" w:eastAsia="Times New Roman" w:hAnsi="Times New Roman" w:cs="Times New Roman"/>
          <w:b/>
          <w:color w:val="222222"/>
          <w:sz w:val="24"/>
          <w:szCs w:val="24"/>
          <w:lang w:eastAsia="en-IN"/>
        </w:rPr>
        <w:t>, Professor, Ajeenkya DY Patil University, Pune</w:t>
      </w:r>
      <w:r>
        <w:rPr>
          <w:rStyle w:val="EndnoteReference"/>
          <w:rFonts w:ascii="Times New Roman" w:eastAsia="Times New Roman" w:hAnsi="Times New Roman" w:cs="Times New Roman"/>
          <w:b/>
          <w:color w:val="222222"/>
          <w:sz w:val="24"/>
          <w:szCs w:val="24"/>
          <w:lang w:eastAsia="en-IN"/>
        </w:rPr>
        <w:endnoteReference w:id="1"/>
      </w:r>
      <w:r>
        <w:rPr>
          <w:rFonts w:ascii="Times New Roman" w:eastAsia="Times New Roman" w:hAnsi="Times New Roman" w:cs="Times New Roman"/>
          <w:b/>
          <w:color w:val="222222"/>
          <w:sz w:val="24"/>
          <w:szCs w:val="24"/>
          <w:lang w:eastAsia="en-IN"/>
        </w:rPr>
        <w:t xml:space="preserve"> </w:t>
      </w:r>
    </w:p>
    <w:p w14:paraId="0D2FCF24" w14:textId="77777777" w:rsidR="000A70FA" w:rsidRPr="000A70FA" w:rsidRDefault="000A70FA" w:rsidP="000A70FA">
      <w:pPr>
        <w:shd w:val="clear" w:color="auto" w:fill="FFFFFF"/>
        <w:spacing w:after="160" w:line="235" w:lineRule="atLeast"/>
        <w:rPr>
          <w:rFonts w:ascii="Calibri" w:eastAsia="Times New Roman" w:hAnsi="Calibri" w:cs="Times New Roman"/>
          <w:color w:val="222222"/>
          <w:lang w:eastAsia="en-IN"/>
        </w:rPr>
      </w:pPr>
      <w:r w:rsidRPr="000A70FA">
        <w:rPr>
          <w:rFonts w:ascii="Calibri" w:eastAsia="Times New Roman" w:hAnsi="Calibri" w:cs="Times New Roman"/>
          <w:color w:val="222222"/>
          <w:lang w:eastAsia="en-IN"/>
        </w:rPr>
        <w:t> </w:t>
      </w:r>
    </w:p>
    <w:p w14:paraId="7E2A4B07" w14:textId="77777777" w:rsidR="00270766" w:rsidRDefault="009A3EBC" w:rsidP="00440D02">
      <w:pPr>
        <w:rPr>
          <w:rFonts w:ascii="Times New Roman" w:hAnsi="Times New Roman" w:cs="Times New Roman"/>
          <w:b/>
          <w:sz w:val="24"/>
        </w:rPr>
      </w:pPr>
      <w:r w:rsidRPr="009A3EBC">
        <w:rPr>
          <w:rFonts w:ascii="Times New Roman" w:hAnsi="Times New Roman" w:cs="Times New Roman"/>
          <w:b/>
          <w:sz w:val="24"/>
        </w:rPr>
        <w:t>Abstract</w:t>
      </w:r>
    </w:p>
    <w:p w14:paraId="378D392A" w14:textId="77777777" w:rsidR="00C028AB" w:rsidRPr="00663F6F" w:rsidRDefault="00C028AB" w:rsidP="00D07009">
      <w:pPr>
        <w:spacing w:line="360" w:lineRule="auto"/>
        <w:jc w:val="both"/>
        <w:rPr>
          <w:rFonts w:ascii="Times New Roman" w:hAnsi="Times New Roman" w:cs="Times New Roman"/>
          <w:iCs/>
          <w:sz w:val="24"/>
        </w:rPr>
      </w:pPr>
      <w:r w:rsidRPr="00663F6F">
        <w:rPr>
          <w:rFonts w:ascii="Times New Roman" w:hAnsi="Times New Roman" w:cs="Times New Roman"/>
          <w:iCs/>
          <w:sz w:val="24"/>
        </w:rPr>
        <w:t xml:space="preserve">The </w:t>
      </w:r>
      <w:proofErr w:type="gramStart"/>
      <w:r w:rsidRPr="00663F6F">
        <w:rPr>
          <w:rFonts w:ascii="Times New Roman" w:hAnsi="Times New Roman" w:cs="Times New Roman"/>
          <w:iCs/>
          <w:sz w:val="24"/>
        </w:rPr>
        <w:t>state run</w:t>
      </w:r>
      <w:proofErr w:type="gramEnd"/>
      <w:r w:rsidRPr="00663F6F">
        <w:rPr>
          <w:rFonts w:ascii="Times New Roman" w:hAnsi="Times New Roman" w:cs="Times New Roman"/>
          <w:iCs/>
          <w:sz w:val="24"/>
        </w:rPr>
        <w:t xml:space="preserve"> administrations of a few nations have requested undertakings and organizations to focus on an ecological administration program alongside their business tasks in light of the fact that various natural difficulties have as of late emerged. Because of the persistent debasement of our current circumstance brought about by the monstrous abuse of normal assets, legislatures from different nations have created different ecological security arrangements, requiring organizations and organizations to integrate them into their tasks to accomplish sustainability goals. The overview monitors the organizations that utilization green human asset the executives, which assists with forestalling a dangerous atmospheric devotion and ecological debasement. Green human asset the board is one of the business concerns' corporate social obligations. Both essential and optional information are utilized in the review. Green HRM is the utilization of HRM arrangements to empower asset sustainability inside business endeavours and, </w:t>
      </w:r>
      <w:proofErr w:type="gramStart"/>
      <w:r w:rsidRPr="00663F6F">
        <w:rPr>
          <w:rFonts w:ascii="Times New Roman" w:hAnsi="Times New Roman" w:cs="Times New Roman"/>
          <w:iCs/>
          <w:sz w:val="24"/>
        </w:rPr>
        <w:t>all the more</w:t>
      </w:r>
      <w:proofErr w:type="gramEnd"/>
      <w:r w:rsidRPr="00663F6F">
        <w:rPr>
          <w:rFonts w:ascii="Times New Roman" w:hAnsi="Times New Roman" w:cs="Times New Roman"/>
          <w:iCs/>
          <w:sz w:val="24"/>
        </w:rPr>
        <w:t xml:space="preserve"> comprehensively, to progress natural sustainability. For an association, regular assets are fundamental.</w:t>
      </w:r>
    </w:p>
    <w:p w14:paraId="3FD6D035" w14:textId="77777777" w:rsidR="00332A9A" w:rsidRPr="00663F6F" w:rsidRDefault="00332A9A" w:rsidP="00D07009">
      <w:pPr>
        <w:spacing w:line="360" w:lineRule="auto"/>
        <w:jc w:val="both"/>
        <w:rPr>
          <w:rFonts w:ascii="Times New Roman" w:hAnsi="Times New Roman" w:cs="Times New Roman"/>
          <w:b/>
          <w:iCs/>
          <w:sz w:val="24"/>
        </w:rPr>
      </w:pPr>
      <w:r w:rsidRPr="00663F6F">
        <w:rPr>
          <w:rFonts w:ascii="Times New Roman" w:hAnsi="Times New Roman" w:cs="Times New Roman"/>
          <w:b/>
          <w:iCs/>
          <w:sz w:val="24"/>
        </w:rPr>
        <w:t xml:space="preserve">Keywords: </w:t>
      </w:r>
      <w:r w:rsidR="006D60CD" w:rsidRPr="00663F6F">
        <w:rPr>
          <w:rFonts w:ascii="Times New Roman" w:hAnsi="Times New Roman" w:cs="Times New Roman"/>
          <w:iCs/>
          <w:sz w:val="24"/>
        </w:rPr>
        <w:t>HRM Practices,</w:t>
      </w:r>
      <w:r w:rsidR="006D60CD" w:rsidRPr="00663F6F">
        <w:rPr>
          <w:iCs/>
        </w:rPr>
        <w:t xml:space="preserve"> </w:t>
      </w:r>
      <w:r w:rsidR="006D60CD" w:rsidRPr="00663F6F">
        <w:rPr>
          <w:rFonts w:ascii="Times New Roman" w:hAnsi="Times New Roman" w:cs="Times New Roman"/>
          <w:iCs/>
          <w:sz w:val="24"/>
        </w:rPr>
        <w:t>Organizations,</w:t>
      </w:r>
      <w:r w:rsidR="00652259" w:rsidRPr="00663F6F">
        <w:rPr>
          <w:iCs/>
        </w:rPr>
        <w:t xml:space="preserve"> </w:t>
      </w:r>
      <w:r w:rsidR="00652259" w:rsidRPr="00663F6F">
        <w:rPr>
          <w:rFonts w:ascii="Times New Roman" w:hAnsi="Times New Roman" w:cs="Times New Roman"/>
          <w:iCs/>
          <w:sz w:val="24"/>
        </w:rPr>
        <w:t>Effectiveness, sustainability goals, Green HRM</w:t>
      </w:r>
    </w:p>
    <w:p w14:paraId="2EFE53D4" w14:textId="77777777" w:rsidR="00FB764B" w:rsidRDefault="009F5B7E" w:rsidP="00D07009">
      <w:pPr>
        <w:spacing w:line="360" w:lineRule="auto"/>
        <w:jc w:val="both"/>
        <w:rPr>
          <w:rFonts w:ascii="Times New Roman" w:hAnsi="Times New Roman" w:cs="Times New Roman"/>
          <w:b/>
          <w:sz w:val="24"/>
        </w:rPr>
      </w:pPr>
      <w:r>
        <w:rPr>
          <w:rFonts w:ascii="Times New Roman" w:hAnsi="Times New Roman" w:cs="Times New Roman"/>
          <w:b/>
          <w:sz w:val="24"/>
        </w:rPr>
        <w:t xml:space="preserve">1. </w:t>
      </w:r>
      <w:r w:rsidR="00FB764B" w:rsidRPr="00FB764B">
        <w:rPr>
          <w:rFonts w:ascii="Times New Roman" w:hAnsi="Times New Roman" w:cs="Times New Roman"/>
          <w:b/>
          <w:sz w:val="24"/>
        </w:rPr>
        <w:t xml:space="preserve">Introduction </w:t>
      </w:r>
    </w:p>
    <w:p w14:paraId="6DE2A5EF"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 xml:space="preserve">Green human asset the board consolidates natural administration with HR practices. Each firm purposes green assembling practices to advance hierarchical sustainability. Organizations today use HR strategies to give harmless to the ecosystem </w:t>
      </w:r>
      <w:proofErr w:type="spellStart"/>
      <w:r w:rsidRPr="00C028AB">
        <w:rPr>
          <w:rFonts w:ascii="Times New Roman" w:hAnsi="Times New Roman" w:cs="Times New Roman"/>
          <w:sz w:val="24"/>
        </w:rPr>
        <w:t>labor</w:t>
      </w:r>
      <w:proofErr w:type="spellEnd"/>
      <w:r w:rsidRPr="00C028AB">
        <w:rPr>
          <w:rFonts w:ascii="Times New Roman" w:hAnsi="Times New Roman" w:cs="Times New Roman"/>
          <w:sz w:val="24"/>
        </w:rPr>
        <w:t xml:space="preserve"> and products for general society. Green HRM, which joins authoritative targets to human asset arranging, advances corporate sustainability.</w:t>
      </w:r>
    </w:p>
    <w:p w14:paraId="2B04AB53"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 xml:space="preserve">The course of "green human asset the board" consolidates "natural administration" and "human asset the executives." Because of the developing worry of society and all partners, organizations are zeroing in more on carrying out green human asset the executives. It can work on the association's standing and give it cutthroat advantages, the two of which will assist it with flourishing over the long haul. Also, it can build an association's ability for </w:t>
      </w:r>
      <w:r w:rsidRPr="00C028AB">
        <w:rPr>
          <w:rFonts w:ascii="Times New Roman" w:hAnsi="Times New Roman" w:cs="Times New Roman"/>
          <w:sz w:val="24"/>
        </w:rPr>
        <w:lastRenderedPageBreak/>
        <w:t xml:space="preserve">successfully and effectively accomplishing its goals. Human asset the board green </w:t>
      </w:r>
      <w:proofErr w:type="spellStart"/>
      <w:r w:rsidRPr="00C028AB">
        <w:rPr>
          <w:rFonts w:ascii="Times New Roman" w:hAnsi="Times New Roman" w:cs="Times New Roman"/>
          <w:sz w:val="24"/>
        </w:rPr>
        <w:t>endeavors</w:t>
      </w:r>
      <w:proofErr w:type="spellEnd"/>
      <w:r w:rsidRPr="00C028AB">
        <w:rPr>
          <w:rFonts w:ascii="Times New Roman" w:hAnsi="Times New Roman" w:cs="Times New Roman"/>
          <w:sz w:val="24"/>
        </w:rPr>
        <w:t xml:space="preserve"> are a component of more extensive corporate social obligation programs.</w:t>
      </w:r>
    </w:p>
    <w:p w14:paraId="6D2D5F66" w14:textId="77777777" w:rsid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 xml:space="preserve">The organizations came to comprehend that they expected to change their standard working techniques or corporate societies to protect their </w:t>
      </w:r>
      <w:proofErr w:type="spellStart"/>
      <w:r w:rsidRPr="00C028AB">
        <w:rPr>
          <w:rFonts w:ascii="Times New Roman" w:hAnsi="Times New Roman" w:cs="Times New Roman"/>
          <w:sz w:val="24"/>
        </w:rPr>
        <w:t>labor</w:t>
      </w:r>
      <w:proofErr w:type="spellEnd"/>
      <w:r w:rsidRPr="00C028AB">
        <w:rPr>
          <w:rFonts w:ascii="Times New Roman" w:hAnsi="Times New Roman" w:cs="Times New Roman"/>
          <w:sz w:val="24"/>
        </w:rPr>
        <w:t xml:space="preserve"> force and the climate. Such organization activities should be feasible and shouldn't hurt the climate or society in any capacity. They lay out financial and ecological administration targets together to reduce the impacts of natural double-dealing. The association's current circumstance the executive’s points are extraordinarily assisted by the human asset the board with joining.</w:t>
      </w:r>
    </w:p>
    <w:p w14:paraId="00B1BA81" w14:textId="77777777" w:rsidR="00A958E1" w:rsidRDefault="00A46894" w:rsidP="00C028AB">
      <w:pPr>
        <w:spacing w:line="360" w:lineRule="auto"/>
        <w:jc w:val="both"/>
        <w:rPr>
          <w:rFonts w:ascii="Times New Roman" w:hAnsi="Times New Roman" w:cs="Times New Roman"/>
          <w:b/>
          <w:sz w:val="24"/>
        </w:rPr>
      </w:pPr>
      <w:r w:rsidRPr="00A46894">
        <w:rPr>
          <w:rFonts w:ascii="Times New Roman" w:hAnsi="Times New Roman" w:cs="Times New Roman"/>
          <w:b/>
          <w:sz w:val="24"/>
        </w:rPr>
        <w:t>1.1 Green Human Resource Management</w:t>
      </w:r>
      <w:r w:rsidRPr="00A46894">
        <w:rPr>
          <w:rFonts w:ascii="Times New Roman" w:hAnsi="Times New Roman" w:cs="Times New Roman"/>
          <w:b/>
          <w:sz w:val="24"/>
        </w:rPr>
        <w:tab/>
      </w:r>
    </w:p>
    <w:p w14:paraId="3D4C9073" w14:textId="77777777" w:rsidR="005B7957" w:rsidRDefault="005B7957" w:rsidP="00A46894">
      <w:pPr>
        <w:spacing w:line="360" w:lineRule="auto"/>
        <w:jc w:val="both"/>
        <w:rPr>
          <w:rFonts w:ascii="Times New Roman" w:hAnsi="Times New Roman" w:cs="Times New Roman"/>
          <w:sz w:val="24"/>
        </w:rPr>
      </w:pPr>
      <w:r w:rsidRPr="005B7957">
        <w:rPr>
          <w:rFonts w:ascii="Times New Roman" w:hAnsi="Times New Roman" w:cs="Times New Roman"/>
          <w:sz w:val="24"/>
        </w:rPr>
        <w:t xml:space="preserve">The term Green Human Resource The chiefs (Green HRM) was sired a long time back and is portrayed as "blend of environmental organization program into human resource the load up plan of an affiliation. It is the technique engaged with changing HRM approaches and practices unequivocally towards regular </w:t>
      </w:r>
      <w:proofErr w:type="spellStart"/>
      <w:r w:rsidRPr="005B7957">
        <w:rPr>
          <w:rFonts w:ascii="Times New Roman" w:hAnsi="Times New Roman" w:cs="Times New Roman"/>
          <w:sz w:val="24"/>
        </w:rPr>
        <w:t>neighborly</w:t>
      </w:r>
      <w:proofErr w:type="spellEnd"/>
      <w:r w:rsidRPr="005B7957">
        <w:rPr>
          <w:rFonts w:ascii="Times New Roman" w:hAnsi="Times New Roman" w:cs="Times New Roman"/>
          <w:sz w:val="24"/>
        </w:rPr>
        <w:t xml:space="preserve"> procedures and practices. It hopes to </w:t>
      </w:r>
      <w:proofErr w:type="gramStart"/>
      <w:r w:rsidRPr="005B7957">
        <w:rPr>
          <w:rFonts w:ascii="Times New Roman" w:hAnsi="Times New Roman" w:cs="Times New Roman"/>
          <w:sz w:val="24"/>
        </w:rPr>
        <w:t>diminishing</w:t>
      </w:r>
      <w:proofErr w:type="gramEnd"/>
      <w:r w:rsidRPr="005B7957">
        <w:rPr>
          <w:rFonts w:ascii="Times New Roman" w:hAnsi="Times New Roman" w:cs="Times New Roman"/>
          <w:sz w:val="24"/>
        </w:rPr>
        <w:t xml:space="preserve"> carbon impression of each and every agent working in the affiliation giving them strong and prodded work culture. </w:t>
      </w:r>
      <w:proofErr w:type="gramStart"/>
      <w:r w:rsidRPr="005B7957">
        <w:rPr>
          <w:rFonts w:ascii="Times New Roman" w:hAnsi="Times New Roman" w:cs="Times New Roman"/>
          <w:sz w:val="24"/>
        </w:rPr>
        <w:t>Thus</w:t>
      </w:r>
      <w:proofErr w:type="gramEnd"/>
      <w:r w:rsidRPr="005B7957">
        <w:rPr>
          <w:rFonts w:ascii="Times New Roman" w:hAnsi="Times New Roman" w:cs="Times New Roman"/>
          <w:sz w:val="24"/>
        </w:rPr>
        <w:t xml:space="preserve"> it has two parts:</w:t>
      </w:r>
    </w:p>
    <w:p w14:paraId="3D4E5E5A" w14:textId="77777777" w:rsidR="005B7957" w:rsidRDefault="00A46894" w:rsidP="00A46894">
      <w:pPr>
        <w:spacing w:line="360" w:lineRule="auto"/>
        <w:jc w:val="both"/>
        <w:rPr>
          <w:rFonts w:ascii="Times New Roman" w:hAnsi="Times New Roman" w:cs="Times New Roman"/>
          <w:sz w:val="24"/>
        </w:rPr>
      </w:pPr>
      <w:r w:rsidRPr="00A46894">
        <w:rPr>
          <w:rFonts w:ascii="Times New Roman" w:hAnsi="Times New Roman" w:cs="Times New Roman"/>
          <w:sz w:val="24"/>
        </w:rPr>
        <w:t xml:space="preserve">a) </w:t>
      </w:r>
      <w:r w:rsidR="005B7957" w:rsidRPr="005B7957">
        <w:rPr>
          <w:rFonts w:ascii="Times New Roman" w:hAnsi="Times New Roman" w:cs="Times New Roman"/>
          <w:sz w:val="24"/>
        </w:rPr>
        <w:t>Safeguarding of information capital and</w:t>
      </w:r>
    </w:p>
    <w:p w14:paraId="02866815" w14:textId="77777777" w:rsidR="00A46894" w:rsidRDefault="00A46894" w:rsidP="00A46894">
      <w:pPr>
        <w:spacing w:line="360" w:lineRule="auto"/>
        <w:jc w:val="both"/>
        <w:rPr>
          <w:rFonts w:ascii="Times New Roman" w:hAnsi="Times New Roman" w:cs="Times New Roman"/>
          <w:sz w:val="24"/>
        </w:rPr>
      </w:pPr>
      <w:r w:rsidRPr="00A46894">
        <w:rPr>
          <w:rFonts w:ascii="Times New Roman" w:hAnsi="Times New Roman" w:cs="Times New Roman"/>
          <w:sz w:val="24"/>
        </w:rPr>
        <w:t xml:space="preserve">b) </w:t>
      </w:r>
      <w:r w:rsidR="005B7957" w:rsidRPr="005B7957">
        <w:rPr>
          <w:rFonts w:ascii="Times New Roman" w:hAnsi="Times New Roman" w:cs="Times New Roman"/>
          <w:sz w:val="24"/>
        </w:rPr>
        <w:t>Ecological amicable practices.</w:t>
      </w:r>
    </w:p>
    <w:p w14:paraId="7953A8BF" w14:textId="77777777" w:rsidR="005B7957" w:rsidRDefault="0014509B" w:rsidP="00C028AB">
      <w:pPr>
        <w:spacing w:line="360" w:lineRule="auto"/>
        <w:jc w:val="both"/>
        <w:rPr>
          <w:rFonts w:ascii="Times New Roman" w:hAnsi="Times New Roman" w:cs="Times New Roman"/>
          <w:b/>
          <w:sz w:val="24"/>
        </w:rPr>
      </w:pPr>
      <w:r>
        <w:rPr>
          <w:rFonts w:ascii="Times New Roman" w:hAnsi="Times New Roman" w:cs="Times New Roman"/>
          <w:b/>
          <w:sz w:val="24"/>
        </w:rPr>
        <w:t xml:space="preserve">1.2 </w:t>
      </w:r>
      <w:r w:rsidR="005B7957" w:rsidRPr="005B7957">
        <w:rPr>
          <w:rFonts w:ascii="Times New Roman" w:hAnsi="Times New Roman" w:cs="Times New Roman"/>
          <w:b/>
          <w:sz w:val="24"/>
        </w:rPr>
        <w:t>Green HRM Preparing and Improvement</w:t>
      </w:r>
    </w:p>
    <w:p w14:paraId="197D8D4B"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 xml:space="preserve">Green HR preparing and advancement programs are those that are planned and instituted to teach staff individuals about their obligation regarding ecological assurance and preservation. It works on the representatives' ecological mindfulness, information, and disposition. Subsequent to joining, workers ought to perceive the organization's green strategies and practices </w:t>
      </w:r>
      <w:proofErr w:type="gramStart"/>
      <w:r w:rsidRPr="00C028AB">
        <w:rPr>
          <w:rFonts w:ascii="Times New Roman" w:hAnsi="Times New Roman" w:cs="Times New Roman"/>
          <w:sz w:val="24"/>
        </w:rPr>
        <w:t>The</w:t>
      </w:r>
      <w:proofErr w:type="gramEnd"/>
      <w:r w:rsidRPr="00C028AB">
        <w:rPr>
          <w:rFonts w:ascii="Times New Roman" w:hAnsi="Times New Roman" w:cs="Times New Roman"/>
          <w:sz w:val="24"/>
        </w:rPr>
        <w:t xml:space="preserve"> accompanying methodologies for green preparation and advancement are ones that are regularly seen in organizations: Natural issues are examined all through the direction program.</w:t>
      </w:r>
    </w:p>
    <w:p w14:paraId="00A24201" w14:textId="77777777" w:rsidR="00785340"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The organization's natural goals ought to be cleared up for recently added team members. Representatives ought to get preparing on eco-accommodating ways of behaving like carpooling, reusing, and so forth. There ought to be an investigation of the interest for green preparation, and there ought to be online assets accessible.</w:t>
      </w:r>
    </w:p>
    <w:p w14:paraId="6BCAC5FA" w14:textId="77777777" w:rsidR="00785340" w:rsidRDefault="00F70521" w:rsidP="0014509B">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1.3 </w:t>
      </w:r>
      <w:r w:rsidR="00785340" w:rsidRPr="00785340">
        <w:rPr>
          <w:rFonts w:ascii="Times New Roman" w:hAnsi="Times New Roman" w:cs="Times New Roman"/>
          <w:b/>
          <w:sz w:val="24"/>
        </w:rPr>
        <w:t>Green HRM Performance Management</w:t>
      </w:r>
    </w:p>
    <w:p w14:paraId="5D19E8B4"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In these methods, the workers' natural goals and targets are set, and their presentation is assessed according to the objectives.</w:t>
      </w:r>
    </w:p>
    <w:p w14:paraId="46012186" w14:textId="77777777" w:rsid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Green targets and goals should be referenced part of the set of working responsibilities and associated with the presentation survey process.</w:t>
      </w:r>
    </w:p>
    <w:p w14:paraId="346FED3E" w14:textId="77777777" w:rsidR="0014509B" w:rsidRDefault="00601A94" w:rsidP="00C028AB">
      <w:pPr>
        <w:spacing w:line="360" w:lineRule="auto"/>
        <w:jc w:val="both"/>
        <w:rPr>
          <w:rFonts w:ascii="Times New Roman" w:hAnsi="Times New Roman" w:cs="Times New Roman"/>
          <w:b/>
          <w:sz w:val="24"/>
        </w:rPr>
      </w:pPr>
      <w:r>
        <w:rPr>
          <w:rFonts w:ascii="Times New Roman" w:hAnsi="Times New Roman" w:cs="Times New Roman"/>
          <w:b/>
          <w:sz w:val="24"/>
        </w:rPr>
        <w:t xml:space="preserve">1.4 </w:t>
      </w:r>
      <w:r w:rsidRPr="00601A94">
        <w:rPr>
          <w:rFonts w:ascii="Times New Roman" w:hAnsi="Times New Roman" w:cs="Times New Roman"/>
          <w:b/>
          <w:sz w:val="24"/>
        </w:rPr>
        <w:t>Green Compensation and Benefit</w:t>
      </w:r>
    </w:p>
    <w:p w14:paraId="44ED3C04"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The objective of the green award framework, which incorporates both financial and non-money related motivating forces, is to support staff individuals who meet their natural targets and foster asset productive answers for safeguard the climate.</w:t>
      </w:r>
    </w:p>
    <w:p w14:paraId="5C242CC9"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 xml:space="preserve">Grants </w:t>
      </w:r>
      <w:proofErr w:type="gramStart"/>
      <w:r w:rsidRPr="00C028AB">
        <w:rPr>
          <w:rFonts w:ascii="Times New Roman" w:hAnsi="Times New Roman" w:cs="Times New Roman"/>
          <w:sz w:val="24"/>
        </w:rPr>
        <w:t>in light of</w:t>
      </w:r>
      <w:proofErr w:type="gramEnd"/>
      <w:r w:rsidRPr="00C028AB">
        <w:rPr>
          <w:rFonts w:ascii="Times New Roman" w:hAnsi="Times New Roman" w:cs="Times New Roman"/>
          <w:sz w:val="24"/>
        </w:rPr>
        <w:t xml:space="preserve"> acknowledgment are given to applicants who have succeeded in accomplishing their natural goals. Worker efficiency, dedication, work satisfaction, and inspiration will all ascent thus</w:t>
      </w:r>
    </w:p>
    <w:p w14:paraId="72D6F1DC" w14:textId="77777777" w:rsidR="00C028AB" w:rsidRPr="00C028AB"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The objective of the green prize framework, which incorporates both financial and non-money related motivations, is to empower staff individuals who meet their natural targets and foster asset productive answers for safeguard the climate.</w:t>
      </w:r>
    </w:p>
    <w:p w14:paraId="3B0972C4" w14:textId="77777777" w:rsidR="00507107" w:rsidRPr="00507107" w:rsidRDefault="00C028AB" w:rsidP="00C028AB">
      <w:pPr>
        <w:spacing w:line="360" w:lineRule="auto"/>
        <w:jc w:val="both"/>
        <w:rPr>
          <w:rFonts w:ascii="Times New Roman" w:hAnsi="Times New Roman" w:cs="Times New Roman"/>
          <w:sz w:val="24"/>
        </w:rPr>
      </w:pPr>
      <w:r w:rsidRPr="00C028AB">
        <w:rPr>
          <w:rFonts w:ascii="Times New Roman" w:hAnsi="Times New Roman" w:cs="Times New Roman"/>
          <w:sz w:val="24"/>
        </w:rPr>
        <w:t xml:space="preserve">Grants </w:t>
      </w:r>
      <w:proofErr w:type="gramStart"/>
      <w:r w:rsidRPr="00C028AB">
        <w:rPr>
          <w:rFonts w:ascii="Times New Roman" w:hAnsi="Times New Roman" w:cs="Times New Roman"/>
          <w:sz w:val="24"/>
        </w:rPr>
        <w:t>in light of</w:t>
      </w:r>
      <w:proofErr w:type="gramEnd"/>
      <w:r w:rsidRPr="00C028AB">
        <w:rPr>
          <w:rFonts w:ascii="Times New Roman" w:hAnsi="Times New Roman" w:cs="Times New Roman"/>
          <w:sz w:val="24"/>
        </w:rPr>
        <w:t xml:space="preserve"> acknowledgment are given to competitors who have succeeded in accomplishing their ecological goals. Representative efficiency, devotion, work joy, and inspiration will all ascent thus</w:t>
      </w:r>
    </w:p>
    <w:p w14:paraId="7484AE21" w14:textId="77777777" w:rsidR="00594A25" w:rsidRDefault="00DC258B" w:rsidP="00A46894">
      <w:pPr>
        <w:spacing w:line="360" w:lineRule="auto"/>
        <w:jc w:val="both"/>
        <w:rPr>
          <w:rFonts w:ascii="Times New Roman" w:hAnsi="Times New Roman" w:cs="Times New Roman"/>
          <w:b/>
          <w:sz w:val="24"/>
        </w:rPr>
      </w:pPr>
      <w:r>
        <w:rPr>
          <w:rFonts w:ascii="Times New Roman" w:hAnsi="Times New Roman" w:cs="Times New Roman"/>
          <w:b/>
          <w:sz w:val="24"/>
        </w:rPr>
        <w:t xml:space="preserve">2. </w:t>
      </w:r>
      <w:r w:rsidR="00594A25" w:rsidRPr="00594A25">
        <w:rPr>
          <w:rFonts w:ascii="Times New Roman" w:hAnsi="Times New Roman" w:cs="Times New Roman"/>
          <w:b/>
          <w:sz w:val="24"/>
        </w:rPr>
        <w:t xml:space="preserve">Review of Literature </w:t>
      </w:r>
    </w:p>
    <w:p w14:paraId="21191B88" w14:textId="77777777" w:rsidR="0038786D" w:rsidRPr="0038786D" w:rsidRDefault="0038786D" w:rsidP="0038786D">
      <w:pPr>
        <w:spacing w:line="360" w:lineRule="auto"/>
        <w:jc w:val="both"/>
        <w:rPr>
          <w:rFonts w:ascii="Times New Roman" w:hAnsi="Times New Roman" w:cs="Times New Roman"/>
          <w:sz w:val="24"/>
        </w:rPr>
      </w:pPr>
      <w:r w:rsidRPr="0038786D">
        <w:rPr>
          <w:rFonts w:ascii="Times New Roman" w:hAnsi="Times New Roman" w:cs="Times New Roman"/>
          <w:sz w:val="24"/>
        </w:rPr>
        <w:t>Environmental anxiety was believed to have a negative impact on an organization's performance since businesses are forced to use more resources than usual.</w:t>
      </w:r>
    </w:p>
    <w:p w14:paraId="5B41E77A" w14:textId="77777777" w:rsidR="0038786D" w:rsidRPr="0038786D" w:rsidRDefault="0038786D" w:rsidP="0038786D">
      <w:pPr>
        <w:spacing w:line="360" w:lineRule="auto"/>
        <w:jc w:val="both"/>
        <w:rPr>
          <w:rFonts w:ascii="Times New Roman" w:hAnsi="Times New Roman" w:cs="Times New Roman"/>
          <w:sz w:val="24"/>
        </w:rPr>
      </w:pPr>
      <w:r w:rsidRPr="0038786D">
        <w:rPr>
          <w:rFonts w:ascii="Times New Roman" w:hAnsi="Times New Roman" w:cs="Times New Roman"/>
          <w:sz w:val="24"/>
        </w:rPr>
        <w:t xml:space="preserve">In past ages, corporations and stakeholders thought that economic benefits were more alluring, but in the twenty-first century, green environmental outcomes are thought to be more proactive (Mandip, 2012). Because they are the primary responsible parties for the escalating environmental concerns, organisations should strike a balance between growth and environmental protection (Murari &amp; Bhandari, 2011). After the expanding study literature on green management in general (McDonagh and Prothero </w:t>
      </w:r>
      <w:r>
        <w:rPr>
          <w:rFonts w:ascii="Times New Roman" w:hAnsi="Times New Roman" w:cs="Times New Roman"/>
          <w:sz w:val="24"/>
        </w:rPr>
        <w:t>2016</w:t>
      </w:r>
      <w:r w:rsidRPr="0038786D">
        <w:rPr>
          <w:rFonts w:ascii="Times New Roman" w:hAnsi="Times New Roman" w:cs="Times New Roman"/>
          <w:sz w:val="24"/>
        </w:rPr>
        <w:t>), gr</w:t>
      </w:r>
      <w:r w:rsidR="003B6216">
        <w:rPr>
          <w:rFonts w:ascii="Times New Roman" w:hAnsi="Times New Roman" w:cs="Times New Roman"/>
          <w:sz w:val="24"/>
        </w:rPr>
        <w:t>een accounting (Bebbington 2019</w:t>
      </w:r>
      <w:r w:rsidRPr="0038786D">
        <w:rPr>
          <w:rFonts w:ascii="Times New Roman" w:hAnsi="Times New Roman" w:cs="Times New Roman"/>
          <w:sz w:val="24"/>
        </w:rPr>
        <w:t xml:space="preserve">), green retailing (Kee-hung et al. </w:t>
      </w:r>
      <w:r>
        <w:rPr>
          <w:rFonts w:ascii="Times New Roman" w:hAnsi="Times New Roman" w:cs="Times New Roman"/>
          <w:sz w:val="24"/>
        </w:rPr>
        <w:t>2019</w:t>
      </w:r>
      <w:r w:rsidRPr="0038786D">
        <w:rPr>
          <w:rFonts w:ascii="Times New Roman" w:hAnsi="Times New Roman" w:cs="Times New Roman"/>
          <w:sz w:val="24"/>
        </w:rPr>
        <w:t xml:space="preserve"> and green marketing (Peattie </w:t>
      </w:r>
      <w:r>
        <w:rPr>
          <w:rFonts w:ascii="Times New Roman" w:hAnsi="Times New Roman" w:cs="Times New Roman"/>
          <w:sz w:val="24"/>
        </w:rPr>
        <w:t>2018</w:t>
      </w:r>
      <w:r w:rsidRPr="0038786D">
        <w:rPr>
          <w:rFonts w:ascii="Times New Roman" w:hAnsi="Times New Roman" w:cs="Times New Roman"/>
          <w:sz w:val="24"/>
        </w:rPr>
        <w:t xml:space="preserve">), the focus is on green human resource management (GHRM). The GHRM concept first emerged in the </w:t>
      </w:r>
      <w:r w:rsidRPr="0038786D">
        <w:rPr>
          <w:rFonts w:ascii="Times New Roman" w:hAnsi="Times New Roman" w:cs="Times New Roman"/>
          <w:sz w:val="24"/>
        </w:rPr>
        <w:lastRenderedPageBreak/>
        <w:t>1990s and gained widespread acceptance in the 20</w:t>
      </w:r>
      <w:r w:rsidR="003B6216">
        <w:rPr>
          <w:rFonts w:ascii="Times New Roman" w:hAnsi="Times New Roman" w:cs="Times New Roman"/>
          <w:sz w:val="24"/>
        </w:rPr>
        <w:t>19</w:t>
      </w:r>
      <w:r w:rsidRPr="0038786D">
        <w:rPr>
          <w:rFonts w:ascii="Times New Roman" w:hAnsi="Times New Roman" w:cs="Times New Roman"/>
          <w:sz w:val="24"/>
        </w:rPr>
        <w:t>s (Lee, 2</w:t>
      </w:r>
      <w:r w:rsidR="003B6216">
        <w:rPr>
          <w:rFonts w:ascii="Times New Roman" w:hAnsi="Times New Roman" w:cs="Times New Roman"/>
          <w:sz w:val="24"/>
        </w:rPr>
        <w:t>019</w:t>
      </w:r>
      <w:r w:rsidRPr="0038786D">
        <w:rPr>
          <w:rFonts w:ascii="Times New Roman" w:hAnsi="Times New Roman" w:cs="Times New Roman"/>
          <w:sz w:val="24"/>
        </w:rPr>
        <w:t xml:space="preserve">). Green HRM refers to the use of green HRM policies, green philosophies, and green practises for environmental management and employee knowledge of their role in protecting the environment. </w:t>
      </w:r>
      <w:proofErr w:type="gramStart"/>
      <w:r w:rsidRPr="0038786D">
        <w:rPr>
          <w:rFonts w:ascii="Times New Roman" w:hAnsi="Times New Roman" w:cs="Times New Roman"/>
          <w:sz w:val="24"/>
        </w:rPr>
        <w:t>In order to</w:t>
      </w:r>
      <w:proofErr w:type="gramEnd"/>
      <w:r w:rsidRPr="0038786D">
        <w:rPr>
          <w:rFonts w:ascii="Times New Roman" w:hAnsi="Times New Roman" w:cs="Times New Roman"/>
          <w:sz w:val="24"/>
        </w:rPr>
        <w:t xml:space="preserve"> design, implement, manage, review, and maintain environmental policies, organisational structure, planning, responsibilities, codes of conduct, procedures, and processes are all part of what is known as "environmental management" (Riccio, </w:t>
      </w:r>
      <w:r w:rsidR="003B6216">
        <w:rPr>
          <w:rFonts w:ascii="Times New Roman" w:hAnsi="Times New Roman" w:cs="Times New Roman"/>
          <w:sz w:val="24"/>
        </w:rPr>
        <w:t>2018</w:t>
      </w:r>
      <w:r w:rsidRPr="0038786D">
        <w:rPr>
          <w:rFonts w:ascii="Times New Roman" w:hAnsi="Times New Roman" w:cs="Times New Roman"/>
          <w:sz w:val="24"/>
        </w:rPr>
        <w:t>). Since organisations are the primary cause of environmental problems, it is believed that they should play a crucial role in addressing envi</w:t>
      </w:r>
      <w:r w:rsidR="003B6216">
        <w:rPr>
          <w:rFonts w:ascii="Times New Roman" w:hAnsi="Times New Roman" w:cs="Times New Roman"/>
          <w:sz w:val="24"/>
        </w:rPr>
        <w:t>ronmental challenges (Bebbington 2020</w:t>
      </w:r>
      <w:r w:rsidRPr="0038786D">
        <w:rPr>
          <w:rFonts w:ascii="Times New Roman" w:hAnsi="Times New Roman" w:cs="Times New Roman"/>
          <w:sz w:val="24"/>
        </w:rPr>
        <w:t>).</w:t>
      </w:r>
    </w:p>
    <w:p w14:paraId="0A5A2092" w14:textId="77777777" w:rsidR="0038786D" w:rsidRPr="0038786D" w:rsidRDefault="0038786D" w:rsidP="0038786D">
      <w:pPr>
        <w:spacing w:line="360" w:lineRule="auto"/>
        <w:jc w:val="both"/>
        <w:rPr>
          <w:rFonts w:ascii="Times New Roman" w:hAnsi="Times New Roman" w:cs="Times New Roman"/>
          <w:sz w:val="24"/>
        </w:rPr>
      </w:pPr>
      <w:r w:rsidRPr="0038786D">
        <w:rPr>
          <w:rFonts w:ascii="Times New Roman" w:hAnsi="Times New Roman" w:cs="Times New Roman"/>
          <w:sz w:val="24"/>
        </w:rPr>
        <w:t>Organizations with a solid environmental reputation can benefit from increased exposure, devoted staff, devoted consumers, reliable suppliers, and dependable investors (Business</w:t>
      </w:r>
      <w:r w:rsidR="003B6216">
        <w:rPr>
          <w:rFonts w:ascii="Times New Roman" w:hAnsi="Times New Roman" w:cs="Times New Roman"/>
          <w:sz w:val="24"/>
        </w:rPr>
        <w:t xml:space="preserve"> Week, 2016</w:t>
      </w:r>
      <w:r w:rsidRPr="0038786D">
        <w:rPr>
          <w:rFonts w:ascii="Times New Roman" w:hAnsi="Times New Roman" w:cs="Times New Roman"/>
          <w:sz w:val="24"/>
        </w:rPr>
        <w:t>).</w:t>
      </w:r>
    </w:p>
    <w:p w14:paraId="3EA02E12" w14:textId="77777777" w:rsidR="0038786D" w:rsidRPr="0038786D" w:rsidRDefault="0038786D" w:rsidP="0038786D">
      <w:pPr>
        <w:spacing w:line="360" w:lineRule="auto"/>
        <w:jc w:val="both"/>
        <w:rPr>
          <w:rFonts w:ascii="Times New Roman" w:hAnsi="Times New Roman" w:cs="Times New Roman"/>
          <w:sz w:val="24"/>
        </w:rPr>
      </w:pPr>
      <w:r w:rsidRPr="0038786D">
        <w:rPr>
          <w:rFonts w:ascii="Times New Roman" w:hAnsi="Times New Roman" w:cs="Times New Roman"/>
          <w:sz w:val="24"/>
        </w:rPr>
        <w:t>Studies on the value and application of GHRM practises have been conducted. Green recruitment, training and development, performance management and assessment, remuneration, pay and reward, and employment relations are all ways that a business can use green human resource practises (Rani at all, 2014;). The advantages of these green human resource policies for businesses and the environment must be emphasised (Renwick at all, 2013). Employee engagement in green practises may increase with the effective application of green policies, which will ultimately improve corporate performance.</w:t>
      </w:r>
    </w:p>
    <w:p w14:paraId="221448C0" w14:textId="77777777" w:rsidR="0038786D" w:rsidRDefault="0038786D" w:rsidP="0038786D">
      <w:pPr>
        <w:spacing w:line="360" w:lineRule="auto"/>
        <w:jc w:val="both"/>
        <w:rPr>
          <w:rFonts w:ascii="Times New Roman" w:hAnsi="Times New Roman" w:cs="Times New Roman"/>
          <w:b/>
          <w:sz w:val="24"/>
        </w:rPr>
      </w:pPr>
      <w:r w:rsidRPr="0038786D">
        <w:rPr>
          <w:rFonts w:ascii="Times New Roman" w:hAnsi="Times New Roman" w:cs="Times New Roman"/>
          <w:sz w:val="24"/>
        </w:rPr>
        <w:t>Green practises are being adopted by businesses to boost their brand, boost staff morale, gain a competitive advantage, and significantly cut costs (</w:t>
      </w:r>
      <w:proofErr w:type="spellStart"/>
      <w:r w:rsidRPr="0038786D">
        <w:rPr>
          <w:rFonts w:ascii="Times New Roman" w:hAnsi="Times New Roman" w:cs="Times New Roman"/>
          <w:sz w:val="24"/>
        </w:rPr>
        <w:t>Alhadid</w:t>
      </w:r>
      <w:proofErr w:type="spellEnd"/>
      <w:r w:rsidRPr="0038786D">
        <w:rPr>
          <w:rFonts w:ascii="Times New Roman" w:hAnsi="Times New Roman" w:cs="Times New Roman"/>
          <w:sz w:val="24"/>
        </w:rPr>
        <w:t xml:space="preserve"> &amp; Abu-Rumman, 2014). The motto "green and competitive" has emerged </w:t>
      </w:r>
      <w:proofErr w:type="gramStart"/>
      <w:r w:rsidRPr="0038786D">
        <w:rPr>
          <w:rFonts w:ascii="Times New Roman" w:hAnsi="Times New Roman" w:cs="Times New Roman"/>
          <w:sz w:val="24"/>
        </w:rPr>
        <w:t>as a result of</w:t>
      </w:r>
      <w:proofErr w:type="gramEnd"/>
      <w:r w:rsidRPr="0038786D">
        <w:rPr>
          <w:rFonts w:ascii="Times New Roman" w:hAnsi="Times New Roman" w:cs="Times New Roman"/>
          <w:sz w:val="24"/>
        </w:rPr>
        <w:t xml:space="preserve"> the adoption of these practises being provided with a variety of benefits that would ultimately benefit the company (Wagner, 2007; Molina-</w:t>
      </w:r>
      <w:proofErr w:type="spellStart"/>
      <w:r w:rsidRPr="0038786D">
        <w:rPr>
          <w:rFonts w:ascii="Times New Roman" w:hAnsi="Times New Roman" w:cs="Times New Roman"/>
          <w:sz w:val="24"/>
        </w:rPr>
        <w:t>Azorin</w:t>
      </w:r>
      <w:proofErr w:type="spellEnd"/>
      <w:r w:rsidRPr="0038786D">
        <w:rPr>
          <w:rFonts w:ascii="Times New Roman" w:hAnsi="Times New Roman" w:cs="Times New Roman"/>
          <w:sz w:val="24"/>
        </w:rPr>
        <w:t xml:space="preserve"> et al., 2009). A few advantages of this adoption are an increase in the operational performance of the company (Jackson et al., 2012), the encouragement of teamwork (Jabbar et al., 2010), an improvement in organisational culture (Jabbar et al., 2012), and a decrease in total costs (Hart </w:t>
      </w:r>
      <w:r w:rsidR="003B6216">
        <w:rPr>
          <w:rFonts w:ascii="Times New Roman" w:hAnsi="Times New Roman" w:cs="Times New Roman"/>
          <w:sz w:val="24"/>
        </w:rPr>
        <w:t>2019</w:t>
      </w:r>
      <w:r w:rsidRPr="0038786D">
        <w:rPr>
          <w:rFonts w:ascii="Times New Roman" w:hAnsi="Times New Roman" w:cs="Times New Roman"/>
          <w:sz w:val="24"/>
        </w:rPr>
        <w:t>)</w:t>
      </w:r>
      <w:r w:rsidRPr="0038786D">
        <w:rPr>
          <w:rFonts w:ascii="Times New Roman" w:hAnsi="Times New Roman" w:cs="Times New Roman"/>
          <w:b/>
          <w:sz w:val="24"/>
        </w:rPr>
        <w:t xml:space="preserve"> </w:t>
      </w:r>
    </w:p>
    <w:p w14:paraId="7F37A9EA" w14:textId="77777777" w:rsidR="00EC24FB" w:rsidRPr="00EC24FB" w:rsidRDefault="00DC258B" w:rsidP="0038786D">
      <w:pPr>
        <w:spacing w:line="360" w:lineRule="auto"/>
        <w:jc w:val="both"/>
        <w:rPr>
          <w:rFonts w:ascii="Times New Roman" w:hAnsi="Times New Roman" w:cs="Times New Roman"/>
          <w:b/>
          <w:sz w:val="24"/>
        </w:rPr>
      </w:pPr>
      <w:r>
        <w:rPr>
          <w:rFonts w:ascii="Times New Roman" w:hAnsi="Times New Roman" w:cs="Times New Roman"/>
          <w:b/>
          <w:sz w:val="24"/>
        </w:rPr>
        <w:t xml:space="preserve">3. </w:t>
      </w:r>
      <w:r w:rsidR="00EC24FB" w:rsidRPr="00EC24FB">
        <w:rPr>
          <w:rFonts w:ascii="Times New Roman" w:hAnsi="Times New Roman" w:cs="Times New Roman"/>
          <w:b/>
          <w:sz w:val="24"/>
        </w:rPr>
        <w:t>Research methodology</w:t>
      </w:r>
    </w:p>
    <w:p w14:paraId="157E70BE" w14:textId="77777777" w:rsidR="00EC24FB" w:rsidRPr="00D308BC" w:rsidRDefault="00907114">
      <w:pPr>
        <w:spacing w:line="360" w:lineRule="auto"/>
        <w:jc w:val="both"/>
        <w:rPr>
          <w:rFonts w:ascii="Times New Roman" w:hAnsi="Times New Roman" w:cs="Times New Roman"/>
          <w:b/>
          <w:sz w:val="24"/>
        </w:rPr>
      </w:pPr>
      <w:r>
        <w:rPr>
          <w:rFonts w:ascii="Times New Roman" w:hAnsi="Times New Roman" w:cs="Times New Roman"/>
          <w:b/>
          <w:sz w:val="24"/>
        </w:rPr>
        <w:t xml:space="preserve">3.1 </w:t>
      </w:r>
      <w:r w:rsidR="00D308BC" w:rsidRPr="00D308BC">
        <w:rPr>
          <w:rFonts w:ascii="Times New Roman" w:hAnsi="Times New Roman" w:cs="Times New Roman"/>
          <w:b/>
          <w:sz w:val="24"/>
        </w:rPr>
        <w:t>Collection of data:</w:t>
      </w:r>
    </w:p>
    <w:p w14:paraId="2EB7F0E2" w14:textId="77777777" w:rsidR="00E86E69" w:rsidRDefault="00E86E69" w:rsidP="009C308D">
      <w:pPr>
        <w:spacing w:line="360" w:lineRule="auto"/>
        <w:jc w:val="both"/>
        <w:rPr>
          <w:rFonts w:ascii="Times New Roman" w:hAnsi="Times New Roman" w:cs="Times New Roman"/>
          <w:sz w:val="24"/>
        </w:rPr>
      </w:pPr>
      <w:r w:rsidRPr="00E86E69">
        <w:rPr>
          <w:rFonts w:ascii="Times New Roman" w:hAnsi="Times New Roman" w:cs="Times New Roman"/>
          <w:sz w:val="24"/>
        </w:rPr>
        <w:t xml:space="preserve">Both essential and optional information are utilized in the exploration report. Utilizing a normalized poll, the representatives gave the significant wellspring of information. The optional information </w:t>
      </w:r>
      <w:proofErr w:type="gramStart"/>
      <w:r w:rsidRPr="00E86E69">
        <w:rPr>
          <w:rFonts w:ascii="Times New Roman" w:hAnsi="Times New Roman" w:cs="Times New Roman"/>
          <w:sz w:val="24"/>
        </w:rPr>
        <w:t>were</w:t>
      </w:r>
      <w:proofErr w:type="gramEnd"/>
      <w:r w:rsidRPr="00E86E69">
        <w:rPr>
          <w:rFonts w:ascii="Times New Roman" w:hAnsi="Times New Roman" w:cs="Times New Roman"/>
          <w:sz w:val="24"/>
        </w:rPr>
        <w:t xml:space="preserve"> assembled from on the web and printed periodicals.</w:t>
      </w:r>
    </w:p>
    <w:p w14:paraId="61A0C8FE" w14:textId="77777777" w:rsidR="009C308D" w:rsidRDefault="00907114" w:rsidP="009C308D">
      <w:pPr>
        <w:spacing w:line="360" w:lineRule="auto"/>
        <w:jc w:val="both"/>
        <w:rPr>
          <w:rFonts w:ascii="Times New Roman" w:hAnsi="Times New Roman" w:cs="Times New Roman"/>
          <w:b/>
          <w:sz w:val="24"/>
        </w:rPr>
      </w:pPr>
      <w:r>
        <w:rPr>
          <w:rFonts w:ascii="Times New Roman" w:hAnsi="Times New Roman" w:cs="Times New Roman"/>
          <w:b/>
          <w:sz w:val="24"/>
        </w:rPr>
        <w:lastRenderedPageBreak/>
        <w:t xml:space="preserve">3.2 </w:t>
      </w:r>
      <w:r w:rsidRPr="009C308D">
        <w:rPr>
          <w:rFonts w:ascii="Times New Roman" w:hAnsi="Times New Roman" w:cs="Times New Roman"/>
          <w:b/>
          <w:sz w:val="24"/>
        </w:rPr>
        <w:t>Sample</w:t>
      </w:r>
      <w:r w:rsidR="009C308D" w:rsidRPr="009C308D">
        <w:rPr>
          <w:rFonts w:ascii="Times New Roman" w:hAnsi="Times New Roman" w:cs="Times New Roman"/>
          <w:b/>
          <w:sz w:val="24"/>
        </w:rPr>
        <w:t xml:space="preserve"> size:</w:t>
      </w:r>
    </w:p>
    <w:p w14:paraId="704BAFA2" w14:textId="77777777" w:rsidR="00013BA2" w:rsidRDefault="00710034" w:rsidP="009C308D">
      <w:pPr>
        <w:spacing w:line="360" w:lineRule="auto"/>
        <w:jc w:val="both"/>
        <w:rPr>
          <w:rFonts w:ascii="Times New Roman" w:hAnsi="Times New Roman" w:cs="Times New Roman"/>
          <w:sz w:val="24"/>
        </w:rPr>
      </w:pPr>
      <w:r w:rsidRPr="00FA64DB">
        <w:rPr>
          <w:rFonts w:ascii="Times New Roman" w:hAnsi="Times New Roman" w:cs="Times New Roman"/>
          <w:sz w:val="24"/>
        </w:rPr>
        <w:t>The study used the Convenient Sampling method to choose the samples, and</w:t>
      </w:r>
      <w:r w:rsidR="003947F0">
        <w:rPr>
          <w:rFonts w:ascii="Times New Roman" w:hAnsi="Times New Roman" w:cs="Times New Roman"/>
          <w:sz w:val="24"/>
        </w:rPr>
        <w:t xml:space="preserve"> the study's sample size was 100.</w:t>
      </w:r>
    </w:p>
    <w:p w14:paraId="229DC141" w14:textId="77777777" w:rsidR="00C55BC9" w:rsidRDefault="00907114" w:rsidP="009C308D">
      <w:pPr>
        <w:spacing w:line="360" w:lineRule="auto"/>
        <w:jc w:val="both"/>
        <w:rPr>
          <w:rFonts w:ascii="Times New Roman" w:hAnsi="Times New Roman" w:cs="Times New Roman"/>
          <w:b/>
          <w:sz w:val="24"/>
        </w:rPr>
      </w:pPr>
      <w:r>
        <w:rPr>
          <w:rFonts w:ascii="Times New Roman" w:hAnsi="Times New Roman" w:cs="Times New Roman"/>
          <w:b/>
          <w:sz w:val="24"/>
        </w:rPr>
        <w:t xml:space="preserve">3.3 </w:t>
      </w:r>
      <w:r w:rsidR="00C55BC9" w:rsidRPr="00C55BC9">
        <w:rPr>
          <w:rFonts w:ascii="Times New Roman" w:hAnsi="Times New Roman" w:cs="Times New Roman"/>
          <w:b/>
          <w:sz w:val="24"/>
        </w:rPr>
        <w:t>Framework analysis:</w:t>
      </w:r>
    </w:p>
    <w:p w14:paraId="190BA791" w14:textId="77777777" w:rsidR="00BC327F" w:rsidRDefault="00E86E69" w:rsidP="009C308D">
      <w:pPr>
        <w:spacing w:line="360" w:lineRule="auto"/>
        <w:jc w:val="both"/>
        <w:rPr>
          <w:rFonts w:ascii="Times New Roman" w:hAnsi="Times New Roman" w:cs="Times New Roman"/>
          <w:sz w:val="24"/>
        </w:rPr>
      </w:pPr>
      <w:r w:rsidRPr="00E86E69">
        <w:rPr>
          <w:rFonts w:ascii="Times New Roman" w:hAnsi="Times New Roman" w:cs="Times New Roman"/>
          <w:sz w:val="24"/>
        </w:rPr>
        <w:t xml:space="preserve">Rate investigation and Pearson's chi-square test were utilized to break down the information. </w:t>
      </w:r>
      <w:proofErr w:type="gramStart"/>
      <w:r w:rsidRPr="00E86E69">
        <w:rPr>
          <w:rFonts w:ascii="Times New Roman" w:hAnsi="Times New Roman" w:cs="Times New Roman"/>
          <w:sz w:val="24"/>
        </w:rPr>
        <w:t>Every</w:t>
      </w:r>
      <w:proofErr w:type="gramEnd"/>
      <w:r w:rsidRPr="00E86E69">
        <w:rPr>
          <w:rFonts w:ascii="Times New Roman" w:hAnsi="Times New Roman" w:cs="Times New Roman"/>
          <w:sz w:val="24"/>
        </w:rPr>
        <w:t xml:space="preserve"> respondent's reactions were placed into an expert table, and little cross tables were made from the expert table for examination</w:t>
      </w:r>
      <w:r w:rsidR="00013BA2" w:rsidRPr="00013BA2">
        <w:rPr>
          <w:rFonts w:ascii="Times New Roman" w:hAnsi="Times New Roman" w:cs="Times New Roman"/>
          <w:sz w:val="24"/>
        </w:rPr>
        <w:t>.</w:t>
      </w:r>
    </w:p>
    <w:p w14:paraId="6F282E0E" w14:textId="77777777" w:rsidR="001F228B" w:rsidRPr="001F228B" w:rsidRDefault="001F228B" w:rsidP="009C308D">
      <w:pPr>
        <w:spacing w:line="360" w:lineRule="auto"/>
        <w:jc w:val="both"/>
        <w:rPr>
          <w:rFonts w:ascii="Times New Roman" w:hAnsi="Times New Roman" w:cs="Times New Roman"/>
          <w:b/>
          <w:sz w:val="24"/>
        </w:rPr>
      </w:pPr>
      <w:r w:rsidRPr="001F228B">
        <w:rPr>
          <w:rFonts w:ascii="Times New Roman" w:hAnsi="Times New Roman" w:cs="Times New Roman"/>
          <w:b/>
          <w:sz w:val="24"/>
        </w:rPr>
        <w:t xml:space="preserve">3.4 Hypothesis </w:t>
      </w:r>
    </w:p>
    <w:p w14:paraId="737BBAC1" w14:textId="77777777" w:rsidR="005B7957" w:rsidRPr="005B7957" w:rsidRDefault="005B7957" w:rsidP="001F228B">
      <w:pPr>
        <w:pStyle w:val="ListParagraph"/>
        <w:numPr>
          <w:ilvl w:val="0"/>
          <w:numId w:val="1"/>
        </w:numPr>
        <w:spacing w:line="360" w:lineRule="auto"/>
        <w:jc w:val="both"/>
        <w:rPr>
          <w:rFonts w:ascii="Times New Roman" w:hAnsi="Times New Roman" w:cs="Times New Roman"/>
          <w:sz w:val="28"/>
        </w:rPr>
      </w:pPr>
      <w:r w:rsidRPr="005B7957">
        <w:rPr>
          <w:rFonts w:ascii="Times New Roman" w:hAnsi="Times New Roman" w:cs="Times New Roman"/>
          <w:sz w:val="24"/>
        </w:rPr>
        <w:t>1. There is no discernible difference between Green HR practises and employees' working skills.</w:t>
      </w:r>
    </w:p>
    <w:p w14:paraId="6CB87F10" w14:textId="77777777" w:rsidR="005B7957" w:rsidRDefault="005B7957" w:rsidP="009C308D">
      <w:pPr>
        <w:spacing w:line="360" w:lineRule="auto"/>
        <w:jc w:val="both"/>
        <w:rPr>
          <w:rFonts w:ascii="Times New Roman" w:hAnsi="Times New Roman" w:cs="Times New Roman"/>
          <w:sz w:val="24"/>
        </w:rPr>
      </w:pPr>
      <w:r w:rsidRPr="005B7957">
        <w:rPr>
          <w:rFonts w:ascii="Times New Roman" w:hAnsi="Times New Roman" w:cs="Times New Roman"/>
          <w:sz w:val="24"/>
        </w:rPr>
        <w:t>2. Employees are not faced with any difficulties when implementing green HR practises</w:t>
      </w:r>
    </w:p>
    <w:p w14:paraId="7CEF79E0" w14:textId="77777777" w:rsidR="0000753A" w:rsidRPr="0000753A" w:rsidRDefault="0000753A" w:rsidP="009C308D">
      <w:pPr>
        <w:spacing w:line="360" w:lineRule="auto"/>
        <w:jc w:val="both"/>
        <w:rPr>
          <w:rFonts w:ascii="Times New Roman" w:hAnsi="Times New Roman" w:cs="Times New Roman"/>
          <w:b/>
          <w:sz w:val="28"/>
        </w:rPr>
      </w:pPr>
      <w:r>
        <w:rPr>
          <w:rFonts w:ascii="Times New Roman" w:hAnsi="Times New Roman" w:cs="Times New Roman"/>
          <w:b/>
          <w:sz w:val="24"/>
        </w:rPr>
        <w:t xml:space="preserve">4. </w:t>
      </w:r>
      <w:r w:rsidRPr="0000753A">
        <w:rPr>
          <w:rFonts w:ascii="Times New Roman" w:hAnsi="Times New Roman" w:cs="Times New Roman"/>
          <w:b/>
          <w:sz w:val="24"/>
        </w:rPr>
        <w:t>Data Analysis and Interpretation</w:t>
      </w:r>
    </w:p>
    <w:p w14:paraId="0A238A54" w14:textId="77777777" w:rsidR="00A24058" w:rsidRPr="00A24058" w:rsidRDefault="00A24058">
      <w:pPr>
        <w:spacing w:line="360" w:lineRule="auto"/>
        <w:jc w:val="both"/>
        <w:rPr>
          <w:rFonts w:ascii="Times New Roman" w:hAnsi="Times New Roman" w:cs="Times New Roman"/>
          <w:sz w:val="24"/>
        </w:rPr>
      </w:pPr>
      <w:r w:rsidRPr="00A24058">
        <w:rPr>
          <w:rFonts w:ascii="Times New Roman" w:hAnsi="Times New Roman" w:cs="Times New Roman"/>
          <w:sz w:val="24"/>
        </w:rPr>
        <w:t>The analysis is carried out as follows.</w:t>
      </w:r>
    </w:p>
    <w:p w14:paraId="107E670D" w14:textId="77777777" w:rsidR="00A24058" w:rsidRPr="00A24058" w:rsidRDefault="00A24058">
      <w:pPr>
        <w:spacing w:line="360" w:lineRule="auto"/>
        <w:jc w:val="both"/>
        <w:rPr>
          <w:rFonts w:ascii="Times New Roman" w:hAnsi="Times New Roman" w:cs="Times New Roman"/>
          <w:sz w:val="24"/>
        </w:rPr>
      </w:pPr>
      <w:r w:rsidRPr="00A24058">
        <w:rPr>
          <w:rFonts w:ascii="Times New Roman" w:hAnsi="Times New Roman" w:cs="Times New Roman"/>
          <w:sz w:val="24"/>
        </w:rPr>
        <w:t xml:space="preserve"> 1. </w:t>
      </w:r>
      <w:r w:rsidR="005B7957" w:rsidRPr="005B7957">
        <w:rPr>
          <w:rFonts w:ascii="Times New Roman" w:hAnsi="Times New Roman" w:cs="Times New Roman"/>
          <w:sz w:val="24"/>
        </w:rPr>
        <w:t>Relating the use of green HRM practises to an employee's capacity for work</w:t>
      </w:r>
    </w:p>
    <w:p w14:paraId="5C44097B" w14:textId="77777777" w:rsidR="0000753A" w:rsidRDefault="00A24058">
      <w:pPr>
        <w:spacing w:line="360" w:lineRule="auto"/>
        <w:jc w:val="both"/>
        <w:rPr>
          <w:rFonts w:ascii="Times New Roman" w:hAnsi="Times New Roman" w:cs="Times New Roman"/>
          <w:sz w:val="24"/>
        </w:rPr>
      </w:pPr>
      <w:r w:rsidRPr="00A24058">
        <w:rPr>
          <w:rFonts w:ascii="Times New Roman" w:hAnsi="Times New Roman" w:cs="Times New Roman"/>
          <w:sz w:val="24"/>
        </w:rPr>
        <w:t xml:space="preserve">2. </w:t>
      </w:r>
      <w:r w:rsidR="005B7957" w:rsidRPr="005B7957">
        <w:rPr>
          <w:rFonts w:ascii="Times New Roman" w:hAnsi="Times New Roman" w:cs="Times New Roman"/>
          <w:sz w:val="24"/>
        </w:rPr>
        <w:t>Relating the implementation of green HR practises to the difficulties that the staff members experience.</w:t>
      </w:r>
    </w:p>
    <w:p w14:paraId="392C9085" w14:textId="77777777" w:rsidR="00D81270" w:rsidRDefault="007C0CBD">
      <w:pPr>
        <w:spacing w:line="360" w:lineRule="auto"/>
        <w:jc w:val="both"/>
        <w:rPr>
          <w:rFonts w:ascii="Times New Roman" w:hAnsi="Times New Roman" w:cs="Times New Roman"/>
          <w:b/>
          <w:sz w:val="24"/>
        </w:rPr>
      </w:pPr>
      <w:r>
        <w:rPr>
          <w:rFonts w:ascii="Times New Roman" w:hAnsi="Times New Roman" w:cs="Times New Roman"/>
          <w:b/>
          <w:sz w:val="24"/>
        </w:rPr>
        <w:t xml:space="preserve">4.1 </w:t>
      </w:r>
      <w:r w:rsidR="00D81270" w:rsidRPr="00D81270">
        <w:rPr>
          <w:rFonts w:ascii="Times New Roman" w:hAnsi="Times New Roman" w:cs="Times New Roman"/>
          <w:b/>
          <w:sz w:val="24"/>
        </w:rPr>
        <w:t>Percentage Analysis of Socio-Demographic Variables:</w:t>
      </w:r>
    </w:p>
    <w:p w14:paraId="7DB11A2D" w14:textId="77777777" w:rsidR="00E86E69" w:rsidRDefault="00E86E69">
      <w:pPr>
        <w:spacing w:line="360" w:lineRule="auto"/>
        <w:jc w:val="both"/>
        <w:rPr>
          <w:rFonts w:ascii="Times New Roman" w:hAnsi="Times New Roman" w:cs="Times New Roman"/>
          <w:sz w:val="24"/>
        </w:rPr>
      </w:pPr>
      <w:r w:rsidRPr="00E86E69">
        <w:rPr>
          <w:rFonts w:ascii="Times New Roman" w:hAnsi="Times New Roman" w:cs="Times New Roman"/>
          <w:sz w:val="24"/>
        </w:rPr>
        <w:t xml:space="preserve">The straightforward typical strategy was utilized to dissect the segment elements of the respondents, including orientation, age, instructive achievement, and yearly pay. Table 1 show that the age scope of 20 to 40 years of age is addressed by a </w:t>
      </w:r>
      <w:proofErr w:type="gramStart"/>
      <w:r w:rsidRPr="00E86E69">
        <w:rPr>
          <w:rFonts w:ascii="Times New Roman" w:hAnsi="Times New Roman" w:cs="Times New Roman"/>
          <w:sz w:val="24"/>
        </w:rPr>
        <w:t>sizable larger</w:t>
      </w:r>
      <w:proofErr w:type="gramEnd"/>
      <w:r w:rsidRPr="00E86E69">
        <w:rPr>
          <w:rFonts w:ascii="Times New Roman" w:hAnsi="Times New Roman" w:cs="Times New Roman"/>
          <w:sz w:val="24"/>
        </w:rPr>
        <w:t xml:space="preserve"> part of representatives. Male representatives made up most of respondents (64%), and they basically involved green HRM in their working environment. Most of the UG degree holders (52%) and PG degree holders who contribute (36%) each complete the Green HRM practices.</w:t>
      </w:r>
    </w:p>
    <w:tbl>
      <w:tblPr>
        <w:tblStyle w:val="TableGrid"/>
        <w:tblW w:w="0" w:type="auto"/>
        <w:jc w:val="center"/>
        <w:tblLook w:val="04A0" w:firstRow="1" w:lastRow="0" w:firstColumn="1" w:lastColumn="0" w:noHBand="0" w:noVBand="1"/>
      </w:tblPr>
      <w:tblGrid>
        <w:gridCol w:w="3398"/>
        <w:gridCol w:w="3081"/>
        <w:gridCol w:w="3081"/>
      </w:tblGrid>
      <w:tr w:rsidR="00977DCB" w14:paraId="78DE4034" w14:textId="77777777" w:rsidTr="007E1872">
        <w:trPr>
          <w:jc w:val="center"/>
        </w:trPr>
        <w:tc>
          <w:tcPr>
            <w:tcW w:w="3398" w:type="dxa"/>
          </w:tcPr>
          <w:p w14:paraId="0E4624B7" w14:textId="77777777" w:rsidR="00977DCB" w:rsidRDefault="00977DCB">
            <w:pPr>
              <w:spacing w:line="360" w:lineRule="auto"/>
              <w:jc w:val="both"/>
              <w:rPr>
                <w:rFonts w:ascii="Times New Roman" w:hAnsi="Times New Roman" w:cs="Times New Roman"/>
                <w:sz w:val="24"/>
              </w:rPr>
            </w:pPr>
            <w:r>
              <w:rPr>
                <w:rFonts w:ascii="Times New Roman" w:hAnsi="Times New Roman" w:cs="Times New Roman"/>
                <w:sz w:val="24"/>
              </w:rPr>
              <w:t xml:space="preserve">Variables </w:t>
            </w:r>
          </w:p>
        </w:tc>
        <w:tc>
          <w:tcPr>
            <w:tcW w:w="3081" w:type="dxa"/>
          </w:tcPr>
          <w:p w14:paraId="33FB3767" w14:textId="77777777" w:rsidR="00977DCB" w:rsidRDefault="00977DCB">
            <w:pPr>
              <w:spacing w:line="360" w:lineRule="auto"/>
              <w:jc w:val="both"/>
              <w:rPr>
                <w:rFonts w:ascii="Times New Roman" w:hAnsi="Times New Roman" w:cs="Times New Roman"/>
                <w:sz w:val="24"/>
              </w:rPr>
            </w:pPr>
            <w:r>
              <w:rPr>
                <w:rFonts w:ascii="Times New Roman" w:hAnsi="Times New Roman" w:cs="Times New Roman"/>
                <w:sz w:val="24"/>
              </w:rPr>
              <w:t xml:space="preserve">Frequency </w:t>
            </w:r>
          </w:p>
        </w:tc>
        <w:tc>
          <w:tcPr>
            <w:tcW w:w="3081" w:type="dxa"/>
          </w:tcPr>
          <w:p w14:paraId="478949BA" w14:textId="77777777" w:rsidR="00977DCB" w:rsidRDefault="00977DCB">
            <w:pPr>
              <w:spacing w:line="360" w:lineRule="auto"/>
              <w:jc w:val="both"/>
              <w:rPr>
                <w:rFonts w:ascii="Times New Roman" w:hAnsi="Times New Roman" w:cs="Times New Roman"/>
                <w:sz w:val="24"/>
              </w:rPr>
            </w:pPr>
            <w:r>
              <w:rPr>
                <w:rFonts w:ascii="Times New Roman" w:hAnsi="Times New Roman" w:cs="Times New Roman"/>
                <w:sz w:val="24"/>
              </w:rPr>
              <w:t xml:space="preserve">Percentage </w:t>
            </w:r>
          </w:p>
        </w:tc>
      </w:tr>
      <w:tr w:rsidR="00977DCB" w14:paraId="0E229186" w14:textId="77777777" w:rsidTr="007E1872">
        <w:trPr>
          <w:jc w:val="center"/>
        </w:trPr>
        <w:tc>
          <w:tcPr>
            <w:tcW w:w="3398" w:type="dxa"/>
          </w:tcPr>
          <w:p w14:paraId="015210B7" w14:textId="77777777" w:rsidR="00977DCB" w:rsidRDefault="003059DC">
            <w:pPr>
              <w:spacing w:line="360" w:lineRule="auto"/>
              <w:jc w:val="both"/>
              <w:rPr>
                <w:rFonts w:ascii="Times New Roman" w:hAnsi="Times New Roman" w:cs="Times New Roman"/>
                <w:sz w:val="24"/>
              </w:rPr>
            </w:pPr>
            <w:r>
              <w:rPr>
                <w:rFonts w:ascii="Times New Roman" w:hAnsi="Times New Roman" w:cs="Times New Roman"/>
                <w:sz w:val="24"/>
              </w:rPr>
              <w:t xml:space="preserve">Age </w:t>
            </w:r>
          </w:p>
        </w:tc>
        <w:tc>
          <w:tcPr>
            <w:tcW w:w="3081" w:type="dxa"/>
          </w:tcPr>
          <w:p w14:paraId="4457FFD7" w14:textId="77777777" w:rsidR="00977DCB" w:rsidRDefault="00977DCB">
            <w:pPr>
              <w:spacing w:line="360" w:lineRule="auto"/>
              <w:jc w:val="both"/>
              <w:rPr>
                <w:rFonts w:ascii="Times New Roman" w:hAnsi="Times New Roman" w:cs="Times New Roman"/>
                <w:sz w:val="24"/>
              </w:rPr>
            </w:pPr>
          </w:p>
        </w:tc>
        <w:tc>
          <w:tcPr>
            <w:tcW w:w="3081" w:type="dxa"/>
          </w:tcPr>
          <w:p w14:paraId="7EFEC042" w14:textId="77777777" w:rsidR="00977DCB" w:rsidRDefault="00977DCB">
            <w:pPr>
              <w:spacing w:line="360" w:lineRule="auto"/>
              <w:jc w:val="both"/>
              <w:rPr>
                <w:rFonts w:ascii="Times New Roman" w:hAnsi="Times New Roman" w:cs="Times New Roman"/>
                <w:sz w:val="24"/>
              </w:rPr>
            </w:pPr>
          </w:p>
        </w:tc>
      </w:tr>
      <w:tr w:rsidR="00977DCB" w14:paraId="1B91FFC8" w14:textId="77777777" w:rsidTr="007E1872">
        <w:trPr>
          <w:jc w:val="center"/>
        </w:trPr>
        <w:tc>
          <w:tcPr>
            <w:tcW w:w="3398" w:type="dxa"/>
          </w:tcPr>
          <w:p w14:paraId="5F358ABC" w14:textId="77777777" w:rsidR="00977DCB" w:rsidRDefault="003059DC">
            <w:pPr>
              <w:spacing w:line="360" w:lineRule="auto"/>
              <w:jc w:val="both"/>
              <w:rPr>
                <w:rFonts w:ascii="Times New Roman" w:hAnsi="Times New Roman" w:cs="Times New Roman"/>
                <w:sz w:val="24"/>
              </w:rPr>
            </w:pPr>
            <w:r>
              <w:rPr>
                <w:rFonts w:ascii="Times New Roman" w:hAnsi="Times New Roman" w:cs="Times New Roman"/>
                <w:sz w:val="24"/>
              </w:rPr>
              <w:t>20-30</w:t>
            </w:r>
          </w:p>
        </w:tc>
        <w:tc>
          <w:tcPr>
            <w:tcW w:w="3081" w:type="dxa"/>
          </w:tcPr>
          <w:p w14:paraId="24182BF6"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25</w:t>
            </w:r>
          </w:p>
        </w:tc>
        <w:tc>
          <w:tcPr>
            <w:tcW w:w="3081" w:type="dxa"/>
          </w:tcPr>
          <w:p w14:paraId="4E5B31CA"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25%</w:t>
            </w:r>
          </w:p>
        </w:tc>
      </w:tr>
      <w:tr w:rsidR="00977DCB" w14:paraId="161CAB8C" w14:textId="77777777" w:rsidTr="007E1872">
        <w:trPr>
          <w:jc w:val="center"/>
        </w:trPr>
        <w:tc>
          <w:tcPr>
            <w:tcW w:w="3398" w:type="dxa"/>
          </w:tcPr>
          <w:p w14:paraId="4B0E56A0" w14:textId="77777777" w:rsidR="00977DCB" w:rsidRDefault="003059DC">
            <w:pPr>
              <w:spacing w:line="360" w:lineRule="auto"/>
              <w:jc w:val="both"/>
              <w:rPr>
                <w:rFonts w:ascii="Times New Roman" w:hAnsi="Times New Roman" w:cs="Times New Roman"/>
                <w:sz w:val="24"/>
              </w:rPr>
            </w:pPr>
            <w:r>
              <w:rPr>
                <w:rFonts w:ascii="Times New Roman" w:hAnsi="Times New Roman" w:cs="Times New Roman"/>
                <w:sz w:val="24"/>
              </w:rPr>
              <w:t>30-40</w:t>
            </w:r>
          </w:p>
        </w:tc>
        <w:tc>
          <w:tcPr>
            <w:tcW w:w="3081" w:type="dxa"/>
          </w:tcPr>
          <w:p w14:paraId="001E1018"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25</w:t>
            </w:r>
          </w:p>
        </w:tc>
        <w:tc>
          <w:tcPr>
            <w:tcW w:w="3081" w:type="dxa"/>
          </w:tcPr>
          <w:p w14:paraId="1C5C25A3"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25%</w:t>
            </w:r>
          </w:p>
        </w:tc>
      </w:tr>
      <w:tr w:rsidR="00977DCB" w14:paraId="3AE3DC70" w14:textId="77777777" w:rsidTr="007E1872">
        <w:trPr>
          <w:jc w:val="center"/>
        </w:trPr>
        <w:tc>
          <w:tcPr>
            <w:tcW w:w="3398" w:type="dxa"/>
          </w:tcPr>
          <w:p w14:paraId="64EDC6BD" w14:textId="77777777" w:rsidR="00977DCB" w:rsidRDefault="003059DC">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40 Above </w:t>
            </w:r>
          </w:p>
        </w:tc>
        <w:tc>
          <w:tcPr>
            <w:tcW w:w="3081" w:type="dxa"/>
          </w:tcPr>
          <w:p w14:paraId="10EE394C"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50</w:t>
            </w:r>
          </w:p>
        </w:tc>
        <w:tc>
          <w:tcPr>
            <w:tcW w:w="3081" w:type="dxa"/>
          </w:tcPr>
          <w:p w14:paraId="1E18DD05"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50%</w:t>
            </w:r>
          </w:p>
        </w:tc>
      </w:tr>
      <w:tr w:rsidR="00977DCB" w14:paraId="276C1E4E" w14:textId="77777777" w:rsidTr="007E1872">
        <w:trPr>
          <w:jc w:val="center"/>
        </w:trPr>
        <w:tc>
          <w:tcPr>
            <w:tcW w:w="3398" w:type="dxa"/>
          </w:tcPr>
          <w:p w14:paraId="528C8370"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 xml:space="preserve">Total </w:t>
            </w:r>
          </w:p>
        </w:tc>
        <w:tc>
          <w:tcPr>
            <w:tcW w:w="3081" w:type="dxa"/>
          </w:tcPr>
          <w:p w14:paraId="739B35DA"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100</w:t>
            </w:r>
          </w:p>
        </w:tc>
        <w:tc>
          <w:tcPr>
            <w:tcW w:w="3081" w:type="dxa"/>
          </w:tcPr>
          <w:p w14:paraId="246DE80E" w14:textId="77777777" w:rsidR="00977DCB" w:rsidRDefault="003947F0">
            <w:pPr>
              <w:spacing w:line="360" w:lineRule="auto"/>
              <w:jc w:val="both"/>
              <w:rPr>
                <w:rFonts w:ascii="Times New Roman" w:hAnsi="Times New Roman" w:cs="Times New Roman"/>
                <w:sz w:val="24"/>
              </w:rPr>
            </w:pPr>
            <w:r>
              <w:rPr>
                <w:rFonts w:ascii="Times New Roman" w:hAnsi="Times New Roman" w:cs="Times New Roman"/>
                <w:sz w:val="24"/>
              </w:rPr>
              <w:t>100%</w:t>
            </w:r>
          </w:p>
        </w:tc>
      </w:tr>
      <w:tr w:rsidR="00977DCB" w14:paraId="0387461B" w14:textId="77777777" w:rsidTr="007E1872">
        <w:trPr>
          <w:jc w:val="center"/>
        </w:trPr>
        <w:tc>
          <w:tcPr>
            <w:tcW w:w="3398" w:type="dxa"/>
          </w:tcPr>
          <w:p w14:paraId="79D3592B" w14:textId="77777777" w:rsidR="00977DCB" w:rsidRDefault="008A10E4">
            <w:pPr>
              <w:spacing w:line="360" w:lineRule="auto"/>
              <w:jc w:val="both"/>
              <w:rPr>
                <w:rFonts w:ascii="Times New Roman" w:hAnsi="Times New Roman" w:cs="Times New Roman"/>
                <w:sz w:val="24"/>
              </w:rPr>
            </w:pPr>
            <w:r>
              <w:rPr>
                <w:rFonts w:ascii="Times New Roman" w:hAnsi="Times New Roman" w:cs="Times New Roman"/>
                <w:sz w:val="24"/>
              </w:rPr>
              <w:t xml:space="preserve">Gender </w:t>
            </w:r>
          </w:p>
        </w:tc>
        <w:tc>
          <w:tcPr>
            <w:tcW w:w="3081" w:type="dxa"/>
          </w:tcPr>
          <w:p w14:paraId="3C10C7B9" w14:textId="77777777" w:rsidR="00977DCB" w:rsidRDefault="00977DCB">
            <w:pPr>
              <w:spacing w:line="360" w:lineRule="auto"/>
              <w:jc w:val="both"/>
              <w:rPr>
                <w:rFonts w:ascii="Times New Roman" w:hAnsi="Times New Roman" w:cs="Times New Roman"/>
                <w:sz w:val="24"/>
              </w:rPr>
            </w:pPr>
          </w:p>
        </w:tc>
        <w:tc>
          <w:tcPr>
            <w:tcW w:w="3081" w:type="dxa"/>
          </w:tcPr>
          <w:p w14:paraId="6ACADCD8" w14:textId="77777777" w:rsidR="00977DCB" w:rsidRDefault="00977DCB">
            <w:pPr>
              <w:spacing w:line="360" w:lineRule="auto"/>
              <w:jc w:val="both"/>
              <w:rPr>
                <w:rFonts w:ascii="Times New Roman" w:hAnsi="Times New Roman" w:cs="Times New Roman"/>
                <w:sz w:val="24"/>
              </w:rPr>
            </w:pPr>
          </w:p>
        </w:tc>
      </w:tr>
      <w:tr w:rsidR="00977DCB" w14:paraId="2E9E87C2" w14:textId="77777777" w:rsidTr="007E1872">
        <w:trPr>
          <w:jc w:val="center"/>
        </w:trPr>
        <w:tc>
          <w:tcPr>
            <w:tcW w:w="3398" w:type="dxa"/>
          </w:tcPr>
          <w:p w14:paraId="77992231" w14:textId="77777777" w:rsidR="00977DCB" w:rsidRDefault="008A10E4">
            <w:pPr>
              <w:spacing w:line="360" w:lineRule="auto"/>
              <w:jc w:val="both"/>
              <w:rPr>
                <w:rFonts w:ascii="Times New Roman" w:hAnsi="Times New Roman" w:cs="Times New Roman"/>
                <w:sz w:val="24"/>
              </w:rPr>
            </w:pPr>
            <w:r>
              <w:rPr>
                <w:rFonts w:ascii="Times New Roman" w:hAnsi="Times New Roman" w:cs="Times New Roman"/>
                <w:sz w:val="24"/>
              </w:rPr>
              <w:t xml:space="preserve">Male </w:t>
            </w:r>
          </w:p>
        </w:tc>
        <w:tc>
          <w:tcPr>
            <w:tcW w:w="3081" w:type="dxa"/>
          </w:tcPr>
          <w:p w14:paraId="48C1AE55" w14:textId="77777777" w:rsidR="00977DCB" w:rsidRDefault="00E61F02">
            <w:pPr>
              <w:spacing w:line="360" w:lineRule="auto"/>
              <w:jc w:val="both"/>
              <w:rPr>
                <w:rFonts w:ascii="Times New Roman" w:hAnsi="Times New Roman" w:cs="Times New Roman"/>
                <w:sz w:val="24"/>
              </w:rPr>
            </w:pPr>
            <w:r>
              <w:rPr>
                <w:rFonts w:ascii="Times New Roman" w:hAnsi="Times New Roman" w:cs="Times New Roman"/>
                <w:sz w:val="24"/>
              </w:rPr>
              <w:t>60</w:t>
            </w:r>
          </w:p>
        </w:tc>
        <w:tc>
          <w:tcPr>
            <w:tcW w:w="3081" w:type="dxa"/>
          </w:tcPr>
          <w:p w14:paraId="4949C886" w14:textId="77777777" w:rsidR="00977DCB" w:rsidRDefault="00E61F02">
            <w:pPr>
              <w:spacing w:line="360" w:lineRule="auto"/>
              <w:jc w:val="both"/>
              <w:rPr>
                <w:rFonts w:ascii="Times New Roman" w:hAnsi="Times New Roman" w:cs="Times New Roman"/>
                <w:sz w:val="24"/>
              </w:rPr>
            </w:pPr>
            <w:r>
              <w:rPr>
                <w:rFonts w:ascii="Times New Roman" w:hAnsi="Times New Roman" w:cs="Times New Roman"/>
                <w:sz w:val="24"/>
              </w:rPr>
              <w:t>60%</w:t>
            </w:r>
          </w:p>
        </w:tc>
      </w:tr>
      <w:tr w:rsidR="008A10E4" w14:paraId="6FB6F896" w14:textId="77777777" w:rsidTr="007E1872">
        <w:trPr>
          <w:jc w:val="center"/>
        </w:trPr>
        <w:tc>
          <w:tcPr>
            <w:tcW w:w="3398" w:type="dxa"/>
          </w:tcPr>
          <w:p w14:paraId="12CAF778" w14:textId="77777777" w:rsidR="008A10E4" w:rsidRDefault="008A10E4">
            <w:pPr>
              <w:spacing w:line="360" w:lineRule="auto"/>
              <w:jc w:val="both"/>
              <w:rPr>
                <w:rFonts w:ascii="Times New Roman" w:hAnsi="Times New Roman" w:cs="Times New Roman"/>
                <w:sz w:val="24"/>
              </w:rPr>
            </w:pPr>
            <w:r>
              <w:rPr>
                <w:rFonts w:ascii="Times New Roman" w:hAnsi="Times New Roman" w:cs="Times New Roman"/>
                <w:sz w:val="24"/>
              </w:rPr>
              <w:t xml:space="preserve">Female </w:t>
            </w:r>
          </w:p>
        </w:tc>
        <w:tc>
          <w:tcPr>
            <w:tcW w:w="3081" w:type="dxa"/>
          </w:tcPr>
          <w:p w14:paraId="0F846FD8" w14:textId="77777777" w:rsidR="008A10E4" w:rsidRDefault="00E61F02">
            <w:pPr>
              <w:spacing w:line="360" w:lineRule="auto"/>
              <w:jc w:val="both"/>
              <w:rPr>
                <w:rFonts w:ascii="Times New Roman" w:hAnsi="Times New Roman" w:cs="Times New Roman"/>
                <w:sz w:val="24"/>
              </w:rPr>
            </w:pPr>
            <w:r>
              <w:rPr>
                <w:rFonts w:ascii="Times New Roman" w:hAnsi="Times New Roman" w:cs="Times New Roman"/>
                <w:sz w:val="24"/>
              </w:rPr>
              <w:t>40</w:t>
            </w:r>
          </w:p>
        </w:tc>
        <w:tc>
          <w:tcPr>
            <w:tcW w:w="3081" w:type="dxa"/>
          </w:tcPr>
          <w:p w14:paraId="66C35C40" w14:textId="77777777" w:rsidR="008A10E4" w:rsidRDefault="00E61F02">
            <w:pPr>
              <w:spacing w:line="360" w:lineRule="auto"/>
              <w:jc w:val="both"/>
              <w:rPr>
                <w:rFonts w:ascii="Times New Roman" w:hAnsi="Times New Roman" w:cs="Times New Roman"/>
                <w:sz w:val="24"/>
              </w:rPr>
            </w:pPr>
            <w:r>
              <w:rPr>
                <w:rFonts w:ascii="Times New Roman" w:hAnsi="Times New Roman" w:cs="Times New Roman"/>
                <w:sz w:val="24"/>
              </w:rPr>
              <w:t>40%</w:t>
            </w:r>
          </w:p>
        </w:tc>
      </w:tr>
      <w:tr w:rsidR="00E61F02" w14:paraId="2CCE39CA" w14:textId="77777777" w:rsidTr="007E1872">
        <w:trPr>
          <w:jc w:val="center"/>
        </w:trPr>
        <w:tc>
          <w:tcPr>
            <w:tcW w:w="3398" w:type="dxa"/>
          </w:tcPr>
          <w:p w14:paraId="596B7D90" w14:textId="77777777" w:rsidR="00E61F02" w:rsidRDefault="00E61F02">
            <w:pPr>
              <w:spacing w:line="360" w:lineRule="auto"/>
              <w:jc w:val="both"/>
              <w:rPr>
                <w:rFonts w:ascii="Times New Roman" w:hAnsi="Times New Roman" w:cs="Times New Roman"/>
                <w:sz w:val="24"/>
              </w:rPr>
            </w:pPr>
            <w:r>
              <w:rPr>
                <w:rFonts w:ascii="Times New Roman" w:hAnsi="Times New Roman" w:cs="Times New Roman"/>
                <w:sz w:val="24"/>
              </w:rPr>
              <w:t xml:space="preserve">Total </w:t>
            </w:r>
          </w:p>
        </w:tc>
        <w:tc>
          <w:tcPr>
            <w:tcW w:w="3081" w:type="dxa"/>
          </w:tcPr>
          <w:p w14:paraId="0BBCECE2" w14:textId="77777777" w:rsidR="00E61F02" w:rsidRDefault="00E61F02">
            <w:pPr>
              <w:spacing w:line="360" w:lineRule="auto"/>
              <w:jc w:val="both"/>
              <w:rPr>
                <w:rFonts w:ascii="Times New Roman" w:hAnsi="Times New Roman" w:cs="Times New Roman"/>
                <w:sz w:val="24"/>
              </w:rPr>
            </w:pPr>
            <w:r>
              <w:rPr>
                <w:rFonts w:ascii="Times New Roman" w:hAnsi="Times New Roman" w:cs="Times New Roman"/>
                <w:sz w:val="24"/>
              </w:rPr>
              <w:t>100</w:t>
            </w:r>
          </w:p>
        </w:tc>
        <w:tc>
          <w:tcPr>
            <w:tcW w:w="3081" w:type="dxa"/>
          </w:tcPr>
          <w:p w14:paraId="69D85F55" w14:textId="77777777" w:rsidR="00E61F02" w:rsidRDefault="00E61F02" w:rsidP="00E61F02">
            <w:pPr>
              <w:spacing w:line="360" w:lineRule="auto"/>
              <w:jc w:val="both"/>
              <w:rPr>
                <w:rFonts w:ascii="Times New Roman" w:hAnsi="Times New Roman" w:cs="Times New Roman"/>
                <w:sz w:val="24"/>
              </w:rPr>
            </w:pPr>
            <w:r>
              <w:rPr>
                <w:rFonts w:ascii="Times New Roman" w:hAnsi="Times New Roman" w:cs="Times New Roman"/>
                <w:sz w:val="24"/>
              </w:rPr>
              <w:t>100%</w:t>
            </w:r>
          </w:p>
        </w:tc>
      </w:tr>
      <w:tr w:rsidR="00815608" w14:paraId="08DB47B9" w14:textId="77777777" w:rsidTr="007E1872">
        <w:trPr>
          <w:jc w:val="center"/>
        </w:trPr>
        <w:tc>
          <w:tcPr>
            <w:tcW w:w="3398" w:type="dxa"/>
          </w:tcPr>
          <w:p w14:paraId="7E8BC229"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 xml:space="preserve">Education </w:t>
            </w:r>
          </w:p>
        </w:tc>
        <w:tc>
          <w:tcPr>
            <w:tcW w:w="3081" w:type="dxa"/>
          </w:tcPr>
          <w:p w14:paraId="52A49F8C" w14:textId="77777777" w:rsidR="00815608" w:rsidRDefault="00815608">
            <w:pPr>
              <w:spacing w:line="360" w:lineRule="auto"/>
              <w:jc w:val="both"/>
              <w:rPr>
                <w:rFonts w:ascii="Times New Roman" w:hAnsi="Times New Roman" w:cs="Times New Roman"/>
                <w:sz w:val="24"/>
              </w:rPr>
            </w:pPr>
          </w:p>
        </w:tc>
        <w:tc>
          <w:tcPr>
            <w:tcW w:w="3081" w:type="dxa"/>
          </w:tcPr>
          <w:p w14:paraId="1089930E" w14:textId="77777777" w:rsidR="00815608" w:rsidRDefault="00815608" w:rsidP="00E61F02">
            <w:pPr>
              <w:spacing w:line="360" w:lineRule="auto"/>
              <w:jc w:val="both"/>
              <w:rPr>
                <w:rFonts w:ascii="Times New Roman" w:hAnsi="Times New Roman" w:cs="Times New Roman"/>
                <w:sz w:val="24"/>
              </w:rPr>
            </w:pPr>
          </w:p>
        </w:tc>
      </w:tr>
      <w:tr w:rsidR="00815608" w14:paraId="3E0AA585" w14:textId="77777777" w:rsidTr="007E1872">
        <w:trPr>
          <w:jc w:val="center"/>
        </w:trPr>
        <w:tc>
          <w:tcPr>
            <w:tcW w:w="3398" w:type="dxa"/>
          </w:tcPr>
          <w:p w14:paraId="5F5B2A32"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 xml:space="preserve">Under Graduation </w:t>
            </w:r>
          </w:p>
        </w:tc>
        <w:tc>
          <w:tcPr>
            <w:tcW w:w="3081" w:type="dxa"/>
          </w:tcPr>
          <w:p w14:paraId="476E9D86"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40</w:t>
            </w:r>
          </w:p>
        </w:tc>
        <w:tc>
          <w:tcPr>
            <w:tcW w:w="3081" w:type="dxa"/>
          </w:tcPr>
          <w:p w14:paraId="799E03F4" w14:textId="77777777" w:rsidR="00815608" w:rsidRDefault="00601973" w:rsidP="00E61F02">
            <w:pPr>
              <w:spacing w:line="360" w:lineRule="auto"/>
              <w:jc w:val="both"/>
              <w:rPr>
                <w:rFonts w:ascii="Times New Roman" w:hAnsi="Times New Roman" w:cs="Times New Roman"/>
                <w:sz w:val="24"/>
              </w:rPr>
            </w:pPr>
            <w:r>
              <w:rPr>
                <w:rFonts w:ascii="Times New Roman" w:hAnsi="Times New Roman" w:cs="Times New Roman"/>
                <w:sz w:val="24"/>
              </w:rPr>
              <w:t>40%</w:t>
            </w:r>
          </w:p>
        </w:tc>
      </w:tr>
      <w:tr w:rsidR="00815608" w14:paraId="6A15299A" w14:textId="77777777" w:rsidTr="007E1872">
        <w:trPr>
          <w:jc w:val="center"/>
        </w:trPr>
        <w:tc>
          <w:tcPr>
            <w:tcW w:w="3398" w:type="dxa"/>
          </w:tcPr>
          <w:p w14:paraId="397CBF27"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 xml:space="preserve">Post Graduation </w:t>
            </w:r>
          </w:p>
        </w:tc>
        <w:tc>
          <w:tcPr>
            <w:tcW w:w="3081" w:type="dxa"/>
          </w:tcPr>
          <w:p w14:paraId="01BDFADC"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30</w:t>
            </w:r>
          </w:p>
        </w:tc>
        <w:tc>
          <w:tcPr>
            <w:tcW w:w="3081" w:type="dxa"/>
          </w:tcPr>
          <w:p w14:paraId="704D8C88" w14:textId="77777777" w:rsidR="00815608" w:rsidRDefault="00601973" w:rsidP="00E61F02">
            <w:pPr>
              <w:spacing w:line="360" w:lineRule="auto"/>
              <w:jc w:val="both"/>
              <w:rPr>
                <w:rFonts w:ascii="Times New Roman" w:hAnsi="Times New Roman" w:cs="Times New Roman"/>
                <w:sz w:val="24"/>
              </w:rPr>
            </w:pPr>
            <w:r>
              <w:rPr>
                <w:rFonts w:ascii="Times New Roman" w:hAnsi="Times New Roman" w:cs="Times New Roman"/>
                <w:sz w:val="24"/>
              </w:rPr>
              <w:t>30%</w:t>
            </w:r>
          </w:p>
        </w:tc>
      </w:tr>
      <w:tr w:rsidR="00815608" w14:paraId="77053DFC" w14:textId="77777777" w:rsidTr="007E1872">
        <w:trPr>
          <w:jc w:val="center"/>
        </w:trPr>
        <w:tc>
          <w:tcPr>
            <w:tcW w:w="3398" w:type="dxa"/>
          </w:tcPr>
          <w:p w14:paraId="48E9F4F4"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 xml:space="preserve">Professional </w:t>
            </w:r>
          </w:p>
        </w:tc>
        <w:tc>
          <w:tcPr>
            <w:tcW w:w="3081" w:type="dxa"/>
          </w:tcPr>
          <w:p w14:paraId="5266FFB8"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30</w:t>
            </w:r>
          </w:p>
        </w:tc>
        <w:tc>
          <w:tcPr>
            <w:tcW w:w="3081" w:type="dxa"/>
          </w:tcPr>
          <w:p w14:paraId="546D0FD5" w14:textId="77777777" w:rsidR="00815608" w:rsidRDefault="00601973" w:rsidP="00E61F02">
            <w:pPr>
              <w:spacing w:line="360" w:lineRule="auto"/>
              <w:jc w:val="both"/>
              <w:rPr>
                <w:rFonts w:ascii="Times New Roman" w:hAnsi="Times New Roman" w:cs="Times New Roman"/>
                <w:sz w:val="24"/>
              </w:rPr>
            </w:pPr>
            <w:r>
              <w:rPr>
                <w:rFonts w:ascii="Times New Roman" w:hAnsi="Times New Roman" w:cs="Times New Roman"/>
                <w:sz w:val="24"/>
              </w:rPr>
              <w:t>30%</w:t>
            </w:r>
          </w:p>
        </w:tc>
      </w:tr>
      <w:tr w:rsidR="00815608" w14:paraId="34DCEDB9" w14:textId="77777777" w:rsidTr="007E1872">
        <w:trPr>
          <w:jc w:val="center"/>
        </w:trPr>
        <w:tc>
          <w:tcPr>
            <w:tcW w:w="3398" w:type="dxa"/>
          </w:tcPr>
          <w:p w14:paraId="1F27E40F"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 xml:space="preserve">Total </w:t>
            </w:r>
          </w:p>
        </w:tc>
        <w:tc>
          <w:tcPr>
            <w:tcW w:w="3081" w:type="dxa"/>
          </w:tcPr>
          <w:p w14:paraId="5864E27F" w14:textId="77777777" w:rsidR="00815608" w:rsidRDefault="00601973">
            <w:pPr>
              <w:spacing w:line="360" w:lineRule="auto"/>
              <w:jc w:val="both"/>
              <w:rPr>
                <w:rFonts w:ascii="Times New Roman" w:hAnsi="Times New Roman" w:cs="Times New Roman"/>
                <w:sz w:val="24"/>
              </w:rPr>
            </w:pPr>
            <w:r>
              <w:rPr>
                <w:rFonts w:ascii="Times New Roman" w:hAnsi="Times New Roman" w:cs="Times New Roman"/>
                <w:sz w:val="24"/>
              </w:rPr>
              <w:t>100</w:t>
            </w:r>
          </w:p>
        </w:tc>
        <w:tc>
          <w:tcPr>
            <w:tcW w:w="3081" w:type="dxa"/>
          </w:tcPr>
          <w:p w14:paraId="3152142E" w14:textId="77777777" w:rsidR="00815608" w:rsidRDefault="00601973" w:rsidP="00E61F02">
            <w:pPr>
              <w:spacing w:line="360" w:lineRule="auto"/>
              <w:jc w:val="both"/>
              <w:rPr>
                <w:rFonts w:ascii="Times New Roman" w:hAnsi="Times New Roman" w:cs="Times New Roman"/>
                <w:sz w:val="24"/>
              </w:rPr>
            </w:pPr>
            <w:r>
              <w:rPr>
                <w:rFonts w:ascii="Times New Roman" w:hAnsi="Times New Roman" w:cs="Times New Roman"/>
                <w:sz w:val="24"/>
              </w:rPr>
              <w:t>100%</w:t>
            </w:r>
          </w:p>
        </w:tc>
      </w:tr>
    </w:tbl>
    <w:p w14:paraId="1A9890DA" w14:textId="77777777" w:rsidR="00977DCB" w:rsidRDefault="00977DCB">
      <w:pPr>
        <w:spacing w:line="360" w:lineRule="auto"/>
        <w:jc w:val="both"/>
        <w:rPr>
          <w:rFonts w:ascii="Times New Roman" w:hAnsi="Times New Roman" w:cs="Times New Roman"/>
          <w:sz w:val="24"/>
        </w:rPr>
      </w:pPr>
    </w:p>
    <w:p w14:paraId="69F9A8F9" w14:textId="77777777" w:rsidR="007E1872" w:rsidRDefault="007E1872" w:rsidP="00136E79">
      <w:pPr>
        <w:spacing w:line="360" w:lineRule="auto"/>
        <w:jc w:val="center"/>
        <w:rPr>
          <w:rFonts w:ascii="Times New Roman" w:hAnsi="Times New Roman" w:cs="Times New Roman"/>
          <w:sz w:val="24"/>
        </w:rPr>
      </w:pPr>
      <w:r w:rsidRPr="00136E79">
        <w:rPr>
          <w:rFonts w:ascii="Times New Roman" w:hAnsi="Times New Roman" w:cs="Times New Roman"/>
          <w:b/>
          <w:sz w:val="24"/>
        </w:rPr>
        <w:t>Table</w:t>
      </w:r>
      <w:r w:rsidR="00136E79" w:rsidRPr="00136E79">
        <w:rPr>
          <w:rFonts w:ascii="Times New Roman" w:hAnsi="Times New Roman" w:cs="Times New Roman"/>
          <w:b/>
          <w:sz w:val="24"/>
        </w:rPr>
        <w:t>: 1</w:t>
      </w:r>
      <w:r>
        <w:rPr>
          <w:rFonts w:ascii="Times New Roman" w:hAnsi="Times New Roman" w:cs="Times New Roman"/>
          <w:sz w:val="24"/>
        </w:rPr>
        <w:t xml:space="preserve"> Demographical Profile</w:t>
      </w:r>
    </w:p>
    <w:p w14:paraId="29D457FD" w14:textId="77777777" w:rsidR="00136E79" w:rsidRDefault="00136E79" w:rsidP="00136E79">
      <w:pPr>
        <w:spacing w:line="360" w:lineRule="auto"/>
        <w:jc w:val="center"/>
        <w:rPr>
          <w:rFonts w:ascii="Times New Roman" w:hAnsi="Times New Roman" w:cs="Times New Roman"/>
          <w:sz w:val="24"/>
        </w:rPr>
      </w:pPr>
      <w:r w:rsidRPr="00136E79">
        <w:rPr>
          <w:rFonts w:ascii="Times New Roman" w:hAnsi="Times New Roman" w:cs="Times New Roman"/>
          <w:noProof/>
          <w:sz w:val="24"/>
          <w:lang w:eastAsia="en-IN"/>
        </w:rPr>
        <w:drawing>
          <wp:inline distT="0" distB="0" distL="0" distR="0" wp14:anchorId="168783DD" wp14:editId="67DA60E4">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403E3B" w14:textId="77777777" w:rsidR="001111A0" w:rsidRDefault="00136E79" w:rsidP="001111A0">
      <w:pPr>
        <w:spacing w:line="360" w:lineRule="auto"/>
        <w:jc w:val="center"/>
        <w:rPr>
          <w:rFonts w:ascii="Times New Roman" w:hAnsi="Times New Roman" w:cs="Times New Roman"/>
          <w:sz w:val="24"/>
        </w:rPr>
      </w:pPr>
      <w:r w:rsidRPr="00136E79">
        <w:rPr>
          <w:rFonts w:ascii="Times New Roman" w:hAnsi="Times New Roman" w:cs="Times New Roman"/>
          <w:b/>
          <w:sz w:val="24"/>
        </w:rPr>
        <w:t xml:space="preserve">Figure: 1 </w:t>
      </w:r>
      <w:r w:rsidR="001111A0">
        <w:rPr>
          <w:rFonts w:ascii="Times New Roman" w:hAnsi="Times New Roman" w:cs="Times New Roman"/>
          <w:sz w:val="24"/>
        </w:rPr>
        <w:t>Demographical Profile</w:t>
      </w:r>
    </w:p>
    <w:p w14:paraId="05A0358E" w14:textId="77777777" w:rsidR="00136E79" w:rsidRDefault="007C0CBD" w:rsidP="007C0CBD">
      <w:pPr>
        <w:spacing w:line="360" w:lineRule="auto"/>
        <w:jc w:val="both"/>
        <w:rPr>
          <w:rFonts w:ascii="Times New Roman" w:hAnsi="Times New Roman" w:cs="Times New Roman"/>
          <w:b/>
          <w:sz w:val="24"/>
        </w:rPr>
      </w:pPr>
      <w:r w:rsidRPr="007C0CBD">
        <w:rPr>
          <w:rFonts w:ascii="Times New Roman" w:hAnsi="Times New Roman" w:cs="Times New Roman"/>
          <w:b/>
          <w:sz w:val="24"/>
        </w:rPr>
        <w:t xml:space="preserve">4.2 </w:t>
      </w:r>
      <w:r w:rsidR="00B47B57" w:rsidRPr="007C0CBD">
        <w:rPr>
          <w:rFonts w:ascii="Times New Roman" w:hAnsi="Times New Roman" w:cs="Times New Roman"/>
          <w:b/>
          <w:sz w:val="24"/>
        </w:rPr>
        <w:t xml:space="preserve">Relating Green HRM Practices Implemented </w:t>
      </w:r>
      <w:proofErr w:type="gramStart"/>
      <w:r w:rsidR="00B47B57" w:rsidRPr="007C0CBD">
        <w:rPr>
          <w:rFonts w:ascii="Times New Roman" w:hAnsi="Times New Roman" w:cs="Times New Roman"/>
          <w:b/>
          <w:sz w:val="24"/>
        </w:rPr>
        <w:t>With</w:t>
      </w:r>
      <w:proofErr w:type="gramEnd"/>
      <w:r w:rsidR="00B47B57" w:rsidRPr="007C0CBD">
        <w:rPr>
          <w:rFonts w:ascii="Times New Roman" w:hAnsi="Times New Roman" w:cs="Times New Roman"/>
          <w:b/>
          <w:sz w:val="24"/>
        </w:rPr>
        <w:t xml:space="preserve"> Working Skill </w:t>
      </w:r>
      <w:r w:rsidR="00105A9A" w:rsidRPr="007C0CBD">
        <w:rPr>
          <w:rFonts w:ascii="Times New Roman" w:hAnsi="Times New Roman" w:cs="Times New Roman"/>
          <w:b/>
          <w:sz w:val="24"/>
        </w:rPr>
        <w:t>of</w:t>
      </w:r>
      <w:r w:rsidR="00B47B57" w:rsidRPr="007C0CBD">
        <w:rPr>
          <w:rFonts w:ascii="Times New Roman" w:hAnsi="Times New Roman" w:cs="Times New Roman"/>
          <w:b/>
          <w:sz w:val="24"/>
        </w:rPr>
        <w:t xml:space="preserve"> </w:t>
      </w:r>
      <w:r w:rsidR="00105A9A" w:rsidRPr="007C0CBD">
        <w:rPr>
          <w:rFonts w:ascii="Times New Roman" w:hAnsi="Times New Roman" w:cs="Times New Roman"/>
          <w:b/>
          <w:sz w:val="24"/>
        </w:rPr>
        <w:t>the</w:t>
      </w:r>
      <w:r w:rsidR="00B47B57" w:rsidRPr="007C0CBD">
        <w:rPr>
          <w:rFonts w:ascii="Times New Roman" w:hAnsi="Times New Roman" w:cs="Times New Roman"/>
          <w:b/>
          <w:sz w:val="24"/>
        </w:rPr>
        <w:t xml:space="preserve"> Employee</w:t>
      </w:r>
    </w:p>
    <w:p w14:paraId="6E332D13" w14:textId="77777777" w:rsidR="00105A9A" w:rsidRDefault="00105A9A" w:rsidP="007C0CBD">
      <w:pPr>
        <w:spacing w:line="360" w:lineRule="auto"/>
        <w:jc w:val="both"/>
        <w:rPr>
          <w:rFonts w:ascii="Times New Roman" w:hAnsi="Times New Roman" w:cs="Times New Roman"/>
          <w:sz w:val="24"/>
        </w:rPr>
      </w:pPr>
      <w:r w:rsidRPr="00105A9A">
        <w:rPr>
          <w:rFonts w:ascii="Times New Roman" w:hAnsi="Times New Roman" w:cs="Times New Roman"/>
          <w:sz w:val="24"/>
        </w:rPr>
        <w:t xml:space="preserve">The ratings used to gauge the effectiveness of green HRM practises among respondents (workers) are "Strongly Agree, Agree, Neutral, Disagree, and Strongly Disagree." GHRM Employees who were currently working in the organisation were asked to choose </w:t>
      </w:r>
      <w:proofErr w:type="gramStart"/>
      <w:r w:rsidRPr="00105A9A">
        <w:rPr>
          <w:rFonts w:ascii="Times New Roman" w:hAnsi="Times New Roman" w:cs="Times New Roman"/>
          <w:sz w:val="24"/>
        </w:rPr>
        <w:t>Green</w:t>
      </w:r>
      <w:proofErr w:type="gramEnd"/>
      <w:r w:rsidRPr="00105A9A">
        <w:rPr>
          <w:rFonts w:ascii="Times New Roman" w:hAnsi="Times New Roman" w:cs="Times New Roman"/>
          <w:sz w:val="24"/>
        </w:rPr>
        <w:t xml:space="preserve"> practises that were being used there. </w:t>
      </w:r>
      <w:proofErr w:type="gramStart"/>
      <w:r w:rsidRPr="00105A9A">
        <w:rPr>
          <w:rFonts w:ascii="Times New Roman" w:hAnsi="Times New Roman" w:cs="Times New Roman"/>
          <w:sz w:val="24"/>
        </w:rPr>
        <w:t>The majority of</w:t>
      </w:r>
      <w:proofErr w:type="gramEnd"/>
      <w:r w:rsidRPr="00105A9A">
        <w:rPr>
          <w:rFonts w:ascii="Times New Roman" w:hAnsi="Times New Roman" w:cs="Times New Roman"/>
          <w:sz w:val="24"/>
        </w:rPr>
        <w:t xml:space="preserve"> businesses in Chennai city currently adopt nine green HRM practises, including electronic filing, car sharing, job sharing, </w:t>
      </w:r>
      <w:r w:rsidRPr="00105A9A">
        <w:rPr>
          <w:rFonts w:ascii="Times New Roman" w:hAnsi="Times New Roman" w:cs="Times New Roman"/>
          <w:sz w:val="24"/>
        </w:rPr>
        <w:lastRenderedPageBreak/>
        <w:t>teleconferencing, virtual (video) interviews, recycling, telecommuting, online training, and giving away or offering discounted office equipment to employees. The findings are shown in Table 2, which supports the claim that "There is a substantial association between Green HRM practises and the working skill of the organization's personnel."</w:t>
      </w:r>
    </w:p>
    <w:tbl>
      <w:tblPr>
        <w:tblStyle w:val="TableGrid"/>
        <w:tblW w:w="0" w:type="auto"/>
        <w:jc w:val="center"/>
        <w:tblLook w:val="04A0" w:firstRow="1" w:lastRow="0" w:firstColumn="1" w:lastColumn="0" w:noHBand="0" w:noVBand="1"/>
      </w:tblPr>
      <w:tblGrid>
        <w:gridCol w:w="1513"/>
        <w:gridCol w:w="1513"/>
        <w:gridCol w:w="1513"/>
        <w:gridCol w:w="1513"/>
        <w:gridCol w:w="1514"/>
        <w:gridCol w:w="1514"/>
      </w:tblGrid>
      <w:tr w:rsidR="003C2116" w:rsidRPr="00DE56DF" w14:paraId="383A77E9" w14:textId="77777777" w:rsidTr="00DE56DF">
        <w:trPr>
          <w:trHeight w:val="711"/>
          <w:jc w:val="center"/>
        </w:trPr>
        <w:tc>
          <w:tcPr>
            <w:tcW w:w="1513" w:type="dxa"/>
          </w:tcPr>
          <w:p w14:paraId="3C551D5A" w14:textId="77777777" w:rsidR="003C2116" w:rsidRPr="00DE56DF" w:rsidRDefault="003C2116" w:rsidP="007C0CBD">
            <w:pPr>
              <w:spacing w:line="360" w:lineRule="auto"/>
              <w:jc w:val="both"/>
              <w:rPr>
                <w:rFonts w:ascii="Times New Roman" w:hAnsi="Times New Roman" w:cs="Times New Roman"/>
                <w:sz w:val="24"/>
                <w:szCs w:val="24"/>
              </w:rPr>
            </w:pPr>
          </w:p>
        </w:tc>
        <w:tc>
          <w:tcPr>
            <w:tcW w:w="1513" w:type="dxa"/>
          </w:tcPr>
          <w:p w14:paraId="2853CB75" w14:textId="77777777" w:rsidR="003C2116" w:rsidRPr="00DE56DF" w:rsidRDefault="00CA723A"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Table Value</w:t>
            </w:r>
          </w:p>
        </w:tc>
        <w:tc>
          <w:tcPr>
            <w:tcW w:w="1513" w:type="dxa"/>
          </w:tcPr>
          <w:p w14:paraId="31B0FF1A" w14:textId="77777777" w:rsidR="003C2116" w:rsidRPr="00DE56DF" w:rsidRDefault="00CA723A" w:rsidP="007C0CBD">
            <w:pPr>
              <w:spacing w:line="360" w:lineRule="auto"/>
              <w:jc w:val="both"/>
              <w:rPr>
                <w:rFonts w:ascii="Times New Roman" w:hAnsi="Times New Roman" w:cs="Times New Roman"/>
                <w:sz w:val="24"/>
                <w:szCs w:val="24"/>
              </w:rPr>
            </w:pPr>
            <w:proofErr w:type="spellStart"/>
            <w:r w:rsidRPr="00DE56DF">
              <w:rPr>
                <w:rFonts w:ascii="Times New Roman" w:hAnsi="Times New Roman" w:cs="Times New Roman"/>
                <w:sz w:val="24"/>
                <w:szCs w:val="24"/>
              </w:rPr>
              <w:t>d.f</w:t>
            </w:r>
            <w:proofErr w:type="spellEnd"/>
          </w:p>
        </w:tc>
        <w:tc>
          <w:tcPr>
            <w:tcW w:w="1513" w:type="dxa"/>
          </w:tcPr>
          <w:p w14:paraId="6E3759BD" w14:textId="77777777" w:rsidR="003C2116" w:rsidRPr="00DE56DF" w:rsidRDefault="00CA723A"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Calculated Value</w:t>
            </w:r>
          </w:p>
        </w:tc>
        <w:tc>
          <w:tcPr>
            <w:tcW w:w="1514" w:type="dxa"/>
          </w:tcPr>
          <w:p w14:paraId="5C7AAAEF" w14:textId="77777777" w:rsidR="003C2116" w:rsidRPr="00DE56DF" w:rsidRDefault="00CA723A"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 xml:space="preserve">Level of </w:t>
            </w:r>
            <w:r w:rsidR="00DE56DF" w:rsidRPr="00DE56DF">
              <w:rPr>
                <w:rFonts w:ascii="Times New Roman" w:hAnsi="Times New Roman" w:cs="Times New Roman"/>
                <w:sz w:val="24"/>
                <w:szCs w:val="24"/>
              </w:rPr>
              <w:t>Significant</w:t>
            </w:r>
          </w:p>
        </w:tc>
        <w:tc>
          <w:tcPr>
            <w:tcW w:w="1514" w:type="dxa"/>
          </w:tcPr>
          <w:p w14:paraId="68FC75A7" w14:textId="77777777" w:rsidR="003C2116" w:rsidRPr="00DE56DF" w:rsidRDefault="00CA723A"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Result</w:t>
            </w:r>
          </w:p>
        </w:tc>
      </w:tr>
      <w:tr w:rsidR="003C2116" w:rsidRPr="00DE56DF" w14:paraId="39204314" w14:textId="77777777" w:rsidTr="00DE56DF">
        <w:trPr>
          <w:trHeight w:val="724"/>
          <w:jc w:val="center"/>
        </w:trPr>
        <w:tc>
          <w:tcPr>
            <w:tcW w:w="1513" w:type="dxa"/>
          </w:tcPr>
          <w:p w14:paraId="3617033B" w14:textId="77777777" w:rsidR="003C2116" w:rsidRPr="00DE56DF" w:rsidRDefault="00CA723A"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Pearson Chi-square</w:t>
            </w:r>
          </w:p>
        </w:tc>
        <w:tc>
          <w:tcPr>
            <w:tcW w:w="1513" w:type="dxa"/>
          </w:tcPr>
          <w:p w14:paraId="2BE3C341" w14:textId="77777777" w:rsidR="003C2116" w:rsidRPr="00DE56DF" w:rsidRDefault="00CA723A"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42.71</w:t>
            </w:r>
          </w:p>
        </w:tc>
        <w:tc>
          <w:tcPr>
            <w:tcW w:w="1513" w:type="dxa"/>
          </w:tcPr>
          <w:p w14:paraId="5BC65FC4" w14:textId="77777777" w:rsidR="003C2116" w:rsidRPr="00DE56DF" w:rsidRDefault="00C10072"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31</w:t>
            </w:r>
          </w:p>
        </w:tc>
        <w:tc>
          <w:tcPr>
            <w:tcW w:w="1513" w:type="dxa"/>
          </w:tcPr>
          <w:p w14:paraId="6454C329" w14:textId="77777777" w:rsidR="003C2116" w:rsidRPr="00DE56DF" w:rsidRDefault="00D57D70"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60.55</w:t>
            </w:r>
          </w:p>
        </w:tc>
        <w:tc>
          <w:tcPr>
            <w:tcW w:w="1514" w:type="dxa"/>
          </w:tcPr>
          <w:p w14:paraId="22CFD762" w14:textId="77777777" w:rsidR="003C2116" w:rsidRPr="00DE56DF" w:rsidRDefault="00851874"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7%</w:t>
            </w:r>
          </w:p>
        </w:tc>
        <w:tc>
          <w:tcPr>
            <w:tcW w:w="1514" w:type="dxa"/>
          </w:tcPr>
          <w:p w14:paraId="1A869C20" w14:textId="77777777" w:rsidR="003C2116" w:rsidRPr="00DE56DF" w:rsidRDefault="00DE56DF" w:rsidP="007C0CBD">
            <w:pPr>
              <w:spacing w:line="360" w:lineRule="auto"/>
              <w:jc w:val="both"/>
              <w:rPr>
                <w:rFonts w:ascii="Times New Roman" w:hAnsi="Times New Roman" w:cs="Times New Roman"/>
                <w:sz w:val="24"/>
                <w:szCs w:val="24"/>
              </w:rPr>
            </w:pPr>
            <w:r w:rsidRPr="00DE56DF">
              <w:rPr>
                <w:rFonts w:ascii="Times New Roman" w:hAnsi="Times New Roman" w:cs="Times New Roman"/>
                <w:sz w:val="24"/>
                <w:szCs w:val="24"/>
              </w:rPr>
              <w:t>Significant</w:t>
            </w:r>
          </w:p>
        </w:tc>
      </w:tr>
    </w:tbl>
    <w:p w14:paraId="25BA2CBC" w14:textId="77777777" w:rsidR="00C73607" w:rsidRDefault="00C73607" w:rsidP="007C0CBD">
      <w:pPr>
        <w:spacing w:line="360" w:lineRule="auto"/>
        <w:jc w:val="both"/>
        <w:rPr>
          <w:rFonts w:ascii="Times New Roman" w:hAnsi="Times New Roman" w:cs="Times New Roman"/>
          <w:sz w:val="24"/>
        </w:rPr>
      </w:pPr>
    </w:p>
    <w:p w14:paraId="7252F34C" w14:textId="77777777" w:rsidR="00FD4635" w:rsidRDefault="00FD4635" w:rsidP="00D909AE">
      <w:pPr>
        <w:spacing w:line="360" w:lineRule="auto"/>
        <w:jc w:val="center"/>
        <w:rPr>
          <w:rFonts w:ascii="Times New Roman" w:hAnsi="Times New Roman" w:cs="Times New Roman"/>
          <w:sz w:val="24"/>
        </w:rPr>
      </w:pPr>
      <w:r w:rsidRPr="00D909AE">
        <w:rPr>
          <w:rFonts w:ascii="Times New Roman" w:hAnsi="Times New Roman" w:cs="Times New Roman"/>
          <w:b/>
          <w:sz w:val="24"/>
        </w:rPr>
        <w:t>Table</w:t>
      </w:r>
      <w:r w:rsidR="00D909AE" w:rsidRPr="00D909AE">
        <w:rPr>
          <w:rFonts w:ascii="Times New Roman" w:hAnsi="Times New Roman" w:cs="Times New Roman"/>
          <w:b/>
          <w:sz w:val="24"/>
        </w:rPr>
        <w:t>: 2</w:t>
      </w:r>
      <w:r>
        <w:rPr>
          <w:rFonts w:ascii="Times New Roman" w:hAnsi="Times New Roman" w:cs="Times New Roman"/>
          <w:sz w:val="24"/>
        </w:rPr>
        <w:t xml:space="preserve"> </w:t>
      </w:r>
      <w:r w:rsidR="00D909AE" w:rsidRPr="00B70C04">
        <w:rPr>
          <w:rFonts w:ascii="Times New Roman" w:hAnsi="Times New Roman" w:cs="Times New Roman"/>
          <w:sz w:val="24"/>
        </w:rPr>
        <w:t xml:space="preserve">Green HRM Practices Implemented </w:t>
      </w:r>
      <w:proofErr w:type="gramStart"/>
      <w:r w:rsidR="00D909AE" w:rsidRPr="00B70C04">
        <w:rPr>
          <w:rFonts w:ascii="Times New Roman" w:hAnsi="Times New Roman" w:cs="Times New Roman"/>
          <w:sz w:val="24"/>
        </w:rPr>
        <w:t>With</w:t>
      </w:r>
      <w:proofErr w:type="gramEnd"/>
      <w:r w:rsidR="00D909AE" w:rsidRPr="00B70C04">
        <w:rPr>
          <w:rFonts w:ascii="Times New Roman" w:hAnsi="Times New Roman" w:cs="Times New Roman"/>
          <w:sz w:val="24"/>
        </w:rPr>
        <w:t xml:space="preserve"> the Employee's Working Skills - Chi-Square Test Results</w:t>
      </w:r>
    </w:p>
    <w:p w14:paraId="734CA3FE" w14:textId="77777777" w:rsidR="00B556DF" w:rsidRDefault="00B556DF" w:rsidP="00D909AE">
      <w:pPr>
        <w:spacing w:line="360" w:lineRule="auto"/>
        <w:jc w:val="center"/>
        <w:rPr>
          <w:rFonts w:ascii="Times New Roman" w:hAnsi="Times New Roman" w:cs="Times New Roman"/>
          <w:sz w:val="24"/>
        </w:rPr>
      </w:pPr>
      <w:r w:rsidRPr="00B556DF">
        <w:rPr>
          <w:rFonts w:ascii="Times New Roman" w:hAnsi="Times New Roman" w:cs="Times New Roman"/>
          <w:noProof/>
          <w:sz w:val="24"/>
          <w:lang w:eastAsia="en-IN"/>
        </w:rPr>
        <w:drawing>
          <wp:inline distT="0" distB="0" distL="0" distR="0" wp14:anchorId="3FC40017" wp14:editId="5D445675">
            <wp:extent cx="4572000" cy="2743200"/>
            <wp:effectExtent l="19050" t="0" r="1905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3C2B00" w14:textId="77777777" w:rsidR="00B556DF" w:rsidRPr="00B556DF" w:rsidRDefault="00B556DF" w:rsidP="00B556DF">
      <w:pPr>
        <w:spacing w:line="360" w:lineRule="auto"/>
        <w:jc w:val="center"/>
        <w:rPr>
          <w:rFonts w:ascii="Times New Roman" w:hAnsi="Times New Roman" w:cs="Times New Roman"/>
          <w:sz w:val="24"/>
        </w:rPr>
      </w:pPr>
      <w:r w:rsidRPr="00B556DF">
        <w:rPr>
          <w:rFonts w:ascii="Times New Roman" w:hAnsi="Times New Roman" w:cs="Times New Roman"/>
          <w:b/>
          <w:sz w:val="24"/>
        </w:rPr>
        <w:t xml:space="preserve">Figure: 2 </w:t>
      </w:r>
      <w:r w:rsidRPr="00B70C04">
        <w:rPr>
          <w:rFonts w:ascii="Times New Roman" w:hAnsi="Times New Roman" w:cs="Times New Roman"/>
          <w:sz w:val="24"/>
        </w:rPr>
        <w:t xml:space="preserve">Green HRM Practices Implemented </w:t>
      </w:r>
      <w:proofErr w:type="gramStart"/>
      <w:r w:rsidRPr="00B70C04">
        <w:rPr>
          <w:rFonts w:ascii="Times New Roman" w:hAnsi="Times New Roman" w:cs="Times New Roman"/>
          <w:sz w:val="24"/>
        </w:rPr>
        <w:t>With</w:t>
      </w:r>
      <w:proofErr w:type="gramEnd"/>
      <w:r w:rsidRPr="00B70C04">
        <w:rPr>
          <w:rFonts w:ascii="Times New Roman" w:hAnsi="Times New Roman" w:cs="Times New Roman"/>
          <w:sz w:val="24"/>
        </w:rPr>
        <w:t xml:space="preserve"> the Employee's Working Skills - Chi-Square Test Results</w:t>
      </w:r>
    </w:p>
    <w:p w14:paraId="454A9636" w14:textId="77777777" w:rsidR="00D909AE" w:rsidRDefault="00D909AE" w:rsidP="00D909AE">
      <w:pPr>
        <w:spacing w:line="360" w:lineRule="auto"/>
        <w:jc w:val="both"/>
        <w:rPr>
          <w:rFonts w:ascii="Times New Roman" w:hAnsi="Times New Roman" w:cs="Times New Roman"/>
          <w:b/>
          <w:sz w:val="24"/>
        </w:rPr>
      </w:pPr>
      <w:r>
        <w:rPr>
          <w:rFonts w:ascii="Times New Roman" w:hAnsi="Times New Roman" w:cs="Times New Roman"/>
          <w:b/>
          <w:sz w:val="24"/>
        </w:rPr>
        <w:t xml:space="preserve">4.3 </w:t>
      </w:r>
      <w:r w:rsidRPr="00D909AE">
        <w:rPr>
          <w:rFonts w:ascii="Times New Roman" w:hAnsi="Times New Roman" w:cs="Times New Roman"/>
          <w:b/>
          <w:sz w:val="24"/>
        </w:rPr>
        <w:t xml:space="preserve">Relating Green HRM Practices Implemented </w:t>
      </w:r>
      <w:proofErr w:type="gramStart"/>
      <w:r w:rsidRPr="00D909AE">
        <w:rPr>
          <w:rFonts w:ascii="Times New Roman" w:hAnsi="Times New Roman" w:cs="Times New Roman"/>
          <w:b/>
          <w:sz w:val="24"/>
        </w:rPr>
        <w:t>With</w:t>
      </w:r>
      <w:proofErr w:type="gramEnd"/>
      <w:r w:rsidRPr="00D909AE">
        <w:rPr>
          <w:rFonts w:ascii="Times New Roman" w:hAnsi="Times New Roman" w:cs="Times New Roman"/>
          <w:b/>
          <w:sz w:val="24"/>
        </w:rPr>
        <w:t xml:space="preserve"> Challenges Faced By the Employees</w:t>
      </w:r>
    </w:p>
    <w:p w14:paraId="59716F15" w14:textId="77777777" w:rsidR="00210298" w:rsidRDefault="000D76ED" w:rsidP="00D909AE">
      <w:pPr>
        <w:spacing w:line="360" w:lineRule="auto"/>
        <w:jc w:val="both"/>
        <w:rPr>
          <w:rFonts w:ascii="Times New Roman" w:hAnsi="Times New Roman" w:cs="Times New Roman"/>
          <w:sz w:val="24"/>
        </w:rPr>
      </w:pPr>
      <w:r w:rsidRPr="000D76ED">
        <w:rPr>
          <w:rFonts w:ascii="Times New Roman" w:hAnsi="Times New Roman" w:cs="Times New Roman"/>
          <w:sz w:val="24"/>
        </w:rPr>
        <w:t>"There is no significant relationship between the hindrances looked by the workers while carrying out Green HRM," is the speculation put out to examine the association. The chi-square test is utilized to decide how troubles connect with workers utilizing GHRM. Table 3 shows the accumulated chi-square experimental outcome.</w:t>
      </w:r>
    </w:p>
    <w:tbl>
      <w:tblPr>
        <w:tblStyle w:val="TableGrid"/>
        <w:tblW w:w="0" w:type="auto"/>
        <w:jc w:val="center"/>
        <w:tblLook w:val="04A0" w:firstRow="1" w:lastRow="0" w:firstColumn="1" w:lastColumn="0" w:noHBand="0" w:noVBand="1"/>
      </w:tblPr>
      <w:tblGrid>
        <w:gridCol w:w="2066"/>
        <w:gridCol w:w="975"/>
        <w:gridCol w:w="1521"/>
        <w:gridCol w:w="1521"/>
        <w:gridCol w:w="1637"/>
        <w:gridCol w:w="1522"/>
      </w:tblGrid>
      <w:tr w:rsidR="00210298" w14:paraId="0E61E02C" w14:textId="77777777" w:rsidTr="00210298">
        <w:trPr>
          <w:trHeight w:val="686"/>
          <w:jc w:val="center"/>
        </w:trPr>
        <w:tc>
          <w:tcPr>
            <w:tcW w:w="2066" w:type="dxa"/>
          </w:tcPr>
          <w:p w14:paraId="6FBF4DD2"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Variables </w:t>
            </w:r>
          </w:p>
        </w:tc>
        <w:tc>
          <w:tcPr>
            <w:tcW w:w="975" w:type="dxa"/>
          </w:tcPr>
          <w:p w14:paraId="19195F49"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Table Value </w:t>
            </w:r>
          </w:p>
        </w:tc>
        <w:tc>
          <w:tcPr>
            <w:tcW w:w="1521" w:type="dxa"/>
          </w:tcPr>
          <w:p w14:paraId="7D693FDE" w14:textId="77777777" w:rsidR="00210298" w:rsidRDefault="00210298" w:rsidP="00D909AE">
            <w:pPr>
              <w:spacing w:line="360" w:lineRule="auto"/>
              <w:jc w:val="both"/>
              <w:rPr>
                <w:rFonts w:ascii="Times New Roman" w:hAnsi="Times New Roman" w:cs="Times New Roman"/>
                <w:sz w:val="24"/>
              </w:rPr>
            </w:pPr>
            <w:proofErr w:type="spellStart"/>
            <w:r>
              <w:rPr>
                <w:rFonts w:ascii="Times New Roman" w:hAnsi="Times New Roman" w:cs="Times New Roman"/>
                <w:sz w:val="24"/>
              </w:rPr>
              <w:t>d.f</w:t>
            </w:r>
            <w:proofErr w:type="spellEnd"/>
          </w:p>
        </w:tc>
        <w:tc>
          <w:tcPr>
            <w:tcW w:w="1521" w:type="dxa"/>
          </w:tcPr>
          <w:p w14:paraId="49C42B5F"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Calculated Value </w:t>
            </w:r>
          </w:p>
        </w:tc>
        <w:tc>
          <w:tcPr>
            <w:tcW w:w="1637" w:type="dxa"/>
          </w:tcPr>
          <w:p w14:paraId="05C0C1F1"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Level of Significance </w:t>
            </w:r>
          </w:p>
        </w:tc>
        <w:tc>
          <w:tcPr>
            <w:tcW w:w="1522" w:type="dxa"/>
          </w:tcPr>
          <w:p w14:paraId="4EDCF9A4"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Result </w:t>
            </w:r>
          </w:p>
        </w:tc>
      </w:tr>
      <w:tr w:rsidR="00210298" w14:paraId="501921E5" w14:textId="77777777" w:rsidTr="00210298">
        <w:trPr>
          <w:trHeight w:val="1022"/>
          <w:jc w:val="center"/>
        </w:trPr>
        <w:tc>
          <w:tcPr>
            <w:tcW w:w="2066" w:type="dxa"/>
          </w:tcPr>
          <w:p w14:paraId="5BE1B86C"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Extra Training to use Electronic Device </w:t>
            </w:r>
          </w:p>
        </w:tc>
        <w:tc>
          <w:tcPr>
            <w:tcW w:w="975" w:type="dxa"/>
          </w:tcPr>
          <w:p w14:paraId="7D6CE92A"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52.54</w:t>
            </w:r>
          </w:p>
        </w:tc>
        <w:tc>
          <w:tcPr>
            <w:tcW w:w="1521" w:type="dxa"/>
          </w:tcPr>
          <w:p w14:paraId="5639D99B"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30</w:t>
            </w:r>
          </w:p>
        </w:tc>
        <w:tc>
          <w:tcPr>
            <w:tcW w:w="1521" w:type="dxa"/>
          </w:tcPr>
          <w:p w14:paraId="045DF823"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42.63</w:t>
            </w:r>
          </w:p>
        </w:tc>
        <w:tc>
          <w:tcPr>
            <w:tcW w:w="1637" w:type="dxa"/>
          </w:tcPr>
          <w:p w14:paraId="24050E9D"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5%</w:t>
            </w:r>
          </w:p>
        </w:tc>
        <w:tc>
          <w:tcPr>
            <w:tcW w:w="1522" w:type="dxa"/>
          </w:tcPr>
          <w:p w14:paraId="710E63D7"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Not Significant </w:t>
            </w:r>
          </w:p>
        </w:tc>
      </w:tr>
      <w:tr w:rsidR="00210298" w14:paraId="6DF5E91D" w14:textId="77777777" w:rsidTr="00210298">
        <w:trPr>
          <w:trHeight w:val="1022"/>
          <w:jc w:val="center"/>
        </w:trPr>
        <w:tc>
          <w:tcPr>
            <w:tcW w:w="2066" w:type="dxa"/>
          </w:tcPr>
          <w:p w14:paraId="6F363285"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Online Training may not be Effective </w:t>
            </w:r>
          </w:p>
        </w:tc>
        <w:tc>
          <w:tcPr>
            <w:tcW w:w="975" w:type="dxa"/>
          </w:tcPr>
          <w:p w14:paraId="0D3CFA7A"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56.44</w:t>
            </w:r>
          </w:p>
        </w:tc>
        <w:tc>
          <w:tcPr>
            <w:tcW w:w="1521" w:type="dxa"/>
          </w:tcPr>
          <w:p w14:paraId="7761CBFF"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30</w:t>
            </w:r>
          </w:p>
        </w:tc>
        <w:tc>
          <w:tcPr>
            <w:tcW w:w="1521" w:type="dxa"/>
          </w:tcPr>
          <w:p w14:paraId="7DDBDFE2"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65.23</w:t>
            </w:r>
          </w:p>
        </w:tc>
        <w:tc>
          <w:tcPr>
            <w:tcW w:w="1637" w:type="dxa"/>
          </w:tcPr>
          <w:p w14:paraId="7728D0D1"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5%</w:t>
            </w:r>
          </w:p>
        </w:tc>
        <w:tc>
          <w:tcPr>
            <w:tcW w:w="1522" w:type="dxa"/>
          </w:tcPr>
          <w:p w14:paraId="73DFDB88"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Significant </w:t>
            </w:r>
          </w:p>
        </w:tc>
      </w:tr>
      <w:tr w:rsidR="00210298" w14:paraId="7FB884F3" w14:textId="77777777" w:rsidTr="00210298">
        <w:trPr>
          <w:trHeight w:val="1678"/>
          <w:jc w:val="center"/>
        </w:trPr>
        <w:tc>
          <w:tcPr>
            <w:tcW w:w="2066" w:type="dxa"/>
          </w:tcPr>
          <w:p w14:paraId="0DFCEF5B"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Without Power Supply Green Practices is not Possible </w:t>
            </w:r>
          </w:p>
        </w:tc>
        <w:tc>
          <w:tcPr>
            <w:tcW w:w="975" w:type="dxa"/>
          </w:tcPr>
          <w:p w14:paraId="3B77263D"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30.25</w:t>
            </w:r>
          </w:p>
        </w:tc>
        <w:tc>
          <w:tcPr>
            <w:tcW w:w="1521" w:type="dxa"/>
          </w:tcPr>
          <w:p w14:paraId="6502C421"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15</w:t>
            </w:r>
          </w:p>
        </w:tc>
        <w:tc>
          <w:tcPr>
            <w:tcW w:w="1521" w:type="dxa"/>
          </w:tcPr>
          <w:p w14:paraId="362B1B41"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44.74</w:t>
            </w:r>
          </w:p>
        </w:tc>
        <w:tc>
          <w:tcPr>
            <w:tcW w:w="1637" w:type="dxa"/>
          </w:tcPr>
          <w:p w14:paraId="2EC14A5B"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5%</w:t>
            </w:r>
          </w:p>
        </w:tc>
        <w:tc>
          <w:tcPr>
            <w:tcW w:w="1522" w:type="dxa"/>
          </w:tcPr>
          <w:p w14:paraId="484E524F" w14:textId="77777777" w:rsidR="00210298" w:rsidRDefault="00210298" w:rsidP="00D909AE">
            <w:pPr>
              <w:spacing w:line="360" w:lineRule="auto"/>
              <w:jc w:val="both"/>
              <w:rPr>
                <w:rFonts w:ascii="Times New Roman" w:hAnsi="Times New Roman" w:cs="Times New Roman"/>
                <w:sz w:val="24"/>
              </w:rPr>
            </w:pPr>
            <w:r>
              <w:rPr>
                <w:rFonts w:ascii="Times New Roman" w:hAnsi="Times New Roman" w:cs="Times New Roman"/>
                <w:sz w:val="24"/>
              </w:rPr>
              <w:t xml:space="preserve">Significant </w:t>
            </w:r>
          </w:p>
        </w:tc>
      </w:tr>
    </w:tbl>
    <w:p w14:paraId="64D15FD4" w14:textId="77777777" w:rsidR="00210298" w:rsidRDefault="00210298" w:rsidP="00D909AE">
      <w:pPr>
        <w:spacing w:line="360" w:lineRule="auto"/>
        <w:jc w:val="both"/>
        <w:rPr>
          <w:rFonts w:ascii="Times New Roman" w:hAnsi="Times New Roman" w:cs="Times New Roman"/>
          <w:sz w:val="24"/>
        </w:rPr>
      </w:pPr>
    </w:p>
    <w:p w14:paraId="4F56241A" w14:textId="77777777" w:rsidR="00A23125" w:rsidRDefault="00210298" w:rsidP="00210298">
      <w:pPr>
        <w:spacing w:line="360" w:lineRule="auto"/>
        <w:jc w:val="center"/>
        <w:rPr>
          <w:rFonts w:ascii="Times New Roman" w:hAnsi="Times New Roman" w:cs="Times New Roman"/>
          <w:sz w:val="24"/>
        </w:rPr>
      </w:pPr>
      <w:r w:rsidRPr="00210298">
        <w:rPr>
          <w:rFonts w:ascii="Times New Roman" w:hAnsi="Times New Roman" w:cs="Times New Roman"/>
          <w:b/>
          <w:sz w:val="24"/>
        </w:rPr>
        <w:t>Table: 3</w:t>
      </w:r>
      <w:r>
        <w:rPr>
          <w:rFonts w:ascii="Times New Roman" w:hAnsi="Times New Roman" w:cs="Times New Roman"/>
          <w:b/>
          <w:sz w:val="24"/>
        </w:rPr>
        <w:t xml:space="preserve"> </w:t>
      </w:r>
      <w:r w:rsidRPr="00210298">
        <w:rPr>
          <w:rFonts w:ascii="Times New Roman" w:hAnsi="Times New Roman" w:cs="Times New Roman"/>
          <w:sz w:val="24"/>
        </w:rPr>
        <w:t>Consolidated Results of Chi-Square Test</w:t>
      </w:r>
    </w:p>
    <w:p w14:paraId="36B3DC5A" w14:textId="77777777" w:rsidR="00210298" w:rsidRDefault="00210298" w:rsidP="00210298">
      <w:pPr>
        <w:spacing w:line="360" w:lineRule="auto"/>
        <w:jc w:val="center"/>
        <w:rPr>
          <w:rFonts w:ascii="Times New Roman" w:hAnsi="Times New Roman" w:cs="Times New Roman"/>
          <w:sz w:val="24"/>
        </w:rPr>
      </w:pPr>
      <w:r w:rsidRPr="00210298">
        <w:rPr>
          <w:rFonts w:ascii="Times New Roman" w:hAnsi="Times New Roman" w:cs="Times New Roman"/>
          <w:noProof/>
          <w:sz w:val="24"/>
          <w:lang w:eastAsia="en-IN"/>
        </w:rPr>
        <w:drawing>
          <wp:inline distT="0" distB="0" distL="0" distR="0" wp14:anchorId="21B5BA1F" wp14:editId="53B1F527">
            <wp:extent cx="4667250" cy="314325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19398B" w14:textId="77777777" w:rsidR="00210298" w:rsidRDefault="00210298" w:rsidP="00210298">
      <w:pPr>
        <w:spacing w:line="360" w:lineRule="auto"/>
        <w:jc w:val="center"/>
        <w:rPr>
          <w:rFonts w:ascii="Times New Roman" w:hAnsi="Times New Roman" w:cs="Times New Roman"/>
          <w:sz w:val="24"/>
        </w:rPr>
      </w:pPr>
      <w:r w:rsidRPr="00210298">
        <w:rPr>
          <w:rFonts w:ascii="Times New Roman" w:hAnsi="Times New Roman" w:cs="Times New Roman"/>
          <w:b/>
          <w:sz w:val="24"/>
        </w:rPr>
        <w:t xml:space="preserve">Figure: </w:t>
      </w:r>
      <w:r w:rsidR="00B556DF">
        <w:rPr>
          <w:rFonts w:ascii="Times New Roman" w:hAnsi="Times New Roman" w:cs="Times New Roman"/>
          <w:b/>
          <w:sz w:val="24"/>
        </w:rPr>
        <w:t>3</w:t>
      </w:r>
      <w:r>
        <w:rPr>
          <w:rFonts w:ascii="Times New Roman" w:hAnsi="Times New Roman" w:cs="Times New Roman"/>
          <w:sz w:val="24"/>
        </w:rPr>
        <w:t xml:space="preserve"> </w:t>
      </w:r>
      <w:r w:rsidRPr="00210298">
        <w:rPr>
          <w:rFonts w:ascii="Times New Roman" w:hAnsi="Times New Roman" w:cs="Times New Roman"/>
          <w:sz w:val="24"/>
        </w:rPr>
        <w:t>Consolidated Results of Chi-Square Test</w:t>
      </w:r>
    </w:p>
    <w:p w14:paraId="3BC162F6" w14:textId="77777777" w:rsidR="00210298" w:rsidRDefault="002C2B16" w:rsidP="00210298">
      <w:pPr>
        <w:spacing w:line="360" w:lineRule="auto"/>
        <w:jc w:val="center"/>
        <w:rPr>
          <w:rFonts w:ascii="Times New Roman" w:hAnsi="Times New Roman" w:cs="Times New Roman"/>
          <w:sz w:val="24"/>
        </w:rPr>
      </w:pPr>
      <w:r w:rsidRPr="002C2B16">
        <w:rPr>
          <w:rFonts w:ascii="Times New Roman" w:hAnsi="Times New Roman" w:cs="Times New Roman"/>
          <w:noProof/>
          <w:sz w:val="24"/>
          <w:lang w:eastAsia="en-IN"/>
        </w:rPr>
        <w:lastRenderedPageBreak/>
        <w:drawing>
          <wp:inline distT="0" distB="0" distL="0" distR="0" wp14:anchorId="6D16B45A" wp14:editId="1B11E313">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FE4C91" w14:textId="77777777" w:rsidR="003F09CD" w:rsidRDefault="002C2B16" w:rsidP="003F09CD">
      <w:pPr>
        <w:spacing w:line="360" w:lineRule="auto"/>
        <w:jc w:val="center"/>
        <w:rPr>
          <w:rFonts w:ascii="Times New Roman" w:hAnsi="Times New Roman" w:cs="Times New Roman"/>
          <w:sz w:val="24"/>
        </w:rPr>
      </w:pPr>
      <w:r w:rsidRPr="002C2B16">
        <w:rPr>
          <w:rFonts w:ascii="Times New Roman" w:hAnsi="Times New Roman" w:cs="Times New Roman"/>
          <w:b/>
          <w:sz w:val="24"/>
        </w:rPr>
        <w:t xml:space="preserve">Figure: </w:t>
      </w:r>
      <w:r w:rsidR="00B556DF">
        <w:rPr>
          <w:rFonts w:ascii="Times New Roman" w:hAnsi="Times New Roman" w:cs="Times New Roman"/>
          <w:b/>
          <w:sz w:val="24"/>
        </w:rPr>
        <w:t xml:space="preserve">4 </w:t>
      </w:r>
      <w:r w:rsidR="003F09CD" w:rsidRPr="00210298">
        <w:rPr>
          <w:rFonts w:ascii="Times New Roman" w:hAnsi="Times New Roman" w:cs="Times New Roman"/>
          <w:sz w:val="24"/>
        </w:rPr>
        <w:t>Consolidated Results of Chi-Square Test</w:t>
      </w:r>
    </w:p>
    <w:p w14:paraId="2ACBF7F2" w14:textId="77777777" w:rsidR="000D76ED" w:rsidRPr="000D76ED" w:rsidRDefault="000D76ED" w:rsidP="000D76ED">
      <w:pPr>
        <w:spacing w:line="360" w:lineRule="auto"/>
        <w:jc w:val="both"/>
        <w:rPr>
          <w:rFonts w:ascii="Times New Roman" w:hAnsi="Times New Roman" w:cs="Times New Roman"/>
          <w:sz w:val="24"/>
        </w:rPr>
      </w:pPr>
      <w:r w:rsidRPr="000D76ED">
        <w:rPr>
          <w:rFonts w:ascii="Times New Roman" w:hAnsi="Times New Roman" w:cs="Times New Roman"/>
          <w:sz w:val="24"/>
        </w:rPr>
        <w:t>The table 3 outcomes show that the speculation "H 0: There is no critical relationship between Green HRM practices executed Versus challenges looked by the representatives" was dismissed, except for the principal challenge, which included giving additional preparation to workers on the most proficient method to utilize electronic gadgets.</w:t>
      </w:r>
    </w:p>
    <w:p w14:paraId="6DF3CB43" w14:textId="77777777" w:rsidR="000D76ED" w:rsidRDefault="000D76ED" w:rsidP="000D76ED">
      <w:pPr>
        <w:spacing w:line="360" w:lineRule="auto"/>
        <w:jc w:val="both"/>
        <w:rPr>
          <w:rFonts w:ascii="Times New Roman" w:hAnsi="Times New Roman" w:cs="Times New Roman"/>
          <w:sz w:val="24"/>
        </w:rPr>
      </w:pPr>
      <w:r w:rsidRPr="000D76ED">
        <w:rPr>
          <w:rFonts w:ascii="Times New Roman" w:hAnsi="Times New Roman" w:cs="Times New Roman"/>
          <w:sz w:val="24"/>
        </w:rPr>
        <w:t xml:space="preserve">Then again, at a 5% degree of importance, the assessed worth of the troubles "Without power supply Green practices is beyond the realm of possibilities" is not exactly the table worth. Hence, it is resolved that the invalid speculation is valid and that there is no critical connection between the worker's Green HRM practices and the trouble that utilizing </w:t>
      </w:r>
      <w:proofErr w:type="gramStart"/>
      <w:r w:rsidRPr="000D76ED">
        <w:rPr>
          <w:rFonts w:ascii="Times New Roman" w:hAnsi="Times New Roman" w:cs="Times New Roman"/>
          <w:sz w:val="24"/>
        </w:rPr>
        <w:t>Green</w:t>
      </w:r>
      <w:proofErr w:type="gramEnd"/>
      <w:r w:rsidRPr="000D76ED">
        <w:rPr>
          <w:rFonts w:ascii="Times New Roman" w:hAnsi="Times New Roman" w:cs="Times New Roman"/>
          <w:sz w:val="24"/>
        </w:rPr>
        <w:t xml:space="preserve"> practices without power supply is incomprehensible.</w:t>
      </w:r>
    </w:p>
    <w:p w14:paraId="3CC9CD10" w14:textId="77777777" w:rsidR="00A43D84" w:rsidRDefault="00B556DF" w:rsidP="000D76ED">
      <w:pPr>
        <w:spacing w:line="360" w:lineRule="auto"/>
        <w:jc w:val="both"/>
        <w:rPr>
          <w:rFonts w:ascii="Times New Roman" w:hAnsi="Times New Roman" w:cs="Times New Roman"/>
          <w:b/>
          <w:sz w:val="24"/>
        </w:rPr>
      </w:pPr>
      <w:r>
        <w:rPr>
          <w:rFonts w:ascii="Times New Roman" w:hAnsi="Times New Roman" w:cs="Times New Roman"/>
          <w:b/>
          <w:sz w:val="24"/>
        </w:rPr>
        <w:t>5.</w:t>
      </w:r>
      <w:r w:rsidRPr="00A43D84">
        <w:rPr>
          <w:rFonts w:ascii="Times New Roman" w:hAnsi="Times New Roman" w:cs="Times New Roman"/>
          <w:b/>
          <w:sz w:val="24"/>
        </w:rPr>
        <w:t xml:space="preserve"> Conclusion</w:t>
      </w:r>
      <w:r w:rsidR="00A43D84" w:rsidRPr="00A43D84">
        <w:rPr>
          <w:rFonts w:ascii="Times New Roman" w:hAnsi="Times New Roman" w:cs="Times New Roman"/>
          <w:b/>
          <w:sz w:val="24"/>
        </w:rPr>
        <w:t xml:space="preserve"> </w:t>
      </w:r>
    </w:p>
    <w:p w14:paraId="24CCC53E" w14:textId="77777777" w:rsidR="000D76ED" w:rsidRPr="000D76ED" w:rsidRDefault="000D76ED" w:rsidP="000D76ED">
      <w:pPr>
        <w:spacing w:line="360" w:lineRule="auto"/>
        <w:jc w:val="both"/>
        <w:rPr>
          <w:rFonts w:ascii="Times New Roman" w:hAnsi="Times New Roman" w:cs="Times New Roman"/>
          <w:sz w:val="24"/>
        </w:rPr>
      </w:pPr>
      <w:r w:rsidRPr="000D76ED">
        <w:rPr>
          <w:rFonts w:ascii="Times New Roman" w:hAnsi="Times New Roman" w:cs="Times New Roman"/>
          <w:sz w:val="24"/>
        </w:rPr>
        <w:t>The review assessed how well representatives were involving green HR practices corresponding to their abilities to function and troubles they experienced. The examination part of the investigation discovered that, except for the obstruction of extra preparation to work electrical gadgets, where it is little, the difficulties and abilities to work of the representatives are fundamentally connected with the Green HR practices.</w:t>
      </w:r>
    </w:p>
    <w:p w14:paraId="5EB79A9D" w14:textId="77777777" w:rsidR="00425CF8" w:rsidRDefault="000D76ED" w:rsidP="000D76ED">
      <w:pPr>
        <w:spacing w:line="360" w:lineRule="auto"/>
        <w:jc w:val="both"/>
        <w:rPr>
          <w:rFonts w:ascii="Times New Roman" w:hAnsi="Times New Roman" w:cs="Times New Roman"/>
          <w:sz w:val="24"/>
        </w:rPr>
      </w:pPr>
      <w:r w:rsidRPr="000D76ED">
        <w:rPr>
          <w:rFonts w:ascii="Times New Roman" w:hAnsi="Times New Roman" w:cs="Times New Roman"/>
          <w:sz w:val="24"/>
        </w:rPr>
        <w:t xml:space="preserve">Green HRM has all the earmarks of being a promising methodology for all HRM partners. Bosses and experts can decide the benefit of associating worker commitment and cooperation in natural administration drives to upgraded hierarchical ecological execution, for example, with an emphasis on squander the executives reusing, and creating green items. Green HR </w:t>
      </w:r>
      <w:r w:rsidRPr="000D76ED">
        <w:rPr>
          <w:rFonts w:ascii="Times New Roman" w:hAnsi="Times New Roman" w:cs="Times New Roman"/>
          <w:sz w:val="24"/>
        </w:rPr>
        <w:lastRenderedPageBreak/>
        <w:t>endeavours to diminish squander and is extremely worried about the climate. Green HR drives increment efficiency and cultivate a favourable business climate. Organizations would upgrade their image picture by doing this. Representative eco-cordiality is emphatically impacted by the recruiting, choice, on boarding, execution audits, remuneration, and prizes frameworks that are harmless to the ecosystem</w:t>
      </w:r>
      <w:r w:rsidR="00425CF8" w:rsidRPr="00425CF8">
        <w:rPr>
          <w:rFonts w:ascii="Times New Roman" w:hAnsi="Times New Roman" w:cs="Times New Roman"/>
          <w:sz w:val="24"/>
        </w:rPr>
        <w:t>.</w:t>
      </w:r>
    </w:p>
    <w:p w14:paraId="44B350A0" w14:textId="77777777" w:rsidR="00F26183" w:rsidRPr="00F26183" w:rsidRDefault="00425CF8">
      <w:pPr>
        <w:spacing w:line="360" w:lineRule="auto"/>
        <w:jc w:val="both"/>
        <w:rPr>
          <w:rFonts w:ascii="Times New Roman" w:hAnsi="Times New Roman" w:cs="Times New Roman"/>
          <w:b/>
          <w:sz w:val="24"/>
        </w:rPr>
      </w:pPr>
      <w:r>
        <w:rPr>
          <w:rFonts w:ascii="Times New Roman" w:hAnsi="Times New Roman" w:cs="Times New Roman"/>
          <w:b/>
          <w:sz w:val="24"/>
        </w:rPr>
        <w:t xml:space="preserve">6. </w:t>
      </w:r>
      <w:r w:rsidRPr="00425CF8">
        <w:rPr>
          <w:rFonts w:ascii="Times New Roman" w:hAnsi="Times New Roman" w:cs="Times New Roman"/>
          <w:b/>
          <w:sz w:val="24"/>
        </w:rPr>
        <w:t xml:space="preserve">References </w:t>
      </w:r>
    </w:p>
    <w:p w14:paraId="2E28F0EE"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Agarwal, D., and Tiwari, P. (December, 2015</w:t>
      </w:r>
      <w:proofErr w:type="gramStart"/>
      <w:r w:rsidRPr="00F26183">
        <w:rPr>
          <w:rFonts w:ascii="Times New Roman" w:hAnsi="Times New Roman" w:cs="Times New Roman"/>
          <w:i/>
          <w:sz w:val="24"/>
        </w:rPr>
        <w:t>).Green</w:t>
      </w:r>
      <w:proofErr w:type="gramEnd"/>
      <w:r w:rsidRPr="00F26183">
        <w:rPr>
          <w:rFonts w:ascii="Times New Roman" w:hAnsi="Times New Roman" w:cs="Times New Roman"/>
          <w:i/>
          <w:sz w:val="24"/>
        </w:rPr>
        <w:t xml:space="preserve"> HRM- A way to greening the environment. IOSR Journal of Business and Management, 17, 45-53. </w:t>
      </w:r>
    </w:p>
    <w:p w14:paraId="73AF9607"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Ahmad, S. (</w:t>
      </w:r>
      <w:proofErr w:type="gramStart"/>
      <w:r w:rsidRPr="00F26183">
        <w:rPr>
          <w:rFonts w:ascii="Times New Roman" w:hAnsi="Times New Roman" w:cs="Times New Roman"/>
          <w:i/>
          <w:sz w:val="24"/>
        </w:rPr>
        <w:t>April,</w:t>
      </w:r>
      <w:proofErr w:type="gramEnd"/>
      <w:r w:rsidRPr="00F26183">
        <w:rPr>
          <w:rFonts w:ascii="Times New Roman" w:hAnsi="Times New Roman" w:cs="Times New Roman"/>
          <w:i/>
          <w:sz w:val="24"/>
        </w:rPr>
        <w:t xml:space="preserve"> 2015). Green Human Resource Management: Policies and Practices. Cogent Business &amp; Management. </w:t>
      </w:r>
    </w:p>
    <w:p w14:paraId="321B73E5"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Ahuja, D. (</w:t>
      </w:r>
      <w:proofErr w:type="gramStart"/>
      <w:r w:rsidRPr="00F26183">
        <w:rPr>
          <w:rFonts w:ascii="Times New Roman" w:hAnsi="Times New Roman" w:cs="Times New Roman"/>
          <w:i/>
          <w:sz w:val="24"/>
        </w:rPr>
        <w:t>July,</w:t>
      </w:r>
      <w:proofErr w:type="gramEnd"/>
      <w:r w:rsidRPr="00F26183">
        <w:rPr>
          <w:rFonts w:ascii="Times New Roman" w:hAnsi="Times New Roman" w:cs="Times New Roman"/>
          <w:i/>
          <w:sz w:val="24"/>
        </w:rPr>
        <w:t xml:space="preserve"> 2015). Green HRM: Management of people through commitment towards environmental sustainability. International Journal of Research in Finance and Marketing, 5(7), 50- 54. </w:t>
      </w:r>
    </w:p>
    <w:p w14:paraId="6239DAA7"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Aragao, C.G., and Jabbour, C.J.C. (2017). Green Training for sustainable procurement? Insights from the Brazilian public sector. Industrial and Commercial Training, 49(1), pp.48-54. </w:t>
      </w:r>
    </w:p>
    <w:p w14:paraId="608616ED"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proofErr w:type="spellStart"/>
      <w:r w:rsidRPr="00F26183">
        <w:rPr>
          <w:rFonts w:ascii="Times New Roman" w:hAnsi="Times New Roman" w:cs="Times New Roman"/>
          <w:i/>
          <w:sz w:val="24"/>
        </w:rPr>
        <w:t>Arulrajah</w:t>
      </w:r>
      <w:proofErr w:type="spellEnd"/>
      <w:r w:rsidRPr="00F26183">
        <w:rPr>
          <w:rFonts w:ascii="Times New Roman" w:hAnsi="Times New Roman" w:cs="Times New Roman"/>
          <w:i/>
          <w:sz w:val="24"/>
        </w:rPr>
        <w:t xml:space="preserve"> et al. (2015). Green Human Resource Management Practices: A Review. Sri Lankan Journal of Human Resource Management, 5, 1-16.</w:t>
      </w:r>
    </w:p>
    <w:p w14:paraId="132A6F45"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Bauer, T. N., &amp; Aiman-Smith, L. (1996). Career choices: the influences of ecological stance on recruiting. Journal of Business and Psychology, 10(3), 445-458. </w:t>
      </w:r>
    </w:p>
    <w:p w14:paraId="5DFB767E"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b/>
          <w:i/>
          <w:sz w:val="28"/>
        </w:rPr>
      </w:pPr>
      <w:r w:rsidRPr="00F26183">
        <w:rPr>
          <w:rFonts w:ascii="Times New Roman" w:hAnsi="Times New Roman" w:cs="Times New Roman"/>
          <w:i/>
          <w:sz w:val="24"/>
        </w:rPr>
        <w:t>Berber et al. (2016). Green Human Resource Management: Organizational Readiness for Sustainability. 273-278.</w:t>
      </w:r>
    </w:p>
    <w:p w14:paraId="12FDA41B"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proofErr w:type="spellStart"/>
      <w:r w:rsidRPr="00F26183">
        <w:rPr>
          <w:rFonts w:ascii="Times New Roman" w:hAnsi="Times New Roman" w:cs="Times New Roman"/>
          <w:i/>
          <w:sz w:val="24"/>
        </w:rPr>
        <w:t>Boselie</w:t>
      </w:r>
      <w:proofErr w:type="spellEnd"/>
      <w:r w:rsidRPr="00F26183">
        <w:rPr>
          <w:rFonts w:ascii="Times New Roman" w:hAnsi="Times New Roman" w:cs="Times New Roman"/>
          <w:i/>
          <w:sz w:val="24"/>
        </w:rPr>
        <w:t xml:space="preserve">, P., Paauwe, J., &amp; Jansen, P. G. W. (2001). Human resource management and Performance: lessons from the Netherlands. The International Journal of Human Resource Management, 12(7), 1107- 1125. </w:t>
      </w:r>
    </w:p>
    <w:p w14:paraId="278D5B9A"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Carter, C., &amp; Dressner, M. (2001). Purchasing’s Role in Environmental Management: Cross functional Development of Grounded Theory. The Journal of Supply Chain Management, 12 27. </w:t>
      </w:r>
    </w:p>
    <w:p w14:paraId="74FFFAD5"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Daily, B. F. and Huang, S. (2001). Achieving sustainability through attention to human resource factors in environmental management. International Journal of Operations &amp; Production Management, 21(12), 1539-1552. </w:t>
      </w:r>
    </w:p>
    <w:p w14:paraId="1B46C00E"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lastRenderedPageBreak/>
        <w:t>Daily, B. F., Bishop, J., &amp; Steiner, R. (2007). The mediating role of EMS teamwork as it pertains to HR factors and perceived environmental performance. Journal of Applied Business Research, 23(1), 95-109.</w:t>
      </w:r>
    </w:p>
    <w:p w14:paraId="0442AA89"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Dechant, K., &amp; Altman, B. (1994). Environmental leadership: from compliance to competitive advantage. </w:t>
      </w:r>
      <w:proofErr w:type="spellStart"/>
      <w:r w:rsidRPr="00F26183">
        <w:rPr>
          <w:rFonts w:ascii="Times New Roman" w:hAnsi="Times New Roman" w:cs="Times New Roman"/>
          <w:i/>
          <w:sz w:val="24"/>
        </w:rPr>
        <w:t>AcademyofManagement</w:t>
      </w:r>
      <w:proofErr w:type="spellEnd"/>
      <w:r w:rsidRPr="00F26183">
        <w:rPr>
          <w:rFonts w:ascii="Times New Roman" w:hAnsi="Times New Roman" w:cs="Times New Roman"/>
          <w:i/>
          <w:sz w:val="24"/>
        </w:rPr>
        <w:t xml:space="preserve"> Executive, 8(3), 7-27. </w:t>
      </w:r>
    </w:p>
    <w:p w14:paraId="0C950E42"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Forman, M., &amp; Jorgensen, M. S. (2001). The social shaping of the participation of employees in environmental work within enterprises – experiences from a Danish context. Technology Analysis and Strategic Management, 13(1), 71-90. </w:t>
      </w:r>
    </w:p>
    <w:p w14:paraId="4D50AE33"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Frank, R. H. (2003). What Price the Moral High Ground? Ethical Dilemmas in Competitive Environment. Princeton University Press. </w:t>
      </w:r>
    </w:p>
    <w:p w14:paraId="2B37CB85" w14:textId="77777777" w:rsidR="00F26183" w:rsidRPr="00F26183" w:rsidRDefault="00F26183" w:rsidP="00F26183">
      <w:pPr>
        <w:pStyle w:val="ListParagraph"/>
        <w:numPr>
          <w:ilvl w:val="0"/>
          <w:numId w:val="2"/>
        </w:numPr>
        <w:spacing w:line="360" w:lineRule="auto"/>
        <w:jc w:val="both"/>
        <w:rPr>
          <w:rFonts w:ascii="Times New Roman" w:hAnsi="Times New Roman" w:cs="Times New Roman"/>
          <w:i/>
          <w:sz w:val="24"/>
        </w:rPr>
      </w:pPr>
      <w:r w:rsidRPr="00F26183">
        <w:rPr>
          <w:rFonts w:ascii="Times New Roman" w:hAnsi="Times New Roman" w:cs="Times New Roman"/>
          <w:i/>
          <w:sz w:val="24"/>
        </w:rPr>
        <w:t xml:space="preserve">Govindarajulu, N. and Daily, B.F. (2004) ‘Motivating employees for environmental improvement’, Industrial Management and Data Systems, vol.104, no.4, pp.364-372. </w:t>
      </w:r>
    </w:p>
    <w:sectPr w:rsidR="00F26183" w:rsidRPr="00F26183" w:rsidSect="002707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6891" w14:textId="77777777" w:rsidR="007942C1" w:rsidRDefault="007942C1" w:rsidP="00663F6F">
      <w:pPr>
        <w:spacing w:after="0" w:line="240" w:lineRule="auto"/>
      </w:pPr>
      <w:r>
        <w:separator/>
      </w:r>
    </w:p>
  </w:endnote>
  <w:endnote w:type="continuationSeparator" w:id="0">
    <w:p w14:paraId="425CA646" w14:textId="77777777" w:rsidR="007942C1" w:rsidRDefault="007942C1" w:rsidP="00663F6F">
      <w:pPr>
        <w:spacing w:after="0" w:line="240" w:lineRule="auto"/>
      </w:pPr>
      <w:r>
        <w:continuationSeparator/>
      </w:r>
    </w:p>
  </w:endnote>
  <w:endnote w:id="1">
    <w:p w14:paraId="42FC597F" w14:textId="573139A4" w:rsidR="00663F6F" w:rsidRPr="00663F6F" w:rsidRDefault="00663F6F">
      <w:pPr>
        <w:pStyle w:val="EndnoteText"/>
        <w:rPr>
          <w:lang w:val="en-US"/>
        </w:rPr>
      </w:pPr>
      <w:r>
        <w:rPr>
          <w:rStyle w:val="EndnoteReference"/>
        </w:rPr>
        <w:endnoteRef/>
      </w:r>
      <w:r>
        <w:t xml:space="preserve"> </w:t>
      </w:r>
      <w:r>
        <w:rPr>
          <w:lang w:val="en-US"/>
        </w:rPr>
        <w:t>Profvijayra2@gmail.com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65C0A" w14:textId="77777777" w:rsidR="007942C1" w:rsidRDefault="007942C1" w:rsidP="00663F6F">
      <w:pPr>
        <w:spacing w:after="0" w:line="240" w:lineRule="auto"/>
      </w:pPr>
      <w:r>
        <w:separator/>
      </w:r>
    </w:p>
  </w:footnote>
  <w:footnote w:type="continuationSeparator" w:id="0">
    <w:p w14:paraId="2BE9E5F1" w14:textId="77777777" w:rsidR="007942C1" w:rsidRDefault="007942C1" w:rsidP="00663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86739E"/>
    <w:multiLevelType w:val="hybridMultilevel"/>
    <w:tmpl w:val="3BE2AB76"/>
    <w:lvl w:ilvl="0" w:tplc="744ADCF0">
      <w:start w:val="1"/>
      <w:numFmt w:val="decimal"/>
      <w:lvlText w:val="%1."/>
      <w:lvlJc w:val="lef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B0576E4"/>
    <w:multiLevelType w:val="hybridMultilevel"/>
    <w:tmpl w:val="CDC6AF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86424268">
    <w:abstractNumId w:val="1"/>
  </w:num>
  <w:num w:numId="2" w16cid:durableId="1521973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70FA"/>
    <w:rsid w:val="0000753A"/>
    <w:rsid w:val="00013BA2"/>
    <w:rsid w:val="000920DD"/>
    <w:rsid w:val="000A70FA"/>
    <w:rsid w:val="000D76ED"/>
    <w:rsid w:val="000F5252"/>
    <w:rsid w:val="00105A9A"/>
    <w:rsid w:val="001111A0"/>
    <w:rsid w:val="00136E79"/>
    <w:rsid w:val="0014509B"/>
    <w:rsid w:val="001F228B"/>
    <w:rsid w:val="00210298"/>
    <w:rsid w:val="00270766"/>
    <w:rsid w:val="002C2B16"/>
    <w:rsid w:val="003059DC"/>
    <w:rsid w:val="00332A9A"/>
    <w:rsid w:val="0038786D"/>
    <w:rsid w:val="003947F0"/>
    <w:rsid w:val="003B6216"/>
    <w:rsid w:val="003C2116"/>
    <w:rsid w:val="003F09CD"/>
    <w:rsid w:val="00425CF8"/>
    <w:rsid w:val="00440D02"/>
    <w:rsid w:val="004910EF"/>
    <w:rsid w:val="00507107"/>
    <w:rsid w:val="005133EF"/>
    <w:rsid w:val="00554A73"/>
    <w:rsid w:val="005860FB"/>
    <w:rsid w:val="00594A25"/>
    <w:rsid w:val="005B7957"/>
    <w:rsid w:val="005F7FE8"/>
    <w:rsid w:val="00601973"/>
    <w:rsid w:val="00601A94"/>
    <w:rsid w:val="00652259"/>
    <w:rsid w:val="00663F6F"/>
    <w:rsid w:val="006A4702"/>
    <w:rsid w:val="006B490B"/>
    <w:rsid w:val="006D60CD"/>
    <w:rsid w:val="00704DAE"/>
    <w:rsid w:val="00710034"/>
    <w:rsid w:val="00720B1F"/>
    <w:rsid w:val="00785340"/>
    <w:rsid w:val="007942C1"/>
    <w:rsid w:val="007C0CBD"/>
    <w:rsid w:val="007E1872"/>
    <w:rsid w:val="00815608"/>
    <w:rsid w:val="00851874"/>
    <w:rsid w:val="008A10E4"/>
    <w:rsid w:val="00907114"/>
    <w:rsid w:val="00977DCB"/>
    <w:rsid w:val="009A3EBC"/>
    <w:rsid w:val="009C308D"/>
    <w:rsid w:val="009F5B7E"/>
    <w:rsid w:val="00A23125"/>
    <w:rsid w:val="00A24058"/>
    <w:rsid w:val="00A43D84"/>
    <w:rsid w:val="00A46894"/>
    <w:rsid w:val="00A567B2"/>
    <w:rsid w:val="00A958E1"/>
    <w:rsid w:val="00B47B57"/>
    <w:rsid w:val="00B556DF"/>
    <w:rsid w:val="00B70C04"/>
    <w:rsid w:val="00BC327F"/>
    <w:rsid w:val="00BF53FB"/>
    <w:rsid w:val="00C028AB"/>
    <w:rsid w:val="00C10072"/>
    <w:rsid w:val="00C55BC9"/>
    <w:rsid w:val="00C73607"/>
    <w:rsid w:val="00CA723A"/>
    <w:rsid w:val="00CF6198"/>
    <w:rsid w:val="00D07009"/>
    <w:rsid w:val="00D308BC"/>
    <w:rsid w:val="00D32092"/>
    <w:rsid w:val="00D50BE4"/>
    <w:rsid w:val="00D57D70"/>
    <w:rsid w:val="00D81270"/>
    <w:rsid w:val="00D909AE"/>
    <w:rsid w:val="00DC258B"/>
    <w:rsid w:val="00DE56DF"/>
    <w:rsid w:val="00E61F02"/>
    <w:rsid w:val="00E86E69"/>
    <w:rsid w:val="00EC24FB"/>
    <w:rsid w:val="00EF4FC6"/>
    <w:rsid w:val="00F26183"/>
    <w:rsid w:val="00F70521"/>
    <w:rsid w:val="00FA64DB"/>
    <w:rsid w:val="00FB0673"/>
    <w:rsid w:val="00FB764B"/>
    <w:rsid w:val="00FD46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F05A"/>
  <w15:docId w15:val="{F9A74A19-921D-4EE3-882C-C6B6F9C34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7D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3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E79"/>
    <w:rPr>
      <w:rFonts w:ascii="Tahoma" w:hAnsi="Tahoma" w:cs="Tahoma"/>
      <w:sz w:val="16"/>
      <w:szCs w:val="16"/>
    </w:rPr>
  </w:style>
  <w:style w:type="paragraph" w:styleId="ListParagraph">
    <w:name w:val="List Paragraph"/>
    <w:basedOn w:val="Normal"/>
    <w:uiPriority w:val="34"/>
    <w:qFormat/>
    <w:rsid w:val="001F228B"/>
    <w:pPr>
      <w:ind w:left="720"/>
      <w:contextualSpacing/>
    </w:pPr>
  </w:style>
  <w:style w:type="paragraph" w:styleId="EndnoteText">
    <w:name w:val="endnote text"/>
    <w:basedOn w:val="Normal"/>
    <w:link w:val="EndnoteTextChar"/>
    <w:uiPriority w:val="99"/>
    <w:semiHidden/>
    <w:unhideWhenUsed/>
    <w:rsid w:val="00663F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3F6F"/>
    <w:rPr>
      <w:sz w:val="20"/>
      <w:szCs w:val="20"/>
    </w:rPr>
  </w:style>
  <w:style w:type="character" w:styleId="EndnoteReference">
    <w:name w:val="endnote reference"/>
    <w:basedOn w:val="DefaultParagraphFont"/>
    <w:uiPriority w:val="99"/>
    <w:semiHidden/>
    <w:unhideWhenUsed/>
    <w:rsid w:val="00663F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5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Demographical profile  </a:t>
            </a:r>
          </a:p>
        </c:rich>
      </c:tx>
      <c:overlay val="0"/>
    </c:title>
    <c:autoTitleDeleted val="0"/>
    <c:plotArea>
      <c:layout/>
      <c:barChart>
        <c:barDir val="col"/>
        <c:grouping val="clustered"/>
        <c:varyColors val="0"/>
        <c:ser>
          <c:idx val="0"/>
          <c:order val="0"/>
          <c:tx>
            <c:strRef>
              <c:f>Sheet1!$H$47</c:f>
              <c:strCache>
                <c:ptCount val="1"/>
                <c:pt idx="0">
                  <c:v>Frequency </c:v>
                </c:pt>
              </c:strCache>
            </c:strRef>
          </c:tx>
          <c:invertIfNegative val="0"/>
          <c:cat>
            <c:strRef>
              <c:f>Sheet1!$G$48:$G$61</c:f>
              <c:strCache>
                <c:ptCount val="14"/>
                <c:pt idx="0">
                  <c:v>Age </c:v>
                </c:pt>
                <c:pt idx="1">
                  <c:v>20-30</c:v>
                </c:pt>
                <c:pt idx="2">
                  <c:v>30-40</c:v>
                </c:pt>
                <c:pt idx="3">
                  <c:v>40 Above </c:v>
                </c:pt>
                <c:pt idx="4">
                  <c:v>Total </c:v>
                </c:pt>
                <c:pt idx="5">
                  <c:v>Gender </c:v>
                </c:pt>
                <c:pt idx="6">
                  <c:v>Male </c:v>
                </c:pt>
                <c:pt idx="7">
                  <c:v>Female </c:v>
                </c:pt>
                <c:pt idx="8">
                  <c:v>Total </c:v>
                </c:pt>
                <c:pt idx="9">
                  <c:v>Education </c:v>
                </c:pt>
                <c:pt idx="10">
                  <c:v>Under Graduation </c:v>
                </c:pt>
                <c:pt idx="11">
                  <c:v>Post Graduation </c:v>
                </c:pt>
                <c:pt idx="12">
                  <c:v>Professional </c:v>
                </c:pt>
                <c:pt idx="13">
                  <c:v>Total </c:v>
                </c:pt>
              </c:strCache>
            </c:strRef>
          </c:cat>
          <c:val>
            <c:numRef>
              <c:f>Sheet1!$H$48:$H$61</c:f>
              <c:numCache>
                <c:formatCode>General</c:formatCode>
                <c:ptCount val="14"/>
                <c:pt idx="1">
                  <c:v>25</c:v>
                </c:pt>
                <c:pt idx="2">
                  <c:v>25</c:v>
                </c:pt>
                <c:pt idx="3">
                  <c:v>50</c:v>
                </c:pt>
                <c:pt idx="4">
                  <c:v>100</c:v>
                </c:pt>
                <c:pt idx="6">
                  <c:v>60</c:v>
                </c:pt>
                <c:pt idx="7">
                  <c:v>40</c:v>
                </c:pt>
                <c:pt idx="8">
                  <c:v>100</c:v>
                </c:pt>
                <c:pt idx="10">
                  <c:v>40</c:v>
                </c:pt>
                <c:pt idx="11">
                  <c:v>30</c:v>
                </c:pt>
                <c:pt idx="12">
                  <c:v>30</c:v>
                </c:pt>
                <c:pt idx="13">
                  <c:v>100</c:v>
                </c:pt>
              </c:numCache>
            </c:numRef>
          </c:val>
          <c:extLst>
            <c:ext xmlns:c16="http://schemas.microsoft.com/office/drawing/2014/chart" uri="{C3380CC4-5D6E-409C-BE32-E72D297353CC}">
              <c16:uniqueId val="{00000000-AC6E-4067-B1D1-E8F88A26AA0F}"/>
            </c:ext>
          </c:extLst>
        </c:ser>
        <c:dLbls>
          <c:showLegendKey val="0"/>
          <c:showVal val="0"/>
          <c:showCatName val="0"/>
          <c:showSerName val="0"/>
          <c:showPercent val="0"/>
          <c:showBubbleSize val="0"/>
        </c:dLbls>
        <c:gapWidth val="150"/>
        <c:axId val="80428416"/>
        <c:axId val="37384960"/>
      </c:barChart>
      <c:catAx>
        <c:axId val="80428416"/>
        <c:scaling>
          <c:orientation val="minMax"/>
        </c:scaling>
        <c:delete val="0"/>
        <c:axPos val="b"/>
        <c:numFmt formatCode="General" sourceLinked="0"/>
        <c:majorTickMark val="out"/>
        <c:minorTickMark val="none"/>
        <c:tickLblPos val="nextTo"/>
        <c:crossAx val="37384960"/>
        <c:crosses val="autoZero"/>
        <c:auto val="1"/>
        <c:lblAlgn val="ctr"/>
        <c:lblOffset val="100"/>
        <c:noMultiLvlLbl val="0"/>
      </c:catAx>
      <c:valAx>
        <c:axId val="37384960"/>
        <c:scaling>
          <c:orientation val="minMax"/>
        </c:scaling>
        <c:delete val="0"/>
        <c:axPos val="l"/>
        <c:majorGridlines/>
        <c:numFmt formatCode="General" sourceLinked="1"/>
        <c:majorTickMark val="out"/>
        <c:minorTickMark val="none"/>
        <c:tickLblPos val="nextTo"/>
        <c:crossAx val="80428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title>
    <c:autoTitleDeleted val="0"/>
    <c:plotArea>
      <c:layout/>
      <c:barChart>
        <c:barDir val="col"/>
        <c:grouping val="clustered"/>
        <c:varyColors val="0"/>
        <c:ser>
          <c:idx val="0"/>
          <c:order val="0"/>
          <c:tx>
            <c:strRef>
              <c:f>Sheet1!$M$128</c:f>
              <c:strCache>
                <c:ptCount val="1"/>
                <c:pt idx="0">
                  <c:v>Pearson Chi-square</c:v>
                </c:pt>
              </c:strCache>
            </c:strRef>
          </c:tx>
          <c:invertIfNegative val="0"/>
          <c:cat>
            <c:strRef>
              <c:f>Sheet1!$N$127:$P$127</c:f>
              <c:strCache>
                <c:ptCount val="3"/>
                <c:pt idx="0">
                  <c:v>Table Value</c:v>
                </c:pt>
                <c:pt idx="1">
                  <c:v>d.f</c:v>
                </c:pt>
                <c:pt idx="2">
                  <c:v>Calculated Value</c:v>
                </c:pt>
              </c:strCache>
            </c:strRef>
          </c:cat>
          <c:val>
            <c:numRef>
              <c:f>Sheet1!$N$128:$P$128</c:f>
              <c:numCache>
                <c:formatCode>General</c:formatCode>
                <c:ptCount val="3"/>
                <c:pt idx="0">
                  <c:v>42.71</c:v>
                </c:pt>
                <c:pt idx="1">
                  <c:v>31</c:v>
                </c:pt>
                <c:pt idx="2">
                  <c:v>60.55</c:v>
                </c:pt>
              </c:numCache>
            </c:numRef>
          </c:val>
          <c:extLst>
            <c:ext xmlns:c16="http://schemas.microsoft.com/office/drawing/2014/chart" uri="{C3380CC4-5D6E-409C-BE32-E72D297353CC}">
              <c16:uniqueId val="{00000000-7C77-44F0-9B0C-1E0950084F86}"/>
            </c:ext>
          </c:extLst>
        </c:ser>
        <c:dLbls>
          <c:showLegendKey val="0"/>
          <c:showVal val="0"/>
          <c:showCatName val="0"/>
          <c:showSerName val="0"/>
          <c:showPercent val="0"/>
          <c:showBubbleSize val="0"/>
        </c:dLbls>
        <c:gapWidth val="150"/>
        <c:axId val="37396864"/>
        <c:axId val="37398400"/>
      </c:barChart>
      <c:catAx>
        <c:axId val="37396864"/>
        <c:scaling>
          <c:orientation val="minMax"/>
        </c:scaling>
        <c:delete val="0"/>
        <c:axPos val="b"/>
        <c:numFmt formatCode="General" sourceLinked="0"/>
        <c:majorTickMark val="out"/>
        <c:minorTickMark val="none"/>
        <c:tickLblPos val="nextTo"/>
        <c:crossAx val="37398400"/>
        <c:crosses val="autoZero"/>
        <c:auto val="1"/>
        <c:lblAlgn val="ctr"/>
        <c:lblOffset val="100"/>
        <c:noMultiLvlLbl val="0"/>
      </c:catAx>
      <c:valAx>
        <c:axId val="37398400"/>
        <c:scaling>
          <c:orientation val="minMax"/>
        </c:scaling>
        <c:delete val="0"/>
        <c:axPos val="l"/>
        <c:majorGridlines/>
        <c:numFmt formatCode="General" sourceLinked="1"/>
        <c:majorTickMark val="out"/>
        <c:minorTickMark val="none"/>
        <c:tickLblPos val="nextTo"/>
        <c:crossAx val="3739686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Sheet1!$L$70</c:f>
              <c:strCache>
                <c:ptCount val="1"/>
                <c:pt idx="0">
                  <c:v>Table Value </c:v>
                </c:pt>
              </c:strCache>
            </c:strRef>
          </c:tx>
          <c:invertIfNegative val="0"/>
          <c:cat>
            <c:strRef>
              <c:f>Sheet1!$I$97:$I$99</c:f>
              <c:strCache>
                <c:ptCount val="3"/>
                <c:pt idx="0">
                  <c:v>Extra Training to use Electronic Device </c:v>
                </c:pt>
                <c:pt idx="1">
                  <c:v>Online Training may not be Effective </c:v>
                </c:pt>
                <c:pt idx="2">
                  <c:v>Without Power Supply Green Practices is not Possible </c:v>
                </c:pt>
              </c:strCache>
            </c:strRef>
          </c:cat>
          <c:val>
            <c:numRef>
              <c:f>Sheet1!$L$71:$L$73</c:f>
              <c:numCache>
                <c:formatCode>General</c:formatCode>
                <c:ptCount val="3"/>
                <c:pt idx="0">
                  <c:v>52.54</c:v>
                </c:pt>
                <c:pt idx="1">
                  <c:v>56.44</c:v>
                </c:pt>
                <c:pt idx="2">
                  <c:v>30.25</c:v>
                </c:pt>
              </c:numCache>
            </c:numRef>
          </c:val>
          <c:extLst>
            <c:ext xmlns:c16="http://schemas.microsoft.com/office/drawing/2014/chart" uri="{C3380CC4-5D6E-409C-BE32-E72D297353CC}">
              <c16:uniqueId val="{00000000-E8DD-4779-8F7C-ADD4DD22EC13}"/>
            </c:ext>
          </c:extLst>
        </c:ser>
        <c:dLbls>
          <c:showLegendKey val="0"/>
          <c:showVal val="0"/>
          <c:showCatName val="0"/>
          <c:showSerName val="0"/>
          <c:showPercent val="0"/>
          <c:showBubbleSize val="0"/>
        </c:dLbls>
        <c:gapWidth val="150"/>
        <c:axId val="37410304"/>
        <c:axId val="37411840"/>
      </c:barChart>
      <c:catAx>
        <c:axId val="37410304"/>
        <c:scaling>
          <c:orientation val="minMax"/>
        </c:scaling>
        <c:delete val="0"/>
        <c:axPos val="b"/>
        <c:numFmt formatCode="General" sourceLinked="0"/>
        <c:majorTickMark val="out"/>
        <c:minorTickMark val="none"/>
        <c:tickLblPos val="nextTo"/>
        <c:crossAx val="37411840"/>
        <c:crosses val="autoZero"/>
        <c:auto val="1"/>
        <c:lblAlgn val="ctr"/>
        <c:lblOffset val="100"/>
        <c:noMultiLvlLbl val="0"/>
      </c:catAx>
      <c:valAx>
        <c:axId val="37411840"/>
        <c:scaling>
          <c:orientation val="minMax"/>
        </c:scaling>
        <c:delete val="0"/>
        <c:axPos val="l"/>
        <c:majorGridlines/>
        <c:numFmt formatCode="General" sourceLinked="1"/>
        <c:majorTickMark val="out"/>
        <c:minorTickMark val="none"/>
        <c:tickLblPos val="nextTo"/>
        <c:crossAx val="3741030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Sheet1!$J$96</c:f>
              <c:strCache>
                <c:ptCount val="1"/>
                <c:pt idx="0">
                  <c:v>Calculated Value </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Sheet1!$I$97:$I$99</c:f>
              <c:strCache>
                <c:ptCount val="3"/>
                <c:pt idx="0">
                  <c:v>Extra Training to use Electronic Device </c:v>
                </c:pt>
                <c:pt idx="1">
                  <c:v>Online Training may not be Effective </c:v>
                </c:pt>
                <c:pt idx="2">
                  <c:v>Without Power Supply Green Practices is not Possible </c:v>
                </c:pt>
              </c:strCache>
            </c:strRef>
          </c:cat>
          <c:val>
            <c:numRef>
              <c:f>Sheet1!$J$97:$J$99</c:f>
              <c:numCache>
                <c:formatCode>General</c:formatCode>
                <c:ptCount val="3"/>
                <c:pt idx="0">
                  <c:v>42.63</c:v>
                </c:pt>
                <c:pt idx="1">
                  <c:v>65.23</c:v>
                </c:pt>
                <c:pt idx="2">
                  <c:v>44.74</c:v>
                </c:pt>
              </c:numCache>
            </c:numRef>
          </c:val>
          <c:extLst>
            <c:ext xmlns:c16="http://schemas.microsoft.com/office/drawing/2014/chart" uri="{C3380CC4-5D6E-409C-BE32-E72D297353CC}">
              <c16:uniqueId val="{00000000-456E-4334-94CA-D4A7F62F383F}"/>
            </c:ext>
          </c:extLst>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4B954-4D51-499B-A9A2-F1EB2F07B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2588</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Vijay Kulkarni</cp:lastModifiedBy>
  <cp:revision>10</cp:revision>
  <dcterms:created xsi:type="dcterms:W3CDTF">2022-12-06T09:41:00Z</dcterms:created>
  <dcterms:modified xsi:type="dcterms:W3CDTF">2023-08-04T09:36:00Z</dcterms:modified>
</cp:coreProperties>
</file>