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8C9" w14:textId="4902794C" w:rsidR="00A74D82" w:rsidRPr="00B278D8" w:rsidRDefault="00A74D82" w:rsidP="00A74D82">
      <w:pPr>
        <w:pStyle w:val="Title"/>
        <w:jc w:val="center"/>
        <w:rPr>
          <w:lang w:val="en-US"/>
        </w:rPr>
      </w:pPr>
      <w:r w:rsidRPr="00B278D8">
        <w:rPr>
          <w:lang w:val="en-US"/>
        </w:rPr>
        <w:t>Gastro-intestinal complications of Diabetes Mellitus</w:t>
      </w:r>
    </w:p>
    <w:p w14:paraId="7A3E675E" w14:textId="60A61988" w:rsidR="00A42300" w:rsidRPr="00B278D8" w:rsidRDefault="00812A10" w:rsidP="00812A10">
      <w:pPr>
        <w:pStyle w:val="Heading1"/>
        <w:rPr>
          <w:b/>
          <w:bCs/>
          <w:color w:val="auto"/>
          <w:u w:val="single"/>
          <w:lang w:val="en-US"/>
        </w:rPr>
      </w:pPr>
      <w:r w:rsidRPr="00B278D8">
        <w:rPr>
          <w:b/>
          <w:bCs/>
          <w:color w:val="auto"/>
          <w:u w:val="single"/>
          <w:lang w:val="en-US"/>
        </w:rPr>
        <w:t>Introduction:</w:t>
      </w:r>
    </w:p>
    <w:p w14:paraId="471067CD" w14:textId="2681994E" w:rsidR="00812A10" w:rsidRPr="00B278D8" w:rsidRDefault="00812A10" w:rsidP="002E2FC9">
      <w:pPr>
        <w:rPr>
          <w:rFonts w:ascii="Segoe UI" w:hAnsi="Segoe UI" w:cs="Segoe UI"/>
          <w:shd w:val="clear" w:color="auto" w:fill="F7F7F8"/>
        </w:rPr>
      </w:pPr>
      <w:r w:rsidRPr="00B278D8">
        <w:rPr>
          <w:rFonts w:ascii="Segoe UI" w:hAnsi="Segoe UI" w:cs="Segoe UI"/>
          <w:shd w:val="clear" w:color="auto" w:fill="F7F7F8"/>
        </w:rPr>
        <w:t xml:space="preserve">Gastrointestinal (GI) complications of diabetes have become more common as the rate of diabetes has increased. These complications and their symptoms are often caused by abnormal GI motility, a consequence of diabetic autonomic neuropathy in the GI tract. </w:t>
      </w:r>
      <w:r w:rsidR="002E2FC9" w:rsidRPr="00B278D8">
        <w:rPr>
          <w:rFonts w:ascii="Segoe UI" w:hAnsi="Segoe UI" w:cs="Segoe UI"/>
          <w:shd w:val="clear" w:color="auto" w:fill="F7F7F8"/>
        </w:rPr>
        <w:t>T</w:t>
      </w:r>
      <w:r w:rsidR="002E2FC9" w:rsidRPr="00B278D8">
        <w:rPr>
          <w:rFonts w:ascii="Segoe UI" w:hAnsi="Segoe UI" w:cs="Segoe UI"/>
          <w:shd w:val="clear" w:color="auto" w:fill="F7F7F8"/>
        </w:rPr>
        <w:t>he Diabetes Control and Complications Trial</w:t>
      </w:r>
      <w:r w:rsidR="002E2FC9" w:rsidRPr="00B278D8">
        <w:rPr>
          <w:rFonts w:ascii="Segoe UI" w:hAnsi="Segoe UI" w:cs="Segoe UI"/>
          <w:shd w:val="clear" w:color="auto" w:fill="F7F7F8"/>
        </w:rPr>
        <w:t xml:space="preserve"> </w:t>
      </w:r>
      <w:r w:rsidR="002E2FC9" w:rsidRPr="00B278D8">
        <w:rPr>
          <w:rFonts w:ascii="Segoe UI" w:hAnsi="Segoe UI" w:cs="Segoe UI"/>
          <w:shd w:val="clear" w:color="auto" w:fill="F7F7F8"/>
        </w:rPr>
        <w:t>suggested</w:t>
      </w:r>
      <w:r w:rsidR="002E2FC9" w:rsidRPr="00B278D8">
        <w:rPr>
          <w:rFonts w:ascii="Segoe UI" w:hAnsi="Segoe UI" w:cs="Segoe UI"/>
          <w:shd w:val="clear" w:color="auto" w:fill="F7F7F8"/>
        </w:rPr>
        <w:t xml:space="preserve"> </w:t>
      </w:r>
      <w:r w:rsidR="002E2FC9" w:rsidRPr="00B278D8">
        <w:rPr>
          <w:rFonts w:ascii="Segoe UI" w:hAnsi="Segoe UI" w:cs="Segoe UI"/>
          <w:shd w:val="clear" w:color="auto" w:fill="F7F7F8"/>
        </w:rPr>
        <w:t>that, at least in persons with type 1 diabetes,</w:t>
      </w:r>
      <w:r w:rsidR="002E2FC9" w:rsidRPr="00B278D8">
        <w:rPr>
          <w:rFonts w:ascii="Segoe UI" w:hAnsi="Segoe UI" w:cs="Segoe UI"/>
          <w:shd w:val="clear" w:color="auto" w:fill="F7F7F8"/>
        </w:rPr>
        <w:t xml:space="preserve"> </w:t>
      </w:r>
      <w:r w:rsidR="002E2FC9" w:rsidRPr="00B278D8">
        <w:rPr>
          <w:rFonts w:ascii="Segoe UI" w:hAnsi="Segoe UI" w:cs="Segoe UI"/>
          <w:shd w:val="clear" w:color="auto" w:fill="F7F7F8"/>
        </w:rPr>
        <w:t>neuropathy and other GI complications are</w:t>
      </w:r>
      <w:r w:rsidR="002E2FC9" w:rsidRPr="00B278D8">
        <w:rPr>
          <w:rFonts w:ascii="Segoe UI" w:hAnsi="Segoe UI" w:cs="Segoe UI"/>
          <w:shd w:val="clear" w:color="auto" w:fill="F7F7F8"/>
        </w:rPr>
        <w:t xml:space="preserve"> </w:t>
      </w:r>
      <w:r w:rsidR="002E2FC9" w:rsidRPr="00B278D8">
        <w:rPr>
          <w:rFonts w:ascii="Segoe UI" w:hAnsi="Segoe UI" w:cs="Segoe UI"/>
          <w:shd w:val="clear" w:color="auto" w:fill="F7F7F8"/>
        </w:rPr>
        <w:t>associated with poor blood glucose control</w:t>
      </w:r>
      <w:r w:rsidR="004A7C46" w:rsidRPr="00B278D8">
        <w:rPr>
          <w:rFonts w:ascii="Segoe UI" w:hAnsi="Segoe UI" w:cs="Segoe UI"/>
          <w:shd w:val="clear" w:color="auto" w:fill="F7F7F8"/>
        </w:rPr>
        <w:t xml:space="preserve"> </w:t>
      </w:r>
      <w:r w:rsidR="002E2FC9" w:rsidRPr="00B278D8">
        <w:rPr>
          <w:rFonts w:ascii="Segoe UI" w:hAnsi="Segoe UI" w:cs="Segoe UI"/>
          <w:shd w:val="clear" w:color="auto" w:fill="F7F7F8"/>
        </w:rPr>
        <w:t>and not necessarily the duration of diabetes</w:t>
      </w:r>
      <w:r w:rsidR="002E2FC9" w:rsidRPr="00B278D8">
        <w:rPr>
          <w:rFonts w:ascii="Segoe UI" w:hAnsi="Segoe UI" w:cs="Segoe UI"/>
          <w:shd w:val="clear" w:color="auto" w:fill="F7F7F8"/>
          <w:vertAlign w:val="superscript"/>
        </w:rPr>
        <w:t>1-3</w:t>
      </w:r>
      <w:r w:rsidR="004A7C46" w:rsidRPr="00B278D8">
        <w:rPr>
          <w:rFonts w:ascii="Segoe UI" w:hAnsi="Segoe UI" w:cs="Segoe UI"/>
          <w:shd w:val="clear" w:color="auto" w:fill="F7F7F8"/>
        </w:rPr>
        <w:t xml:space="preserve">. </w:t>
      </w:r>
      <w:r w:rsidRPr="00B278D8">
        <w:rPr>
          <w:rFonts w:ascii="Segoe UI" w:hAnsi="Segoe UI" w:cs="Segoe UI"/>
          <w:shd w:val="clear" w:color="auto" w:fill="F7F7F8"/>
        </w:rPr>
        <w:t>These GI conditions caused by diabetes include gastroparesis, intestinal enteropathy (leading to diarrhoea, constipation, and faecal incontinence), and non-alcoholic fatty liver disease.</w:t>
      </w:r>
    </w:p>
    <w:p w14:paraId="5B6B05DA" w14:textId="77777777" w:rsidR="00812A10" w:rsidRPr="00B278D8" w:rsidRDefault="0076501C" w:rsidP="0076501C">
      <w:pPr>
        <w:pStyle w:val="Heading2"/>
        <w:numPr>
          <w:ilvl w:val="0"/>
          <w:numId w:val="1"/>
        </w:numPr>
        <w:rPr>
          <w:b/>
          <w:bCs/>
          <w:color w:val="auto"/>
          <w:u w:val="single"/>
          <w:lang w:val="en-US"/>
        </w:rPr>
      </w:pPr>
      <w:r w:rsidRPr="00B278D8">
        <w:rPr>
          <w:b/>
          <w:bCs/>
          <w:color w:val="auto"/>
          <w:u w:val="single"/>
          <w:lang w:val="en-US"/>
        </w:rPr>
        <w:t>Esophageal Involvement:</w:t>
      </w:r>
    </w:p>
    <w:p w14:paraId="261BB30D" w14:textId="77777777" w:rsidR="000769E7" w:rsidRPr="00B278D8" w:rsidRDefault="000C3732" w:rsidP="0076501C">
      <w:pPr>
        <w:rPr>
          <w:rFonts w:ascii="Segoe UI" w:hAnsi="Segoe UI" w:cs="Segoe UI"/>
          <w:shd w:val="clear" w:color="auto" w:fill="F7F7F8"/>
        </w:rPr>
      </w:pPr>
      <w:r w:rsidRPr="00B278D8">
        <w:rPr>
          <w:rFonts w:ascii="Segoe UI" w:hAnsi="Segoe UI" w:cs="Segoe UI"/>
          <w:shd w:val="clear" w:color="auto" w:fill="F7F7F8"/>
        </w:rPr>
        <w:t xml:space="preserve">The thoracic </w:t>
      </w:r>
      <w:r w:rsidRPr="00B278D8">
        <w:rPr>
          <w:rFonts w:ascii="Segoe UI" w:hAnsi="Segoe UI" w:cs="Segoe UI"/>
          <w:shd w:val="clear" w:color="auto" w:fill="F7F7F8"/>
        </w:rPr>
        <w:t>o</w:t>
      </w:r>
      <w:r w:rsidRPr="00B278D8">
        <w:rPr>
          <w:rFonts w:ascii="Segoe UI" w:hAnsi="Segoe UI" w:cs="Segoe UI"/>
          <w:shd w:val="clear" w:color="auto" w:fill="F7F7F8"/>
        </w:rPr>
        <w:t xml:space="preserve">esophagus and the lower </w:t>
      </w:r>
      <w:r w:rsidRPr="00B278D8">
        <w:rPr>
          <w:rFonts w:ascii="Segoe UI" w:hAnsi="Segoe UI" w:cs="Segoe UI"/>
          <w:shd w:val="clear" w:color="auto" w:fill="F7F7F8"/>
        </w:rPr>
        <w:t>o</w:t>
      </w:r>
      <w:r w:rsidRPr="00B278D8">
        <w:rPr>
          <w:rFonts w:ascii="Segoe UI" w:hAnsi="Segoe UI" w:cs="Segoe UI"/>
          <w:shd w:val="clear" w:color="auto" w:fill="F7F7F8"/>
        </w:rPr>
        <w:t>esophageal sphincter (LES) consist of smooth muscle fibr</w:t>
      </w:r>
      <w:r w:rsidRPr="00B278D8">
        <w:rPr>
          <w:rFonts w:ascii="Segoe UI" w:hAnsi="Segoe UI" w:cs="Segoe UI"/>
          <w:shd w:val="clear" w:color="auto" w:fill="F7F7F8"/>
        </w:rPr>
        <w:t>e</w:t>
      </w:r>
      <w:r w:rsidRPr="00B278D8">
        <w:rPr>
          <w:rFonts w:ascii="Segoe UI" w:hAnsi="Segoe UI" w:cs="Segoe UI"/>
          <w:shd w:val="clear" w:color="auto" w:fill="F7F7F8"/>
        </w:rPr>
        <w:t>s that are innervated by the myenteric plexus. In individuals with longstanding diabetes, diabetic neuropathy can affect these autonomic nerves. This can lead to abnormal peristalsis, spontaneous contractions, and a decrease in LES tone due to autonomic neuropathy and structural remode</w:t>
      </w:r>
      <w:r w:rsidR="006118FA" w:rsidRPr="00B278D8">
        <w:rPr>
          <w:rFonts w:ascii="Segoe UI" w:hAnsi="Segoe UI" w:cs="Segoe UI"/>
          <w:shd w:val="clear" w:color="auto" w:fill="F7F7F8"/>
        </w:rPr>
        <w:t>l</w:t>
      </w:r>
      <w:r w:rsidRPr="00B278D8">
        <w:rPr>
          <w:rFonts w:ascii="Segoe UI" w:hAnsi="Segoe UI" w:cs="Segoe UI"/>
          <w:shd w:val="clear" w:color="auto" w:fill="F7F7F8"/>
        </w:rPr>
        <w:t xml:space="preserve">ling of the </w:t>
      </w:r>
      <w:r w:rsidR="006118FA" w:rsidRPr="00B278D8">
        <w:rPr>
          <w:rFonts w:ascii="Segoe UI" w:hAnsi="Segoe UI" w:cs="Segoe UI"/>
          <w:shd w:val="clear" w:color="auto" w:fill="F7F7F8"/>
        </w:rPr>
        <w:t>o</w:t>
      </w:r>
      <w:r w:rsidRPr="00B278D8">
        <w:rPr>
          <w:rFonts w:ascii="Segoe UI" w:hAnsi="Segoe UI" w:cs="Segoe UI"/>
          <w:shd w:val="clear" w:color="auto" w:fill="F7F7F8"/>
        </w:rPr>
        <w:t>esophageal musculature in diabetes</w:t>
      </w:r>
      <w:r w:rsidR="006603FC" w:rsidRPr="00B278D8">
        <w:rPr>
          <w:rFonts w:ascii="Segoe UI" w:hAnsi="Segoe UI" w:cs="Segoe UI"/>
          <w:shd w:val="clear" w:color="auto" w:fill="F7F7F8"/>
        </w:rPr>
        <w:t xml:space="preserve"> </w:t>
      </w:r>
      <w:r w:rsidR="006603FC" w:rsidRPr="00B278D8">
        <w:rPr>
          <w:rFonts w:ascii="Segoe UI" w:hAnsi="Segoe UI" w:cs="Segoe UI"/>
          <w:shd w:val="clear" w:color="auto" w:fill="F7F7F8"/>
        </w:rPr>
        <w:t>causing heartburn and dysphagia</w:t>
      </w:r>
      <w:r w:rsidR="006603FC" w:rsidRPr="00B278D8">
        <w:rPr>
          <w:rFonts w:ascii="Segoe UI" w:hAnsi="Segoe UI" w:cs="Segoe UI"/>
          <w:shd w:val="clear" w:color="auto" w:fill="F7F7F8"/>
          <w:vertAlign w:val="superscript"/>
        </w:rPr>
        <w:t xml:space="preserve"> </w:t>
      </w:r>
      <w:r w:rsidR="006D2A04" w:rsidRPr="00B278D8">
        <w:rPr>
          <w:rFonts w:ascii="Segoe UI" w:hAnsi="Segoe UI" w:cs="Segoe UI"/>
          <w:shd w:val="clear" w:color="auto" w:fill="F7F7F8"/>
          <w:vertAlign w:val="superscript"/>
        </w:rPr>
        <w:t>4</w:t>
      </w:r>
      <w:r w:rsidR="00E7079B" w:rsidRPr="00B278D8">
        <w:rPr>
          <w:rFonts w:ascii="Segoe UI" w:hAnsi="Segoe UI" w:cs="Segoe UI"/>
          <w:shd w:val="clear" w:color="auto" w:fill="F7F7F8"/>
        </w:rPr>
        <w:t>.</w:t>
      </w:r>
    </w:p>
    <w:p w14:paraId="33CC68FE" w14:textId="39862CC7" w:rsidR="0076501C" w:rsidRPr="00B278D8" w:rsidRDefault="007844A2" w:rsidP="0076501C">
      <w:pPr>
        <w:rPr>
          <w:rFonts w:ascii="Segoe UI" w:hAnsi="Segoe UI" w:cs="Segoe UI"/>
          <w:shd w:val="clear" w:color="auto" w:fill="F7F7F8"/>
        </w:rPr>
      </w:pPr>
      <w:r w:rsidRPr="00B278D8">
        <w:rPr>
          <w:rFonts w:ascii="Segoe UI" w:hAnsi="Segoe UI" w:cs="Segoe UI"/>
          <w:shd w:val="clear" w:color="auto" w:fill="F7F7F8"/>
        </w:rPr>
        <w:t>Other possible f</w:t>
      </w:r>
      <w:r w:rsidR="0076501C" w:rsidRPr="00B278D8">
        <w:rPr>
          <w:rFonts w:ascii="Segoe UI" w:hAnsi="Segoe UI" w:cs="Segoe UI"/>
          <w:shd w:val="clear" w:color="auto" w:fill="F7F7F8"/>
        </w:rPr>
        <w:t xml:space="preserve">actors like obesity, </w:t>
      </w:r>
      <w:proofErr w:type="spellStart"/>
      <w:r w:rsidR="0076501C" w:rsidRPr="00B278D8">
        <w:rPr>
          <w:rFonts w:ascii="Segoe UI" w:hAnsi="Segoe UI" w:cs="Segoe UI"/>
          <w:shd w:val="clear" w:color="auto" w:fill="F7F7F8"/>
        </w:rPr>
        <w:t>hyperglycemia</w:t>
      </w:r>
      <w:proofErr w:type="spellEnd"/>
      <w:r w:rsidR="0076501C" w:rsidRPr="00B278D8">
        <w:rPr>
          <w:rFonts w:ascii="Segoe UI" w:hAnsi="Segoe UI" w:cs="Segoe UI"/>
          <w:shd w:val="clear" w:color="auto" w:fill="F7F7F8"/>
        </w:rPr>
        <w:t xml:space="preserve">, and reduced bicarbonate secretion from </w:t>
      </w:r>
      <w:r w:rsidR="0076501C" w:rsidRPr="00B278D8">
        <w:rPr>
          <w:rFonts w:ascii="Segoe UI" w:hAnsi="Segoe UI" w:cs="Segoe UI"/>
          <w:u w:val="single"/>
          <w:shd w:val="clear" w:color="auto" w:fill="F7F7F8"/>
        </w:rPr>
        <w:t>parotid glands</w:t>
      </w:r>
      <w:r w:rsidR="0076501C" w:rsidRPr="00B278D8">
        <w:rPr>
          <w:rFonts w:ascii="Segoe UI" w:hAnsi="Segoe UI" w:cs="Segoe UI"/>
          <w:shd w:val="clear" w:color="auto" w:fill="F7F7F8"/>
        </w:rPr>
        <w:t xml:space="preserve"> contribute to diabetes-related reflux. Treatment involves controlling blood glucose levels and using medication for reflux management.</w:t>
      </w:r>
      <w:r w:rsidR="009F1DB6" w:rsidRPr="00B278D8">
        <w:rPr>
          <w:rFonts w:ascii="Segoe UI" w:hAnsi="Segoe UI" w:cs="Segoe UI"/>
          <w:shd w:val="clear" w:color="auto" w:fill="F7F7F8"/>
        </w:rPr>
        <w:t xml:space="preserve"> </w:t>
      </w:r>
      <w:r w:rsidR="000769E7" w:rsidRPr="00B278D8">
        <w:rPr>
          <w:rFonts w:ascii="Segoe UI" w:hAnsi="Segoe UI" w:cs="Segoe UI"/>
          <w:shd w:val="clear" w:color="auto" w:fill="F7F7F8"/>
        </w:rPr>
        <w:t xml:space="preserve">The treatment of reflux disease includes the use of prokinetic drugs like metoclopramide and proton pump inhibitors. Studies have demonstrated that a two-week administration of erythromycin can decrease the mean </w:t>
      </w:r>
      <w:r w:rsidR="0099743B" w:rsidRPr="00B278D8">
        <w:rPr>
          <w:rFonts w:ascii="Segoe UI" w:hAnsi="Segoe UI" w:cs="Segoe UI"/>
          <w:shd w:val="clear" w:color="auto" w:fill="F7F7F8"/>
        </w:rPr>
        <w:t>o</w:t>
      </w:r>
      <w:r w:rsidR="000769E7" w:rsidRPr="00B278D8">
        <w:rPr>
          <w:rFonts w:ascii="Segoe UI" w:hAnsi="Segoe UI" w:cs="Segoe UI"/>
          <w:shd w:val="clear" w:color="auto" w:fill="F7F7F8"/>
        </w:rPr>
        <w:t>esophageal transit time and gastric emptying time in individuals with type 2 diabetes</w:t>
      </w:r>
      <w:r w:rsidR="007F64B8" w:rsidRPr="00B278D8">
        <w:rPr>
          <w:rFonts w:ascii="Segoe UI" w:hAnsi="Segoe UI" w:cs="Segoe UI"/>
          <w:shd w:val="clear" w:color="auto" w:fill="F7F7F8"/>
          <w:vertAlign w:val="superscript"/>
        </w:rPr>
        <w:t>5</w:t>
      </w:r>
      <w:r w:rsidR="00382305" w:rsidRPr="00B278D8">
        <w:rPr>
          <w:rFonts w:ascii="Segoe UI" w:hAnsi="Segoe UI" w:cs="Segoe UI"/>
          <w:shd w:val="clear" w:color="auto" w:fill="F7F7F8"/>
        </w:rPr>
        <w:t>.</w:t>
      </w:r>
    </w:p>
    <w:p w14:paraId="43E4A839" w14:textId="77777777" w:rsidR="0076501C" w:rsidRPr="00B278D8" w:rsidRDefault="0076501C" w:rsidP="0076501C">
      <w:pPr>
        <w:pStyle w:val="Heading2"/>
        <w:numPr>
          <w:ilvl w:val="0"/>
          <w:numId w:val="1"/>
        </w:numPr>
        <w:rPr>
          <w:b/>
          <w:bCs/>
          <w:color w:val="auto"/>
          <w:u w:val="single"/>
          <w:lang w:val="en-US"/>
        </w:rPr>
      </w:pPr>
      <w:r w:rsidRPr="00B278D8">
        <w:rPr>
          <w:b/>
          <w:bCs/>
          <w:color w:val="auto"/>
          <w:u w:val="single"/>
          <w:lang w:val="en-US"/>
        </w:rPr>
        <w:t>Gastroparesis:</w:t>
      </w:r>
    </w:p>
    <w:p w14:paraId="33A7C3E8" w14:textId="77777777" w:rsidR="00EC47D0" w:rsidRPr="00B278D8" w:rsidRDefault="0076501C" w:rsidP="00D66978">
      <w:pPr>
        <w:rPr>
          <w:rFonts w:ascii="Segoe UI" w:hAnsi="Segoe UI" w:cs="Segoe UI"/>
          <w:shd w:val="clear" w:color="auto" w:fill="F7F7F8"/>
        </w:rPr>
      </w:pPr>
      <w:r w:rsidRPr="00B278D8">
        <w:rPr>
          <w:rFonts w:ascii="Segoe UI" w:hAnsi="Segoe UI" w:cs="Segoe UI"/>
          <w:shd w:val="clear" w:color="auto" w:fill="F7F7F8"/>
        </w:rPr>
        <w:t xml:space="preserve">Gastroparesis, a condition where gastric emptying is delayed, affects 5 to 12 percent of diabetes patients, predominantly women. </w:t>
      </w:r>
      <w:r w:rsidR="0074436D" w:rsidRPr="00B278D8">
        <w:rPr>
          <w:rFonts w:ascii="Segoe UI" w:hAnsi="Segoe UI" w:cs="Segoe UI"/>
          <w:shd w:val="clear" w:color="auto" w:fill="F7F7F8"/>
        </w:rPr>
        <w:t>Gastroparesis,</w:t>
      </w:r>
      <w:r w:rsidR="00F109C2" w:rsidRPr="00B278D8">
        <w:rPr>
          <w:rFonts w:ascii="Segoe UI" w:hAnsi="Segoe UI" w:cs="Segoe UI"/>
          <w:shd w:val="clear" w:color="auto" w:fill="F7F7F8"/>
        </w:rPr>
        <w:t xml:space="preserve"> </w:t>
      </w:r>
      <w:r w:rsidR="00F109C2" w:rsidRPr="00B278D8">
        <w:rPr>
          <w:rFonts w:ascii="Segoe UI" w:hAnsi="Segoe UI" w:cs="Segoe UI"/>
          <w:shd w:val="clear" w:color="auto" w:fill="F7F7F8"/>
        </w:rPr>
        <w:t>one of the most frequent gastrointestinal complications of diabetes mellitus, gastroparesis leads to symptoms of gastric retention in the absence of any physical obstruction</w:t>
      </w:r>
      <w:r w:rsidR="00F109C2" w:rsidRPr="00B278D8">
        <w:rPr>
          <w:rFonts w:ascii="Segoe UI" w:hAnsi="Segoe UI" w:cs="Segoe UI"/>
          <w:shd w:val="clear" w:color="auto" w:fill="F7F7F8"/>
          <w:vertAlign w:val="superscript"/>
        </w:rPr>
        <w:t>6</w:t>
      </w:r>
      <w:r w:rsidR="00606021" w:rsidRPr="00B278D8">
        <w:rPr>
          <w:rFonts w:ascii="Segoe UI" w:hAnsi="Segoe UI" w:cs="Segoe UI"/>
          <w:shd w:val="clear" w:color="auto" w:fill="F7F7F8"/>
        </w:rPr>
        <w:t>.</w:t>
      </w:r>
      <w:r w:rsidR="0074436D" w:rsidRPr="00B278D8">
        <w:rPr>
          <w:rFonts w:ascii="Segoe UI" w:hAnsi="Segoe UI" w:cs="Segoe UI"/>
          <w:shd w:val="clear" w:color="auto" w:fill="F7F7F8"/>
        </w:rPr>
        <w:t xml:space="preserve"> </w:t>
      </w:r>
    </w:p>
    <w:p w14:paraId="2F5A3161" w14:textId="77777777" w:rsidR="00EC47D0" w:rsidRPr="00B278D8" w:rsidRDefault="00EC47D0" w:rsidP="00EC47D0">
      <w:pPr>
        <w:pStyle w:val="Heading3"/>
        <w:rPr>
          <w:color w:val="auto"/>
        </w:rPr>
      </w:pPr>
      <w:r w:rsidRPr="00B278D8">
        <w:rPr>
          <w:rStyle w:val="Heading3Char"/>
          <w:color w:val="auto"/>
        </w:rPr>
        <w:t>Clinical Features:</w:t>
      </w:r>
    </w:p>
    <w:p w14:paraId="3929131C" w14:textId="504B34B8" w:rsidR="00D66978" w:rsidRPr="00B278D8" w:rsidRDefault="0076501C" w:rsidP="00D66978">
      <w:pPr>
        <w:rPr>
          <w:rFonts w:ascii="Segoe UI" w:hAnsi="Segoe UI" w:cs="Segoe UI"/>
          <w:shd w:val="clear" w:color="auto" w:fill="F7F7F8"/>
        </w:rPr>
      </w:pPr>
      <w:r w:rsidRPr="00B278D8">
        <w:rPr>
          <w:rFonts w:ascii="Segoe UI" w:hAnsi="Segoe UI" w:cs="Segoe UI"/>
          <w:shd w:val="clear" w:color="auto" w:fill="F7F7F8"/>
        </w:rPr>
        <w:t>Symptoms include early satiety, nausea, vomiting, bloating, postprandial fullness, or upper abdominal pain. Delayed gastric emptying impacts blood glucose control and can be an early sign of gastroparesis</w:t>
      </w:r>
      <w:r w:rsidR="009F1622" w:rsidRPr="00B278D8">
        <w:rPr>
          <w:rFonts w:ascii="Segoe UI" w:hAnsi="Segoe UI" w:cs="Segoe UI"/>
          <w:shd w:val="clear" w:color="auto" w:fill="F7F7F8"/>
        </w:rPr>
        <w:t xml:space="preserve"> </w:t>
      </w:r>
      <w:r w:rsidR="009F1622" w:rsidRPr="00B278D8">
        <w:rPr>
          <w:rFonts w:ascii="Segoe UI" w:hAnsi="Segoe UI" w:cs="Segoe UI"/>
          <w:shd w:val="clear" w:color="auto" w:fill="F7F7F8"/>
          <w:vertAlign w:val="superscript"/>
        </w:rPr>
        <w:t>7</w:t>
      </w:r>
      <w:r w:rsidR="009F1622" w:rsidRPr="00B278D8">
        <w:rPr>
          <w:rFonts w:ascii="Segoe UI" w:hAnsi="Segoe UI" w:cs="Segoe UI"/>
          <w:shd w:val="clear" w:color="auto" w:fill="F7F7F8"/>
        </w:rPr>
        <w:t>.</w:t>
      </w:r>
      <w:r w:rsidR="003530EA" w:rsidRPr="00B278D8">
        <w:rPr>
          <w:rFonts w:ascii="Segoe UI" w:hAnsi="Segoe UI" w:cs="Segoe UI"/>
          <w:shd w:val="clear" w:color="auto" w:fill="F7F7F8"/>
        </w:rPr>
        <w:t xml:space="preserve"> </w:t>
      </w:r>
      <w:r w:rsidR="003530EA" w:rsidRPr="00B278D8">
        <w:rPr>
          <w:rFonts w:ascii="Segoe UI" w:hAnsi="Segoe UI" w:cs="Segoe UI"/>
          <w:shd w:val="clear" w:color="auto" w:fill="F7F7F8"/>
        </w:rPr>
        <w:t xml:space="preserve">When </w:t>
      </w:r>
      <w:proofErr w:type="spellStart"/>
      <w:r w:rsidR="003530EA" w:rsidRPr="00B278D8">
        <w:rPr>
          <w:rFonts w:ascii="Segoe UI" w:hAnsi="Segoe UI" w:cs="Segoe UI"/>
          <w:shd w:val="clear" w:color="auto" w:fill="F7F7F8"/>
        </w:rPr>
        <w:t>glycemic</w:t>
      </w:r>
      <w:proofErr w:type="spellEnd"/>
      <w:r w:rsidR="003530EA" w:rsidRPr="00B278D8">
        <w:rPr>
          <w:rFonts w:ascii="Segoe UI" w:hAnsi="Segoe UI" w:cs="Segoe UI"/>
          <w:shd w:val="clear" w:color="auto" w:fill="F7F7F8"/>
        </w:rPr>
        <w:t xml:space="preserve"> control worsens, and patients experience frequent </w:t>
      </w:r>
      <w:proofErr w:type="spellStart"/>
      <w:r w:rsidR="003530EA" w:rsidRPr="00B278D8">
        <w:rPr>
          <w:rFonts w:ascii="Segoe UI" w:hAnsi="Segoe UI" w:cs="Segoe UI"/>
          <w:shd w:val="clear" w:color="auto" w:fill="F7F7F8"/>
        </w:rPr>
        <w:t>hypoglycemic</w:t>
      </w:r>
      <w:proofErr w:type="spellEnd"/>
      <w:r w:rsidR="003530EA" w:rsidRPr="00B278D8">
        <w:rPr>
          <w:rFonts w:ascii="Segoe UI" w:hAnsi="Segoe UI" w:cs="Segoe UI"/>
          <w:shd w:val="clear" w:color="auto" w:fill="F7F7F8"/>
        </w:rPr>
        <w:t xml:space="preserve"> episodes or unexplained alternating hyper- and </w:t>
      </w:r>
      <w:proofErr w:type="spellStart"/>
      <w:r w:rsidR="003530EA" w:rsidRPr="00B278D8">
        <w:rPr>
          <w:rFonts w:ascii="Segoe UI" w:hAnsi="Segoe UI" w:cs="Segoe UI"/>
          <w:shd w:val="clear" w:color="auto" w:fill="F7F7F8"/>
        </w:rPr>
        <w:t>hypoglycemia</w:t>
      </w:r>
      <w:proofErr w:type="spellEnd"/>
      <w:r w:rsidR="003530EA" w:rsidRPr="00B278D8">
        <w:rPr>
          <w:rFonts w:ascii="Segoe UI" w:hAnsi="Segoe UI" w:cs="Segoe UI"/>
          <w:shd w:val="clear" w:color="auto" w:fill="F7F7F8"/>
        </w:rPr>
        <w:t xml:space="preserve"> due to insulin action and carbohydrate absorption mismatch, clinicians should consider evaluating them for diabetic gastroparesis. Weight changes are also common, with approximately 53% of patients experiencing weight loss and 18%-24% experiencing weight gain</w:t>
      </w:r>
      <w:r w:rsidR="00690FBF" w:rsidRPr="00B278D8">
        <w:rPr>
          <w:rFonts w:ascii="Segoe UI" w:hAnsi="Segoe UI" w:cs="Segoe UI"/>
          <w:shd w:val="clear" w:color="auto" w:fill="F7F7F8"/>
        </w:rPr>
        <w:t xml:space="preserve"> </w:t>
      </w:r>
      <w:r w:rsidR="00F8005A" w:rsidRPr="00B278D8">
        <w:rPr>
          <w:rFonts w:ascii="Segoe UI" w:hAnsi="Segoe UI" w:cs="Segoe UI"/>
          <w:shd w:val="clear" w:color="auto" w:fill="F7F7F8"/>
          <w:vertAlign w:val="superscript"/>
        </w:rPr>
        <w:t>8</w:t>
      </w:r>
      <w:r w:rsidR="00690FBF" w:rsidRPr="00B278D8">
        <w:rPr>
          <w:rFonts w:ascii="Segoe UI" w:hAnsi="Segoe UI" w:cs="Segoe UI"/>
          <w:shd w:val="clear" w:color="auto" w:fill="F7F7F8"/>
        </w:rPr>
        <w:t>.</w:t>
      </w:r>
    </w:p>
    <w:p w14:paraId="3EFE7324" w14:textId="6E366E0E" w:rsidR="0033321A" w:rsidRPr="00B278D8" w:rsidRDefault="0076501C" w:rsidP="009F1622">
      <w:pPr>
        <w:pStyle w:val="Heading3"/>
        <w:rPr>
          <w:color w:val="auto"/>
        </w:rPr>
      </w:pPr>
      <w:r w:rsidRPr="00B278D8">
        <w:rPr>
          <w:color w:val="auto"/>
        </w:rPr>
        <w:lastRenderedPageBreak/>
        <w:t>Pathophysiology:</w:t>
      </w:r>
    </w:p>
    <w:p w14:paraId="5758444B" w14:textId="7AEDFFA0" w:rsidR="0033321A" w:rsidRPr="00B278D8" w:rsidRDefault="00B26793" w:rsidP="00D66978">
      <w:pPr>
        <w:pStyle w:val="Heading3"/>
        <w:rPr>
          <w:rFonts w:asciiTheme="minorHAnsi" w:hAnsiTheme="minorHAnsi" w:cstheme="minorHAnsi"/>
          <w:color w:val="auto"/>
          <w:sz w:val="22"/>
          <w:szCs w:val="22"/>
          <w:shd w:val="clear" w:color="auto" w:fill="F7F7F8"/>
        </w:rPr>
      </w:pPr>
      <w:r w:rsidRPr="00B278D8">
        <w:rPr>
          <w:rFonts w:asciiTheme="minorHAnsi" w:hAnsiTheme="minorHAnsi" w:cstheme="minorHAnsi"/>
          <w:color w:val="auto"/>
          <w:sz w:val="22"/>
          <w:szCs w:val="22"/>
          <w:shd w:val="clear" w:color="auto" w:fill="F7F7F8"/>
        </w:rPr>
        <w:t xml:space="preserve">The delayed gastric emptying in patients with gastroparesis is believed to be primarily caused by impaired vagal control. Additional factors contributing to this condition include the dysfunction of inhibitory nerves containing nitric oxide, damage to the interstitial cells of </w:t>
      </w:r>
      <w:proofErr w:type="spellStart"/>
      <w:r w:rsidRPr="00B278D8">
        <w:rPr>
          <w:rFonts w:asciiTheme="minorHAnsi" w:hAnsiTheme="minorHAnsi" w:cstheme="minorHAnsi"/>
          <w:color w:val="auto"/>
          <w:sz w:val="22"/>
          <w:szCs w:val="22"/>
          <w:shd w:val="clear" w:color="auto" w:fill="F7F7F8"/>
        </w:rPr>
        <w:t>Cajal</w:t>
      </w:r>
      <w:proofErr w:type="spellEnd"/>
      <w:r w:rsidRPr="00B278D8">
        <w:rPr>
          <w:rFonts w:asciiTheme="minorHAnsi" w:hAnsiTheme="minorHAnsi" w:cstheme="minorHAnsi"/>
          <w:color w:val="auto"/>
          <w:sz w:val="22"/>
          <w:szCs w:val="22"/>
          <w:shd w:val="clear" w:color="auto" w:fill="F7F7F8"/>
        </w:rPr>
        <w:t>, and underlying smooth muscle dysfunction</w:t>
      </w:r>
      <w:r w:rsidR="00F8005A" w:rsidRPr="00B278D8">
        <w:rPr>
          <w:rFonts w:asciiTheme="minorHAnsi" w:hAnsiTheme="minorHAnsi" w:cstheme="minorHAnsi"/>
          <w:color w:val="auto"/>
          <w:sz w:val="22"/>
          <w:szCs w:val="22"/>
          <w:shd w:val="clear" w:color="auto" w:fill="F7F7F8"/>
        </w:rPr>
        <w:t xml:space="preserve"> </w:t>
      </w:r>
      <w:r w:rsidR="00F8005A" w:rsidRPr="00B278D8">
        <w:rPr>
          <w:rFonts w:asciiTheme="minorHAnsi" w:hAnsiTheme="minorHAnsi" w:cstheme="minorHAnsi"/>
          <w:color w:val="auto"/>
          <w:sz w:val="22"/>
          <w:szCs w:val="22"/>
          <w:shd w:val="clear" w:color="auto" w:fill="F7F7F8"/>
          <w:vertAlign w:val="superscript"/>
        </w:rPr>
        <w:t>9</w:t>
      </w:r>
      <w:r w:rsidRPr="00B278D8">
        <w:rPr>
          <w:rFonts w:asciiTheme="minorHAnsi" w:hAnsiTheme="minorHAnsi" w:cstheme="minorHAnsi"/>
          <w:color w:val="auto"/>
          <w:sz w:val="22"/>
          <w:szCs w:val="22"/>
          <w:shd w:val="clear" w:color="auto" w:fill="F7F7F8"/>
        </w:rPr>
        <w:t>.</w:t>
      </w:r>
      <w:r w:rsidR="000219AC" w:rsidRPr="00B278D8">
        <w:rPr>
          <w:rFonts w:asciiTheme="minorHAnsi" w:hAnsiTheme="minorHAnsi" w:cstheme="minorHAnsi"/>
          <w:color w:val="auto"/>
          <w:sz w:val="22"/>
          <w:szCs w:val="22"/>
          <w:shd w:val="clear" w:color="auto" w:fill="F7F7F8"/>
        </w:rPr>
        <w:t xml:space="preserve"> </w:t>
      </w:r>
      <w:r w:rsidR="000219AC" w:rsidRPr="00B278D8">
        <w:rPr>
          <w:rFonts w:asciiTheme="minorHAnsi" w:hAnsiTheme="minorHAnsi" w:cstheme="minorHAnsi"/>
          <w:color w:val="auto"/>
          <w:sz w:val="22"/>
          <w:szCs w:val="22"/>
          <w:shd w:val="clear" w:color="auto" w:fill="F7F7F8"/>
        </w:rPr>
        <w:t>Loss of the normal Migrating Motor Complexes, blunted antral contractions, spasm of the pylorus and small intestine and poor meal accommodation in the stomach are all demonstrable in diabetes</w:t>
      </w:r>
      <w:r w:rsidR="006B7ECD" w:rsidRPr="00B278D8">
        <w:rPr>
          <w:rFonts w:asciiTheme="minorHAnsi" w:hAnsiTheme="minorHAnsi" w:cstheme="minorHAnsi"/>
          <w:color w:val="auto"/>
          <w:sz w:val="22"/>
          <w:szCs w:val="22"/>
          <w:shd w:val="clear" w:color="auto" w:fill="F7F7F8"/>
          <w:vertAlign w:val="superscript"/>
        </w:rPr>
        <w:t xml:space="preserve"> 7</w:t>
      </w:r>
      <w:r w:rsidR="006B7ECD" w:rsidRPr="00B278D8">
        <w:rPr>
          <w:rFonts w:asciiTheme="minorHAnsi" w:hAnsiTheme="minorHAnsi" w:cstheme="minorHAnsi"/>
          <w:color w:val="auto"/>
          <w:sz w:val="22"/>
          <w:szCs w:val="22"/>
          <w:shd w:val="clear" w:color="auto" w:fill="F7F7F8"/>
        </w:rPr>
        <w:t>.</w:t>
      </w:r>
    </w:p>
    <w:p w14:paraId="56035B53" w14:textId="77777777" w:rsidR="006B7ECD" w:rsidRPr="00B278D8" w:rsidRDefault="006B7ECD" w:rsidP="00D66978">
      <w:pPr>
        <w:pStyle w:val="Heading3"/>
        <w:rPr>
          <w:rFonts w:asciiTheme="minorHAnsi" w:hAnsiTheme="minorHAnsi" w:cstheme="minorHAnsi"/>
          <w:color w:val="auto"/>
          <w:sz w:val="22"/>
          <w:szCs w:val="22"/>
          <w:u w:val="single"/>
          <w:shd w:val="clear" w:color="auto" w:fill="F7F7F8"/>
        </w:rPr>
      </w:pPr>
    </w:p>
    <w:p w14:paraId="58E789B5" w14:textId="7B3C5E87" w:rsidR="0033321A" w:rsidRPr="00B278D8" w:rsidRDefault="0033321A" w:rsidP="006B7ECD">
      <w:pPr>
        <w:pStyle w:val="Heading3"/>
        <w:rPr>
          <w:color w:val="auto"/>
        </w:rPr>
      </w:pPr>
      <w:r w:rsidRPr="00B278D8">
        <w:rPr>
          <w:color w:val="auto"/>
        </w:rPr>
        <w:t>Evaluation:</w:t>
      </w:r>
    </w:p>
    <w:p w14:paraId="69623310" w14:textId="77777777" w:rsidR="00036EF2" w:rsidRPr="00B278D8" w:rsidRDefault="00036EF2" w:rsidP="00036EF2">
      <w:r w:rsidRPr="00B278D8">
        <w:t xml:space="preserve">When taking a patient's </w:t>
      </w:r>
      <w:r w:rsidRPr="00B278D8">
        <w:rPr>
          <w:b/>
          <w:bCs/>
        </w:rPr>
        <w:t>medical history</w:t>
      </w:r>
      <w:r w:rsidRPr="00B278D8">
        <w:t xml:space="preserve">, special attention should be given to both macro- and micro-vascular complications associated with diabetes, even though gastroparesis may manifest independently. It is essential to exclude rumination syndrome as well. </w:t>
      </w:r>
    </w:p>
    <w:p w14:paraId="257D24A4" w14:textId="77777777" w:rsidR="00E064C6" w:rsidRPr="00B278D8" w:rsidRDefault="00036EF2" w:rsidP="00036EF2">
      <w:r w:rsidRPr="00B278D8">
        <w:t xml:space="preserve">During the </w:t>
      </w:r>
      <w:r w:rsidRPr="00B278D8">
        <w:rPr>
          <w:b/>
          <w:bCs/>
        </w:rPr>
        <w:t>physical examination</w:t>
      </w:r>
      <w:r w:rsidRPr="00B278D8">
        <w:t xml:space="preserve">, particular focus should be placed on identifying signs of peripheral and autonomic neuropathy, epigastric distension, and the presence of succussion splash one hour after meals. </w:t>
      </w:r>
    </w:p>
    <w:p w14:paraId="7F5024B6" w14:textId="2DB3D253" w:rsidR="00036EF2" w:rsidRPr="00B278D8" w:rsidRDefault="00036EF2" w:rsidP="00036EF2">
      <w:r w:rsidRPr="00B278D8">
        <w:t xml:space="preserve">Subsequently, upper </w:t>
      </w:r>
      <w:r w:rsidRPr="00B278D8">
        <w:rPr>
          <w:b/>
          <w:bCs/>
        </w:rPr>
        <w:t>gastrointestinal endoscopy</w:t>
      </w:r>
      <w:r w:rsidRPr="00B278D8">
        <w:t xml:space="preserve"> can be conducted to rule out any mechanical obstructions. Alternatively, medical professionals may opt for an upper gastrointestinal series with small bowel follow-through or </w:t>
      </w:r>
      <w:r w:rsidRPr="00B278D8">
        <w:rPr>
          <w:b/>
          <w:bCs/>
        </w:rPr>
        <w:t>small bowel magnetic resonance imaging</w:t>
      </w:r>
      <w:r w:rsidRPr="00B278D8">
        <w:t>. If significant abdominal pain is present, an abdominal ultrasound scan is recommended to rule out biliary colic</w:t>
      </w:r>
      <w:r w:rsidR="005B2A12" w:rsidRPr="00B278D8">
        <w:t xml:space="preserve"> </w:t>
      </w:r>
      <w:r w:rsidR="005B2A12" w:rsidRPr="00B278D8">
        <w:rPr>
          <w:vertAlign w:val="superscript"/>
        </w:rPr>
        <w:t>10</w:t>
      </w:r>
      <w:r w:rsidR="005B2A12" w:rsidRPr="00B278D8">
        <w:t>.</w:t>
      </w:r>
    </w:p>
    <w:p w14:paraId="3F728436" w14:textId="474BA731" w:rsidR="007A2B3D" w:rsidRPr="00B278D8" w:rsidRDefault="007A2B3D" w:rsidP="0044274F">
      <w:r w:rsidRPr="00B278D8">
        <w:t>Other tests for evaluation of Diabetic Gastroparesis include</w:t>
      </w:r>
      <w:r w:rsidR="0044274F" w:rsidRPr="00B278D8">
        <w:t xml:space="preserve"> </w:t>
      </w:r>
      <w:proofErr w:type="spellStart"/>
      <w:r w:rsidR="0044274F" w:rsidRPr="00B278D8">
        <w:rPr>
          <w:b/>
          <w:bCs/>
        </w:rPr>
        <w:t>Antroduodenal</w:t>
      </w:r>
      <w:proofErr w:type="spellEnd"/>
      <w:r w:rsidR="0044274F" w:rsidRPr="00B278D8">
        <w:rPr>
          <w:b/>
          <w:bCs/>
        </w:rPr>
        <w:t xml:space="preserve"> manometry</w:t>
      </w:r>
      <w:r w:rsidR="0044274F" w:rsidRPr="00B278D8">
        <w:rPr>
          <w:b/>
          <w:bCs/>
        </w:rPr>
        <w:t>, Breath test</w:t>
      </w:r>
      <w:r w:rsidR="0044274F" w:rsidRPr="00B278D8">
        <w:t xml:space="preserve"> </w:t>
      </w:r>
      <w:r w:rsidR="005D43AB" w:rsidRPr="00B278D8">
        <w:t xml:space="preserve">and </w:t>
      </w:r>
      <w:proofErr w:type="spellStart"/>
      <w:r w:rsidR="005D43AB" w:rsidRPr="00B278D8">
        <w:rPr>
          <w:b/>
          <w:bCs/>
        </w:rPr>
        <w:t>Elastogastrography</w:t>
      </w:r>
      <w:proofErr w:type="spellEnd"/>
      <w:r w:rsidR="005D43AB" w:rsidRPr="00B278D8">
        <w:rPr>
          <w:b/>
          <w:bCs/>
        </w:rPr>
        <w:t>.</w:t>
      </w:r>
    </w:p>
    <w:p w14:paraId="3AB9A6FE" w14:textId="268D8C42" w:rsidR="00051D4E" w:rsidRPr="00B278D8" w:rsidRDefault="0033321A" w:rsidP="00051D4E">
      <w:pPr>
        <w:pStyle w:val="Heading3"/>
        <w:rPr>
          <w:rFonts w:asciiTheme="minorHAnsi" w:hAnsiTheme="minorHAnsi" w:cstheme="minorHAnsi"/>
          <w:color w:val="auto"/>
          <w:sz w:val="22"/>
          <w:szCs w:val="22"/>
          <w:shd w:val="clear" w:color="auto" w:fill="F7F7F8"/>
        </w:rPr>
      </w:pPr>
      <w:r w:rsidRPr="00B278D8">
        <w:rPr>
          <w:rFonts w:asciiTheme="minorHAnsi" w:hAnsiTheme="minorHAnsi" w:cstheme="minorHAnsi"/>
          <w:color w:val="auto"/>
          <w:sz w:val="22"/>
          <w:szCs w:val="22"/>
          <w:shd w:val="clear" w:color="auto" w:fill="F7F7F8"/>
        </w:rPr>
        <w:t>AGA recommends evaluating gastroparesis with patient history, physical exam, blood tests (CBC, TSH, metabolic panel, amylase if pain, pregnancy if applicable). To rule out obstruction or GI conditions, consider endoscopy or upper GI series with small bowel follow-through. Ultrasonography is advised for biliary symptoms or significant abdominal pain.</w:t>
      </w:r>
    </w:p>
    <w:p w14:paraId="589E116D" w14:textId="02B23425" w:rsidR="0033321A" w:rsidRPr="00B278D8" w:rsidRDefault="00D66978" w:rsidP="009D438E">
      <w:pPr>
        <w:rPr>
          <w:rFonts w:cstheme="minorHAnsi"/>
          <w:shd w:val="clear" w:color="auto" w:fill="F7F7F8"/>
        </w:rPr>
      </w:pPr>
      <w:r w:rsidRPr="00B278D8">
        <w:rPr>
          <w:rFonts w:cstheme="minorHAnsi"/>
          <w:shd w:val="clear" w:color="auto" w:fill="F7F7F8"/>
        </w:rPr>
        <w:t xml:space="preserve">For diagnosing gastroparesis, gastric emptying scintigraphy is recommended. Technetium-labelled egg meal is ingested, and gastric emptying is measured via </w:t>
      </w:r>
      <w:proofErr w:type="spellStart"/>
      <w:r w:rsidRPr="00B278D8">
        <w:rPr>
          <w:rFonts w:cstheme="minorHAnsi"/>
          <w:shd w:val="clear" w:color="auto" w:fill="F7F7F8"/>
        </w:rPr>
        <w:t>scintiscanning</w:t>
      </w:r>
      <w:proofErr w:type="spellEnd"/>
      <w:r w:rsidRPr="00B278D8">
        <w:rPr>
          <w:rFonts w:cstheme="minorHAnsi"/>
          <w:shd w:val="clear" w:color="auto" w:fill="F7F7F8"/>
        </w:rPr>
        <w:t xml:space="preserve"> at 15-minute intervals over four hours</w:t>
      </w:r>
      <w:r w:rsidR="002F0F48" w:rsidRPr="00B278D8">
        <w:rPr>
          <w:rFonts w:cstheme="minorHAnsi"/>
          <w:shd w:val="clear" w:color="auto" w:fill="F7F7F8"/>
        </w:rPr>
        <w:t xml:space="preserve"> </w:t>
      </w:r>
      <w:r w:rsidR="00690FBF" w:rsidRPr="00B278D8">
        <w:rPr>
          <w:rFonts w:cstheme="minorHAnsi"/>
          <w:shd w:val="clear" w:color="auto" w:fill="F7F7F8"/>
          <w:vertAlign w:val="superscript"/>
        </w:rPr>
        <w:t>1</w:t>
      </w:r>
      <w:r w:rsidR="005B2A12" w:rsidRPr="00B278D8">
        <w:rPr>
          <w:rFonts w:cstheme="minorHAnsi"/>
          <w:shd w:val="clear" w:color="auto" w:fill="F7F7F8"/>
          <w:vertAlign w:val="superscript"/>
        </w:rPr>
        <w:t>1</w:t>
      </w:r>
      <w:r w:rsidRPr="00B278D8">
        <w:rPr>
          <w:rFonts w:cstheme="minorHAnsi"/>
          <w:shd w:val="clear" w:color="auto" w:fill="F7F7F8"/>
        </w:rPr>
        <w:t xml:space="preserve">. Simplified scanning with four images has comparable results to 13 images. Retention of over 10% of the meal after </w:t>
      </w:r>
      <w:r w:rsidR="00051D4E" w:rsidRPr="00B278D8">
        <w:rPr>
          <w:rFonts w:cstheme="minorHAnsi"/>
          <w:shd w:val="clear" w:color="auto" w:fill="F7F7F8"/>
        </w:rPr>
        <w:t>4</w:t>
      </w:r>
      <w:r w:rsidRPr="00B278D8">
        <w:rPr>
          <w:rFonts w:cstheme="minorHAnsi"/>
          <w:shd w:val="clear" w:color="auto" w:fill="F7F7F8"/>
        </w:rPr>
        <w:t xml:space="preserve"> hours indicates gastroparesis.</w:t>
      </w:r>
    </w:p>
    <w:p w14:paraId="55001791" w14:textId="2B6EF0D7" w:rsidR="004F1368" w:rsidRPr="00B278D8" w:rsidRDefault="004F1368" w:rsidP="009D438E">
      <w:pPr>
        <w:rPr>
          <w:rFonts w:cstheme="minorHAnsi"/>
          <w:u w:val="single"/>
          <w:shd w:val="clear" w:color="auto" w:fill="F7F7F8"/>
        </w:rPr>
      </w:pPr>
      <w:r w:rsidRPr="00B278D8">
        <w:rPr>
          <w:rFonts w:cstheme="minorHAnsi"/>
          <w:u w:val="single"/>
          <w:shd w:val="clear" w:color="auto" w:fill="F7F7F8"/>
        </w:rPr>
        <w:t>Treatment:</w:t>
      </w:r>
    </w:p>
    <w:p w14:paraId="713BC4A2" w14:textId="77777777" w:rsidR="004F1368" w:rsidRPr="00B278D8" w:rsidRDefault="009D438E" w:rsidP="001B50E6">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Focus on excluding other causes, assessing severity, correcting nutritional deficiencies, and reducing symptoms in managing diabetic gastroparesis.</w:t>
      </w:r>
    </w:p>
    <w:p w14:paraId="1CE56DAA" w14:textId="5826639E" w:rsidR="004F1368" w:rsidRPr="00B278D8" w:rsidRDefault="009D438E" w:rsidP="009D438E">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 xml:space="preserve">Utilize a grading system for severity assessment and treatment </w:t>
      </w:r>
      <w:r w:rsidR="009C3AB1" w:rsidRPr="00B278D8">
        <w:rPr>
          <w:rFonts w:eastAsia="Times New Roman" w:cstheme="minorHAnsi"/>
          <w:kern w:val="0"/>
          <w:lang w:eastAsia="en-IN"/>
          <w14:ligatures w14:val="none"/>
        </w:rPr>
        <w:t xml:space="preserve">guidance </w:t>
      </w:r>
      <w:r w:rsidR="009C3AB1" w:rsidRPr="00B278D8">
        <w:rPr>
          <w:rFonts w:eastAsia="Times New Roman" w:cstheme="minorHAnsi"/>
          <w:kern w:val="0"/>
          <w:vertAlign w:val="superscript"/>
          <w:lang w:eastAsia="en-IN"/>
          <w14:ligatures w14:val="none"/>
        </w:rPr>
        <w:t>1</w:t>
      </w:r>
      <w:r w:rsidR="000C76E5" w:rsidRPr="00B278D8">
        <w:rPr>
          <w:rFonts w:eastAsia="Times New Roman" w:cstheme="minorHAnsi"/>
          <w:kern w:val="0"/>
          <w:vertAlign w:val="superscript"/>
          <w:lang w:eastAsia="en-IN"/>
          <w14:ligatures w14:val="none"/>
        </w:rPr>
        <w:t>2</w:t>
      </w:r>
      <w:r w:rsidR="009C3AB1" w:rsidRPr="00B278D8">
        <w:rPr>
          <w:rFonts w:eastAsia="Times New Roman" w:cstheme="minorHAnsi"/>
          <w:kern w:val="0"/>
          <w:lang w:eastAsia="en-IN"/>
          <w14:ligatures w14:val="none"/>
        </w:rPr>
        <w:t>.</w:t>
      </w:r>
    </w:p>
    <w:p w14:paraId="0B13509D" w14:textId="42D8E057" w:rsidR="004F1368" w:rsidRPr="00B278D8" w:rsidRDefault="004F1368" w:rsidP="00DE043C">
      <w:pPr>
        <w:pStyle w:val="ListParagraph"/>
        <w:numPr>
          <w:ilvl w:val="1"/>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 xml:space="preserve">Grade 1: Mild symptoms relatively easy to control. Ability to maintain weight and nutrition on a regular diet or with minor dietary modifications. Patients with diabetes should strive for optimal blood glucose control to minimize effects of </w:t>
      </w:r>
      <w:proofErr w:type="spellStart"/>
      <w:r w:rsidRPr="00B278D8">
        <w:rPr>
          <w:rFonts w:eastAsia="Times New Roman" w:cstheme="minorHAnsi"/>
          <w:kern w:val="0"/>
          <w:lang w:eastAsia="en-IN"/>
          <w14:ligatures w14:val="none"/>
        </w:rPr>
        <w:t>hyperglycemia</w:t>
      </w:r>
      <w:proofErr w:type="spellEnd"/>
      <w:r w:rsidRPr="00B278D8">
        <w:rPr>
          <w:rFonts w:eastAsia="Times New Roman" w:cstheme="minorHAnsi"/>
          <w:kern w:val="0"/>
          <w:lang w:eastAsia="en-IN"/>
          <w14:ligatures w14:val="none"/>
        </w:rPr>
        <w:t xml:space="preserve"> on gastric function.</w:t>
      </w:r>
    </w:p>
    <w:p w14:paraId="24A95EBE" w14:textId="1A75954B" w:rsidR="004F1368" w:rsidRPr="00B278D8" w:rsidRDefault="004F1368" w:rsidP="004F1368">
      <w:pPr>
        <w:pStyle w:val="ListParagraph"/>
        <w:numPr>
          <w:ilvl w:val="1"/>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Grade 2: Compensated moderate symptoms with partial control using pharmacologic agents (typically involving a combination of antiemetic and prokinetic medications given at regularly scheduled intervals) Ability to maintain nutrition with dietary and lifestyle adjustments; Rare hospital admissions.</w:t>
      </w:r>
    </w:p>
    <w:p w14:paraId="5425F3DF" w14:textId="1B53B4EE" w:rsidR="004F1368" w:rsidRPr="00B278D8" w:rsidRDefault="004F1368" w:rsidP="00C10253">
      <w:pPr>
        <w:pStyle w:val="ListParagraph"/>
        <w:numPr>
          <w:ilvl w:val="1"/>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Grade 3: Gastric failure; Refractory symptoms despite medical therapy. In-ability to maintain nutrition orally; Aggressive treatments, including hospitalization for intravenous hydration, insulin administration, and intravenous antiemetic and prokinetic agents, are considered; Chronic care may include total enteral or parenteral nutrition with endoscopic and/or surgical intervention</w:t>
      </w:r>
      <w:r w:rsidR="0059781C" w:rsidRPr="00B278D8">
        <w:rPr>
          <w:rFonts w:eastAsia="Times New Roman" w:cstheme="minorHAnsi"/>
          <w:kern w:val="0"/>
          <w:lang w:eastAsia="en-IN"/>
          <w14:ligatures w14:val="none"/>
        </w:rPr>
        <w:t xml:space="preserve"> or </w:t>
      </w:r>
      <w:r w:rsidR="0059781C" w:rsidRPr="00B278D8">
        <w:rPr>
          <w:rFonts w:eastAsia="Times New Roman" w:cstheme="minorHAnsi"/>
          <w:kern w:val="0"/>
          <w:lang w:eastAsia="en-IN"/>
          <w14:ligatures w14:val="none"/>
        </w:rPr>
        <w:t>gastric "pacemaker"</w:t>
      </w:r>
      <w:r w:rsidRPr="00B278D8">
        <w:rPr>
          <w:rFonts w:eastAsia="Times New Roman" w:cstheme="minorHAnsi"/>
          <w:kern w:val="0"/>
          <w:lang w:eastAsia="en-IN"/>
          <w14:ligatures w14:val="none"/>
        </w:rPr>
        <w:t>.</w:t>
      </w:r>
    </w:p>
    <w:p w14:paraId="7D38F305" w14:textId="4D214186" w:rsidR="004F1368" w:rsidRPr="00B278D8" w:rsidRDefault="009D438E" w:rsidP="009D438E">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lastRenderedPageBreak/>
        <w:t>Eliminate medications and substances that worsen underlying dysmotili</w:t>
      </w:r>
      <w:r w:rsidR="004F1368" w:rsidRPr="00B278D8">
        <w:rPr>
          <w:rFonts w:eastAsia="Times New Roman" w:cstheme="minorHAnsi"/>
          <w:kern w:val="0"/>
          <w:lang w:eastAsia="en-IN"/>
          <w14:ligatures w14:val="none"/>
        </w:rPr>
        <w:t>ty</w:t>
      </w:r>
      <w:r w:rsidRPr="00B278D8">
        <w:rPr>
          <w:rFonts w:eastAsia="Times New Roman" w:cstheme="minorHAnsi"/>
          <w:kern w:val="0"/>
          <w:lang w:eastAsia="en-IN"/>
          <w14:ligatures w14:val="none"/>
        </w:rPr>
        <w:t>.</w:t>
      </w:r>
      <w:r w:rsidR="004F1368" w:rsidRPr="00B278D8">
        <w:rPr>
          <w:rFonts w:eastAsia="Times New Roman" w:cstheme="minorHAnsi"/>
          <w:kern w:val="0"/>
          <w:lang w:eastAsia="en-IN"/>
          <w14:ligatures w14:val="none"/>
        </w:rPr>
        <w:t xml:space="preserve"> </w:t>
      </w:r>
      <w:r w:rsidRPr="00B278D8">
        <w:rPr>
          <w:rFonts w:eastAsia="Times New Roman" w:cstheme="minorHAnsi"/>
          <w:kern w:val="0"/>
          <w:lang w:eastAsia="en-IN"/>
          <w14:ligatures w14:val="none"/>
        </w:rPr>
        <w:t>Medications delaying gastric emptying include alumin</w:t>
      </w:r>
      <w:r w:rsidR="004F1368" w:rsidRPr="00B278D8">
        <w:rPr>
          <w:rFonts w:eastAsia="Times New Roman" w:cstheme="minorHAnsi"/>
          <w:kern w:val="0"/>
          <w:lang w:eastAsia="en-IN"/>
          <w14:ligatures w14:val="none"/>
        </w:rPr>
        <w:t>i</w:t>
      </w:r>
      <w:r w:rsidRPr="00B278D8">
        <w:rPr>
          <w:rFonts w:eastAsia="Times New Roman" w:cstheme="minorHAnsi"/>
          <w:kern w:val="0"/>
          <w:lang w:eastAsia="en-IN"/>
          <w14:ligatures w14:val="none"/>
        </w:rPr>
        <w:t>um hydroxide antacids, anticholinergic agents, beta-adrenergic receptor agonists, calcium channel blockers, diphenhydramine, histamine H2 antagonists, interferon alfa, levodopa, opioid analgesics, proton pump inhibitors, sucralfate, and tricyclic antidepressants</w:t>
      </w:r>
      <w:r w:rsidR="002D5CF7" w:rsidRPr="00B278D8">
        <w:rPr>
          <w:rFonts w:eastAsia="Times New Roman" w:cstheme="minorHAnsi"/>
          <w:kern w:val="0"/>
          <w:vertAlign w:val="superscript"/>
          <w:lang w:eastAsia="en-IN"/>
          <w14:ligatures w14:val="none"/>
        </w:rPr>
        <w:t xml:space="preserve"> 1</w:t>
      </w:r>
      <w:r w:rsidR="000C76E5" w:rsidRPr="00B278D8">
        <w:rPr>
          <w:rFonts w:eastAsia="Times New Roman" w:cstheme="minorHAnsi"/>
          <w:kern w:val="0"/>
          <w:vertAlign w:val="superscript"/>
          <w:lang w:eastAsia="en-IN"/>
          <w14:ligatures w14:val="none"/>
        </w:rPr>
        <w:t>3</w:t>
      </w:r>
      <w:r w:rsidR="002D5CF7" w:rsidRPr="00B278D8">
        <w:rPr>
          <w:rFonts w:eastAsia="Times New Roman" w:cstheme="minorHAnsi"/>
          <w:kern w:val="0"/>
          <w:lang w:eastAsia="en-IN"/>
          <w14:ligatures w14:val="none"/>
        </w:rPr>
        <w:t>.</w:t>
      </w:r>
    </w:p>
    <w:p w14:paraId="4B8B9BD5" w14:textId="72E091DE" w:rsidR="009024E4" w:rsidRPr="00B278D8" w:rsidRDefault="009D438E" w:rsidP="009024E4">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Medications accelerating gastric emptying include beta-adrenergic receptor antagonists and prokinetic agents</w:t>
      </w:r>
      <w:r w:rsidR="00F93879" w:rsidRPr="00B278D8">
        <w:rPr>
          <w:rFonts w:eastAsia="Times New Roman" w:cstheme="minorHAnsi"/>
          <w:kern w:val="0"/>
          <w:lang w:eastAsia="en-IN"/>
          <w14:ligatures w14:val="none"/>
        </w:rPr>
        <w:t xml:space="preserve"> </w:t>
      </w:r>
      <w:r w:rsidR="00F93879" w:rsidRPr="00B278D8">
        <w:rPr>
          <w:rFonts w:eastAsia="Times New Roman" w:cstheme="minorHAnsi"/>
          <w:kern w:val="0"/>
          <w:vertAlign w:val="superscript"/>
          <w:lang w:eastAsia="en-IN"/>
          <w14:ligatures w14:val="none"/>
        </w:rPr>
        <w:t>1</w:t>
      </w:r>
      <w:r w:rsidR="000C76E5" w:rsidRPr="00B278D8">
        <w:rPr>
          <w:rFonts w:eastAsia="Times New Roman" w:cstheme="minorHAnsi"/>
          <w:kern w:val="0"/>
          <w:vertAlign w:val="superscript"/>
          <w:lang w:eastAsia="en-IN"/>
          <w14:ligatures w14:val="none"/>
        </w:rPr>
        <w:t>3</w:t>
      </w:r>
      <w:r w:rsidRPr="00B278D8">
        <w:rPr>
          <w:rFonts w:eastAsia="Times New Roman" w:cstheme="minorHAnsi"/>
          <w:kern w:val="0"/>
          <w:lang w:eastAsia="en-IN"/>
          <w14:ligatures w14:val="none"/>
        </w:rPr>
        <w:t>.</w:t>
      </w:r>
    </w:p>
    <w:p w14:paraId="717AD878" w14:textId="669F4DC2" w:rsidR="000416B3" w:rsidRPr="00B278D8" w:rsidRDefault="009024E4" w:rsidP="00857DF3">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b/>
          <w:bCs/>
          <w:kern w:val="0"/>
          <w:lang w:eastAsia="en-IN"/>
          <w14:ligatures w14:val="none"/>
        </w:rPr>
        <w:t>Prokinetics</w:t>
      </w:r>
      <w:r w:rsidRPr="00B278D8">
        <w:rPr>
          <w:rFonts w:eastAsia="Times New Roman" w:cstheme="minorHAnsi"/>
          <w:kern w:val="0"/>
          <w:lang w:eastAsia="en-IN"/>
          <w14:ligatures w14:val="none"/>
        </w:rPr>
        <w:t xml:space="preserve"> are medications that augment gastrointestinal motility. In general</w:t>
      </w:r>
      <w:r w:rsidR="00FD63AD" w:rsidRPr="00B278D8">
        <w:rPr>
          <w:rFonts w:eastAsia="Times New Roman" w:cstheme="minorHAnsi"/>
          <w:kern w:val="0"/>
          <w:lang w:eastAsia="en-IN"/>
          <w14:ligatures w14:val="none"/>
        </w:rPr>
        <w:t xml:space="preserve">, </w:t>
      </w:r>
      <w:r w:rsidRPr="00B278D8">
        <w:rPr>
          <w:rFonts w:eastAsia="Times New Roman" w:cstheme="minorHAnsi"/>
          <w:kern w:val="0"/>
          <w:lang w:eastAsia="en-IN"/>
          <w14:ligatures w14:val="none"/>
        </w:rPr>
        <w:t>these increase gastric motility and enhance stomach emptying</w:t>
      </w:r>
      <w:r w:rsidR="00857DF3" w:rsidRPr="00B278D8">
        <w:rPr>
          <w:rFonts w:eastAsia="Times New Roman" w:cstheme="minorHAnsi"/>
          <w:kern w:val="0"/>
          <w:lang w:eastAsia="en-IN"/>
          <w14:ligatures w14:val="none"/>
        </w:rPr>
        <w:t>:</w:t>
      </w:r>
    </w:p>
    <w:p w14:paraId="55F472D4" w14:textId="77777777" w:rsidR="00857DF3" w:rsidRPr="00B278D8" w:rsidRDefault="00857DF3" w:rsidP="00857DF3">
      <w:pPr>
        <w:spacing w:after="0" w:line="240" w:lineRule="auto"/>
        <w:rPr>
          <w:rFonts w:eastAsia="Times New Roman" w:cstheme="minorHAnsi"/>
          <w:kern w:val="0"/>
          <w:lang w:eastAsia="en-IN"/>
          <w14:ligatures w14:val="none"/>
        </w:rPr>
      </w:pPr>
    </w:p>
    <w:p w14:paraId="48881451" w14:textId="77777777" w:rsidR="00857DF3" w:rsidRPr="00B278D8" w:rsidRDefault="00857DF3" w:rsidP="00857DF3">
      <w:pPr>
        <w:spacing w:after="0" w:line="240" w:lineRule="auto"/>
        <w:rPr>
          <w:rFonts w:eastAsia="Times New Roman" w:cstheme="minorHAnsi"/>
          <w:kern w:val="0"/>
          <w:lang w:eastAsia="en-IN"/>
          <w14:ligatures w14:val="none"/>
        </w:rPr>
      </w:pPr>
    </w:p>
    <w:p w14:paraId="7F5473DD" w14:textId="77777777" w:rsidR="00857DF3" w:rsidRPr="00B278D8" w:rsidRDefault="00857DF3" w:rsidP="00857DF3">
      <w:pPr>
        <w:spacing w:after="0" w:line="240" w:lineRule="auto"/>
        <w:rPr>
          <w:rFonts w:eastAsia="Times New Roman" w:cstheme="minorHAnsi"/>
          <w:kern w:val="0"/>
          <w:lang w:eastAsia="en-IN"/>
          <w14:ligatures w14:val="none"/>
        </w:rPr>
      </w:pPr>
    </w:p>
    <w:p w14:paraId="6F3F841F" w14:textId="77777777" w:rsidR="00857DF3" w:rsidRPr="00B278D8" w:rsidRDefault="00857DF3" w:rsidP="00857DF3">
      <w:pPr>
        <w:spacing w:after="0" w:line="240" w:lineRule="auto"/>
        <w:rPr>
          <w:rFonts w:eastAsia="Times New Roman" w:cstheme="minorHAnsi"/>
          <w:kern w:val="0"/>
          <w:lang w:eastAsia="en-IN"/>
          <w14:ligatures w14:val="none"/>
        </w:rPr>
      </w:pPr>
    </w:p>
    <w:tbl>
      <w:tblPr>
        <w:tblStyle w:val="PlainTable1"/>
        <w:tblW w:w="0" w:type="auto"/>
        <w:tblLook w:val="04A0" w:firstRow="1" w:lastRow="0" w:firstColumn="1" w:lastColumn="0" w:noHBand="0" w:noVBand="1"/>
      </w:tblPr>
      <w:tblGrid>
        <w:gridCol w:w="2019"/>
        <w:gridCol w:w="2639"/>
        <w:gridCol w:w="2115"/>
        <w:gridCol w:w="2243"/>
      </w:tblGrid>
      <w:tr w:rsidR="00B278D8" w:rsidRPr="000416B3" w14:paraId="5F93BDA7" w14:textId="77777777" w:rsidTr="00857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CF6291"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Drug/drug group</w:t>
            </w:r>
          </w:p>
        </w:tc>
        <w:tc>
          <w:tcPr>
            <w:tcW w:w="0" w:type="auto"/>
            <w:hideMark/>
          </w:tcPr>
          <w:p w14:paraId="7F050899" w14:textId="77777777" w:rsidR="000416B3" w:rsidRPr="000416B3" w:rsidRDefault="000416B3" w:rsidP="000416B3">
            <w:pPr>
              <w:spacing w:before="48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Mechanism of action</w:t>
            </w:r>
          </w:p>
        </w:tc>
        <w:tc>
          <w:tcPr>
            <w:tcW w:w="0" w:type="auto"/>
            <w:hideMark/>
          </w:tcPr>
          <w:p w14:paraId="7F27D10F" w14:textId="77777777" w:rsidR="000416B3" w:rsidRPr="000416B3" w:rsidRDefault="000416B3" w:rsidP="000416B3">
            <w:pPr>
              <w:spacing w:before="48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Common side effects</w:t>
            </w:r>
          </w:p>
        </w:tc>
        <w:tc>
          <w:tcPr>
            <w:tcW w:w="0" w:type="auto"/>
            <w:hideMark/>
          </w:tcPr>
          <w:p w14:paraId="358C39D7" w14:textId="77777777" w:rsidR="000416B3" w:rsidRPr="000416B3" w:rsidRDefault="000416B3" w:rsidP="000416B3">
            <w:pPr>
              <w:spacing w:before="48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Efficacy</w:t>
            </w:r>
          </w:p>
        </w:tc>
      </w:tr>
      <w:tr w:rsidR="00B278D8" w:rsidRPr="000416B3" w14:paraId="783872A4" w14:textId="77777777" w:rsidTr="0085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DF939F"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Metoclopramide 10 mg 4 times/d</w:t>
            </w:r>
          </w:p>
        </w:tc>
        <w:tc>
          <w:tcPr>
            <w:tcW w:w="0" w:type="auto"/>
            <w:hideMark/>
          </w:tcPr>
          <w:p w14:paraId="392F2071"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Anti-emetic, reduces nausea and post-prandial fullness, increases gastro-</w:t>
            </w:r>
            <w:proofErr w:type="spellStart"/>
            <w:r w:rsidRPr="000416B3">
              <w:rPr>
                <w:rFonts w:ascii="Times New Roman" w:eastAsia="Times New Roman" w:hAnsi="Times New Roman" w:cs="Times New Roman"/>
                <w:kern w:val="0"/>
                <w:sz w:val="20"/>
                <w:szCs w:val="20"/>
                <w:lang w:eastAsia="en-IN"/>
                <w14:ligatures w14:val="none"/>
              </w:rPr>
              <w:t>esophageal</w:t>
            </w:r>
            <w:proofErr w:type="spellEnd"/>
            <w:r w:rsidRPr="000416B3">
              <w:rPr>
                <w:rFonts w:ascii="Times New Roman" w:eastAsia="Times New Roman" w:hAnsi="Times New Roman" w:cs="Times New Roman"/>
                <w:kern w:val="0"/>
                <w:sz w:val="20"/>
                <w:szCs w:val="20"/>
                <w:lang w:eastAsia="en-IN"/>
                <w14:ligatures w14:val="none"/>
              </w:rPr>
              <w:t xml:space="preserve"> sphincter tone and improves </w:t>
            </w:r>
            <w:proofErr w:type="spellStart"/>
            <w:r w:rsidRPr="000416B3">
              <w:rPr>
                <w:rFonts w:ascii="Times New Roman" w:eastAsia="Times New Roman" w:hAnsi="Times New Roman" w:cs="Times New Roman"/>
                <w:kern w:val="0"/>
                <w:sz w:val="20"/>
                <w:szCs w:val="20"/>
                <w:lang w:eastAsia="en-IN"/>
                <w14:ligatures w14:val="none"/>
              </w:rPr>
              <w:t>antro</w:t>
            </w:r>
            <w:proofErr w:type="spellEnd"/>
            <w:r w:rsidRPr="000416B3">
              <w:rPr>
                <w:rFonts w:ascii="Times New Roman" w:eastAsia="Times New Roman" w:hAnsi="Times New Roman" w:cs="Times New Roman"/>
                <w:kern w:val="0"/>
                <w:sz w:val="20"/>
                <w:szCs w:val="20"/>
                <w:lang w:eastAsia="en-IN"/>
                <w14:ligatures w14:val="none"/>
              </w:rPr>
              <w:t>-</w:t>
            </w:r>
            <w:proofErr w:type="spellStart"/>
            <w:r w:rsidRPr="000416B3">
              <w:rPr>
                <w:rFonts w:ascii="Times New Roman" w:eastAsia="Times New Roman" w:hAnsi="Times New Roman" w:cs="Times New Roman"/>
                <w:kern w:val="0"/>
                <w:sz w:val="20"/>
                <w:szCs w:val="20"/>
                <w:lang w:eastAsia="en-IN"/>
                <w14:ligatures w14:val="none"/>
              </w:rPr>
              <w:t>pyloro</w:t>
            </w:r>
            <w:proofErr w:type="spellEnd"/>
            <w:r w:rsidRPr="000416B3">
              <w:rPr>
                <w:rFonts w:ascii="Times New Roman" w:eastAsia="Times New Roman" w:hAnsi="Times New Roman" w:cs="Times New Roman"/>
                <w:kern w:val="0"/>
                <w:sz w:val="20"/>
                <w:szCs w:val="20"/>
                <w:lang w:eastAsia="en-IN"/>
                <w14:ligatures w14:val="none"/>
              </w:rPr>
              <w:t>-duodenal coordination</w:t>
            </w:r>
          </w:p>
        </w:tc>
        <w:tc>
          <w:tcPr>
            <w:tcW w:w="0" w:type="auto"/>
            <w:hideMark/>
          </w:tcPr>
          <w:p w14:paraId="5FFC552F"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Tardive dyskinesia, drowsiness, irritability, extrapyramidal symptoms and dystonic reactions</w:t>
            </w:r>
          </w:p>
        </w:tc>
        <w:tc>
          <w:tcPr>
            <w:tcW w:w="0" w:type="auto"/>
            <w:hideMark/>
          </w:tcPr>
          <w:p w14:paraId="6E5CC683"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Symptom control in 1/3 to 2/3 of patients</w:t>
            </w:r>
          </w:p>
        </w:tc>
      </w:tr>
      <w:tr w:rsidR="00B278D8" w:rsidRPr="000416B3" w14:paraId="07767C47" w14:textId="77777777" w:rsidTr="00857DF3">
        <w:tc>
          <w:tcPr>
            <w:cnfStyle w:val="001000000000" w:firstRow="0" w:lastRow="0" w:firstColumn="1" w:lastColumn="0" w:oddVBand="0" w:evenVBand="0" w:oddHBand="0" w:evenHBand="0" w:firstRowFirstColumn="0" w:firstRowLastColumn="0" w:lastRowFirstColumn="0" w:lastRowLastColumn="0"/>
            <w:tcW w:w="0" w:type="auto"/>
            <w:hideMark/>
          </w:tcPr>
          <w:p w14:paraId="289302E1"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Domperidone 10 -20 mg 3 times/d</w:t>
            </w:r>
          </w:p>
        </w:tc>
        <w:tc>
          <w:tcPr>
            <w:tcW w:w="0" w:type="auto"/>
            <w:hideMark/>
          </w:tcPr>
          <w:p w14:paraId="2AE22A9C"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Similar to metoclopramide with fewer CNS side effects due to a predominant peripheral mechanism of action</w:t>
            </w:r>
          </w:p>
        </w:tc>
        <w:tc>
          <w:tcPr>
            <w:tcW w:w="0" w:type="auto"/>
            <w:hideMark/>
          </w:tcPr>
          <w:p w14:paraId="41897757"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May prolong QTc interval in ECG; in turn may provoke cardiac arrhythmia</w:t>
            </w:r>
          </w:p>
        </w:tc>
        <w:tc>
          <w:tcPr>
            <w:tcW w:w="0" w:type="auto"/>
            <w:hideMark/>
          </w:tcPr>
          <w:p w14:paraId="51B4282F"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Effective in up to 60% of cases; tachyphylaxis develops in a few weeks requiring discontinuation</w:t>
            </w:r>
          </w:p>
        </w:tc>
      </w:tr>
      <w:tr w:rsidR="00B278D8" w:rsidRPr="000416B3" w14:paraId="28EA3576" w14:textId="77777777" w:rsidTr="0085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8A642A"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Erythromycin 50-250 mg thrice daily</w:t>
            </w:r>
          </w:p>
        </w:tc>
        <w:tc>
          <w:tcPr>
            <w:tcW w:w="0" w:type="auto"/>
            <w:hideMark/>
          </w:tcPr>
          <w:p w14:paraId="43319E30"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Motilin receptor agonist. Reduces gastric emptying time</w:t>
            </w:r>
          </w:p>
        </w:tc>
        <w:tc>
          <w:tcPr>
            <w:tcW w:w="0" w:type="auto"/>
            <w:hideMark/>
          </w:tcPr>
          <w:p w14:paraId="618E65BC"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Nausea and vomiting at high doses</w:t>
            </w:r>
          </w:p>
        </w:tc>
        <w:tc>
          <w:tcPr>
            <w:tcW w:w="0" w:type="auto"/>
            <w:hideMark/>
          </w:tcPr>
          <w:p w14:paraId="2EE1D662"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Modest symptom control Intravenous form can be useful in refractory vomiting</w:t>
            </w:r>
          </w:p>
        </w:tc>
      </w:tr>
      <w:tr w:rsidR="00B278D8" w:rsidRPr="000416B3" w14:paraId="2AA65B13" w14:textId="77777777" w:rsidTr="00857DF3">
        <w:tc>
          <w:tcPr>
            <w:cnfStyle w:val="001000000000" w:firstRow="0" w:lastRow="0" w:firstColumn="1" w:lastColumn="0" w:oddVBand="0" w:evenVBand="0" w:oddHBand="0" w:evenHBand="0" w:firstRowFirstColumn="0" w:firstRowLastColumn="0" w:lastRowFirstColumn="0" w:lastRowLastColumn="0"/>
            <w:tcW w:w="0" w:type="auto"/>
            <w:hideMark/>
          </w:tcPr>
          <w:p w14:paraId="3C11AAC3"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Promethazine, prochlorperazine and chlorpromazine</w:t>
            </w:r>
          </w:p>
        </w:tc>
        <w:tc>
          <w:tcPr>
            <w:tcW w:w="0" w:type="auto"/>
            <w:hideMark/>
          </w:tcPr>
          <w:p w14:paraId="0CD0CBD7"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Mechanism of antiemesis poorly understood</w:t>
            </w:r>
          </w:p>
        </w:tc>
        <w:tc>
          <w:tcPr>
            <w:tcW w:w="0" w:type="auto"/>
            <w:hideMark/>
          </w:tcPr>
          <w:p w14:paraId="4128B825"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Drowsiness, liver injury and extrapyramidal effects</w:t>
            </w:r>
          </w:p>
        </w:tc>
        <w:tc>
          <w:tcPr>
            <w:tcW w:w="0" w:type="auto"/>
            <w:hideMark/>
          </w:tcPr>
          <w:p w14:paraId="522D3064" w14:textId="77777777" w:rsidR="000416B3" w:rsidRPr="000416B3" w:rsidRDefault="000416B3" w:rsidP="000416B3">
            <w:pPr>
              <w:spacing w:before="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Marginal improvement of symptoms Intramuscular chlorpromazine is very effective in refractory vomiting</w:t>
            </w:r>
          </w:p>
        </w:tc>
      </w:tr>
      <w:tr w:rsidR="00B278D8" w:rsidRPr="000416B3" w14:paraId="78824994" w14:textId="77777777" w:rsidTr="0085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00AD36" w14:textId="77777777" w:rsidR="000416B3" w:rsidRPr="000416B3" w:rsidRDefault="000416B3" w:rsidP="000416B3">
            <w:pPr>
              <w:spacing w:before="48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Ondansetron</w:t>
            </w:r>
          </w:p>
        </w:tc>
        <w:tc>
          <w:tcPr>
            <w:tcW w:w="0" w:type="auto"/>
            <w:hideMark/>
          </w:tcPr>
          <w:p w14:paraId="7401CB21"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 xml:space="preserve">Central serotonin receptor (5-HT3) antagonist Inhibits </w:t>
            </w:r>
            <w:proofErr w:type="spellStart"/>
            <w:r w:rsidRPr="000416B3">
              <w:rPr>
                <w:rFonts w:ascii="Times New Roman" w:eastAsia="Times New Roman" w:hAnsi="Times New Roman" w:cs="Times New Roman"/>
                <w:kern w:val="0"/>
                <w:sz w:val="20"/>
                <w:szCs w:val="20"/>
                <w:lang w:eastAsia="en-IN"/>
                <w14:ligatures w14:val="none"/>
              </w:rPr>
              <w:t>vagus</w:t>
            </w:r>
            <w:proofErr w:type="spellEnd"/>
            <w:r w:rsidRPr="000416B3">
              <w:rPr>
                <w:rFonts w:ascii="Times New Roman" w:eastAsia="Times New Roman" w:hAnsi="Times New Roman" w:cs="Times New Roman"/>
                <w:kern w:val="0"/>
                <w:sz w:val="20"/>
                <w:szCs w:val="20"/>
                <w:lang w:eastAsia="en-IN"/>
                <w14:ligatures w14:val="none"/>
              </w:rPr>
              <w:t xml:space="preserve"> nerve</w:t>
            </w:r>
          </w:p>
        </w:tc>
        <w:tc>
          <w:tcPr>
            <w:tcW w:w="0" w:type="auto"/>
            <w:hideMark/>
          </w:tcPr>
          <w:p w14:paraId="03DA9B04"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Extrapyramidal effect</w:t>
            </w:r>
          </w:p>
        </w:tc>
        <w:tc>
          <w:tcPr>
            <w:tcW w:w="0" w:type="auto"/>
            <w:hideMark/>
          </w:tcPr>
          <w:p w14:paraId="74799CD3" w14:textId="77777777" w:rsidR="000416B3" w:rsidRPr="000416B3" w:rsidRDefault="000416B3" w:rsidP="000416B3">
            <w:pPr>
              <w:spacing w:before="4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0416B3">
              <w:rPr>
                <w:rFonts w:ascii="Times New Roman" w:eastAsia="Times New Roman" w:hAnsi="Times New Roman" w:cs="Times New Roman"/>
                <w:kern w:val="0"/>
                <w:sz w:val="20"/>
                <w:szCs w:val="20"/>
                <w:lang w:eastAsia="en-IN"/>
                <w14:ligatures w14:val="none"/>
              </w:rPr>
              <w:t>Modest efficacy</w:t>
            </w:r>
          </w:p>
        </w:tc>
      </w:tr>
    </w:tbl>
    <w:p w14:paraId="394DA794" w14:textId="460A6CE6" w:rsidR="000416B3" w:rsidRPr="00B278D8" w:rsidRDefault="000416B3" w:rsidP="000416B3">
      <w:pPr>
        <w:pStyle w:val="ListParagraph"/>
        <w:shd w:val="clear" w:color="auto" w:fill="FFFFFF"/>
        <w:spacing w:before="400" w:after="400" w:line="240" w:lineRule="auto"/>
        <w:ind w:left="360"/>
        <w:rPr>
          <w:rFonts w:eastAsia="Times New Roman" w:cstheme="minorHAnsi"/>
          <w:kern w:val="0"/>
          <w:lang w:eastAsia="en-IN"/>
          <w14:ligatures w14:val="none"/>
        </w:rPr>
      </w:pPr>
      <w:r w:rsidRPr="00B278D8">
        <w:rPr>
          <w:rFonts w:eastAsia="Times New Roman" w:cstheme="minorHAnsi"/>
          <w:kern w:val="0"/>
          <w:lang w:eastAsia="en-IN"/>
          <w14:ligatures w14:val="none"/>
        </w:rPr>
        <w:t>Originated from Hasler</w:t>
      </w:r>
      <w:r w:rsidR="00523F02" w:rsidRPr="00B278D8">
        <w:rPr>
          <w:rFonts w:eastAsia="Times New Roman" w:cstheme="minorHAnsi"/>
          <w:kern w:val="0"/>
          <w:vertAlign w:val="superscript"/>
          <w:lang w:eastAsia="en-IN"/>
          <w14:ligatures w14:val="none"/>
        </w:rPr>
        <w:t xml:space="preserve"> 6</w:t>
      </w:r>
      <w:r w:rsidRPr="00B278D8">
        <w:rPr>
          <w:rFonts w:eastAsia="Times New Roman" w:cstheme="minorHAnsi"/>
          <w:kern w:val="0"/>
          <w:lang w:eastAsia="en-IN"/>
          <w14:ligatures w14:val="none"/>
        </w:rPr>
        <w:t>. CNS: Central nervous system; ECG: Electrocardiogram; QTc: Corrected QT interval.</w:t>
      </w:r>
    </w:p>
    <w:p w14:paraId="564C8DC3" w14:textId="77777777" w:rsidR="000416B3" w:rsidRPr="00B278D8" w:rsidRDefault="000416B3" w:rsidP="000416B3">
      <w:pPr>
        <w:pStyle w:val="ListParagraph"/>
        <w:spacing w:after="0" w:line="240" w:lineRule="auto"/>
        <w:ind w:left="360"/>
        <w:rPr>
          <w:rFonts w:eastAsia="Times New Roman" w:cstheme="minorHAnsi"/>
          <w:kern w:val="0"/>
          <w:lang w:eastAsia="en-IN"/>
          <w14:ligatures w14:val="none"/>
        </w:rPr>
      </w:pPr>
    </w:p>
    <w:p w14:paraId="76DB6628" w14:textId="77777777" w:rsidR="004F1368" w:rsidRPr="00B278D8" w:rsidRDefault="009D438E" w:rsidP="004F1368">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High blood glucose levels contribute to gastric dysrhythmias and delayed emptying, necessitating blood glucose control.</w:t>
      </w:r>
    </w:p>
    <w:p w14:paraId="2AA1CB0B" w14:textId="00816DAB" w:rsidR="004F1368" w:rsidRPr="00B278D8" w:rsidRDefault="009D438E" w:rsidP="004F1368">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lastRenderedPageBreak/>
        <w:t>Correct nutritional deficiencies and alleviate symptoms to optimize management of diabetic gastroparesis.</w:t>
      </w:r>
    </w:p>
    <w:p w14:paraId="70090947" w14:textId="12081201" w:rsidR="000679B5" w:rsidRPr="00B278D8" w:rsidRDefault="0006202A" w:rsidP="002C7B74">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Bethanechol (Urecholine) has been observed to increase the strength of contractions in the entire gastrointestinal (GI) tract. However, there is insufficient evidence regarding its impact on gastroparesis symptoms when used in isolation or in combination with other medications</w:t>
      </w:r>
      <w:r w:rsidRPr="00B278D8">
        <w:rPr>
          <w:rFonts w:eastAsia="Times New Roman" w:cstheme="minorHAnsi"/>
          <w:kern w:val="0"/>
          <w:lang w:eastAsia="en-IN"/>
          <w14:ligatures w14:val="none"/>
        </w:rPr>
        <w:t xml:space="preserve"> </w:t>
      </w:r>
      <w:r w:rsidR="00B73601" w:rsidRPr="00B278D8">
        <w:rPr>
          <w:rFonts w:eastAsia="Times New Roman" w:cstheme="minorHAnsi"/>
          <w:kern w:val="0"/>
          <w:vertAlign w:val="superscript"/>
          <w:lang w:eastAsia="en-IN"/>
          <w14:ligatures w14:val="none"/>
        </w:rPr>
        <w:t>14</w:t>
      </w:r>
      <w:r w:rsidR="00B73601" w:rsidRPr="00B278D8">
        <w:rPr>
          <w:rFonts w:eastAsia="Times New Roman" w:cstheme="minorHAnsi"/>
          <w:kern w:val="0"/>
          <w:lang w:eastAsia="en-IN"/>
          <w14:ligatures w14:val="none"/>
        </w:rPr>
        <w:t>.</w:t>
      </w:r>
    </w:p>
    <w:p w14:paraId="2B269932" w14:textId="3A7739FB" w:rsidR="007B4A3D" w:rsidRPr="00B278D8" w:rsidRDefault="00CC5F17" w:rsidP="00D54CE5">
      <w:pPr>
        <w:pStyle w:val="ListParagraph"/>
        <w:numPr>
          <w:ilvl w:val="0"/>
          <w:numId w:val="5"/>
        </w:numPr>
        <w:spacing w:after="0" w:line="240" w:lineRule="auto"/>
        <w:rPr>
          <w:rFonts w:eastAsia="Times New Roman" w:cstheme="minorHAnsi"/>
          <w:kern w:val="0"/>
          <w:lang w:eastAsia="en-IN"/>
          <w14:ligatures w14:val="none"/>
        </w:rPr>
      </w:pPr>
      <w:proofErr w:type="spellStart"/>
      <w:r w:rsidRPr="00B278D8">
        <w:rPr>
          <w:rFonts w:cstheme="minorHAnsi"/>
          <w:shd w:val="clear" w:color="auto" w:fill="F7F7F8"/>
        </w:rPr>
        <w:t>Mosapride</w:t>
      </w:r>
      <w:proofErr w:type="spellEnd"/>
      <w:r w:rsidRPr="00B278D8">
        <w:rPr>
          <w:rFonts w:cstheme="minorHAnsi"/>
          <w:shd w:val="clear" w:color="auto" w:fill="F7F7F8"/>
        </w:rPr>
        <w:t xml:space="preserve"> is a specific 5-HT4 agonist known for its ability to accelerate gastric emptying. Studies with orally administered </w:t>
      </w:r>
      <w:proofErr w:type="spellStart"/>
      <w:r w:rsidRPr="00B278D8">
        <w:rPr>
          <w:rFonts w:cstheme="minorHAnsi"/>
          <w:shd w:val="clear" w:color="auto" w:fill="F7F7F8"/>
        </w:rPr>
        <w:t>mosapride</w:t>
      </w:r>
      <w:proofErr w:type="spellEnd"/>
      <w:r w:rsidRPr="00B278D8">
        <w:rPr>
          <w:rFonts w:cstheme="minorHAnsi"/>
          <w:shd w:val="clear" w:color="auto" w:fill="F7F7F8"/>
        </w:rPr>
        <w:t xml:space="preserve"> citrate in </w:t>
      </w:r>
      <w:proofErr w:type="spellStart"/>
      <w:r w:rsidRPr="00B278D8">
        <w:rPr>
          <w:rFonts w:cstheme="minorHAnsi"/>
          <w:shd w:val="clear" w:color="auto" w:fill="F7F7F8"/>
        </w:rPr>
        <w:t>ob</w:t>
      </w:r>
      <w:proofErr w:type="spellEnd"/>
      <w:r w:rsidRPr="00B278D8">
        <w:rPr>
          <w:rFonts w:cstheme="minorHAnsi"/>
          <w:shd w:val="clear" w:color="auto" w:fill="F7F7F8"/>
        </w:rPr>
        <w:t>/</w:t>
      </w:r>
      <w:proofErr w:type="spellStart"/>
      <w:r w:rsidRPr="00B278D8">
        <w:rPr>
          <w:rFonts w:cstheme="minorHAnsi"/>
          <w:shd w:val="clear" w:color="auto" w:fill="F7F7F8"/>
        </w:rPr>
        <w:t>ob</w:t>
      </w:r>
      <w:proofErr w:type="spellEnd"/>
      <w:r w:rsidRPr="00B278D8">
        <w:rPr>
          <w:rFonts w:cstheme="minorHAnsi"/>
          <w:shd w:val="clear" w:color="auto" w:fill="F7F7F8"/>
        </w:rPr>
        <w:t xml:space="preserve"> obese mice have shown a significant increase in food intake, along with a tendency to decrease fasting blood glucose and </w:t>
      </w:r>
      <w:proofErr w:type="spellStart"/>
      <w:r w:rsidRPr="00B278D8">
        <w:rPr>
          <w:rFonts w:cstheme="minorHAnsi"/>
          <w:shd w:val="clear" w:color="auto" w:fill="F7F7F8"/>
        </w:rPr>
        <w:t>fructosamine</w:t>
      </w:r>
      <w:proofErr w:type="spellEnd"/>
      <w:r w:rsidRPr="00B278D8">
        <w:rPr>
          <w:rFonts w:cstheme="minorHAnsi"/>
          <w:shd w:val="clear" w:color="auto" w:fill="F7F7F8"/>
        </w:rPr>
        <w:t xml:space="preserve"> concentrations when compared to control groups</w:t>
      </w:r>
      <w:r w:rsidR="00BA550A" w:rsidRPr="00B278D8">
        <w:rPr>
          <w:rFonts w:cstheme="minorHAnsi"/>
          <w:shd w:val="clear" w:color="auto" w:fill="F7F7F8"/>
        </w:rPr>
        <w:t>.</w:t>
      </w:r>
      <w:r w:rsidR="007B4A3D" w:rsidRPr="00B278D8">
        <w:rPr>
          <w:rFonts w:cstheme="minorHAnsi"/>
          <w:shd w:val="clear" w:color="auto" w:fill="F7F7F8"/>
        </w:rPr>
        <w:t xml:space="preserve"> </w:t>
      </w:r>
      <w:r w:rsidR="007B4A3D" w:rsidRPr="00B278D8">
        <w:rPr>
          <w:rFonts w:cstheme="minorHAnsi"/>
          <w:shd w:val="clear" w:color="auto" w:fill="F7F7F8"/>
        </w:rPr>
        <w:t xml:space="preserve">Recent research has also reported symptom reductions in interferon-induced gastroparesis in hepatitis C patients who were treated with </w:t>
      </w:r>
      <w:proofErr w:type="spellStart"/>
      <w:r w:rsidR="007B4A3D" w:rsidRPr="00B278D8">
        <w:rPr>
          <w:rFonts w:cstheme="minorHAnsi"/>
          <w:shd w:val="clear" w:color="auto" w:fill="F7F7F8"/>
        </w:rPr>
        <w:t>mosapride</w:t>
      </w:r>
      <w:proofErr w:type="spellEnd"/>
      <w:r w:rsidR="007B4A3D" w:rsidRPr="00B278D8">
        <w:rPr>
          <w:rFonts w:cstheme="minorHAnsi"/>
          <w:shd w:val="clear" w:color="auto" w:fill="F7F7F8"/>
        </w:rPr>
        <w:t>.</w:t>
      </w:r>
      <w:r w:rsidR="00B0153A" w:rsidRPr="00B278D8">
        <w:rPr>
          <w:rFonts w:cstheme="minorHAnsi"/>
          <w:shd w:val="clear" w:color="auto" w:fill="F7F7F8"/>
          <w:vertAlign w:val="superscript"/>
        </w:rPr>
        <w:t xml:space="preserve"> 15-16</w:t>
      </w:r>
      <w:r w:rsidR="00B0153A" w:rsidRPr="00B278D8">
        <w:rPr>
          <w:rFonts w:cstheme="minorHAnsi"/>
          <w:shd w:val="clear" w:color="auto" w:fill="F7F7F8"/>
        </w:rPr>
        <w:t>.</w:t>
      </w:r>
    </w:p>
    <w:p w14:paraId="126DA3FC" w14:textId="46B260F4" w:rsidR="007D502B" w:rsidRPr="00B278D8" w:rsidRDefault="007D502B" w:rsidP="00D54CE5">
      <w:pPr>
        <w:pStyle w:val="ListParagraph"/>
        <w:numPr>
          <w:ilvl w:val="0"/>
          <w:numId w:val="5"/>
        </w:numPr>
        <w:spacing w:after="0" w:line="240" w:lineRule="auto"/>
        <w:rPr>
          <w:rFonts w:eastAsia="Times New Roman" w:cstheme="minorHAnsi"/>
          <w:kern w:val="0"/>
          <w:lang w:eastAsia="en-IN"/>
          <w14:ligatures w14:val="none"/>
        </w:rPr>
      </w:pPr>
      <w:r w:rsidRPr="00B278D8">
        <w:rPr>
          <w:rFonts w:eastAsia="Times New Roman" w:cstheme="minorHAnsi"/>
          <w:kern w:val="0"/>
          <w:lang w:eastAsia="en-IN"/>
          <w14:ligatures w14:val="none"/>
        </w:rPr>
        <w:t xml:space="preserve">Other agents that have shown gastric stimulating effects in gastroparesis include prucalopride, </w:t>
      </w:r>
      <w:proofErr w:type="spellStart"/>
      <w:r w:rsidRPr="00B278D8">
        <w:rPr>
          <w:rFonts w:eastAsia="Times New Roman" w:cstheme="minorHAnsi"/>
          <w:kern w:val="0"/>
          <w:lang w:eastAsia="en-IN"/>
          <w14:ligatures w14:val="none"/>
        </w:rPr>
        <w:t>velusetrag</w:t>
      </w:r>
      <w:proofErr w:type="spellEnd"/>
      <w:r w:rsidRPr="00B278D8">
        <w:rPr>
          <w:rFonts w:eastAsia="Times New Roman" w:cstheme="minorHAnsi"/>
          <w:kern w:val="0"/>
          <w:lang w:eastAsia="en-IN"/>
          <w14:ligatures w14:val="none"/>
        </w:rPr>
        <w:t xml:space="preserve">, </w:t>
      </w:r>
      <w:proofErr w:type="spellStart"/>
      <w:r w:rsidRPr="00B278D8">
        <w:rPr>
          <w:rFonts w:eastAsia="Times New Roman" w:cstheme="minorHAnsi"/>
          <w:kern w:val="0"/>
          <w:lang w:eastAsia="en-IN"/>
          <w14:ligatures w14:val="none"/>
        </w:rPr>
        <w:t>naronapride</w:t>
      </w:r>
      <w:proofErr w:type="spellEnd"/>
      <w:r w:rsidRPr="00B278D8">
        <w:rPr>
          <w:rFonts w:eastAsia="Times New Roman" w:cstheme="minorHAnsi"/>
          <w:kern w:val="0"/>
          <w:lang w:eastAsia="en-IN"/>
          <w14:ligatures w14:val="none"/>
        </w:rPr>
        <w:t xml:space="preserve"> (all 5-HT4 agonists), and </w:t>
      </w:r>
      <w:proofErr w:type="spellStart"/>
      <w:r w:rsidRPr="00B278D8">
        <w:rPr>
          <w:rFonts w:eastAsia="Times New Roman" w:cstheme="minorHAnsi"/>
          <w:kern w:val="0"/>
          <w:lang w:eastAsia="en-IN"/>
          <w14:ligatures w14:val="none"/>
        </w:rPr>
        <w:t>acotiamide</w:t>
      </w:r>
      <w:proofErr w:type="spellEnd"/>
      <w:r w:rsidRPr="00B278D8">
        <w:rPr>
          <w:rFonts w:eastAsia="Times New Roman" w:cstheme="minorHAnsi"/>
          <w:kern w:val="0"/>
          <w:lang w:eastAsia="en-IN"/>
          <w14:ligatures w14:val="none"/>
        </w:rPr>
        <w:t xml:space="preserve"> (an acetylcholinesterase inhibitor), though further evidence is required to establish their benefits</w:t>
      </w:r>
      <w:r w:rsidRPr="00B278D8">
        <w:rPr>
          <w:rFonts w:eastAsia="Times New Roman" w:cstheme="minorHAnsi"/>
          <w:kern w:val="0"/>
          <w:lang w:eastAsia="en-IN"/>
          <w14:ligatures w14:val="none"/>
        </w:rPr>
        <w:t xml:space="preserve"> </w:t>
      </w:r>
      <w:r w:rsidRPr="00B278D8">
        <w:rPr>
          <w:rFonts w:eastAsia="Times New Roman" w:cstheme="minorHAnsi"/>
          <w:kern w:val="0"/>
          <w:vertAlign w:val="superscript"/>
          <w:lang w:eastAsia="en-IN"/>
          <w14:ligatures w14:val="none"/>
        </w:rPr>
        <w:t>6</w:t>
      </w:r>
      <w:r w:rsidRPr="00B278D8">
        <w:rPr>
          <w:rFonts w:eastAsia="Times New Roman" w:cstheme="minorHAnsi"/>
          <w:kern w:val="0"/>
          <w:lang w:eastAsia="en-IN"/>
          <w14:ligatures w14:val="none"/>
        </w:rPr>
        <w:t>.</w:t>
      </w:r>
    </w:p>
    <w:p w14:paraId="0C072C61" w14:textId="77777777" w:rsidR="00746AA0" w:rsidRPr="00B278D8" w:rsidRDefault="00746AA0" w:rsidP="00746AA0">
      <w:pPr>
        <w:spacing w:after="0" w:line="240" w:lineRule="auto"/>
        <w:rPr>
          <w:rFonts w:eastAsia="Times New Roman" w:cstheme="minorHAnsi"/>
          <w:kern w:val="0"/>
          <w:lang w:eastAsia="en-IN"/>
          <w14:ligatures w14:val="none"/>
        </w:rPr>
      </w:pPr>
    </w:p>
    <w:p w14:paraId="3137FCB6" w14:textId="19AF4C06" w:rsidR="00746AA0" w:rsidRPr="00B278D8" w:rsidRDefault="00746AA0" w:rsidP="00125977">
      <w:pPr>
        <w:pStyle w:val="Heading2"/>
        <w:numPr>
          <w:ilvl w:val="0"/>
          <w:numId w:val="1"/>
        </w:numPr>
        <w:rPr>
          <w:b/>
          <w:bCs/>
          <w:color w:val="auto"/>
          <w:u w:val="single"/>
        </w:rPr>
      </w:pPr>
      <w:r w:rsidRPr="00B278D8">
        <w:rPr>
          <w:b/>
          <w:bCs/>
          <w:color w:val="auto"/>
          <w:u w:val="single"/>
        </w:rPr>
        <w:t>ENTEROPATHY</w:t>
      </w:r>
    </w:p>
    <w:p w14:paraId="7620543E" w14:textId="53B4771E" w:rsidR="004C6F18" w:rsidRPr="00B278D8" w:rsidRDefault="004C6F18" w:rsidP="004C6F18">
      <w:r w:rsidRPr="00B278D8">
        <w:t xml:space="preserve">Patients with longstanding diabetes commonly experience small intestinal and colorectal dysfunctions, especially in the presence of gastroparesis. Diabetes-related enteropathy can lead to </w:t>
      </w:r>
      <w:proofErr w:type="spellStart"/>
      <w:r w:rsidRPr="00B278D8">
        <w:t>diarrhea</w:t>
      </w:r>
      <w:proofErr w:type="spellEnd"/>
      <w:r w:rsidRPr="00B278D8">
        <w:t xml:space="preserve">, constipation, or </w:t>
      </w:r>
      <w:proofErr w:type="spellStart"/>
      <w:r w:rsidRPr="00B278D8">
        <w:t>fecal</w:t>
      </w:r>
      <w:proofErr w:type="spellEnd"/>
      <w:r w:rsidRPr="00B278D8">
        <w:t xml:space="preserve"> incontinence, similar to upper GI complications in diabetes</w:t>
      </w:r>
      <w:r w:rsidRPr="00B278D8">
        <w:t xml:space="preserve">. </w:t>
      </w:r>
    </w:p>
    <w:p w14:paraId="006B0322" w14:textId="26981376" w:rsidR="00762D22" w:rsidRPr="00B278D8" w:rsidRDefault="00762D22" w:rsidP="004C6F18">
      <w:r w:rsidRPr="00B278D8">
        <w:t>Advanced glycation end products (AGEs) contribute to cellular and tissue damage, found increased in the ganglia, crypt, and brush border of diabetic jejunum and ileum, as well as in the diabetic colon's ganglia in animal models</w:t>
      </w:r>
      <w:r w:rsidRPr="00B278D8">
        <w:t xml:space="preserve"> </w:t>
      </w:r>
      <w:r w:rsidRPr="00B278D8">
        <w:rPr>
          <w:vertAlign w:val="superscript"/>
        </w:rPr>
        <w:t>17</w:t>
      </w:r>
      <w:r w:rsidRPr="00B278D8">
        <w:t>.</w:t>
      </w:r>
      <w:r w:rsidRPr="00B278D8">
        <w:t xml:space="preserve"> Autonomic neuropathy and fibrosis of intestinal muscular layers cause stasis of intestinal contents, resulting in reduced bowel motility, constipation, and potential overflow incontinence.</w:t>
      </w:r>
    </w:p>
    <w:p w14:paraId="64B6FA16" w14:textId="2903F81C" w:rsidR="00523C91" w:rsidRPr="00B278D8" w:rsidRDefault="00523C91" w:rsidP="004C6F18">
      <w:r w:rsidRPr="00B278D8">
        <w:rPr>
          <w:b/>
          <w:bCs/>
        </w:rPr>
        <w:t>Intestinal stasis</w:t>
      </w:r>
      <w:r w:rsidRPr="00B278D8">
        <w:t xml:space="preserve"> may also lead to </w:t>
      </w:r>
      <w:r w:rsidRPr="00B278D8">
        <w:rPr>
          <w:b/>
          <w:bCs/>
        </w:rPr>
        <w:t>small intestinal bacterial overgrowth (SIBO</w:t>
      </w:r>
      <w:r w:rsidRPr="00B278D8">
        <w:t xml:space="preserve">) and subsequent </w:t>
      </w:r>
      <w:proofErr w:type="spellStart"/>
      <w:r w:rsidRPr="00B278D8">
        <w:t>diarrhea</w:t>
      </w:r>
      <w:proofErr w:type="spellEnd"/>
      <w:r w:rsidRPr="00B278D8">
        <w:t>.</w:t>
      </w:r>
    </w:p>
    <w:p w14:paraId="5F31EBEC" w14:textId="537B219C" w:rsidR="002B55BD" w:rsidRPr="00B278D8" w:rsidRDefault="002B55BD" w:rsidP="004C6F18">
      <w:r w:rsidRPr="00B278D8">
        <w:t xml:space="preserve">Diabetic enteropathy presents with alternating </w:t>
      </w:r>
      <w:r w:rsidRPr="00B278D8">
        <w:rPr>
          <w:b/>
          <w:bCs/>
        </w:rPr>
        <w:t>constipation</w:t>
      </w:r>
      <w:r w:rsidRPr="00B278D8">
        <w:t xml:space="preserve"> and painless </w:t>
      </w:r>
      <w:proofErr w:type="spellStart"/>
      <w:r w:rsidRPr="00B278D8">
        <w:t>diarrhea</w:t>
      </w:r>
      <w:proofErr w:type="spellEnd"/>
      <w:r w:rsidRPr="00B278D8">
        <w:t xml:space="preserve">, often with </w:t>
      </w:r>
      <w:proofErr w:type="spellStart"/>
      <w:r w:rsidRPr="00B278D8">
        <w:t>fecal</w:t>
      </w:r>
      <w:proofErr w:type="spellEnd"/>
      <w:r w:rsidRPr="00B278D8">
        <w:t xml:space="preserve"> incontinence, more common at night. It is typical in poorly controlled diabetes with peripheral and autonomic neuropathy</w:t>
      </w:r>
      <w:r w:rsidR="008C6498" w:rsidRPr="00B278D8">
        <w:rPr>
          <w:vertAlign w:val="superscript"/>
        </w:rPr>
        <w:t xml:space="preserve"> 18</w:t>
      </w:r>
      <w:r w:rsidRPr="00B278D8">
        <w:t xml:space="preserve">. Other causes of diabetic </w:t>
      </w:r>
      <w:proofErr w:type="spellStart"/>
      <w:r w:rsidRPr="00B278D8">
        <w:t>diarrhea</w:t>
      </w:r>
      <w:proofErr w:type="spellEnd"/>
      <w:r w:rsidRPr="00B278D8">
        <w:t xml:space="preserve"> include pancreatic insufficiency, bile salt malabsorption, steatorrhea, and drugs (e.g., Metformin), which should be excluded through investigations before diagnosing enteropathy.</w:t>
      </w:r>
    </w:p>
    <w:p w14:paraId="4789B758" w14:textId="77777777" w:rsidR="001B13FE" w:rsidRPr="00B278D8" w:rsidRDefault="008B6EF9" w:rsidP="004C6F18">
      <w:r w:rsidRPr="00B278D8">
        <w:rPr>
          <w:u w:val="single"/>
        </w:rPr>
        <w:t>Evaluation:</w:t>
      </w:r>
      <w:r w:rsidRPr="00B278D8">
        <w:t xml:space="preserve"> </w:t>
      </w:r>
    </w:p>
    <w:p w14:paraId="690E9B43" w14:textId="4DA82B16" w:rsidR="008B6EF9" w:rsidRPr="00B278D8" w:rsidRDefault="008B6EF9" w:rsidP="004C6F18">
      <w:r w:rsidRPr="00B278D8">
        <w:t>Examination of jejunal contents through aspiration and direct culture is considered a gold standard for SIBO diagnosis</w:t>
      </w:r>
      <w:r w:rsidRPr="00B278D8">
        <w:t xml:space="preserve"> </w:t>
      </w:r>
      <w:r w:rsidRPr="00B278D8">
        <w:rPr>
          <w:vertAlign w:val="superscript"/>
        </w:rPr>
        <w:t>19</w:t>
      </w:r>
      <w:r w:rsidRPr="00B278D8">
        <w:t>. However, these methods have limitations, including possible contamination from oropharyngeal bacteria during intubation and the potential to miss patchy bacterial overgrowth with a single aspiration. Non-invasive diagnostic tests for SIBO mainly rely on measuring hydrogen excretion in breath after luminal bacterial carbohydrate metabolism.</w:t>
      </w:r>
    </w:p>
    <w:p w14:paraId="5B9F2CF1" w14:textId="244D942C" w:rsidR="00346AC8" w:rsidRPr="00B278D8" w:rsidRDefault="00346AC8" w:rsidP="004C6F18">
      <w:pPr>
        <w:rPr>
          <w:u w:val="single"/>
        </w:rPr>
      </w:pPr>
      <w:r w:rsidRPr="00B278D8">
        <w:rPr>
          <w:u w:val="single"/>
        </w:rPr>
        <w:t>Treatment:</w:t>
      </w:r>
    </w:p>
    <w:p w14:paraId="0ECD34EA" w14:textId="35F3D9E1" w:rsidR="00346AC8" w:rsidRPr="00B278D8" w:rsidRDefault="00346AC8" w:rsidP="00922EA2">
      <w:pPr>
        <w:pStyle w:val="ListParagraph"/>
        <w:numPr>
          <w:ilvl w:val="0"/>
          <w:numId w:val="8"/>
        </w:numPr>
      </w:pPr>
      <w:r w:rsidRPr="00B278D8">
        <w:t xml:space="preserve">Diabetic </w:t>
      </w:r>
      <w:proofErr w:type="spellStart"/>
      <w:r w:rsidRPr="00B278D8">
        <w:t>diarrhea</w:t>
      </w:r>
      <w:proofErr w:type="spellEnd"/>
      <w:r w:rsidRPr="00B278D8">
        <w:t xml:space="preserve"> treatment focuses on symptom relief, fluid and electrolyte correction, nutrition improvement, and </w:t>
      </w:r>
      <w:proofErr w:type="spellStart"/>
      <w:r w:rsidRPr="00B278D8">
        <w:t>glycemic</w:t>
      </w:r>
      <w:proofErr w:type="spellEnd"/>
      <w:r w:rsidRPr="00B278D8">
        <w:t xml:space="preserve"> control, while addressing underlying causes.</w:t>
      </w:r>
    </w:p>
    <w:p w14:paraId="37CF8FF7" w14:textId="77777777" w:rsidR="00A06ABF" w:rsidRPr="00B278D8" w:rsidRDefault="00346AC8" w:rsidP="00A2196F">
      <w:pPr>
        <w:pStyle w:val="ListParagraph"/>
        <w:numPr>
          <w:ilvl w:val="0"/>
          <w:numId w:val="8"/>
        </w:numPr>
      </w:pPr>
      <w:r w:rsidRPr="00B278D8">
        <w:t>Caution should be exercised with anti-diarrheal agents due to the risk of toxic megacolon.</w:t>
      </w:r>
    </w:p>
    <w:p w14:paraId="06CB8F95" w14:textId="65A0BD69" w:rsidR="00A06ABF" w:rsidRPr="00B278D8" w:rsidRDefault="00346AC8" w:rsidP="00346AC8">
      <w:pPr>
        <w:pStyle w:val="ListParagraph"/>
        <w:numPr>
          <w:ilvl w:val="0"/>
          <w:numId w:val="8"/>
        </w:numPr>
      </w:pPr>
      <w:r w:rsidRPr="00B278D8">
        <w:t>Rifaximin, a minimally absorbed oral antimicrobial agent, is effective against bacterial overgrowth in up to 84% of patients</w:t>
      </w:r>
      <w:r w:rsidR="00B21D9E" w:rsidRPr="00B278D8">
        <w:t xml:space="preserve"> </w:t>
      </w:r>
      <w:r w:rsidR="001B13FE" w:rsidRPr="00B278D8">
        <w:rPr>
          <w:vertAlign w:val="superscript"/>
        </w:rPr>
        <w:t>20</w:t>
      </w:r>
      <w:r w:rsidRPr="00B278D8">
        <w:t xml:space="preserve">. </w:t>
      </w:r>
    </w:p>
    <w:p w14:paraId="1C76F658" w14:textId="1AD55FDE" w:rsidR="00A06ABF" w:rsidRPr="00B278D8" w:rsidRDefault="00346AC8" w:rsidP="00346AC8">
      <w:pPr>
        <w:pStyle w:val="ListParagraph"/>
        <w:numPr>
          <w:ilvl w:val="0"/>
          <w:numId w:val="8"/>
        </w:numPr>
      </w:pPr>
      <w:r w:rsidRPr="00B278D8">
        <w:lastRenderedPageBreak/>
        <w:t>Other antibiotics include amoxicillin-clavulanic acid, doxycycline, ciprofloxacin, metronidazole, neomycin, and norfloxacin.</w:t>
      </w:r>
    </w:p>
    <w:p w14:paraId="0491EF76" w14:textId="54761403" w:rsidR="00346AC8" w:rsidRPr="00B278D8" w:rsidRDefault="00346AC8" w:rsidP="00346AC8">
      <w:pPr>
        <w:pStyle w:val="ListParagraph"/>
        <w:numPr>
          <w:ilvl w:val="0"/>
          <w:numId w:val="8"/>
        </w:numPr>
      </w:pPr>
      <w:r w:rsidRPr="00B278D8">
        <w:t xml:space="preserve">Somatostatin analogues have shown anecdotal success in treating intractable secretory </w:t>
      </w:r>
      <w:proofErr w:type="spellStart"/>
      <w:r w:rsidRPr="00B278D8">
        <w:t>diarrhea</w:t>
      </w:r>
      <w:proofErr w:type="spellEnd"/>
      <w:r w:rsidRPr="00B278D8">
        <w:t xml:space="preserve"> in diabetic patients with autonomic neuropathy</w:t>
      </w:r>
      <w:r w:rsidR="001B13FE" w:rsidRPr="00B278D8">
        <w:t>.</w:t>
      </w:r>
    </w:p>
    <w:p w14:paraId="19429C6C" w14:textId="77777777" w:rsidR="00053BF5" w:rsidRPr="00B278D8" w:rsidRDefault="00053BF5" w:rsidP="00053BF5">
      <w:pPr>
        <w:pStyle w:val="Heading2"/>
        <w:rPr>
          <w:color w:val="auto"/>
        </w:rPr>
      </w:pPr>
    </w:p>
    <w:p w14:paraId="09369652" w14:textId="67DD4996" w:rsidR="00053BF5" w:rsidRPr="00B278D8" w:rsidRDefault="00053BF5" w:rsidP="00053BF5">
      <w:pPr>
        <w:pStyle w:val="Heading2"/>
        <w:numPr>
          <w:ilvl w:val="0"/>
          <w:numId w:val="1"/>
        </w:numPr>
        <w:rPr>
          <w:color w:val="auto"/>
          <w:u w:val="single"/>
        </w:rPr>
      </w:pPr>
      <w:r w:rsidRPr="00B278D8">
        <w:rPr>
          <w:color w:val="auto"/>
          <w:u w:val="single"/>
        </w:rPr>
        <w:t>NONALCOHOLIC FATTY LIVER DISEASE</w:t>
      </w:r>
      <w:r w:rsidRPr="00B278D8">
        <w:rPr>
          <w:color w:val="auto"/>
          <w:u w:val="single"/>
        </w:rPr>
        <w:t>:</w:t>
      </w:r>
    </w:p>
    <w:p w14:paraId="39DF4662" w14:textId="77777777" w:rsidR="0036295E" w:rsidRPr="00B278D8" w:rsidRDefault="0000443F" w:rsidP="00DA745E">
      <w:pPr>
        <w:rPr>
          <w:rFonts w:cstheme="minorHAnsi"/>
          <w:shd w:val="clear" w:color="auto" w:fill="F7F7F8"/>
        </w:rPr>
      </w:pPr>
      <w:proofErr w:type="spellStart"/>
      <w:r w:rsidRPr="00B278D8">
        <w:rPr>
          <w:rFonts w:cstheme="minorHAnsi"/>
          <w:shd w:val="clear" w:color="auto" w:fill="F7F7F8"/>
        </w:rPr>
        <w:t>Nonalcoholic</w:t>
      </w:r>
      <w:proofErr w:type="spellEnd"/>
      <w:r w:rsidRPr="00B278D8">
        <w:rPr>
          <w:rFonts w:cstheme="minorHAnsi"/>
          <w:shd w:val="clear" w:color="auto" w:fill="F7F7F8"/>
        </w:rPr>
        <w:t xml:space="preserve"> fatty liver disease (NAFLD) is a liver condition resembling alcohol-induced injury, but occurring in individuals with no significant alcohol consumption history. It is often associated with type 2 diabetes and obesity. Progression to </w:t>
      </w:r>
      <w:proofErr w:type="spellStart"/>
      <w:r w:rsidRPr="00B278D8">
        <w:rPr>
          <w:rFonts w:cstheme="minorHAnsi"/>
          <w:shd w:val="clear" w:color="auto" w:fill="F7F7F8"/>
        </w:rPr>
        <w:t>nonalcoholic</w:t>
      </w:r>
      <w:proofErr w:type="spellEnd"/>
      <w:r w:rsidRPr="00B278D8">
        <w:rPr>
          <w:rFonts w:cstheme="minorHAnsi"/>
          <w:shd w:val="clear" w:color="auto" w:fill="F7F7F8"/>
        </w:rPr>
        <w:t xml:space="preserve"> steatohepatitis with inflammation and fibrosis is possible, and in rare cases, it may lead to cirrhosis. </w:t>
      </w:r>
    </w:p>
    <w:p w14:paraId="70720659" w14:textId="44382B3B" w:rsidR="00DA745E" w:rsidRPr="00B278D8" w:rsidRDefault="0000443F" w:rsidP="00DA745E">
      <w:pPr>
        <w:rPr>
          <w:rFonts w:cstheme="minorHAnsi"/>
          <w:shd w:val="clear" w:color="auto" w:fill="F7F7F8"/>
        </w:rPr>
      </w:pPr>
      <w:r w:rsidRPr="00B278D8">
        <w:rPr>
          <w:rFonts w:cstheme="minorHAnsi"/>
          <w:shd w:val="clear" w:color="auto" w:fill="F7F7F8"/>
        </w:rPr>
        <w:t>Persistent elevation in hepatic transaminase levels aids diagnosis, and serologic testing excludes other liver conditions. Characteristic changes on ultrasonography or computed tomography, coupled with minimal alcohol consumption, confirm NAFLD diagnosis</w:t>
      </w:r>
      <w:r w:rsidR="009B4EA8" w:rsidRPr="00B278D8">
        <w:rPr>
          <w:rFonts w:cstheme="minorHAnsi"/>
          <w:shd w:val="clear" w:color="auto" w:fill="F7F7F8"/>
        </w:rPr>
        <w:t xml:space="preserve"> </w:t>
      </w:r>
      <w:r w:rsidR="009B4EA8" w:rsidRPr="00B278D8">
        <w:rPr>
          <w:rFonts w:cstheme="minorHAnsi"/>
          <w:shd w:val="clear" w:color="auto" w:fill="F7F7F8"/>
          <w:vertAlign w:val="superscript"/>
        </w:rPr>
        <w:t>2</w:t>
      </w:r>
      <w:r w:rsidR="0036295E" w:rsidRPr="00B278D8">
        <w:rPr>
          <w:rFonts w:cstheme="minorHAnsi"/>
          <w:shd w:val="clear" w:color="auto" w:fill="F7F7F8"/>
          <w:vertAlign w:val="superscript"/>
        </w:rPr>
        <w:t>1</w:t>
      </w:r>
      <w:r w:rsidR="009B4EA8" w:rsidRPr="00B278D8">
        <w:rPr>
          <w:rFonts w:cstheme="minorHAnsi"/>
          <w:shd w:val="clear" w:color="auto" w:fill="F7F7F8"/>
        </w:rPr>
        <w:t>.</w:t>
      </w:r>
    </w:p>
    <w:p w14:paraId="4193F0C2" w14:textId="49EEC58F" w:rsidR="008B1D53" w:rsidRPr="00B278D8" w:rsidRDefault="008B1D53" w:rsidP="00DA745E">
      <w:pPr>
        <w:rPr>
          <w:rFonts w:cstheme="minorHAnsi"/>
          <w:u w:val="single"/>
          <w:shd w:val="clear" w:color="auto" w:fill="F7F7F8"/>
        </w:rPr>
      </w:pPr>
      <w:r w:rsidRPr="00B278D8">
        <w:rPr>
          <w:rFonts w:cstheme="minorHAnsi"/>
          <w:u w:val="single"/>
          <w:shd w:val="clear" w:color="auto" w:fill="F7F7F8"/>
        </w:rPr>
        <w:t>Features</w:t>
      </w:r>
      <w:r w:rsidR="00B247CE" w:rsidRPr="00B278D8">
        <w:rPr>
          <w:rFonts w:cstheme="minorHAnsi"/>
          <w:u w:val="single"/>
          <w:shd w:val="clear" w:color="auto" w:fill="F7F7F8"/>
        </w:rPr>
        <w:t xml:space="preserve"> and </w:t>
      </w:r>
      <w:r w:rsidR="00DD58E4" w:rsidRPr="00B278D8">
        <w:rPr>
          <w:rFonts w:cstheme="minorHAnsi"/>
          <w:u w:val="single"/>
          <w:shd w:val="clear" w:color="auto" w:fill="F7F7F8"/>
        </w:rPr>
        <w:t>Clinical Course</w:t>
      </w:r>
      <w:r w:rsidR="00C156E9" w:rsidRPr="00B278D8">
        <w:rPr>
          <w:rFonts w:cstheme="minorHAnsi"/>
          <w:u w:val="single"/>
          <w:shd w:val="clear" w:color="auto" w:fill="F7F7F8"/>
        </w:rPr>
        <w:t xml:space="preserve">: </w:t>
      </w:r>
    </w:p>
    <w:p w14:paraId="65A2E13D" w14:textId="77777777" w:rsidR="00C156E9" w:rsidRPr="00B278D8" w:rsidRDefault="00C156E9" w:rsidP="00560BEE">
      <w:pPr>
        <w:pStyle w:val="ListParagraph"/>
        <w:numPr>
          <w:ilvl w:val="0"/>
          <w:numId w:val="9"/>
        </w:numPr>
        <w:rPr>
          <w:rFonts w:cstheme="minorHAnsi"/>
        </w:rPr>
      </w:pPr>
      <w:proofErr w:type="spellStart"/>
      <w:r w:rsidRPr="00B278D8">
        <w:rPr>
          <w:rFonts w:cstheme="minorHAnsi"/>
        </w:rPr>
        <w:t>Nonalcoholic</w:t>
      </w:r>
      <w:proofErr w:type="spellEnd"/>
      <w:r w:rsidRPr="00B278D8">
        <w:rPr>
          <w:rFonts w:cstheme="minorHAnsi"/>
        </w:rPr>
        <w:t xml:space="preserve"> fatty liver disease (NAFLD) is often asymptomatic, but some patients may experience nonspecific symptoms like malaise and right upper quadrant pain. </w:t>
      </w:r>
    </w:p>
    <w:p w14:paraId="27554045" w14:textId="77777777" w:rsidR="00C156E9" w:rsidRPr="00B278D8" w:rsidRDefault="00C156E9" w:rsidP="00560BEE">
      <w:pPr>
        <w:pStyle w:val="ListParagraph"/>
        <w:numPr>
          <w:ilvl w:val="0"/>
          <w:numId w:val="9"/>
        </w:numPr>
        <w:rPr>
          <w:rFonts w:cstheme="minorHAnsi"/>
        </w:rPr>
      </w:pPr>
      <w:r w:rsidRPr="00B278D8">
        <w:rPr>
          <w:rFonts w:cstheme="minorHAnsi"/>
        </w:rPr>
        <w:t xml:space="preserve">NAFLD's clinical spectrum ranges from mild liver enzyme elevation to severe fibrosis and nodular degeneration. </w:t>
      </w:r>
    </w:p>
    <w:p w14:paraId="72FFE793" w14:textId="77777777" w:rsidR="00C156E9" w:rsidRPr="00B278D8" w:rsidRDefault="00C156E9" w:rsidP="00560BEE">
      <w:pPr>
        <w:pStyle w:val="ListParagraph"/>
        <w:numPr>
          <w:ilvl w:val="0"/>
          <w:numId w:val="9"/>
        </w:numPr>
        <w:rPr>
          <w:rFonts w:cstheme="minorHAnsi"/>
        </w:rPr>
      </w:pPr>
      <w:r w:rsidRPr="00B278D8">
        <w:rPr>
          <w:rFonts w:cstheme="minorHAnsi"/>
        </w:rPr>
        <w:t xml:space="preserve">About 30% of NAFLD cases with isolated steatosis progress to NASH, of which 20% may develop cirrhosis, and 40% of cirrhotic patients experience decompensated liver disease. </w:t>
      </w:r>
    </w:p>
    <w:p w14:paraId="3AE63B7D" w14:textId="77777777" w:rsidR="00C156E9" w:rsidRPr="00B278D8" w:rsidRDefault="00C156E9" w:rsidP="00560BEE">
      <w:pPr>
        <w:pStyle w:val="ListParagraph"/>
        <w:numPr>
          <w:ilvl w:val="0"/>
          <w:numId w:val="9"/>
        </w:numPr>
        <w:rPr>
          <w:rFonts w:cstheme="minorHAnsi"/>
        </w:rPr>
      </w:pPr>
      <w:r w:rsidRPr="00B278D8">
        <w:rPr>
          <w:rFonts w:cstheme="minorHAnsi"/>
        </w:rPr>
        <w:t xml:space="preserve">NASH patients show reduced survival with more deaths from cardiovascular disease than liver-related causes. </w:t>
      </w:r>
    </w:p>
    <w:p w14:paraId="37886759" w14:textId="5E63EF75" w:rsidR="00C156E9" w:rsidRPr="00B278D8" w:rsidRDefault="00C156E9" w:rsidP="00560BEE">
      <w:pPr>
        <w:pStyle w:val="ListParagraph"/>
        <w:numPr>
          <w:ilvl w:val="0"/>
          <w:numId w:val="9"/>
        </w:numPr>
        <w:rPr>
          <w:rFonts w:cstheme="minorHAnsi"/>
        </w:rPr>
      </w:pPr>
      <w:r w:rsidRPr="00B278D8">
        <w:rPr>
          <w:rFonts w:cstheme="minorHAnsi"/>
        </w:rPr>
        <w:t>Impaired fasting glucose and cirrhosis in NAFLD patients correlate with higher mortality, including liver-related deaths.</w:t>
      </w:r>
    </w:p>
    <w:p w14:paraId="55A5747B" w14:textId="24612081" w:rsidR="00DD4E5F" w:rsidRPr="00B278D8" w:rsidRDefault="00C9072E" w:rsidP="00C9072E">
      <w:pPr>
        <w:rPr>
          <w:rFonts w:cstheme="minorHAnsi"/>
        </w:rPr>
      </w:pPr>
      <w:r w:rsidRPr="00B278D8">
        <w:rPr>
          <w:rFonts w:cstheme="minorHAnsi"/>
        </w:rPr>
        <w:t xml:space="preserve">As per the American Association for the Study of Liver Diseases (AASLD) guidelines, diagnosing NAFLD necessitates the presence of hepatic steatosis through imaging or histology, with no significant alcohol overconsumption, no competing </w:t>
      </w:r>
      <w:proofErr w:type="spellStart"/>
      <w:r w:rsidRPr="00B278D8">
        <w:rPr>
          <w:rFonts w:cstheme="minorHAnsi"/>
        </w:rPr>
        <w:t>etiologies</w:t>
      </w:r>
      <w:proofErr w:type="spellEnd"/>
      <w:r w:rsidRPr="00B278D8">
        <w:rPr>
          <w:rFonts w:cstheme="minorHAnsi"/>
        </w:rPr>
        <w:t xml:space="preserve"> for hepatic steatosis, and no co-existing causes for chronic liver disease.</w:t>
      </w:r>
    </w:p>
    <w:p w14:paraId="47F08EDC" w14:textId="77777777" w:rsidR="00A72F97" w:rsidRPr="00B278D8" w:rsidRDefault="00270B11" w:rsidP="00C9072E">
      <w:pPr>
        <w:rPr>
          <w:rFonts w:cstheme="minorHAnsi"/>
        </w:rPr>
      </w:pPr>
      <w:r w:rsidRPr="00B278D8">
        <w:rPr>
          <w:rFonts w:cstheme="minorHAnsi"/>
        </w:rPr>
        <w:t>Liver biopsy is the most reliable method to detect steatohepatitis and fibrosis in NAFLD patients</w:t>
      </w:r>
      <w:r w:rsidR="009E2247" w:rsidRPr="00B278D8">
        <w:rPr>
          <w:rFonts w:cstheme="minorHAnsi"/>
        </w:rPr>
        <w:t xml:space="preserve">. </w:t>
      </w:r>
      <w:r w:rsidRPr="00B278D8">
        <w:rPr>
          <w:rFonts w:cstheme="minorHAnsi"/>
        </w:rPr>
        <w:t xml:space="preserve"> Features of metabolic syndrome can predict </w:t>
      </w:r>
      <w:proofErr w:type="spellStart"/>
      <w:r w:rsidRPr="00B278D8">
        <w:rPr>
          <w:rFonts w:cstheme="minorHAnsi"/>
        </w:rPr>
        <w:t>steato</w:t>
      </w:r>
      <w:proofErr w:type="spellEnd"/>
      <w:r w:rsidR="00E801C8" w:rsidRPr="00B278D8">
        <w:rPr>
          <w:rFonts w:cstheme="minorHAnsi"/>
        </w:rPr>
        <w:t>-</w:t>
      </w:r>
      <w:proofErr w:type="gramStart"/>
      <w:r w:rsidRPr="00B278D8">
        <w:rPr>
          <w:rFonts w:cstheme="minorHAnsi"/>
        </w:rPr>
        <w:t>hepatitis,</w:t>
      </w:r>
      <w:proofErr w:type="gramEnd"/>
      <w:r w:rsidRPr="00B278D8">
        <w:rPr>
          <w:rFonts w:cstheme="minorHAnsi"/>
        </w:rPr>
        <w:t xml:space="preserve"> thus liver biopsy is recommended for NAFLD patients with metabolic syndrome. Non-invasive methods for identifying fibrosis in NAFLD have gained interest.</w:t>
      </w:r>
    </w:p>
    <w:p w14:paraId="5BCC0368" w14:textId="21CB29B8" w:rsidR="00270B11" w:rsidRPr="00B278D8" w:rsidRDefault="00270B11" w:rsidP="00C9072E">
      <w:r w:rsidRPr="00B278D8">
        <w:rPr>
          <w:rFonts w:cstheme="minorHAnsi"/>
        </w:rPr>
        <w:t>The NAFLD Fibrosis Score is a valuable tool to identify patients with higher likelihood of bridging fibrosis or cirrhosis.</w:t>
      </w:r>
      <w:r w:rsidR="000125CB" w:rsidRPr="00B278D8">
        <w:t xml:space="preserve"> </w:t>
      </w:r>
      <w:r w:rsidR="00FE710D" w:rsidRPr="00B278D8">
        <w:t>Researchers have explored circulating levels of cytokeratin-18 fragments as a new biomarker to detect steatohepatitis in NAFLD patients. The sensitivity of this biomarker is 78%, while its specificity is 87%, making it effective in identifying steatohepatitis in individuals with NAFLD</w:t>
      </w:r>
      <w:r w:rsidR="009F4C1B" w:rsidRPr="00B278D8">
        <w:t>.</w:t>
      </w:r>
    </w:p>
    <w:p w14:paraId="13F74BA6" w14:textId="3AB0E933" w:rsidR="009F4C1B" w:rsidRPr="00B278D8" w:rsidRDefault="009F4C1B" w:rsidP="00C9072E">
      <w:pPr>
        <w:rPr>
          <w:u w:val="single"/>
        </w:rPr>
      </w:pPr>
      <w:r w:rsidRPr="00B278D8">
        <w:rPr>
          <w:u w:val="single"/>
        </w:rPr>
        <w:t>Treatment:</w:t>
      </w:r>
    </w:p>
    <w:p w14:paraId="5825C121" w14:textId="77777777" w:rsidR="005F7B36" w:rsidRPr="00B278D8" w:rsidRDefault="005F7B36" w:rsidP="005F7B36">
      <w:pPr>
        <w:pStyle w:val="ListParagraph"/>
        <w:numPr>
          <w:ilvl w:val="0"/>
          <w:numId w:val="10"/>
        </w:numPr>
        <w:rPr>
          <w:rFonts w:cstheme="minorHAnsi"/>
        </w:rPr>
      </w:pPr>
      <w:r w:rsidRPr="00B278D8">
        <w:rPr>
          <w:rFonts w:cstheme="minorHAnsi"/>
        </w:rPr>
        <w:t xml:space="preserve">Gradual weight loss (approximately 1 to 2 lb [0.5 to 0.9 kg] per week) and good blood glucose control (A1C less than 7 percent) are recommended for </w:t>
      </w:r>
      <w:proofErr w:type="spellStart"/>
      <w:r w:rsidRPr="00B278D8">
        <w:rPr>
          <w:rFonts w:cstheme="minorHAnsi"/>
        </w:rPr>
        <w:t>nonalcoholic</w:t>
      </w:r>
      <w:proofErr w:type="spellEnd"/>
      <w:r w:rsidRPr="00B278D8">
        <w:rPr>
          <w:rFonts w:cstheme="minorHAnsi"/>
        </w:rPr>
        <w:t xml:space="preserve"> steatohepatitis (NASH) patients.</w:t>
      </w:r>
    </w:p>
    <w:p w14:paraId="3B6EF0C5" w14:textId="77777777" w:rsidR="005F7B36" w:rsidRPr="00B278D8" w:rsidRDefault="005F7B36" w:rsidP="005F7B36">
      <w:pPr>
        <w:pStyle w:val="ListParagraph"/>
        <w:numPr>
          <w:ilvl w:val="0"/>
          <w:numId w:val="10"/>
        </w:numPr>
        <w:rPr>
          <w:rFonts w:cstheme="minorHAnsi"/>
        </w:rPr>
      </w:pPr>
      <w:r w:rsidRPr="00B278D8">
        <w:rPr>
          <w:rFonts w:cstheme="minorHAnsi"/>
        </w:rPr>
        <w:lastRenderedPageBreak/>
        <w:t>Pharmacologic interventions like metformin and gemfibrozil (</w:t>
      </w:r>
      <w:proofErr w:type="spellStart"/>
      <w:r w:rsidRPr="00B278D8">
        <w:rPr>
          <w:rFonts w:cstheme="minorHAnsi"/>
        </w:rPr>
        <w:t>Lopid</w:t>
      </w:r>
      <w:proofErr w:type="spellEnd"/>
      <w:r w:rsidRPr="00B278D8">
        <w:rPr>
          <w:rFonts w:cstheme="minorHAnsi"/>
        </w:rPr>
        <w:t xml:space="preserve">) have shown benefits in lowering hepatic transaminase levels and improving ultrasound findings in </w:t>
      </w:r>
      <w:proofErr w:type="spellStart"/>
      <w:r w:rsidRPr="00B278D8">
        <w:rPr>
          <w:rFonts w:cstheme="minorHAnsi"/>
        </w:rPr>
        <w:t>nonalcoholic</w:t>
      </w:r>
      <w:proofErr w:type="spellEnd"/>
      <w:r w:rsidRPr="00B278D8">
        <w:rPr>
          <w:rFonts w:cstheme="minorHAnsi"/>
        </w:rPr>
        <w:t xml:space="preserve"> fatty liver disease or NASH.</w:t>
      </w:r>
    </w:p>
    <w:p w14:paraId="6521B7BC" w14:textId="1062C9FB" w:rsidR="005F7B36" w:rsidRPr="00B278D8" w:rsidRDefault="005F7B36" w:rsidP="005F7B36">
      <w:pPr>
        <w:pStyle w:val="ListParagraph"/>
        <w:numPr>
          <w:ilvl w:val="0"/>
          <w:numId w:val="10"/>
        </w:numPr>
        <w:rPr>
          <w:rFonts w:cstheme="minorHAnsi"/>
        </w:rPr>
      </w:pPr>
      <w:r w:rsidRPr="00B278D8">
        <w:rPr>
          <w:rFonts w:cstheme="minorHAnsi"/>
        </w:rPr>
        <w:t>Pioglitazone (Actos) showed a statistically significant improvement in NASH histology in a small study, but it is not FDA-approved for liver disease use</w:t>
      </w:r>
      <w:r w:rsidR="000430B5" w:rsidRPr="00B278D8">
        <w:rPr>
          <w:rFonts w:cstheme="minorHAnsi"/>
        </w:rPr>
        <w:t xml:space="preserve"> </w:t>
      </w:r>
      <w:r w:rsidR="000430B5" w:rsidRPr="00B278D8">
        <w:rPr>
          <w:rFonts w:cstheme="minorHAnsi"/>
          <w:vertAlign w:val="superscript"/>
        </w:rPr>
        <w:t>24</w:t>
      </w:r>
      <w:r w:rsidRPr="00B278D8">
        <w:rPr>
          <w:rFonts w:cstheme="minorHAnsi"/>
        </w:rPr>
        <w:t>.</w:t>
      </w:r>
    </w:p>
    <w:p w14:paraId="59929D3C" w14:textId="77777777" w:rsidR="005F7B36" w:rsidRPr="00B278D8" w:rsidRDefault="005F7B36" w:rsidP="005F7B36">
      <w:pPr>
        <w:pStyle w:val="ListParagraph"/>
        <w:numPr>
          <w:ilvl w:val="0"/>
          <w:numId w:val="10"/>
        </w:numPr>
        <w:rPr>
          <w:rFonts w:cstheme="minorHAnsi"/>
        </w:rPr>
      </w:pPr>
      <w:r w:rsidRPr="00B278D8">
        <w:rPr>
          <w:rFonts w:cstheme="minorHAnsi"/>
        </w:rPr>
        <w:t>Routine use of these drugs solely to normalize hepatic transaminase levels is not recommended due to a lack of sufficient evidence.</w:t>
      </w:r>
    </w:p>
    <w:p w14:paraId="490B9E8F" w14:textId="3251D3A4" w:rsidR="005F7B36" w:rsidRPr="00B278D8" w:rsidRDefault="005F7B36" w:rsidP="005F7B36">
      <w:pPr>
        <w:pStyle w:val="ListParagraph"/>
        <w:numPr>
          <w:ilvl w:val="0"/>
          <w:numId w:val="10"/>
        </w:numPr>
        <w:rPr>
          <w:rFonts w:cstheme="minorHAnsi"/>
        </w:rPr>
      </w:pPr>
      <w:r w:rsidRPr="00B278D8">
        <w:rPr>
          <w:rFonts w:cstheme="minorHAnsi"/>
        </w:rPr>
        <w:t>Overall, effective NASH management should focus on weight loss and good control of blood glucose levels</w:t>
      </w:r>
    </w:p>
    <w:p w14:paraId="67CC91C5" w14:textId="745B6FFC" w:rsidR="00775EA8" w:rsidRPr="00B278D8" w:rsidRDefault="00775EA8" w:rsidP="00775EA8">
      <w:pPr>
        <w:pStyle w:val="Heading2"/>
        <w:numPr>
          <w:ilvl w:val="0"/>
          <w:numId w:val="1"/>
        </w:numPr>
        <w:rPr>
          <w:color w:val="auto"/>
          <w:u w:val="single"/>
        </w:rPr>
      </w:pPr>
      <w:r w:rsidRPr="00B278D8">
        <w:rPr>
          <w:color w:val="auto"/>
          <w:u w:val="single"/>
        </w:rPr>
        <w:t>Association Between Diabetes</w:t>
      </w:r>
      <w:r w:rsidRPr="00B278D8">
        <w:rPr>
          <w:color w:val="auto"/>
          <w:u w:val="single"/>
        </w:rPr>
        <w:t xml:space="preserve"> </w:t>
      </w:r>
      <w:r w:rsidRPr="00B278D8">
        <w:rPr>
          <w:color w:val="auto"/>
          <w:u w:val="single"/>
        </w:rPr>
        <w:t>and Other GI Diseases</w:t>
      </w:r>
      <w:r w:rsidRPr="00B278D8">
        <w:rPr>
          <w:color w:val="auto"/>
          <w:u w:val="single"/>
        </w:rPr>
        <w:t>:</w:t>
      </w:r>
    </w:p>
    <w:p w14:paraId="5EE09486" w14:textId="77777777" w:rsidR="00355FD5" w:rsidRPr="00B278D8" w:rsidRDefault="00355FD5" w:rsidP="00756E20">
      <w:pPr>
        <w:rPr>
          <w:b/>
          <w:bCs/>
          <w:u w:val="single"/>
        </w:rPr>
      </w:pPr>
    </w:p>
    <w:p w14:paraId="2F9845A8" w14:textId="54C6FF30" w:rsidR="00355FD5" w:rsidRPr="00B278D8" w:rsidRDefault="00355FD5" w:rsidP="00756E20">
      <w:pPr>
        <w:rPr>
          <w:b/>
          <w:bCs/>
          <w:u w:val="single"/>
        </w:rPr>
      </w:pPr>
      <w:r w:rsidRPr="00B278D8">
        <w:rPr>
          <w:b/>
          <w:bCs/>
          <w:u w:val="single"/>
        </w:rPr>
        <w:t>Diabetes and Hepatitis C infection</w:t>
      </w:r>
      <w:r w:rsidR="002E0C95" w:rsidRPr="00B278D8">
        <w:rPr>
          <w:b/>
          <w:bCs/>
          <w:u w:val="single"/>
        </w:rPr>
        <w:t>:</w:t>
      </w:r>
    </w:p>
    <w:p w14:paraId="30573AB5" w14:textId="33534965" w:rsidR="00756E20" w:rsidRPr="00B278D8" w:rsidRDefault="00756E20" w:rsidP="00756E20">
      <w:pPr>
        <w:rPr>
          <w:rFonts w:cstheme="minorHAnsi"/>
        </w:rPr>
      </w:pPr>
      <w:r w:rsidRPr="00B278D8">
        <w:rPr>
          <w:rFonts w:cstheme="minorHAnsi"/>
        </w:rPr>
        <w:t>Diabetes is more prevalent in patients with hepatitis C compared to the general population (14.5% vs. 7.8%).</w:t>
      </w:r>
      <w:r w:rsidR="00355FD5" w:rsidRPr="00B278D8">
        <w:rPr>
          <w:rFonts w:cstheme="minorHAnsi"/>
        </w:rPr>
        <w:t xml:space="preserve"> </w:t>
      </w:r>
      <w:r w:rsidRPr="00B278D8">
        <w:rPr>
          <w:rFonts w:cstheme="minorHAnsi"/>
        </w:rPr>
        <w:t>Factors such as older age, obesity, severe liver fibrosis, family history of diabetes, and interferon alfa treatment for hepatitis C are associated with diabetes development in patients with hepatitis C infection</w:t>
      </w:r>
      <w:r w:rsidR="000C4C63" w:rsidRPr="00B278D8">
        <w:rPr>
          <w:rFonts w:cstheme="minorHAnsi"/>
          <w:vertAlign w:val="superscript"/>
        </w:rPr>
        <w:t xml:space="preserve"> 25</w:t>
      </w:r>
      <w:r w:rsidRPr="00B278D8">
        <w:rPr>
          <w:rFonts w:cstheme="minorHAnsi"/>
        </w:rPr>
        <w:t>.</w:t>
      </w:r>
    </w:p>
    <w:p w14:paraId="6D18896C" w14:textId="1860CDE1" w:rsidR="009758C6" w:rsidRPr="00B278D8" w:rsidRDefault="002E0C95" w:rsidP="00756E20">
      <w:pPr>
        <w:rPr>
          <w:rFonts w:cstheme="minorHAnsi"/>
          <w:b/>
          <w:bCs/>
          <w:u w:val="single"/>
        </w:rPr>
      </w:pPr>
      <w:r w:rsidRPr="00B278D8">
        <w:rPr>
          <w:rFonts w:cstheme="minorHAnsi"/>
          <w:b/>
          <w:bCs/>
          <w:u w:val="single"/>
        </w:rPr>
        <w:t xml:space="preserve">Oral </w:t>
      </w:r>
      <w:proofErr w:type="spellStart"/>
      <w:r w:rsidRPr="00B278D8">
        <w:rPr>
          <w:rFonts w:cstheme="minorHAnsi"/>
          <w:b/>
          <w:bCs/>
          <w:u w:val="single"/>
        </w:rPr>
        <w:t>Hypoglycemics</w:t>
      </w:r>
      <w:proofErr w:type="spellEnd"/>
      <w:r w:rsidR="006478D6" w:rsidRPr="00B278D8">
        <w:rPr>
          <w:rFonts w:cstheme="minorHAnsi"/>
          <w:b/>
          <w:bCs/>
          <w:u w:val="single"/>
        </w:rPr>
        <w:t xml:space="preserve"> and </w:t>
      </w:r>
      <w:r w:rsidRPr="00B278D8">
        <w:rPr>
          <w:rFonts w:cstheme="minorHAnsi"/>
          <w:b/>
          <w:bCs/>
          <w:u w:val="single"/>
        </w:rPr>
        <w:t>Hepatotoxicity:</w:t>
      </w:r>
    </w:p>
    <w:p w14:paraId="6B7888F9" w14:textId="16DB1D16" w:rsidR="006478D6" w:rsidRPr="00B278D8" w:rsidRDefault="006478D6" w:rsidP="00756E20">
      <w:pPr>
        <w:rPr>
          <w:rFonts w:cstheme="minorHAnsi"/>
        </w:rPr>
      </w:pPr>
      <w:r w:rsidRPr="00B278D8">
        <w:rPr>
          <w:rFonts w:cstheme="minorHAnsi"/>
        </w:rPr>
        <w:t>T</w:t>
      </w:r>
      <w:r w:rsidRPr="00B278D8">
        <w:rPr>
          <w:rFonts w:cstheme="minorHAnsi"/>
        </w:rPr>
        <w:t>he FDA recommends avoiding thiazolidinediones in patients with liver disease. Although rare, sulfonylureas like chlorpropamide, glyburide, glipizide, and tolbutamide can cause hepatotoxicity, while acarbose (</w:t>
      </w:r>
      <w:proofErr w:type="spellStart"/>
      <w:r w:rsidRPr="00B278D8">
        <w:rPr>
          <w:rFonts w:cstheme="minorHAnsi"/>
        </w:rPr>
        <w:t>Precose</w:t>
      </w:r>
      <w:proofErr w:type="spellEnd"/>
      <w:r w:rsidRPr="00B278D8">
        <w:rPr>
          <w:rFonts w:cstheme="minorHAnsi"/>
        </w:rPr>
        <w:t>) may lead to mild liver function test elevations</w:t>
      </w:r>
      <w:r w:rsidR="000C4C63" w:rsidRPr="00B278D8">
        <w:rPr>
          <w:rFonts w:cstheme="minorHAnsi"/>
        </w:rPr>
        <w:t xml:space="preserve"> </w:t>
      </w:r>
      <w:r w:rsidR="000C4C63" w:rsidRPr="00B278D8">
        <w:rPr>
          <w:rFonts w:cstheme="minorHAnsi"/>
          <w:vertAlign w:val="superscript"/>
        </w:rPr>
        <w:t>26</w:t>
      </w:r>
      <w:r w:rsidRPr="00B278D8">
        <w:rPr>
          <w:rFonts w:cstheme="minorHAnsi"/>
        </w:rPr>
        <w:t>.</w:t>
      </w:r>
      <w:r w:rsidR="003376B4" w:rsidRPr="00B278D8">
        <w:t xml:space="preserve"> </w:t>
      </w:r>
      <w:r w:rsidR="003376B4" w:rsidRPr="00B278D8">
        <w:rPr>
          <w:rFonts w:cstheme="minorHAnsi"/>
        </w:rPr>
        <w:t>Due to hepatotoxicity concerns, troglitazone (</w:t>
      </w:r>
      <w:proofErr w:type="spellStart"/>
      <w:r w:rsidR="003376B4" w:rsidRPr="00B278D8">
        <w:rPr>
          <w:rFonts w:cstheme="minorHAnsi"/>
        </w:rPr>
        <w:t>Rezulin</w:t>
      </w:r>
      <w:proofErr w:type="spellEnd"/>
      <w:r w:rsidR="003376B4" w:rsidRPr="00B278D8">
        <w:rPr>
          <w:rFonts w:cstheme="minorHAnsi"/>
        </w:rPr>
        <w:t>), a thiazolidinedione, was withdrawn from the market.</w:t>
      </w:r>
    </w:p>
    <w:p w14:paraId="45AAE311" w14:textId="3977E8CC" w:rsidR="007528E7" w:rsidRPr="00B278D8" w:rsidRDefault="007528E7" w:rsidP="00756E20">
      <w:pPr>
        <w:rPr>
          <w:rFonts w:cstheme="minorHAnsi"/>
        </w:rPr>
      </w:pPr>
      <w:r w:rsidRPr="00B278D8">
        <w:rPr>
          <w:rFonts w:cstheme="minorHAnsi"/>
        </w:rPr>
        <w:t xml:space="preserve">Patients with diabetes have a higher prevalence of </w:t>
      </w:r>
      <w:r w:rsidRPr="00B278D8">
        <w:rPr>
          <w:rFonts w:cstheme="minorHAnsi"/>
          <w:b/>
          <w:bCs/>
        </w:rPr>
        <w:t>idiopathic hemochromatosis</w:t>
      </w:r>
      <w:r w:rsidRPr="00B278D8">
        <w:rPr>
          <w:rFonts w:cstheme="minorHAnsi"/>
        </w:rPr>
        <w:t xml:space="preserve"> (9.6 per 1,000) compared to the general population (4 per 1,000); those with abnormal liver function tests, arthritis, or a family history of iron overload should be screened for hemochromatosis by checking transferrin saturation levels</w:t>
      </w:r>
      <w:r w:rsidR="00301687" w:rsidRPr="00B278D8">
        <w:rPr>
          <w:rFonts w:cstheme="minorHAnsi"/>
        </w:rPr>
        <w:t xml:space="preserve"> </w:t>
      </w:r>
      <w:r w:rsidR="00301687" w:rsidRPr="00B278D8">
        <w:rPr>
          <w:rFonts w:cstheme="minorHAnsi"/>
          <w:vertAlign w:val="superscript"/>
        </w:rPr>
        <w:t>27</w:t>
      </w:r>
      <w:r w:rsidR="00301687" w:rsidRPr="00B278D8">
        <w:rPr>
          <w:rFonts w:cstheme="minorHAnsi"/>
        </w:rPr>
        <w:t>.</w:t>
      </w:r>
    </w:p>
    <w:p w14:paraId="783AA337" w14:textId="77777777" w:rsidR="00A74D82" w:rsidRPr="00B278D8" w:rsidRDefault="00A74D82" w:rsidP="00756E20">
      <w:pPr>
        <w:rPr>
          <w:rFonts w:cstheme="minorHAnsi"/>
        </w:rPr>
      </w:pPr>
    </w:p>
    <w:p w14:paraId="057141EE" w14:textId="77777777" w:rsidR="003E0E86" w:rsidRPr="00B278D8" w:rsidRDefault="003E0E86" w:rsidP="003E0E86">
      <w:pPr>
        <w:jc w:val="center"/>
        <w:rPr>
          <w:rFonts w:cstheme="minorHAnsi"/>
          <w:b/>
          <w:bCs/>
          <w:u w:val="single"/>
        </w:rPr>
      </w:pPr>
      <w:r w:rsidRPr="00B278D8">
        <w:rPr>
          <w:rFonts w:cstheme="minorHAnsi"/>
          <w:b/>
          <w:bCs/>
          <w:u w:val="single"/>
        </w:rPr>
        <w:t>REFERENCES</w:t>
      </w:r>
    </w:p>
    <w:p w14:paraId="64FAF5EA" w14:textId="77777777" w:rsidR="003E0E86" w:rsidRPr="00B278D8" w:rsidRDefault="003E0E86" w:rsidP="003E0E86">
      <w:pPr>
        <w:rPr>
          <w:rFonts w:cstheme="minorHAnsi"/>
        </w:rPr>
      </w:pPr>
      <w:r w:rsidRPr="00B278D8">
        <w:rPr>
          <w:rFonts w:cstheme="minorHAnsi"/>
        </w:rPr>
        <w:t>1. The effect of intensive treatment of diabetes on the development and progression of long-term complications in insulin-dependent diabetes mellitus. N Engl J Med. 1993;329(14):977-986.</w:t>
      </w:r>
    </w:p>
    <w:p w14:paraId="0AB90387" w14:textId="77777777" w:rsidR="003E0E86" w:rsidRPr="00B278D8" w:rsidRDefault="003E0E86" w:rsidP="003E0E86">
      <w:pPr>
        <w:rPr>
          <w:rFonts w:cstheme="minorHAnsi"/>
        </w:rPr>
      </w:pPr>
      <w:r w:rsidRPr="00B278D8">
        <w:rPr>
          <w:rFonts w:cstheme="minorHAnsi"/>
        </w:rPr>
        <w:t xml:space="preserve">2. </w:t>
      </w:r>
      <w:proofErr w:type="spellStart"/>
      <w:r w:rsidRPr="00B278D8">
        <w:rPr>
          <w:rFonts w:cstheme="minorHAnsi"/>
        </w:rPr>
        <w:t>Bytzer</w:t>
      </w:r>
      <w:proofErr w:type="spellEnd"/>
      <w:r w:rsidRPr="00B278D8">
        <w:rPr>
          <w:rFonts w:cstheme="minorHAnsi"/>
        </w:rPr>
        <w:t xml:space="preserve"> P, Talley NJ, </w:t>
      </w:r>
      <w:proofErr w:type="spellStart"/>
      <w:r w:rsidRPr="00B278D8">
        <w:rPr>
          <w:rFonts w:cstheme="minorHAnsi"/>
        </w:rPr>
        <w:t>Leemon</w:t>
      </w:r>
      <w:proofErr w:type="spellEnd"/>
      <w:r w:rsidRPr="00B278D8">
        <w:rPr>
          <w:rFonts w:cstheme="minorHAnsi"/>
        </w:rPr>
        <w:t xml:space="preserve"> M, et al. Prevalence of gastrointestinal symptoms associated with diabetes mellitus: a population-based survey of 15,000 adults. Arch Intern Med. 2001;161(16):1989-1996.</w:t>
      </w:r>
    </w:p>
    <w:p w14:paraId="76C90CA2" w14:textId="77777777" w:rsidR="003E0E86" w:rsidRPr="00B278D8" w:rsidRDefault="003E0E86" w:rsidP="003E0E86">
      <w:pPr>
        <w:rPr>
          <w:rFonts w:cstheme="minorHAnsi"/>
        </w:rPr>
      </w:pPr>
      <w:r w:rsidRPr="00B278D8">
        <w:rPr>
          <w:rFonts w:cstheme="minorHAnsi"/>
        </w:rPr>
        <w:t xml:space="preserve">3. </w:t>
      </w:r>
      <w:proofErr w:type="spellStart"/>
      <w:r w:rsidRPr="00B278D8">
        <w:rPr>
          <w:rFonts w:cstheme="minorHAnsi"/>
        </w:rPr>
        <w:t>Bytzer</w:t>
      </w:r>
      <w:proofErr w:type="spellEnd"/>
      <w:r w:rsidRPr="00B278D8">
        <w:rPr>
          <w:rFonts w:cstheme="minorHAnsi"/>
        </w:rPr>
        <w:t xml:space="preserve"> P, Talley NJ, Hammer J, Young LJ, Jones MP, Horowitz M. GI symptoms in diabetes mellitus are associated with both poor </w:t>
      </w:r>
      <w:proofErr w:type="spellStart"/>
      <w:r w:rsidRPr="00B278D8">
        <w:rPr>
          <w:rFonts w:cstheme="minorHAnsi"/>
        </w:rPr>
        <w:t>glycemic</w:t>
      </w:r>
      <w:proofErr w:type="spellEnd"/>
      <w:r w:rsidRPr="00B278D8">
        <w:rPr>
          <w:rFonts w:cstheme="minorHAnsi"/>
        </w:rPr>
        <w:t xml:space="preserve"> control and diabetic complications. Am J Gastroenterol. 2002;97(3):604-611.</w:t>
      </w:r>
    </w:p>
    <w:p w14:paraId="19F6A4B4" w14:textId="77777777" w:rsidR="003E0E86" w:rsidRPr="00B278D8" w:rsidRDefault="003E0E86" w:rsidP="003E0E86">
      <w:pPr>
        <w:rPr>
          <w:rFonts w:cstheme="minorHAnsi"/>
        </w:rPr>
      </w:pPr>
      <w:r w:rsidRPr="00B278D8">
        <w:rPr>
          <w:rFonts w:cstheme="minorHAnsi"/>
        </w:rPr>
        <w:t xml:space="preserve">4. </w:t>
      </w:r>
      <w:proofErr w:type="spellStart"/>
      <w:r w:rsidRPr="00B278D8">
        <w:rPr>
          <w:rFonts w:cstheme="minorHAnsi"/>
        </w:rPr>
        <w:t>Frokjaer</w:t>
      </w:r>
      <w:proofErr w:type="spellEnd"/>
      <w:r w:rsidRPr="00B278D8">
        <w:rPr>
          <w:rFonts w:cstheme="minorHAnsi"/>
        </w:rPr>
        <w:t xml:space="preserve"> JB, Andersen SD, </w:t>
      </w:r>
      <w:proofErr w:type="spellStart"/>
      <w:r w:rsidRPr="00B278D8">
        <w:rPr>
          <w:rFonts w:cstheme="minorHAnsi"/>
        </w:rPr>
        <w:t>Ejskjaer</w:t>
      </w:r>
      <w:proofErr w:type="spellEnd"/>
      <w:r w:rsidRPr="00B278D8">
        <w:rPr>
          <w:rFonts w:cstheme="minorHAnsi"/>
        </w:rPr>
        <w:t xml:space="preserve"> N, </w:t>
      </w:r>
      <w:proofErr w:type="spellStart"/>
      <w:r w:rsidRPr="00B278D8">
        <w:rPr>
          <w:rFonts w:cstheme="minorHAnsi"/>
        </w:rPr>
        <w:t>Funch</w:t>
      </w:r>
      <w:proofErr w:type="spellEnd"/>
      <w:r w:rsidRPr="00B278D8">
        <w:rPr>
          <w:rFonts w:cstheme="minorHAnsi"/>
        </w:rPr>
        <w:t xml:space="preserve">-Jensen P, Drewes AM, </w:t>
      </w:r>
      <w:proofErr w:type="spellStart"/>
      <w:r w:rsidRPr="00B278D8">
        <w:rPr>
          <w:rFonts w:cstheme="minorHAnsi"/>
        </w:rPr>
        <w:t>Gregersen</w:t>
      </w:r>
      <w:proofErr w:type="spellEnd"/>
      <w:r w:rsidRPr="00B278D8">
        <w:rPr>
          <w:rFonts w:cstheme="minorHAnsi"/>
        </w:rPr>
        <w:t xml:space="preserve"> H. Impaired contractility and </w:t>
      </w:r>
      <w:proofErr w:type="spellStart"/>
      <w:r w:rsidRPr="00B278D8">
        <w:rPr>
          <w:rFonts w:cstheme="minorHAnsi"/>
        </w:rPr>
        <w:t>remodeling</w:t>
      </w:r>
      <w:proofErr w:type="spellEnd"/>
      <w:r w:rsidRPr="00B278D8">
        <w:rPr>
          <w:rFonts w:cstheme="minorHAnsi"/>
        </w:rPr>
        <w:t xml:space="preserve"> of the upper gastrointestinal tract in diabetes mellitus type-1. World J Gastroenterol. 2007; 13:4881–4890. [PMC free article] [PubMed] [Google Scholar]</w:t>
      </w:r>
    </w:p>
    <w:p w14:paraId="26195EFD" w14:textId="77777777" w:rsidR="003E0E86" w:rsidRPr="00B278D8" w:rsidRDefault="003E0E86" w:rsidP="003E0E86">
      <w:pPr>
        <w:rPr>
          <w:rFonts w:cstheme="minorHAnsi"/>
        </w:rPr>
      </w:pPr>
      <w:r w:rsidRPr="00B278D8">
        <w:rPr>
          <w:rFonts w:cstheme="minorHAnsi"/>
        </w:rPr>
        <w:lastRenderedPageBreak/>
        <w:t xml:space="preserve">5. Chang CT, </w:t>
      </w:r>
      <w:proofErr w:type="spellStart"/>
      <w:r w:rsidRPr="00B278D8">
        <w:rPr>
          <w:rFonts w:cstheme="minorHAnsi"/>
        </w:rPr>
        <w:t>Shiau</w:t>
      </w:r>
      <w:proofErr w:type="spellEnd"/>
      <w:r w:rsidRPr="00B278D8">
        <w:rPr>
          <w:rFonts w:cstheme="minorHAnsi"/>
        </w:rPr>
        <w:t xml:space="preserve"> YC, Lin CC, Li TC, Lee CC, Kao CH. Improvement of </w:t>
      </w:r>
      <w:proofErr w:type="spellStart"/>
      <w:r w:rsidRPr="00B278D8">
        <w:rPr>
          <w:rFonts w:cstheme="minorHAnsi"/>
        </w:rPr>
        <w:t>esophageal</w:t>
      </w:r>
      <w:proofErr w:type="spellEnd"/>
      <w:r w:rsidRPr="00B278D8">
        <w:rPr>
          <w:rFonts w:cstheme="minorHAnsi"/>
        </w:rPr>
        <w:t xml:space="preserve"> and gastric motility after 2-week treatment of oral erythromycin in patients with non-insulin-dependent diabetes mellitus. J Diabetes Complications. 2003; 17:141–144. [PubMed] [Google Scholar]</w:t>
      </w:r>
    </w:p>
    <w:p w14:paraId="365DE255" w14:textId="77777777" w:rsidR="003E0E86" w:rsidRPr="00B278D8" w:rsidRDefault="003E0E86" w:rsidP="003E0E86">
      <w:pPr>
        <w:rPr>
          <w:rFonts w:cstheme="minorHAnsi"/>
        </w:rPr>
      </w:pPr>
      <w:r w:rsidRPr="00B278D8">
        <w:rPr>
          <w:rFonts w:cstheme="minorHAnsi"/>
        </w:rPr>
        <w:t xml:space="preserve">6. Hasler WL. Gastroparesis. </w:t>
      </w:r>
      <w:proofErr w:type="spellStart"/>
      <w:r w:rsidRPr="00B278D8">
        <w:rPr>
          <w:rFonts w:cstheme="minorHAnsi"/>
        </w:rPr>
        <w:t>Curr</w:t>
      </w:r>
      <w:proofErr w:type="spellEnd"/>
      <w:r w:rsidRPr="00B278D8">
        <w:rPr>
          <w:rFonts w:cstheme="minorHAnsi"/>
        </w:rPr>
        <w:t xml:space="preserve"> </w:t>
      </w:r>
      <w:proofErr w:type="spellStart"/>
      <w:r w:rsidRPr="00B278D8">
        <w:rPr>
          <w:rFonts w:cstheme="minorHAnsi"/>
        </w:rPr>
        <w:t>Opin</w:t>
      </w:r>
      <w:proofErr w:type="spellEnd"/>
      <w:r w:rsidRPr="00B278D8">
        <w:rPr>
          <w:rFonts w:cstheme="minorHAnsi"/>
        </w:rPr>
        <w:t xml:space="preserve"> Gastroenterol. </w:t>
      </w:r>
      <w:proofErr w:type="gramStart"/>
      <w:r w:rsidRPr="00B278D8">
        <w:rPr>
          <w:rFonts w:cstheme="minorHAnsi"/>
        </w:rPr>
        <w:t>2012;28:621</w:t>
      </w:r>
      <w:proofErr w:type="gramEnd"/>
      <w:r w:rsidRPr="00B278D8">
        <w:rPr>
          <w:rFonts w:cstheme="minorHAnsi"/>
        </w:rPr>
        <w:t>–628. [PubMed] [Google Scholar]</w:t>
      </w:r>
    </w:p>
    <w:p w14:paraId="4AC0A93A" w14:textId="77777777" w:rsidR="003E0E86" w:rsidRPr="00B278D8" w:rsidRDefault="003E0E86" w:rsidP="003E0E86">
      <w:pPr>
        <w:rPr>
          <w:rFonts w:cstheme="minorHAnsi"/>
        </w:rPr>
      </w:pPr>
      <w:r w:rsidRPr="00B278D8">
        <w:rPr>
          <w:rFonts w:cstheme="minorHAnsi"/>
        </w:rPr>
        <w:t xml:space="preserve">7. Rayner CK, et </w:t>
      </w:r>
      <w:proofErr w:type="spellStart"/>
      <w:proofErr w:type="gramStart"/>
      <w:r w:rsidRPr="00B278D8">
        <w:rPr>
          <w:rFonts w:cstheme="minorHAnsi"/>
        </w:rPr>
        <w:t>al.Relationships</w:t>
      </w:r>
      <w:proofErr w:type="spellEnd"/>
      <w:proofErr w:type="gramEnd"/>
      <w:r w:rsidRPr="00B278D8">
        <w:rPr>
          <w:rFonts w:cstheme="minorHAnsi"/>
        </w:rPr>
        <w:t xml:space="preserve"> of upper gastrointestinal motor and sensory function with </w:t>
      </w:r>
      <w:proofErr w:type="spellStart"/>
      <w:r w:rsidRPr="00B278D8">
        <w:rPr>
          <w:rFonts w:cstheme="minorHAnsi"/>
        </w:rPr>
        <w:t>glycemic</w:t>
      </w:r>
      <w:proofErr w:type="spellEnd"/>
      <w:r w:rsidRPr="00B278D8">
        <w:rPr>
          <w:rFonts w:cstheme="minorHAnsi"/>
        </w:rPr>
        <w:t xml:space="preserve"> control. Diabetes Care. 2001;24(2):371-381.</w:t>
      </w:r>
    </w:p>
    <w:p w14:paraId="5C28E172" w14:textId="77777777" w:rsidR="003E0E86" w:rsidRPr="00B278D8" w:rsidRDefault="003E0E86" w:rsidP="003E0E86">
      <w:pPr>
        <w:rPr>
          <w:rFonts w:cstheme="minorHAnsi"/>
        </w:rPr>
      </w:pPr>
      <w:r w:rsidRPr="00B278D8">
        <w:rPr>
          <w:rFonts w:cstheme="minorHAnsi"/>
        </w:rPr>
        <w:t xml:space="preserve">8. Parkman HP, Yates K, Hasler WL, Nguyen L, Pasricha PJ, Snape WJ, Farrugia G, Koch KL, Calles J, Abell TL, et al. Similarities and differences between diabetic and idiopathic gastroparesis. Clin Gastroenterol Hepatol. </w:t>
      </w:r>
      <w:proofErr w:type="gramStart"/>
      <w:r w:rsidRPr="00B278D8">
        <w:rPr>
          <w:rFonts w:cstheme="minorHAnsi"/>
        </w:rPr>
        <w:t>2011;9:1056</w:t>
      </w:r>
      <w:proofErr w:type="gramEnd"/>
      <w:r w:rsidRPr="00B278D8">
        <w:rPr>
          <w:rFonts w:cstheme="minorHAnsi"/>
        </w:rPr>
        <w:t>–1064; quiz e133-134. [PMC free article] [PubMed] [Google Scholar]</w:t>
      </w:r>
    </w:p>
    <w:p w14:paraId="275DC847" w14:textId="77777777" w:rsidR="003E0E86" w:rsidRPr="00B278D8" w:rsidRDefault="003E0E86" w:rsidP="003E0E86">
      <w:pPr>
        <w:rPr>
          <w:rFonts w:cstheme="minorHAnsi"/>
        </w:rPr>
      </w:pPr>
      <w:r w:rsidRPr="00B278D8">
        <w:rPr>
          <w:rFonts w:cstheme="minorHAnsi"/>
        </w:rPr>
        <w:t xml:space="preserve">9. </w:t>
      </w:r>
      <w:proofErr w:type="spellStart"/>
      <w:r w:rsidRPr="00B278D8">
        <w:rPr>
          <w:rFonts w:cstheme="minorHAnsi"/>
        </w:rPr>
        <w:t>Ordög</w:t>
      </w:r>
      <w:proofErr w:type="spellEnd"/>
      <w:r w:rsidRPr="00B278D8">
        <w:rPr>
          <w:rFonts w:cstheme="minorHAnsi"/>
        </w:rPr>
        <w:t xml:space="preserve"> T, Takayama I, Cheung WK, Ward SM, Sanders KM. </w:t>
      </w:r>
      <w:proofErr w:type="spellStart"/>
      <w:r w:rsidRPr="00B278D8">
        <w:rPr>
          <w:rFonts w:cstheme="minorHAnsi"/>
        </w:rPr>
        <w:t>Remodeling</w:t>
      </w:r>
      <w:proofErr w:type="spellEnd"/>
      <w:r w:rsidRPr="00B278D8">
        <w:rPr>
          <w:rFonts w:cstheme="minorHAnsi"/>
        </w:rPr>
        <w:t xml:space="preserve"> of networks of interstitial cells of </w:t>
      </w:r>
      <w:proofErr w:type="spellStart"/>
      <w:r w:rsidRPr="00B278D8">
        <w:rPr>
          <w:rFonts w:cstheme="minorHAnsi"/>
        </w:rPr>
        <w:t>Cajal</w:t>
      </w:r>
      <w:proofErr w:type="spellEnd"/>
      <w:r w:rsidRPr="00B278D8">
        <w:rPr>
          <w:rFonts w:cstheme="minorHAnsi"/>
        </w:rPr>
        <w:t xml:space="preserve"> in a murine model of diabetic gastroparesis. Diabetes. 2000;49(10):1731-1739.</w:t>
      </w:r>
    </w:p>
    <w:p w14:paraId="53D91AEB" w14:textId="77777777" w:rsidR="003E0E86" w:rsidRPr="00B278D8" w:rsidRDefault="003E0E86" w:rsidP="003E0E86">
      <w:pPr>
        <w:rPr>
          <w:rFonts w:cstheme="minorHAnsi"/>
        </w:rPr>
      </w:pPr>
      <w:r w:rsidRPr="00B278D8">
        <w:rPr>
          <w:rFonts w:cstheme="minorHAnsi"/>
        </w:rPr>
        <w:t xml:space="preserve">10. Boaz M, </w:t>
      </w:r>
      <w:proofErr w:type="spellStart"/>
      <w:r w:rsidRPr="00B278D8">
        <w:rPr>
          <w:rFonts w:cstheme="minorHAnsi"/>
        </w:rPr>
        <w:t>Kislov</w:t>
      </w:r>
      <w:proofErr w:type="spellEnd"/>
      <w:r w:rsidRPr="00B278D8">
        <w:rPr>
          <w:rFonts w:cstheme="minorHAnsi"/>
        </w:rPr>
        <w:t xml:space="preserve"> J, Dickman R, Wainstein J. Obesity and symptoms suggestive of gastroparesis in patients with type 2 diabetes and neuropathy. J Diabetes Complications. </w:t>
      </w:r>
      <w:proofErr w:type="gramStart"/>
      <w:r w:rsidRPr="00B278D8">
        <w:rPr>
          <w:rFonts w:cstheme="minorHAnsi"/>
        </w:rPr>
        <w:t>2001;25:325</w:t>
      </w:r>
      <w:proofErr w:type="gramEnd"/>
      <w:r w:rsidRPr="00B278D8">
        <w:rPr>
          <w:rFonts w:cstheme="minorHAnsi"/>
        </w:rPr>
        <w:t>–328. [PubMed] [Google Scholar] [Ref list]</w:t>
      </w:r>
    </w:p>
    <w:p w14:paraId="4AEA7C04" w14:textId="77777777" w:rsidR="003E0E86" w:rsidRPr="00B278D8" w:rsidRDefault="003E0E86" w:rsidP="003E0E86">
      <w:pPr>
        <w:rPr>
          <w:rFonts w:cstheme="minorHAnsi"/>
        </w:rPr>
      </w:pPr>
      <w:r w:rsidRPr="00B278D8">
        <w:rPr>
          <w:rFonts w:cstheme="minorHAnsi"/>
        </w:rPr>
        <w:t xml:space="preserve">11. </w:t>
      </w:r>
      <w:proofErr w:type="spellStart"/>
      <w:r w:rsidRPr="00B278D8">
        <w:rPr>
          <w:rFonts w:cstheme="minorHAnsi"/>
        </w:rPr>
        <w:t>Tougas</w:t>
      </w:r>
      <w:proofErr w:type="spellEnd"/>
      <w:r w:rsidRPr="00B278D8">
        <w:rPr>
          <w:rFonts w:cstheme="minorHAnsi"/>
        </w:rPr>
        <w:t xml:space="preserve"> G, Chen Y, Coates G, et al. Standardization of a simplified </w:t>
      </w:r>
      <w:proofErr w:type="spellStart"/>
      <w:r w:rsidRPr="00B278D8">
        <w:rPr>
          <w:rFonts w:cstheme="minorHAnsi"/>
        </w:rPr>
        <w:t>scintigraphic</w:t>
      </w:r>
      <w:proofErr w:type="spellEnd"/>
      <w:r w:rsidRPr="00B278D8">
        <w:rPr>
          <w:rFonts w:cstheme="minorHAnsi"/>
        </w:rPr>
        <w:t xml:space="preserve"> methodology for the assessment of gastric emptying in a </w:t>
      </w:r>
      <w:proofErr w:type="spellStart"/>
      <w:r w:rsidRPr="00B278D8">
        <w:rPr>
          <w:rFonts w:cstheme="minorHAnsi"/>
        </w:rPr>
        <w:t>multicenter</w:t>
      </w:r>
      <w:proofErr w:type="spellEnd"/>
      <w:r w:rsidRPr="00B278D8">
        <w:rPr>
          <w:rFonts w:cstheme="minorHAnsi"/>
        </w:rPr>
        <w:t xml:space="preserve"> setting. Am J Gastroenterol. 2000;95(1):78-86</w:t>
      </w:r>
    </w:p>
    <w:p w14:paraId="20A48CB5" w14:textId="77777777" w:rsidR="003E0E86" w:rsidRPr="00B278D8" w:rsidRDefault="003E0E86" w:rsidP="003E0E86">
      <w:pPr>
        <w:rPr>
          <w:rFonts w:cstheme="minorHAnsi"/>
        </w:rPr>
      </w:pPr>
      <w:r w:rsidRPr="00B278D8">
        <w:rPr>
          <w:rFonts w:cstheme="minorHAnsi"/>
        </w:rPr>
        <w:t xml:space="preserve">12. Abell TL, Bernstein RK, </w:t>
      </w:r>
      <w:proofErr w:type="spellStart"/>
      <w:r w:rsidRPr="00B278D8">
        <w:rPr>
          <w:rFonts w:cstheme="minorHAnsi"/>
        </w:rPr>
        <w:t>Cutts</w:t>
      </w:r>
      <w:proofErr w:type="spellEnd"/>
      <w:r w:rsidRPr="00B278D8">
        <w:rPr>
          <w:rFonts w:cstheme="minorHAnsi"/>
        </w:rPr>
        <w:t xml:space="preserve"> T, Farrugia G, Forster J, Hasler WL, McCallum RW, Olden KW, Parkman HP, Parrish CR, et al. Treatment of gastroparesis: a multidisciplinary clinical review. </w:t>
      </w:r>
      <w:proofErr w:type="spellStart"/>
      <w:r w:rsidRPr="00B278D8">
        <w:rPr>
          <w:rFonts w:cstheme="minorHAnsi"/>
        </w:rPr>
        <w:t>Neurogastroenterol</w:t>
      </w:r>
      <w:proofErr w:type="spellEnd"/>
      <w:r w:rsidRPr="00B278D8">
        <w:rPr>
          <w:rFonts w:cstheme="minorHAnsi"/>
        </w:rPr>
        <w:t xml:space="preserve"> </w:t>
      </w:r>
      <w:proofErr w:type="spellStart"/>
      <w:r w:rsidRPr="00B278D8">
        <w:rPr>
          <w:rFonts w:cstheme="minorHAnsi"/>
        </w:rPr>
        <w:t>Motil</w:t>
      </w:r>
      <w:proofErr w:type="spellEnd"/>
      <w:r w:rsidRPr="00B278D8">
        <w:rPr>
          <w:rFonts w:cstheme="minorHAnsi"/>
        </w:rPr>
        <w:t xml:space="preserve">. </w:t>
      </w:r>
      <w:proofErr w:type="gramStart"/>
      <w:r w:rsidRPr="00B278D8">
        <w:rPr>
          <w:rFonts w:cstheme="minorHAnsi"/>
        </w:rPr>
        <w:t>2006;18:263</w:t>
      </w:r>
      <w:proofErr w:type="gramEnd"/>
      <w:r w:rsidRPr="00B278D8">
        <w:rPr>
          <w:rFonts w:cstheme="minorHAnsi"/>
        </w:rPr>
        <w:t>–283. [PubMed] [Google Scholar] [Ref list]</w:t>
      </w:r>
    </w:p>
    <w:p w14:paraId="63B6BAC4" w14:textId="77777777" w:rsidR="003E0E86" w:rsidRPr="00B278D8" w:rsidRDefault="003E0E86" w:rsidP="003E0E86">
      <w:pPr>
        <w:rPr>
          <w:rFonts w:cstheme="minorHAnsi"/>
        </w:rPr>
      </w:pPr>
      <w:r w:rsidRPr="00B278D8">
        <w:rPr>
          <w:rFonts w:cstheme="minorHAnsi"/>
        </w:rPr>
        <w:t>13. Parkman HP, Hasler WL, Fisher RS, et al. American Gastroenterological Association technical review on the diagnosis and treatment of gastroparesis. Gastroenterology. 2004;127(5):1592-1622.</w:t>
      </w:r>
    </w:p>
    <w:p w14:paraId="7427E830" w14:textId="77777777" w:rsidR="003E0E86" w:rsidRPr="00B278D8" w:rsidRDefault="003E0E86" w:rsidP="003E0E86">
      <w:pPr>
        <w:rPr>
          <w:rFonts w:cstheme="minorHAnsi"/>
        </w:rPr>
      </w:pPr>
      <w:r w:rsidRPr="00B278D8">
        <w:rPr>
          <w:rFonts w:cstheme="minorHAnsi"/>
        </w:rPr>
        <w:t>14. Camilleri M. Clinical practice. Diabetic gastroparesis [published correction appears in N Engl J Med. 2007;357(4):427]. N Engl J Med. 2007; 356(8):820-829</w:t>
      </w:r>
    </w:p>
    <w:p w14:paraId="3A03645C" w14:textId="77777777" w:rsidR="003E0E86" w:rsidRPr="00B278D8" w:rsidRDefault="003E0E86" w:rsidP="003E0E86">
      <w:pPr>
        <w:rPr>
          <w:rFonts w:cstheme="minorHAnsi"/>
        </w:rPr>
      </w:pPr>
      <w:r w:rsidRPr="00B278D8">
        <w:rPr>
          <w:rFonts w:cstheme="minorHAnsi"/>
        </w:rPr>
        <w:t xml:space="preserve">15. Asakawa A, Ueno N, </w:t>
      </w:r>
      <w:proofErr w:type="spellStart"/>
      <w:r w:rsidRPr="00B278D8">
        <w:rPr>
          <w:rFonts w:cstheme="minorHAnsi"/>
        </w:rPr>
        <w:t>Katagi</w:t>
      </w:r>
      <w:proofErr w:type="spellEnd"/>
      <w:r w:rsidRPr="00B278D8">
        <w:rPr>
          <w:rFonts w:cstheme="minorHAnsi"/>
        </w:rPr>
        <w:t xml:space="preserve"> M, </w:t>
      </w:r>
      <w:proofErr w:type="spellStart"/>
      <w:r w:rsidRPr="00B278D8">
        <w:rPr>
          <w:rFonts w:cstheme="minorHAnsi"/>
        </w:rPr>
        <w:t>Ijuin</w:t>
      </w:r>
      <w:proofErr w:type="spellEnd"/>
      <w:r w:rsidRPr="00B278D8">
        <w:rPr>
          <w:rFonts w:cstheme="minorHAnsi"/>
        </w:rPr>
        <w:t xml:space="preserve"> Y, Morita Y, Mizuno S, Inui T, </w:t>
      </w:r>
      <w:proofErr w:type="spellStart"/>
      <w:r w:rsidRPr="00B278D8">
        <w:rPr>
          <w:rFonts w:cstheme="minorHAnsi"/>
        </w:rPr>
        <w:t>Sakamaki</w:t>
      </w:r>
      <w:proofErr w:type="spellEnd"/>
      <w:r w:rsidRPr="00B278D8">
        <w:rPr>
          <w:rFonts w:cstheme="minorHAnsi"/>
        </w:rPr>
        <w:t xml:space="preserve"> R, </w:t>
      </w:r>
      <w:proofErr w:type="spellStart"/>
      <w:r w:rsidRPr="00B278D8">
        <w:rPr>
          <w:rFonts w:cstheme="minorHAnsi"/>
        </w:rPr>
        <w:t>Shinfuku</w:t>
      </w:r>
      <w:proofErr w:type="spellEnd"/>
      <w:r w:rsidRPr="00B278D8">
        <w:rPr>
          <w:rFonts w:cstheme="minorHAnsi"/>
        </w:rPr>
        <w:t xml:space="preserve"> N, </w:t>
      </w:r>
      <w:proofErr w:type="spellStart"/>
      <w:r w:rsidRPr="00B278D8">
        <w:rPr>
          <w:rFonts w:cstheme="minorHAnsi"/>
        </w:rPr>
        <w:t>Uemoto</w:t>
      </w:r>
      <w:proofErr w:type="spellEnd"/>
      <w:r w:rsidRPr="00B278D8">
        <w:rPr>
          <w:rFonts w:cstheme="minorHAnsi"/>
        </w:rPr>
        <w:t xml:space="preserve"> M. </w:t>
      </w:r>
      <w:proofErr w:type="spellStart"/>
      <w:r w:rsidRPr="00B278D8">
        <w:rPr>
          <w:rFonts w:cstheme="minorHAnsi"/>
        </w:rPr>
        <w:t>Mosapride</w:t>
      </w:r>
      <w:proofErr w:type="spellEnd"/>
      <w:r w:rsidRPr="00B278D8">
        <w:rPr>
          <w:rFonts w:cstheme="minorHAnsi"/>
        </w:rPr>
        <w:t xml:space="preserve"> improves food intake, while not worsening </w:t>
      </w:r>
      <w:proofErr w:type="spellStart"/>
      <w:r w:rsidRPr="00B278D8">
        <w:rPr>
          <w:rFonts w:cstheme="minorHAnsi"/>
        </w:rPr>
        <w:t>glycemic</w:t>
      </w:r>
      <w:proofErr w:type="spellEnd"/>
      <w:r w:rsidRPr="00B278D8">
        <w:rPr>
          <w:rFonts w:cstheme="minorHAnsi"/>
        </w:rPr>
        <w:t xml:space="preserve"> control and obesity, in </w:t>
      </w:r>
      <w:proofErr w:type="spellStart"/>
      <w:r w:rsidRPr="00B278D8">
        <w:rPr>
          <w:rFonts w:cstheme="minorHAnsi"/>
        </w:rPr>
        <w:t>ob</w:t>
      </w:r>
      <w:proofErr w:type="spellEnd"/>
      <w:r w:rsidRPr="00B278D8">
        <w:rPr>
          <w:rFonts w:cstheme="minorHAnsi"/>
        </w:rPr>
        <w:t>/</w:t>
      </w:r>
      <w:proofErr w:type="spellStart"/>
      <w:r w:rsidRPr="00B278D8">
        <w:rPr>
          <w:rFonts w:cstheme="minorHAnsi"/>
        </w:rPr>
        <w:t>ob</w:t>
      </w:r>
      <w:proofErr w:type="spellEnd"/>
      <w:r w:rsidRPr="00B278D8">
        <w:rPr>
          <w:rFonts w:cstheme="minorHAnsi"/>
        </w:rPr>
        <w:t xml:space="preserve"> obese mice with decreased gastric emptying. J Diabetes Complications. </w:t>
      </w:r>
      <w:proofErr w:type="gramStart"/>
      <w:r w:rsidRPr="00B278D8">
        <w:rPr>
          <w:rFonts w:cstheme="minorHAnsi"/>
        </w:rPr>
        <w:t>2006;20:56</w:t>
      </w:r>
      <w:proofErr w:type="gramEnd"/>
      <w:r w:rsidRPr="00B278D8">
        <w:rPr>
          <w:rFonts w:cstheme="minorHAnsi"/>
        </w:rPr>
        <w:t>–58. [PubMed] [Google Scholar] [Ref list]</w:t>
      </w:r>
    </w:p>
    <w:p w14:paraId="2F2DFF0E" w14:textId="77777777" w:rsidR="003E0E86" w:rsidRPr="00B278D8" w:rsidRDefault="003E0E86" w:rsidP="003E0E86">
      <w:pPr>
        <w:rPr>
          <w:rFonts w:cstheme="minorHAnsi"/>
        </w:rPr>
      </w:pPr>
      <w:r w:rsidRPr="00B278D8">
        <w:rPr>
          <w:rFonts w:cstheme="minorHAnsi"/>
        </w:rPr>
        <w:t xml:space="preserve">16. Kawamura E, </w:t>
      </w:r>
      <w:proofErr w:type="spellStart"/>
      <w:r w:rsidRPr="00B278D8">
        <w:rPr>
          <w:rFonts w:cstheme="minorHAnsi"/>
        </w:rPr>
        <w:t>Enomoto</w:t>
      </w:r>
      <w:proofErr w:type="spellEnd"/>
      <w:r w:rsidRPr="00B278D8">
        <w:rPr>
          <w:rFonts w:cstheme="minorHAnsi"/>
        </w:rPr>
        <w:t xml:space="preserve"> M, Kotani K, </w:t>
      </w:r>
      <w:proofErr w:type="spellStart"/>
      <w:r w:rsidRPr="00B278D8">
        <w:rPr>
          <w:rFonts w:cstheme="minorHAnsi"/>
        </w:rPr>
        <w:t>Hagihara</w:t>
      </w:r>
      <w:proofErr w:type="spellEnd"/>
      <w:r w:rsidRPr="00B278D8">
        <w:rPr>
          <w:rFonts w:cstheme="minorHAnsi"/>
        </w:rPr>
        <w:t xml:space="preserve"> A, </w:t>
      </w:r>
      <w:proofErr w:type="spellStart"/>
      <w:r w:rsidRPr="00B278D8">
        <w:rPr>
          <w:rFonts w:cstheme="minorHAnsi"/>
        </w:rPr>
        <w:t>Fujii</w:t>
      </w:r>
      <w:proofErr w:type="spellEnd"/>
      <w:r w:rsidRPr="00B278D8">
        <w:rPr>
          <w:rFonts w:cstheme="minorHAnsi"/>
        </w:rPr>
        <w:t xml:space="preserve"> H, Kobayashi S, Iwai S, Morikawa H, </w:t>
      </w:r>
      <w:proofErr w:type="spellStart"/>
      <w:r w:rsidRPr="00B278D8">
        <w:rPr>
          <w:rFonts w:cstheme="minorHAnsi"/>
        </w:rPr>
        <w:t>Kawabe</w:t>
      </w:r>
      <w:proofErr w:type="spellEnd"/>
      <w:r w:rsidRPr="00B278D8">
        <w:rPr>
          <w:rFonts w:cstheme="minorHAnsi"/>
        </w:rPr>
        <w:t xml:space="preserve"> J, Tominaga K, et al. Effect of </w:t>
      </w:r>
      <w:proofErr w:type="spellStart"/>
      <w:r w:rsidRPr="00B278D8">
        <w:rPr>
          <w:rFonts w:cstheme="minorHAnsi"/>
        </w:rPr>
        <w:t>mosapride</w:t>
      </w:r>
      <w:proofErr w:type="spellEnd"/>
      <w:r w:rsidRPr="00B278D8">
        <w:rPr>
          <w:rFonts w:cstheme="minorHAnsi"/>
        </w:rPr>
        <w:t xml:space="preserve"> citrate on gastric emptying in interferon-induced gastroparesis. Dig Dis Sci. </w:t>
      </w:r>
      <w:proofErr w:type="gramStart"/>
      <w:r w:rsidRPr="00B278D8">
        <w:rPr>
          <w:rFonts w:cstheme="minorHAnsi"/>
        </w:rPr>
        <w:t>2012;57:1510</w:t>
      </w:r>
      <w:proofErr w:type="gramEnd"/>
      <w:r w:rsidRPr="00B278D8">
        <w:rPr>
          <w:rFonts w:cstheme="minorHAnsi"/>
        </w:rPr>
        <w:t>–1516. [PubMed] [Google Scholar] [Ref list]</w:t>
      </w:r>
    </w:p>
    <w:p w14:paraId="129E8991" w14:textId="77777777" w:rsidR="003E0E86" w:rsidRPr="00B278D8" w:rsidRDefault="003E0E86" w:rsidP="003E0E86">
      <w:pPr>
        <w:rPr>
          <w:rFonts w:cstheme="minorHAnsi"/>
        </w:rPr>
      </w:pPr>
      <w:r w:rsidRPr="00B278D8">
        <w:rPr>
          <w:rFonts w:cstheme="minorHAnsi"/>
        </w:rPr>
        <w:t xml:space="preserve">17. Chen P, Zhao J, </w:t>
      </w:r>
      <w:proofErr w:type="spellStart"/>
      <w:r w:rsidRPr="00B278D8">
        <w:rPr>
          <w:rFonts w:cstheme="minorHAnsi"/>
        </w:rPr>
        <w:t>Gregersen</w:t>
      </w:r>
      <w:proofErr w:type="spellEnd"/>
      <w:r w:rsidRPr="00B278D8">
        <w:rPr>
          <w:rFonts w:cstheme="minorHAnsi"/>
        </w:rPr>
        <w:t xml:space="preserve"> H. Up-regulated expression of advanced glycation end-products and their receptor in the small intestine and colon of diabetic rats. Dig Dis Sci. </w:t>
      </w:r>
      <w:proofErr w:type="gramStart"/>
      <w:r w:rsidRPr="00B278D8">
        <w:rPr>
          <w:rFonts w:cstheme="minorHAnsi"/>
        </w:rPr>
        <w:t>2012;57:48</w:t>
      </w:r>
      <w:proofErr w:type="gramEnd"/>
      <w:r w:rsidRPr="00B278D8">
        <w:rPr>
          <w:rFonts w:cstheme="minorHAnsi"/>
        </w:rPr>
        <w:t>–57. [PubMed] [Google Scholar] [Ref list]</w:t>
      </w:r>
    </w:p>
    <w:p w14:paraId="67102C1B" w14:textId="77777777" w:rsidR="003E0E86" w:rsidRPr="00B278D8" w:rsidRDefault="003E0E86" w:rsidP="003E0E86">
      <w:pPr>
        <w:rPr>
          <w:rFonts w:cstheme="minorHAnsi"/>
        </w:rPr>
      </w:pPr>
      <w:r w:rsidRPr="00B278D8">
        <w:rPr>
          <w:rFonts w:cstheme="minorHAnsi"/>
        </w:rPr>
        <w:t xml:space="preserve">18. </w:t>
      </w:r>
      <w:proofErr w:type="spellStart"/>
      <w:r w:rsidRPr="00B278D8">
        <w:rPr>
          <w:rFonts w:cstheme="minorHAnsi"/>
        </w:rPr>
        <w:t>Lysy</w:t>
      </w:r>
      <w:proofErr w:type="spellEnd"/>
      <w:r w:rsidRPr="00B278D8">
        <w:rPr>
          <w:rFonts w:cstheme="minorHAnsi"/>
        </w:rPr>
        <w:t xml:space="preserve"> J, Israeli E, Goldin E. The prevalence of chronic </w:t>
      </w:r>
      <w:proofErr w:type="spellStart"/>
      <w:r w:rsidRPr="00B278D8">
        <w:rPr>
          <w:rFonts w:cstheme="minorHAnsi"/>
        </w:rPr>
        <w:t>diarrhea</w:t>
      </w:r>
      <w:proofErr w:type="spellEnd"/>
      <w:r w:rsidRPr="00B278D8">
        <w:rPr>
          <w:rFonts w:cstheme="minorHAnsi"/>
        </w:rPr>
        <w:t xml:space="preserve"> among diabetic patients. Am J Gastroenterol. </w:t>
      </w:r>
      <w:proofErr w:type="gramStart"/>
      <w:r w:rsidRPr="00B278D8">
        <w:rPr>
          <w:rFonts w:cstheme="minorHAnsi"/>
        </w:rPr>
        <w:t>1999;94:2165</w:t>
      </w:r>
      <w:proofErr w:type="gramEnd"/>
      <w:r w:rsidRPr="00B278D8">
        <w:rPr>
          <w:rFonts w:cstheme="minorHAnsi"/>
        </w:rPr>
        <w:t>–2170. [PubMed] [Google Scholar] [Ref list]</w:t>
      </w:r>
    </w:p>
    <w:p w14:paraId="7278FCFE" w14:textId="77777777" w:rsidR="003E0E86" w:rsidRPr="00B278D8" w:rsidRDefault="003E0E86" w:rsidP="003E0E86">
      <w:pPr>
        <w:rPr>
          <w:rFonts w:cstheme="minorHAnsi"/>
        </w:rPr>
      </w:pPr>
      <w:r w:rsidRPr="00B278D8">
        <w:rPr>
          <w:rFonts w:cstheme="minorHAnsi"/>
        </w:rPr>
        <w:t xml:space="preserve">19. </w:t>
      </w:r>
      <w:proofErr w:type="spellStart"/>
      <w:r w:rsidRPr="00B278D8">
        <w:rPr>
          <w:rFonts w:cstheme="minorHAnsi"/>
        </w:rPr>
        <w:t>Corazza</w:t>
      </w:r>
      <w:proofErr w:type="spellEnd"/>
      <w:r w:rsidRPr="00B278D8">
        <w:rPr>
          <w:rFonts w:cstheme="minorHAnsi"/>
        </w:rPr>
        <w:t xml:space="preserve"> GR, </w:t>
      </w:r>
      <w:proofErr w:type="spellStart"/>
      <w:r w:rsidRPr="00B278D8">
        <w:rPr>
          <w:rFonts w:cstheme="minorHAnsi"/>
        </w:rPr>
        <w:t>Menozzi</w:t>
      </w:r>
      <w:proofErr w:type="spellEnd"/>
      <w:r w:rsidRPr="00B278D8">
        <w:rPr>
          <w:rFonts w:cstheme="minorHAnsi"/>
        </w:rPr>
        <w:t xml:space="preserve"> MG, </w:t>
      </w:r>
      <w:proofErr w:type="spellStart"/>
      <w:r w:rsidRPr="00B278D8">
        <w:rPr>
          <w:rFonts w:cstheme="minorHAnsi"/>
        </w:rPr>
        <w:t>Strocchi</w:t>
      </w:r>
      <w:proofErr w:type="spellEnd"/>
      <w:r w:rsidRPr="00B278D8">
        <w:rPr>
          <w:rFonts w:cstheme="minorHAnsi"/>
        </w:rPr>
        <w:t xml:space="preserve"> A, </w:t>
      </w:r>
      <w:proofErr w:type="spellStart"/>
      <w:r w:rsidRPr="00B278D8">
        <w:rPr>
          <w:rFonts w:cstheme="minorHAnsi"/>
        </w:rPr>
        <w:t>Rasciti</w:t>
      </w:r>
      <w:proofErr w:type="spellEnd"/>
      <w:r w:rsidRPr="00B278D8">
        <w:rPr>
          <w:rFonts w:cstheme="minorHAnsi"/>
        </w:rPr>
        <w:t xml:space="preserve"> L, Vaira D, </w:t>
      </w:r>
      <w:proofErr w:type="spellStart"/>
      <w:r w:rsidRPr="00B278D8">
        <w:rPr>
          <w:rFonts w:cstheme="minorHAnsi"/>
        </w:rPr>
        <w:t>Lecchini</w:t>
      </w:r>
      <w:proofErr w:type="spellEnd"/>
      <w:r w:rsidRPr="00B278D8">
        <w:rPr>
          <w:rFonts w:cstheme="minorHAnsi"/>
        </w:rPr>
        <w:t xml:space="preserve"> R, </w:t>
      </w:r>
      <w:proofErr w:type="spellStart"/>
      <w:r w:rsidRPr="00B278D8">
        <w:rPr>
          <w:rFonts w:cstheme="minorHAnsi"/>
        </w:rPr>
        <w:t>Avanzini</w:t>
      </w:r>
      <w:proofErr w:type="spellEnd"/>
      <w:r w:rsidRPr="00B278D8">
        <w:rPr>
          <w:rFonts w:cstheme="minorHAnsi"/>
        </w:rPr>
        <w:t xml:space="preserve"> P, </w:t>
      </w:r>
      <w:proofErr w:type="spellStart"/>
      <w:r w:rsidRPr="00B278D8">
        <w:rPr>
          <w:rFonts w:cstheme="minorHAnsi"/>
        </w:rPr>
        <w:t>Chezzi</w:t>
      </w:r>
      <w:proofErr w:type="spellEnd"/>
      <w:r w:rsidRPr="00B278D8">
        <w:rPr>
          <w:rFonts w:cstheme="minorHAnsi"/>
        </w:rPr>
        <w:t xml:space="preserve"> C, </w:t>
      </w:r>
      <w:proofErr w:type="spellStart"/>
      <w:r w:rsidRPr="00B278D8">
        <w:rPr>
          <w:rFonts w:cstheme="minorHAnsi"/>
        </w:rPr>
        <w:t>Gasbarrini</w:t>
      </w:r>
      <w:proofErr w:type="spellEnd"/>
      <w:r w:rsidRPr="00B278D8">
        <w:rPr>
          <w:rFonts w:cstheme="minorHAnsi"/>
        </w:rPr>
        <w:t xml:space="preserve"> G. The diagnosis of small bowel bacterial overgrowth. Reliability of jejunal culture and inadequacy of breath hydrogen testing. Gastroenterology. </w:t>
      </w:r>
      <w:proofErr w:type="gramStart"/>
      <w:r w:rsidRPr="00B278D8">
        <w:rPr>
          <w:rFonts w:cstheme="minorHAnsi"/>
        </w:rPr>
        <w:t>1990;98:302</w:t>
      </w:r>
      <w:proofErr w:type="gramEnd"/>
      <w:r w:rsidRPr="00B278D8">
        <w:rPr>
          <w:rFonts w:cstheme="minorHAnsi"/>
        </w:rPr>
        <w:t>–309. [PubMed] [Google Scholar] [Ref list]</w:t>
      </w:r>
    </w:p>
    <w:p w14:paraId="268E9FC6" w14:textId="77777777" w:rsidR="003E0E86" w:rsidRPr="00B278D8" w:rsidRDefault="003E0E86" w:rsidP="003E0E86">
      <w:pPr>
        <w:rPr>
          <w:rFonts w:cstheme="minorHAnsi"/>
        </w:rPr>
      </w:pPr>
      <w:r w:rsidRPr="00B278D8">
        <w:rPr>
          <w:rFonts w:cstheme="minorHAnsi"/>
        </w:rPr>
        <w:lastRenderedPageBreak/>
        <w:t xml:space="preserve">20. Pimentel M. Review of rifaximin as treatment for SIBO and IBS. Expert </w:t>
      </w:r>
      <w:proofErr w:type="spellStart"/>
      <w:r w:rsidRPr="00B278D8">
        <w:rPr>
          <w:rFonts w:cstheme="minorHAnsi"/>
        </w:rPr>
        <w:t>Opin</w:t>
      </w:r>
      <w:proofErr w:type="spellEnd"/>
      <w:r w:rsidRPr="00B278D8">
        <w:rPr>
          <w:rFonts w:cstheme="minorHAnsi"/>
        </w:rPr>
        <w:t xml:space="preserve"> </w:t>
      </w:r>
      <w:proofErr w:type="spellStart"/>
      <w:r w:rsidRPr="00B278D8">
        <w:rPr>
          <w:rFonts w:cstheme="minorHAnsi"/>
        </w:rPr>
        <w:t>Investig</w:t>
      </w:r>
      <w:proofErr w:type="spellEnd"/>
      <w:r w:rsidRPr="00B278D8">
        <w:rPr>
          <w:rFonts w:cstheme="minorHAnsi"/>
        </w:rPr>
        <w:t xml:space="preserve"> Drugs. </w:t>
      </w:r>
      <w:proofErr w:type="gramStart"/>
      <w:r w:rsidRPr="00B278D8">
        <w:rPr>
          <w:rFonts w:cstheme="minorHAnsi"/>
        </w:rPr>
        <w:t>2009;18:349</w:t>
      </w:r>
      <w:proofErr w:type="gramEnd"/>
      <w:r w:rsidRPr="00B278D8">
        <w:rPr>
          <w:rFonts w:cstheme="minorHAnsi"/>
        </w:rPr>
        <w:t>–358. [PubMed] [Google Scholar] [Ref list]</w:t>
      </w:r>
    </w:p>
    <w:p w14:paraId="48944060" w14:textId="77777777" w:rsidR="003E0E86" w:rsidRPr="00B278D8" w:rsidRDefault="003E0E86" w:rsidP="003E0E86">
      <w:pPr>
        <w:rPr>
          <w:rFonts w:cstheme="minorHAnsi"/>
        </w:rPr>
      </w:pPr>
      <w:r w:rsidRPr="00B278D8">
        <w:rPr>
          <w:rFonts w:cstheme="minorHAnsi"/>
        </w:rPr>
        <w:t xml:space="preserve">21. American Gastroenterological Association. American </w:t>
      </w:r>
      <w:proofErr w:type="spellStart"/>
      <w:r w:rsidRPr="00B278D8">
        <w:rPr>
          <w:rFonts w:cstheme="minorHAnsi"/>
        </w:rPr>
        <w:t>Gastroenterologi</w:t>
      </w:r>
      <w:r w:rsidRPr="00B278D8">
        <w:rPr>
          <w:rFonts w:ascii="Calibri" w:hAnsi="Calibri" w:cs="Calibri"/>
        </w:rPr>
        <w:t/>
      </w:r>
      <w:r w:rsidRPr="00B278D8">
        <w:rPr>
          <w:rFonts w:cstheme="minorHAnsi"/>
        </w:rPr>
        <w:t>cal</w:t>
      </w:r>
      <w:proofErr w:type="spellEnd"/>
      <w:r w:rsidRPr="00B278D8">
        <w:rPr>
          <w:rFonts w:cstheme="minorHAnsi"/>
        </w:rPr>
        <w:t xml:space="preserve"> Association medical position statement: </w:t>
      </w:r>
      <w:proofErr w:type="spellStart"/>
      <w:r w:rsidRPr="00B278D8">
        <w:rPr>
          <w:rFonts w:cstheme="minorHAnsi"/>
        </w:rPr>
        <w:t>nonalcoholic</w:t>
      </w:r>
      <w:proofErr w:type="spellEnd"/>
      <w:r w:rsidRPr="00B278D8">
        <w:rPr>
          <w:rFonts w:cstheme="minorHAnsi"/>
        </w:rPr>
        <w:t xml:space="preserve"> fatty liver disease. Gastroenterology. 2002;123(5):1702-1704.</w:t>
      </w:r>
    </w:p>
    <w:p w14:paraId="7A768DB8" w14:textId="77777777" w:rsidR="003E0E86" w:rsidRPr="00B278D8" w:rsidRDefault="003E0E86" w:rsidP="003E0E86">
      <w:pPr>
        <w:rPr>
          <w:rFonts w:cstheme="minorHAnsi"/>
        </w:rPr>
      </w:pPr>
      <w:r w:rsidRPr="00B278D8">
        <w:rPr>
          <w:rFonts w:cstheme="minorHAnsi"/>
        </w:rPr>
        <w:t xml:space="preserve">22. </w:t>
      </w:r>
      <w:proofErr w:type="spellStart"/>
      <w:r w:rsidRPr="00B278D8">
        <w:rPr>
          <w:rFonts w:cstheme="minorHAnsi"/>
        </w:rPr>
        <w:t>Chalasani</w:t>
      </w:r>
      <w:proofErr w:type="spellEnd"/>
      <w:r w:rsidRPr="00B278D8">
        <w:rPr>
          <w:rFonts w:cstheme="minorHAnsi"/>
        </w:rPr>
        <w:t xml:space="preserve"> N, </w:t>
      </w:r>
      <w:proofErr w:type="spellStart"/>
      <w:r w:rsidRPr="00B278D8">
        <w:rPr>
          <w:rFonts w:cstheme="minorHAnsi"/>
        </w:rPr>
        <w:t>Younossi</w:t>
      </w:r>
      <w:proofErr w:type="spellEnd"/>
      <w:r w:rsidRPr="00B278D8">
        <w:rPr>
          <w:rFonts w:cstheme="minorHAnsi"/>
        </w:rPr>
        <w:t xml:space="preserve"> Z, Lavine JE, Diehl AM, Brunt EM, </w:t>
      </w:r>
      <w:proofErr w:type="spellStart"/>
      <w:r w:rsidRPr="00B278D8">
        <w:rPr>
          <w:rFonts w:cstheme="minorHAnsi"/>
        </w:rPr>
        <w:t>Cusi</w:t>
      </w:r>
      <w:proofErr w:type="spellEnd"/>
      <w:r w:rsidRPr="00B278D8">
        <w:rPr>
          <w:rFonts w:cstheme="minorHAnsi"/>
        </w:rPr>
        <w:t xml:space="preserve"> K, Charlton M, Sanyal AJ. The diagnosis and management of non-alcoholic fatty liver disease: practice Guideline by the American Association for the Study of Liver Diseases, American College of Gastroenterology, and the American Gastroenterological Association. Hepatology. </w:t>
      </w:r>
      <w:proofErr w:type="gramStart"/>
      <w:r w:rsidRPr="00B278D8">
        <w:rPr>
          <w:rFonts w:cstheme="minorHAnsi"/>
        </w:rPr>
        <w:t>2012;55:2005</w:t>
      </w:r>
      <w:proofErr w:type="gramEnd"/>
      <w:r w:rsidRPr="00B278D8">
        <w:rPr>
          <w:rFonts w:cstheme="minorHAnsi"/>
        </w:rPr>
        <w:t>–2023. [PubMed] [Google Scholar] [Ref list]</w:t>
      </w:r>
    </w:p>
    <w:p w14:paraId="3127CCCC" w14:textId="77777777" w:rsidR="003E0E86" w:rsidRPr="00B278D8" w:rsidRDefault="003E0E86" w:rsidP="003E0E86">
      <w:pPr>
        <w:rPr>
          <w:rFonts w:cstheme="minorHAnsi"/>
        </w:rPr>
      </w:pPr>
      <w:r w:rsidRPr="00B278D8">
        <w:rPr>
          <w:rFonts w:cstheme="minorHAnsi"/>
        </w:rPr>
        <w:t xml:space="preserve">23. </w:t>
      </w:r>
      <w:proofErr w:type="spellStart"/>
      <w:r w:rsidRPr="00B278D8">
        <w:rPr>
          <w:rFonts w:cstheme="minorHAnsi"/>
        </w:rPr>
        <w:t>Wieckowska</w:t>
      </w:r>
      <w:proofErr w:type="spellEnd"/>
      <w:r w:rsidRPr="00B278D8">
        <w:rPr>
          <w:rFonts w:cstheme="minorHAnsi"/>
        </w:rPr>
        <w:t xml:space="preserve"> A, McCullough AJ, Feldstein AE. </w:t>
      </w:r>
      <w:proofErr w:type="spellStart"/>
      <w:r w:rsidRPr="00B278D8">
        <w:rPr>
          <w:rFonts w:cstheme="minorHAnsi"/>
        </w:rPr>
        <w:t>Noninvasive</w:t>
      </w:r>
      <w:proofErr w:type="spellEnd"/>
      <w:r w:rsidRPr="00B278D8">
        <w:rPr>
          <w:rFonts w:cstheme="minorHAnsi"/>
        </w:rPr>
        <w:t xml:space="preserve"> diagnosis and monitoring of </w:t>
      </w:r>
      <w:proofErr w:type="spellStart"/>
      <w:r w:rsidRPr="00B278D8">
        <w:rPr>
          <w:rFonts w:cstheme="minorHAnsi"/>
        </w:rPr>
        <w:t>nonalcoholic</w:t>
      </w:r>
      <w:proofErr w:type="spellEnd"/>
      <w:r w:rsidRPr="00B278D8">
        <w:rPr>
          <w:rFonts w:cstheme="minorHAnsi"/>
        </w:rPr>
        <w:t xml:space="preserve"> steatohepatitis: present and future. Hepatology. </w:t>
      </w:r>
      <w:proofErr w:type="gramStart"/>
      <w:r w:rsidRPr="00B278D8">
        <w:rPr>
          <w:rFonts w:cstheme="minorHAnsi"/>
        </w:rPr>
        <w:t>2007;46:582</w:t>
      </w:r>
      <w:proofErr w:type="gramEnd"/>
      <w:r w:rsidRPr="00B278D8">
        <w:rPr>
          <w:rFonts w:cstheme="minorHAnsi"/>
        </w:rPr>
        <w:t>–589. [PubMed] [Google Scholar] [Ref list]</w:t>
      </w:r>
    </w:p>
    <w:p w14:paraId="5EE878D0" w14:textId="77777777" w:rsidR="003E0E86" w:rsidRPr="00B278D8" w:rsidRDefault="003E0E86" w:rsidP="003E0E86">
      <w:pPr>
        <w:rPr>
          <w:rFonts w:cstheme="minorHAnsi"/>
        </w:rPr>
      </w:pPr>
      <w:r w:rsidRPr="00B278D8">
        <w:rPr>
          <w:rFonts w:cstheme="minorHAnsi"/>
        </w:rPr>
        <w:t xml:space="preserve">24. Angelico F, </w:t>
      </w:r>
      <w:proofErr w:type="spellStart"/>
      <w:r w:rsidRPr="00B278D8">
        <w:rPr>
          <w:rFonts w:cstheme="minorHAnsi"/>
        </w:rPr>
        <w:t>Burattin</w:t>
      </w:r>
      <w:proofErr w:type="spellEnd"/>
      <w:r w:rsidRPr="00B278D8">
        <w:rPr>
          <w:rFonts w:cstheme="minorHAnsi"/>
        </w:rPr>
        <w:t xml:space="preserve"> M, </w:t>
      </w:r>
      <w:proofErr w:type="spellStart"/>
      <w:r w:rsidRPr="00B278D8">
        <w:rPr>
          <w:rFonts w:cstheme="minorHAnsi"/>
        </w:rPr>
        <w:t>Alessandri</w:t>
      </w:r>
      <w:proofErr w:type="spellEnd"/>
      <w:r w:rsidRPr="00B278D8">
        <w:rPr>
          <w:rFonts w:cstheme="minorHAnsi"/>
        </w:rPr>
        <w:t xml:space="preserve"> C, Del Ben M, </w:t>
      </w:r>
      <w:proofErr w:type="spellStart"/>
      <w:r w:rsidRPr="00B278D8">
        <w:rPr>
          <w:rFonts w:cstheme="minorHAnsi"/>
        </w:rPr>
        <w:t>Lirussi</w:t>
      </w:r>
      <w:proofErr w:type="spellEnd"/>
      <w:r w:rsidRPr="00B278D8">
        <w:rPr>
          <w:rFonts w:cstheme="minorHAnsi"/>
        </w:rPr>
        <w:t xml:space="preserve"> F. Drugs improving insulin resistance for non-alcoholic fatty liver disease and/or </w:t>
      </w:r>
      <w:proofErr w:type="spellStart"/>
      <w:r w:rsidRPr="00B278D8">
        <w:rPr>
          <w:rFonts w:cstheme="minorHAnsi"/>
        </w:rPr>
        <w:t>non-alco</w:t>
      </w:r>
      <w:r w:rsidRPr="00B278D8">
        <w:rPr>
          <w:rFonts w:ascii="Calibri" w:hAnsi="Calibri" w:cs="Calibri"/>
        </w:rPr>
        <w:t/>
      </w:r>
      <w:r w:rsidRPr="00B278D8">
        <w:rPr>
          <w:rFonts w:cstheme="minorHAnsi"/>
        </w:rPr>
        <w:t>holic</w:t>
      </w:r>
      <w:proofErr w:type="spellEnd"/>
      <w:r w:rsidRPr="00B278D8">
        <w:rPr>
          <w:rFonts w:cstheme="minorHAnsi"/>
        </w:rPr>
        <w:t xml:space="preserve"> steatohepatitis. Cochrane Database </w:t>
      </w:r>
      <w:proofErr w:type="spellStart"/>
      <w:r w:rsidRPr="00B278D8">
        <w:rPr>
          <w:rFonts w:cstheme="minorHAnsi"/>
        </w:rPr>
        <w:t>Syst</w:t>
      </w:r>
      <w:proofErr w:type="spellEnd"/>
      <w:r w:rsidRPr="00B278D8">
        <w:rPr>
          <w:rFonts w:cstheme="minorHAnsi"/>
        </w:rPr>
        <w:t xml:space="preserve"> Rev. 2007;(1):CD005166.</w:t>
      </w:r>
    </w:p>
    <w:p w14:paraId="176FA113" w14:textId="77777777" w:rsidR="003E0E86" w:rsidRPr="00B278D8" w:rsidRDefault="003E0E86" w:rsidP="003E0E86">
      <w:pPr>
        <w:rPr>
          <w:rFonts w:cstheme="minorHAnsi"/>
        </w:rPr>
      </w:pPr>
      <w:r w:rsidRPr="00B278D8">
        <w:rPr>
          <w:rFonts w:cstheme="minorHAnsi"/>
        </w:rPr>
        <w:t>25. Fabris P, et al. Insulin-dependent diabetes mellitus during alpha-interferon therapy for chronic viral hepatitis. J Hepatol. 1998;28(3):514-517.</w:t>
      </w:r>
    </w:p>
    <w:p w14:paraId="308323C1" w14:textId="77777777" w:rsidR="003E0E86" w:rsidRPr="00B278D8" w:rsidRDefault="003E0E86" w:rsidP="003E0E86">
      <w:pPr>
        <w:rPr>
          <w:rFonts w:cstheme="minorHAnsi"/>
        </w:rPr>
      </w:pPr>
      <w:r w:rsidRPr="00B278D8">
        <w:rPr>
          <w:rFonts w:cstheme="minorHAnsi"/>
        </w:rPr>
        <w:t>26. Ebert EC. Gastrointestinal complications of diabetes mellitus. Dis Mon. 2005;51(12):620-663.</w:t>
      </w:r>
    </w:p>
    <w:p w14:paraId="31FF7263" w14:textId="77777777" w:rsidR="003E0E86" w:rsidRPr="00B278D8" w:rsidRDefault="003E0E86" w:rsidP="003E0E86">
      <w:pPr>
        <w:rPr>
          <w:rFonts w:cstheme="minorHAnsi"/>
        </w:rPr>
      </w:pPr>
      <w:r w:rsidRPr="00B278D8">
        <w:rPr>
          <w:rFonts w:cstheme="minorHAnsi"/>
        </w:rPr>
        <w:t>27. Phelps G, Chapman I, Hall P, et al. Prevalence of genetic haemochromatosis in diabetic patients. Lancet. 1989;2(8657):233-234.</w:t>
      </w:r>
    </w:p>
    <w:p w14:paraId="65076D57" w14:textId="77777777" w:rsidR="00A74D82" w:rsidRPr="00B278D8" w:rsidRDefault="00A74D82" w:rsidP="00756E20">
      <w:pPr>
        <w:rPr>
          <w:rFonts w:cstheme="minorHAnsi"/>
        </w:rPr>
      </w:pPr>
    </w:p>
    <w:sectPr w:rsidR="00A74D82" w:rsidRPr="00B2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D9C"/>
    <w:multiLevelType w:val="hybridMultilevel"/>
    <w:tmpl w:val="A516DED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73429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720E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455358"/>
    <w:multiLevelType w:val="hybridMultilevel"/>
    <w:tmpl w:val="521A03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4370B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A84356"/>
    <w:multiLevelType w:val="hybridMultilevel"/>
    <w:tmpl w:val="ADA89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EF2BE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11424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4809CF"/>
    <w:multiLevelType w:val="hybridMultilevel"/>
    <w:tmpl w:val="E6168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C9816AD"/>
    <w:multiLevelType w:val="hybridMultilevel"/>
    <w:tmpl w:val="3474B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2607639">
    <w:abstractNumId w:val="2"/>
  </w:num>
  <w:num w:numId="2" w16cid:durableId="939265863">
    <w:abstractNumId w:val="4"/>
  </w:num>
  <w:num w:numId="3" w16cid:durableId="969091894">
    <w:abstractNumId w:val="6"/>
  </w:num>
  <w:num w:numId="4" w16cid:durableId="914632052">
    <w:abstractNumId w:val="7"/>
  </w:num>
  <w:num w:numId="5" w16cid:durableId="1292709687">
    <w:abstractNumId w:val="1"/>
  </w:num>
  <w:num w:numId="6" w16cid:durableId="575744211">
    <w:abstractNumId w:val="0"/>
  </w:num>
  <w:num w:numId="7" w16cid:durableId="1489519767">
    <w:abstractNumId w:val="3"/>
  </w:num>
  <w:num w:numId="8" w16cid:durableId="1826045324">
    <w:abstractNumId w:val="8"/>
  </w:num>
  <w:num w:numId="9" w16cid:durableId="1617103377">
    <w:abstractNumId w:val="5"/>
  </w:num>
  <w:num w:numId="10" w16cid:durableId="1451632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10"/>
    <w:rsid w:val="0000443F"/>
    <w:rsid w:val="000125CB"/>
    <w:rsid w:val="000219AC"/>
    <w:rsid w:val="00036EF2"/>
    <w:rsid w:val="000416B3"/>
    <w:rsid w:val="000430B5"/>
    <w:rsid w:val="00051D4E"/>
    <w:rsid w:val="00053BF5"/>
    <w:rsid w:val="0006202A"/>
    <w:rsid w:val="000679B5"/>
    <w:rsid w:val="000769E7"/>
    <w:rsid w:val="000A3827"/>
    <w:rsid w:val="000C3732"/>
    <w:rsid w:val="000C4C63"/>
    <w:rsid w:val="000C76E5"/>
    <w:rsid w:val="00125977"/>
    <w:rsid w:val="001B13FE"/>
    <w:rsid w:val="001C34D0"/>
    <w:rsid w:val="00225BDD"/>
    <w:rsid w:val="00270B11"/>
    <w:rsid w:val="002B55BD"/>
    <w:rsid w:val="002D5CF7"/>
    <w:rsid w:val="002E0C95"/>
    <w:rsid w:val="002E2FC9"/>
    <w:rsid w:val="002F0F48"/>
    <w:rsid w:val="00301687"/>
    <w:rsid w:val="0033321A"/>
    <w:rsid w:val="003376B4"/>
    <w:rsid w:val="00346AC8"/>
    <w:rsid w:val="003530EA"/>
    <w:rsid w:val="00355FD5"/>
    <w:rsid w:val="0036295E"/>
    <w:rsid w:val="00382305"/>
    <w:rsid w:val="003E0E86"/>
    <w:rsid w:val="0044274F"/>
    <w:rsid w:val="00482DD3"/>
    <w:rsid w:val="004A7C46"/>
    <w:rsid w:val="004C6F18"/>
    <w:rsid w:val="004F1368"/>
    <w:rsid w:val="005214A8"/>
    <w:rsid w:val="00523C91"/>
    <w:rsid w:val="00523F02"/>
    <w:rsid w:val="00545078"/>
    <w:rsid w:val="00560BEE"/>
    <w:rsid w:val="0059781C"/>
    <w:rsid w:val="005B2A12"/>
    <w:rsid w:val="005D43AB"/>
    <w:rsid w:val="005F37F4"/>
    <w:rsid w:val="005F7B36"/>
    <w:rsid w:val="00606021"/>
    <w:rsid w:val="006118FA"/>
    <w:rsid w:val="006478D6"/>
    <w:rsid w:val="006603FC"/>
    <w:rsid w:val="00690FBF"/>
    <w:rsid w:val="006B7ECD"/>
    <w:rsid w:val="006D2A04"/>
    <w:rsid w:val="0074436D"/>
    <w:rsid w:val="00746AA0"/>
    <w:rsid w:val="007528E7"/>
    <w:rsid w:val="00756E20"/>
    <w:rsid w:val="00762D22"/>
    <w:rsid w:val="0076501C"/>
    <w:rsid w:val="00775EA8"/>
    <w:rsid w:val="00780316"/>
    <w:rsid w:val="007844A2"/>
    <w:rsid w:val="007A2B3D"/>
    <w:rsid w:val="007B4A3D"/>
    <w:rsid w:val="007D502B"/>
    <w:rsid w:val="007E5E3F"/>
    <w:rsid w:val="007F64B8"/>
    <w:rsid w:val="00812A10"/>
    <w:rsid w:val="0083065B"/>
    <w:rsid w:val="00857DF3"/>
    <w:rsid w:val="008653A7"/>
    <w:rsid w:val="008B1D53"/>
    <w:rsid w:val="008B6EF9"/>
    <w:rsid w:val="008C4785"/>
    <w:rsid w:val="008C6498"/>
    <w:rsid w:val="009024E4"/>
    <w:rsid w:val="009753C0"/>
    <w:rsid w:val="009758C6"/>
    <w:rsid w:val="0099743B"/>
    <w:rsid w:val="009A7254"/>
    <w:rsid w:val="009B4EA8"/>
    <w:rsid w:val="009C1D7A"/>
    <w:rsid w:val="009C3AB1"/>
    <w:rsid w:val="009D438E"/>
    <w:rsid w:val="009E2247"/>
    <w:rsid w:val="009F1622"/>
    <w:rsid w:val="009F1DB6"/>
    <w:rsid w:val="009F4C1B"/>
    <w:rsid w:val="00A06ABF"/>
    <w:rsid w:val="00A42300"/>
    <w:rsid w:val="00A72F97"/>
    <w:rsid w:val="00A74D82"/>
    <w:rsid w:val="00A87B83"/>
    <w:rsid w:val="00B0153A"/>
    <w:rsid w:val="00B21D9E"/>
    <w:rsid w:val="00B247CE"/>
    <w:rsid w:val="00B26793"/>
    <w:rsid w:val="00B278D8"/>
    <w:rsid w:val="00B73601"/>
    <w:rsid w:val="00BA550A"/>
    <w:rsid w:val="00C156E9"/>
    <w:rsid w:val="00C9072E"/>
    <w:rsid w:val="00CC5F17"/>
    <w:rsid w:val="00D66978"/>
    <w:rsid w:val="00D728AB"/>
    <w:rsid w:val="00DA745E"/>
    <w:rsid w:val="00DD4E5F"/>
    <w:rsid w:val="00DD58E4"/>
    <w:rsid w:val="00E064C6"/>
    <w:rsid w:val="00E7079B"/>
    <w:rsid w:val="00E801C8"/>
    <w:rsid w:val="00EC47D0"/>
    <w:rsid w:val="00F109C2"/>
    <w:rsid w:val="00F73769"/>
    <w:rsid w:val="00F8005A"/>
    <w:rsid w:val="00F93879"/>
    <w:rsid w:val="00FD63AD"/>
    <w:rsid w:val="00FE7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060"/>
  <w15:chartTrackingRefBased/>
  <w15:docId w15:val="{B1C80D88-E39C-4467-B934-6D6F8AF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0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0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501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26793"/>
    <w:pPr>
      <w:ind w:left="720"/>
      <w:contextualSpacing/>
    </w:pPr>
  </w:style>
  <w:style w:type="paragraph" w:styleId="NormalWeb">
    <w:name w:val="Normal (Web)"/>
    <w:basedOn w:val="Normal"/>
    <w:uiPriority w:val="99"/>
    <w:semiHidden/>
    <w:unhideWhenUsed/>
    <w:rsid w:val="000416B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416B3"/>
    <w:rPr>
      <w:b/>
      <w:bCs/>
    </w:rPr>
  </w:style>
  <w:style w:type="paragraph" w:customStyle="1" w:styleId="p">
    <w:name w:val="p"/>
    <w:basedOn w:val="Normal"/>
    <w:rsid w:val="000416B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0416B3"/>
    <w:rPr>
      <w:color w:val="0000FF"/>
      <w:u w:val="single"/>
    </w:rPr>
  </w:style>
  <w:style w:type="table" w:styleId="PlainTable1">
    <w:name w:val="Plain Table 1"/>
    <w:basedOn w:val="TableNormal"/>
    <w:uiPriority w:val="41"/>
    <w:rsid w:val="00857D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125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9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699">
      <w:bodyDiv w:val="1"/>
      <w:marLeft w:val="0"/>
      <w:marRight w:val="0"/>
      <w:marTop w:val="0"/>
      <w:marBottom w:val="0"/>
      <w:divBdr>
        <w:top w:val="none" w:sz="0" w:space="0" w:color="auto"/>
        <w:left w:val="none" w:sz="0" w:space="0" w:color="auto"/>
        <w:bottom w:val="none" w:sz="0" w:space="0" w:color="auto"/>
        <w:right w:val="none" w:sz="0" w:space="0" w:color="auto"/>
      </w:divBdr>
    </w:div>
    <w:div w:id="225069068">
      <w:bodyDiv w:val="1"/>
      <w:marLeft w:val="0"/>
      <w:marRight w:val="0"/>
      <w:marTop w:val="0"/>
      <w:marBottom w:val="0"/>
      <w:divBdr>
        <w:top w:val="none" w:sz="0" w:space="0" w:color="auto"/>
        <w:left w:val="none" w:sz="0" w:space="0" w:color="auto"/>
        <w:bottom w:val="none" w:sz="0" w:space="0" w:color="auto"/>
        <w:right w:val="none" w:sz="0" w:space="0" w:color="auto"/>
      </w:divBdr>
      <w:divsChild>
        <w:div w:id="1939291429">
          <w:marLeft w:val="0"/>
          <w:marRight w:val="0"/>
          <w:marTop w:val="200"/>
          <w:marBottom w:val="200"/>
          <w:divBdr>
            <w:top w:val="none" w:sz="0" w:space="0" w:color="auto"/>
            <w:left w:val="none" w:sz="0" w:space="0" w:color="auto"/>
            <w:bottom w:val="none" w:sz="0" w:space="0" w:color="auto"/>
            <w:right w:val="none" w:sz="0" w:space="0" w:color="auto"/>
          </w:divBdr>
        </w:div>
        <w:div w:id="1316488646">
          <w:marLeft w:val="0"/>
          <w:marRight w:val="0"/>
          <w:marTop w:val="0"/>
          <w:marBottom w:val="0"/>
          <w:divBdr>
            <w:top w:val="none" w:sz="0" w:space="0" w:color="auto"/>
            <w:left w:val="none" w:sz="0" w:space="0" w:color="auto"/>
            <w:bottom w:val="none" w:sz="0" w:space="0" w:color="auto"/>
            <w:right w:val="none" w:sz="0" w:space="0" w:color="auto"/>
          </w:divBdr>
        </w:div>
        <w:div w:id="1243880590">
          <w:marLeft w:val="0"/>
          <w:marRight w:val="0"/>
          <w:marTop w:val="200"/>
          <w:marBottom w:val="200"/>
          <w:divBdr>
            <w:top w:val="none" w:sz="0" w:space="0" w:color="auto"/>
            <w:left w:val="none" w:sz="0" w:space="0" w:color="auto"/>
            <w:bottom w:val="none" w:sz="0" w:space="0" w:color="auto"/>
            <w:right w:val="none" w:sz="0" w:space="0" w:color="auto"/>
          </w:divBdr>
          <w:divsChild>
            <w:div w:id="610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168">
      <w:bodyDiv w:val="1"/>
      <w:marLeft w:val="0"/>
      <w:marRight w:val="0"/>
      <w:marTop w:val="0"/>
      <w:marBottom w:val="0"/>
      <w:divBdr>
        <w:top w:val="none" w:sz="0" w:space="0" w:color="auto"/>
        <w:left w:val="none" w:sz="0" w:space="0" w:color="auto"/>
        <w:bottom w:val="none" w:sz="0" w:space="0" w:color="auto"/>
        <w:right w:val="none" w:sz="0" w:space="0" w:color="auto"/>
      </w:divBdr>
    </w:div>
    <w:div w:id="777332290">
      <w:bodyDiv w:val="1"/>
      <w:marLeft w:val="0"/>
      <w:marRight w:val="0"/>
      <w:marTop w:val="0"/>
      <w:marBottom w:val="0"/>
      <w:divBdr>
        <w:top w:val="none" w:sz="0" w:space="0" w:color="auto"/>
        <w:left w:val="none" w:sz="0" w:space="0" w:color="auto"/>
        <w:bottom w:val="none" w:sz="0" w:space="0" w:color="auto"/>
        <w:right w:val="none" w:sz="0" w:space="0" w:color="auto"/>
      </w:divBdr>
    </w:div>
    <w:div w:id="876242344">
      <w:bodyDiv w:val="1"/>
      <w:marLeft w:val="0"/>
      <w:marRight w:val="0"/>
      <w:marTop w:val="0"/>
      <w:marBottom w:val="0"/>
      <w:divBdr>
        <w:top w:val="none" w:sz="0" w:space="0" w:color="auto"/>
        <w:left w:val="none" w:sz="0" w:space="0" w:color="auto"/>
        <w:bottom w:val="none" w:sz="0" w:space="0" w:color="auto"/>
        <w:right w:val="none" w:sz="0" w:space="0" w:color="auto"/>
      </w:divBdr>
    </w:div>
    <w:div w:id="1001080871">
      <w:bodyDiv w:val="1"/>
      <w:marLeft w:val="0"/>
      <w:marRight w:val="0"/>
      <w:marTop w:val="0"/>
      <w:marBottom w:val="0"/>
      <w:divBdr>
        <w:top w:val="none" w:sz="0" w:space="0" w:color="auto"/>
        <w:left w:val="none" w:sz="0" w:space="0" w:color="auto"/>
        <w:bottom w:val="none" w:sz="0" w:space="0" w:color="auto"/>
        <w:right w:val="none" w:sz="0" w:space="0" w:color="auto"/>
      </w:divBdr>
      <w:divsChild>
        <w:div w:id="284896624">
          <w:marLeft w:val="0"/>
          <w:marRight w:val="0"/>
          <w:marTop w:val="0"/>
          <w:marBottom w:val="0"/>
          <w:divBdr>
            <w:top w:val="single" w:sz="2" w:space="0" w:color="auto"/>
            <w:left w:val="single" w:sz="2" w:space="0" w:color="auto"/>
            <w:bottom w:val="single" w:sz="6" w:space="0" w:color="auto"/>
            <w:right w:val="single" w:sz="2" w:space="0" w:color="auto"/>
          </w:divBdr>
          <w:divsChild>
            <w:div w:id="33583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086549">
                  <w:marLeft w:val="0"/>
                  <w:marRight w:val="0"/>
                  <w:marTop w:val="0"/>
                  <w:marBottom w:val="0"/>
                  <w:divBdr>
                    <w:top w:val="single" w:sz="2" w:space="0" w:color="D9D9E3"/>
                    <w:left w:val="single" w:sz="2" w:space="0" w:color="D9D9E3"/>
                    <w:bottom w:val="single" w:sz="2" w:space="0" w:color="D9D9E3"/>
                    <w:right w:val="single" w:sz="2" w:space="0" w:color="D9D9E3"/>
                  </w:divBdr>
                  <w:divsChild>
                    <w:div w:id="1767533158">
                      <w:marLeft w:val="0"/>
                      <w:marRight w:val="0"/>
                      <w:marTop w:val="0"/>
                      <w:marBottom w:val="0"/>
                      <w:divBdr>
                        <w:top w:val="single" w:sz="2" w:space="0" w:color="D9D9E3"/>
                        <w:left w:val="single" w:sz="2" w:space="0" w:color="D9D9E3"/>
                        <w:bottom w:val="single" w:sz="2" w:space="0" w:color="D9D9E3"/>
                        <w:right w:val="single" w:sz="2" w:space="0" w:color="D9D9E3"/>
                      </w:divBdr>
                      <w:divsChild>
                        <w:div w:id="2051568727">
                          <w:marLeft w:val="0"/>
                          <w:marRight w:val="0"/>
                          <w:marTop w:val="0"/>
                          <w:marBottom w:val="0"/>
                          <w:divBdr>
                            <w:top w:val="single" w:sz="2" w:space="0" w:color="D9D9E3"/>
                            <w:left w:val="single" w:sz="2" w:space="0" w:color="D9D9E3"/>
                            <w:bottom w:val="single" w:sz="2" w:space="0" w:color="D9D9E3"/>
                            <w:right w:val="single" w:sz="2" w:space="0" w:color="D9D9E3"/>
                          </w:divBdr>
                          <w:divsChild>
                            <w:div w:id="767702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0488448">
      <w:bodyDiv w:val="1"/>
      <w:marLeft w:val="0"/>
      <w:marRight w:val="0"/>
      <w:marTop w:val="0"/>
      <w:marBottom w:val="0"/>
      <w:divBdr>
        <w:top w:val="none" w:sz="0" w:space="0" w:color="auto"/>
        <w:left w:val="none" w:sz="0" w:space="0" w:color="auto"/>
        <w:bottom w:val="none" w:sz="0" w:space="0" w:color="auto"/>
        <w:right w:val="none" w:sz="0" w:space="0" w:color="auto"/>
      </w:divBdr>
    </w:div>
    <w:div w:id="1998681773">
      <w:bodyDiv w:val="1"/>
      <w:marLeft w:val="0"/>
      <w:marRight w:val="0"/>
      <w:marTop w:val="0"/>
      <w:marBottom w:val="0"/>
      <w:divBdr>
        <w:top w:val="none" w:sz="0" w:space="0" w:color="auto"/>
        <w:left w:val="none" w:sz="0" w:space="0" w:color="auto"/>
        <w:bottom w:val="none" w:sz="0" w:space="0" w:color="auto"/>
        <w:right w:val="none" w:sz="0" w:space="0" w:color="auto"/>
      </w:divBdr>
    </w:div>
    <w:div w:id="20979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8</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gurkaran bedi</dc:creator>
  <cp:keywords/>
  <dc:description/>
  <cp:lastModifiedBy>gurkaran bedi</cp:lastModifiedBy>
  <cp:revision>113</cp:revision>
  <dcterms:created xsi:type="dcterms:W3CDTF">2023-07-07T12:28:00Z</dcterms:created>
  <dcterms:modified xsi:type="dcterms:W3CDTF">2023-07-23T14:19:00Z</dcterms:modified>
</cp:coreProperties>
</file>