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Pr="00443F42" w:rsidRDefault="00443F42" w:rsidP="000D62DA">
      <w:pPr>
        <w:pStyle w:val="Title"/>
        <w:rPr>
          <w:bCs w:val="0"/>
        </w:rPr>
      </w:pPr>
      <w:r w:rsidRPr="00443F42">
        <w:rPr>
          <w:bCs w:val="0"/>
          <w:lang w:val="en-IN"/>
        </w:rPr>
        <w:t xml:space="preserve">Modeling of Seeker Optimization Algorithm with Deep Learning Assisted Intrusion Detection in </w:t>
      </w:r>
      <w:r w:rsidR="006C712E">
        <w:rPr>
          <w:bCs w:val="0"/>
          <w:lang w:val="en-IN"/>
        </w:rPr>
        <w:t xml:space="preserve">Secure </w:t>
      </w:r>
      <w:r w:rsidR="006456AA">
        <w:rPr>
          <w:bCs w:val="0"/>
          <w:lang w:val="en-IN"/>
        </w:rPr>
        <w:t>IoT</w:t>
      </w:r>
      <w:r w:rsidRPr="00443F42">
        <w:rPr>
          <w:bCs w:val="0"/>
          <w:lang w:val="en-IN"/>
        </w:rPr>
        <w:t xml:space="preserve"> Environment</w:t>
      </w:r>
    </w:p>
    <w:p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rsidR="006A38DE" w:rsidRDefault="006A38DE" w:rsidP="006A38DE">
      <w:pPr>
        <w:pStyle w:val="Affiliation"/>
        <w:rPr>
          <w:rFonts w:eastAsia="MS Mincho"/>
        </w:rPr>
        <w:sectPr w:rsidR="006A38DE" w:rsidSect="006C4648">
          <w:type w:val="continuous"/>
          <w:pgSz w:w="11909" w:h="16834" w:code="9"/>
          <w:pgMar w:top="1080" w:right="734" w:bottom="2434" w:left="734" w:header="720" w:footer="720" w:gutter="0"/>
          <w:cols w:num="2" w:space="720" w:equalWidth="0">
            <w:col w:w="4860" w:space="720"/>
            <w:col w:w="4860"/>
          </w:cols>
          <w:docGrid w:linePitch="360"/>
        </w:sectPr>
      </w:pPr>
    </w:p>
    <w:p w:rsidR="006C712E" w:rsidRDefault="006C712E"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lastRenderedPageBreak/>
        <w:t xml:space="preserve">Mr. S. </w:t>
      </w:r>
      <w:proofErr w:type="spellStart"/>
      <w:r>
        <w:rPr>
          <w:rFonts w:eastAsia="Times New Roman"/>
          <w:color w:val="222222"/>
          <w:spacing w:val="0"/>
          <w:lang w:val="en-IN" w:eastAsia="en-IN"/>
        </w:rPr>
        <w:t>Thirumal</w:t>
      </w:r>
      <w:proofErr w:type="spellEnd"/>
    </w:p>
    <w:p w:rsidR="006C712E" w:rsidRDefault="006C712E"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t>Research Scholar,</w:t>
      </w:r>
    </w:p>
    <w:p w:rsidR="006C712E" w:rsidRDefault="006C712E"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t>Dept., of Computer Applications,</w:t>
      </w:r>
    </w:p>
    <w:p w:rsidR="006C712E" w:rsidRDefault="006C712E"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t>St. Peter's Institute of Higher Education and Research,</w:t>
      </w:r>
    </w:p>
    <w:p w:rsidR="006C712E" w:rsidRDefault="006C712E"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t>Chennai.</w:t>
      </w:r>
    </w:p>
    <w:p w:rsidR="006C712E" w:rsidRDefault="008978B0"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hyperlink r:id="rId5" w:history="1">
        <w:r w:rsidR="006C712E">
          <w:rPr>
            <w:rStyle w:val="Hyperlink"/>
            <w:rFonts w:eastAsia="Times New Roman"/>
            <w:spacing w:val="0"/>
            <w:lang w:val="en-IN" w:eastAsia="en-IN"/>
          </w:rPr>
          <w:t>dsmthirumal@yahoo.com</w:t>
        </w:r>
      </w:hyperlink>
    </w:p>
    <w:p w:rsidR="006C712E" w:rsidRDefault="006C712E"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lastRenderedPageBreak/>
        <w:t xml:space="preserve">Dr. R. </w:t>
      </w:r>
      <w:proofErr w:type="spellStart"/>
      <w:r>
        <w:rPr>
          <w:rFonts w:eastAsia="Times New Roman"/>
          <w:color w:val="222222"/>
          <w:spacing w:val="0"/>
          <w:lang w:val="en-IN" w:eastAsia="en-IN"/>
        </w:rPr>
        <w:t>Latha</w:t>
      </w:r>
      <w:proofErr w:type="spellEnd"/>
    </w:p>
    <w:p w:rsidR="006C712E" w:rsidRDefault="006C712E"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t>Professor and Head,</w:t>
      </w:r>
    </w:p>
    <w:p w:rsidR="006C712E" w:rsidRDefault="006C712E"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t>Dept., of Computer Applications,</w:t>
      </w:r>
    </w:p>
    <w:p w:rsidR="006C712E" w:rsidRDefault="006C712E"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t>St. Peter's Institute of Higher Education and Research,</w:t>
      </w:r>
    </w:p>
    <w:p w:rsidR="006C712E" w:rsidRDefault="006C712E"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t>Chennai.</w:t>
      </w:r>
    </w:p>
    <w:p w:rsidR="006C712E" w:rsidRDefault="008978B0" w:rsidP="006C712E">
      <w:pPr>
        <w:shd w:val="clear" w:color="auto" w:fill="FFFFFF"/>
        <w:tabs>
          <w:tab w:val="clear" w:pos="288"/>
          <w:tab w:val="left" w:pos="720"/>
        </w:tabs>
        <w:spacing w:line="240" w:lineRule="auto"/>
        <w:ind w:firstLine="0"/>
        <w:jc w:val="center"/>
        <w:rPr>
          <w:rFonts w:eastAsia="Times New Roman"/>
          <w:color w:val="222222"/>
          <w:spacing w:val="0"/>
          <w:lang w:val="en-IN" w:eastAsia="en-IN"/>
        </w:rPr>
      </w:pPr>
      <w:hyperlink r:id="rId6" w:tgtFrame="_blank" w:history="1">
        <w:r w:rsidR="006C712E">
          <w:rPr>
            <w:rStyle w:val="Hyperlink"/>
            <w:rFonts w:eastAsia="Times New Roman"/>
            <w:color w:val="1155CC"/>
            <w:spacing w:val="0"/>
            <w:lang w:val="en-IN" w:eastAsia="en-IN"/>
          </w:rPr>
          <w:t>latharamavel@gmail.com</w:t>
        </w:r>
      </w:hyperlink>
    </w:p>
    <w:p w:rsidR="001E1670" w:rsidRDefault="001E1670" w:rsidP="000D62DA">
      <w:pPr>
        <w:sectPr w:rsidR="001E1670" w:rsidSect="001E1670">
          <w:type w:val="continuous"/>
          <w:pgSz w:w="11909" w:h="16834" w:code="9"/>
          <w:pgMar w:top="1080" w:right="734" w:bottom="2434" w:left="734" w:header="720" w:footer="720" w:gutter="0"/>
          <w:cols w:num="2" w:space="720"/>
          <w:docGrid w:linePitch="360"/>
        </w:sectPr>
      </w:pPr>
    </w:p>
    <w:p w:rsidR="008A55B5" w:rsidRDefault="008A55B5" w:rsidP="000D62DA">
      <w:pPr>
        <w:rPr>
          <w:lang w:val="en-IN"/>
        </w:rPr>
      </w:pPr>
    </w:p>
    <w:p w:rsidR="008F286E" w:rsidRDefault="008F286E" w:rsidP="008F286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t xml:space="preserve">Mr. </w:t>
      </w:r>
      <w:proofErr w:type="spellStart"/>
      <w:r>
        <w:rPr>
          <w:rFonts w:eastAsia="Times New Roman"/>
          <w:color w:val="222222"/>
          <w:spacing w:val="0"/>
          <w:lang w:val="en-IN" w:eastAsia="en-IN"/>
        </w:rPr>
        <w:t>S.Vimal</w:t>
      </w:r>
      <w:proofErr w:type="spellEnd"/>
      <w:r>
        <w:rPr>
          <w:rFonts w:eastAsia="Times New Roman"/>
          <w:color w:val="222222"/>
          <w:spacing w:val="0"/>
          <w:lang w:val="en-IN" w:eastAsia="en-IN"/>
        </w:rPr>
        <w:t xml:space="preserve"> Kumar      </w:t>
      </w:r>
    </w:p>
    <w:p w:rsidR="008F286E" w:rsidRDefault="008F286E" w:rsidP="008F286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t>Research Scholar,</w:t>
      </w:r>
    </w:p>
    <w:p w:rsidR="008F286E" w:rsidRDefault="008F286E" w:rsidP="008F286E">
      <w:pPr>
        <w:shd w:val="clear" w:color="auto" w:fill="FFFFFF"/>
        <w:tabs>
          <w:tab w:val="clear" w:pos="288"/>
          <w:tab w:val="left" w:pos="720"/>
        </w:tabs>
        <w:spacing w:line="240" w:lineRule="auto"/>
        <w:ind w:firstLine="0"/>
        <w:jc w:val="center"/>
        <w:rPr>
          <w:rFonts w:eastAsia="Times New Roman"/>
          <w:color w:val="222222"/>
          <w:spacing w:val="0"/>
          <w:lang w:val="en-IN" w:eastAsia="en-IN"/>
        </w:rPr>
      </w:pPr>
      <w:r>
        <w:rPr>
          <w:rFonts w:eastAsia="Times New Roman"/>
          <w:color w:val="222222"/>
          <w:spacing w:val="0"/>
          <w:lang w:val="en-IN" w:eastAsia="en-IN"/>
        </w:rPr>
        <w:t>Dept., of Computer Science,</w:t>
      </w:r>
    </w:p>
    <w:p w:rsidR="008F286E" w:rsidRDefault="008F286E" w:rsidP="008F286E">
      <w:pPr>
        <w:rPr>
          <w:rFonts w:eastAsia="Times New Roman"/>
          <w:color w:val="222222"/>
          <w:spacing w:val="0"/>
          <w:lang w:val="en-IN" w:eastAsia="en-IN"/>
        </w:rPr>
      </w:pPr>
      <w:r>
        <w:rPr>
          <w:rFonts w:eastAsia="Times New Roman"/>
          <w:color w:val="222222"/>
          <w:spacing w:val="0"/>
          <w:lang w:val="en-IN" w:eastAsia="en-IN"/>
        </w:rPr>
        <w:t xml:space="preserve">                                                         St. Peter's Institute of Higher Education and Research</w:t>
      </w:r>
    </w:p>
    <w:p w:rsidR="008F286E" w:rsidRDefault="008F286E" w:rsidP="008F286E">
      <w:pPr>
        <w:shd w:val="clear" w:color="auto" w:fill="FFFFFF"/>
        <w:tabs>
          <w:tab w:val="clear" w:pos="288"/>
          <w:tab w:val="left" w:pos="720"/>
        </w:tabs>
        <w:spacing w:line="240" w:lineRule="auto"/>
        <w:ind w:firstLine="0"/>
        <w:rPr>
          <w:rFonts w:eastAsia="Times New Roman"/>
          <w:color w:val="222222"/>
          <w:spacing w:val="0"/>
          <w:lang w:val="en-IN" w:eastAsia="en-IN"/>
        </w:rPr>
      </w:pPr>
      <w:r>
        <w:rPr>
          <w:rFonts w:eastAsia="Times New Roman"/>
          <w:color w:val="222222"/>
          <w:spacing w:val="0"/>
          <w:lang w:val="en-IN" w:eastAsia="en-IN"/>
        </w:rPr>
        <w:t xml:space="preserve">                                                                                                  </w:t>
      </w:r>
      <w:proofErr w:type="gramStart"/>
      <w:r>
        <w:rPr>
          <w:rFonts w:eastAsia="Times New Roman"/>
          <w:color w:val="222222"/>
          <w:spacing w:val="0"/>
          <w:lang w:val="en-IN" w:eastAsia="en-IN"/>
        </w:rPr>
        <w:t>Chennai.</w:t>
      </w:r>
      <w:proofErr w:type="gramEnd"/>
    </w:p>
    <w:p w:rsidR="008F286E" w:rsidRDefault="008F286E" w:rsidP="008F286E">
      <w:r>
        <w:t xml:space="preserve">                                                                           </w:t>
      </w:r>
      <w:hyperlink r:id="rId7" w:history="1">
        <w:r w:rsidRPr="00274AD1">
          <w:rPr>
            <w:rStyle w:val="Hyperlink"/>
          </w:rPr>
          <w:t>vimalcheyyar</w:t>
        </w:r>
      </w:hyperlink>
      <w:hyperlink r:id="rId8" w:history="1">
        <w:r w:rsidRPr="00274AD1">
          <w:rPr>
            <w:rStyle w:val="Hyperlink"/>
          </w:rPr>
          <w:t>@gmail.com</w:t>
        </w:r>
      </w:hyperlink>
    </w:p>
    <w:p w:rsidR="008F286E" w:rsidRPr="008F286E" w:rsidRDefault="008F286E" w:rsidP="000D62DA">
      <w:pPr>
        <w:rPr>
          <w:lang w:val="en-IN"/>
        </w:rPr>
        <w:sectPr w:rsidR="008F286E" w:rsidRPr="008F286E" w:rsidSect="006C4648">
          <w:type w:val="continuous"/>
          <w:pgSz w:w="11909" w:h="16834" w:code="9"/>
          <w:pgMar w:top="1080" w:right="734" w:bottom="2434" w:left="734" w:header="720" w:footer="720" w:gutter="0"/>
          <w:cols w:space="720"/>
          <w:docGrid w:linePitch="360"/>
        </w:sectPr>
      </w:pPr>
    </w:p>
    <w:p w:rsidR="008F286E" w:rsidRDefault="008F286E">
      <w:pPr>
        <w:pStyle w:val="Abstract"/>
        <w:rPr>
          <w:rFonts w:eastAsia="MS Mincho"/>
          <w:i/>
          <w:iCs/>
          <w:lang w:val="en-IN"/>
        </w:rPr>
      </w:pPr>
    </w:p>
    <w:p w:rsidR="008A55B5" w:rsidRDefault="008A55B5">
      <w:pPr>
        <w:pStyle w:val="Abstract"/>
        <w:rPr>
          <w:rFonts w:eastAsia="MS Mincho"/>
        </w:rPr>
      </w:pPr>
      <w:r>
        <w:rPr>
          <w:rFonts w:eastAsia="MS Mincho"/>
          <w:i/>
          <w:iCs/>
        </w:rPr>
        <w:t>Abstract</w:t>
      </w:r>
      <w:r>
        <w:rPr>
          <w:rFonts w:eastAsia="MS Mincho"/>
        </w:rPr>
        <w:t>—</w:t>
      </w:r>
      <w:proofErr w:type="gramStart"/>
      <w:r w:rsidR="00443F42" w:rsidRPr="00443F42">
        <w:rPr>
          <w:lang w:val="en-IN"/>
        </w:rPr>
        <w:t>With</w:t>
      </w:r>
      <w:proofErr w:type="gramEnd"/>
      <w:r w:rsidR="00443F42" w:rsidRPr="00443F42">
        <w:rPr>
          <w:lang w:val="en-IN"/>
        </w:rPr>
        <w:t xml:space="preserve"> the extensive use of </w:t>
      </w:r>
      <w:proofErr w:type="spellStart"/>
      <w:r w:rsidR="00443F42" w:rsidRPr="00443F42">
        <w:rPr>
          <w:lang w:val="en-IN"/>
        </w:rPr>
        <w:t>IoT</w:t>
      </w:r>
      <w:proofErr w:type="spellEnd"/>
      <w:r w:rsidR="00443F42" w:rsidRPr="00443F42">
        <w:rPr>
          <w:lang w:val="en-IN"/>
        </w:rPr>
        <w:t xml:space="preserve"> devices in several domains comprising healthcare, smart homes, transportation, and industrial automation, the desire for robust intrusion detection system (IDS) is developed paramount to protect against possible cyber-attacks and threats. Intrusion detection is a key feature of making sure the privacy and security of </w:t>
      </w:r>
      <w:proofErr w:type="spellStart"/>
      <w:r w:rsidR="00443F42" w:rsidRPr="00443F42">
        <w:rPr>
          <w:lang w:val="en-IN"/>
        </w:rPr>
        <w:t>IoT</w:t>
      </w:r>
      <w:proofErr w:type="spellEnd"/>
      <w:r w:rsidR="00443F42" w:rsidRPr="00443F42">
        <w:rPr>
          <w:lang w:val="en-IN"/>
        </w:rPr>
        <w:t xml:space="preserve"> devices and networks. </w:t>
      </w:r>
      <w:proofErr w:type="spellStart"/>
      <w:r w:rsidR="00443F42" w:rsidRPr="00443F42">
        <w:rPr>
          <w:lang w:val="en-IN"/>
        </w:rPr>
        <w:t>IoT</w:t>
      </w:r>
      <w:proofErr w:type="spellEnd"/>
      <w:r w:rsidR="00443F42" w:rsidRPr="00443F42">
        <w:rPr>
          <w:lang w:val="en-IN"/>
        </w:rPr>
        <w:t xml:space="preserve"> intrusion detection purposes to recognize and respond to unauthorized access, abnormal </w:t>
      </w:r>
      <w:proofErr w:type="spellStart"/>
      <w:r w:rsidR="00443F42" w:rsidRPr="00443F42">
        <w:rPr>
          <w:lang w:val="en-IN"/>
        </w:rPr>
        <w:t>behavior</w:t>
      </w:r>
      <w:proofErr w:type="spellEnd"/>
      <w:r w:rsidR="00443F42" w:rsidRPr="00443F42">
        <w:rPr>
          <w:lang w:val="en-IN"/>
        </w:rPr>
        <w:t xml:space="preserve">, and malicious actions in </w:t>
      </w:r>
      <w:proofErr w:type="spellStart"/>
      <w:r w:rsidR="00443F42" w:rsidRPr="00443F42">
        <w:rPr>
          <w:lang w:val="en-IN"/>
        </w:rPr>
        <w:t>IoT</w:t>
      </w:r>
      <w:proofErr w:type="spellEnd"/>
      <w:r w:rsidR="00443F42" w:rsidRPr="00443F42">
        <w:rPr>
          <w:lang w:val="en-IN"/>
        </w:rPr>
        <w:t xml:space="preserve"> environments. This manuscript offers the design of Seeker Optimization Algorithm </w:t>
      </w:r>
      <w:r w:rsidR="00C23E0C">
        <w:rPr>
          <w:lang w:val="en-IN"/>
        </w:rPr>
        <w:t>based</w:t>
      </w:r>
      <w:r w:rsidR="00443F42" w:rsidRPr="00443F42">
        <w:rPr>
          <w:lang w:val="en-IN"/>
        </w:rPr>
        <w:t xml:space="preserve"> Deep Learning Assisted Intrusion Detection (SOADL-ID) method in </w:t>
      </w:r>
      <w:proofErr w:type="spellStart"/>
      <w:r w:rsidR="00443F42" w:rsidRPr="00443F42">
        <w:rPr>
          <w:lang w:val="en-IN"/>
        </w:rPr>
        <w:t>IoT</w:t>
      </w:r>
      <w:proofErr w:type="spellEnd"/>
      <w:r w:rsidR="00443F42" w:rsidRPr="00443F42">
        <w:rPr>
          <w:lang w:val="en-IN"/>
        </w:rPr>
        <w:t xml:space="preserve"> environment. The purpose of the SOADL-ID approach lies in the proper detection and </w:t>
      </w:r>
      <w:r w:rsidR="00281F55" w:rsidRPr="00443F42">
        <w:rPr>
          <w:lang w:val="en-IN"/>
        </w:rPr>
        <w:t>grouping</w:t>
      </w:r>
      <w:r w:rsidR="00443F42" w:rsidRPr="00443F42">
        <w:rPr>
          <w:lang w:val="en-IN"/>
        </w:rPr>
        <w:t xml:space="preserve"> of intrusion from the </w:t>
      </w:r>
      <w:proofErr w:type="spellStart"/>
      <w:r w:rsidR="00443F42" w:rsidRPr="00443F42">
        <w:rPr>
          <w:lang w:val="en-IN"/>
        </w:rPr>
        <w:t>IoT</w:t>
      </w:r>
      <w:proofErr w:type="spellEnd"/>
      <w:r w:rsidR="00443F42" w:rsidRPr="00443F42">
        <w:rPr>
          <w:lang w:val="en-IN"/>
        </w:rPr>
        <w:t xml:space="preserve"> platform. In the presented SOADL-ID algorithm, data </w:t>
      </w:r>
      <w:proofErr w:type="spellStart"/>
      <w:r w:rsidR="00443F42" w:rsidRPr="00443F42">
        <w:rPr>
          <w:lang w:val="en-IN"/>
        </w:rPr>
        <w:t>preprocessing</w:t>
      </w:r>
      <w:proofErr w:type="spellEnd"/>
      <w:r w:rsidR="00443F42" w:rsidRPr="00443F42">
        <w:rPr>
          <w:lang w:val="en-IN"/>
        </w:rPr>
        <w:t xml:space="preserve"> was executed for converting the input data as suitable format. For intrusion detection and classification, stacked sparse </w:t>
      </w:r>
      <w:proofErr w:type="spellStart"/>
      <w:r w:rsidR="00443F42" w:rsidRPr="00443F42">
        <w:rPr>
          <w:lang w:val="en-IN"/>
        </w:rPr>
        <w:t>autoencoder</w:t>
      </w:r>
      <w:proofErr w:type="spellEnd"/>
      <w:r w:rsidR="00443F42" w:rsidRPr="00443F42">
        <w:rPr>
          <w:lang w:val="en-IN"/>
        </w:rPr>
        <w:t xml:space="preserve"> (SSAE) mechanism is applied. Lastly, the SOA model was employed for the optimum hyperparameter value of the SSAE and it supports in optimal hyperparameter selection. The simulation validation of the SOADL-ID methodology was tested on benchmark IDS database. The simulation outcome highlighted the better outcome of the SOADL-ID method</w:t>
      </w:r>
      <w:r w:rsidR="000721F3" w:rsidRPr="000721F3">
        <w:t>.</w:t>
      </w:r>
    </w:p>
    <w:p w:rsidR="008A55B5" w:rsidRDefault="0072064C">
      <w:pPr>
        <w:pStyle w:val="keywords"/>
        <w:rPr>
          <w:rFonts w:eastAsia="MS Mincho"/>
        </w:rPr>
      </w:pPr>
      <w:r>
        <w:rPr>
          <w:rFonts w:eastAsia="MS Mincho"/>
        </w:rPr>
        <w:t>Keywords—</w:t>
      </w:r>
      <w:r w:rsidR="00443F42" w:rsidRPr="00443F42">
        <w:rPr>
          <w:rFonts w:eastAsia="MS Mincho"/>
          <w:lang w:val="en-IN"/>
        </w:rPr>
        <w:t>Intrusion detection systems; Deep learning; Seeker optimization algorithm; Hyperparameter tuning; Security</w:t>
      </w:r>
    </w:p>
    <w:p w:rsidR="008A55B5" w:rsidRPr="003E3B75" w:rsidRDefault="0083299D" w:rsidP="003E3B75">
      <w:pPr>
        <w:pStyle w:val="Heading1"/>
      </w:pPr>
      <w:r w:rsidRPr="003E3B75">
        <w:t>Introduction</w:t>
      </w:r>
    </w:p>
    <w:p w:rsidR="008F286E" w:rsidRDefault="00443F42" w:rsidP="00443F42">
      <w:r w:rsidRPr="00585421">
        <w:t>Recently, Internet of Things (</w:t>
      </w:r>
      <w:proofErr w:type="spellStart"/>
      <w:r w:rsidRPr="00585421">
        <w:t>IoTs</w:t>
      </w:r>
      <w:proofErr w:type="spellEnd"/>
      <w:r w:rsidRPr="00585421">
        <w:t xml:space="preserve">) has been continuously developing and enabling communications and interconnections between numerous devices by a network; consequently, it is launching novel technology for business processes [1]. Later, many challenges in various aspects like finances, enforcement, proving credibility, and business operations are fore ensuing from the considerable expansion of cyber-security attacks [2]. Cloud computing (CC) is generally utilized as </w:t>
      </w:r>
      <w:proofErr w:type="spellStart"/>
      <w:r w:rsidRPr="00585421">
        <w:t>IoT</w:t>
      </w:r>
      <w:proofErr w:type="spellEnd"/>
      <w:r w:rsidRPr="00585421">
        <w:t xml:space="preserve"> stored information that can be formed as a model to be provided </w:t>
      </w:r>
    </w:p>
    <w:p w:rsidR="008F286E" w:rsidRDefault="008F286E" w:rsidP="00443F42"/>
    <w:p w:rsidR="008F286E" w:rsidRDefault="008F286E" w:rsidP="00443F42"/>
    <w:p w:rsidR="00443F42" w:rsidRPr="00585421" w:rsidRDefault="00443F42" w:rsidP="00443F42">
      <w:proofErr w:type="gramStart"/>
      <w:r w:rsidRPr="00585421">
        <w:t>different</w:t>
      </w:r>
      <w:proofErr w:type="gramEnd"/>
      <w:r w:rsidRPr="00585421">
        <w:t xml:space="preserve"> resources and services for user requests. Generally, CC reduces the human intervention between providers and users [3]. It has received considerable interest from users and organizations because of its impressive features. But transition from the existing to CC platform, numerous struggling problems are faced based on the security and operation mechanism [4]. This security attack builds it a target for several intruders and cyber-criminals; thus, it prevents large number of users from </w:t>
      </w:r>
      <w:proofErr w:type="spellStart"/>
      <w:r w:rsidRPr="00585421">
        <w:t>favouring</w:t>
      </w:r>
      <w:proofErr w:type="spellEnd"/>
      <w:r w:rsidRPr="00585421">
        <w:t xml:space="preserve"> or transferring to the CC platform [5]. There are various reasons why the current cyberattacks rapidly developing. The main reason behind the accessible and existing hacking devices is simple to apply thereby allowing naive hackers to rapidly attack the cloud storage with no certain knowledge or excellent skills [6].</w:t>
      </w:r>
    </w:p>
    <w:p w:rsidR="00443F42" w:rsidRPr="00585421" w:rsidRDefault="00443F42" w:rsidP="00443F42">
      <w:r w:rsidRPr="00585421">
        <w:t xml:space="preserve">Another method of defense must be designed in </w:t>
      </w:r>
      <w:proofErr w:type="spellStart"/>
      <w:r w:rsidRPr="00585421">
        <w:t>IoT</w:t>
      </w:r>
      <w:proofErr w:type="spellEnd"/>
      <w:r w:rsidRPr="00585421">
        <w:t xml:space="preserve"> networks to secure </w:t>
      </w:r>
      <w:proofErr w:type="spellStart"/>
      <w:r w:rsidRPr="00585421">
        <w:t>IoT</w:t>
      </w:r>
      <w:proofErr w:type="spellEnd"/>
      <w:r w:rsidRPr="00585421">
        <w:t xml:space="preserve"> systems against cyber-attacks [7]. Intrusion Detection Systems (IDSs) satisfy this goal. But classical IDS approaches are lacking or lesser efficient for the security of </w:t>
      </w:r>
      <w:proofErr w:type="spellStart"/>
      <w:r w:rsidRPr="00585421">
        <w:t>IoT</w:t>
      </w:r>
      <w:proofErr w:type="spellEnd"/>
      <w:r w:rsidRPr="00585421">
        <w:t xml:space="preserve"> due to their special features previously described especially, global connectivity, limited energy, limited bandwidth capacity, heterogeneity, and ubiquitous [8]. Currently, </w:t>
      </w:r>
      <w:r w:rsidR="00683C3E">
        <w:t>artificial intelligence</w:t>
      </w:r>
      <w:r w:rsidRPr="00585421">
        <w:t xml:space="preserve"> approaches have gained popularity as effective applications for detecting the network attacks comprising </w:t>
      </w:r>
      <w:proofErr w:type="spellStart"/>
      <w:r w:rsidRPr="00585421">
        <w:t>IoT</w:t>
      </w:r>
      <w:proofErr w:type="spellEnd"/>
      <w:r w:rsidRPr="00585421">
        <w:t xml:space="preserve"> networks [9]. Due to this, ML or DL based techniques can obtain normal and anomalous behavior in </w:t>
      </w:r>
      <w:proofErr w:type="spellStart"/>
      <w:r w:rsidRPr="00585421">
        <w:t>IoT</w:t>
      </w:r>
      <w:proofErr w:type="spellEnd"/>
      <w:r w:rsidRPr="00585421">
        <w:t xml:space="preserve"> platforms [10].</w:t>
      </w:r>
    </w:p>
    <w:p w:rsidR="00443F42" w:rsidRPr="00585421" w:rsidRDefault="00443F42" w:rsidP="00443F42">
      <w:r w:rsidRPr="00585421">
        <w:t xml:space="preserve">This manuscript offers </w:t>
      </w:r>
      <w:r w:rsidR="000E23AF">
        <w:t>a</w:t>
      </w:r>
      <w:r w:rsidRPr="00585421">
        <w:t xml:space="preserve"> Seeker Optimization Algorithm with Deep Learning Assisted Intrusion Detect</w:t>
      </w:r>
      <w:r w:rsidR="00C34C15">
        <w:t xml:space="preserve">ion (SOADL-ID) approach in </w:t>
      </w:r>
      <w:proofErr w:type="spellStart"/>
      <w:r w:rsidR="00C34C15">
        <w:t>IoT</w:t>
      </w:r>
      <w:proofErr w:type="spellEnd"/>
      <w:r w:rsidRPr="00585421">
        <w:t xml:space="preserve">. The purpose of the SOADL-ID method </w:t>
      </w:r>
      <w:r w:rsidR="000E23AF">
        <w:t>recognizes</w:t>
      </w:r>
      <w:r w:rsidRPr="00585421">
        <w:t xml:space="preserve"> intrusions from the </w:t>
      </w:r>
      <w:proofErr w:type="spellStart"/>
      <w:r w:rsidRPr="00585421">
        <w:t>IoT</w:t>
      </w:r>
      <w:proofErr w:type="spellEnd"/>
      <w:r w:rsidRPr="00585421">
        <w:t xml:space="preserve"> environment. In the presented SOADL-ID algorithm, data preprocessing was carried out for converting the input data as suitable format. For intrusion detection and classification, stacked sparse </w:t>
      </w:r>
      <w:proofErr w:type="spellStart"/>
      <w:r w:rsidRPr="00585421">
        <w:t>autoencoder</w:t>
      </w:r>
      <w:proofErr w:type="spellEnd"/>
      <w:r w:rsidRPr="00585421">
        <w:t xml:space="preserve"> (SSAE) approach was applied. Lastly, the SOA model was employed for the optimum hyperparameter values of the SSAE and it supports optimal hyperparameter selection. </w:t>
      </w:r>
      <w:r w:rsidRPr="00585421">
        <w:lastRenderedPageBreak/>
        <w:t xml:space="preserve">The simulation values of the SOADL-ID methodology were tested on benchmark IDS database. </w:t>
      </w:r>
    </w:p>
    <w:p w:rsidR="00443F42" w:rsidRPr="00585421" w:rsidRDefault="00493B94" w:rsidP="00443F42">
      <w:pPr>
        <w:pStyle w:val="Heading1"/>
      </w:pPr>
      <w:r>
        <w:t>Related Work</w:t>
      </w:r>
    </w:p>
    <w:p w:rsidR="00443F42" w:rsidRPr="00585421" w:rsidRDefault="00443F42" w:rsidP="00443F42">
      <w:r w:rsidRPr="00585421">
        <w:t xml:space="preserve">Zhao et al. [11] developed a new NID method for </w:t>
      </w:r>
      <w:proofErr w:type="spellStart"/>
      <w:r w:rsidRPr="00585421">
        <w:t>IoT</w:t>
      </w:r>
      <w:proofErr w:type="spellEnd"/>
      <w:r w:rsidRPr="00585421">
        <w:t xml:space="preserve"> based on the light-weight DNN (LNN). During data preprocessing, the PCA technique is used for attaining feature dimensional reduction to evade higher dimension raw traffic features resulting in great complex model. Moreover, classifier employs the compression and expansion structure, channel shuffle operation, and inverse residual structure. </w:t>
      </w:r>
      <w:proofErr w:type="spellStart"/>
      <w:r w:rsidRPr="00585421">
        <w:t>Pampapathi</w:t>
      </w:r>
      <w:proofErr w:type="spellEnd"/>
      <w:r w:rsidRPr="00585421">
        <w:t xml:space="preserve">, </w:t>
      </w:r>
      <w:proofErr w:type="spellStart"/>
      <w:r w:rsidRPr="00585421">
        <w:t>Guptha</w:t>
      </w:r>
      <w:proofErr w:type="spellEnd"/>
      <w:r w:rsidRPr="00585421">
        <w:t xml:space="preserve">, and </w:t>
      </w:r>
      <w:proofErr w:type="spellStart"/>
      <w:r w:rsidRPr="00585421">
        <w:t>Hema</w:t>
      </w:r>
      <w:proofErr w:type="spellEnd"/>
      <w:r w:rsidRPr="00585421">
        <w:t xml:space="preserve"> [12] introduce Filtered DL method for IDS with a data transmission technique. The presented method is comprised of five stages namely cluster formation along with CHS, connectivity, attack detection, data broker, and initialization of sensor networks. The study outperforms the current DL-NN and ANN. In [13], the authors introduced a method named DL Model Intrusion Detection in Industrial IOTs. The proposed model incorporates AE for selecting optimum features and Cascade Forward BPNN (CFBPNN) for attack and classification recognition. The cascading algorithm utilizes connected links from first to the last layers and identifies the abnormal and normal behaviors and generates an efficient classification.</w:t>
      </w:r>
    </w:p>
    <w:p w:rsidR="00443F42" w:rsidRPr="00585421" w:rsidRDefault="00443F42" w:rsidP="00443F42">
      <w:proofErr w:type="spellStart"/>
      <w:r w:rsidRPr="00585421">
        <w:t>Vishwakarma</w:t>
      </w:r>
      <w:proofErr w:type="spellEnd"/>
      <w:r w:rsidRPr="00585421">
        <w:t xml:space="preserve"> and </w:t>
      </w:r>
      <w:proofErr w:type="spellStart"/>
      <w:r w:rsidRPr="00585421">
        <w:t>Kesswani</w:t>
      </w:r>
      <w:proofErr w:type="spellEnd"/>
      <w:r w:rsidRPr="00585421">
        <w:t xml:space="preserve"> [14] introduced an innovative DNN based IDS for detecting malicious packets in real time. The analysis was implemented to recently designed benchmark </w:t>
      </w:r>
      <w:proofErr w:type="spellStart"/>
      <w:r w:rsidRPr="00585421">
        <w:t>Netflow</w:t>
      </w:r>
      <w:proofErr w:type="spellEnd"/>
      <w:r w:rsidRPr="00585421">
        <w:t xml:space="preserve"> based databases for training methods. This technique also developed a packet acquiring and identifying approach for real time attack-detection. Wu et al. [15] recommended an intelligent IDS technique performed by data mining that depends on a fuzzy rough set. Chen et al. [16] used a multi-objective evolutionary CNN (MECNN) as the classifier for identifying intrusions and the MOEA depends on decomposition (MOEA/D) approach is adopted to develop the CNN method. Specifically, a new encoding system was introduced for transforming the topological framework of CNN and later the two different objectives.</w:t>
      </w:r>
    </w:p>
    <w:p w:rsidR="00443F42" w:rsidRPr="00585421" w:rsidRDefault="00443F42" w:rsidP="00443F42">
      <w:pPr>
        <w:pStyle w:val="Heading1"/>
      </w:pPr>
      <w:r w:rsidRPr="00585421">
        <w:t>The Proposed Model</w:t>
      </w:r>
    </w:p>
    <w:p w:rsidR="00443F42" w:rsidRDefault="00443F42" w:rsidP="00443F42">
      <w:r w:rsidRPr="00585421">
        <w:t xml:space="preserve">In this manuscript, we have introduced a new SOADL-ID method in the </w:t>
      </w:r>
      <w:proofErr w:type="spellStart"/>
      <w:r w:rsidRPr="00585421">
        <w:t>IoT</w:t>
      </w:r>
      <w:proofErr w:type="spellEnd"/>
      <w:r w:rsidRPr="00585421">
        <w:t xml:space="preserve"> platform. The major aim of the SOADL-ID approach lies in the proper </w:t>
      </w:r>
      <w:r w:rsidR="000E23AF">
        <w:t>recognition</w:t>
      </w:r>
      <w:r w:rsidRPr="00585421">
        <w:t xml:space="preserve"> of intrusion from the </w:t>
      </w:r>
      <w:proofErr w:type="spellStart"/>
      <w:r w:rsidRPr="00585421">
        <w:t>IoT</w:t>
      </w:r>
      <w:proofErr w:type="spellEnd"/>
      <w:r w:rsidRPr="00585421">
        <w:t xml:space="preserve"> environment. In the presented SOADL-ID technique, three stages of operations are involved such as data pre-processing, SSAE based </w:t>
      </w:r>
      <w:r w:rsidR="00B236CC">
        <w:t>detectio</w:t>
      </w:r>
      <w:r w:rsidRPr="00585421">
        <w:t>n, and SOA based hyperparameter selection. Fig. 1 exemplifies the working flow of SOADL-ID algorithm.</w:t>
      </w:r>
    </w:p>
    <w:p w:rsidR="00251275" w:rsidRPr="00585421" w:rsidRDefault="00251275" w:rsidP="00251275">
      <w:pPr>
        <w:pStyle w:val="Fig-Image"/>
      </w:pPr>
      <w:r w:rsidRPr="00585421">
        <w:rPr>
          <w:noProof/>
          <w:lang w:eastAsia="en-US" w:bidi="ta-IN"/>
        </w:rPr>
        <w:lastRenderedPageBreak/>
        <w:drawing>
          <wp:inline distT="0" distB="0" distL="0" distR="0">
            <wp:extent cx="3017520" cy="2655458"/>
            <wp:effectExtent l="0" t="0" r="0" b="0"/>
            <wp:docPr id="3" name="Picture 3" descr="C:\Users\SarigaA\Downloads\23July_11_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igaA\Downloads\23July_11_5a.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17520" cy="2655458"/>
                    </a:xfrm>
                    <a:prstGeom prst="rect">
                      <a:avLst/>
                    </a:prstGeom>
                    <a:noFill/>
                    <a:ln>
                      <a:noFill/>
                    </a:ln>
                  </pic:spPr>
                </pic:pic>
              </a:graphicData>
            </a:graphic>
          </wp:inline>
        </w:drawing>
      </w:r>
    </w:p>
    <w:p w:rsidR="00251275" w:rsidRPr="00443F42" w:rsidRDefault="00251275" w:rsidP="00251275">
      <w:pPr>
        <w:pStyle w:val="Fig-Image"/>
      </w:pPr>
      <w:r w:rsidRPr="00443F42">
        <w:t xml:space="preserve">Fig. 1. Overall flow of SOADL-ID approach </w:t>
      </w:r>
    </w:p>
    <w:p w:rsidR="00443F42" w:rsidRDefault="000E23AF" w:rsidP="00443F42">
      <w:pPr>
        <w:pStyle w:val="Heading2"/>
      </w:pPr>
      <w:r>
        <w:t>Preprocessing</w:t>
      </w:r>
    </w:p>
    <w:p w:rsidR="00443F42" w:rsidRPr="00585421" w:rsidRDefault="00443F42" w:rsidP="00443F42">
      <w:r w:rsidRPr="00585421">
        <w:t xml:space="preserve">Data normalization is appropriate for classifier issues as it drives to same weighted all the features [17]. In this case, the Min‐Max Normalized is employed as it keeps the connection from the </w:t>
      </w:r>
      <w:r w:rsidR="000E23AF">
        <w:t>actua</w:t>
      </w:r>
      <w:r w:rsidRPr="00585421">
        <w:t>l database and executes a linear conversion on original database. This technique converted the data as present boundaries. The data are normalized within [0,1] by Eq. (1):</w:t>
      </w:r>
    </w:p>
    <w:p w:rsidR="00443F42" w:rsidRPr="00585421" w:rsidRDefault="008978B0" w:rsidP="00443F42">
      <m:oMathPara>
        <m:oMathParaPr>
          <m:jc m:val="right"/>
        </m:oMathParaPr>
        <m:oMath>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rPr>
                <m:t>x-</m:t>
              </m:r>
              <m:sSub>
                <m:sSubPr>
                  <m:ctrlPr>
                    <w:rPr>
                      <w:rFonts w:ascii="Cambria Math" w:hAnsi="Cambria Math"/>
                    </w:rPr>
                  </m:ctrlPr>
                </m:sSubPr>
                <m:e>
                  <m:r>
                    <m:rPr>
                      <m:sty m:val="p"/>
                    </m:rPr>
                    <w:rPr>
                      <w:rFonts w:ascii="Cambria Math" w:hAnsi="Cambria Math"/>
                    </w:rPr>
                    <m:t>min</m:t>
                  </m:r>
                </m:e>
                <m:sub>
                  <m:r>
                    <w:rPr>
                      <w:rFonts w:ascii="Cambria Math" w:hAnsi="Cambria Math"/>
                    </w:rPr>
                    <m:t>Y</m:t>
                  </m:r>
                </m:sub>
              </m:sSub>
            </m:num>
            <m:den>
              <m:sSub>
                <m:sSubPr>
                  <m:ctrlPr>
                    <w:rPr>
                      <w:rFonts w:ascii="Cambria Math" w:hAnsi="Cambria Math"/>
                    </w:rPr>
                  </m:ctrlPr>
                </m:sSubPr>
                <m:e>
                  <m:r>
                    <m:rPr>
                      <m:sty m:val="p"/>
                    </m:rPr>
                    <w:rPr>
                      <w:rFonts w:ascii="Cambria Math" w:hAnsi="Cambria Math"/>
                    </w:rPr>
                    <m:t>max</m:t>
                  </m:r>
                </m:e>
                <m:sub>
                  <m:r>
                    <w:rPr>
                      <w:rFonts w:ascii="Cambria Math" w:hAnsi="Cambria Math"/>
                    </w:rPr>
                    <m:t>Y</m:t>
                  </m:r>
                </m:sub>
              </m:sSub>
              <m:r>
                <w:rPr>
                  <w:rFonts w:ascii="Cambria Math" w:hAnsi="Cambria Math"/>
                </w:rPr>
                <m:t>-</m:t>
              </m:r>
              <m:sSub>
                <m:sSubPr>
                  <m:ctrlPr>
                    <w:rPr>
                      <w:rFonts w:ascii="Cambria Math" w:hAnsi="Cambria Math"/>
                    </w:rPr>
                  </m:ctrlPr>
                </m:sSubPr>
                <m:e>
                  <m:r>
                    <m:rPr>
                      <m:sty m:val="p"/>
                    </m:rPr>
                    <w:rPr>
                      <w:rFonts w:ascii="Cambria Math" w:hAnsi="Cambria Math"/>
                    </w:rPr>
                    <m:t>min</m:t>
                  </m:r>
                </m:e>
                <m:sub>
                  <m:r>
                    <w:rPr>
                      <w:rFonts w:ascii="Cambria Math" w:hAnsi="Cambria Math"/>
                    </w:rPr>
                    <m:t>Y</m:t>
                  </m:r>
                </m:sub>
              </m:sSub>
            </m:den>
          </m:f>
          <m:r>
            <w:rPr>
              <w:rFonts w:ascii="Cambria Math" w:hAnsi="Cambria Math"/>
            </w:rPr>
            <m:t xml:space="preserve">                                              (1) </m:t>
          </m:r>
        </m:oMath>
      </m:oMathPara>
    </w:p>
    <w:p w:rsidR="00443F42" w:rsidRPr="00585421" w:rsidRDefault="00443F42" w:rsidP="00443F42">
      <w:r w:rsidRPr="00585421">
        <w:t xml:space="preserve">In which, </w:t>
      </w:r>
      <m:oMath>
        <m:r>
          <w:rPr>
            <w:rFonts w:ascii="Cambria Math" w:hAnsi="Cambria Math"/>
          </w:rPr>
          <m:t>x</m:t>
        </m:r>
      </m:oMath>
      <w:r w:rsidRPr="00585421">
        <w:t xml:space="preserve"> denotes the original values of features</w:t>
      </w:r>
      <m:oMath>
        <m:r>
          <w:rPr>
            <w:rFonts w:ascii="Cambria Math" w:hAnsi="Cambria Math"/>
          </w:rPr>
          <m:t>,x</m:t>
        </m:r>
      </m:oMath>
      <w:r w:rsidRPr="00585421">
        <w:t xml:space="preserve">’ implies its normalization value, and </w:t>
      </w:r>
      <m:oMath>
        <m:sSub>
          <m:sSubPr>
            <m:ctrlPr>
              <w:rPr>
                <w:rFonts w:ascii="Cambria Math" w:hAnsi="Cambria Math"/>
              </w:rPr>
            </m:ctrlPr>
          </m:sSubPr>
          <m:e>
            <m:r>
              <m:rPr>
                <m:sty m:val="p"/>
              </m:rPr>
              <w:rPr>
                <w:rFonts w:ascii="Cambria Math" w:hAnsi="Cambria Math"/>
              </w:rPr>
              <m:t>max</m:t>
            </m:r>
          </m:e>
          <m:sub>
            <m:r>
              <w:rPr>
                <w:rFonts w:ascii="Cambria Math" w:hAnsi="Cambria Math"/>
              </w:rPr>
              <m:t>Y</m:t>
            </m:r>
          </m:sub>
        </m:sSub>
      </m:oMath>
      <w:r w:rsidRPr="00585421">
        <w:t xml:space="preserve"> and </w:t>
      </w:r>
      <m:oMath>
        <m:sSub>
          <m:sSubPr>
            <m:ctrlPr>
              <w:rPr>
                <w:rFonts w:ascii="Cambria Math" w:hAnsi="Cambria Math"/>
              </w:rPr>
            </m:ctrlPr>
          </m:sSubPr>
          <m:e>
            <m:r>
              <m:rPr>
                <m:sty m:val="p"/>
              </m:rPr>
              <w:rPr>
                <w:rFonts w:ascii="Cambria Math" w:hAnsi="Cambria Math"/>
              </w:rPr>
              <m:t>min</m:t>
            </m:r>
          </m:e>
          <m:sub>
            <m:r>
              <w:rPr>
                <w:rFonts w:ascii="Cambria Math" w:hAnsi="Cambria Math"/>
              </w:rPr>
              <m:t>Y</m:t>
            </m:r>
          </m:sub>
        </m:sSub>
      </m:oMath>
      <w:r w:rsidRPr="00585421">
        <w:t xml:space="preserve"> represents the maximal and minimal feature values Y.</w:t>
      </w:r>
    </w:p>
    <w:p w:rsidR="00443F42" w:rsidRPr="00585421" w:rsidRDefault="00443F42" w:rsidP="00443F42">
      <w:pPr>
        <w:pStyle w:val="Heading2"/>
      </w:pPr>
      <w:r w:rsidRPr="00585421">
        <w:t>Intrusion Detection using SSAE</w:t>
      </w:r>
    </w:p>
    <w:p w:rsidR="00443F42" w:rsidRDefault="00443F42" w:rsidP="00443F42">
      <w:r w:rsidRPr="00585421">
        <w:t xml:space="preserve">The SSAE model is applied for intrusion detection and classification. The SSAE network contained </w:t>
      </w:r>
      <m:oMath>
        <m:r>
          <w:rPr>
            <w:rFonts w:ascii="Cambria Math" w:hAnsi="Cambria Math"/>
          </w:rPr>
          <m:t>Ln</m:t>
        </m:r>
      </m:oMath>
      <w:r w:rsidRPr="00585421">
        <w:t xml:space="preserve"> layers, whereas </w:t>
      </w:r>
      <m:oMath>
        <m:r>
          <w:rPr>
            <w:rFonts w:ascii="Cambria Math" w:hAnsi="Cambria Math"/>
          </w:rPr>
          <m:t>n</m:t>
        </m:r>
      </m:oMath>
      <w:r w:rsidRPr="00585421">
        <w:t xml:space="preserve"> labelled the entire layer counts and </w:t>
      </w:r>
      <w:proofErr w:type="spellStart"/>
      <w:r w:rsidRPr="00585421">
        <w:t>softmax</w:t>
      </w:r>
      <w:proofErr w:type="spellEnd"/>
      <w:r w:rsidRPr="00585421">
        <w:t xml:space="preserve"> functioned as a final layer to carry out classification [18]. The network layers are </w:t>
      </w:r>
      <w:proofErr w:type="spellStart"/>
      <w:r w:rsidRPr="00585421">
        <w:t>pretrained</w:t>
      </w:r>
      <w:proofErr w:type="spellEnd"/>
      <w:r w:rsidRPr="00585421">
        <w:t xml:space="preserve"> in an unsupervised manner to deploy an SSAE as a classifier. Fig. 2 depicts the infrastructure of SSAE. Afterward pre‐trained the network layers, and supervised fine‐tuned has been employed for enhancing solutions by presenting classes to the network. The learning in SSAE is carried out in several stages i.e., initialized parameter; bias </w:t>
      </w:r>
      <m:oMath>
        <m:r>
          <w:rPr>
            <w:rFonts w:ascii="Cambria Math" w:hAnsi="Cambria Math"/>
          </w:rPr>
          <m:t>b</m:t>
        </m:r>
      </m:oMath>
      <w:r w:rsidRPr="00585421">
        <w:t xml:space="preserve"> and weight </w:t>
      </w:r>
      <m:oMath>
        <m:r>
          <w:rPr>
            <w:rFonts w:ascii="Cambria Math" w:hAnsi="Cambria Math"/>
          </w:rPr>
          <m:t>W</m:t>
        </m:r>
      </m:oMath>
      <w:r w:rsidRPr="00585421">
        <w:t xml:space="preserve">, optimized the cost function, computing the activation maps of </w:t>
      </w:r>
      <m:oMath>
        <m:sSup>
          <m:sSupPr>
            <m:ctrlPr>
              <w:rPr>
                <w:rFonts w:ascii="Cambria Math" w:hAnsi="Cambria Math"/>
                <w:i/>
              </w:rPr>
            </m:ctrlPr>
          </m:sSupPr>
          <m:e>
            <m:r>
              <w:rPr>
                <w:rFonts w:ascii="Cambria Math" w:hAnsi="Cambria Math"/>
              </w:rPr>
              <m:t>n</m:t>
            </m:r>
          </m:e>
          <m:sup>
            <m:r>
              <w:rPr>
                <w:rFonts w:ascii="Cambria Math" w:hAnsi="Cambria Math"/>
              </w:rPr>
              <m:t>th</m:t>
            </m:r>
          </m:sup>
        </m:sSup>
      </m:oMath>
      <w:r w:rsidRPr="00585421">
        <w:t xml:space="preserve"> layers, and fed to </w:t>
      </w:r>
      <m:oMath>
        <m:r>
          <w:rPr>
            <w:rFonts w:ascii="Cambria Math" w:hAnsi="Cambria Math"/>
          </w:rPr>
          <m:t>(n+1</m:t>
        </m:r>
        <m:sSup>
          <m:sSupPr>
            <m:ctrlPr>
              <w:rPr>
                <w:rFonts w:ascii="Cambria Math" w:hAnsi="Cambria Math"/>
              </w:rPr>
            </m:ctrlPr>
          </m:sSupPr>
          <m:e>
            <m:r>
              <w:rPr>
                <w:rFonts w:ascii="Cambria Math" w:hAnsi="Cambria Math"/>
              </w:rPr>
              <m:t>)</m:t>
            </m:r>
          </m:e>
          <m:sup>
            <m:r>
              <w:rPr>
                <w:rFonts w:ascii="Cambria Math" w:hAnsi="Cambria Math"/>
              </w:rPr>
              <m:t>th</m:t>
            </m:r>
          </m:sup>
        </m:sSup>
      </m:oMath>
      <w:r w:rsidRPr="00585421">
        <w:t xml:space="preserve"> layer. At last, the activation map of final hidden state is fed to </w:t>
      </w:r>
      <w:proofErr w:type="spellStart"/>
      <w:r w:rsidRPr="00585421">
        <w:t>softmax</w:t>
      </w:r>
      <w:proofErr w:type="spellEnd"/>
      <w:r w:rsidRPr="00585421">
        <w:t xml:space="preserve"> layer. </w:t>
      </w:r>
    </w:p>
    <w:p w:rsidR="00443F42" w:rsidRPr="00585421" w:rsidRDefault="00443F42" w:rsidP="00443F42"/>
    <w:p w:rsidR="00443F42" w:rsidRPr="00585421" w:rsidRDefault="00443F42" w:rsidP="00443F42">
      <w:pPr>
        <w:pStyle w:val="Fig-Image"/>
      </w:pPr>
      <w:r w:rsidRPr="00585421">
        <w:rPr>
          <w:noProof/>
          <w:lang w:eastAsia="en-US" w:bidi="ta-IN"/>
        </w:rPr>
        <w:lastRenderedPageBreak/>
        <w:drawing>
          <wp:inline distT="0" distB="0" distL="0" distR="0">
            <wp:extent cx="3017520" cy="1584649"/>
            <wp:effectExtent l="0" t="0" r="0" b="0"/>
            <wp:docPr id="4" name="Picture 4" descr="C:\Users\SarigaA\Downloads\23July_11_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igaA\Downloads\23July_11_2b.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17520" cy="1584649"/>
                    </a:xfrm>
                    <a:prstGeom prst="rect">
                      <a:avLst/>
                    </a:prstGeom>
                    <a:noFill/>
                    <a:ln>
                      <a:noFill/>
                    </a:ln>
                  </pic:spPr>
                </pic:pic>
              </a:graphicData>
            </a:graphic>
          </wp:inline>
        </w:drawing>
      </w:r>
    </w:p>
    <w:p w:rsidR="00443F42" w:rsidRDefault="00443F42" w:rsidP="00443F42">
      <w:pPr>
        <w:pStyle w:val="Fig-Image"/>
      </w:pPr>
      <w:r w:rsidRPr="00443F42">
        <w:t>Fig. 2. Architecture of SSAE</w:t>
      </w:r>
    </w:p>
    <w:p w:rsidR="00443F42" w:rsidRPr="00443F42" w:rsidRDefault="00443F42" w:rsidP="00443F42">
      <w:pPr>
        <w:pStyle w:val="Fig-Image"/>
      </w:pPr>
    </w:p>
    <w:p w:rsidR="00443F42" w:rsidRPr="00585421" w:rsidRDefault="00443F42" w:rsidP="00443F42">
      <w:r w:rsidRPr="00585421">
        <w:t xml:space="preserve">The cost function is deployed for the sparse AE contained in 3 parts such as weight decay, sparsity punishment, and MSE. To provide the database with </w:t>
      </w:r>
      <m:oMath>
        <m:r>
          <w:rPr>
            <w:rFonts w:ascii="Cambria Math" w:hAnsi="Cambria Math"/>
          </w:rPr>
          <m:t>N</m:t>
        </m:r>
      </m:oMath>
      <w:r w:rsidRPr="00585421">
        <w:t xml:space="preserve"> trained instances, </w:t>
      </w:r>
      <m:oMath>
        <m:d>
          <m:dPr>
            <m:ctrlPr>
              <w:rPr>
                <w:rFonts w:ascii="Cambria Math" w:hAnsi="Cambria Math"/>
                <w:i/>
              </w:rPr>
            </m:ctrlPr>
          </m:dPr>
          <m:e>
            <m:sSub>
              <m:sSubPr>
                <m:ctrlPr>
                  <w:rPr>
                    <w:rFonts w:ascii="Cambria Math" w:hAnsi="Cambria Math"/>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rPr>
                </m:ctrlPr>
              </m:sSubPr>
              <m:e>
                <m:r>
                  <w:rPr>
                    <w:rFonts w:ascii="Cambria Math" w:hAnsi="Cambria Math"/>
                  </w:rPr>
                  <m:t>y</m:t>
                </m:r>
              </m:e>
              <m:sub>
                <m:r>
                  <w:rPr>
                    <w:rFonts w:ascii="Cambria Math" w:hAnsi="Cambria Math"/>
                  </w:rPr>
                  <m:t>1</m:t>
                </m:r>
              </m:sub>
            </m:sSub>
          </m:e>
        </m:d>
        <m:r>
          <w:rPr>
            <w:rFonts w:ascii="Cambria Math" w:hAnsi="Cambria Math"/>
          </w:rPr>
          <m:t>,</m:t>
        </m:r>
        <m:d>
          <m:dPr>
            <m:ctrlPr>
              <w:rPr>
                <w:rFonts w:ascii="Cambria Math" w:hAnsi="Cambria Math"/>
                <w:i/>
              </w:rPr>
            </m:ctrlPr>
          </m:dPr>
          <m:e>
            <m:sSub>
              <m:sSubPr>
                <m:ctrlPr>
                  <w:rPr>
                    <w:rFonts w:ascii="Cambria Math" w:hAnsi="Cambria Math"/>
                  </w:rPr>
                </m:ctrlPr>
              </m:sSubPr>
              <m:e>
                <m:r>
                  <w:rPr>
                    <w:rFonts w:ascii="Cambria Math" w:hAnsi="Cambria Math"/>
                  </w:rPr>
                  <m:t>x</m:t>
                </m:r>
              </m:e>
              <m:sub>
                <m:r>
                  <w:rPr>
                    <w:rFonts w:ascii="Cambria Math" w:hAnsi="Cambria Math"/>
                  </w:rPr>
                  <m:t>2</m:t>
                </m:r>
              </m:sub>
            </m:sSub>
            <m:r>
              <w:rPr>
                <w:rFonts w:ascii="Cambria Math" w:hAnsi="Cambria Math"/>
              </w:rPr>
              <m:t xml:space="preserve">, </m:t>
            </m:r>
            <m:sSub>
              <m:sSubPr>
                <m:ctrlPr>
                  <w:rPr>
                    <w:rFonts w:ascii="Cambria Math" w:hAnsi="Cambria Math"/>
                  </w:rPr>
                </m:ctrlPr>
              </m:sSubPr>
              <m:e>
                <m:r>
                  <w:rPr>
                    <w:rFonts w:ascii="Cambria Math" w:hAnsi="Cambria Math"/>
                  </w:rPr>
                  <m:t>y</m:t>
                </m:r>
              </m:e>
              <m:sub>
                <m:r>
                  <w:rPr>
                    <w:rFonts w:ascii="Cambria Math" w:hAnsi="Cambria Math"/>
                  </w:rPr>
                  <m:t>2</m:t>
                </m:r>
              </m:sub>
            </m:sSub>
          </m:e>
        </m:d>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n</m:t>
            </m:r>
          </m:sub>
        </m:sSub>
        <m:r>
          <w:rPr>
            <w:rFonts w:ascii="Cambria Math" w:hAnsi="Cambria Math"/>
          </w:rPr>
          <m:t xml:space="preserve">, </m:t>
        </m:r>
        <m:sSub>
          <m:sSubPr>
            <m:ctrlPr>
              <w:rPr>
                <w:rFonts w:ascii="Cambria Math" w:hAnsi="Cambria Math"/>
              </w:rPr>
            </m:ctrlPr>
          </m:sSubPr>
          <m:e>
            <m:r>
              <w:rPr>
                <w:rFonts w:ascii="Cambria Math" w:hAnsi="Cambria Math"/>
              </w:rPr>
              <m:t>y</m:t>
            </m:r>
          </m:e>
          <m:sub>
            <m:r>
              <w:rPr>
                <w:rFonts w:ascii="Cambria Math" w:hAnsi="Cambria Math"/>
              </w:rPr>
              <m:t>n</m:t>
            </m:r>
          </m:sub>
        </m:sSub>
        <m:r>
          <w:rPr>
            <w:rFonts w:ascii="Cambria Math" w:hAnsi="Cambria Math"/>
          </w:rPr>
          <m:t>)</m:t>
        </m:r>
      </m:oMath>
      <w:r w:rsidRPr="00585421">
        <w:t xml:space="preserve">, whereas the data instances are represented by </w:t>
      </w:r>
      <m:oMath>
        <m:sSub>
          <m:sSubPr>
            <m:ctrlPr>
              <w:rPr>
                <w:rFonts w:ascii="Cambria Math" w:hAnsi="Cambria Math"/>
              </w:rPr>
            </m:ctrlPr>
          </m:sSubPr>
          <m:e>
            <m:r>
              <w:rPr>
                <w:rFonts w:ascii="Cambria Math" w:hAnsi="Cambria Math"/>
              </w:rPr>
              <m:t>x</m:t>
            </m:r>
          </m:e>
          <m:sub>
            <m:r>
              <w:rPr>
                <w:rFonts w:ascii="Cambria Math" w:hAnsi="Cambria Math"/>
              </w:rPr>
              <m:t>i</m:t>
            </m:r>
          </m:sub>
        </m:sSub>
      </m:oMath>
      <w:r w:rsidRPr="00585421">
        <w:t xml:space="preserve"> and labeled </w:t>
      </w:r>
      <m:oMath>
        <m:sSub>
          <m:sSubPr>
            <m:ctrlPr>
              <w:rPr>
                <w:rFonts w:ascii="Cambria Math" w:hAnsi="Cambria Math"/>
              </w:rPr>
            </m:ctrlPr>
          </m:sSubPr>
          <m:e>
            <m:r>
              <w:rPr>
                <w:rFonts w:ascii="Cambria Math" w:hAnsi="Cambria Math"/>
              </w:rPr>
              <m:t>y</m:t>
            </m:r>
          </m:e>
          <m:sub>
            <m:r>
              <w:rPr>
                <w:rFonts w:ascii="Cambria Math" w:hAnsi="Cambria Math"/>
              </w:rPr>
              <m:t>i</m:t>
            </m:r>
          </m:sub>
        </m:sSub>
      </m:oMath>
      <w:r w:rsidRPr="00585421">
        <w:t xml:space="preserve">. The cost function of SSAE model can be expressed by </w:t>
      </w:r>
      <m:oMath>
        <m:sSub>
          <m:sSubPr>
            <m:ctrlPr>
              <w:rPr>
                <w:rFonts w:ascii="Cambria Math" w:hAnsi="Cambria Math"/>
              </w:rPr>
            </m:ctrlPr>
          </m:sSubPr>
          <m:e>
            <m:r>
              <w:rPr>
                <w:rFonts w:ascii="Cambria Math" w:hAnsi="Cambria Math"/>
              </w:rPr>
              <m:t>F</m:t>
            </m:r>
          </m:e>
          <m:sub>
            <m:r>
              <w:rPr>
                <w:rFonts w:ascii="Cambria Math" w:hAnsi="Cambria Math"/>
              </w:rPr>
              <m:t>sparse</m:t>
            </m:r>
          </m:sub>
        </m:sSub>
        <m:r>
          <w:rPr>
            <w:rFonts w:ascii="Cambria Math" w:hAnsi="Cambria Math"/>
          </w:rPr>
          <m:t>(W,b)</m:t>
        </m:r>
      </m:oMath>
      <w:r w:rsidRPr="00585421">
        <w:t>.</w:t>
      </w:r>
    </w:p>
    <w:p w:rsidR="00443F42" w:rsidRPr="00585421" w:rsidRDefault="008978B0" w:rsidP="00443F42">
      <m:oMathPara>
        <m:oMathParaPr>
          <m:jc m:val="center"/>
        </m:oMathParaPr>
        <m:oMath>
          <m:sSub>
            <m:sSubPr>
              <m:ctrlPr>
                <w:rPr>
                  <w:rFonts w:ascii="Cambria Math" w:hAnsi="Cambria Math"/>
                </w:rPr>
              </m:ctrlPr>
            </m:sSubPr>
            <m:e>
              <m:r>
                <w:rPr>
                  <w:rFonts w:ascii="Cambria Math" w:hAnsi="Cambria Math"/>
                </w:rPr>
                <m:t>F</m:t>
              </m:r>
            </m:e>
            <m:sub>
              <m:r>
                <w:rPr>
                  <w:rFonts w:ascii="Cambria Math" w:hAnsi="Cambria Math"/>
                </w:rPr>
                <m:t>sparse</m:t>
              </m:r>
            </m:sub>
          </m:sSub>
          <m:r>
            <w:rPr>
              <w:rFonts w:ascii="Cambria Math" w:hAnsi="Cambria Math"/>
            </w:rPr>
            <m:t>(W, b)=</m:t>
          </m:r>
          <m:f>
            <m:fPr>
              <m:ctrlPr>
                <w:rPr>
                  <w:rFonts w:ascii="Cambria Math" w:hAnsi="Cambria Math"/>
                </w:rPr>
              </m:ctrlPr>
            </m:fPr>
            <m:num>
              <m:r>
                <w:rPr>
                  <w:rFonts w:ascii="Cambria Math" w:hAnsi="Cambria Math"/>
                </w:rPr>
                <m:t>1</m:t>
              </m:r>
            </m:num>
            <m:den>
              <m:r>
                <w:rPr>
                  <w:rFonts w:ascii="Cambria Math" w:hAnsi="Cambria Math"/>
                </w:rPr>
                <m:t>N</m:t>
              </m:r>
            </m:den>
          </m:f>
          <m:nary>
            <m:naryPr>
              <m:chr m:val="∑"/>
              <m:ctrlPr>
                <w:rPr>
                  <w:rFonts w:ascii="Cambria Math" w:hAnsi="Cambria Math"/>
                </w:rPr>
              </m:ctrlPr>
            </m:naryPr>
            <m:sub>
              <m:r>
                <w:rPr>
                  <w:rFonts w:ascii="Cambria Math" w:hAnsi="Cambria Math"/>
                </w:rPr>
                <m:t>i=1</m:t>
              </m:r>
            </m:sub>
            <m:sup>
              <m:r>
                <w:rPr>
                  <w:rFonts w:ascii="Cambria Math" w:hAnsi="Cambria Math"/>
                </w:rPr>
                <m:t>N</m:t>
              </m:r>
            </m:sup>
            <m:e>
              <m:f>
                <m:fPr>
                  <m:ctrlPr>
                    <w:rPr>
                      <w:rFonts w:ascii="Cambria Math" w:hAnsi="Cambria Math"/>
                    </w:rPr>
                  </m:ctrlPr>
                </m:fPr>
                <m:num>
                  <m:r>
                    <w:rPr>
                      <w:rFonts w:ascii="Cambria Math" w:hAnsi="Cambria Math"/>
                    </w:rPr>
                    <m:t>1</m:t>
                  </m:r>
                </m:num>
                <m:den>
                  <m:r>
                    <w:rPr>
                      <w:rFonts w:ascii="Cambria Math" w:hAnsi="Cambria Math"/>
                    </w:rPr>
                    <m:t>2</m:t>
                  </m:r>
                </m:den>
              </m:f>
            </m:e>
          </m:nary>
          <m:r>
            <w:rPr>
              <w:rFonts w:ascii="Cambria Math" w:hAnsi="Cambria Math"/>
            </w:rPr>
            <m:t>||</m:t>
          </m:r>
          <m:sSub>
            <m:sSubPr>
              <m:ctrlPr>
                <w:rPr>
                  <w:rFonts w:ascii="Cambria Math" w:hAnsi="Cambria Math"/>
                </w:rPr>
              </m:ctrlPr>
            </m:sSubPr>
            <m:e>
              <m:r>
                <w:rPr>
                  <w:rFonts w:ascii="Cambria Math" w:hAnsi="Cambria Math"/>
                </w:rPr>
                <m:t>h</m:t>
              </m:r>
            </m:e>
            <m:sub>
              <m:r>
                <w:rPr>
                  <w:rFonts w:ascii="Cambria Math" w:hAnsi="Cambria Math"/>
                </w:rPr>
                <m:t>W,b</m:t>
              </m:r>
            </m:sub>
          </m:sSub>
          <m:r>
            <w:rPr>
              <w:rFonts w:ascii="Cambria Math" w:hAnsi="Cambria Math"/>
            </w:rPr>
            <m:t>(</m:t>
          </m:r>
          <m:sSup>
            <m:sSupPr>
              <m:ctrlPr>
                <w:rPr>
                  <w:rFonts w:ascii="Cambria Math" w:hAnsi="Cambria Math"/>
                </w:rPr>
              </m:ctrlPr>
            </m:sSupPr>
            <m:e>
              <m:r>
                <w:rPr>
                  <w:rFonts w:ascii="Cambria Math" w:hAnsi="Cambria Math"/>
                </w:rPr>
                <m:t>x</m:t>
              </m:r>
            </m:e>
            <m:sup>
              <m:r>
                <w:rPr>
                  <w:rFonts w:ascii="Cambria Math" w:hAnsi="Cambria Math"/>
                </w:rPr>
                <m:t>j</m:t>
              </m:r>
            </m:sup>
          </m:sSup>
          <m:r>
            <w:rPr>
              <w:rFonts w:ascii="Cambria Math" w:hAnsi="Cambria Math"/>
            </w:rPr>
            <m:t>)-</m:t>
          </m:r>
          <m:sSup>
            <m:sSupPr>
              <m:ctrlPr>
                <w:rPr>
                  <w:rFonts w:ascii="Cambria Math" w:hAnsi="Cambria Math"/>
                </w:rPr>
              </m:ctrlPr>
            </m:sSupPr>
            <m:e>
              <m:r>
                <w:rPr>
                  <w:rFonts w:ascii="Cambria Math" w:hAnsi="Cambria Math"/>
                </w:rPr>
                <m:t>y</m:t>
              </m:r>
            </m:e>
            <m:sup>
              <m:r>
                <w:rPr>
                  <w:rFonts w:ascii="Cambria Math" w:hAnsi="Cambria Math"/>
                </w:rPr>
                <m:t>i</m:t>
              </m:r>
            </m:sup>
          </m:sSup>
          <m:r>
            <w:rPr>
              <w:rFonts w:ascii="Cambria Math" w:hAnsi="Cambria Math"/>
            </w:rPr>
            <m:t>|</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m:t>
          </m:r>
          <m:f>
            <m:fPr>
              <m:ctrlPr>
                <w:rPr>
                  <w:rFonts w:ascii="Cambria Math" w:hAnsi="Cambria Math"/>
                </w:rPr>
              </m:ctrlPr>
            </m:fPr>
            <m:num>
              <m:r>
                <w:rPr>
                  <w:rFonts w:ascii="Cambria Math" w:hAnsi="Cambria Math"/>
                </w:rPr>
                <m:t>λ</m:t>
              </m:r>
            </m:num>
            <m:den>
              <m:r>
                <w:rPr>
                  <w:rFonts w:ascii="Cambria Math" w:hAnsi="Cambria Math"/>
                </w:rPr>
                <m:t>2</m:t>
              </m:r>
            </m:den>
          </m:f>
          <m:nary>
            <m:naryPr>
              <m:chr m:val="∑"/>
              <m:ctrlPr>
                <w:rPr>
                  <w:rFonts w:ascii="Cambria Math" w:hAnsi="Cambria Math"/>
                </w:rPr>
              </m:ctrlPr>
            </m:naryPr>
            <m:sub>
              <m:r>
                <w:rPr>
                  <w:rFonts w:ascii="Cambria Math" w:hAnsi="Cambria Math"/>
                </w:rPr>
                <m:t>n=1</m:t>
              </m:r>
            </m:sub>
            <m:sup>
              <m:sSub>
                <m:sSubPr>
                  <m:ctrlPr>
                    <w:rPr>
                      <w:rFonts w:ascii="Cambria Math" w:hAnsi="Cambria Math"/>
                    </w:rPr>
                  </m:ctrlPr>
                </m:sSubPr>
                <m:e>
                  <m:r>
                    <w:rPr>
                      <w:rFonts w:ascii="Cambria Math" w:hAnsi="Cambria Math"/>
                    </w:rPr>
                    <m:t>L</m:t>
                  </m:r>
                </m:e>
                <m:sub>
                  <m:r>
                    <w:rPr>
                      <w:rFonts w:ascii="Cambria Math" w:hAnsi="Cambria Math"/>
                    </w:rPr>
                    <m:t>n</m:t>
                  </m:r>
                </m:sub>
              </m:sSub>
              <m:r>
                <w:rPr>
                  <w:rFonts w:ascii="Cambria Math" w:hAnsi="Cambria Math"/>
                </w:rPr>
                <m:t>-1</m:t>
              </m:r>
            </m:sup>
            <m:e>
              <m:nary>
                <m:naryPr>
                  <m:chr m:val="∑"/>
                  <m:ctrlPr>
                    <w:rPr>
                      <w:rFonts w:ascii="Cambria Math" w:hAnsi="Cambria Math"/>
                    </w:rPr>
                  </m:ctrlPr>
                </m:naryPr>
                <m:sub>
                  <m:r>
                    <w:rPr>
                      <w:rFonts w:ascii="Cambria Math" w:hAnsi="Cambria Math"/>
                    </w:rPr>
                    <m:t>i=1</m:t>
                  </m:r>
                </m:sub>
                <m:sup>
                  <m:sSub>
                    <m:sSubPr>
                      <m:ctrlPr>
                        <w:rPr>
                          <w:rFonts w:ascii="Cambria Math" w:hAnsi="Cambria Math"/>
                        </w:rPr>
                      </m:ctrlPr>
                    </m:sSubPr>
                    <m:e>
                      <m:r>
                        <w:rPr>
                          <w:rFonts w:ascii="Cambria Math" w:hAnsi="Cambria Math"/>
                        </w:rPr>
                        <m:t>s</m:t>
                      </m:r>
                    </m:e>
                    <m:sub>
                      <m:r>
                        <w:rPr>
                          <w:rFonts w:ascii="Cambria Math" w:hAnsi="Cambria Math"/>
                        </w:rPr>
                        <m:t>n</m:t>
                      </m:r>
                    </m:sub>
                  </m:sSub>
                </m:sup>
                <m:e/>
              </m:nary>
            </m:e>
          </m:nary>
        </m:oMath>
      </m:oMathPara>
    </w:p>
    <w:p w:rsidR="00443F42" w:rsidRPr="00585421" w:rsidRDefault="00443F42" w:rsidP="00443F42">
      <m:oMathPara>
        <m:oMathParaPr>
          <m:jc m:val="right"/>
        </m:oMathParaPr>
        <m:oMath>
          <m:r>
            <w:rPr>
              <w:rFonts w:ascii="Cambria Math" w:hAnsi="Cambria Math"/>
            </w:rPr>
            <m:t>×</m:t>
          </m:r>
          <m:nary>
            <m:naryPr>
              <m:chr m:val="∑"/>
              <m:ctrlPr>
                <w:rPr>
                  <w:rFonts w:ascii="Cambria Math" w:hAnsi="Cambria Math"/>
                </w:rPr>
              </m:ctrlPr>
            </m:naryPr>
            <m:sub>
              <m:r>
                <w:rPr>
                  <w:rFonts w:ascii="Cambria Math" w:hAnsi="Cambria Math"/>
                </w:rPr>
                <m:t>j=1</m:t>
              </m:r>
            </m:sub>
            <m:sup>
              <m:sSub>
                <m:sSubPr>
                  <m:ctrlPr>
                    <w:rPr>
                      <w:rFonts w:ascii="Cambria Math" w:hAnsi="Cambria Math"/>
                    </w:rPr>
                  </m:ctrlPr>
                </m:sSubPr>
                <m:e>
                  <m:r>
                    <w:rPr>
                      <w:rFonts w:ascii="Cambria Math" w:hAnsi="Cambria Math"/>
                    </w:rPr>
                    <m:t>S</m:t>
                  </m:r>
                </m:e>
                <m:sub>
                  <m:r>
                    <w:rPr>
                      <w:rFonts w:ascii="Cambria Math" w:hAnsi="Cambria Math"/>
                    </w:rPr>
                    <m:t>n</m:t>
                  </m:r>
                </m:sub>
              </m:sSub>
              <m:r>
                <w:rPr>
                  <w:rFonts w:ascii="Cambria Math" w:hAnsi="Cambria Math"/>
                </w:rPr>
                <m:t>+1</m:t>
              </m:r>
            </m:sup>
            <m:e>
              <m:r>
                <w:rPr>
                  <w:rFonts w:ascii="Cambria Math" w:hAnsi="Cambria Math"/>
                </w:rPr>
                <m:t>(</m:t>
              </m:r>
            </m:e>
          </m:nary>
          <m:sSubSup>
            <m:sSubSupPr>
              <m:ctrlPr>
                <w:rPr>
                  <w:rFonts w:ascii="Cambria Math" w:hAnsi="Cambria Math"/>
                </w:rPr>
              </m:ctrlPr>
            </m:sSubSupPr>
            <m:e>
              <m:r>
                <w:rPr>
                  <w:rFonts w:ascii="Cambria Math" w:hAnsi="Cambria Math"/>
                </w:rPr>
                <m:t>W</m:t>
              </m:r>
            </m:e>
            <m:sub>
              <m:r>
                <w:rPr>
                  <w:rFonts w:ascii="Cambria Math" w:hAnsi="Cambria Math"/>
                </w:rPr>
                <m:t>ji</m:t>
              </m:r>
            </m:sub>
            <m:sup>
              <m:r>
                <w:rPr>
                  <w:rFonts w:ascii="Cambria Math" w:hAnsi="Cambria Math"/>
                </w:rPr>
                <m:t>n</m:t>
              </m:r>
            </m:sup>
          </m:sSubSup>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+β</m:t>
          </m:r>
          <m:nary>
            <m:naryPr>
              <m:chr m:val="∑"/>
              <m:ctrlPr>
                <w:rPr>
                  <w:rFonts w:ascii="Cambria Math" w:hAnsi="Cambria Math"/>
                </w:rPr>
              </m:ctrlPr>
            </m:naryPr>
            <m:sub>
              <m:r>
                <w:rPr>
                  <w:rFonts w:ascii="Cambria Math" w:hAnsi="Cambria Math"/>
                </w:rPr>
                <m:t>j=1</m:t>
              </m:r>
            </m:sub>
            <m:sup>
              <m:sSub>
                <m:sSubPr>
                  <m:ctrlPr>
                    <w:rPr>
                      <w:rFonts w:ascii="Cambria Math" w:hAnsi="Cambria Math"/>
                    </w:rPr>
                  </m:ctrlPr>
                </m:sSubPr>
                <m:e>
                  <m:r>
                    <w:rPr>
                      <w:rFonts w:ascii="Cambria Math" w:hAnsi="Cambria Math"/>
                    </w:rPr>
                    <m:t>s</m:t>
                  </m:r>
                </m:e>
                <m:sub>
                  <m:r>
                    <w:rPr>
                      <w:rFonts w:ascii="Cambria Math" w:hAnsi="Cambria Math"/>
                    </w:rPr>
                    <m:t>n</m:t>
                  </m:r>
                </m:sub>
              </m:sSub>
            </m:sup>
            <m:e>
              <m:r>
                <w:rPr>
                  <w:rFonts w:ascii="Cambria Math" w:hAnsi="Cambria Math"/>
                </w:rPr>
                <m:t>K</m:t>
              </m:r>
            </m:e>
          </m:nary>
          <m:r>
            <w:rPr>
              <w:rFonts w:ascii="Cambria Math" w:hAnsi="Cambria Math"/>
            </w:rPr>
            <m:t>L(p</m:t>
          </m:r>
          <m:d>
            <m:dPr>
              <m:begChr m:val="‖"/>
              <m:ctrlPr>
                <w:rPr>
                  <w:rFonts w:ascii="Cambria Math" w:hAnsi="Cambria Math"/>
                  <w:i/>
                </w:rPr>
              </m:ctrlPr>
            </m:dPr>
            <m:e>
              <m:acc>
                <m:accPr>
                  <m:ctrlPr>
                    <w:rPr>
                      <w:rFonts w:ascii="Cambria Math" w:hAnsi="Cambria Math"/>
                      <w:i/>
                    </w:rPr>
                  </m:ctrlPr>
                </m:accPr>
                <m:e>
                  <m:sSub>
                    <m:sSubPr>
                      <m:ctrlPr>
                        <w:rPr>
                          <w:rFonts w:ascii="Cambria Math" w:hAnsi="Cambria Math"/>
                        </w:rPr>
                      </m:ctrlPr>
                    </m:sSubPr>
                    <m:e>
                      <m:r>
                        <w:rPr>
                          <w:rFonts w:ascii="Cambria Math" w:hAnsi="Cambria Math"/>
                        </w:rPr>
                        <m:t>p</m:t>
                      </m:r>
                    </m:e>
                    <m:sub>
                      <m:r>
                        <w:rPr>
                          <w:rFonts w:ascii="Cambria Math" w:hAnsi="Cambria Math"/>
                        </w:rPr>
                        <m:t>j</m:t>
                      </m:r>
                    </m:sub>
                  </m:sSub>
                </m:e>
              </m:acc>
            </m:e>
          </m:d>
          <m:r>
            <w:rPr>
              <w:rFonts w:ascii="Cambria Math" w:hAnsi="Cambria Math"/>
            </w:rPr>
            <m:t xml:space="preserve">                                 (2)</m:t>
          </m:r>
        </m:oMath>
      </m:oMathPara>
    </w:p>
    <w:p w:rsidR="00443F42" w:rsidRPr="00585421" w:rsidRDefault="00443F42" w:rsidP="00443F42">
      <w:r w:rsidRPr="00585421">
        <w:t xml:space="preserve">Eq. </w:t>
      </w:r>
      <m:oMath>
        <m:r>
          <w:rPr>
            <w:rFonts w:ascii="Cambria Math" w:hAnsi="Cambria Math"/>
          </w:rPr>
          <m:t>(2)</m:t>
        </m:r>
      </m:oMath>
      <w:r w:rsidRPr="00585421">
        <w:t xml:space="preserve"> defined the MSE over </w:t>
      </w:r>
      <m:oMath>
        <m:r>
          <w:rPr>
            <w:rFonts w:ascii="Cambria Math" w:hAnsi="Cambria Math"/>
          </w:rPr>
          <m:t>N</m:t>
        </m:r>
      </m:oMath>
      <w:r w:rsidRPr="00585421">
        <w:t xml:space="preserve"> trained instances. The weighted decay factor that reduced the weight of networks is used for reducing the possibilities of over‐fitting. Now, parameter </w:t>
      </w:r>
      <m:oMath>
        <m:r>
          <w:rPr>
            <w:rFonts w:ascii="Cambria Math" w:hAnsi="Cambria Math"/>
          </w:rPr>
          <m:t>λ</m:t>
        </m:r>
      </m:oMath>
      <w:r w:rsidRPr="00585421">
        <w:t xml:space="preserve"> used to manage the range of weights that are reduced. During this process, initial hidden state, the average activity of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Pr="00585421">
        <w:t xml:space="preserve"> unit is provided as:</w:t>
      </w:r>
    </w:p>
    <w:p w:rsidR="00443F42" w:rsidRPr="00585421" w:rsidRDefault="008978B0" w:rsidP="00443F42">
      <m:oMathPara>
        <m:oMathParaPr>
          <m:jc m:val="right"/>
        </m:oMathParaPr>
        <m:oMath>
          <m:sSub>
            <m:sSubPr>
              <m:ctrlPr>
                <w:rPr>
                  <w:rFonts w:ascii="Cambria Math" w:hAnsi="Cambria Math"/>
                  <w:i/>
                </w:rPr>
              </m:ctrlPr>
            </m:sSubPr>
            <m:e>
              <m:acc>
                <m:accPr>
                  <m:ctrlPr>
                    <w:rPr>
                      <w:rFonts w:ascii="Cambria Math" w:hAnsi="Cambria Math"/>
                      <w:i/>
                    </w:rPr>
                  </m:ctrlPr>
                </m:accPr>
                <m:e>
                  <m:r>
                    <w:rPr>
                      <w:rFonts w:ascii="Cambria Math" w:hAnsi="Cambria Math"/>
                    </w:rPr>
                    <m:t>p</m:t>
                  </m:r>
                </m:e>
              </m:acc>
            </m:e>
            <m:sub>
              <m:r>
                <w:rPr>
                  <w:rFonts w:ascii="Cambria Math" w:hAnsi="Cambria Math"/>
                </w:rPr>
                <m:t>j</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N</m:t>
              </m:r>
            </m:den>
          </m:f>
          <m:nary>
            <m:naryPr>
              <m:chr m:val="∑"/>
              <m:ctrlPr>
                <w:rPr>
                  <w:rFonts w:ascii="Cambria Math" w:hAnsi="Cambria Math"/>
                </w:rPr>
              </m:ctrlPr>
            </m:naryPr>
            <m:sub>
              <m:r>
                <w:rPr>
                  <w:rFonts w:ascii="Cambria Math" w:hAnsi="Cambria Math"/>
                </w:rPr>
                <m:t>i=1</m:t>
              </m:r>
            </m:sub>
            <m:sup>
              <m:r>
                <w:rPr>
                  <w:rFonts w:ascii="Cambria Math" w:hAnsi="Cambria Math"/>
                </w:rPr>
                <m:t>N</m:t>
              </m:r>
            </m:sup>
            <m:e>
              <m:sSubSup>
                <m:sSubSupPr>
                  <m:ctrlPr>
                    <w:rPr>
                      <w:rFonts w:ascii="Cambria Math" w:hAnsi="Cambria Math"/>
                    </w:rPr>
                  </m:ctrlPr>
                </m:sSubSupPr>
                <m:e>
                  <m:r>
                    <w:rPr>
                      <w:rFonts w:ascii="Cambria Math" w:hAnsi="Cambria Math"/>
                    </w:rPr>
                    <m:t>a</m:t>
                  </m:r>
                </m:e>
                <m:sub>
                  <m:r>
                    <w:rPr>
                      <w:rFonts w:ascii="Cambria Math" w:hAnsi="Cambria Math"/>
                    </w:rPr>
                    <m:t>j</m:t>
                  </m:r>
                </m:sub>
                <m:sup>
                  <m:r>
                    <w:rPr>
                      <w:rFonts w:ascii="Cambria Math" w:hAnsi="Cambria Math"/>
                    </w:rPr>
                    <m:t>2</m:t>
                  </m:r>
                </m:sup>
              </m:sSubSup>
            </m:e>
          </m:nary>
          <m:d>
            <m:dPr>
              <m:ctrlPr>
                <w:rPr>
                  <w:rFonts w:ascii="Cambria Math" w:hAnsi="Cambria Math"/>
                  <w:i/>
                </w:rPr>
              </m:ctrlPr>
            </m:dPr>
            <m:e>
              <m:sSup>
                <m:sSupPr>
                  <m:ctrlPr>
                    <w:rPr>
                      <w:rFonts w:ascii="Cambria Math" w:hAnsi="Cambria Math"/>
                    </w:rPr>
                  </m:ctrlPr>
                </m:sSupPr>
                <m:e>
                  <m:r>
                    <w:rPr>
                      <w:rFonts w:ascii="Cambria Math" w:hAnsi="Cambria Math"/>
                    </w:rPr>
                    <m:t>x</m:t>
                  </m:r>
                </m:e>
                <m:sup>
                  <m:r>
                    <w:rPr>
                      <w:rFonts w:ascii="Cambria Math" w:hAnsi="Cambria Math"/>
                    </w:rPr>
                    <m:t>i</m:t>
                  </m:r>
                </m:sup>
              </m:sSup>
            </m:e>
          </m:d>
          <m:r>
            <w:rPr>
              <w:rFonts w:ascii="Cambria Math" w:hAnsi="Cambria Math"/>
            </w:rPr>
            <m:t xml:space="preserve">                                   (3)</m:t>
          </m:r>
        </m:oMath>
      </m:oMathPara>
    </w:p>
    <w:p w:rsidR="00443F42" w:rsidRPr="00585421" w:rsidRDefault="00A602BA" w:rsidP="00443F42">
      <w:r>
        <w:t xml:space="preserve">The </w:t>
      </w:r>
      <w:r w:rsidR="00443F42" w:rsidRPr="00585421">
        <w:t>sparsity</w:t>
      </w:r>
      <w:r>
        <w:t xml:space="preserve"> of the network</w:t>
      </w:r>
      <w:r w:rsidR="00443F42" w:rsidRPr="00585421">
        <w:t xml:space="preserve"> has been managed </w:t>
      </w:r>
      <w:r w:rsidR="00EC38FB">
        <w:t>using</w:t>
      </w:r>
      <w:r w:rsidR="00443F42" w:rsidRPr="00585421">
        <w:t xml:space="preserve"> sparse </w:t>
      </w:r>
      <w:r w:rsidR="00912CD8">
        <w:t xml:space="preserve">variable </w:t>
      </w:r>
      <m:oMath>
        <m:r>
          <w:rPr>
            <w:rFonts w:ascii="Cambria Math" w:hAnsi="Cambria Math"/>
          </w:rPr>
          <m:t>ρ</m:t>
        </m:r>
      </m:oMath>
      <w:r w:rsidR="00443F42" w:rsidRPr="00585421">
        <w:t xml:space="preserve"> and is set as 0.05. During this case, </w:t>
      </w:r>
      <w:proofErr w:type="spellStart"/>
      <w:r w:rsidR="00443F42" w:rsidRPr="00585421">
        <w:t>Kullback‐Leibler</w:t>
      </w:r>
      <w:proofErr w:type="spellEnd"/>
      <w:r w:rsidR="00443F42" w:rsidRPr="00585421">
        <w:t xml:space="preserve"> (KL) divergence has been employed as a sparsity punishment term expressed as Eq. </w:t>
      </w:r>
      <m:oMath>
        <m:r>
          <w:rPr>
            <w:rFonts w:ascii="Cambria Math" w:hAnsi="Cambria Math"/>
          </w:rPr>
          <m:t>(4)</m:t>
        </m:r>
      </m:oMath>
      <w:r w:rsidR="00443F42" w:rsidRPr="00585421">
        <w:t>:</w:t>
      </w:r>
    </w:p>
    <w:p w:rsidR="00443F42" w:rsidRPr="00585421" w:rsidRDefault="00443F42" w:rsidP="00443F42">
      <w:pPr>
        <w:rPr>
          <w:rFonts w:eastAsiaTheme="minorEastAsia"/>
        </w:rPr>
      </w:pPr>
      <m:oMathPara>
        <m:oMathParaPr>
          <m:jc m:val="right"/>
        </m:oMathParaPr>
        <m:oMath>
          <m:r>
            <w:rPr>
              <w:rFonts w:ascii="Cambria Math" w:hAnsi="Cambria Math"/>
            </w:rPr>
            <m:t>KL(p</m:t>
          </m:r>
          <m:d>
            <m:dPr>
              <m:begChr m:val="‖"/>
              <m:ctrlPr>
                <w:rPr>
                  <w:rFonts w:ascii="Cambria Math" w:hAnsi="Cambria Math"/>
                  <w:i/>
                </w:rPr>
              </m:ctrlPr>
            </m:dPr>
            <m:e>
              <m:acc>
                <m:accPr>
                  <m:ctrlPr>
                    <w:rPr>
                      <w:rFonts w:ascii="Cambria Math" w:hAnsi="Cambria Math"/>
                      <w:i/>
                    </w:rPr>
                  </m:ctrlPr>
                </m:accPr>
                <m:e>
                  <m:sSub>
                    <m:sSubPr>
                      <m:ctrlPr>
                        <w:rPr>
                          <w:rFonts w:ascii="Cambria Math" w:hAnsi="Cambria Math"/>
                        </w:rPr>
                      </m:ctrlPr>
                    </m:sSubPr>
                    <m:e>
                      <m:r>
                        <w:rPr>
                          <w:rFonts w:ascii="Cambria Math" w:hAnsi="Cambria Math"/>
                        </w:rPr>
                        <m:t>p</m:t>
                      </m:r>
                    </m:e>
                    <m:sub>
                      <m:r>
                        <w:rPr>
                          <w:rFonts w:ascii="Cambria Math" w:hAnsi="Cambria Math"/>
                        </w:rPr>
                        <m:t>j</m:t>
                      </m:r>
                    </m:sub>
                  </m:sSub>
                </m:e>
              </m:acc>
            </m:e>
          </m:d>
          <m:r>
            <w:rPr>
              <w:rFonts w:ascii="Cambria Math" w:hAnsi="Cambria Math"/>
            </w:rPr>
            <m:t>=plog</m:t>
          </m:r>
          <m:f>
            <m:fPr>
              <m:ctrlPr>
                <w:rPr>
                  <w:rFonts w:ascii="Cambria Math" w:hAnsi="Cambria Math"/>
                </w:rPr>
              </m:ctrlPr>
            </m:fPr>
            <m:num>
              <m:r>
                <w:rPr>
                  <w:rFonts w:ascii="Cambria Math" w:hAnsi="Cambria Math"/>
                </w:rPr>
                <m:t>p</m:t>
              </m:r>
            </m:num>
            <m:den>
              <m:acc>
                <m:accPr>
                  <m:ctrlPr>
                    <w:rPr>
                      <w:rFonts w:ascii="Cambria Math" w:hAnsi="Cambria Math"/>
                      <w:i/>
                    </w:rPr>
                  </m:ctrlPr>
                </m:accPr>
                <m:e>
                  <m:sSub>
                    <m:sSubPr>
                      <m:ctrlPr>
                        <w:rPr>
                          <w:rFonts w:ascii="Cambria Math" w:hAnsi="Cambria Math"/>
                        </w:rPr>
                      </m:ctrlPr>
                    </m:sSubPr>
                    <m:e>
                      <m:r>
                        <w:rPr>
                          <w:rFonts w:ascii="Cambria Math" w:hAnsi="Cambria Math"/>
                        </w:rPr>
                        <m:t>p</m:t>
                      </m:r>
                    </m:e>
                    <m:sub>
                      <m:r>
                        <w:rPr>
                          <w:rFonts w:ascii="Cambria Math" w:hAnsi="Cambria Math"/>
                        </w:rPr>
                        <m:t>j</m:t>
                      </m:r>
                    </m:sub>
                  </m:sSub>
                </m:e>
              </m:acc>
            </m:den>
          </m:f>
          <m:r>
            <w:rPr>
              <w:rFonts w:ascii="Cambria Math" w:hAnsi="Cambria Math"/>
            </w:rPr>
            <m:t>+</m:t>
          </m:r>
          <m:d>
            <m:dPr>
              <m:ctrlPr>
                <w:rPr>
                  <w:rFonts w:ascii="Cambria Math" w:hAnsi="Cambria Math"/>
                  <w:i/>
                </w:rPr>
              </m:ctrlPr>
            </m:dPr>
            <m:e>
              <m:r>
                <w:rPr>
                  <w:rFonts w:ascii="Cambria Math" w:hAnsi="Cambria Math"/>
                </w:rPr>
                <m:t>1-p</m:t>
              </m:r>
            </m:e>
          </m:d>
          <m:r>
            <w:rPr>
              <w:rFonts w:ascii="Cambria Math" w:hAnsi="Cambria Math"/>
            </w:rPr>
            <m:t>log</m:t>
          </m:r>
          <m:f>
            <m:fPr>
              <m:ctrlPr>
                <w:rPr>
                  <w:rFonts w:ascii="Cambria Math" w:hAnsi="Cambria Math"/>
                </w:rPr>
              </m:ctrlPr>
            </m:fPr>
            <m:num>
              <m:d>
                <m:dPr>
                  <m:ctrlPr>
                    <w:rPr>
                      <w:rFonts w:ascii="Cambria Math" w:hAnsi="Cambria Math"/>
                      <w:i/>
                    </w:rPr>
                  </m:ctrlPr>
                </m:dPr>
                <m:e>
                  <m:r>
                    <w:rPr>
                      <w:rFonts w:ascii="Cambria Math" w:hAnsi="Cambria Math"/>
                    </w:rPr>
                    <m:t>1-p</m:t>
                  </m:r>
                </m:e>
              </m:d>
            </m:num>
            <m:den>
              <m:r>
                <w:rPr>
                  <w:rFonts w:ascii="Cambria Math" w:hAnsi="Cambria Math"/>
                </w:rPr>
                <m:t>(1-</m:t>
              </m:r>
              <m:sSub>
                <m:sSubPr>
                  <m:ctrlPr>
                    <w:rPr>
                      <w:rFonts w:ascii="Cambria Math" w:hAnsi="Cambria Math"/>
                    </w:rPr>
                  </m:ctrlPr>
                </m:sSubPr>
                <m:e>
                  <m:r>
                    <w:rPr>
                      <w:rFonts w:ascii="Cambria Math" w:hAnsi="Cambria Math"/>
                    </w:rPr>
                    <m:t>p</m:t>
                  </m:r>
                </m:e>
                <m:sub>
                  <m:r>
                    <w:rPr>
                      <w:rFonts w:ascii="Cambria Math" w:hAnsi="Cambria Math"/>
                    </w:rPr>
                    <m:t>j</m:t>
                  </m:r>
                </m:sub>
              </m:sSub>
            </m:den>
          </m:f>
          <m:r>
            <w:rPr>
              <w:rFonts w:ascii="Cambria Math" w:hAnsi="Cambria Math"/>
            </w:rPr>
            <m:t xml:space="preserve">        (4)</m:t>
          </m:r>
        </m:oMath>
      </m:oMathPara>
    </w:p>
    <w:p w:rsidR="00443F42" w:rsidRPr="00585421" w:rsidRDefault="00443F42" w:rsidP="00443F42">
      <w:pPr>
        <w:pStyle w:val="Heading2"/>
      </w:pPr>
      <w:r w:rsidRPr="00585421">
        <w:t>Parameter Tuning using SOA</w:t>
      </w:r>
    </w:p>
    <w:p w:rsidR="00443F42" w:rsidRPr="00585421" w:rsidRDefault="00443F42" w:rsidP="00443F42">
      <w:r w:rsidRPr="00585421">
        <w:t xml:space="preserve">Here, the SOA was employed for the optimum hyperparameter values of the SSAE approach and it helps in optimal hyperparameter selection. The SOA technique executes comprehensive analysis on human search performance [19]. Employing “experience gradient” to define the searching way, the searching phase measurement is solved by utilizing uncertain reasoning. The altruistic direction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i,a</m:t>
            </m:r>
          </m:sub>
        </m:sSub>
        <m:r>
          <w:rPr>
            <w:rFonts w:ascii="Cambria Math" w:hAnsi="Cambria Math"/>
          </w:rPr>
          <m:t>(t)</m:t>
        </m:r>
      </m:oMath>
      <w:r w:rsidRPr="00585421">
        <w:t xml:space="preserve">, preemptive direction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i,p</m:t>
            </m:r>
          </m:sub>
        </m:sSub>
        <m:r>
          <w:rPr>
            <w:rFonts w:ascii="Cambria Math" w:hAnsi="Cambria Math"/>
          </w:rPr>
          <m:t>(t)</m:t>
        </m:r>
      </m:oMath>
      <w:r w:rsidRPr="00585421">
        <w:rPr>
          <w:rFonts w:eastAsiaTheme="minorEastAsia"/>
        </w:rPr>
        <w:t xml:space="preserve">, and </w:t>
      </w:r>
      <w:r w:rsidRPr="00585421">
        <w:t xml:space="preserve">egoistic direction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i,e</m:t>
            </m:r>
          </m:sub>
        </m:sSub>
        <m:r>
          <w:rPr>
            <w:rFonts w:ascii="Cambria Math" w:hAnsi="Cambria Math"/>
          </w:rPr>
          <m:t>(t)</m:t>
        </m:r>
      </m:oMath>
      <w:r w:rsidRPr="00585421">
        <w:t xml:space="preserve"> of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Pr="00585421">
        <w:t xml:space="preserve"> individual from some dimension is attained.</w:t>
      </w:r>
    </w:p>
    <w:p w:rsidR="00443F42" w:rsidRPr="00585421" w:rsidRDefault="008978B0" w:rsidP="00443F42">
      <m:oMathPara>
        <m:oMathParaPr>
          <m:jc m:val="righ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i,e</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p</m:t>
                  </m:r>
                </m:e>
              </m:acc>
            </m:e>
            <m:sub>
              <m:r>
                <w:rPr>
                  <w:rFonts w:ascii="Cambria Math" w:hAnsi="Cambria Math"/>
                </w:rPr>
                <m:t>i,best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d>
            <m:dPr>
              <m:ctrlPr>
                <w:rPr>
                  <w:rFonts w:ascii="Cambria Math" w:hAnsi="Cambria Math"/>
                  <w:i/>
                </w:rPr>
              </m:ctrlPr>
            </m:dPr>
            <m:e>
              <m:r>
                <w:rPr>
                  <w:rFonts w:ascii="Cambria Math" w:hAnsi="Cambria Math"/>
                </w:rPr>
                <m:t>t</m:t>
              </m:r>
            </m:e>
          </m:d>
          <m:r>
            <w:rPr>
              <w:rFonts w:ascii="Cambria Math" w:hAnsi="Cambria Math"/>
            </w:rPr>
            <m:t xml:space="preserve">                                                           (5)</m:t>
          </m:r>
        </m:oMath>
      </m:oMathPara>
    </w:p>
    <w:p w:rsidR="00443F42" w:rsidRPr="00585421" w:rsidRDefault="008978B0" w:rsidP="00443F42">
      <m:oMathPara>
        <m:oMathParaPr>
          <m:jc m:val="righ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i,a</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g</m:t>
                  </m:r>
                </m:e>
              </m:acc>
            </m:e>
            <m:sub>
              <m:r>
                <w:rPr>
                  <w:rFonts w:ascii="Cambria Math" w:hAnsi="Cambria Math"/>
                </w:rPr>
                <m:t>i,best</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d>
            <m:dPr>
              <m:ctrlPr>
                <w:rPr>
                  <w:rFonts w:ascii="Cambria Math" w:hAnsi="Cambria Math"/>
                  <w:i/>
                </w:rPr>
              </m:ctrlPr>
            </m:dPr>
            <m:e>
              <m:r>
                <w:rPr>
                  <w:rFonts w:ascii="Cambria Math" w:hAnsi="Cambria Math"/>
                </w:rPr>
                <m:t>t</m:t>
              </m:r>
            </m:e>
          </m:d>
          <m:r>
            <w:rPr>
              <w:rFonts w:ascii="Cambria Math" w:hAnsi="Cambria Math"/>
            </w:rPr>
            <m:t xml:space="preserve">                                                           (6)</m:t>
          </m:r>
        </m:oMath>
      </m:oMathPara>
    </w:p>
    <w:p w:rsidR="00443F42" w:rsidRPr="00585421" w:rsidRDefault="008978B0" w:rsidP="00443F42">
      <m:oMathPara>
        <m:oMathParaPr>
          <m:jc m:val="righ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i,p</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d>
            <m:dPr>
              <m:ctrlPr>
                <w:rPr>
                  <w:rFonts w:ascii="Cambria Math" w:hAnsi="Cambria Math"/>
                  <w:i/>
                </w:rPr>
              </m:ctrlPr>
            </m:dPr>
            <m:e>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d>
            <m:dPr>
              <m:ctrlPr>
                <w:rPr>
                  <w:rFonts w:ascii="Cambria Math" w:hAnsi="Cambria Math"/>
                  <w:i/>
                </w:rPr>
              </m:ctrlPr>
            </m:dPr>
            <m:e>
              <m:sSub>
                <m:sSubPr>
                  <m:ctrlPr>
                    <w:rPr>
                      <w:rFonts w:ascii="Cambria Math" w:hAnsi="Cambria Math"/>
                    </w:rPr>
                  </m:ctrlPr>
                </m:sSubPr>
                <m:e>
                  <m:r>
                    <w:rPr>
                      <w:rFonts w:ascii="Cambria Math" w:hAnsi="Cambria Math"/>
                    </w:rPr>
                    <m:t>t</m:t>
                  </m:r>
                </m:e>
                <m:sub>
                  <m:r>
                    <w:rPr>
                      <w:rFonts w:ascii="Cambria Math" w:hAnsi="Cambria Math"/>
                    </w:rPr>
                    <m:t>2</m:t>
                  </m:r>
                </m:sub>
              </m:sSub>
            </m:e>
          </m:d>
          <m:r>
            <w:rPr>
              <w:rFonts w:ascii="Cambria Math" w:hAnsi="Cambria Math"/>
            </w:rPr>
            <m:t xml:space="preserve">                                                           (7)</m:t>
          </m:r>
        </m:oMath>
      </m:oMathPara>
    </w:p>
    <w:p w:rsidR="00443F42" w:rsidRPr="00585421" w:rsidRDefault="00443F42" w:rsidP="00443F42">
      <w:r w:rsidRPr="00585421">
        <w:t>The searcher employs manner of arbitrary weighted average for attaining the search orientation.</w:t>
      </w:r>
    </w:p>
    <w:p w:rsidR="00443F42" w:rsidRPr="00585421" w:rsidRDefault="008978B0" w:rsidP="00443F42">
      <m:oMathPara>
        <m:oMathParaPr>
          <m:jc m:val="right"/>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i</m:t>
              </m:r>
            </m:sub>
          </m:sSub>
          <m:d>
            <m:dPr>
              <m:ctrlPr>
                <w:rPr>
                  <w:rFonts w:ascii="Cambria Math" w:hAnsi="Cambria Math"/>
                  <w:i/>
                </w:rPr>
              </m:ctrlPr>
            </m:dPr>
            <m:e>
              <m:r>
                <w:rPr>
                  <w:rFonts w:ascii="Cambria Math" w:hAnsi="Cambria Math"/>
                </w:rPr>
                <m:t>t</m:t>
              </m:r>
            </m:e>
          </m:d>
          <m:r>
            <w:rPr>
              <w:rFonts w:ascii="Cambria Math" w:hAnsi="Cambria Math"/>
            </w:rPr>
            <m:t>=sign</m:t>
          </m:r>
          <m:d>
            <m:dPr>
              <m:ctrlPr>
                <w:rPr>
                  <w:rFonts w:ascii="Cambria Math" w:hAnsi="Cambria Math"/>
                  <w:i/>
                </w:rPr>
              </m:ctrlPr>
            </m:dPr>
            <m:e>
              <m:r>
                <w:rPr>
                  <w:rFonts w:ascii="Cambria Math" w:hAnsi="Cambria Math"/>
                </w:rPr>
                <m:t>ω</m:t>
              </m:r>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i,e</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1</m:t>
                  </m:r>
                </m:sub>
              </m:sSub>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i,a</m:t>
                  </m:r>
                </m:sub>
              </m:sSub>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rPr>
                  </m:ctrlPr>
                </m:sSubPr>
                <m:e>
                  <m:r>
                    <w:rPr>
                      <w:rFonts w:ascii="Cambria Math" w:hAnsi="Cambria Math"/>
                    </w:rPr>
                    <m:t>φ</m:t>
                  </m:r>
                </m:e>
                <m:sub>
                  <m:r>
                    <w:rPr>
                      <w:rFonts w:ascii="Cambria Math" w:hAnsi="Cambria Math"/>
                    </w:rPr>
                    <m:t>2</m:t>
                  </m:r>
                </m:sub>
              </m:sSub>
              <m:sSub>
                <m:sSubPr>
                  <m:ctrlPr>
                    <w:rPr>
                      <w:rFonts w:ascii="Cambria Math" w:hAnsi="Cambria Math"/>
                      <w:i/>
                    </w:rPr>
                  </m:ctrlPr>
                </m:sSubPr>
                <m:e>
                  <m:acc>
                    <m:accPr>
                      <m:chr m:val="⃗"/>
                      <m:ctrlPr>
                        <w:rPr>
                          <w:rFonts w:ascii="Cambria Math" w:hAnsi="Cambria Math"/>
                          <w:i/>
                        </w:rPr>
                      </m:ctrlPr>
                    </m:accPr>
                    <m:e>
                      <m:r>
                        <w:rPr>
                          <w:rFonts w:ascii="Cambria Math" w:hAnsi="Cambria Math"/>
                        </w:rPr>
                        <m:t>f</m:t>
                      </m:r>
                    </m:e>
                  </m:acc>
                </m:e>
                <m:sub>
                  <m:r>
                    <w:rPr>
                      <w:rFonts w:ascii="Cambria Math" w:hAnsi="Cambria Math"/>
                    </w:rPr>
                    <m:t>i,p</m:t>
                  </m:r>
                </m:sub>
              </m:sSub>
              <m:d>
                <m:dPr>
                  <m:ctrlPr>
                    <w:rPr>
                      <w:rFonts w:ascii="Cambria Math" w:hAnsi="Cambria Math"/>
                      <w:i/>
                    </w:rPr>
                  </m:ctrlPr>
                </m:dPr>
                <m:e>
                  <m:r>
                    <w:rPr>
                      <w:rFonts w:ascii="Cambria Math" w:hAnsi="Cambria Math"/>
                    </w:rPr>
                    <m:t>t</m:t>
                  </m:r>
                </m:e>
              </m:d>
            </m:e>
          </m:d>
          <m:r>
            <w:rPr>
              <w:rFonts w:ascii="Cambria Math" w:hAnsi="Cambria Math"/>
            </w:rPr>
            <m:t xml:space="preserve">      (8)</m:t>
          </m:r>
        </m:oMath>
      </m:oMathPara>
    </w:p>
    <w:p w:rsidR="00443F42" w:rsidRPr="00585421" w:rsidRDefault="00443F42" w:rsidP="00443F42">
      <w:pPr>
        <w:ind w:firstLine="0"/>
      </w:pPr>
      <w:r w:rsidRPr="00585421">
        <w:lastRenderedPageBreak/>
        <w:t xml:space="preserve">with </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∈{r, r-1, r-2},</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m:t>
        </m:r>
      </m:oMath>
      <w:r w:rsidRPr="00585421">
        <w:t xml:space="preserve"> and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r>
          <w:rPr>
            <w:rFonts w:ascii="Cambria Math" w:hAnsi="Cambria Math"/>
          </w:rPr>
          <m:t>)</m:t>
        </m:r>
      </m:oMath>
      <w:r w:rsidRPr="00585421">
        <w:t xml:space="preserve">: Best benefits of </w:t>
      </w:r>
      <m:oMath>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r>
          <w:rPr>
            <w:rFonts w:ascii="Cambria Math" w:hAnsi="Cambria Math"/>
          </w:rPr>
          <m:t xml:space="preserve">(t-2), </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r>
          <w:rPr>
            <w:rFonts w:ascii="Cambria Math" w:hAnsi="Cambria Math"/>
          </w:rPr>
          <m:t xml:space="preserve">(t-1), </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i</m:t>
            </m:r>
          </m:sub>
        </m:sSub>
        <m:r>
          <w:rPr>
            <w:rFonts w:ascii="Cambria Math" w:hAnsi="Cambria Math"/>
          </w:rPr>
          <m:t>(t)}</m:t>
        </m:r>
      </m:oMath>
      <w:r w:rsidRPr="00585421">
        <w:t xml:space="preserve"> individually, </w:t>
      </w:r>
      <m:oMath>
        <m:sSub>
          <m:sSubPr>
            <m:ctrlPr>
              <w:rPr>
                <w:rFonts w:ascii="Cambria Math" w:hAnsi="Cambria Math"/>
              </w:rPr>
            </m:ctrlPr>
          </m:sSubPr>
          <m:e>
            <m:r>
              <w:rPr>
                <w:rFonts w:ascii="Cambria Math" w:hAnsi="Cambria Math"/>
              </w:rPr>
              <m:t>g</m:t>
            </m:r>
          </m:e>
          <m:sub>
            <m:r>
              <w:rPr>
                <w:rFonts w:ascii="Cambria Math" w:hAnsi="Cambria Math"/>
              </w:rPr>
              <m:t>i,best</m:t>
            </m:r>
          </m:sub>
        </m:sSub>
      </m:oMath>
      <w:r w:rsidRPr="00585421">
        <w:t>: Historical better place in the neighborhood but the</w:t>
      </w:r>
      <m:oMath>
        <m:sSup>
          <m:sSupPr>
            <m:ctrlPr>
              <w:rPr>
                <w:rFonts w:ascii="Cambria Math" w:hAnsi="Cambria Math"/>
                <w:i/>
              </w:rPr>
            </m:ctrlPr>
          </m:sSupPr>
          <m:e>
            <m:r>
              <w:rPr>
                <w:rFonts w:ascii="Cambria Math" w:hAnsi="Cambria Math"/>
              </w:rPr>
              <m:t>i</m:t>
            </m:r>
            <m:ctrlPr>
              <w:rPr>
                <w:rFonts w:ascii="Cambria Math" w:hAnsi="Cambria Math"/>
              </w:rPr>
            </m:ctrlPr>
          </m:e>
          <m:sup>
            <m:r>
              <w:rPr>
                <w:rFonts w:ascii="Cambria Math" w:hAnsi="Cambria Math"/>
              </w:rPr>
              <m:t>th</m:t>
            </m:r>
          </m:sup>
        </m:sSup>
      </m:oMath>
      <w:r w:rsidRPr="00585421">
        <w:t xml:space="preserve"> searching aspects are placed, </w:t>
      </w:r>
      <m:oMath>
        <m:sSub>
          <m:sSubPr>
            <m:ctrlPr>
              <w:rPr>
                <w:rFonts w:ascii="Cambria Math" w:hAnsi="Cambria Math"/>
              </w:rPr>
            </m:ctrlPr>
          </m:sSubPr>
          <m:e>
            <m:r>
              <w:rPr>
                <w:rFonts w:ascii="Cambria Math" w:hAnsi="Cambria Math"/>
              </w:rPr>
              <m:t>p</m:t>
            </m:r>
          </m:e>
          <m:sub>
            <m:r>
              <w:rPr>
                <w:rFonts w:ascii="Cambria Math" w:hAnsi="Cambria Math"/>
              </w:rPr>
              <m:t>i,best</m:t>
            </m:r>
          </m:sub>
        </m:sSub>
      </m:oMath>
      <w:r w:rsidRPr="00585421">
        <w:t xml:space="preserve">: Optimal locality in the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Pr="00585421">
        <w:t xml:space="preserve"> searching aspects of the present locality, </w:t>
      </w:r>
      <m:oMath>
        <m:sSub>
          <m:sSubPr>
            <m:ctrlPr>
              <w:rPr>
                <w:rFonts w:ascii="Cambria Math" w:hAnsi="Cambria Math"/>
              </w:rPr>
            </m:ctrlPr>
          </m:sSubPr>
          <m:e>
            <m:r>
              <w:rPr>
                <w:rFonts w:ascii="Cambria Math" w:hAnsi="Cambria Math"/>
              </w:rPr>
              <m:t>ψ</m:t>
            </m:r>
          </m:e>
          <m:sub>
            <m:r>
              <w:rPr>
                <w:rFonts w:ascii="Cambria Math" w:hAnsi="Cambria Math"/>
              </w:rPr>
              <m:t>1</m:t>
            </m:r>
          </m:sub>
        </m:sSub>
      </m:oMath>
      <w:r w:rsidRPr="00585421">
        <w:t xml:space="preserve"> and </w:t>
      </w:r>
      <m:oMath>
        <m:sSub>
          <m:sSubPr>
            <m:ctrlPr>
              <w:rPr>
                <w:rFonts w:ascii="Cambria Math" w:hAnsi="Cambria Math"/>
              </w:rPr>
            </m:ctrlPr>
          </m:sSubPr>
          <m:e>
            <m:r>
              <w:rPr>
                <w:rFonts w:ascii="Cambria Math" w:hAnsi="Cambria Math"/>
              </w:rPr>
              <m:t>ψ</m:t>
            </m:r>
          </m:e>
          <m:sub>
            <m:r>
              <w:rPr>
                <w:rFonts w:ascii="Cambria Math" w:hAnsi="Cambria Math"/>
              </w:rPr>
              <m:t>1</m:t>
            </m:r>
          </m:sub>
        </m:sSub>
      </m:oMath>
      <w:r w:rsidRPr="00585421">
        <w:t xml:space="preserve">: Random numbers in zero and one; and </w:t>
      </w:r>
      <m:oMath>
        <m:r>
          <w:rPr>
            <w:rFonts w:ascii="Cambria Math" w:hAnsi="Cambria Math"/>
          </w:rPr>
          <m:t>ω</m:t>
        </m:r>
      </m:oMath>
      <w:r w:rsidRPr="00585421">
        <w:t xml:space="preserve"> is: Weight of inertia.</w:t>
      </w:r>
    </w:p>
    <w:p w:rsidR="00443F42" w:rsidRPr="00585421" w:rsidRDefault="00443F42" w:rsidP="00443F42">
      <w:r w:rsidRPr="00585421">
        <w:t xml:space="preserve">The SOA method, by the computer languages, defines any human natural language, which simulates human intelligence reasoning search performance. Once the method discloses an fuzzy rule, it adjusts to an optimum estimate of main optimizer problems. A superior search step length is more crucial. </w:t>
      </w:r>
    </w:p>
    <w:p w:rsidR="00443F42" w:rsidRPr="00585421" w:rsidRDefault="00443F42" w:rsidP="00443F42">
      <m:oMathPara>
        <m:oMathParaPr>
          <m:jc m:val="right"/>
        </m:oMathParaPr>
        <m:oMath>
          <m:r>
            <w:rPr>
              <w:rFonts w:ascii="Cambria Math" w:hAnsi="Cambria Math"/>
            </w:rPr>
            <m:t>μ</m:t>
          </m:r>
          <m:d>
            <m:dPr>
              <m:ctrlPr>
                <w:rPr>
                  <w:rFonts w:ascii="Cambria Math" w:hAnsi="Cambria Math"/>
                  <w:i/>
                </w:rPr>
              </m:ctrlPr>
            </m:dPr>
            <m:e>
              <m:r>
                <w:rPr>
                  <w:rFonts w:ascii="Cambria Math" w:hAnsi="Cambria Math"/>
                </w:rPr>
                <m:t>α</m:t>
              </m:r>
            </m:e>
          </m:d>
          <m:r>
            <w:rPr>
              <w:rFonts w:ascii="Cambria Math" w:hAnsi="Cambria Math"/>
            </w:rPr>
            <m:t>=</m:t>
          </m:r>
          <m:sSup>
            <m:sSupPr>
              <m:ctrlPr>
                <w:rPr>
                  <w:rFonts w:ascii="Cambria Math" w:hAnsi="Cambria Math"/>
                </w:rPr>
              </m:ctrlPr>
            </m:sSupPr>
            <m:e>
              <m:r>
                <w:rPr>
                  <w:rFonts w:ascii="Cambria Math" w:hAnsi="Cambria Math"/>
                </w:rPr>
                <m:t>e</m:t>
              </m:r>
            </m:e>
            <m:sup>
              <m:f>
                <m:fPr>
                  <m:ctrlPr>
                    <w:rPr>
                      <w:rFonts w:ascii="Cambria Math" w:hAnsi="Cambria Math"/>
                    </w:rPr>
                  </m:ctrlPr>
                </m:fPr>
                <m:num>
                  <m:sSup>
                    <m:sSupPr>
                      <m:ctrlPr>
                        <w:rPr>
                          <w:rFonts w:ascii="Cambria Math" w:hAnsi="Cambria Math"/>
                        </w:rPr>
                      </m:ctrlPr>
                    </m:sSupPr>
                    <m:e>
                      <m:r>
                        <w:rPr>
                          <w:rFonts w:ascii="Cambria Math" w:hAnsi="Cambria Math"/>
                        </w:rPr>
                        <m:t>α</m:t>
                      </m:r>
                    </m:e>
                    <m:sup>
                      <m:r>
                        <w:rPr>
                          <w:rFonts w:ascii="Cambria Math" w:hAnsi="Cambria Math"/>
                        </w:rPr>
                        <m:t>2</m:t>
                      </m:r>
                    </m:sup>
                  </m:sSup>
                </m:num>
                <m:den>
                  <m:r>
                    <w:rPr>
                      <w:rFonts w:ascii="Cambria Math" w:hAnsi="Cambria Math"/>
                    </w:rPr>
                    <m:t>2</m:t>
                  </m:r>
                  <m:sSup>
                    <m:sSupPr>
                      <m:ctrlPr>
                        <w:rPr>
                          <w:rFonts w:ascii="Cambria Math" w:hAnsi="Cambria Math"/>
                        </w:rPr>
                      </m:ctrlPr>
                    </m:sSupPr>
                    <m:e>
                      <m:r>
                        <w:rPr>
                          <w:rFonts w:ascii="Cambria Math" w:hAnsi="Cambria Math"/>
                        </w:rPr>
                        <m:t>δ</m:t>
                      </m:r>
                    </m:e>
                    <m:sup>
                      <m:r>
                        <w:rPr>
                          <w:rFonts w:ascii="Cambria Math" w:hAnsi="Cambria Math"/>
                        </w:rPr>
                        <m:t>2</m:t>
                      </m:r>
                    </m:sup>
                  </m:sSup>
                </m:den>
              </m:f>
            </m:sup>
          </m:sSup>
          <m:r>
            <w:rPr>
              <w:rFonts w:ascii="Cambria Math" w:hAnsi="Cambria Math"/>
            </w:rPr>
            <m:t xml:space="preserve">                                        (9)</m:t>
          </m:r>
        </m:oMath>
      </m:oMathPara>
    </w:p>
    <w:p w:rsidR="00443F42" w:rsidRPr="00585421" w:rsidRDefault="00443F42" w:rsidP="00443F42">
      <w:pPr>
        <w:ind w:firstLine="0"/>
      </w:pPr>
      <w:r w:rsidRPr="00585421">
        <w:t xml:space="preserve">with parameters </w:t>
      </w:r>
      <m:oMath>
        <m:r>
          <w:rPr>
            <w:rFonts w:ascii="Cambria Math" w:hAnsi="Cambria Math"/>
          </w:rPr>
          <m:t>α</m:t>
        </m:r>
      </m:oMath>
      <w:r w:rsidRPr="00585421">
        <w:t xml:space="preserve"> and </w:t>
      </w:r>
      <m:oMath>
        <m:r>
          <w:rPr>
            <w:rFonts w:ascii="Cambria Math" w:hAnsi="Cambria Math"/>
          </w:rPr>
          <m:t>δ</m:t>
        </m:r>
      </m:oMath>
      <w:r w:rsidRPr="00585421">
        <w:t xml:space="preserve"> of membership function.</w:t>
      </w:r>
    </w:p>
    <w:p w:rsidR="00443F42" w:rsidRPr="00585421" w:rsidRDefault="00443F42" w:rsidP="00443F42">
      <w:r w:rsidRPr="00585421">
        <w:t xml:space="preserve">Based on Eq. (9), the possibility of resultant variable beyond </w:t>
      </w:r>
      <m:oMath>
        <m:r>
          <w:rPr>
            <w:rFonts w:ascii="Cambria Math" w:hAnsi="Cambria Math"/>
          </w:rPr>
          <m:t>[-3δ, 3δ]</m:t>
        </m:r>
      </m:oMath>
      <w:r w:rsidRPr="00585421">
        <w:t xml:space="preserve"> is below 0.0111. Hence, </w:t>
      </w:r>
      <m:oMath>
        <m:sSub>
          <m:sSubPr>
            <m:ctrlPr>
              <w:rPr>
                <w:rFonts w:ascii="Cambria Math" w:hAnsi="Cambria Math"/>
              </w:rPr>
            </m:ctrlPr>
          </m:sSubPr>
          <m:e>
            <m:r>
              <w:rPr>
                <w:rFonts w:ascii="Cambria Math" w:hAnsi="Cambria Math"/>
              </w:rPr>
              <m:t>μ</m:t>
            </m:r>
          </m:e>
          <m:sub>
            <m:r>
              <m:rPr>
                <m:sty m:val="p"/>
              </m:rPr>
              <w:rPr>
                <w:rFonts w:ascii="Cambria Math" w:hAnsi="Cambria Math"/>
              </w:rPr>
              <m:t xml:space="preserve"> min </m:t>
            </m:r>
          </m:sub>
        </m:sSub>
        <m:r>
          <w:rPr>
            <w:rFonts w:ascii="Cambria Math" w:hAnsi="Cambria Math"/>
          </w:rPr>
          <m:t>=0.0111</m:t>
        </m:r>
      </m:oMath>
      <w:r w:rsidRPr="00585421">
        <w:t xml:space="preserve">. In the typical circumstance, an optimum location for individual’s take </w:t>
      </w:r>
      <m:oMath>
        <m:sSub>
          <m:sSubPr>
            <m:ctrlPr>
              <w:rPr>
                <w:rFonts w:ascii="Cambria Math" w:hAnsi="Cambria Math"/>
              </w:rPr>
            </m:ctrlPr>
          </m:sSubPr>
          <m:e>
            <m:r>
              <w:rPr>
                <w:rFonts w:ascii="Cambria Math" w:hAnsi="Cambria Math"/>
              </w:rPr>
              <m:t>μ</m:t>
            </m:r>
          </m:e>
          <m:sub>
            <m:r>
              <m:rPr>
                <m:sty m:val="p"/>
              </m:rPr>
              <w:rPr>
                <w:rFonts w:ascii="Cambria Math" w:hAnsi="Cambria Math"/>
              </w:rPr>
              <m:t xml:space="preserve"> max </m:t>
            </m:r>
          </m:sub>
        </m:sSub>
        <m:r>
          <w:rPr>
            <w:rFonts w:ascii="Cambria Math" w:hAnsi="Cambria Math"/>
          </w:rPr>
          <m:t>=1.0</m:t>
        </m:r>
      </m:oMath>
      <w:r w:rsidRPr="00585421">
        <w:t xml:space="preserve"> and the worse location is 0.0111. </w:t>
      </w:r>
    </w:p>
    <w:p w:rsidR="00443F42" w:rsidRPr="00585421" w:rsidRDefault="008978B0" w:rsidP="00443F42">
      <m:oMathPara>
        <m:oMathParaPr>
          <m:jc m:val="right"/>
        </m:oMathParaPr>
        <m:oMath>
          <m:sSub>
            <m:sSubPr>
              <m:ctrlPr>
                <w:rPr>
                  <w:rFonts w:ascii="Cambria Math" w:hAnsi="Cambria Math"/>
                </w:rPr>
              </m:ctrlPr>
            </m:sSubPr>
            <m:e>
              <m:r>
                <w:rPr>
                  <w:rFonts w:ascii="Cambria Math" w:hAnsi="Cambria Math"/>
                </w:rPr>
                <m:t>μ</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μ</m:t>
              </m:r>
            </m:e>
            <m:sub>
              <m:r>
                <m:rPr>
                  <m:sty m:val="p"/>
                </m:rPr>
                <w:rPr>
                  <w:rFonts w:ascii="Cambria Math" w:hAnsi="Cambria Math"/>
                </w:rPr>
                <m:t xml:space="preserve"> max </m:t>
              </m:r>
            </m:sub>
          </m:sSub>
          <m:r>
            <w:rPr>
              <w:rFonts w:ascii="Cambria Math" w:hAnsi="Cambria Math"/>
            </w:rPr>
            <m:t>-</m:t>
          </m:r>
          <m:f>
            <m:fPr>
              <m:ctrlPr>
                <w:rPr>
                  <w:rFonts w:ascii="Cambria Math" w:hAnsi="Cambria Math"/>
                </w:rPr>
              </m:ctrlPr>
            </m:fPr>
            <m:num>
              <m:r>
                <w:rPr>
                  <w:rFonts w:ascii="Cambria Math" w:hAnsi="Cambria Math"/>
                </w:rPr>
                <m:t>s-</m:t>
              </m:r>
              <m:sSub>
                <m:sSubPr>
                  <m:ctrlPr>
                    <w:rPr>
                      <w:rFonts w:ascii="Cambria Math" w:hAnsi="Cambria Math"/>
                    </w:rPr>
                  </m:ctrlPr>
                </m:sSubPr>
                <m:e>
                  <m:r>
                    <w:rPr>
                      <w:rFonts w:ascii="Cambria Math" w:hAnsi="Cambria Math"/>
                    </w:rPr>
                    <m:t>I</m:t>
                  </m:r>
                </m:e>
                <m:sub>
                  <m:r>
                    <w:rPr>
                      <w:rFonts w:ascii="Cambria Math" w:hAnsi="Cambria Math"/>
                    </w:rPr>
                    <m:t>i</m:t>
                  </m:r>
                </m:sub>
              </m:sSub>
            </m:num>
            <m:den>
              <m:r>
                <w:rPr>
                  <w:rFonts w:ascii="Cambria Math" w:hAnsi="Cambria Math"/>
                </w:rPr>
                <m:t>s-I</m:t>
              </m:r>
            </m:den>
          </m:f>
          <m:d>
            <m:dPr>
              <m:ctrlPr>
                <w:rPr>
                  <w:rFonts w:ascii="Cambria Math" w:hAnsi="Cambria Math"/>
                  <w:i/>
                </w:rPr>
              </m:ctrlPr>
            </m:dPr>
            <m:e>
              <m:sSub>
                <m:sSubPr>
                  <m:ctrlPr>
                    <w:rPr>
                      <w:rFonts w:ascii="Cambria Math" w:hAnsi="Cambria Math"/>
                    </w:rPr>
                  </m:ctrlPr>
                </m:sSubPr>
                <m:e>
                  <m:r>
                    <w:rPr>
                      <w:rFonts w:ascii="Cambria Math" w:hAnsi="Cambria Math"/>
                    </w:rPr>
                    <m:t>μ</m:t>
                  </m:r>
                </m:e>
                <m:sub>
                  <m:r>
                    <m:rPr>
                      <m:sty m:val="p"/>
                    </m:rPr>
                    <w:rPr>
                      <w:rFonts w:ascii="Cambria Math" w:hAnsi="Cambria Math"/>
                    </w:rPr>
                    <m:t xml:space="preserve"> max </m:t>
                  </m:r>
                </m:sub>
              </m:sSub>
              <m:r>
                <w:rPr>
                  <w:rFonts w:ascii="Cambria Math" w:hAnsi="Cambria Math"/>
                </w:rPr>
                <m:t>-</m:t>
              </m:r>
              <m:sSub>
                <m:sSubPr>
                  <m:ctrlPr>
                    <w:rPr>
                      <w:rFonts w:ascii="Cambria Math" w:hAnsi="Cambria Math"/>
                    </w:rPr>
                  </m:ctrlPr>
                </m:sSubPr>
                <m:e>
                  <m:r>
                    <w:rPr>
                      <w:rFonts w:ascii="Cambria Math" w:hAnsi="Cambria Math"/>
                    </w:rPr>
                    <m:t>μ</m:t>
                  </m:r>
                </m:e>
                <m:sub>
                  <m:r>
                    <m:rPr>
                      <m:sty m:val="p"/>
                    </m:rPr>
                    <w:rPr>
                      <w:rFonts w:ascii="Cambria Math" w:hAnsi="Cambria Math"/>
                    </w:rPr>
                    <m:t xml:space="preserve"> min </m:t>
                  </m:r>
                </m:sub>
              </m:sSub>
            </m:e>
          </m:d>
          <m:r>
            <w:rPr>
              <w:rFonts w:ascii="Cambria Math" w:hAnsi="Cambria Math"/>
            </w:rPr>
            <m:t>, i=1,2, ⋯, s       (10)</m:t>
          </m:r>
        </m:oMath>
      </m:oMathPara>
    </w:p>
    <w:p w:rsidR="00443F42" w:rsidRPr="00585421" w:rsidRDefault="008978B0" w:rsidP="00443F42">
      <m:oMathPara>
        <m:oMathParaPr>
          <m:jc m:val="right"/>
        </m:oMathParaPr>
        <m:oMath>
          <m:sSub>
            <m:sSubPr>
              <m:ctrlPr>
                <w:rPr>
                  <w:rFonts w:ascii="Cambria Math" w:hAnsi="Cambria Math"/>
                </w:rPr>
              </m:ctrlPr>
            </m:sSubPr>
            <m:e>
              <m:r>
                <w:rPr>
                  <w:rFonts w:ascii="Cambria Math" w:hAnsi="Cambria Math"/>
                </w:rPr>
                <m:t>μ</m:t>
              </m:r>
            </m:e>
            <m:sub>
              <m:r>
                <w:rPr>
                  <w:rFonts w:ascii="Cambria Math" w:hAnsi="Cambria Math"/>
                </w:rPr>
                <m:t>ij</m:t>
              </m:r>
            </m:sub>
          </m:sSub>
          <m:r>
            <w:rPr>
              <w:rFonts w:ascii="Cambria Math" w:hAnsi="Cambria Math"/>
            </w:rPr>
            <m:t>=rand</m:t>
          </m:r>
          <m:d>
            <m:dPr>
              <m:ctrlPr>
                <w:rPr>
                  <w:rFonts w:ascii="Cambria Math" w:hAnsi="Cambria Math"/>
                  <w:i/>
                </w:rPr>
              </m:ctrlPr>
            </m:dPr>
            <m:e>
              <m:sSub>
                <m:sSubPr>
                  <m:ctrlPr>
                    <w:rPr>
                      <w:rFonts w:ascii="Cambria Math" w:hAnsi="Cambria Math"/>
                      <w:i/>
                    </w:rPr>
                  </m:ctrlPr>
                </m:sSubPr>
                <m:e>
                  <m:r>
                    <w:rPr>
                      <w:rFonts w:ascii="Cambria Math" w:hAnsi="Cambria Math"/>
                    </w:rPr>
                    <m:t>μ</m:t>
                  </m:r>
                </m:e>
                <m:sub>
                  <m:r>
                    <w:rPr>
                      <w:rFonts w:ascii="Cambria Math" w:hAnsi="Cambria Math"/>
                    </w:rPr>
                    <m:t>i</m:t>
                  </m:r>
                </m:sub>
              </m:sSub>
              <m:r>
                <w:rPr>
                  <w:rFonts w:ascii="Cambria Math" w:hAnsi="Cambria Math"/>
                </w:rPr>
                <m:t>, 1</m:t>
              </m:r>
            </m:e>
          </m:d>
          <m:r>
            <w:rPr>
              <w:rFonts w:ascii="Cambria Math" w:eastAsiaTheme="minorEastAsia" w:hAnsi="Cambria Math"/>
            </w:rPr>
            <m:t>,j=1,2, ⋯,D                         (11)</m:t>
          </m:r>
        </m:oMath>
      </m:oMathPara>
    </w:p>
    <w:p w:rsidR="00443F42" w:rsidRPr="00585421" w:rsidRDefault="00443F42" w:rsidP="00443F42">
      <w:pPr>
        <w:ind w:firstLine="0"/>
      </w:pPr>
      <w:r w:rsidRPr="00585421">
        <w:t xml:space="preserve">with </w:t>
      </w:r>
      <m:oMath>
        <m:sSub>
          <m:sSubPr>
            <m:ctrlPr>
              <w:rPr>
                <w:rFonts w:ascii="Cambria Math" w:hAnsi="Cambria Math"/>
              </w:rPr>
            </m:ctrlPr>
          </m:sSubPr>
          <m:e>
            <m:r>
              <w:rPr>
                <w:rFonts w:ascii="Cambria Math" w:hAnsi="Cambria Math"/>
              </w:rPr>
              <m:t>μ</m:t>
            </m:r>
          </m:e>
          <m:sub>
            <m:r>
              <w:rPr>
                <w:rFonts w:ascii="Cambria Math" w:hAnsi="Cambria Math"/>
              </w:rPr>
              <m:t>ij</m:t>
            </m:r>
          </m:sub>
        </m:sSub>
      </m:oMath>
      <w:r w:rsidRPr="00585421">
        <w:t xml:space="preserve">: Defined by </w:t>
      </w:r>
      <w:proofErr w:type="spellStart"/>
      <w:r w:rsidRPr="00585421">
        <w:t>Eqs</w:t>
      </w:r>
      <w:proofErr w:type="spellEnd"/>
      <w:r w:rsidRPr="00585421">
        <w:t xml:space="preserve">. (10) and (11), </w:t>
      </w:r>
      <m:oMath>
        <m:sSub>
          <m:sSubPr>
            <m:ctrlPr>
              <w:rPr>
                <w:rFonts w:ascii="Cambria Math" w:hAnsi="Cambria Math"/>
              </w:rPr>
            </m:ctrlPr>
          </m:sSubPr>
          <m:e>
            <m:r>
              <w:rPr>
                <w:rFonts w:ascii="Cambria Math" w:hAnsi="Cambria Math"/>
              </w:rPr>
              <m:t>I</m:t>
            </m:r>
          </m:e>
          <m:sub>
            <m:r>
              <w:rPr>
                <w:rFonts w:ascii="Cambria Math" w:hAnsi="Cambria Math"/>
              </w:rPr>
              <m:t>i</m:t>
            </m:r>
          </m:sub>
        </m:sSub>
      </m:oMath>
      <w:r w:rsidRPr="00585421">
        <w:t xml:space="preserve">: amount of sequences </w:t>
      </w:r>
      <m:oMath>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(t)</m:t>
        </m:r>
      </m:oMath>
      <w:r w:rsidRPr="00585421">
        <w:t xml:space="preserve"> of the present individuals arranged in high-low by function value and </w:t>
      </w:r>
      <m:oMath>
        <m:r>
          <w:rPr>
            <w:rFonts w:ascii="Cambria Math" w:hAnsi="Cambria Math"/>
          </w:rPr>
          <m:t>rand(</m:t>
        </m:r>
        <m:sSub>
          <m:sSubPr>
            <m:ctrlPr>
              <w:rPr>
                <w:rFonts w:ascii="Cambria Math" w:hAnsi="Cambria Math"/>
              </w:rPr>
            </m:ctrlPr>
          </m:sSubPr>
          <m:e>
            <m:r>
              <w:rPr>
                <w:rFonts w:ascii="Cambria Math" w:hAnsi="Cambria Math"/>
              </w:rPr>
              <m:t>μ</m:t>
            </m:r>
          </m:e>
          <m:sub>
            <m:r>
              <w:rPr>
                <w:rFonts w:ascii="Cambria Math" w:hAnsi="Cambria Math"/>
              </w:rPr>
              <m:t>i</m:t>
            </m:r>
          </m:sub>
        </m:sSub>
        <m:r>
          <w:rPr>
            <w:rFonts w:ascii="Cambria Math" w:hAnsi="Cambria Math"/>
          </w:rPr>
          <m:t>,1)</m:t>
        </m:r>
      </m:oMath>
      <w:r w:rsidRPr="00585421">
        <w:t xml:space="preserve">: Real number in some partition </w:t>
      </w:r>
      <m:oMath>
        <m: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i</m:t>
            </m:r>
          </m:sub>
        </m:sSub>
        <m:r>
          <w:rPr>
            <w:rFonts w:ascii="Cambria Math" w:hAnsi="Cambria Math"/>
          </w:rPr>
          <m:t>,1].</m:t>
        </m:r>
      </m:oMath>
    </w:p>
    <w:p w:rsidR="00443F42" w:rsidRPr="00585421" w:rsidRDefault="00443F42" w:rsidP="00443F42">
      <w:r w:rsidRPr="00585421">
        <w:t xml:space="preserve">It is realized in Eq. (10) simulates the arbitrary search performance of humans. The step size of </w:t>
      </w:r>
      <m:oMath>
        <m:r>
          <w:rPr>
            <w:rFonts w:ascii="Cambria Math" w:hAnsi="Cambria Math"/>
          </w:rPr>
          <m:t>|</m:t>
        </m:r>
      </m:oMath>
      <w:r w:rsidRPr="00585421">
        <w:t>‐dimension search space is defined by Eq. (12):</w:t>
      </w:r>
    </w:p>
    <w:p w:rsidR="00443F42" w:rsidRPr="00585421" w:rsidRDefault="008978B0" w:rsidP="00443F42">
      <m:oMathPara>
        <m:oMathParaPr>
          <m:jc m:val="right"/>
        </m:oMathParaPr>
        <m:oMath>
          <m:sSub>
            <m:sSubPr>
              <m:ctrlPr>
                <w:rPr>
                  <w:rFonts w:ascii="Cambria Math" w:hAnsi="Cambria Math"/>
                </w:rPr>
              </m:ctrlPr>
            </m:sSubPr>
            <m:e>
              <m:r>
                <w:rPr>
                  <w:rFonts w:ascii="Cambria Math" w:hAnsi="Cambria Math"/>
                </w:rPr>
                <m:t>α</m:t>
              </m:r>
            </m:e>
            <m:sub>
              <m:r>
                <w:rPr>
                  <w:rFonts w:ascii="Cambria Math" w:hAnsi="Cambria Math"/>
                </w:rPr>
                <m:t>ij</m:t>
              </m:r>
            </m:sub>
          </m:sSub>
          <m: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ij</m:t>
              </m:r>
            </m:sub>
          </m:sSub>
          <m:r>
            <w:rPr>
              <w:rFonts w:ascii="Cambria Math" w:hAnsi="Cambria Math"/>
            </w:rPr>
            <m:t>-</m:t>
          </m:r>
          <m:rad>
            <m:radPr>
              <m:degHide m:val="on"/>
              <m:ctrlPr>
                <w:rPr>
                  <w:rFonts w:ascii="Cambria Math" w:hAnsi="Cambria Math"/>
                </w:rPr>
              </m:ctrlPr>
            </m:radPr>
            <m:deg/>
            <m:e>
              <m:r>
                <w:rPr>
                  <w:rFonts w:ascii="Cambria Math" w:hAnsi="Cambria Math"/>
                </w:rPr>
                <m:t>-</m:t>
              </m:r>
              <m:r>
                <m:rPr>
                  <m:sty m:val="p"/>
                </m:rPr>
                <w:rPr>
                  <w:rFonts w:ascii="Cambria Math" w:hAnsi="Cambria Math"/>
                </w:rPr>
                <m:t xml:space="preserve"> ln </m:t>
              </m:r>
              <m:d>
                <m:dPr>
                  <m:ctrlPr>
                    <w:rPr>
                      <w:rFonts w:ascii="Cambria Math" w:hAnsi="Cambria Math"/>
                      <w:i/>
                    </w:rPr>
                  </m:ctrlPr>
                </m:dPr>
                <m:e>
                  <m:sSub>
                    <m:sSubPr>
                      <m:ctrlPr>
                        <w:rPr>
                          <w:rFonts w:ascii="Cambria Math" w:hAnsi="Cambria Math"/>
                        </w:rPr>
                      </m:ctrlPr>
                    </m:sSubPr>
                    <m:e>
                      <m:r>
                        <w:rPr>
                          <w:rFonts w:ascii="Cambria Math" w:hAnsi="Cambria Math"/>
                        </w:rPr>
                        <m:t>μ</m:t>
                      </m:r>
                    </m:e>
                    <m:sub>
                      <m:r>
                        <w:rPr>
                          <w:rFonts w:ascii="Cambria Math" w:hAnsi="Cambria Math"/>
                        </w:rPr>
                        <m:t>ij</m:t>
                      </m:r>
                    </m:sub>
                  </m:sSub>
                </m:e>
              </m:d>
            </m:e>
          </m:rad>
          <m:r>
            <w:rPr>
              <w:rFonts w:ascii="Cambria Math" w:hAnsi="Cambria Math"/>
            </w:rPr>
            <m:t xml:space="preserve">                                                    (12)</m:t>
          </m:r>
        </m:oMath>
      </m:oMathPara>
    </w:p>
    <w:p w:rsidR="00443F42" w:rsidRPr="00585421" w:rsidRDefault="00443F42" w:rsidP="00443F42">
      <w:pPr>
        <w:ind w:firstLine="0"/>
      </w:pPr>
      <w:r w:rsidRPr="00585421">
        <w:t xml:space="preserve">with Parameter </w:t>
      </w:r>
      <m:oMath>
        <m:sSub>
          <m:sSubPr>
            <m:ctrlPr>
              <w:rPr>
                <w:rFonts w:ascii="Cambria Math" w:hAnsi="Cambria Math"/>
              </w:rPr>
            </m:ctrlPr>
          </m:sSubPr>
          <m:e>
            <m:r>
              <w:rPr>
                <w:rFonts w:ascii="Cambria Math" w:hAnsi="Cambria Math"/>
              </w:rPr>
              <m:t>δ</m:t>
            </m:r>
          </m:e>
          <m:sub>
            <m:r>
              <w:rPr>
                <w:rFonts w:ascii="Cambria Math" w:hAnsi="Cambria Math"/>
              </w:rPr>
              <m:t>i</m:t>
            </m:r>
            <m:r>
              <w:rPr>
                <w:rFonts w:ascii="Cambria Math" w:hAnsi="Cambria Math"/>
              </w:rPr>
              <m:t>j</m:t>
            </m:r>
          </m:sub>
        </m:sSub>
      </m:oMath>
      <w:r w:rsidRPr="00585421">
        <w:t xml:space="preserve"> of Gaussian distribution function that is expressed by Eq. (13):</w:t>
      </w:r>
    </w:p>
    <w:p w:rsidR="00443F42" w:rsidRPr="00585421" w:rsidRDefault="00443F42" w:rsidP="00443F42">
      <m:oMathPara>
        <m:oMathParaPr>
          <m:jc m:val="right"/>
        </m:oMathParaPr>
        <m:oMath>
          <m:r>
            <w:rPr>
              <w:rFonts w:ascii="Cambria Math" w:hAnsi="Cambria Math"/>
            </w:rPr>
            <m:t>ω=</m:t>
          </m:r>
          <m:d>
            <m:dPr>
              <m:ctrlPr>
                <w:rPr>
                  <w:rFonts w:ascii="Cambria Math" w:hAnsi="Cambria Math"/>
                  <w:i/>
                </w:rPr>
              </m:ctrlPr>
            </m:dPr>
            <m:e>
              <m:r>
                <w:rPr>
                  <w:rFonts w:ascii="Cambria Math" w:hAnsi="Cambria Math"/>
                </w:rPr>
                <m:t>itre</m:t>
              </m:r>
              <m:sSub>
                <m:sSubPr>
                  <m:ctrlPr>
                    <w:rPr>
                      <w:rFonts w:ascii="Cambria Math" w:hAnsi="Cambria Math"/>
                    </w:rPr>
                  </m:ctrlPr>
                </m:sSubPr>
                <m:e>
                  <m:r>
                    <w:rPr>
                      <w:rFonts w:ascii="Cambria Math" w:hAnsi="Cambria Math"/>
                    </w:rPr>
                    <m:t>r</m:t>
                  </m:r>
                </m:e>
                <m:sub>
                  <m:r>
                    <m:rPr>
                      <m:sty m:val="p"/>
                    </m:rPr>
                    <w:rPr>
                      <w:rFonts w:ascii="Cambria Math" w:hAnsi="Cambria Math"/>
                    </w:rPr>
                    <m:t xml:space="preserve"> max </m:t>
                  </m:r>
                </m:sub>
              </m:sSub>
              <m:r>
                <w:rPr>
                  <w:rFonts w:ascii="Cambria Math" w:hAnsi="Cambria Math"/>
                </w:rPr>
                <m:t>-r</m:t>
              </m:r>
            </m:e>
          </m:d>
          <m:r>
            <w:rPr>
              <w:rFonts w:ascii="Cambria Math" w:hAnsi="Cambria Math"/>
            </w:rPr>
            <m:t>/itre</m:t>
          </m:r>
          <m:sSub>
            <m:sSubPr>
              <m:ctrlPr>
                <w:rPr>
                  <w:rFonts w:ascii="Cambria Math" w:hAnsi="Cambria Math"/>
                </w:rPr>
              </m:ctrlPr>
            </m:sSubPr>
            <m:e>
              <m:r>
                <w:rPr>
                  <w:rFonts w:ascii="Cambria Math" w:hAnsi="Cambria Math"/>
                </w:rPr>
                <m:t>r</m:t>
              </m:r>
            </m:e>
            <m:sub>
              <m:r>
                <m:rPr>
                  <m:sty m:val="p"/>
                </m:rPr>
                <w:rPr>
                  <w:rFonts w:ascii="Cambria Math" w:hAnsi="Cambria Math"/>
                </w:rPr>
                <m:t xml:space="preserve"> max </m:t>
              </m:r>
            </m:sub>
          </m:sSub>
          <m:r>
            <w:rPr>
              <w:rFonts w:ascii="Cambria Math" w:hAnsi="Cambria Math"/>
            </w:rPr>
            <m:t xml:space="preserve">                                            (13)</m:t>
          </m:r>
        </m:oMath>
      </m:oMathPara>
    </w:p>
    <w:p w:rsidR="00443F42" w:rsidRPr="00585421" w:rsidRDefault="008978B0" w:rsidP="00443F42">
      <m:oMathPara>
        <m:oMathParaPr>
          <m:jc m:val="right"/>
        </m:oMathParaPr>
        <m:oMath>
          <m:sSub>
            <m:sSubPr>
              <m:ctrlPr>
                <w:rPr>
                  <w:rFonts w:ascii="Cambria Math" w:hAnsi="Cambria Math"/>
                </w:rPr>
              </m:ctrlPr>
            </m:sSubPr>
            <m:e>
              <m:r>
                <w:rPr>
                  <w:rFonts w:ascii="Cambria Math" w:hAnsi="Cambria Math"/>
                </w:rPr>
                <m:t>δ</m:t>
              </m:r>
            </m:e>
            <m:sub>
              <m:r>
                <w:rPr>
                  <w:rFonts w:ascii="Cambria Math" w:hAnsi="Cambria Math"/>
                </w:rPr>
                <m:t>ij</m:t>
              </m:r>
            </m:sub>
          </m:sSub>
          <m:r>
            <w:rPr>
              <w:rFonts w:ascii="Cambria Math" w:hAnsi="Cambria Math"/>
            </w:rPr>
            <m:t>=</m:t>
          </m:r>
          <m:sSup>
            <m:sSupPr>
              <m:ctrlPr>
                <w:rPr>
                  <w:rFonts w:ascii="Cambria Math" w:hAnsi="Cambria Math"/>
                </w:rPr>
              </m:ctrlPr>
            </m:sSupPr>
            <m:e>
              <m:r>
                <w:rPr>
                  <w:rFonts w:ascii="Cambria Math" w:hAnsi="Cambria Math"/>
                </w:rPr>
                <m:t>ω</m:t>
              </m:r>
            </m:e>
            <m:sup>
              <m:r>
                <w:rPr>
                  <w:rFonts w:ascii="Cambria Math" w:hAnsi="Cambria Math"/>
                </w:rPr>
                <m:t>*</m:t>
              </m:r>
            </m:sup>
          </m:sSup>
          <m:r>
            <w:rPr>
              <w:rFonts w:ascii="Cambria Math" w:hAnsi="Cambria Math"/>
            </w:rPr>
            <m:t>abs</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min</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max</m:t>
                  </m:r>
                </m:sub>
              </m:sSub>
            </m:e>
          </m:d>
          <m:r>
            <w:rPr>
              <w:rFonts w:ascii="Cambria Math" w:hAnsi="Cambria Math"/>
            </w:rPr>
            <m:t xml:space="preserve">                                                  (14)</m:t>
          </m:r>
        </m:oMath>
      </m:oMathPara>
    </w:p>
    <w:p w:rsidR="00443F42" w:rsidRPr="00585421" w:rsidRDefault="00443F42" w:rsidP="00443F42">
      <w:pPr>
        <w:ind w:firstLine="0"/>
      </w:pPr>
      <w:r w:rsidRPr="00585421">
        <w:t xml:space="preserve">with </w:t>
      </w:r>
      <m:oMath>
        <m:r>
          <w:rPr>
            <w:rFonts w:ascii="Cambria Math" w:hAnsi="Cambria Math"/>
          </w:rPr>
          <m:t>ω</m:t>
        </m:r>
      </m:oMath>
      <w:r w:rsidRPr="00585421">
        <w:t>: Weight of inertia.</w:t>
      </w:r>
      <m:oMath>
        <m:r>
          <w:rPr>
            <w:rFonts w:ascii="Cambria Math" w:hAnsi="Cambria Math"/>
          </w:rPr>
          <m:t xml:space="preserve"> ω</m:t>
        </m:r>
      </m:oMath>
      <w:r w:rsidRPr="00585421">
        <w:t xml:space="preserve"> diminishes linearly from [0.9-0.1] as the evolutionary algebra develops,.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min</m:t>
            </m:r>
          </m:sub>
        </m:sSub>
        <m:r>
          <w:rPr>
            <w:rFonts w:ascii="Cambria Math" w:hAnsi="Cambria Math"/>
          </w:rPr>
          <m:t>and</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max</m:t>
            </m:r>
          </m:sub>
        </m:sSub>
      </m:oMath>
      <w:r w:rsidRPr="00585421">
        <w:t xml:space="preserve"> are correspondingly the variant of minimal value and maximal value of the functions. </w:t>
      </w:r>
    </w:p>
    <w:p w:rsidR="00443F42" w:rsidRPr="00585421" w:rsidRDefault="008978B0" w:rsidP="00443F42">
      <m:oMathPara>
        <m:oMathParaPr>
          <m:jc m:val="right"/>
        </m:oMathParaPr>
        <m:oMath>
          <m:sSub>
            <m:sSubPr>
              <m:ctrlPr>
                <w:rPr>
                  <w:rFonts w:ascii="Cambria Math" w:hAnsi="Cambria Math"/>
                </w:rPr>
              </m:ctrlPr>
            </m:sSubPr>
            <m:e>
              <m:r>
                <w:rPr>
                  <w:rFonts w:ascii="Cambria Math" w:hAnsi="Cambria Math"/>
                </w:rPr>
                <m:t>x</m:t>
              </m:r>
            </m:e>
            <m:sub>
              <m:r>
                <w:rPr>
                  <w:rFonts w:ascii="Cambria Math" w:hAnsi="Cambria Math"/>
                </w:rPr>
                <m:t>ij</m:t>
              </m:r>
            </m:sub>
          </m:sSub>
          <m:d>
            <m:dPr>
              <m:ctrlPr>
                <w:rPr>
                  <w:rFonts w:ascii="Cambria Math" w:hAnsi="Cambria Math"/>
                  <w:i/>
                </w:rPr>
              </m:ctrlPr>
            </m:dPr>
            <m:e>
              <m:r>
                <w:rPr>
                  <w:rFonts w:ascii="Cambria Math" w:hAnsi="Cambria Math"/>
                </w:rPr>
                <m:t>t+1</m:t>
              </m:r>
            </m:e>
          </m:d>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ij</m:t>
              </m:r>
            </m:sub>
          </m:sSub>
          <m:r>
            <w:rPr>
              <w:rFonts w:ascii="Cambria Math" w:hAnsi="Cambria Math"/>
            </w:rPr>
            <m:t>(t)+</m:t>
          </m:r>
          <m:sSub>
            <m:sSubPr>
              <m:ctrlPr>
                <w:rPr>
                  <w:rFonts w:ascii="Cambria Math" w:hAnsi="Cambria Math"/>
                </w:rPr>
              </m:ctrlPr>
            </m:sSubPr>
            <m:e>
              <m:r>
                <w:rPr>
                  <w:rFonts w:ascii="Cambria Math" w:hAnsi="Cambria Math"/>
                </w:rPr>
                <m:t>α</m:t>
              </m:r>
            </m:e>
            <m:sub>
              <m:r>
                <w:rPr>
                  <w:rFonts w:ascii="Cambria Math" w:hAnsi="Cambria Math"/>
                </w:rPr>
                <m:t>ij</m:t>
              </m:r>
            </m:sub>
          </m:sSub>
          <m:r>
            <w:rPr>
              <w:rFonts w:ascii="Cambria Math" w:hAnsi="Cambria Math"/>
            </w:rPr>
            <m:t>(t)</m:t>
          </m:r>
          <m:sSub>
            <m:sSubPr>
              <m:ctrlPr>
                <w:rPr>
                  <w:rFonts w:ascii="Cambria Math" w:hAnsi="Cambria Math"/>
                </w:rPr>
              </m:ctrlPr>
            </m:sSubPr>
            <m:e>
              <m:r>
                <w:rPr>
                  <w:rFonts w:ascii="Cambria Math" w:hAnsi="Cambria Math"/>
                </w:rPr>
                <m:t>f</m:t>
              </m:r>
            </m:e>
            <m:sub>
              <m:r>
                <w:rPr>
                  <w:rFonts w:ascii="Cambria Math" w:hAnsi="Cambria Math"/>
                </w:rPr>
                <m:t>ij</m:t>
              </m:r>
            </m:sub>
          </m:sSub>
          <m:r>
            <w:rPr>
              <w:rFonts w:ascii="Cambria Math" w:hAnsi="Cambria Math"/>
            </w:rPr>
            <m:t>(t),i=1</m:t>
          </m:r>
          <m:r>
            <w:rPr>
              <w:rFonts w:ascii="Cambria Math" w:eastAsiaTheme="minorEastAsia" w:hAnsi="Cambria Math"/>
            </w:rPr>
            <m:t>,2, ⋯,s;j=1,2, ⋯,D                                                   (15)</m:t>
          </m:r>
        </m:oMath>
      </m:oMathPara>
    </w:p>
    <w:p w:rsidR="00443F42" w:rsidRPr="00585421" w:rsidRDefault="00443F42" w:rsidP="00443F42">
      <w:pPr>
        <w:ind w:firstLine="0"/>
      </w:pPr>
      <w:r w:rsidRPr="00585421">
        <w:t xml:space="preserve">with </w:t>
      </w:r>
      <m:oMath>
        <m:r>
          <w:rPr>
            <w:rFonts w:ascii="Cambria Math" w:hAnsi="Cambria Math"/>
          </w:rPr>
          <m:t>ith</m:t>
        </m:r>
      </m:oMath>
      <w:r w:rsidRPr="00585421">
        <w:t xml:space="preserve"> searcher individual, </w:t>
      </w:r>
      <m:oMath>
        <m:r>
          <w:rPr>
            <w:rFonts w:ascii="Cambria Math" w:hAnsi="Cambria Math"/>
          </w:rPr>
          <m:t>j</m:t>
        </m:r>
      </m:oMath>
      <w:r w:rsidRPr="00585421">
        <w:t xml:space="preserve">: Individual dimensional, </w:t>
      </w:r>
      <m:oMath>
        <m:sSub>
          <m:sSubPr>
            <m:ctrlPr>
              <w:rPr>
                <w:rFonts w:ascii="Cambria Math" w:hAnsi="Cambria Math"/>
              </w:rPr>
            </m:ctrlPr>
          </m:sSubPr>
          <m:e>
            <m:r>
              <w:rPr>
                <w:rFonts w:ascii="Cambria Math" w:hAnsi="Cambria Math"/>
              </w:rPr>
              <m:t>f</m:t>
            </m:r>
          </m:e>
          <m:sub>
            <m:r>
              <w:rPr>
                <w:rFonts w:ascii="Cambria Math" w:hAnsi="Cambria Math"/>
              </w:rPr>
              <m:t>ij</m:t>
            </m:r>
          </m:sub>
        </m:sSub>
        <m:r>
          <w:rPr>
            <w:rFonts w:ascii="Cambria Math" w:hAnsi="Cambria Math"/>
          </w:rPr>
          <m:t>(t)</m:t>
        </m:r>
      </m:oMath>
      <w:r w:rsidRPr="00585421">
        <w:t xml:space="preserve"> and </w:t>
      </w:r>
      <m:oMath>
        <m:sSub>
          <m:sSubPr>
            <m:ctrlPr>
              <w:rPr>
                <w:rFonts w:ascii="Cambria Math" w:hAnsi="Cambria Math"/>
              </w:rPr>
            </m:ctrlPr>
          </m:sSubPr>
          <m:e>
            <m:r>
              <w:rPr>
                <w:rFonts w:ascii="Cambria Math" w:hAnsi="Cambria Math"/>
              </w:rPr>
              <m:t>α</m:t>
            </m:r>
          </m:e>
          <m:sub>
            <m:r>
              <w:rPr>
                <w:rFonts w:ascii="Cambria Math" w:hAnsi="Cambria Math"/>
              </w:rPr>
              <m:t>ij</m:t>
            </m:r>
          </m:sub>
        </m:sSub>
        <m:r>
          <w:rPr>
            <w:rFonts w:ascii="Cambria Math" w:hAnsi="Cambria Math"/>
          </w:rPr>
          <m:t>(t)</m:t>
        </m:r>
      </m:oMath>
      <w:r w:rsidRPr="00585421">
        <w:t xml:space="preserve"> : Seekers’ searching direction, correspondingly, and searching step size at time </w:t>
      </w:r>
      <m:oMath>
        <m:r>
          <w:rPr>
            <w:rFonts w:ascii="Cambria Math" w:hAnsi="Cambria Math"/>
          </w:rPr>
          <m:t>t</m:t>
        </m:r>
      </m:oMath>
      <w:r w:rsidRPr="00585421">
        <w:t xml:space="preserve"> and </w:t>
      </w:r>
      <m:oMath>
        <m:sSub>
          <m:sSubPr>
            <m:ctrlPr>
              <w:rPr>
                <w:rFonts w:ascii="Cambria Math" w:hAnsi="Cambria Math"/>
              </w:rPr>
            </m:ctrlPr>
          </m:sSubPr>
          <m:e>
            <m:r>
              <w:rPr>
                <w:rFonts w:ascii="Cambria Math" w:hAnsi="Cambria Math"/>
              </w:rPr>
              <m:t>x</m:t>
            </m:r>
          </m:e>
          <m:sub>
            <m:r>
              <w:rPr>
                <w:rFonts w:ascii="Cambria Math" w:hAnsi="Cambria Math"/>
              </w:rPr>
              <m:t>ij</m:t>
            </m:r>
          </m:sub>
        </m:sSub>
        <m:r>
          <w:rPr>
            <w:rFonts w:ascii="Cambria Math" w:hAnsi="Cambria Math"/>
          </w:rPr>
          <m:t>(t)</m:t>
        </m:r>
      </m:oMath>
      <w:r w:rsidRPr="00585421">
        <w:t xml:space="preserve"> along with </w:t>
      </w:r>
      <m:oMath>
        <m:sSub>
          <m:sSubPr>
            <m:ctrlPr>
              <w:rPr>
                <w:rFonts w:ascii="Cambria Math" w:hAnsi="Cambria Math"/>
              </w:rPr>
            </m:ctrlPr>
          </m:sSubPr>
          <m:e>
            <m:r>
              <w:rPr>
                <w:rFonts w:ascii="Cambria Math" w:hAnsi="Cambria Math"/>
              </w:rPr>
              <m:t>x</m:t>
            </m:r>
          </m:e>
          <m:sub>
            <m:r>
              <w:rPr>
                <w:rFonts w:ascii="Cambria Math" w:hAnsi="Cambria Math"/>
              </w:rPr>
              <m:t>ij</m:t>
            </m:r>
          </m:sub>
        </m:sSub>
        <m:r>
          <w:rPr>
            <w:rFonts w:ascii="Cambria Math" w:hAnsi="Cambria Math"/>
          </w:rPr>
          <m:t>(t+1)</m:t>
        </m:r>
      </m:oMath>
      <w:r w:rsidRPr="00585421">
        <w:t xml:space="preserve">: Searchers’ position at time </w:t>
      </w:r>
      <m:oMath>
        <m:r>
          <w:rPr>
            <w:rFonts w:ascii="Cambria Math" w:hAnsi="Cambria Math"/>
          </w:rPr>
          <m:t>t</m:t>
        </m:r>
      </m:oMath>
      <w:r w:rsidRPr="00585421">
        <w:t xml:space="preserve"> and </w:t>
      </w:r>
      <m:oMath>
        <m:r>
          <w:rPr>
            <w:rFonts w:ascii="Cambria Math" w:hAnsi="Cambria Math"/>
          </w:rPr>
          <m:t>(t+1)</m:t>
        </m:r>
      </m:oMath>
      <w:r w:rsidRPr="00585421">
        <w:t>, correspondingly.</w:t>
      </w:r>
    </w:p>
    <w:p w:rsidR="006F1F14" w:rsidRDefault="00443F42" w:rsidP="00443F42">
      <w:bookmarkStart w:id="0" w:name="_Hlk119676169"/>
      <w:r w:rsidRPr="00585421">
        <w:t xml:space="preserve">Fitness choice is a key aspect of the SOA methodology. An encoded performance has been deployed to develop the best solution for candidate performances. </w:t>
      </w:r>
    </w:p>
    <w:p w:rsidR="00443F42" w:rsidRPr="00585421" w:rsidRDefault="00443F42" w:rsidP="00443F42">
      <m:oMathPara>
        <m:oMathParaPr>
          <m:jc m:val="right"/>
        </m:oMathParaPr>
        <m:oMath>
          <m:r>
            <w:rPr>
              <w:rFonts w:ascii="Cambria Math" w:hAnsi="Cambria Math"/>
            </w:rPr>
            <m:t>Fitness =</m:t>
          </m:r>
          <m:r>
            <m:rPr>
              <m:sty m:val="p"/>
            </m:rPr>
            <w:rPr>
              <w:rFonts w:ascii="Cambria Math" w:hAnsi="Cambria Math"/>
            </w:rPr>
            <m:t xml:space="preserve"> max </m:t>
          </m:r>
          <m:d>
            <m:dPr>
              <m:ctrlPr>
                <w:rPr>
                  <w:rFonts w:ascii="Cambria Math" w:hAnsi="Cambria Math"/>
                  <w:i/>
                </w:rPr>
              </m:ctrlPr>
            </m:dPr>
            <m:e>
              <m:r>
                <w:rPr>
                  <w:rFonts w:ascii="Cambria Math" w:hAnsi="Cambria Math"/>
                </w:rPr>
                <m:t>P</m:t>
              </m:r>
            </m:e>
          </m:d>
          <m:r>
            <w:rPr>
              <w:rFonts w:ascii="Cambria Math" w:hAnsi="Cambria Math"/>
            </w:rPr>
            <m:t xml:space="preserve">                                                  (16)</m:t>
          </m:r>
        </m:oMath>
      </m:oMathPara>
    </w:p>
    <w:p w:rsidR="00443F42" w:rsidRPr="00585421" w:rsidRDefault="00443F42" w:rsidP="00443F42">
      <m:oMathPara>
        <m:oMathParaPr>
          <m:jc m:val="right"/>
        </m:oMathParaPr>
        <m:oMath>
          <m:r>
            <w:rPr>
              <w:rFonts w:ascii="Cambria Math" w:hAnsi="Cambria Math"/>
            </w:rPr>
            <m:t>P=</m:t>
          </m:r>
          <m:f>
            <m:fPr>
              <m:ctrlPr>
                <w:rPr>
                  <w:rFonts w:ascii="Cambria Math" w:hAnsi="Cambria Math"/>
                </w:rPr>
              </m:ctrlPr>
            </m:fPr>
            <m:num>
              <m:r>
                <w:rPr>
                  <w:rFonts w:ascii="Cambria Math" w:hAnsi="Cambria Math"/>
                </w:rPr>
                <m:t>TP</m:t>
              </m:r>
            </m:num>
            <m:den>
              <m:r>
                <w:rPr>
                  <w:rFonts w:ascii="Cambria Math" w:hAnsi="Cambria Math"/>
                </w:rPr>
                <m:t>TP+FP</m:t>
              </m:r>
            </m:den>
          </m:f>
          <m:r>
            <w:rPr>
              <w:rFonts w:ascii="Cambria Math" w:eastAsiaTheme="minorEastAsia" w:hAnsi="Cambria Math"/>
            </w:rPr>
            <m:t xml:space="preserve">                                                                 (17)</m:t>
          </m:r>
        </m:oMath>
      </m:oMathPara>
    </w:p>
    <w:p w:rsidR="00443F42" w:rsidRPr="00585421" w:rsidRDefault="00443F42" w:rsidP="00443F42">
      <w:pPr>
        <w:ind w:firstLine="0"/>
      </w:pPr>
      <w:r w:rsidRPr="00585421">
        <w:t xml:space="preserve">In which, </w:t>
      </w:r>
      <m:oMath>
        <m:r>
          <w:rPr>
            <w:rFonts w:ascii="Cambria Math" w:hAnsi="Cambria Math"/>
          </w:rPr>
          <m:t>FP</m:t>
        </m:r>
      </m:oMath>
      <w:r w:rsidRPr="00585421">
        <w:rPr>
          <w:rFonts w:eastAsiaTheme="minorEastAsia"/>
        </w:rPr>
        <w:t xml:space="preserve"> and </w:t>
      </w:r>
      <m:oMath>
        <m:r>
          <w:rPr>
            <w:rFonts w:ascii="Cambria Math" w:hAnsi="Cambria Math"/>
          </w:rPr>
          <m:t>TP</m:t>
        </m:r>
      </m:oMath>
      <w:r w:rsidRPr="00585421">
        <w:t xml:space="preserve"> denote the false and true positive values.</w:t>
      </w:r>
    </w:p>
    <w:bookmarkEnd w:id="0"/>
    <w:p w:rsidR="00443F42" w:rsidRPr="00585421" w:rsidRDefault="00443F42" w:rsidP="00443F42">
      <w:pPr>
        <w:pStyle w:val="Heading1"/>
      </w:pPr>
      <w:r w:rsidRPr="00585421">
        <w:t>Experimental Validation</w:t>
      </w:r>
    </w:p>
    <w:p w:rsidR="00931F8F" w:rsidRDefault="00443F42" w:rsidP="00931F8F">
      <w:pPr>
        <w:rPr>
          <w:rFonts w:eastAsiaTheme="minorEastAsia"/>
        </w:rPr>
      </w:pPr>
      <w:r w:rsidRPr="00585421">
        <w:t>In this work, the SOADL-ID technique is tested using three distinct IDS datasets</w:t>
      </w:r>
      <w:r w:rsidR="002C5724">
        <w:t xml:space="preserve"> such as </w:t>
      </w:r>
      <w:r w:rsidR="002C5724" w:rsidRPr="002C5724">
        <w:t>UNSW_NB15</w:t>
      </w:r>
      <w:r w:rsidR="00B50DF7">
        <w:t xml:space="preserve">, </w:t>
      </w:r>
      <w:r w:rsidR="002C5724" w:rsidRPr="002C5724">
        <w:t>KDD_cup99</w:t>
      </w:r>
      <w:r w:rsidR="00B50DF7">
        <w:t xml:space="preserve">, and </w:t>
      </w:r>
      <w:r w:rsidR="002C5724" w:rsidRPr="002C5724">
        <w:t>NSL-KDD</w:t>
      </w:r>
      <w:r w:rsidRPr="00585421">
        <w:t xml:space="preserve"> [20]. </w:t>
      </w:r>
      <w:r w:rsidR="00931F8F" w:rsidRPr="00585421">
        <w:t xml:space="preserve">Table </w:t>
      </w:r>
      <w:r w:rsidR="00931F8F">
        <w:t>1</w:t>
      </w:r>
      <w:r w:rsidR="00931F8F" w:rsidRPr="00585421">
        <w:t xml:space="preserve"> reports the </w:t>
      </w:r>
      <w:r w:rsidR="00931F8F">
        <w:t xml:space="preserve">brief </w:t>
      </w:r>
      <w:r w:rsidR="00931F8F" w:rsidRPr="00585421">
        <w:t xml:space="preserve">IDS </w:t>
      </w:r>
      <w:r w:rsidR="00931F8F">
        <w:t>output</w:t>
      </w:r>
      <w:r w:rsidR="00931F8F" w:rsidRPr="00585421">
        <w:t xml:space="preserve">s of the SOADL-ID technique on the UNSW-NB15 database. The SOADL-ID technique properly identified the normal and attack samples. On 70% of TR set, the SOADL-ID technique attains </w:t>
      </w:r>
      <w:proofErr w:type="gramStart"/>
      <w:r w:rsidR="00931F8F" w:rsidRPr="00585421">
        <w:lastRenderedPageBreak/>
        <w:t xml:space="preserve">average </w:t>
      </w:r>
      <m:oMath>
        <w:proofErr w:type="gramEnd"/>
        <m:r>
          <w:rPr>
            <w:rFonts w:ascii="Cambria Math" w:hAnsi="Cambria Math"/>
          </w:rPr>
          <m:t>acc</m:t>
        </m:r>
        <m:sSub>
          <m:sSubPr>
            <m:ctrlPr>
              <w:rPr>
                <w:rFonts w:ascii="Cambria Math" w:hAnsi="Cambria Math"/>
                <w:i/>
              </w:rPr>
            </m:ctrlPr>
          </m:sSubPr>
          <m:e>
            <m:r>
              <w:rPr>
                <w:rFonts w:ascii="Cambria Math" w:hAnsi="Cambria Math"/>
              </w:rPr>
              <m:t>u</m:t>
            </m:r>
          </m:e>
          <m:sub>
            <m:r>
              <w:rPr>
                <w:rFonts w:ascii="Cambria Math" w:hAnsi="Cambria Math"/>
              </w:rPr>
              <m:t>y</m:t>
            </m:r>
          </m:sub>
        </m:sSub>
      </m:oMath>
      <w:r w:rsidR="00931F8F" w:rsidRPr="00585421">
        <w:rPr>
          <w:rFonts w:eastAsiaTheme="minorEastAsia"/>
        </w:rPr>
        <w:t xml:space="preserve">, </w:t>
      </w:r>
      <m:oMath>
        <m:r>
          <w:rPr>
            <w:rFonts w:ascii="Cambria Math" w:eastAsiaTheme="minorEastAsia" w:hAnsi="Cambria Math"/>
          </w:rPr>
          <m:t>pre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sidR="00931F8F" w:rsidRPr="00585421">
        <w:rPr>
          <w:rFonts w:eastAsiaTheme="minorEastAsia"/>
        </w:rPr>
        <w:t xml:space="preserve">, </w:t>
      </w:r>
      <m:oMath>
        <m:r>
          <w:rPr>
            <w:rFonts w:ascii="Cambria Math" w:eastAsiaTheme="minorEastAsia" w:hAnsi="Cambria Math"/>
          </w:rPr>
          <m:t>rec</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l</m:t>
            </m:r>
          </m:sub>
        </m:sSub>
      </m:oMath>
      <w:r w:rsidR="00931F8F" w:rsidRPr="0058542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score</m:t>
            </m:r>
          </m:sub>
        </m:sSub>
      </m:oMath>
      <w:r w:rsidR="00931F8F" w:rsidRPr="00585421">
        <w:rPr>
          <w:rFonts w:eastAsiaTheme="minorEastAsia"/>
        </w:rPr>
        <w:t>, and MCC of 97.66%, 97.66%, 97.66%, 97.66%, and 95.31% correspondingly. Afterward,</w:t>
      </w:r>
      <w:r w:rsidR="00931F8F" w:rsidRPr="00585421">
        <w:t xml:space="preserve"> on 30% of TS set, the SOADL-ID approaches realizes </w:t>
      </w:r>
      <w:proofErr w:type="gramStart"/>
      <w:r w:rsidR="00931F8F" w:rsidRPr="00585421">
        <w:t xml:space="preserve">average </w:t>
      </w:r>
      <m:oMath>
        <w:proofErr w:type="gramEnd"/>
        <m:r>
          <w:rPr>
            <w:rFonts w:ascii="Cambria Math" w:hAnsi="Cambria Math"/>
          </w:rPr>
          <m:t>acc</m:t>
        </m:r>
        <m:sSub>
          <m:sSubPr>
            <m:ctrlPr>
              <w:rPr>
                <w:rFonts w:ascii="Cambria Math" w:hAnsi="Cambria Math"/>
                <w:i/>
              </w:rPr>
            </m:ctrlPr>
          </m:sSubPr>
          <m:e>
            <m:r>
              <w:rPr>
                <w:rFonts w:ascii="Cambria Math" w:hAnsi="Cambria Math"/>
              </w:rPr>
              <m:t>u</m:t>
            </m:r>
          </m:e>
          <m:sub>
            <m:r>
              <w:rPr>
                <w:rFonts w:ascii="Cambria Math" w:hAnsi="Cambria Math"/>
              </w:rPr>
              <m:t>y</m:t>
            </m:r>
          </m:sub>
        </m:sSub>
      </m:oMath>
      <w:r w:rsidR="00931F8F" w:rsidRPr="00585421">
        <w:rPr>
          <w:rFonts w:eastAsiaTheme="minorEastAsia"/>
        </w:rPr>
        <w:t xml:space="preserve">, </w:t>
      </w:r>
      <m:oMath>
        <m:r>
          <w:rPr>
            <w:rFonts w:ascii="Cambria Math" w:eastAsiaTheme="minorEastAsia" w:hAnsi="Cambria Math"/>
          </w:rPr>
          <m:t>pre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sidR="00931F8F" w:rsidRPr="00585421">
        <w:rPr>
          <w:rFonts w:eastAsiaTheme="minorEastAsia"/>
        </w:rPr>
        <w:t xml:space="preserve">, </w:t>
      </w:r>
      <m:oMath>
        <m:r>
          <w:rPr>
            <w:rFonts w:ascii="Cambria Math" w:eastAsiaTheme="minorEastAsia" w:hAnsi="Cambria Math"/>
          </w:rPr>
          <m:t>rec</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l</m:t>
            </m:r>
          </m:sub>
        </m:sSub>
      </m:oMath>
      <w:r w:rsidR="00931F8F" w:rsidRPr="0058542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score</m:t>
            </m:r>
          </m:sub>
        </m:sSub>
      </m:oMath>
      <w:r w:rsidR="00931F8F" w:rsidRPr="00585421">
        <w:rPr>
          <w:rFonts w:eastAsiaTheme="minorEastAsia"/>
        </w:rPr>
        <w:t>, and MCC of 97.77%, 97.77%, 97.77%, 97.77%, and 95.53% correspondingly.</w:t>
      </w:r>
    </w:p>
    <w:p w:rsidR="00443F42" w:rsidRPr="00F92C9E" w:rsidRDefault="00F92C9E" w:rsidP="00F92C9E">
      <w:pPr>
        <w:pStyle w:val="TableHeading"/>
      </w:pPr>
      <w:r w:rsidRPr="00F92C9E">
        <w:t>TABLE I</w:t>
      </w:r>
    </w:p>
    <w:p w:rsidR="00443F42" w:rsidRPr="00F92C9E" w:rsidRDefault="00F92C9E" w:rsidP="00F92C9E">
      <w:pPr>
        <w:pStyle w:val="TableHeading"/>
      </w:pPr>
      <w:r w:rsidRPr="00F92C9E">
        <w:t xml:space="preserve">IDS OUTCOME OF SOADL-ID APPROACH ON UNSW-NB15 DATASET </w:t>
      </w:r>
    </w:p>
    <w:tbl>
      <w:tblPr>
        <w:tblStyle w:val="TableGrid"/>
        <w:tblW w:w="5049" w:type="dxa"/>
        <w:jc w:val="center"/>
        <w:tblLook w:val="04A0"/>
      </w:tblPr>
      <w:tblGrid>
        <w:gridCol w:w="974"/>
        <w:gridCol w:w="840"/>
        <w:gridCol w:w="839"/>
        <w:gridCol w:w="821"/>
        <w:gridCol w:w="807"/>
        <w:gridCol w:w="768"/>
      </w:tblGrid>
      <w:tr w:rsidR="00443F42" w:rsidRPr="00585421" w:rsidTr="008E5647">
        <w:trPr>
          <w:trHeight w:val="289"/>
          <w:jc w:val="center"/>
        </w:trPr>
        <w:tc>
          <w:tcPr>
            <w:tcW w:w="5049" w:type="dxa"/>
            <w:gridSpan w:val="6"/>
            <w:vAlign w:val="center"/>
          </w:tcPr>
          <w:p w:rsidR="00443F42" w:rsidRPr="00585421" w:rsidRDefault="00443F42" w:rsidP="00F92C9E">
            <w:pPr>
              <w:spacing w:line="240" w:lineRule="auto"/>
              <w:ind w:firstLine="0"/>
              <w:jc w:val="center"/>
              <w:rPr>
                <w:rFonts w:cs="Times New Roman"/>
                <w:b/>
                <w:sz w:val="20"/>
                <w:szCs w:val="20"/>
              </w:rPr>
            </w:pPr>
            <w:r w:rsidRPr="00585421">
              <w:rPr>
                <w:rFonts w:cs="Times New Roman"/>
                <w:b/>
                <w:sz w:val="20"/>
                <w:szCs w:val="20"/>
              </w:rPr>
              <w:t>UNSW_NB15</w:t>
            </w:r>
          </w:p>
        </w:tc>
      </w:tr>
      <w:tr w:rsidR="00443F42" w:rsidRPr="00585421" w:rsidTr="008E5647">
        <w:trPr>
          <w:trHeight w:val="566"/>
          <w:jc w:val="center"/>
        </w:trPr>
        <w:tc>
          <w:tcPr>
            <w:tcW w:w="974" w:type="dxa"/>
            <w:vAlign w:val="center"/>
          </w:tcPr>
          <w:p w:rsidR="00443F42" w:rsidRPr="00585421" w:rsidRDefault="00443F42" w:rsidP="00F92C9E">
            <w:pPr>
              <w:spacing w:line="240" w:lineRule="auto"/>
              <w:ind w:firstLine="0"/>
              <w:jc w:val="center"/>
              <w:rPr>
                <w:rFonts w:cs="Times New Roman"/>
                <w:sz w:val="20"/>
                <w:szCs w:val="20"/>
              </w:rPr>
            </w:pPr>
            <w:r w:rsidRPr="00585421">
              <w:rPr>
                <w:rFonts w:cs="Times New Roman"/>
                <w:b/>
                <w:sz w:val="20"/>
                <w:szCs w:val="20"/>
              </w:rPr>
              <w:t>Class Labels</w:t>
            </w:r>
          </w:p>
        </w:tc>
        <w:tc>
          <w:tcPr>
            <w:tcW w:w="840" w:type="dxa"/>
            <w:vAlign w:val="center"/>
          </w:tcPr>
          <w:p w:rsidR="00443F42" w:rsidRPr="00585421" w:rsidRDefault="00443F42" w:rsidP="00F92C9E">
            <w:pPr>
              <w:spacing w:line="240" w:lineRule="auto"/>
              <w:ind w:firstLine="0"/>
              <w:jc w:val="center"/>
              <w:rPr>
                <w:rFonts w:cs="Times New Roman"/>
                <w:sz w:val="20"/>
                <w:szCs w:val="20"/>
              </w:rPr>
            </w:pPr>
            <m:oMathPara>
              <m:oMath>
                <m:r>
                  <m:rPr>
                    <m:sty m:val="bi"/>
                  </m:rPr>
                  <w:rPr>
                    <w:rFonts w:ascii="Cambria Math" w:hAnsi="Cambria Math" w:cs="Times New Roman"/>
                    <w:sz w:val="20"/>
                    <w:szCs w:val="20"/>
                  </w:rPr>
                  <m:t>Acc</m:t>
                </m:r>
                <m:sSub>
                  <m:sSubPr>
                    <m:ctrlPr>
                      <w:rPr>
                        <w:rFonts w:ascii="Cambria Math" w:hAnsi="Cambria Math" w:cs="Times New Roman"/>
                        <w:b/>
                        <w:i/>
                        <w:sz w:val="20"/>
                        <w:szCs w:val="20"/>
                      </w:rPr>
                    </m:ctrlPr>
                  </m:sSubPr>
                  <m:e>
                    <m:r>
                      <m:rPr>
                        <m:sty m:val="bi"/>
                      </m:rPr>
                      <w:rPr>
                        <w:rFonts w:ascii="Cambria Math" w:hAnsi="Cambria Math" w:cs="Times New Roman"/>
                        <w:sz w:val="20"/>
                        <w:szCs w:val="20"/>
                      </w:rPr>
                      <m:t>u</m:t>
                    </m:r>
                  </m:e>
                  <m:sub>
                    <m:r>
                      <m:rPr>
                        <m:sty m:val="bi"/>
                      </m:rPr>
                      <w:rPr>
                        <w:rFonts w:ascii="Cambria Math" w:hAnsi="Cambria Math" w:cs="Times New Roman"/>
                        <w:sz w:val="20"/>
                        <w:szCs w:val="20"/>
                      </w:rPr>
                      <m:t>y</m:t>
                    </m:r>
                  </m:sub>
                </m:sSub>
              </m:oMath>
            </m:oMathPara>
          </w:p>
        </w:tc>
        <w:tc>
          <w:tcPr>
            <w:tcW w:w="839" w:type="dxa"/>
            <w:vAlign w:val="center"/>
          </w:tcPr>
          <w:p w:rsidR="00443F42" w:rsidRPr="00585421" w:rsidRDefault="00443F42" w:rsidP="00F92C9E">
            <w:pPr>
              <w:spacing w:line="240" w:lineRule="auto"/>
              <w:ind w:firstLine="0"/>
              <w:jc w:val="center"/>
              <w:rPr>
                <w:rFonts w:cs="Times New Roman"/>
                <w:sz w:val="20"/>
                <w:szCs w:val="20"/>
              </w:rPr>
            </w:pPr>
            <m:oMathPara>
              <m:oMath>
                <m:r>
                  <m:rPr>
                    <m:sty m:val="bi"/>
                  </m:rPr>
                  <w:rPr>
                    <w:rFonts w:ascii="Cambria Math" w:hAnsi="Cambria Math" w:cs="Times New Roman"/>
                    <w:sz w:val="20"/>
                    <w:szCs w:val="20"/>
                  </w:rPr>
                  <m:t>Pre</m:t>
                </m:r>
                <m:sSub>
                  <m:sSubPr>
                    <m:ctrlPr>
                      <w:rPr>
                        <w:rFonts w:ascii="Cambria Math" w:hAnsi="Cambria Math" w:cs="Times New Roman"/>
                        <w:b/>
                        <w:i/>
                        <w:sz w:val="20"/>
                        <w:szCs w:val="20"/>
                      </w:rPr>
                    </m:ctrlPr>
                  </m:sSubPr>
                  <m:e>
                    <m:r>
                      <m:rPr>
                        <m:sty m:val="bi"/>
                      </m:rPr>
                      <w:rPr>
                        <w:rFonts w:ascii="Cambria Math" w:hAnsi="Cambria Math" w:cs="Times New Roman"/>
                        <w:sz w:val="20"/>
                        <w:szCs w:val="20"/>
                      </w:rPr>
                      <m:t>c</m:t>
                    </m:r>
                  </m:e>
                  <m:sub>
                    <m:r>
                      <m:rPr>
                        <m:sty m:val="bi"/>
                      </m:rPr>
                      <w:rPr>
                        <w:rFonts w:ascii="Cambria Math" w:hAnsi="Cambria Math" w:cs="Times New Roman"/>
                        <w:sz w:val="20"/>
                        <w:szCs w:val="20"/>
                      </w:rPr>
                      <m:t>n</m:t>
                    </m:r>
                  </m:sub>
                </m:sSub>
              </m:oMath>
            </m:oMathPara>
          </w:p>
        </w:tc>
        <w:tc>
          <w:tcPr>
            <w:tcW w:w="821" w:type="dxa"/>
            <w:vAlign w:val="center"/>
          </w:tcPr>
          <w:p w:rsidR="00443F42" w:rsidRPr="00585421" w:rsidRDefault="00443F42" w:rsidP="00F92C9E">
            <w:pPr>
              <w:spacing w:line="240" w:lineRule="auto"/>
              <w:ind w:firstLine="0"/>
              <w:jc w:val="center"/>
              <w:rPr>
                <w:rFonts w:cs="Times New Roman"/>
                <w:sz w:val="20"/>
                <w:szCs w:val="20"/>
              </w:rPr>
            </w:pPr>
            <m:oMathPara>
              <m:oMath>
                <m:r>
                  <m:rPr>
                    <m:sty m:val="bi"/>
                  </m:rPr>
                  <w:rPr>
                    <w:rFonts w:ascii="Cambria Math" w:hAnsi="Cambria Math" w:cs="Times New Roman"/>
                    <w:sz w:val="20"/>
                    <w:szCs w:val="20"/>
                  </w:rPr>
                  <m:t>Rec</m:t>
                </m:r>
                <m:sSub>
                  <m:sSubPr>
                    <m:ctrlPr>
                      <w:rPr>
                        <w:rFonts w:ascii="Cambria Math" w:hAnsi="Cambria Math" w:cs="Times New Roman"/>
                        <w:b/>
                        <w:i/>
                        <w:sz w:val="20"/>
                        <w:szCs w:val="20"/>
                      </w:rPr>
                    </m:ctrlPr>
                  </m:sSubPr>
                  <m:e>
                    <m:r>
                      <m:rPr>
                        <m:sty m:val="bi"/>
                      </m:rPr>
                      <w:rPr>
                        <w:rFonts w:ascii="Cambria Math" w:hAnsi="Cambria Math" w:cs="Times New Roman"/>
                        <w:sz w:val="20"/>
                        <w:szCs w:val="20"/>
                      </w:rPr>
                      <m:t>a</m:t>
                    </m:r>
                  </m:e>
                  <m:sub>
                    <m:r>
                      <m:rPr>
                        <m:sty m:val="bi"/>
                      </m:rPr>
                      <w:rPr>
                        <w:rFonts w:ascii="Cambria Math" w:hAnsi="Cambria Math" w:cs="Times New Roman"/>
                        <w:sz w:val="20"/>
                        <w:szCs w:val="20"/>
                      </w:rPr>
                      <m:t>l</m:t>
                    </m:r>
                  </m:sub>
                </m:sSub>
              </m:oMath>
            </m:oMathPara>
          </w:p>
        </w:tc>
        <w:tc>
          <w:tcPr>
            <w:tcW w:w="807" w:type="dxa"/>
            <w:vAlign w:val="center"/>
          </w:tcPr>
          <w:p w:rsidR="00443F42" w:rsidRPr="00585421" w:rsidRDefault="008978B0" w:rsidP="00F92C9E">
            <w:pPr>
              <w:spacing w:line="240" w:lineRule="auto"/>
              <w:ind w:firstLine="0"/>
              <w:jc w:val="center"/>
              <w:rPr>
                <w:rFonts w:cs="Times New Roman"/>
                <w:sz w:val="20"/>
                <w:szCs w:val="20"/>
              </w:rPr>
            </w:pPr>
            <m:oMathPara>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F</m:t>
                    </m:r>
                  </m:e>
                  <m:sub>
                    <m:r>
                      <m:rPr>
                        <m:sty m:val="bi"/>
                      </m:rPr>
                      <w:rPr>
                        <w:rFonts w:ascii="Cambria Math" w:hAnsi="Cambria Math" w:cs="Times New Roman"/>
                        <w:sz w:val="20"/>
                        <w:szCs w:val="20"/>
                      </w:rPr>
                      <m:t>Score</m:t>
                    </m:r>
                  </m:sub>
                </m:sSub>
              </m:oMath>
            </m:oMathPara>
          </w:p>
        </w:tc>
        <w:tc>
          <w:tcPr>
            <w:tcW w:w="767" w:type="dxa"/>
            <w:vAlign w:val="center"/>
          </w:tcPr>
          <w:p w:rsidR="00443F42" w:rsidRPr="00585421" w:rsidRDefault="00443F42" w:rsidP="00F92C9E">
            <w:pPr>
              <w:spacing w:line="240" w:lineRule="auto"/>
              <w:ind w:firstLine="0"/>
              <w:jc w:val="center"/>
              <w:rPr>
                <w:rFonts w:cs="Times New Roman"/>
                <w:sz w:val="20"/>
                <w:szCs w:val="20"/>
              </w:rPr>
            </w:pPr>
            <w:r w:rsidRPr="00585421">
              <w:rPr>
                <w:rFonts w:cs="Times New Roman"/>
                <w:b/>
                <w:sz w:val="20"/>
                <w:szCs w:val="20"/>
              </w:rPr>
              <w:t>MCC</w:t>
            </w:r>
          </w:p>
        </w:tc>
      </w:tr>
      <w:tr w:rsidR="00443F42" w:rsidRPr="00585421" w:rsidTr="008E5647">
        <w:trPr>
          <w:trHeight w:val="289"/>
          <w:jc w:val="center"/>
        </w:trPr>
        <w:tc>
          <w:tcPr>
            <w:tcW w:w="0" w:type="auto"/>
            <w:gridSpan w:val="6"/>
            <w:vAlign w:val="center"/>
          </w:tcPr>
          <w:p w:rsidR="00443F42" w:rsidRPr="00585421" w:rsidRDefault="008516E2" w:rsidP="00F92C9E">
            <w:pPr>
              <w:spacing w:line="240" w:lineRule="auto"/>
              <w:ind w:firstLine="0"/>
              <w:jc w:val="center"/>
              <w:rPr>
                <w:rFonts w:cs="Times New Roman"/>
                <w:sz w:val="20"/>
                <w:szCs w:val="20"/>
              </w:rPr>
            </w:pPr>
            <w:r>
              <w:rPr>
                <w:rFonts w:cs="Times New Roman"/>
                <w:b/>
                <w:sz w:val="20"/>
                <w:szCs w:val="20"/>
              </w:rPr>
              <w:t>TRP</w:t>
            </w:r>
            <w:r w:rsidR="00443F42" w:rsidRPr="00585421">
              <w:rPr>
                <w:rFonts w:cs="Times New Roman"/>
                <w:b/>
                <w:sz w:val="20"/>
                <w:szCs w:val="20"/>
              </w:rPr>
              <w:t xml:space="preserve"> (70%)</w:t>
            </w:r>
          </w:p>
        </w:tc>
      </w:tr>
      <w:tr w:rsidR="00443F42" w:rsidRPr="00585421" w:rsidTr="008E5647">
        <w:trPr>
          <w:trHeight w:val="277"/>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Normal</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97.68</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97.62</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97.68</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97.65</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95.31</w:t>
            </w:r>
          </w:p>
        </w:tc>
      </w:tr>
      <w:tr w:rsidR="00443F42" w:rsidRPr="00585421" w:rsidTr="008E5647">
        <w:trPr>
          <w:trHeight w:val="289"/>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Attack</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97.64</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97.69</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97.64</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97.66</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95.31</w:t>
            </w:r>
          </w:p>
        </w:tc>
      </w:tr>
      <w:tr w:rsidR="00443F42" w:rsidRPr="00585421" w:rsidTr="008E5647">
        <w:trPr>
          <w:trHeight w:val="289"/>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Average</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97.66</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97.66</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97.66</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97.66</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95.31</w:t>
            </w:r>
          </w:p>
        </w:tc>
      </w:tr>
      <w:tr w:rsidR="00443F42" w:rsidRPr="00585421" w:rsidTr="008E5647">
        <w:trPr>
          <w:trHeight w:val="277"/>
          <w:jc w:val="center"/>
        </w:trPr>
        <w:tc>
          <w:tcPr>
            <w:tcW w:w="0" w:type="auto"/>
            <w:gridSpan w:val="6"/>
            <w:vAlign w:val="center"/>
          </w:tcPr>
          <w:p w:rsidR="00443F42" w:rsidRPr="00585421" w:rsidRDefault="008516E2" w:rsidP="00F92C9E">
            <w:pPr>
              <w:spacing w:line="240" w:lineRule="auto"/>
              <w:ind w:firstLine="0"/>
              <w:jc w:val="center"/>
              <w:rPr>
                <w:rFonts w:cs="Times New Roman"/>
                <w:sz w:val="20"/>
                <w:szCs w:val="20"/>
              </w:rPr>
            </w:pPr>
            <w:r>
              <w:rPr>
                <w:rFonts w:cs="Times New Roman"/>
                <w:b/>
                <w:sz w:val="20"/>
                <w:szCs w:val="20"/>
              </w:rPr>
              <w:t>TSP</w:t>
            </w:r>
            <w:r w:rsidR="00443F42" w:rsidRPr="00585421">
              <w:rPr>
                <w:rFonts w:cs="Times New Roman"/>
                <w:b/>
                <w:sz w:val="20"/>
                <w:szCs w:val="20"/>
              </w:rPr>
              <w:t xml:space="preserve"> (30%)</w:t>
            </w:r>
          </w:p>
        </w:tc>
      </w:tr>
      <w:tr w:rsidR="00443F42" w:rsidRPr="00585421" w:rsidTr="008E5647">
        <w:trPr>
          <w:trHeight w:val="289"/>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Normal</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97.95</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97.63</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97.95</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97.79</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95.53</w:t>
            </w:r>
          </w:p>
        </w:tc>
      </w:tr>
      <w:tr w:rsidR="00443F42" w:rsidRPr="00585421" w:rsidTr="008E5647">
        <w:trPr>
          <w:trHeight w:val="289"/>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Attack</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97.58</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97.91</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97.58</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97.74</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95.53</w:t>
            </w:r>
          </w:p>
        </w:tc>
      </w:tr>
      <w:tr w:rsidR="00443F42" w:rsidRPr="00585421" w:rsidTr="008E5647">
        <w:trPr>
          <w:trHeight w:val="277"/>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Average</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97.77</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97.77</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97.77</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97.77</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95.53</w:t>
            </w:r>
          </w:p>
        </w:tc>
      </w:tr>
    </w:tbl>
    <w:p w:rsidR="00443F42" w:rsidRDefault="00443F42" w:rsidP="00443F42">
      <w:pPr>
        <w:rPr>
          <w:rFonts w:eastAsiaTheme="minorEastAsia"/>
        </w:rPr>
      </w:pPr>
      <w:r w:rsidRPr="00585421">
        <w:t xml:space="preserve">Table </w:t>
      </w:r>
      <w:r w:rsidR="008516E2">
        <w:t>2</w:t>
      </w:r>
      <w:r w:rsidRPr="00585421">
        <w:t xml:space="preserve"> demonstrates an </w:t>
      </w:r>
      <w:r w:rsidR="00E030BD">
        <w:t>extensive</w:t>
      </w:r>
      <w:r w:rsidRPr="00585421">
        <w:t xml:space="preserve"> IDS </w:t>
      </w:r>
      <w:r w:rsidR="006F1F14">
        <w:t>output</w:t>
      </w:r>
      <w:r w:rsidRPr="00585421">
        <w:t xml:space="preserve"> of the SOADL-ID algorithm on the KDD_cup99</w:t>
      </w:r>
      <w:r w:rsidR="008946DE">
        <w:t>database</w:t>
      </w:r>
      <w:r w:rsidRPr="00585421">
        <w:t xml:space="preserve">. The SOADL-ID system properly identified the normal and attack samples. On 70% of TR set, the SOADL-ID method attains average </w:t>
      </w:r>
      <m:oMath>
        <m:r>
          <w:rPr>
            <w:rFonts w:ascii="Cambria Math" w:hAnsi="Cambria Math"/>
          </w:rPr>
          <m:t>acc</m:t>
        </m:r>
        <m:sSub>
          <m:sSubPr>
            <m:ctrlPr>
              <w:rPr>
                <w:rFonts w:ascii="Cambria Math" w:hAnsi="Cambria Math"/>
                <w:i/>
              </w:rPr>
            </m:ctrlPr>
          </m:sSubPr>
          <m:e>
            <m:r>
              <w:rPr>
                <w:rFonts w:ascii="Cambria Math" w:hAnsi="Cambria Math"/>
              </w:rPr>
              <m:t>u</m:t>
            </m:r>
          </m:e>
          <m:sub>
            <m:r>
              <w:rPr>
                <w:rFonts w:ascii="Cambria Math" w:hAnsi="Cambria Math"/>
              </w:rPr>
              <m:t>y</m:t>
            </m:r>
          </m:sub>
        </m:sSub>
      </m:oMath>
      <w:r w:rsidRPr="00585421">
        <w:rPr>
          <w:rFonts w:eastAsiaTheme="minorEastAsia"/>
        </w:rPr>
        <w:t xml:space="preserve">, </w:t>
      </w:r>
      <m:oMath>
        <m:r>
          <w:rPr>
            <w:rFonts w:ascii="Cambria Math" w:eastAsiaTheme="minorEastAsia" w:hAnsi="Cambria Math"/>
          </w:rPr>
          <m:t>pre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sidRPr="00585421">
        <w:rPr>
          <w:rFonts w:eastAsiaTheme="minorEastAsia"/>
        </w:rPr>
        <w:t xml:space="preserve">, </w:t>
      </w:r>
      <m:oMath>
        <m:r>
          <w:rPr>
            <w:rFonts w:ascii="Cambria Math" w:eastAsiaTheme="minorEastAsia" w:hAnsi="Cambria Math"/>
          </w:rPr>
          <m:t>rec</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l</m:t>
            </m:r>
          </m:sub>
        </m:sSub>
      </m:oMath>
      <w:r w:rsidRPr="0058542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score</m:t>
            </m:r>
          </m:sub>
        </m:sSub>
      </m:oMath>
      <w:r w:rsidRPr="00585421">
        <w:rPr>
          <w:rFonts w:eastAsiaTheme="minorEastAsia"/>
        </w:rPr>
        <w:t>, and MCC of 95.82%, 95.89%, 95.82%, 95.81%, and 91.70% respectively. Next,</w:t>
      </w:r>
      <w:r w:rsidRPr="00585421">
        <w:t xml:space="preserve"> on 30% of TS set, the SOADL-ID method obtains average </w:t>
      </w:r>
      <m:oMath>
        <m:r>
          <w:rPr>
            <w:rFonts w:ascii="Cambria Math" w:hAnsi="Cambria Math"/>
          </w:rPr>
          <m:t>acc</m:t>
        </m:r>
        <m:sSub>
          <m:sSubPr>
            <m:ctrlPr>
              <w:rPr>
                <w:rFonts w:ascii="Cambria Math" w:hAnsi="Cambria Math"/>
                <w:i/>
              </w:rPr>
            </m:ctrlPr>
          </m:sSubPr>
          <m:e>
            <m:r>
              <w:rPr>
                <w:rFonts w:ascii="Cambria Math" w:hAnsi="Cambria Math"/>
              </w:rPr>
              <m:t>u</m:t>
            </m:r>
          </m:e>
          <m:sub>
            <m:r>
              <w:rPr>
                <w:rFonts w:ascii="Cambria Math" w:hAnsi="Cambria Math"/>
              </w:rPr>
              <m:t>y</m:t>
            </m:r>
          </m:sub>
        </m:sSub>
      </m:oMath>
      <w:r w:rsidRPr="00585421">
        <w:rPr>
          <w:rFonts w:eastAsiaTheme="minorEastAsia"/>
        </w:rPr>
        <w:t xml:space="preserve">, </w:t>
      </w:r>
      <m:oMath>
        <m:r>
          <w:rPr>
            <w:rFonts w:ascii="Cambria Math" w:eastAsiaTheme="minorEastAsia" w:hAnsi="Cambria Math"/>
          </w:rPr>
          <m:t>pre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sidRPr="00585421">
        <w:rPr>
          <w:rFonts w:eastAsiaTheme="minorEastAsia"/>
        </w:rPr>
        <w:t xml:space="preserve">, </w:t>
      </w:r>
      <m:oMath>
        <m:r>
          <w:rPr>
            <w:rFonts w:ascii="Cambria Math" w:eastAsiaTheme="minorEastAsia" w:hAnsi="Cambria Math"/>
          </w:rPr>
          <m:t>rec</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l</m:t>
            </m:r>
          </m:sub>
        </m:sSub>
      </m:oMath>
      <w:r w:rsidRPr="0058542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score</m:t>
            </m:r>
          </m:sub>
        </m:sSub>
      </m:oMath>
      <w:r w:rsidRPr="00585421">
        <w:rPr>
          <w:rFonts w:eastAsiaTheme="minorEastAsia"/>
        </w:rPr>
        <w:t>, and MCC of 95.50%, 95.60%, 95.50%, 95.50%, and 91.10% correspondingly.</w:t>
      </w:r>
    </w:p>
    <w:p w:rsidR="00F92C9E" w:rsidRDefault="00F92C9E" w:rsidP="00443F42">
      <w:pPr>
        <w:rPr>
          <w:rFonts w:eastAsiaTheme="minorEastAsia"/>
        </w:rPr>
      </w:pPr>
    </w:p>
    <w:p w:rsidR="00F92C9E" w:rsidRDefault="00F92C9E" w:rsidP="00F92C9E">
      <w:pPr>
        <w:pStyle w:val="TableHeading"/>
      </w:pPr>
      <w:bookmarkStart w:id="1" w:name="_GoBack"/>
      <w:bookmarkEnd w:id="1"/>
      <w:r w:rsidRPr="00585421">
        <w:t xml:space="preserve">TABLE </w:t>
      </w:r>
      <w:r>
        <w:t>II</w:t>
      </w:r>
    </w:p>
    <w:p w:rsidR="00443F42" w:rsidRPr="00585421" w:rsidRDefault="00F92C9E" w:rsidP="00F92C9E">
      <w:pPr>
        <w:pStyle w:val="TableHeading"/>
      </w:pPr>
      <w:r w:rsidRPr="00585421">
        <w:t xml:space="preserve">IDS OUTCOME OF SOADL-ID APPROACH ON KDD_CUP99 DATASET </w:t>
      </w:r>
    </w:p>
    <w:tbl>
      <w:tblPr>
        <w:tblStyle w:val="TableGrid"/>
        <w:tblW w:w="4949" w:type="dxa"/>
        <w:jc w:val="center"/>
        <w:tblLook w:val="04A0"/>
      </w:tblPr>
      <w:tblGrid>
        <w:gridCol w:w="967"/>
        <w:gridCol w:w="821"/>
        <w:gridCol w:w="820"/>
        <w:gridCol w:w="802"/>
        <w:gridCol w:w="788"/>
        <w:gridCol w:w="751"/>
      </w:tblGrid>
      <w:tr w:rsidR="00443F42" w:rsidRPr="00585421" w:rsidTr="008E5647">
        <w:trPr>
          <w:trHeight w:val="317"/>
          <w:jc w:val="center"/>
        </w:trPr>
        <w:tc>
          <w:tcPr>
            <w:tcW w:w="4949" w:type="dxa"/>
            <w:gridSpan w:val="6"/>
            <w:vAlign w:val="center"/>
          </w:tcPr>
          <w:p w:rsidR="00443F42" w:rsidRPr="00585421" w:rsidRDefault="00443F42" w:rsidP="00F92C9E">
            <w:pPr>
              <w:spacing w:line="240" w:lineRule="auto"/>
              <w:ind w:firstLine="0"/>
              <w:jc w:val="center"/>
              <w:rPr>
                <w:rFonts w:cs="Times New Roman"/>
                <w:b/>
                <w:sz w:val="20"/>
                <w:szCs w:val="20"/>
              </w:rPr>
            </w:pPr>
            <w:r w:rsidRPr="00585421">
              <w:rPr>
                <w:rFonts w:cs="Times New Roman"/>
                <w:b/>
                <w:sz w:val="20"/>
                <w:szCs w:val="20"/>
              </w:rPr>
              <w:t>KDD_cup99</w:t>
            </w:r>
          </w:p>
        </w:tc>
      </w:tr>
      <w:tr w:rsidR="00443F42" w:rsidRPr="00585421" w:rsidTr="008E5647">
        <w:trPr>
          <w:trHeight w:val="317"/>
          <w:jc w:val="center"/>
        </w:trPr>
        <w:tc>
          <w:tcPr>
            <w:tcW w:w="967" w:type="dxa"/>
            <w:vAlign w:val="center"/>
          </w:tcPr>
          <w:p w:rsidR="00443F42" w:rsidRPr="00585421" w:rsidRDefault="00443F42" w:rsidP="00F92C9E">
            <w:pPr>
              <w:spacing w:line="240" w:lineRule="auto"/>
              <w:ind w:firstLine="0"/>
              <w:jc w:val="center"/>
              <w:rPr>
                <w:rFonts w:cs="Times New Roman"/>
                <w:sz w:val="20"/>
                <w:szCs w:val="20"/>
              </w:rPr>
            </w:pPr>
            <w:r w:rsidRPr="00585421">
              <w:rPr>
                <w:rFonts w:cs="Times New Roman"/>
                <w:b/>
                <w:sz w:val="20"/>
                <w:szCs w:val="20"/>
              </w:rPr>
              <w:t>Class Labels</w:t>
            </w:r>
          </w:p>
        </w:tc>
        <w:tc>
          <w:tcPr>
            <w:tcW w:w="821" w:type="dxa"/>
            <w:vAlign w:val="center"/>
          </w:tcPr>
          <w:p w:rsidR="00443F42" w:rsidRPr="00585421" w:rsidRDefault="00443F42" w:rsidP="00F92C9E">
            <w:pPr>
              <w:spacing w:line="240" w:lineRule="auto"/>
              <w:ind w:firstLine="0"/>
              <w:jc w:val="center"/>
              <w:rPr>
                <w:rFonts w:cs="Times New Roman"/>
                <w:sz w:val="20"/>
                <w:szCs w:val="20"/>
              </w:rPr>
            </w:pPr>
            <m:oMathPara>
              <m:oMath>
                <m:r>
                  <m:rPr>
                    <m:sty m:val="bi"/>
                  </m:rPr>
                  <w:rPr>
                    <w:rFonts w:ascii="Cambria Math" w:hAnsi="Cambria Math" w:cs="Times New Roman"/>
                    <w:sz w:val="20"/>
                    <w:szCs w:val="20"/>
                  </w:rPr>
                  <m:t>Acc</m:t>
                </m:r>
                <m:sSub>
                  <m:sSubPr>
                    <m:ctrlPr>
                      <w:rPr>
                        <w:rFonts w:ascii="Cambria Math" w:hAnsi="Cambria Math" w:cs="Times New Roman"/>
                        <w:b/>
                        <w:i/>
                        <w:sz w:val="20"/>
                        <w:szCs w:val="20"/>
                      </w:rPr>
                    </m:ctrlPr>
                  </m:sSubPr>
                  <m:e>
                    <m:r>
                      <m:rPr>
                        <m:sty m:val="bi"/>
                      </m:rPr>
                      <w:rPr>
                        <w:rFonts w:ascii="Cambria Math" w:hAnsi="Cambria Math" w:cs="Times New Roman"/>
                        <w:sz w:val="20"/>
                        <w:szCs w:val="20"/>
                      </w:rPr>
                      <m:t>u</m:t>
                    </m:r>
                  </m:e>
                  <m:sub>
                    <m:r>
                      <m:rPr>
                        <m:sty m:val="bi"/>
                      </m:rPr>
                      <w:rPr>
                        <w:rFonts w:ascii="Cambria Math" w:hAnsi="Cambria Math" w:cs="Times New Roman"/>
                        <w:sz w:val="20"/>
                        <w:szCs w:val="20"/>
                      </w:rPr>
                      <m:t>y</m:t>
                    </m:r>
                  </m:sub>
                </m:sSub>
              </m:oMath>
            </m:oMathPara>
          </w:p>
        </w:tc>
        <w:tc>
          <w:tcPr>
            <w:tcW w:w="820" w:type="dxa"/>
            <w:vAlign w:val="center"/>
          </w:tcPr>
          <w:p w:rsidR="00443F42" w:rsidRPr="00585421" w:rsidRDefault="00443F42" w:rsidP="00F92C9E">
            <w:pPr>
              <w:spacing w:line="240" w:lineRule="auto"/>
              <w:ind w:firstLine="0"/>
              <w:jc w:val="center"/>
              <w:rPr>
                <w:rFonts w:cs="Times New Roman"/>
                <w:sz w:val="20"/>
                <w:szCs w:val="20"/>
              </w:rPr>
            </w:pPr>
            <m:oMathPara>
              <m:oMath>
                <m:r>
                  <m:rPr>
                    <m:sty m:val="bi"/>
                  </m:rPr>
                  <w:rPr>
                    <w:rFonts w:ascii="Cambria Math" w:hAnsi="Cambria Math" w:cs="Times New Roman"/>
                    <w:sz w:val="20"/>
                    <w:szCs w:val="20"/>
                  </w:rPr>
                  <m:t>Pre</m:t>
                </m:r>
                <m:sSub>
                  <m:sSubPr>
                    <m:ctrlPr>
                      <w:rPr>
                        <w:rFonts w:ascii="Cambria Math" w:hAnsi="Cambria Math" w:cs="Times New Roman"/>
                        <w:b/>
                        <w:i/>
                        <w:sz w:val="20"/>
                        <w:szCs w:val="20"/>
                      </w:rPr>
                    </m:ctrlPr>
                  </m:sSubPr>
                  <m:e>
                    <m:r>
                      <m:rPr>
                        <m:sty m:val="bi"/>
                      </m:rPr>
                      <w:rPr>
                        <w:rFonts w:ascii="Cambria Math" w:hAnsi="Cambria Math" w:cs="Times New Roman"/>
                        <w:sz w:val="20"/>
                        <w:szCs w:val="20"/>
                      </w:rPr>
                      <m:t>c</m:t>
                    </m:r>
                  </m:e>
                  <m:sub>
                    <m:r>
                      <m:rPr>
                        <m:sty m:val="bi"/>
                      </m:rPr>
                      <w:rPr>
                        <w:rFonts w:ascii="Cambria Math" w:hAnsi="Cambria Math" w:cs="Times New Roman"/>
                        <w:sz w:val="20"/>
                        <w:szCs w:val="20"/>
                      </w:rPr>
                      <m:t>n</m:t>
                    </m:r>
                  </m:sub>
                </m:sSub>
              </m:oMath>
            </m:oMathPara>
          </w:p>
        </w:tc>
        <w:tc>
          <w:tcPr>
            <w:tcW w:w="802" w:type="dxa"/>
            <w:vAlign w:val="center"/>
          </w:tcPr>
          <w:p w:rsidR="00443F42" w:rsidRPr="00585421" w:rsidRDefault="00443F42" w:rsidP="00F92C9E">
            <w:pPr>
              <w:spacing w:line="240" w:lineRule="auto"/>
              <w:ind w:firstLine="0"/>
              <w:jc w:val="center"/>
              <w:rPr>
                <w:rFonts w:cs="Times New Roman"/>
                <w:sz w:val="20"/>
                <w:szCs w:val="20"/>
              </w:rPr>
            </w:pPr>
            <m:oMathPara>
              <m:oMath>
                <m:r>
                  <m:rPr>
                    <m:sty m:val="bi"/>
                  </m:rPr>
                  <w:rPr>
                    <w:rFonts w:ascii="Cambria Math" w:hAnsi="Cambria Math" w:cs="Times New Roman"/>
                    <w:sz w:val="20"/>
                    <w:szCs w:val="20"/>
                  </w:rPr>
                  <m:t>Rec</m:t>
                </m:r>
                <m:sSub>
                  <m:sSubPr>
                    <m:ctrlPr>
                      <w:rPr>
                        <w:rFonts w:ascii="Cambria Math" w:hAnsi="Cambria Math" w:cs="Times New Roman"/>
                        <w:b/>
                        <w:i/>
                        <w:sz w:val="20"/>
                        <w:szCs w:val="20"/>
                      </w:rPr>
                    </m:ctrlPr>
                  </m:sSubPr>
                  <m:e>
                    <m:r>
                      <m:rPr>
                        <m:sty m:val="bi"/>
                      </m:rPr>
                      <w:rPr>
                        <w:rFonts w:ascii="Cambria Math" w:hAnsi="Cambria Math" w:cs="Times New Roman"/>
                        <w:sz w:val="20"/>
                        <w:szCs w:val="20"/>
                      </w:rPr>
                      <m:t>a</m:t>
                    </m:r>
                  </m:e>
                  <m:sub>
                    <m:r>
                      <m:rPr>
                        <m:sty m:val="bi"/>
                      </m:rPr>
                      <w:rPr>
                        <w:rFonts w:ascii="Cambria Math" w:hAnsi="Cambria Math" w:cs="Times New Roman"/>
                        <w:sz w:val="20"/>
                        <w:szCs w:val="20"/>
                      </w:rPr>
                      <m:t>l</m:t>
                    </m:r>
                  </m:sub>
                </m:sSub>
              </m:oMath>
            </m:oMathPara>
          </w:p>
        </w:tc>
        <w:tc>
          <w:tcPr>
            <w:tcW w:w="788" w:type="dxa"/>
            <w:vAlign w:val="center"/>
          </w:tcPr>
          <w:p w:rsidR="00443F42" w:rsidRPr="00585421" w:rsidRDefault="008978B0" w:rsidP="00F92C9E">
            <w:pPr>
              <w:spacing w:line="240" w:lineRule="auto"/>
              <w:ind w:firstLine="0"/>
              <w:jc w:val="center"/>
              <w:rPr>
                <w:rFonts w:cs="Times New Roman"/>
                <w:sz w:val="20"/>
                <w:szCs w:val="20"/>
              </w:rPr>
            </w:pPr>
            <m:oMathPara>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F</m:t>
                    </m:r>
                  </m:e>
                  <m:sub>
                    <m:r>
                      <m:rPr>
                        <m:sty m:val="bi"/>
                      </m:rPr>
                      <w:rPr>
                        <w:rFonts w:ascii="Cambria Math" w:hAnsi="Cambria Math" w:cs="Times New Roman"/>
                        <w:sz w:val="20"/>
                        <w:szCs w:val="20"/>
                      </w:rPr>
                      <m:t>Score</m:t>
                    </m:r>
                  </m:sub>
                </m:sSub>
              </m:oMath>
            </m:oMathPara>
          </w:p>
        </w:tc>
        <w:tc>
          <w:tcPr>
            <w:tcW w:w="748" w:type="dxa"/>
            <w:vAlign w:val="center"/>
          </w:tcPr>
          <w:p w:rsidR="00443F42" w:rsidRPr="00585421" w:rsidRDefault="00443F42" w:rsidP="00F92C9E">
            <w:pPr>
              <w:spacing w:line="240" w:lineRule="auto"/>
              <w:ind w:firstLine="0"/>
              <w:jc w:val="center"/>
              <w:rPr>
                <w:rFonts w:cs="Times New Roman"/>
                <w:sz w:val="20"/>
                <w:szCs w:val="20"/>
              </w:rPr>
            </w:pPr>
            <w:r w:rsidRPr="00585421">
              <w:rPr>
                <w:rFonts w:cs="Times New Roman"/>
                <w:b/>
                <w:sz w:val="20"/>
                <w:szCs w:val="20"/>
              </w:rPr>
              <w:t>MCC</w:t>
            </w:r>
          </w:p>
        </w:tc>
      </w:tr>
      <w:tr w:rsidR="00443F42" w:rsidRPr="00585421" w:rsidTr="008E5647">
        <w:trPr>
          <w:trHeight w:val="317"/>
          <w:jc w:val="center"/>
        </w:trPr>
        <w:tc>
          <w:tcPr>
            <w:tcW w:w="4949" w:type="dxa"/>
            <w:gridSpan w:val="6"/>
            <w:vAlign w:val="center"/>
          </w:tcPr>
          <w:p w:rsidR="00443F42" w:rsidRPr="00585421" w:rsidRDefault="008516E2" w:rsidP="00F92C9E">
            <w:pPr>
              <w:spacing w:line="240" w:lineRule="auto"/>
              <w:ind w:firstLine="0"/>
              <w:jc w:val="center"/>
              <w:rPr>
                <w:rFonts w:cs="Times New Roman"/>
                <w:sz w:val="20"/>
                <w:szCs w:val="20"/>
              </w:rPr>
            </w:pPr>
            <w:r>
              <w:rPr>
                <w:rFonts w:cs="Times New Roman"/>
                <w:b/>
                <w:sz w:val="20"/>
                <w:szCs w:val="20"/>
              </w:rPr>
              <w:t>TRP</w:t>
            </w:r>
            <w:r w:rsidR="00443F42" w:rsidRPr="00585421">
              <w:rPr>
                <w:rFonts w:cs="Times New Roman"/>
                <w:b/>
                <w:sz w:val="20"/>
                <w:szCs w:val="20"/>
              </w:rPr>
              <w:t xml:space="preserve"> (70%)</w:t>
            </w:r>
          </w:p>
        </w:tc>
      </w:tr>
      <w:tr w:rsidR="00443F42" w:rsidRPr="00585421" w:rsidTr="008E5647">
        <w:trPr>
          <w:trHeight w:val="317"/>
          <w:jc w:val="center"/>
        </w:trPr>
        <w:tc>
          <w:tcPr>
            <w:tcW w:w="967" w:type="dxa"/>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Normal</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97.83</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94.04</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97.83</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95.89</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91.70</w:t>
            </w:r>
          </w:p>
        </w:tc>
      </w:tr>
      <w:tr w:rsidR="00443F42" w:rsidRPr="00585421" w:rsidTr="008E5647">
        <w:trPr>
          <w:trHeight w:val="317"/>
          <w:jc w:val="center"/>
        </w:trPr>
        <w:tc>
          <w:tcPr>
            <w:tcW w:w="967" w:type="dxa"/>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Attack</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93.80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97.74</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93.80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95.73</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91.70</w:t>
            </w:r>
          </w:p>
        </w:tc>
      </w:tr>
      <w:tr w:rsidR="00443F42" w:rsidRPr="00585421" w:rsidTr="008E5647">
        <w:trPr>
          <w:trHeight w:val="317"/>
          <w:jc w:val="center"/>
        </w:trPr>
        <w:tc>
          <w:tcPr>
            <w:tcW w:w="967" w:type="dxa"/>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Average</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95.82</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95.89</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95.82</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95.81</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91.70</w:t>
            </w:r>
          </w:p>
        </w:tc>
      </w:tr>
      <w:tr w:rsidR="00443F42" w:rsidRPr="00585421" w:rsidTr="008E5647">
        <w:trPr>
          <w:trHeight w:val="317"/>
          <w:jc w:val="center"/>
        </w:trPr>
        <w:tc>
          <w:tcPr>
            <w:tcW w:w="4949" w:type="dxa"/>
            <w:gridSpan w:val="6"/>
            <w:vAlign w:val="center"/>
          </w:tcPr>
          <w:p w:rsidR="00443F42" w:rsidRPr="00585421" w:rsidRDefault="008516E2" w:rsidP="00F92C9E">
            <w:pPr>
              <w:spacing w:line="240" w:lineRule="auto"/>
              <w:ind w:firstLine="0"/>
              <w:jc w:val="center"/>
              <w:rPr>
                <w:rFonts w:cs="Times New Roman"/>
                <w:sz w:val="20"/>
                <w:szCs w:val="20"/>
              </w:rPr>
            </w:pPr>
            <w:r>
              <w:rPr>
                <w:rFonts w:cs="Times New Roman"/>
                <w:b/>
                <w:sz w:val="20"/>
                <w:szCs w:val="20"/>
              </w:rPr>
              <w:t>TSP</w:t>
            </w:r>
            <w:r w:rsidR="00443F42" w:rsidRPr="00585421">
              <w:rPr>
                <w:rFonts w:cs="Times New Roman"/>
                <w:b/>
                <w:sz w:val="20"/>
                <w:szCs w:val="20"/>
              </w:rPr>
              <w:t xml:space="preserve"> (30%)</w:t>
            </w:r>
          </w:p>
        </w:tc>
      </w:tr>
      <w:tr w:rsidR="00443F42" w:rsidRPr="00585421" w:rsidTr="008E5647">
        <w:trPr>
          <w:trHeight w:val="317"/>
          <w:jc w:val="center"/>
        </w:trPr>
        <w:tc>
          <w:tcPr>
            <w:tcW w:w="967" w:type="dxa"/>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Normal</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97.87</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93.45</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97.87</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95.61</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91.10</w:t>
            </w:r>
          </w:p>
        </w:tc>
      </w:tr>
      <w:tr w:rsidR="00443F42" w:rsidRPr="00585421" w:rsidTr="008E5647">
        <w:trPr>
          <w:trHeight w:val="317"/>
          <w:jc w:val="center"/>
        </w:trPr>
        <w:tc>
          <w:tcPr>
            <w:tcW w:w="967" w:type="dxa"/>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Attack</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93.12</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97.76</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93.12</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95.38</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91.10</w:t>
            </w:r>
          </w:p>
        </w:tc>
      </w:tr>
      <w:tr w:rsidR="00443F42" w:rsidRPr="00585421" w:rsidTr="008E5647">
        <w:trPr>
          <w:trHeight w:val="317"/>
          <w:jc w:val="center"/>
        </w:trPr>
        <w:tc>
          <w:tcPr>
            <w:tcW w:w="967" w:type="dxa"/>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Average</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95.50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95.60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95.50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95.50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91.10</w:t>
            </w:r>
          </w:p>
        </w:tc>
      </w:tr>
    </w:tbl>
    <w:p w:rsidR="00F92C9E" w:rsidRDefault="00F92C9E" w:rsidP="00443F42"/>
    <w:p w:rsidR="008F286E" w:rsidRDefault="008F286E" w:rsidP="00F92C9E">
      <w:pPr>
        <w:pStyle w:val="TableHeading"/>
      </w:pPr>
    </w:p>
    <w:p w:rsidR="008F286E" w:rsidRDefault="008F286E" w:rsidP="00F92C9E">
      <w:pPr>
        <w:pStyle w:val="TableHeading"/>
      </w:pPr>
    </w:p>
    <w:p w:rsidR="008F286E" w:rsidRDefault="008F286E" w:rsidP="00F92C9E">
      <w:pPr>
        <w:pStyle w:val="TableHeading"/>
      </w:pPr>
    </w:p>
    <w:p w:rsidR="008F286E" w:rsidRDefault="008F286E" w:rsidP="00F92C9E">
      <w:pPr>
        <w:pStyle w:val="TableHeading"/>
      </w:pPr>
    </w:p>
    <w:p w:rsidR="008F286E" w:rsidRDefault="008F286E" w:rsidP="00F92C9E">
      <w:pPr>
        <w:pStyle w:val="TableHeading"/>
      </w:pPr>
    </w:p>
    <w:p w:rsidR="00F92C9E" w:rsidRDefault="00F92C9E" w:rsidP="00F92C9E">
      <w:pPr>
        <w:pStyle w:val="TableHeading"/>
      </w:pPr>
      <w:r w:rsidRPr="00585421">
        <w:lastRenderedPageBreak/>
        <w:t xml:space="preserve">TABLE </w:t>
      </w:r>
      <w:r>
        <w:t>I</w:t>
      </w:r>
      <w:r w:rsidR="008516E2">
        <w:t>II</w:t>
      </w:r>
    </w:p>
    <w:p w:rsidR="00443F42" w:rsidRPr="00585421" w:rsidRDefault="00F92C9E" w:rsidP="00F92C9E">
      <w:pPr>
        <w:pStyle w:val="TableHeading"/>
      </w:pPr>
      <w:r w:rsidRPr="00585421">
        <w:t xml:space="preserve">IDS OUTCOME OF SOADL-ID APPROACH ON NSL-KDD DATASET </w:t>
      </w:r>
    </w:p>
    <w:tbl>
      <w:tblPr>
        <w:tblStyle w:val="TableGrid"/>
        <w:tblW w:w="4966" w:type="dxa"/>
        <w:jc w:val="center"/>
        <w:tblLook w:val="04A0"/>
      </w:tblPr>
      <w:tblGrid>
        <w:gridCol w:w="958"/>
        <w:gridCol w:w="825"/>
        <w:gridCol w:w="824"/>
        <w:gridCol w:w="807"/>
        <w:gridCol w:w="793"/>
        <w:gridCol w:w="759"/>
      </w:tblGrid>
      <w:tr w:rsidR="00443F42" w:rsidRPr="00585421" w:rsidTr="008E5647">
        <w:trPr>
          <w:trHeight w:val="317"/>
          <w:jc w:val="center"/>
        </w:trPr>
        <w:tc>
          <w:tcPr>
            <w:tcW w:w="4966" w:type="dxa"/>
            <w:gridSpan w:val="6"/>
            <w:vAlign w:val="center"/>
          </w:tcPr>
          <w:p w:rsidR="00443F42" w:rsidRPr="00585421" w:rsidRDefault="00443F42" w:rsidP="00F92C9E">
            <w:pPr>
              <w:spacing w:line="240" w:lineRule="auto"/>
              <w:ind w:firstLine="0"/>
              <w:jc w:val="center"/>
              <w:rPr>
                <w:rFonts w:cs="Times New Roman"/>
                <w:b/>
                <w:sz w:val="20"/>
                <w:szCs w:val="20"/>
              </w:rPr>
            </w:pPr>
            <w:r w:rsidRPr="00585421">
              <w:rPr>
                <w:rFonts w:cs="Times New Roman"/>
                <w:b/>
                <w:sz w:val="20"/>
                <w:szCs w:val="20"/>
              </w:rPr>
              <w:t>NSL-KDD</w:t>
            </w:r>
          </w:p>
        </w:tc>
      </w:tr>
      <w:tr w:rsidR="00443F42" w:rsidRPr="00585421" w:rsidTr="008E5647">
        <w:trPr>
          <w:trHeight w:val="317"/>
          <w:jc w:val="center"/>
        </w:trPr>
        <w:tc>
          <w:tcPr>
            <w:tcW w:w="958" w:type="dxa"/>
            <w:vAlign w:val="center"/>
          </w:tcPr>
          <w:p w:rsidR="00443F42" w:rsidRPr="00585421" w:rsidRDefault="00443F42" w:rsidP="00F92C9E">
            <w:pPr>
              <w:spacing w:line="240" w:lineRule="auto"/>
              <w:ind w:firstLine="0"/>
              <w:jc w:val="center"/>
              <w:rPr>
                <w:rFonts w:cs="Times New Roman"/>
                <w:sz w:val="20"/>
                <w:szCs w:val="20"/>
              </w:rPr>
            </w:pPr>
            <w:r w:rsidRPr="00585421">
              <w:rPr>
                <w:rFonts w:cs="Times New Roman"/>
                <w:b/>
                <w:sz w:val="20"/>
                <w:szCs w:val="20"/>
              </w:rPr>
              <w:t>Class</w:t>
            </w:r>
          </w:p>
        </w:tc>
        <w:tc>
          <w:tcPr>
            <w:tcW w:w="825" w:type="dxa"/>
            <w:vAlign w:val="center"/>
          </w:tcPr>
          <w:p w:rsidR="00443F42" w:rsidRPr="00585421" w:rsidRDefault="00443F42" w:rsidP="00F92C9E">
            <w:pPr>
              <w:spacing w:line="240" w:lineRule="auto"/>
              <w:ind w:firstLine="0"/>
              <w:jc w:val="center"/>
              <w:rPr>
                <w:rFonts w:cs="Times New Roman"/>
                <w:sz w:val="20"/>
                <w:szCs w:val="20"/>
              </w:rPr>
            </w:pPr>
            <m:oMathPara>
              <m:oMath>
                <m:r>
                  <m:rPr>
                    <m:sty m:val="bi"/>
                  </m:rPr>
                  <w:rPr>
                    <w:rFonts w:ascii="Cambria Math" w:hAnsi="Cambria Math" w:cs="Times New Roman"/>
                    <w:sz w:val="20"/>
                    <w:szCs w:val="20"/>
                  </w:rPr>
                  <m:t>Acc</m:t>
                </m:r>
                <m:sSub>
                  <m:sSubPr>
                    <m:ctrlPr>
                      <w:rPr>
                        <w:rFonts w:ascii="Cambria Math" w:hAnsi="Cambria Math" w:cs="Times New Roman"/>
                        <w:b/>
                        <w:i/>
                        <w:sz w:val="20"/>
                        <w:szCs w:val="20"/>
                      </w:rPr>
                    </m:ctrlPr>
                  </m:sSubPr>
                  <m:e>
                    <m:r>
                      <m:rPr>
                        <m:sty m:val="bi"/>
                      </m:rPr>
                      <w:rPr>
                        <w:rFonts w:ascii="Cambria Math" w:hAnsi="Cambria Math" w:cs="Times New Roman"/>
                        <w:sz w:val="20"/>
                        <w:szCs w:val="20"/>
                      </w:rPr>
                      <m:t>u</m:t>
                    </m:r>
                  </m:e>
                  <m:sub>
                    <m:r>
                      <m:rPr>
                        <m:sty m:val="bi"/>
                      </m:rPr>
                      <w:rPr>
                        <w:rFonts w:ascii="Cambria Math" w:hAnsi="Cambria Math" w:cs="Times New Roman"/>
                        <w:sz w:val="20"/>
                        <w:szCs w:val="20"/>
                      </w:rPr>
                      <m:t>y</m:t>
                    </m:r>
                  </m:sub>
                </m:sSub>
              </m:oMath>
            </m:oMathPara>
          </w:p>
        </w:tc>
        <w:tc>
          <w:tcPr>
            <w:tcW w:w="824" w:type="dxa"/>
            <w:vAlign w:val="center"/>
          </w:tcPr>
          <w:p w:rsidR="00443F42" w:rsidRPr="00585421" w:rsidRDefault="00443F42" w:rsidP="00F92C9E">
            <w:pPr>
              <w:spacing w:line="240" w:lineRule="auto"/>
              <w:ind w:firstLine="0"/>
              <w:jc w:val="center"/>
              <w:rPr>
                <w:rFonts w:cs="Times New Roman"/>
                <w:sz w:val="20"/>
                <w:szCs w:val="20"/>
              </w:rPr>
            </w:pPr>
            <m:oMathPara>
              <m:oMath>
                <m:r>
                  <m:rPr>
                    <m:sty m:val="bi"/>
                  </m:rPr>
                  <w:rPr>
                    <w:rFonts w:ascii="Cambria Math" w:hAnsi="Cambria Math" w:cs="Times New Roman"/>
                    <w:sz w:val="20"/>
                    <w:szCs w:val="20"/>
                  </w:rPr>
                  <m:t>Pre</m:t>
                </m:r>
                <m:sSub>
                  <m:sSubPr>
                    <m:ctrlPr>
                      <w:rPr>
                        <w:rFonts w:ascii="Cambria Math" w:hAnsi="Cambria Math" w:cs="Times New Roman"/>
                        <w:b/>
                        <w:i/>
                        <w:sz w:val="20"/>
                        <w:szCs w:val="20"/>
                      </w:rPr>
                    </m:ctrlPr>
                  </m:sSubPr>
                  <m:e>
                    <m:r>
                      <m:rPr>
                        <m:sty m:val="bi"/>
                      </m:rPr>
                      <w:rPr>
                        <w:rFonts w:ascii="Cambria Math" w:hAnsi="Cambria Math" w:cs="Times New Roman"/>
                        <w:sz w:val="20"/>
                        <w:szCs w:val="20"/>
                      </w:rPr>
                      <m:t>c</m:t>
                    </m:r>
                  </m:e>
                  <m:sub>
                    <m:r>
                      <m:rPr>
                        <m:sty m:val="bi"/>
                      </m:rPr>
                      <w:rPr>
                        <w:rFonts w:ascii="Cambria Math" w:hAnsi="Cambria Math" w:cs="Times New Roman"/>
                        <w:sz w:val="20"/>
                        <w:szCs w:val="20"/>
                      </w:rPr>
                      <m:t>n</m:t>
                    </m:r>
                  </m:sub>
                </m:sSub>
              </m:oMath>
            </m:oMathPara>
          </w:p>
        </w:tc>
        <w:tc>
          <w:tcPr>
            <w:tcW w:w="807" w:type="dxa"/>
            <w:vAlign w:val="center"/>
          </w:tcPr>
          <w:p w:rsidR="00443F42" w:rsidRPr="00585421" w:rsidRDefault="00443F42" w:rsidP="00F92C9E">
            <w:pPr>
              <w:spacing w:line="240" w:lineRule="auto"/>
              <w:ind w:firstLine="0"/>
              <w:jc w:val="center"/>
              <w:rPr>
                <w:rFonts w:cs="Times New Roman"/>
                <w:sz w:val="20"/>
                <w:szCs w:val="20"/>
              </w:rPr>
            </w:pPr>
            <m:oMathPara>
              <m:oMath>
                <m:r>
                  <m:rPr>
                    <m:sty m:val="bi"/>
                  </m:rPr>
                  <w:rPr>
                    <w:rFonts w:ascii="Cambria Math" w:hAnsi="Cambria Math" w:cs="Times New Roman"/>
                    <w:sz w:val="20"/>
                    <w:szCs w:val="20"/>
                  </w:rPr>
                  <m:t>Rec</m:t>
                </m:r>
                <m:sSub>
                  <m:sSubPr>
                    <m:ctrlPr>
                      <w:rPr>
                        <w:rFonts w:ascii="Cambria Math" w:hAnsi="Cambria Math" w:cs="Times New Roman"/>
                        <w:b/>
                        <w:i/>
                        <w:sz w:val="20"/>
                        <w:szCs w:val="20"/>
                      </w:rPr>
                    </m:ctrlPr>
                  </m:sSubPr>
                  <m:e>
                    <m:r>
                      <m:rPr>
                        <m:sty m:val="bi"/>
                      </m:rPr>
                      <w:rPr>
                        <w:rFonts w:ascii="Cambria Math" w:hAnsi="Cambria Math" w:cs="Times New Roman"/>
                        <w:sz w:val="20"/>
                        <w:szCs w:val="20"/>
                      </w:rPr>
                      <m:t>a</m:t>
                    </m:r>
                  </m:e>
                  <m:sub>
                    <m:r>
                      <m:rPr>
                        <m:sty m:val="bi"/>
                      </m:rPr>
                      <w:rPr>
                        <w:rFonts w:ascii="Cambria Math" w:hAnsi="Cambria Math" w:cs="Times New Roman"/>
                        <w:sz w:val="20"/>
                        <w:szCs w:val="20"/>
                      </w:rPr>
                      <m:t>l</m:t>
                    </m:r>
                  </m:sub>
                </m:sSub>
              </m:oMath>
            </m:oMathPara>
          </w:p>
        </w:tc>
        <w:tc>
          <w:tcPr>
            <w:tcW w:w="793" w:type="dxa"/>
            <w:vAlign w:val="center"/>
          </w:tcPr>
          <w:p w:rsidR="00443F42" w:rsidRPr="00585421" w:rsidRDefault="008978B0" w:rsidP="00F92C9E">
            <w:pPr>
              <w:spacing w:line="240" w:lineRule="auto"/>
              <w:ind w:firstLine="0"/>
              <w:jc w:val="center"/>
              <w:rPr>
                <w:rFonts w:cs="Times New Roman"/>
                <w:sz w:val="20"/>
                <w:szCs w:val="20"/>
              </w:rPr>
            </w:pPr>
            <m:oMathPara>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F</m:t>
                    </m:r>
                  </m:e>
                  <m:sub>
                    <m:r>
                      <m:rPr>
                        <m:sty m:val="bi"/>
                      </m:rPr>
                      <w:rPr>
                        <w:rFonts w:ascii="Cambria Math" w:hAnsi="Cambria Math" w:cs="Times New Roman"/>
                        <w:sz w:val="20"/>
                        <w:szCs w:val="20"/>
                      </w:rPr>
                      <m:t>Score</m:t>
                    </m:r>
                  </m:sub>
                </m:sSub>
              </m:oMath>
            </m:oMathPara>
          </w:p>
        </w:tc>
        <w:tc>
          <w:tcPr>
            <w:tcW w:w="756" w:type="dxa"/>
            <w:vAlign w:val="center"/>
          </w:tcPr>
          <w:p w:rsidR="00443F42" w:rsidRPr="00585421" w:rsidRDefault="00443F42" w:rsidP="00F92C9E">
            <w:pPr>
              <w:spacing w:line="240" w:lineRule="auto"/>
              <w:ind w:firstLine="0"/>
              <w:jc w:val="center"/>
              <w:rPr>
                <w:rFonts w:cs="Times New Roman"/>
                <w:sz w:val="20"/>
                <w:szCs w:val="20"/>
              </w:rPr>
            </w:pPr>
            <w:r w:rsidRPr="00585421">
              <w:rPr>
                <w:rFonts w:cs="Times New Roman"/>
                <w:b/>
                <w:sz w:val="20"/>
                <w:szCs w:val="20"/>
              </w:rPr>
              <w:t>MCC</w:t>
            </w:r>
          </w:p>
        </w:tc>
      </w:tr>
      <w:tr w:rsidR="00443F42" w:rsidRPr="00585421" w:rsidTr="008E5647">
        <w:trPr>
          <w:trHeight w:val="317"/>
          <w:jc w:val="center"/>
        </w:trPr>
        <w:tc>
          <w:tcPr>
            <w:tcW w:w="0" w:type="auto"/>
            <w:gridSpan w:val="6"/>
            <w:vAlign w:val="center"/>
          </w:tcPr>
          <w:p w:rsidR="00443F42" w:rsidRPr="00585421" w:rsidRDefault="008516E2" w:rsidP="00F92C9E">
            <w:pPr>
              <w:spacing w:line="240" w:lineRule="auto"/>
              <w:ind w:firstLine="0"/>
              <w:jc w:val="center"/>
              <w:rPr>
                <w:rFonts w:cs="Times New Roman"/>
                <w:sz w:val="20"/>
                <w:szCs w:val="20"/>
              </w:rPr>
            </w:pPr>
            <w:r>
              <w:rPr>
                <w:rFonts w:cs="Times New Roman"/>
                <w:b/>
                <w:sz w:val="20"/>
                <w:szCs w:val="20"/>
              </w:rPr>
              <w:t>TRP</w:t>
            </w:r>
            <w:r w:rsidR="00443F42" w:rsidRPr="00585421">
              <w:rPr>
                <w:rFonts w:cs="Times New Roman"/>
                <w:b/>
                <w:sz w:val="20"/>
                <w:szCs w:val="20"/>
              </w:rPr>
              <w:t xml:space="preserve"> (70%)</w:t>
            </w:r>
          </w:p>
        </w:tc>
      </w:tr>
      <w:tr w:rsidR="00443F42" w:rsidRPr="00585421" w:rsidTr="008E5647">
        <w:trPr>
          <w:trHeight w:val="317"/>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Normal</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97.92</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96.35</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97.92</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97.13</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94.21</w:t>
            </w:r>
          </w:p>
        </w:tc>
      </w:tr>
      <w:tr w:rsidR="00443F42" w:rsidRPr="00585421" w:rsidTr="008E5647">
        <w:trPr>
          <w:trHeight w:val="317"/>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Attack</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96.28</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97.87</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96.28</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97.07</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94.21</w:t>
            </w:r>
          </w:p>
        </w:tc>
      </w:tr>
      <w:tr w:rsidR="00443F42" w:rsidRPr="00585421" w:rsidTr="008E5647">
        <w:trPr>
          <w:trHeight w:val="317"/>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Average</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97.10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97.11</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97.10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97.10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94.21</w:t>
            </w:r>
          </w:p>
        </w:tc>
      </w:tr>
      <w:tr w:rsidR="00443F42" w:rsidRPr="00585421" w:rsidTr="008E5647">
        <w:trPr>
          <w:trHeight w:val="317"/>
          <w:jc w:val="center"/>
        </w:trPr>
        <w:tc>
          <w:tcPr>
            <w:tcW w:w="0" w:type="auto"/>
            <w:gridSpan w:val="6"/>
            <w:vAlign w:val="center"/>
          </w:tcPr>
          <w:p w:rsidR="00443F42" w:rsidRPr="00585421" w:rsidRDefault="008516E2" w:rsidP="00F92C9E">
            <w:pPr>
              <w:spacing w:line="240" w:lineRule="auto"/>
              <w:ind w:firstLine="0"/>
              <w:jc w:val="center"/>
              <w:rPr>
                <w:rFonts w:cs="Times New Roman"/>
                <w:sz w:val="20"/>
                <w:szCs w:val="20"/>
              </w:rPr>
            </w:pPr>
            <w:r>
              <w:rPr>
                <w:rFonts w:cs="Times New Roman"/>
                <w:b/>
                <w:sz w:val="20"/>
                <w:szCs w:val="20"/>
              </w:rPr>
              <w:t>TSP</w:t>
            </w:r>
            <w:r w:rsidR="00443F42" w:rsidRPr="00585421">
              <w:rPr>
                <w:rFonts w:cs="Times New Roman"/>
                <w:b/>
                <w:sz w:val="20"/>
                <w:szCs w:val="20"/>
              </w:rPr>
              <w:t xml:space="preserve"> (30%)</w:t>
            </w:r>
          </w:p>
        </w:tc>
      </w:tr>
      <w:tr w:rsidR="00443F42" w:rsidRPr="00585421" w:rsidTr="008E5647">
        <w:trPr>
          <w:trHeight w:val="317"/>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Normal</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97.59</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96.42</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97.59</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97.00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94.01</w:t>
            </w:r>
          </w:p>
        </w:tc>
      </w:tr>
      <w:tr w:rsidR="00443F42" w:rsidRPr="00585421" w:rsidTr="008E5647">
        <w:trPr>
          <w:trHeight w:val="317"/>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Attack</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96.42</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97.58</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96.42</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97.00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sz w:val="20"/>
                <w:szCs w:val="20"/>
              </w:rPr>
              <w:t>94.01</w:t>
            </w:r>
          </w:p>
        </w:tc>
      </w:tr>
      <w:tr w:rsidR="00443F42" w:rsidRPr="00585421" w:rsidTr="008E5647">
        <w:trPr>
          <w:trHeight w:val="317"/>
          <w:jc w:val="center"/>
        </w:trPr>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Average</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97.00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97.00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97.00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97.00</w:t>
            </w:r>
          </w:p>
        </w:tc>
        <w:tc>
          <w:tcPr>
            <w:tcW w:w="0" w:type="auto"/>
            <w:vAlign w:val="center"/>
          </w:tcPr>
          <w:p w:rsidR="00443F42" w:rsidRPr="00585421" w:rsidRDefault="00443F42" w:rsidP="00F92C9E">
            <w:pPr>
              <w:spacing w:line="240" w:lineRule="auto"/>
              <w:ind w:firstLine="0"/>
              <w:jc w:val="left"/>
              <w:rPr>
                <w:rFonts w:cs="Times New Roman"/>
                <w:sz w:val="20"/>
                <w:szCs w:val="20"/>
              </w:rPr>
            </w:pPr>
            <w:r w:rsidRPr="00585421">
              <w:rPr>
                <w:rFonts w:cs="Times New Roman"/>
                <w:b/>
                <w:sz w:val="20"/>
                <w:szCs w:val="20"/>
              </w:rPr>
              <w:t>94.01</w:t>
            </w:r>
          </w:p>
        </w:tc>
      </w:tr>
    </w:tbl>
    <w:p w:rsidR="00443F42" w:rsidRPr="00585421" w:rsidRDefault="00443F42" w:rsidP="00443F42"/>
    <w:p w:rsidR="008E5647" w:rsidRPr="00585421" w:rsidRDefault="008E5647" w:rsidP="008E5647">
      <w:pPr>
        <w:rPr>
          <w:rFonts w:eastAsiaTheme="minorEastAsia"/>
        </w:rPr>
      </w:pPr>
      <w:r w:rsidRPr="00585421">
        <w:t xml:space="preserve">Table </w:t>
      </w:r>
      <w:r w:rsidR="008516E2">
        <w:t>3</w:t>
      </w:r>
      <w:r w:rsidRPr="00585421">
        <w:t xml:space="preserve"> determines </w:t>
      </w:r>
      <w:r w:rsidR="008946DE">
        <w:t>entire</w:t>
      </w:r>
      <w:r w:rsidRPr="00585421">
        <w:t>IDS outcome</w:t>
      </w:r>
      <w:r w:rsidR="00CB5E51">
        <w:t>s</w:t>
      </w:r>
      <w:r w:rsidRPr="00585421">
        <w:t xml:space="preserve"> of the SOADL-ID method on the NSL-KDD </w:t>
      </w:r>
      <w:r w:rsidR="008946DE">
        <w:t>database</w:t>
      </w:r>
      <w:r w:rsidRPr="00585421">
        <w:t xml:space="preserve">. The SOADL-ID system properly identified the normal and attack samples. On 70% of TR set, the SOADL-ID algorithm gains average </w:t>
      </w:r>
      <m:oMath>
        <m:r>
          <w:rPr>
            <w:rFonts w:ascii="Cambria Math" w:hAnsi="Cambria Math"/>
          </w:rPr>
          <m:t>acc</m:t>
        </m:r>
        <m:sSub>
          <m:sSubPr>
            <m:ctrlPr>
              <w:rPr>
                <w:rFonts w:ascii="Cambria Math" w:hAnsi="Cambria Math"/>
                <w:i/>
              </w:rPr>
            </m:ctrlPr>
          </m:sSubPr>
          <m:e>
            <m:r>
              <w:rPr>
                <w:rFonts w:ascii="Cambria Math" w:hAnsi="Cambria Math"/>
              </w:rPr>
              <m:t>u</m:t>
            </m:r>
          </m:e>
          <m:sub>
            <m:r>
              <w:rPr>
                <w:rFonts w:ascii="Cambria Math" w:hAnsi="Cambria Math"/>
              </w:rPr>
              <m:t>y</m:t>
            </m:r>
          </m:sub>
        </m:sSub>
      </m:oMath>
      <w:r w:rsidRPr="00585421">
        <w:rPr>
          <w:rFonts w:eastAsiaTheme="minorEastAsia"/>
        </w:rPr>
        <w:t xml:space="preserve">, </w:t>
      </w:r>
      <m:oMath>
        <m:r>
          <w:rPr>
            <w:rFonts w:ascii="Cambria Math" w:eastAsiaTheme="minorEastAsia" w:hAnsi="Cambria Math"/>
          </w:rPr>
          <m:t>pre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sidRPr="00585421">
        <w:rPr>
          <w:rFonts w:eastAsiaTheme="minorEastAsia"/>
        </w:rPr>
        <w:t xml:space="preserve">, </w:t>
      </w:r>
      <m:oMath>
        <m:r>
          <w:rPr>
            <w:rFonts w:ascii="Cambria Math" w:eastAsiaTheme="minorEastAsia" w:hAnsi="Cambria Math"/>
          </w:rPr>
          <m:t>rec</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l</m:t>
            </m:r>
          </m:sub>
        </m:sSub>
      </m:oMath>
      <w:r w:rsidRPr="0058542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score</m:t>
            </m:r>
          </m:sub>
        </m:sSub>
      </m:oMath>
      <w:r w:rsidRPr="00585421">
        <w:rPr>
          <w:rFonts w:eastAsiaTheme="minorEastAsia"/>
        </w:rPr>
        <w:t>, and MCC of 97.10%, 97.11%, 97.10%, 97.10%, and 94.21% correspondingly. Followed by,</w:t>
      </w:r>
      <w:r w:rsidRPr="00585421">
        <w:t xml:space="preserve"> on 30% of TS set, the SOADL-ID method attains average </w:t>
      </w:r>
      <m:oMath>
        <m:r>
          <w:rPr>
            <w:rFonts w:ascii="Cambria Math" w:hAnsi="Cambria Math"/>
          </w:rPr>
          <m:t>acc</m:t>
        </m:r>
        <m:sSub>
          <m:sSubPr>
            <m:ctrlPr>
              <w:rPr>
                <w:rFonts w:ascii="Cambria Math" w:hAnsi="Cambria Math"/>
                <w:i/>
              </w:rPr>
            </m:ctrlPr>
          </m:sSubPr>
          <m:e>
            <m:r>
              <w:rPr>
                <w:rFonts w:ascii="Cambria Math" w:hAnsi="Cambria Math"/>
              </w:rPr>
              <m:t>u</m:t>
            </m:r>
          </m:e>
          <m:sub>
            <m:r>
              <w:rPr>
                <w:rFonts w:ascii="Cambria Math" w:hAnsi="Cambria Math"/>
              </w:rPr>
              <m:t>y</m:t>
            </m:r>
          </m:sub>
        </m:sSub>
      </m:oMath>
      <w:r w:rsidRPr="00585421">
        <w:rPr>
          <w:rFonts w:eastAsiaTheme="minorEastAsia"/>
        </w:rPr>
        <w:t xml:space="preserve">, </w:t>
      </w:r>
      <m:oMath>
        <m:r>
          <w:rPr>
            <w:rFonts w:ascii="Cambria Math" w:eastAsiaTheme="minorEastAsia" w:hAnsi="Cambria Math"/>
          </w:rPr>
          <m:t>pre</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n</m:t>
            </m:r>
          </m:sub>
        </m:sSub>
      </m:oMath>
      <w:r w:rsidRPr="00585421">
        <w:rPr>
          <w:rFonts w:eastAsiaTheme="minorEastAsia"/>
        </w:rPr>
        <w:t xml:space="preserve">, </w:t>
      </w:r>
      <m:oMath>
        <m:r>
          <w:rPr>
            <w:rFonts w:ascii="Cambria Math" w:eastAsiaTheme="minorEastAsia" w:hAnsi="Cambria Math"/>
          </w:rPr>
          <m:t>rec</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l</m:t>
            </m:r>
          </m:sub>
        </m:sSub>
      </m:oMath>
      <w:r w:rsidRPr="0058542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score</m:t>
            </m:r>
          </m:sub>
        </m:sSub>
      </m:oMath>
      <w:r w:rsidRPr="00585421">
        <w:rPr>
          <w:rFonts w:eastAsiaTheme="minorEastAsia"/>
        </w:rPr>
        <w:t>, and MCC of 97%, 97%, 97 %, 97%, and 94.01% correspondingly.</w:t>
      </w:r>
    </w:p>
    <w:p w:rsidR="00443F42" w:rsidRDefault="00443F42" w:rsidP="00443F42">
      <w:r w:rsidRPr="00585421">
        <w:t xml:space="preserve">In Table </w:t>
      </w:r>
      <w:r w:rsidR="00950520">
        <w:t>4</w:t>
      </w:r>
      <w:r w:rsidRPr="00585421">
        <w:t>, a comprehensive analysis of the SOADL-ID algorithm with other ML approaches take place [21]. The outcomes stated that the SOADL-ID method accomplishes superior outcomes.</w:t>
      </w:r>
    </w:p>
    <w:p w:rsidR="00F92C9E" w:rsidRPr="00585421" w:rsidRDefault="00F92C9E" w:rsidP="00443F42"/>
    <w:p w:rsidR="00F92C9E" w:rsidRDefault="00F92C9E" w:rsidP="00F92C9E">
      <w:pPr>
        <w:pStyle w:val="TableHeading"/>
      </w:pPr>
      <w:r w:rsidRPr="00585421">
        <w:t xml:space="preserve">TABLE </w:t>
      </w:r>
      <w:r w:rsidR="00315DC5">
        <w:t>I</w:t>
      </w:r>
      <w:r>
        <w:t>V</w:t>
      </w:r>
    </w:p>
    <w:p w:rsidR="00443F42" w:rsidRPr="00585421" w:rsidRDefault="00F92C9E" w:rsidP="00F92C9E">
      <w:pPr>
        <w:pStyle w:val="TableHeading"/>
      </w:pPr>
      <w:r w:rsidRPr="00585421">
        <w:t xml:space="preserve">COMPARATIVE OUTCOME OF SOADL-ID TECHNIQUE WITH OTHER ML APPROACHES  </w:t>
      </w:r>
    </w:p>
    <w:tbl>
      <w:tblPr>
        <w:tblW w:w="480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5"/>
        <w:gridCol w:w="1663"/>
        <w:gridCol w:w="1725"/>
      </w:tblGrid>
      <w:tr w:rsidR="00443F42" w:rsidRPr="00585421" w:rsidTr="00F92C9E">
        <w:trPr>
          <w:trHeight w:val="291"/>
          <w:jc w:val="right"/>
        </w:trPr>
        <w:tc>
          <w:tcPr>
            <w:tcW w:w="1593" w:type="dxa"/>
            <w:shd w:val="clear" w:color="auto" w:fill="auto"/>
            <w:noWrap/>
            <w:vAlign w:val="center"/>
            <w:hideMark/>
          </w:tcPr>
          <w:p w:rsidR="00443F42" w:rsidRPr="00585421" w:rsidRDefault="00443F42" w:rsidP="00F92C9E">
            <w:pPr>
              <w:spacing w:line="240" w:lineRule="auto"/>
              <w:ind w:firstLine="0"/>
              <w:jc w:val="center"/>
              <w:rPr>
                <w:rFonts w:eastAsia="Times New Roman"/>
                <w:b/>
                <w:lang w:eastAsia="en-IN"/>
              </w:rPr>
            </w:pPr>
            <w:r w:rsidRPr="00585421">
              <w:rPr>
                <w:rFonts w:eastAsia="Times New Roman"/>
                <w:b/>
                <w:lang w:eastAsia="en-IN"/>
              </w:rPr>
              <w:t>Methods</w:t>
            </w:r>
          </w:p>
        </w:tc>
        <w:tc>
          <w:tcPr>
            <w:tcW w:w="1592" w:type="dxa"/>
            <w:shd w:val="clear" w:color="auto" w:fill="auto"/>
            <w:noWrap/>
            <w:vAlign w:val="center"/>
            <w:hideMark/>
          </w:tcPr>
          <w:p w:rsidR="00443F42" w:rsidRPr="00585421" w:rsidRDefault="00443F42" w:rsidP="00F92C9E">
            <w:pPr>
              <w:spacing w:line="240" w:lineRule="auto"/>
              <w:ind w:firstLine="0"/>
              <w:jc w:val="center"/>
              <w:rPr>
                <w:rFonts w:eastAsia="Times New Roman"/>
                <w:b/>
                <w:lang w:eastAsia="en-IN"/>
              </w:rPr>
            </w:pPr>
            <w:r w:rsidRPr="00585421">
              <w:rPr>
                <w:rFonts w:eastAsia="Times New Roman"/>
                <w:b/>
                <w:lang w:eastAsia="en-IN"/>
              </w:rPr>
              <w:t>Accuracy (%)</w:t>
            </w:r>
          </w:p>
        </w:tc>
        <w:tc>
          <w:tcPr>
            <w:tcW w:w="1651" w:type="dxa"/>
            <w:shd w:val="clear" w:color="auto" w:fill="auto"/>
            <w:noWrap/>
            <w:vAlign w:val="center"/>
            <w:hideMark/>
          </w:tcPr>
          <w:p w:rsidR="00443F42" w:rsidRPr="00585421" w:rsidRDefault="00443F42" w:rsidP="00F92C9E">
            <w:pPr>
              <w:spacing w:line="240" w:lineRule="auto"/>
              <w:ind w:firstLine="0"/>
              <w:jc w:val="center"/>
              <w:rPr>
                <w:rFonts w:eastAsia="Times New Roman"/>
                <w:b/>
                <w:lang w:eastAsia="en-IN"/>
              </w:rPr>
            </w:pPr>
            <w:r w:rsidRPr="00585421">
              <w:rPr>
                <w:rFonts w:eastAsia="Times New Roman"/>
                <w:b/>
                <w:lang w:eastAsia="en-IN"/>
              </w:rPr>
              <w:t>Computational Time (sec)</w:t>
            </w:r>
          </w:p>
        </w:tc>
      </w:tr>
      <w:tr w:rsidR="00443F42" w:rsidRPr="00585421" w:rsidTr="00F92C9E">
        <w:trPr>
          <w:trHeight w:val="306"/>
          <w:jc w:val="right"/>
        </w:trPr>
        <w:tc>
          <w:tcPr>
            <w:tcW w:w="1593"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SOADL-ID</w:t>
            </w:r>
          </w:p>
        </w:tc>
        <w:tc>
          <w:tcPr>
            <w:tcW w:w="1592" w:type="dxa"/>
            <w:shd w:val="clear" w:color="auto" w:fill="auto"/>
            <w:noWrap/>
            <w:vAlign w:val="center"/>
            <w:hideMark/>
          </w:tcPr>
          <w:p w:rsidR="00443F42" w:rsidRPr="00585421" w:rsidRDefault="00443F42" w:rsidP="00F92C9E">
            <w:pPr>
              <w:spacing w:line="240" w:lineRule="auto"/>
              <w:ind w:firstLine="0"/>
              <w:jc w:val="left"/>
              <w:rPr>
                <w:rFonts w:eastAsia="Times New Roman"/>
                <w:bCs/>
                <w:lang w:eastAsia="en-IN"/>
              </w:rPr>
            </w:pPr>
            <w:r w:rsidRPr="00585421">
              <w:rPr>
                <w:rFonts w:eastAsia="Times New Roman"/>
                <w:bCs/>
                <w:lang w:eastAsia="en-IN"/>
              </w:rPr>
              <w:t>97.77</w:t>
            </w:r>
          </w:p>
        </w:tc>
        <w:tc>
          <w:tcPr>
            <w:tcW w:w="1651"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1.18</w:t>
            </w:r>
          </w:p>
        </w:tc>
      </w:tr>
      <w:tr w:rsidR="00443F42" w:rsidRPr="00585421" w:rsidTr="00F92C9E">
        <w:trPr>
          <w:trHeight w:val="291"/>
          <w:jc w:val="right"/>
        </w:trPr>
        <w:tc>
          <w:tcPr>
            <w:tcW w:w="1593"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ANN Algorithm</w:t>
            </w:r>
          </w:p>
        </w:tc>
        <w:tc>
          <w:tcPr>
            <w:tcW w:w="1592"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92.80</w:t>
            </w:r>
          </w:p>
        </w:tc>
        <w:tc>
          <w:tcPr>
            <w:tcW w:w="1651"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2.57</w:t>
            </w:r>
          </w:p>
        </w:tc>
      </w:tr>
      <w:tr w:rsidR="00443F42" w:rsidRPr="00585421" w:rsidTr="00F92C9E">
        <w:trPr>
          <w:trHeight w:val="291"/>
          <w:jc w:val="right"/>
        </w:trPr>
        <w:tc>
          <w:tcPr>
            <w:tcW w:w="1593"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C.4.5 Model</w:t>
            </w:r>
          </w:p>
        </w:tc>
        <w:tc>
          <w:tcPr>
            <w:tcW w:w="1592"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95.72</w:t>
            </w:r>
          </w:p>
        </w:tc>
        <w:tc>
          <w:tcPr>
            <w:tcW w:w="1651"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2.52</w:t>
            </w:r>
          </w:p>
        </w:tc>
      </w:tr>
      <w:tr w:rsidR="00443F42" w:rsidRPr="00585421" w:rsidTr="00F92C9E">
        <w:trPr>
          <w:trHeight w:val="291"/>
          <w:jc w:val="right"/>
        </w:trPr>
        <w:tc>
          <w:tcPr>
            <w:tcW w:w="1593"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Bagging</w:t>
            </w:r>
          </w:p>
        </w:tc>
        <w:tc>
          <w:tcPr>
            <w:tcW w:w="1592"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96.19</w:t>
            </w:r>
          </w:p>
        </w:tc>
        <w:tc>
          <w:tcPr>
            <w:tcW w:w="1651"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3.30</w:t>
            </w:r>
          </w:p>
        </w:tc>
      </w:tr>
      <w:tr w:rsidR="00443F42" w:rsidRPr="00585421" w:rsidTr="00F92C9E">
        <w:trPr>
          <w:trHeight w:val="291"/>
          <w:jc w:val="right"/>
        </w:trPr>
        <w:tc>
          <w:tcPr>
            <w:tcW w:w="1593"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KNN Algorithm</w:t>
            </w:r>
          </w:p>
        </w:tc>
        <w:tc>
          <w:tcPr>
            <w:tcW w:w="1592"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95.97</w:t>
            </w:r>
          </w:p>
        </w:tc>
        <w:tc>
          <w:tcPr>
            <w:tcW w:w="1651"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3.20</w:t>
            </w:r>
          </w:p>
        </w:tc>
      </w:tr>
      <w:tr w:rsidR="00443F42" w:rsidRPr="00585421" w:rsidTr="00F92C9E">
        <w:trPr>
          <w:trHeight w:val="291"/>
          <w:jc w:val="right"/>
        </w:trPr>
        <w:tc>
          <w:tcPr>
            <w:tcW w:w="1593"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Ensemble</w:t>
            </w:r>
          </w:p>
        </w:tc>
        <w:tc>
          <w:tcPr>
            <w:tcW w:w="1592"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94.00</w:t>
            </w:r>
          </w:p>
        </w:tc>
        <w:tc>
          <w:tcPr>
            <w:tcW w:w="1651"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3.25</w:t>
            </w:r>
          </w:p>
        </w:tc>
      </w:tr>
      <w:tr w:rsidR="00443F42" w:rsidRPr="00585421" w:rsidTr="00F92C9E">
        <w:trPr>
          <w:trHeight w:val="291"/>
          <w:jc w:val="right"/>
        </w:trPr>
        <w:tc>
          <w:tcPr>
            <w:tcW w:w="1593"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SVM Model</w:t>
            </w:r>
          </w:p>
        </w:tc>
        <w:tc>
          <w:tcPr>
            <w:tcW w:w="1592"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93.07</w:t>
            </w:r>
          </w:p>
        </w:tc>
        <w:tc>
          <w:tcPr>
            <w:tcW w:w="1651" w:type="dxa"/>
            <w:shd w:val="clear" w:color="auto" w:fill="auto"/>
            <w:noWrap/>
            <w:vAlign w:val="center"/>
            <w:hideMark/>
          </w:tcPr>
          <w:p w:rsidR="00443F42" w:rsidRPr="00585421" w:rsidRDefault="00443F42" w:rsidP="00F92C9E">
            <w:pPr>
              <w:spacing w:line="240" w:lineRule="auto"/>
              <w:ind w:firstLine="0"/>
              <w:jc w:val="left"/>
              <w:rPr>
                <w:rFonts w:eastAsia="Times New Roman"/>
                <w:lang w:eastAsia="en-IN"/>
              </w:rPr>
            </w:pPr>
            <w:r w:rsidRPr="00585421">
              <w:rPr>
                <w:rFonts w:eastAsia="Times New Roman"/>
                <w:lang w:eastAsia="en-IN"/>
              </w:rPr>
              <w:t>2.98</w:t>
            </w:r>
          </w:p>
        </w:tc>
      </w:tr>
    </w:tbl>
    <w:p w:rsidR="00F92C9E" w:rsidRDefault="00F92C9E" w:rsidP="00443F42"/>
    <w:p w:rsidR="00443F42" w:rsidRDefault="00443F42" w:rsidP="00443F42">
      <w:pPr>
        <w:rPr>
          <w:rFonts w:eastAsiaTheme="minorEastAsia"/>
        </w:rPr>
      </w:pPr>
      <w:r w:rsidRPr="00585421">
        <w:t xml:space="preserve">In Fig. 3, a comparative </w:t>
      </w:r>
      <m:oMath>
        <m:r>
          <w:rPr>
            <w:rFonts w:ascii="Cambria Math" w:hAnsi="Cambria Math"/>
          </w:rPr>
          <m:t>acc</m:t>
        </m:r>
        <m:sSub>
          <m:sSubPr>
            <m:ctrlPr>
              <w:rPr>
                <w:rFonts w:ascii="Cambria Math" w:hAnsi="Cambria Math"/>
                <w:i/>
              </w:rPr>
            </m:ctrlPr>
          </m:sSubPr>
          <m:e>
            <m:r>
              <w:rPr>
                <w:rFonts w:ascii="Cambria Math" w:hAnsi="Cambria Math"/>
              </w:rPr>
              <m:t>u</m:t>
            </m:r>
          </m:e>
          <m:sub>
            <m:r>
              <w:rPr>
                <w:rFonts w:ascii="Cambria Math" w:hAnsi="Cambria Math"/>
              </w:rPr>
              <m:t>y</m:t>
            </m:r>
          </m:sub>
        </m:sSub>
      </m:oMath>
      <w:r w:rsidRPr="00585421">
        <w:rPr>
          <w:rFonts w:eastAsiaTheme="minorEastAsia"/>
        </w:rPr>
        <w:t xml:space="preserve"> results of the SOADL-ID technique with recent approaches are made. The figure showcases that the SVM, ensemble, and ANN models accomplish lower </w:t>
      </w:r>
      <m:oMath>
        <m:r>
          <w:rPr>
            <w:rFonts w:ascii="Cambria Math" w:eastAsiaTheme="minorEastAsia" w:hAnsi="Cambria Math"/>
          </w:rPr>
          <m:t>acc</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m:t>
            </m:r>
          </m:sub>
        </m:sSub>
      </m:oMath>
      <w:r w:rsidRPr="00585421">
        <w:rPr>
          <w:rFonts w:eastAsiaTheme="minorEastAsia"/>
        </w:rPr>
        <w:t xml:space="preserve"> values of 93.07%, 94%, and 92.80% respectively. Meanwhile, the C.4.5, bagging, and KNN models gain closer </w:t>
      </w:r>
      <m:oMath>
        <m:r>
          <w:rPr>
            <w:rFonts w:ascii="Cambria Math" w:eastAsiaTheme="minorEastAsia" w:hAnsi="Cambria Math"/>
          </w:rPr>
          <m:t>acc</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m:t>
            </m:r>
          </m:sub>
        </m:sSub>
      </m:oMath>
      <w:r w:rsidRPr="00585421">
        <w:rPr>
          <w:rFonts w:eastAsiaTheme="minorEastAsia"/>
        </w:rPr>
        <w:t xml:space="preserve"> values of 95.72%, 96.19%, and 95.97% respectively. However, the SOADL-ID technique reaches higher </w:t>
      </w:r>
      <m:oMath>
        <m:r>
          <w:rPr>
            <w:rFonts w:ascii="Cambria Math" w:eastAsiaTheme="minorEastAsia" w:hAnsi="Cambria Math"/>
          </w:rPr>
          <m:t>acc</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m:t>
            </m:r>
          </m:sub>
        </m:sSub>
      </m:oMath>
      <w:r w:rsidRPr="00585421">
        <w:rPr>
          <w:rFonts w:eastAsiaTheme="minorEastAsia"/>
        </w:rPr>
        <w:t xml:space="preserve"> of 97.77%.</w:t>
      </w:r>
    </w:p>
    <w:p w:rsidR="00F92C9E" w:rsidRPr="00585421" w:rsidRDefault="00F92C9E" w:rsidP="00443F42">
      <w:pPr>
        <w:rPr>
          <w:rFonts w:eastAsiaTheme="minorEastAsia"/>
        </w:rPr>
      </w:pPr>
    </w:p>
    <w:p w:rsidR="00443F42" w:rsidRPr="00585421" w:rsidRDefault="00443F42" w:rsidP="00F92C9E">
      <w:pPr>
        <w:pStyle w:val="Fig-Image"/>
      </w:pPr>
      <w:r w:rsidRPr="00585421">
        <w:rPr>
          <w:noProof/>
          <w:lang w:eastAsia="en-US" w:bidi="ta-IN"/>
        </w:rPr>
        <w:lastRenderedPageBreak/>
        <w:drawing>
          <wp:inline distT="0" distB="0" distL="0" distR="0">
            <wp:extent cx="3017520" cy="2265597"/>
            <wp:effectExtent l="0" t="0" r="0" b="1905"/>
            <wp:docPr id="1" name="Picture 1" descr="D:\28-07-2023\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8-07-2023\3-\01.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17520" cy="2265597"/>
                    </a:xfrm>
                    <a:prstGeom prst="rect">
                      <a:avLst/>
                    </a:prstGeom>
                    <a:noFill/>
                    <a:ln>
                      <a:noFill/>
                    </a:ln>
                  </pic:spPr>
                </pic:pic>
              </a:graphicData>
            </a:graphic>
          </wp:inline>
        </w:drawing>
      </w:r>
    </w:p>
    <w:p w:rsidR="00443F42" w:rsidRPr="00F92C9E" w:rsidRDefault="00443F42" w:rsidP="00F92C9E">
      <w:pPr>
        <w:pStyle w:val="Fig-Image"/>
      </w:pPr>
      <w:r w:rsidRPr="00F92C9E">
        <w:t xml:space="preserve">Fig. 3. </w:t>
      </w:r>
      <m:oMath>
        <m:r>
          <w:rPr>
            <w:rFonts w:ascii="Cambria Math" w:hAnsi="Cambria Math"/>
          </w:rPr>
          <m:t>Acc</m:t>
        </m:r>
        <m:sSub>
          <m:sSubPr>
            <m:ctrlPr>
              <w:rPr>
                <w:rFonts w:ascii="Cambria Math" w:hAnsi="Cambria Math"/>
              </w:rPr>
            </m:ctrlPr>
          </m:sSubPr>
          <m:e>
            <m:r>
              <w:rPr>
                <w:rFonts w:ascii="Cambria Math" w:hAnsi="Cambria Math"/>
              </w:rPr>
              <m:t>u</m:t>
            </m:r>
          </m:e>
          <m:sub>
            <m:r>
              <w:rPr>
                <w:rFonts w:ascii="Cambria Math" w:hAnsi="Cambria Math"/>
              </w:rPr>
              <m:t>y</m:t>
            </m:r>
          </m:sub>
        </m:sSub>
      </m:oMath>
      <w:r w:rsidRPr="00F92C9E">
        <w:t xml:space="preserve"> outcome of SOADL-ID methodology with other ML approaches  </w:t>
      </w:r>
    </w:p>
    <w:p w:rsidR="00F92C9E" w:rsidRPr="00585421" w:rsidRDefault="00F92C9E" w:rsidP="00443F42">
      <w:pPr>
        <w:jc w:val="center"/>
      </w:pPr>
    </w:p>
    <w:p w:rsidR="00443F42" w:rsidRPr="00585421" w:rsidRDefault="00443F42" w:rsidP="00F92C9E">
      <w:pPr>
        <w:pStyle w:val="Fig-Image"/>
      </w:pPr>
      <w:r w:rsidRPr="00585421">
        <w:rPr>
          <w:noProof/>
          <w:lang w:eastAsia="en-US" w:bidi="ta-IN"/>
        </w:rPr>
        <w:drawing>
          <wp:inline distT="0" distB="0" distL="0" distR="0">
            <wp:extent cx="3017520" cy="2265597"/>
            <wp:effectExtent l="0" t="0" r="0" b="1905"/>
            <wp:docPr id="2" name="Picture 2" descr="D:\28-07-2023\3-\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8-07-2023\3-\02.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17520" cy="2265597"/>
                    </a:xfrm>
                    <a:prstGeom prst="rect">
                      <a:avLst/>
                    </a:prstGeom>
                    <a:noFill/>
                    <a:ln>
                      <a:noFill/>
                    </a:ln>
                  </pic:spPr>
                </pic:pic>
              </a:graphicData>
            </a:graphic>
          </wp:inline>
        </w:drawing>
      </w:r>
    </w:p>
    <w:p w:rsidR="00F92C9E" w:rsidRDefault="00443F42" w:rsidP="00F92C9E">
      <w:pPr>
        <w:pStyle w:val="Fig-Image"/>
      </w:pPr>
      <w:r w:rsidRPr="00F92C9E">
        <w:t xml:space="preserve">Fig. 4. CT outcome of SOADL-ID methodology with other ML approaches </w:t>
      </w:r>
    </w:p>
    <w:p w:rsidR="00443F42" w:rsidRPr="00F92C9E" w:rsidRDefault="00443F42" w:rsidP="00F92C9E">
      <w:pPr>
        <w:pStyle w:val="Fig-Image"/>
      </w:pPr>
    </w:p>
    <w:p w:rsidR="00443F42" w:rsidRPr="00585421" w:rsidRDefault="00443F42" w:rsidP="00F92C9E">
      <w:r w:rsidRPr="00585421">
        <w:t xml:space="preserve">In Fig. 4, a comparative CT result of the SOADL-ID technique with recent approaches is made. The figure showcases that the bagging, KNN, and ensemble models achieve higher CT values of 3.30s, 3.20s, and 3.25s respectively. Meanwhile, the ANN, C.4.5, and SVM models gain closer CT values of 2.57s, 2.52s, and 2.98s respectively. However, the SOADL-ID technique reaches higher </w:t>
      </w:r>
      <m:oMath>
        <m:r>
          <w:rPr>
            <w:rFonts w:ascii="Cambria Math" w:hAnsi="Cambria Math"/>
          </w:rPr>
          <m:t>acc</m:t>
        </m:r>
        <m:sSub>
          <m:sSubPr>
            <m:ctrlPr>
              <w:rPr>
                <w:rFonts w:ascii="Cambria Math" w:hAnsi="Cambria Math"/>
                <w:i/>
              </w:rPr>
            </m:ctrlPr>
          </m:sSubPr>
          <m:e>
            <m:r>
              <w:rPr>
                <w:rFonts w:ascii="Cambria Math" w:hAnsi="Cambria Math"/>
              </w:rPr>
              <m:t>u</m:t>
            </m:r>
          </m:e>
          <m:sub>
            <m:r>
              <w:rPr>
                <w:rFonts w:ascii="Cambria Math" w:hAnsi="Cambria Math"/>
              </w:rPr>
              <m:t>y</m:t>
            </m:r>
          </m:sub>
        </m:sSub>
      </m:oMath>
      <w:r w:rsidRPr="00585421">
        <w:t xml:space="preserve"> of 97.77%. These results inferred the effectual recognition results of the SOADL-ID technique.</w:t>
      </w:r>
    </w:p>
    <w:p w:rsidR="00443F42" w:rsidRPr="00585421" w:rsidRDefault="00443F42" w:rsidP="00443F42">
      <w:pPr>
        <w:pStyle w:val="Heading1"/>
      </w:pPr>
      <w:r w:rsidRPr="00585421">
        <w:t>Conclusion</w:t>
      </w:r>
      <w:r w:rsidR="000B1217">
        <w:t>s</w:t>
      </w:r>
    </w:p>
    <w:p w:rsidR="003176B7" w:rsidRDefault="00443F42" w:rsidP="00F92C9E">
      <w:r w:rsidRPr="00585421">
        <w:t xml:space="preserve">In this manuscript, a new SOADL-ID algorithm </w:t>
      </w:r>
      <w:r w:rsidR="0011424B">
        <w:t xml:space="preserve">has been </w:t>
      </w:r>
      <w:proofErr w:type="spellStart"/>
      <w:r w:rsidR="0011424B">
        <w:t>devised</w:t>
      </w:r>
      <w:r w:rsidRPr="00585421">
        <w:t>in</w:t>
      </w:r>
      <w:proofErr w:type="spellEnd"/>
      <w:r w:rsidRPr="00585421">
        <w:t xml:space="preserve"> the </w:t>
      </w:r>
      <w:proofErr w:type="spellStart"/>
      <w:r w:rsidRPr="00585421">
        <w:t>IoT</w:t>
      </w:r>
      <w:r w:rsidR="000B1217">
        <w:t>network</w:t>
      </w:r>
      <w:proofErr w:type="spellEnd"/>
      <w:r w:rsidR="000B1217">
        <w:t>.</w:t>
      </w:r>
      <w:r w:rsidRPr="00585421">
        <w:t xml:space="preserve"> The major aim of the SOADL-ID system </w:t>
      </w:r>
      <w:r w:rsidR="00622E38">
        <w:t>focused on</w:t>
      </w:r>
      <w:r w:rsidRPr="00585421">
        <w:t xml:space="preserve"> the detection of intrusion from the </w:t>
      </w:r>
      <w:proofErr w:type="spellStart"/>
      <w:r w:rsidRPr="00585421">
        <w:t>IoT</w:t>
      </w:r>
      <w:proofErr w:type="spellEnd"/>
      <w:r w:rsidRPr="00585421">
        <w:t xml:space="preserve"> environment. In the presented SOADL-ID technique, three stages of operations are involved such as data preprocessing, SSAE based classification, and SOA based hyperparameter selection. For intrusion detection and classification, the SSAE model is applied. Lastly, the SOA was used for the optimal hyperparameter values of the SSAE approach and it helps in optimal hyperparameter selection. The </w:t>
      </w:r>
      <w:r w:rsidR="00137A41">
        <w:t>experimentation assessment</w:t>
      </w:r>
      <w:r w:rsidRPr="00585421">
        <w:t xml:space="preserve"> of the SOADL-ID algorithm was tested on </w:t>
      </w:r>
      <w:r w:rsidR="00064B04">
        <w:t>three</w:t>
      </w:r>
      <w:r w:rsidRPr="00585421">
        <w:t xml:space="preserve"> </w:t>
      </w:r>
      <w:r w:rsidRPr="00585421">
        <w:lastRenderedPageBreak/>
        <w:t>IDS database. The simulation outcome</w:t>
      </w:r>
      <w:r w:rsidR="000B1217">
        <w:t>s</w:t>
      </w:r>
      <w:r w:rsidRPr="00585421">
        <w:t xml:space="preserve"> demonstrated the better solution of the SOADL-ID methodology with other recent approaches </w:t>
      </w:r>
      <w:proofErr w:type="spellStart"/>
      <w:r w:rsidRPr="00585421">
        <w:t>interms</w:t>
      </w:r>
      <w:proofErr w:type="spellEnd"/>
      <w:r w:rsidRPr="00585421">
        <w:t xml:space="preserve"> of different measures</w:t>
      </w:r>
      <w:r w:rsidR="003176B7">
        <w:t>.</w:t>
      </w:r>
    </w:p>
    <w:p w:rsidR="003176B7" w:rsidRPr="00D87D6C" w:rsidRDefault="003176B7" w:rsidP="003E3B75">
      <w:pPr>
        <w:pStyle w:val="Heading1"/>
        <w:numPr>
          <w:ilvl w:val="0"/>
          <w:numId w:val="0"/>
        </w:numPr>
      </w:pPr>
      <w:r w:rsidRPr="003176B7">
        <w:t>Re</w:t>
      </w:r>
      <w:r w:rsidRPr="00D87D6C">
        <w:t>ferences</w:t>
      </w:r>
    </w:p>
    <w:p w:rsidR="00443F42" w:rsidRPr="00443F42" w:rsidRDefault="00443F42" w:rsidP="00443F42">
      <w:pPr>
        <w:pStyle w:val="Referance"/>
        <w:rPr>
          <w:lang w:val="en-IN"/>
        </w:rPr>
      </w:pPr>
      <w:r w:rsidRPr="00443F42">
        <w:rPr>
          <w:lang w:val="en-IN"/>
        </w:rPr>
        <w:t>Ravi, V., Pham, T.D. and Alazab, M., 2023. Deep Learning-Based Network Intrusion Detection System for Internet of Medical Things. </w:t>
      </w:r>
      <w:r w:rsidRPr="00443F42">
        <w:rPr>
          <w:i/>
          <w:iCs/>
          <w:lang w:val="en-IN"/>
        </w:rPr>
        <w:t>IEEE Internet of Things Magazine</w:t>
      </w:r>
      <w:r w:rsidRPr="00443F42">
        <w:rPr>
          <w:lang w:val="en-IN"/>
        </w:rPr>
        <w:t>, </w:t>
      </w:r>
      <w:r w:rsidRPr="00443F42">
        <w:rPr>
          <w:i/>
          <w:iCs/>
          <w:lang w:val="en-IN"/>
        </w:rPr>
        <w:t>6</w:t>
      </w:r>
      <w:r w:rsidRPr="00443F42">
        <w:rPr>
          <w:lang w:val="en-IN"/>
        </w:rPr>
        <w:t>(2), pp.50-54.</w:t>
      </w:r>
    </w:p>
    <w:p w:rsidR="00443F42" w:rsidRPr="00443F42" w:rsidRDefault="00443F42" w:rsidP="00443F42">
      <w:pPr>
        <w:pStyle w:val="Referance"/>
        <w:rPr>
          <w:lang w:val="en-IN"/>
        </w:rPr>
      </w:pPr>
      <w:r w:rsidRPr="00443F42">
        <w:rPr>
          <w:lang w:val="en-IN"/>
        </w:rPr>
        <w:t>Zhou, X., Liang, W., Li, W., Yan, K., Shimizu, S., Kevin, I. and Wang, K., 2021. Hierarchical adversarial attacks against graph-neural-network-based IoT network intrusion detection system. </w:t>
      </w:r>
      <w:r w:rsidRPr="00443F42">
        <w:rPr>
          <w:i/>
          <w:iCs/>
          <w:lang w:val="en-IN"/>
        </w:rPr>
        <w:t>IEEE Internet of Things Journal</w:t>
      </w:r>
      <w:r w:rsidRPr="00443F42">
        <w:rPr>
          <w:lang w:val="en-IN"/>
        </w:rPr>
        <w:t>, </w:t>
      </w:r>
      <w:r w:rsidRPr="00443F42">
        <w:rPr>
          <w:i/>
          <w:iCs/>
          <w:lang w:val="en-IN"/>
        </w:rPr>
        <w:t>9</w:t>
      </w:r>
      <w:r w:rsidRPr="00443F42">
        <w:rPr>
          <w:lang w:val="en-IN"/>
        </w:rPr>
        <w:t>(12), pp.9310-9319.</w:t>
      </w:r>
    </w:p>
    <w:p w:rsidR="00443F42" w:rsidRPr="00443F42" w:rsidRDefault="00443F42" w:rsidP="00443F42">
      <w:pPr>
        <w:pStyle w:val="Referance"/>
        <w:rPr>
          <w:lang w:val="en-IN"/>
        </w:rPr>
      </w:pPr>
      <w:r w:rsidRPr="00443F42">
        <w:rPr>
          <w:lang w:val="en-IN"/>
        </w:rPr>
        <w:t>Belhadi, A., Djenouri, Y., Djenouri, D., Srivastava, G. and Lin, J.C.W., 2023. Group intrusion detection in the Internet of Things using a hybrid recurrent neural network. </w:t>
      </w:r>
      <w:r w:rsidRPr="00443F42">
        <w:rPr>
          <w:i/>
          <w:iCs/>
          <w:lang w:val="en-IN"/>
        </w:rPr>
        <w:t>Cluster Computing</w:t>
      </w:r>
      <w:r w:rsidRPr="00443F42">
        <w:rPr>
          <w:lang w:val="en-IN"/>
        </w:rPr>
        <w:t>, </w:t>
      </w:r>
      <w:r w:rsidRPr="00443F42">
        <w:rPr>
          <w:i/>
          <w:iCs/>
          <w:lang w:val="en-IN"/>
        </w:rPr>
        <w:t>26</w:t>
      </w:r>
      <w:r w:rsidRPr="00443F42">
        <w:rPr>
          <w:lang w:val="en-IN"/>
        </w:rPr>
        <w:t>(2), pp.1147-1158.</w:t>
      </w:r>
    </w:p>
    <w:p w:rsidR="00443F42" w:rsidRPr="00443F42" w:rsidRDefault="00443F42" w:rsidP="00443F42">
      <w:pPr>
        <w:pStyle w:val="Referance"/>
        <w:rPr>
          <w:lang w:val="en-IN"/>
        </w:rPr>
      </w:pPr>
      <w:r w:rsidRPr="00443F42">
        <w:rPr>
          <w:lang w:val="en-IN"/>
        </w:rPr>
        <w:t>Abou El Houda, Z., Brik, B. and Khoukhi, L., 2022. “why should i trust your ids?”: An explainable deep learning framework for intrusion detection systems in internet of things networks. </w:t>
      </w:r>
      <w:r w:rsidRPr="00443F42">
        <w:rPr>
          <w:i/>
          <w:iCs/>
          <w:lang w:val="en-IN"/>
        </w:rPr>
        <w:t>IEEE Open Journal of the Communications Society</w:t>
      </w:r>
      <w:r w:rsidRPr="00443F42">
        <w:rPr>
          <w:lang w:val="en-IN"/>
        </w:rPr>
        <w:t>, </w:t>
      </w:r>
      <w:r w:rsidRPr="00443F42">
        <w:rPr>
          <w:i/>
          <w:iCs/>
          <w:lang w:val="en-IN"/>
        </w:rPr>
        <w:t>3</w:t>
      </w:r>
      <w:r w:rsidRPr="00443F42">
        <w:rPr>
          <w:lang w:val="en-IN"/>
        </w:rPr>
        <w:t>, pp.1164-1176.</w:t>
      </w:r>
    </w:p>
    <w:p w:rsidR="00443F42" w:rsidRPr="00443F42" w:rsidRDefault="00443F42" w:rsidP="00443F42">
      <w:pPr>
        <w:pStyle w:val="Referance"/>
        <w:rPr>
          <w:lang w:val="en-IN"/>
        </w:rPr>
      </w:pPr>
      <w:r w:rsidRPr="00443F42">
        <w:rPr>
          <w:lang w:val="en-IN"/>
        </w:rPr>
        <w:t>Vaiyapuri, T., Sbai, Z., Alaskar, H. and Alaseem, N.A., 2021. Deep learning approaches for intrusion detection in IIoT networks–opportunities and future directions. </w:t>
      </w:r>
      <w:r w:rsidRPr="00443F42">
        <w:rPr>
          <w:i/>
          <w:iCs/>
          <w:lang w:val="en-IN"/>
        </w:rPr>
        <w:t>International Journal of Advanced Computer Science and Applications</w:t>
      </w:r>
      <w:r w:rsidRPr="00443F42">
        <w:rPr>
          <w:lang w:val="en-IN"/>
        </w:rPr>
        <w:t>, </w:t>
      </w:r>
      <w:r w:rsidRPr="00443F42">
        <w:rPr>
          <w:i/>
          <w:iCs/>
          <w:lang w:val="en-IN"/>
        </w:rPr>
        <w:t>12</w:t>
      </w:r>
      <w:r w:rsidRPr="00443F42">
        <w:rPr>
          <w:lang w:val="en-IN"/>
        </w:rPr>
        <w:t>(4).</w:t>
      </w:r>
    </w:p>
    <w:p w:rsidR="00443F42" w:rsidRPr="00443F42" w:rsidRDefault="00443F42" w:rsidP="00443F42">
      <w:pPr>
        <w:pStyle w:val="Referance"/>
        <w:rPr>
          <w:lang w:val="en-IN"/>
        </w:rPr>
      </w:pPr>
      <w:r w:rsidRPr="00443F42">
        <w:rPr>
          <w:lang w:val="en-IN"/>
        </w:rPr>
        <w:t>Mohamed, H.G., Alrowais, F., Al-Hagery, M.A., Al Duhayyim, M., Hilal, A.M. and Motwakel, A., 2023. Optimal Wavelet Neural Network-Based Intrusion Detection in Internet of Things Environment. </w:t>
      </w:r>
      <w:r w:rsidRPr="00443F42">
        <w:rPr>
          <w:i/>
          <w:iCs/>
          <w:lang w:val="en-IN"/>
        </w:rPr>
        <w:t>Computers, Materials &amp; Continua</w:t>
      </w:r>
      <w:r w:rsidRPr="00443F42">
        <w:rPr>
          <w:lang w:val="en-IN"/>
        </w:rPr>
        <w:t>, </w:t>
      </w:r>
      <w:r w:rsidRPr="00443F42">
        <w:rPr>
          <w:i/>
          <w:iCs/>
          <w:lang w:val="en-IN"/>
        </w:rPr>
        <w:t>75</w:t>
      </w:r>
      <w:r w:rsidRPr="00443F42">
        <w:rPr>
          <w:lang w:val="en-IN"/>
        </w:rPr>
        <w:t>(2).</w:t>
      </w:r>
    </w:p>
    <w:p w:rsidR="00443F42" w:rsidRPr="00443F42" w:rsidRDefault="00443F42" w:rsidP="00443F42">
      <w:pPr>
        <w:pStyle w:val="Referance"/>
        <w:rPr>
          <w:lang w:val="en-IN"/>
        </w:rPr>
      </w:pPr>
      <w:r w:rsidRPr="00443F42">
        <w:rPr>
          <w:lang w:val="en-IN"/>
        </w:rPr>
        <w:t>Salman, E.H., Taher, M.A., Hammadi, Y.I., Mahmood, O.A., Muthanna, A. and Koucheryavy, A., 2022. An Anomaly Intrusion Detection for High-Density Internet of Things Wireless Communication Network Based Deep Learning Algorithms. </w:t>
      </w:r>
      <w:r w:rsidRPr="00443F42">
        <w:rPr>
          <w:i/>
          <w:iCs/>
          <w:lang w:val="en-IN"/>
        </w:rPr>
        <w:t>Sensors</w:t>
      </w:r>
      <w:r w:rsidRPr="00443F42">
        <w:rPr>
          <w:lang w:val="en-IN"/>
        </w:rPr>
        <w:t>, </w:t>
      </w:r>
      <w:r w:rsidRPr="00443F42">
        <w:rPr>
          <w:i/>
          <w:iCs/>
          <w:lang w:val="en-IN"/>
        </w:rPr>
        <w:t>23</w:t>
      </w:r>
      <w:r w:rsidRPr="00443F42">
        <w:rPr>
          <w:lang w:val="en-IN"/>
        </w:rPr>
        <w:t>(1), p.206.</w:t>
      </w:r>
    </w:p>
    <w:p w:rsidR="00443F42" w:rsidRPr="00443F42" w:rsidRDefault="00443F42" w:rsidP="00443F42">
      <w:pPr>
        <w:pStyle w:val="Referance"/>
        <w:rPr>
          <w:lang w:val="en-IN"/>
        </w:rPr>
      </w:pPr>
      <w:r w:rsidRPr="00443F42">
        <w:rPr>
          <w:lang w:val="en-IN"/>
        </w:rPr>
        <w:t>Morshedi, R., Matinkhah, S.M. and Sadeghi, M.T., 2023. Intrusion Detection for IoT Network Security with Deep Neural Network.</w:t>
      </w:r>
    </w:p>
    <w:p w:rsidR="00443F42" w:rsidRPr="00443F42" w:rsidRDefault="00443F42" w:rsidP="00443F42">
      <w:pPr>
        <w:pStyle w:val="Referance"/>
        <w:rPr>
          <w:lang w:val="en-IN"/>
        </w:rPr>
      </w:pPr>
      <w:r w:rsidRPr="00443F42">
        <w:rPr>
          <w:lang w:val="en-IN"/>
        </w:rPr>
        <w:t>Tripathy, P.K., Shabaz, M., Zaidi, A., Keshta, I., Sharma, U., Soni, M., Agrawal, A.V., Maaliw III, R.R. and Sharma, D.P., 2023. Policy conflict detection approach for decision-making in intelligent industrial Internet of Things. </w:t>
      </w:r>
      <w:r w:rsidRPr="00443F42">
        <w:rPr>
          <w:i/>
          <w:iCs/>
          <w:lang w:val="en-IN"/>
        </w:rPr>
        <w:t>Computers and Electrical Engineering</w:t>
      </w:r>
      <w:r w:rsidRPr="00443F42">
        <w:rPr>
          <w:lang w:val="en-IN"/>
        </w:rPr>
        <w:t>, </w:t>
      </w:r>
      <w:r w:rsidRPr="00443F42">
        <w:rPr>
          <w:i/>
          <w:iCs/>
          <w:lang w:val="en-IN"/>
        </w:rPr>
        <w:t>108</w:t>
      </w:r>
      <w:r w:rsidRPr="00443F42">
        <w:rPr>
          <w:lang w:val="en-IN"/>
        </w:rPr>
        <w:t>, p.108671.</w:t>
      </w:r>
    </w:p>
    <w:p w:rsidR="00443F42" w:rsidRPr="00443F42" w:rsidRDefault="00443F42" w:rsidP="00443F42">
      <w:pPr>
        <w:pStyle w:val="Referance"/>
        <w:rPr>
          <w:lang w:val="en-IN"/>
        </w:rPr>
      </w:pPr>
      <w:r w:rsidRPr="00443F42">
        <w:rPr>
          <w:lang w:val="en-IN"/>
        </w:rPr>
        <w:t>Fatani, A., Dahou, A., Abd Elaziz, M., Al-Qaness, M.A., Lu, S., Alfadhli, S.A. and Alresheedi, S.S., 2023. Enhancing Intrusion Detection Systems for IoT and Cloud Environments Using a Growth Optimizer Algorithm and Conventional Neural Networks. </w:t>
      </w:r>
      <w:r w:rsidRPr="00443F42">
        <w:rPr>
          <w:i/>
          <w:iCs/>
          <w:lang w:val="en-IN"/>
        </w:rPr>
        <w:t>Sensors</w:t>
      </w:r>
      <w:r w:rsidRPr="00443F42">
        <w:rPr>
          <w:lang w:val="en-IN"/>
        </w:rPr>
        <w:t>, </w:t>
      </w:r>
      <w:r w:rsidRPr="00443F42">
        <w:rPr>
          <w:i/>
          <w:iCs/>
          <w:lang w:val="en-IN"/>
        </w:rPr>
        <w:t>23</w:t>
      </w:r>
      <w:r w:rsidRPr="00443F42">
        <w:rPr>
          <w:lang w:val="en-IN"/>
        </w:rPr>
        <w:t>(9), p.4430.</w:t>
      </w:r>
    </w:p>
    <w:p w:rsidR="00443F42" w:rsidRPr="00443F42" w:rsidRDefault="00443F42" w:rsidP="00443F42">
      <w:pPr>
        <w:pStyle w:val="Referance"/>
        <w:rPr>
          <w:lang w:val="en-IN"/>
        </w:rPr>
      </w:pPr>
      <w:r w:rsidRPr="00443F42">
        <w:rPr>
          <w:lang w:val="en-IN"/>
        </w:rPr>
        <w:t>Zhao, R., Gui, G., Xue, Z., Yin, J., Ohtsuki, T., Adebisi, B. and Gacanin, H., 2021. A novel intrusion detection method based on lightweight neural network for internet of things. </w:t>
      </w:r>
      <w:r w:rsidRPr="00443F42">
        <w:rPr>
          <w:i/>
          <w:iCs/>
          <w:lang w:val="en-IN"/>
        </w:rPr>
        <w:t>IEEE Internet of Things Journal</w:t>
      </w:r>
      <w:r w:rsidRPr="00443F42">
        <w:rPr>
          <w:lang w:val="en-IN"/>
        </w:rPr>
        <w:t>, </w:t>
      </w:r>
      <w:r w:rsidRPr="00443F42">
        <w:rPr>
          <w:i/>
          <w:iCs/>
          <w:lang w:val="en-IN"/>
        </w:rPr>
        <w:t>9</w:t>
      </w:r>
      <w:r w:rsidRPr="00443F42">
        <w:rPr>
          <w:lang w:val="en-IN"/>
        </w:rPr>
        <w:t>(12), pp.9960-9972.</w:t>
      </w:r>
    </w:p>
    <w:p w:rsidR="00443F42" w:rsidRPr="00443F42" w:rsidRDefault="00443F42" w:rsidP="00443F42">
      <w:pPr>
        <w:pStyle w:val="Referance"/>
        <w:rPr>
          <w:lang w:val="en-IN"/>
        </w:rPr>
      </w:pPr>
      <w:r w:rsidRPr="00443F42">
        <w:rPr>
          <w:lang w:val="en-IN"/>
        </w:rPr>
        <w:t>Pampapathi, B.M., Guptha, N. and Hema, M.S., 2022. Towards an effective deep learning-based intrusion detection system in the internet of things. </w:t>
      </w:r>
      <w:r w:rsidRPr="00443F42">
        <w:rPr>
          <w:i/>
          <w:iCs/>
          <w:lang w:val="en-IN"/>
        </w:rPr>
        <w:t>Telematics and Informatics Reports</w:t>
      </w:r>
      <w:r w:rsidRPr="00443F42">
        <w:rPr>
          <w:lang w:val="en-IN"/>
        </w:rPr>
        <w:t>, </w:t>
      </w:r>
      <w:r w:rsidRPr="00443F42">
        <w:rPr>
          <w:i/>
          <w:iCs/>
          <w:lang w:val="en-IN"/>
        </w:rPr>
        <w:t>7</w:t>
      </w:r>
      <w:r w:rsidRPr="00443F42">
        <w:rPr>
          <w:lang w:val="en-IN"/>
        </w:rPr>
        <w:t>, p.100009.</w:t>
      </w:r>
    </w:p>
    <w:p w:rsidR="00443F42" w:rsidRPr="00443F42" w:rsidRDefault="00443F42" w:rsidP="00443F42">
      <w:pPr>
        <w:pStyle w:val="Referance"/>
        <w:rPr>
          <w:lang w:val="en-IN"/>
        </w:rPr>
      </w:pPr>
      <w:r w:rsidRPr="00443F42">
        <w:rPr>
          <w:lang w:val="en-IN"/>
        </w:rPr>
        <w:t>Jayalaxmi, P.L.S., Saha, R., Kumar, G., Alazab, M., Conti, M. and Cheng, X., 2023. PIGNUS: A Deep Learning Model for IDS in Industrial Internet-of-Things. </w:t>
      </w:r>
      <w:r w:rsidRPr="00443F42">
        <w:rPr>
          <w:i/>
          <w:iCs/>
          <w:lang w:val="en-IN"/>
        </w:rPr>
        <w:t>Computers &amp; Security</w:t>
      </w:r>
      <w:r w:rsidRPr="00443F42">
        <w:rPr>
          <w:lang w:val="en-IN"/>
        </w:rPr>
        <w:t>, p.103315.</w:t>
      </w:r>
    </w:p>
    <w:p w:rsidR="00443F42" w:rsidRPr="00443F42" w:rsidRDefault="00443F42" w:rsidP="00443F42">
      <w:pPr>
        <w:pStyle w:val="Referance"/>
        <w:rPr>
          <w:lang w:val="en-IN"/>
        </w:rPr>
      </w:pPr>
      <w:r w:rsidRPr="00443F42">
        <w:rPr>
          <w:lang w:val="en-IN"/>
        </w:rPr>
        <w:t>Vishwakarma, M. and Kesswani, N., 2022. DIDS: A Deep Neural Network based real-time Intrusion detection system for IoT. </w:t>
      </w:r>
      <w:r w:rsidRPr="00443F42">
        <w:rPr>
          <w:i/>
          <w:iCs/>
          <w:lang w:val="en-IN"/>
        </w:rPr>
        <w:t>Decision Analytics Journal</w:t>
      </w:r>
      <w:r w:rsidRPr="00443F42">
        <w:rPr>
          <w:lang w:val="en-IN"/>
        </w:rPr>
        <w:t>, </w:t>
      </w:r>
      <w:r w:rsidRPr="00443F42">
        <w:rPr>
          <w:i/>
          <w:iCs/>
          <w:lang w:val="en-IN"/>
        </w:rPr>
        <w:t>5</w:t>
      </w:r>
      <w:r w:rsidRPr="00443F42">
        <w:rPr>
          <w:lang w:val="en-IN"/>
        </w:rPr>
        <w:t>, p.100142.</w:t>
      </w:r>
    </w:p>
    <w:p w:rsidR="00443F42" w:rsidRPr="00443F42" w:rsidRDefault="00443F42" w:rsidP="00443F42">
      <w:pPr>
        <w:pStyle w:val="Referance"/>
        <w:rPr>
          <w:lang w:val="en-IN"/>
        </w:rPr>
      </w:pPr>
      <w:r w:rsidRPr="00443F42">
        <w:rPr>
          <w:lang w:val="en-IN"/>
        </w:rPr>
        <w:t>Wu, Y., Nie, L., Wang, S., Ning, Z. and Li, S., 2021. Intelligent intrusion detection for internet of things security: A deep convolutional generative adversarial network-enabled approach. </w:t>
      </w:r>
      <w:r w:rsidRPr="00443F42">
        <w:rPr>
          <w:i/>
          <w:iCs/>
          <w:lang w:val="en-IN"/>
        </w:rPr>
        <w:t>IEEE Internet of Things Journal</w:t>
      </w:r>
      <w:r w:rsidRPr="00443F42">
        <w:rPr>
          <w:lang w:val="en-IN"/>
        </w:rPr>
        <w:t>.</w:t>
      </w:r>
    </w:p>
    <w:p w:rsidR="00443F42" w:rsidRPr="00443F42" w:rsidRDefault="00443F42" w:rsidP="00443F42">
      <w:pPr>
        <w:pStyle w:val="Referance"/>
        <w:rPr>
          <w:lang w:val="en-IN"/>
        </w:rPr>
      </w:pPr>
      <w:r w:rsidRPr="00443F42">
        <w:rPr>
          <w:lang w:val="en-IN"/>
        </w:rPr>
        <w:t>Chen, Y., Lin, Q., Wei, W., Ji, J., Wong, K.C. and Coello, C.A.C., 2022. Intrusion detection using multi-objective evolutionary convolutional neural network for Internet of Things in Fog computing. </w:t>
      </w:r>
      <w:r w:rsidRPr="00443F42">
        <w:rPr>
          <w:i/>
          <w:iCs/>
          <w:lang w:val="en-IN"/>
        </w:rPr>
        <w:t>Knowledge-Based Systems</w:t>
      </w:r>
      <w:r w:rsidRPr="00443F42">
        <w:rPr>
          <w:lang w:val="en-IN"/>
        </w:rPr>
        <w:t>, </w:t>
      </w:r>
      <w:r w:rsidRPr="00443F42">
        <w:rPr>
          <w:i/>
          <w:iCs/>
          <w:lang w:val="en-IN"/>
        </w:rPr>
        <w:t>244</w:t>
      </w:r>
      <w:r w:rsidRPr="00443F42">
        <w:rPr>
          <w:lang w:val="en-IN"/>
        </w:rPr>
        <w:t>, p.108505.</w:t>
      </w:r>
    </w:p>
    <w:p w:rsidR="00443F42" w:rsidRPr="00443F42" w:rsidRDefault="00443F42" w:rsidP="00443F42">
      <w:pPr>
        <w:pStyle w:val="Referance"/>
        <w:rPr>
          <w:lang w:val="en-IN"/>
        </w:rPr>
      </w:pPr>
      <w:r w:rsidRPr="00443F42">
        <w:rPr>
          <w:lang w:val="en-IN"/>
        </w:rPr>
        <w:t>Eskandari, A., Aghaei, M., Milimonfared, J. and Nedaei, A., 2023. A weighted ensemble learning-based autonomous fault diagnosis method for photovoltaic systems using genetic algorithm. </w:t>
      </w:r>
      <w:r w:rsidRPr="00443F42">
        <w:rPr>
          <w:i/>
          <w:iCs/>
          <w:lang w:val="en-IN"/>
        </w:rPr>
        <w:t>International Journal of Electrical Power &amp; Energy Systems</w:t>
      </w:r>
      <w:r w:rsidRPr="00443F42">
        <w:rPr>
          <w:lang w:val="en-IN"/>
        </w:rPr>
        <w:t>, </w:t>
      </w:r>
      <w:r w:rsidRPr="00443F42">
        <w:rPr>
          <w:i/>
          <w:iCs/>
          <w:lang w:val="en-IN"/>
        </w:rPr>
        <w:t>144</w:t>
      </w:r>
      <w:r w:rsidRPr="00443F42">
        <w:rPr>
          <w:lang w:val="en-IN"/>
        </w:rPr>
        <w:t>, p.108591.</w:t>
      </w:r>
    </w:p>
    <w:p w:rsidR="00443F42" w:rsidRPr="00443F42" w:rsidRDefault="00443F42" w:rsidP="00443F42">
      <w:pPr>
        <w:pStyle w:val="Referance"/>
        <w:rPr>
          <w:lang w:val="en-IN"/>
        </w:rPr>
      </w:pPr>
      <w:r w:rsidRPr="00443F42">
        <w:rPr>
          <w:lang w:val="en-IN"/>
        </w:rPr>
        <w:lastRenderedPageBreak/>
        <w:t>Alorf, A. and Khan, M.U.G., 2022. Multi-label classification of Alzheimer's disease stages from resting-state fMRI-based correlation connectivity data and deep learning. </w:t>
      </w:r>
      <w:r w:rsidRPr="00443F42">
        <w:rPr>
          <w:i/>
          <w:iCs/>
          <w:lang w:val="en-IN"/>
        </w:rPr>
        <w:t>Computers in Biology and Medicine</w:t>
      </w:r>
      <w:r w:rsidRPr="00443F42">
        <w:rPr>
          <w:lang w:val="en-IN"/>
        </w:rPr>
        <w:t>, </w:t>
      </w:r>
      <w:r w:rsidRPr="00443F42">
        <w:rPr>
          <w:i/>
          <w:iCs/>
          <w:lang w:val="en-IN"/>
        </w:rPr>
        <w:t>151</w:t>
      </w:r>
      <w:r w:rsidRPr="00443F42">
        <w:rPr>
          <w:lang w:val="en-IN"/>
        </w:rPr>
        <w:t>, p.106240.</w:t>
      </w:r>
    </w:p>
    <w:p w:rsidR="00443F42" w:rsidRPr="00443F42" w:rsidRDefault="00443F42" w:rsidP="00443F42">
      <w:pPr>
        <w:pStyle w:val="Referance"/>
        <w:rPr>
          <w:lang w:val="en-IN"/>
        </w:rPr>
      </w:pPr>
      <w:r w:rsidRPr="00443F42">
        <w:rPr>
          <w:lang w:val="en-IN"/>
        </w:rPr>
        <w:t>Liu, H., Duan, S. and Luo, H., 2022. A hybrid engineering algorithm of the seeker algorithm and particle swarm optimization. </w:t>
      </w:r>
      <w:r w:rsidRPr="00443F42">
        <w:rPr>
          <w:i/>
          <w:iCs/>
          <w:lang w:val="en-IN"/>
        </w:rPr>
        <w:t>Materials Testing</w:t>
      </w:r>
      <w:r w:rsidRPr="00443F42">
        <w:rPr>
          <w:lang w:val="en-IN"/>
        </w:rPr>
        <w:t>, </w:t>
      </w:r>
      <w:r w:rsidRPr="00443F42">
        <w:rPr>
          <w:i/>
          <w:iCs/>
          <w:lang w:val="en-IN"/>
        </w:rPr>
        <w:t>64</w:t>
      </w:r>
      <w:r w:rsidRPr="00443F42">
        <w:rPr>
          <w:lang w:val="en-IN"/>
        </w:rPr>
        <w:t>(7), pp.1051-1089.</w:t>
      </w:r>
    </w:p>
    <w:p w:rsidR="00443F42" w:rsidRPr="00443F42" w:rsidRDefault="008978B0" w:rsidP="00443F42">
      <w:pPr>
        <w:pStyle w:val="Referance"/>
        <w:rPr>
          <w:lang w:val="en-IN"/>
        </w:rPr>
      </w:pPr>
      <w:hyperlink r:id="rId13" w:history="1">
        <w:r w:rsidR="00443F42" w:rsidRPr="00443F42">
          <w:rPr>
            <w:rStyle w:val="Hyperlink"/>
            <w:lang w:val="en-IN"/>
          </w:rPr>
          <w:t>https://research.unsw.edu.au/projects/unsw-nb15-dataset</w:t>
        </w:r>
      </w:hyperlink>
    </w:p>
    <w:p w:rsidR="003176B7" w:rsidRPr="00443F42" w:rsidRDefault="00443F42" w:rsidP="00443F42">
      <w:pPr>
        <w:pStyle w:val="Referance"/>
        <w:rPr>
          <w:lang w:val="en-IN"/>
        </w:rPr>
      </w:pPr>
      <w:r w:rsidRPr="00443F42">
        <w:rPr>
          <w:lang w:val="en-IN"/>
        </w:rPr>
        <w:t>Albulayhi, K.; Abu Al-Haija, Q.; Alsuhibany, S.A.; Jillepalli, A.A.; Ashrafuzzaman, M.; Sheldon, F.T. IoT Intrusion Detection Using Machine Learning with a Novel High Performing Feature Selection Method. Appl. Sci. 2022, 12, 5015. https://doi.org/10.3390/ app12105015</w:t>
      </w:r>
    </w:p>
    <w:sectPr w:rsidR="003176B7" w:rsidRPr="00443F42" w:rsidSect="003176B7">
      <w:type w:val="continuous"/>
      <w:pgSz w:w="11909" w:h="16834" w:code="9"/>
      <w:pgMar w:top="1080" w:right="734" w:bottom="2434" w:left="734" w:header="720" w:footer="720" w:gutter="0"/>
      <w:cols w:num="2" w:space="36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AE9A00B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44E36A6B"/>
    <w:multiLevelType w:val="hybridMultilevel"/>
    <w:tmpl w:val="975AF97A"/>
    <w:lvl w:ilvl="0" w:tplc="B0F8CD1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92016E8"/>
    <w:multiLevelType w:val="hybridMultilevel"/>
    <w:tmpl w:val="EB04A638"/>
    <w:lvl w:ilvl="0" w:tplc="7862DA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2CA544A"/>
    <w:multiLevelType w:val="singleLevel"/>
    <w:tmpl w:val="EB7A3D1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4199"/>
        </w:tabs>
      </w:pPr>
      <w:rPr>
        <w:rFonts w:ascii="Times New Roman" w:hAnsi="Times New Roman" w:cs="Times New Roman" w:hint="default"/>
        <w:b w:val="0"/>
        <w:bCs w:val="0"/>
        <w:i w:val="0"/>
        <w:iCs w:val="0"/>
        <w:sz w:val="16"/>
        <w:szCs w:val="16"/>
      </w:rPr>
    </w:lvl>
  </w:abstractNum>
  <w:abstractNum w:abstractNumId="1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8"/>
  </w:num>
  <w:num w:numId="3">
    <w:abstractNumId w:val="1"/>
  </w:num>
  <w:num w:numId="4">
    <w:abstractNumId w:val="4"/>
  </w:num>
  <w:num w:numId="5">
    <w:abstractNumId w:val="4"/>
  </w:num>
  <w:num w:numId="6">
    <w:abstractNumId w:val="4"/>
  </w:num>
  <w:num w:numId="7">
    <w:abstractNumId w:val="4"/>
  </w:num>
  <w:num w:numId="8">
    <w:abstractNumId w:val="7"/>
  </w:num>
  <w:num w:numId="9">
    <w:abstractNumId w:val="9"/>
  </w:num>
  <w:num w:numId="10">
    <w:abstractNumId w:val="3"/>
  </w:num>
  <w:num w:numId="11">
    <w:abstractNumId w:val="0"/>
  </w:num>
  <w:num w:numId="12">
    <w:abstractNumId w:val="10"/>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1028"/>
  <w:defaultTabStop w:val="720"/>
  <w:doNotHyphenateCaps/>
  <w:characterSpacingControl w:val="doNotCompress"/>
  <w:doNotValidateAgainstSchema/>
  <w:doNotDemarcateInvalidXml/>
  <w:compat>
    <w:doNotUseHTMLParagraphAutoSpacing/>
  </w:compat>
  <w:docVars>
    <w:docVar w:name="__Grammarly_42____i" w:val="H4sIAAAAAAAEAKtWckksSQxILCpxzi/NK1GyMqwFAAEhoTITAAAA"/>
    <w:docVar w:name="__Grammarly_42___1" w:val="H4sIAAAAAAAEAKtWcslP9kxRslIyNDYyszQ1MrAwNzI0NbAwNTRX0lEKTi0uzszPAykwrgUAcQQYEiwAAAA="/>
  </w:docVars>
  <w:rsids>
    <w:rsidRoot w:val="00443F42"/>
    <w:rsid w:val="00012A6D"/>
    <w:rsid w:val="00020AED"/>
    <w:rsid w:val="00033E75"/>
    <w:rsid w:val="00043483"/>
    <w:rsid w:val="0004390D"/>
    <w:rsid w:val="00055F8C"/>
    <w:rsid w:val="00057234"/>
    <w:rsid w:val="00064B04"/>
    <w:rsid w:val="0007036C"/>
    <w:rsid w:val="000721F3"/>
    <w:rsid w:val="00080571"/>
    <w:rsid w:val="000938B5"/>
    <w:rsid w:val="000B1217"/>
    <w:rsid w:val="000B4641"/>
    <w:rsid w:val="000B77F1"/>
    <w:rsid w:val="000D62DA"/>
    <w:rsid w:val="000E23AF"/>
    <w:rsid w:val="000F74FD"/>
    <w:rsid w:val="0010711E"/>
    <w:rsid w:val="0011424B"/>
    <w:rsid w:val="00127EDD"/>
    <w:rsid w:val="001316BA"/>
    <w:rsid w:val="00137A41"/>
    <w:rsid w:val="00140D53"/>
    <w:rsid w:val="00150764"/>
    <w:rsid w:val="00165884"/>
    <w:rsid w:val="00182A1F"/>
    <w:rsid w:val="001907D7"/>
    <w:rsid w:val="00195508"/>
    <w:rsid w:val="0019596F"/>
    <w:rsid w:val="00197F2C"/>
    <w:rsid w:val="001E1670"/>
    <w:rsid w:val="001E6992"/>
    <w:rsid w:val="001F1E59"/>
    <w:rsid w:val="0022481E"/>
    <w:rsid w:val="00251275"/>
    <w:rsid w:val="0026452A"/>
    <w:rsid w:val="00275BEB"/>
    <w:rsid w:val="00276735"/>
    <w:rsid w:val="00281F55"/>
    <w:rsid w:val="002864A3"/>
    <w:rsid w:val="00290253"/>
    <w:rsid w:val="002A51CB"/>
    <w:rsid w:val="002B3B81"/>
    <w:rsid w:val="002B5A40"/>
    <w:rsid w:val="002C5724"/>
    <w:rsid w:val="002D3A22"/>
    <w:rsid w:val="00300A1D"/>
    <w:rsid w:val="0030440F"/>
    <w:rsid w:val="00305492"/>
    <w:rsid w:val="00310F3F"/>
    <w:rsid w:val="00315DC5"/>
    <w:rsid w:val="003176B7"/>
    <w:rsid w:val="00324E41"/>
    <w:rsid w:val="00332A08"/>
    <w:rsid w:val="00332D58"/>
    <w:rsid w:val="003371C4"/>
    <w:rsid w:val="00337E58"/>
    <w:rsid w:val="00341B5A"/>
    <w:rsid w:val="003855E4"/>
    <w:rsid w:val="00391DE9"/>
    <w:rsid w:val="003A47B5"/>
    <w:rsid w:val="003A4CDB"/>
    <w:rsid w:val="003A54F9"/>
    <w:rsid w:val="003A59A6"/>
    <w:rsid w:val="003B53D8"/>
    <w:rsid w:val="003B7E92"/>
    <w:rsid w:val="003D4C72"/>
    <w:rsid w:val="003E2E69"/>
    <w:rsid w:val="003E3B75"/>
    <w:rsid w:val="003E5C24"/>
    <w:rsid w:val="004015C6"/>
    <w:rsid w:val="004058CE"/>
    <w:rsid w:val="004059FE"/>
    <w:rsid w:val="00415B95"/>
    <w:rsid w:val="004300BC"/>
    <w:rsid w:val="004339BA"/>
    <w:rsid w:val="00443F42"/>
    <w:rsid w:val="004445B3"/>
    <w:rsid w:val="00493B94"/>
    <w:rsid w:val="004C0A39"/>
    <w:rsid w:val="004C1DAF"/>
    <w:rsid w:val="004D1382"/>
    <w:rsid w:val="004D26B0"/>
    <w:rsid w:val="004E13C2"/>
    <w:rsid w:val="00511914"/>
    <w:rsid w:val="00513A42"/>
    <w:rsid w:val="005558C5"/>
    <w:rsid w:val="00574F60"/>
    <w:rsid w:val="00575497"/>
    <w:rsid w:val="005841D4"/>
    <w:rsid w:val="0058457F"/>
    <w:rsid w:val="005B260C"/>
    <w:rsid w:val="005B520E"/>
    <w:rsid w:val="005B535B"/>
    <w:rsid w:val="005C4B4D"/>
    <w:rsid w:val="006108A4"/>
    <w:rsid w:val="00622E38"/>
    <w:rsid w:val="006456AA"/>
    <w:rsid w:val="00646966"/>
    <w:rsid w:val="00683C3E"/>
    <w:rsid w:val="006A22D1"/>
    <w:rsid w:val="006A38DE"/>
    <w:rsid w:val="006C4648"/>
    <w:rsid w:val="006C712E"/>
    <w:rsid w:val="006D7F35"/>
    <w:rsid w:val="006F1F14"/>
    <w:rsid w:val="0072064C"/>
    <w:rsid w:val="00725B4A"/>
    <w:rsid w:val="007317CD"/>
    <w:rsid w:val="00734476"/>
    <w:rsid w:val="007410FD"/>
    <w:rsid w:val="007442B3"/>
    <w:rsid w:val="00753743"/>
    <w:rsid w:val="00753F7B"/>
    <w:rsid w:val="007807CE"/>
    <w:rsid w:val="0078398E"/>
    <w:rsid w:val="00787C5A"/>
    <w:rsid w:val="007919DE"/>
    <w:rsid w:val="007A483E"/>
    <w:rsid w:val="007A4C6A"/>
    <w:rsid w:val="007B023B"/>
    <w:rsid w:val="007C0308"/>
    <w:rsid w:val="007D54FE"/>
    <w:rsid w:val="007F6E39"/>
    <w:rsid w:val="008014D2"/>
    <w:rsid w:val="008030FB"/>
    <w:rsid w:val="008054BC"/>
    <w:rsid w:val="0082321D"/>
    <w:rsid w:val="0083299D"/>
    <w:rsid w:val="00832D57"/>
    <w:rsid w:val="00845A2D"/>
    <w:rsid w:val="008516E2"/>
    <w:rsid w:val="00863404"/>
    <w:rsid w:val="00876458"/>
    <w:rsid w:val="008946DE"/>
    <w:rsid w:val="00894E07"/>
    <w:rsid w:val="008978B0"/>
    <w:rsid w:val="008A55B5"/>
    <w:rsid w:val="008A75C8"/>
    <w:rsid w:val="008C2911"/>
    <w:rsid w:val="008C4E92"/>
    <w:rsid w:val="008E1E38"/>
    <w:rsid w:val="008E5647"/>
    <w:rsid w:val="008E79F5"/>
    <w:rsid w:val="008F286E"/>
    <w:rsid w:val="008F2EA1"/>
    <w:rsid w:val="008F422A"/>
    <w:rsid w:val="00912CD8"/>
    <w:rsid w:val="00931F8F"/>
    <w:rsid w:val="00932B51"/>
    <w:rsid w:val="00950520"/>
    <w:rsid w:val="00956102"/>
    <w:rsid w:val="009574FC"/>
    <w:rsid w:val="00962ED7"/>
    <w:rsid w:val="009726CB"/>
    <w:rsid w:val="00974717"/>
    <w:rsid w:val="0097508D"/>
    <w:rsid w:val="009805A0"/>
    <w:rsid w:val="00986E4A"/>
    <w:rsid w:val="009A2F59"/>
    <w:rsid w:val="009C23E9"/>
    <w:rsid w:val="009D3802"/>
    <w:rsid w:val="009F3E9C"/>
    <w:rsid w:val="00A21365"/>
    <w:rsid w:val="00A223A0"/>
    <w:rsid w:val="00A228E9"/>
    <w:rsid w:val="00A510F7"/>
    <w:rsid w:val="00A602BA"/>
    <w:rsid w:val="00A60450"/>
    <w:rsid w:val="00A648AC"/>
    <w:rsid w:val="00AB12C9"/>
    <w:rsid w:val="00AC6519"/>
    <w:rsid w:val="00AE7927"/>
    <w:rsid w:val="00AF36C8"/>
    <w:rsid w:val="00AF5DDC"/>
    <w:rsid w:val="00B20A6B"/>
    <w:rsid w:val="00B236CC"/>
    <w:rsid w:val="00B50DF7"/>
    <w:rsid w:val="00BA0CEF"/>
    <w:rsid w:val="00BA5918"/>
    <w:rsid w:val="00BB7A32"/>
    <w:rsid w:val="00BF74E8"/>
    <w:rsid w:val="00C1329F"/>
    <w:rsid w:val="00C23E0C"/>
    <w:rsid w:val="00C34C15"/>
    <w:rsid w:val="00C45EE2"/>
    <w:rsid w:val="00C53C3F"/>
    <w:rsid w:val="00C60571"/>
    <w:rsid w:val="00C70903"/>
    <w:rsid w:val="00C71B84"/>
    <w:rsid w:val="00C85551"/>
    <w:rsid w:val="00C85A39"/>
    <w:rsid w:val="00C97B8E"/>
    <w:rsid w:val="00CB0C4D"/>
    <w:rsid w:val="00CB1404"/>
    <w:rsid w:val="00CB5E51"/>
    <w:rsid w:val="00CB66E6"/>
    <w:rsid w:val="00CD5E2E"/>
    <w:rsid w:val="00D123BE"/>
    <w:rsid w:val="00D12FB3"/>
    <w:rsid w:val="00D1631E"/>
    <w:rsid w:val="00D338B2"/>
    <w:rsid w:val="00D353EC"/>
    <w:rsid w:val="00D50FAB"/>
    <w:rsid w:val="00D52E8D"/>
    <w:rsid w:val="00D60012"/>
    <w:rsid w:val="00D8049B"/>
    <w:rsid w:val="00D863F7"/>
    <w:rsid w:val="00D9156D"/>
    <w:rsid w:val="00D96036"/>
    <w:rsid w:val="00DB589F"/>
    <w:rsid w:val="00DD3B1C"/>
    <w:rsid w:val="00DE085D"/>
    <w:rsid w:val="00DE6B5A"/>
    <w:rsid w:val="00DF5457"/>
    <w:rsid w:val="00DF7343"/>
    <w:rsid w:val="00E01F98"/>
    <w:rsid w:val="00E030BD"/>
    <w:rsid w:val="00E0420C"/>
    <w:rsid w:val="00E14A0A"/>
    <w:rsid w:val="00E33D05"/>
    <w:rsid w:val="00E35AAF"/>
    <w:rsid w:val="00E36440"/>
    <w:rsid w:val="00E73BD7"/>
    <w:rsid w:val="00E91219"/>
    <w:rsid w:val="00EA506F"/>
    <w:rsid w:val="00EB0B5D"/>
    <w:rsid w:val="00EB4A42"/>
    <w:rsid w:val="00EC2CFB"/>
    <w:rsid w:val="00EC38FB"/>
    <w:rsid w:val="00EE4362"/>
    <w:rsid w:val="00EE5FBB"/>
    <w:rsid w:val="00EF18D7"/>
    <w:rsid w:val="00EF1E8A"/>
    <w:rsid w:val="00EF3A1A"/>
    <w:rsid w:val="00F11F6B"/>
    <w:rsid w:val="00F31F24"/>
    <w:rsid w:val="00F33737"/>
    <w:rsid w:val="00F54514"/>
    <w:rsid w:val="00F620EA"/>
    <w:rsid w:val="00F92C9E"/>
    <w:rsid w:val="00F97EAF"/>
    <w:rsid w:val="00FB14BB"/>
    <w:rsid w:val="00FB278F"/>
    <w:rsid w:val="00FC7503"/>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D62DA"/>
    <w:pPr>
      <w:tabs>
        <w:tab w:val="left" w:pos="288"/>
      </w:tabs>
      <w:spacing w:line="228" w:lineRule="auto"/>
      <w:ind w:firstLine="288"/>
      <w:jc w:val="both"/>
    </w:pPr>
    <w:rPr>
      <w:rFonts w:ascii="Times New Roman" w:eastAsia="MS Mincho" w:hAnsi="Times New Roman"/>
      <w:spacing w:val="-1"/>
      <w:lang w:val="en-US" w:eastAsia="en-US"/>
    </w:rPr>
  </w:style>
  <w:style w:type="paragraph" w:styleId="Heading1">
    <w:name w:val="heading 1"/>
    <w:basedOn w:val="Normal"/>
    <w:next w:val="Normal"/>
    <w:link w:val="Heading1Char"/>
    <w:uiPriority w:val="99"/>
    <w:qFormat/>
    <w:rsid w:val="003E3B75"/>
    <w:pPr>
      <w:keepNext/>
      <w:keepLines/>
      <w:numPr>
        <w:numId w:val="4"/>
      </w:numPr>
      <w:tabs>
        <w:tab w:val="left" w:pos="216"/>
      </w:tabs>
      <w:spacing w:before="160" w:after="80"/>
      <w:ind w:firstLine="0"/>
      <w:jc w:val="center"/>
      <w:outlineLvl w:val="0"/>
    </w:pPr>
    <w:rPr>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outlineLvl w:val="2"/>
    </w:pPr>
    <w:rPr>
      <w:i/>
      <w:iCs/>
      <w:noProof/>
    </w:rPr>
  </w:style>
  <w:style w:type="paragraph" w:styleId="Heading4">
    <w:name w:val="heading 4"/>
    <w:basedOn w:val="Normal"/>
    <w:next w:val="Normal"/>
    <w:link w:val="Heading4Char"/>
    <w:uiPriority w:val="99"/>
    <w:rsid w:val="004059FE"/>
    <w:pPr>
      <w:numPr>
        <w:ilvl w:val="3"/>
        <w:numId w:val="7"/>
      </w:numPr>
      <w:tabs>
        <w:tab w:val="left" w:pos="821"/>
      </w:tabs>
      <w:spacing w:before="40" w:after="40"/>
      <w:ind w:firstLine="504"/>
      <w:outlineLvl w:val="3"/>
    </w:pPr>
    <w:rPr>
      <w:i/>
      <w:iCs/>
      <w:noProof/>
    </w:rPr>
  </w:style>
  <w:style w:type="paragraph" w:styleId="Heading5">
    <w:name w:val="heading 5"/>
    <w:basedOn w:val="Normal"/>
    <w:next w:val="Normal"/>
    <w:link w:val="Heading5Char"/>
    <w:uiPriority w:val="99"/>
    <w:rsid w:val="008978B0"/>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E3B75"/>
    <w:rPr>
      <w:rFonts w:ascii="Times New Roman" w:eastAsia="MS Mincho" w:hAnsi="Times New Roman"/>
      <w:smallCaps/>
      <w:noProof/>
      <w:spacing w:val="-1"/>
      <w:lang w:val="en-US" w:eastAsia="en-US"/>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8978B0"/>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rsid w:val="008978B0"/>
    <w:pPr>
      <w:jc w:val="center"/>
    </w:pPr>
    <w:rPr>
      <w:rFonts w:ascii="Times New Roman" w:hAnsi="Times New Roman"/>
      <w:lang w:val="en-US" w:eastAsia="en-US"/>
    </w:rPr>
  </w:style>
  <w:style w:type="paragraph" w:customStyle="1" w:styleId="Author">
    <w:name w:val="Author"/>
    <w:uiPriority w:val="99"/>
    <w:rsid w:val="008978B0"/>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spacing w:after="120"/>
    </w:p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rsid w:val="008978B0"/>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link w:val="referencesChar"/>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rsid w:val="008978B0"/>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sid w:val="008978B0"/>
    <w:rPr>
      <w:b/>
      <w:bCs/>
      <w:sz w:val="16"/>
      <w:szCs w:val="16"/>
    </w:rPr>
  </w:style>
  <w:style w:type="paragraph" w:customStyle="1" w:styleId="tablecolsubhead">
    <w:name w:val="table col subhead"/>
    <w:basedOn w:val="tablecolhead"/>
    <w:uiPriority w:val="99"/>
    <w:rsid w:val="008978B0"/>
    <w:rPr>
      <w:i/>
      <w:iCs/>
      <w:sz w:val="15"/>
      <w:szCs w:val="15"/>
    </w:rPr>
  </w:style>
  <w:style w:type="paragraph" w:customStyle="1" w:styleId="tablecopy">
    <w:name w:val="table copy"/>
    <w:uiPriority w:val="99"/>
    <w:rsid w:val="008978B0"/>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rsid w:val="008978B0"/>
    <w:pPr>
      <w:numPr>
        <w:numId w:val="9"/>
      </w:numPr>
      <w:tabs>
        <w:tab w:val="clear" w:pos="4199"/>
        <w:tab w:val="num" w:pos="1080"/>
      </w:tabs>
      <w:spacing w:before="240" w:after="120" w:line="216" w:lineRule="auto"/>
      <w:jc w:val="center"/>
    </w:pPr>
    <w:rPr>
      <w:rFonts w:ascii="Times New Roman" w:hAnsi="Times New Roman"/>
      <w:smallCaps/>
      <w:noProof/>
      <w:sz w:val="16"/>
      <w:szCs w:val="16"/>
      <w:lang w:val="en-US" w:eastAsia="en-US"/>
    </w:rPr>
  </w:style>
  <w:style w:type="paragraph" w:styleId="Title">
    <w:name w:val="Title"/>
    <w:basedOn w:val="papertitle"/>
    <w:next w:val="Normal"/>
    <w:link w:val="TitleChar"/>
    <w:uiPriority w:val="10"/>
    <w:qFormat/>
    <w:rsid w:val="00140D53"/>
    <w:rPr>
      <w:rFonts w:eastAsia="MS Mincho"/>
    </w:rPr>
  </w:style>
  <w:style w:type="character" w:customStyle="1" w:styleId="TitleChar">
    <w:name w:val="Title Char"/>
    <w:basedOn w:val="DefaultParagraphFont"/>
    <w:link w:val="Title"/>
    <w:uiPriority w:val="10"/>
    <w:rsid w:val="00140D53"/>
    <w:rPr>
      <w:rFonts w:ascii="Times New Roman" w:eastAsia="MS Mincho" w:hAnsi="Times New Roman"/>
      <w:bCs/>
      <w:noProof/>
      <w:sz w:val="48"/>
      <w:szCs w:val="48"/>
      <w:lang w:val="en-US" w:eastAsia="en-US"/>
    </w:rPr>
  </w:style>
  <w:style w:type="paragraph" w:customStyle="1" w:styleId="Referance">
    <w:name w:val="Referance"/>
    <w:basedOn w:val="references"/>
    <w:link w:val="ReferanceChar"/>
    <w:qFormat/>
    <w:rsid w:val="003176B7"/>
    <w:rPr>
      <w:rFonts w:eastAsia="MS Mincho"/>
    </w:rPr>
  </w:style>
  <w:style w:type="paragraph" w:styleId="ListParagraph">
    <w:name w:val="List Paragraph"/>
    <w:basedOn w:val="Normal"/>
    <w:uiPriority w:val="34"/>
    <w:qFormat/>
    <w:rsid w:val="003176B7"/>
    <w:pPr>
      <w:tabs>
        <w:tab w:val="clear" w:pos="288"/>
      </w:tabs>
      <w:spacing w:after="160" w:line="259" w:lineRule="auto"/>
      <w:ind w:left="720" w:firstLine="0"/>
      <w:contextualSpacing/>
      <w:jc w:val="left"/>
    </w:pPr>
    <w:rPr>
      <w:rFonts w:asciiTheme="minorHAnsi" w:eastAsiaTheme="minorHAnsi" w:hAnsiTheme="minorHAnsi" w:cstheme="minorBidi"/>
      <w:spacing w:val="0"/>
      <w:sz w:val="22"/>
      <w:szCs w:val="22"/>
      <w:lang w:val="en-IN"/>
    </w:rPr>
  </w:style>
  <w:style w:type="character" w:customStyle="1" w:styleId="referencesChar">
    <w:name w:val="references Char"/>
    <w:basedOn w:val="DefaultParagraphFont"/>
    <w:link w:val="references"/>
    <w:uiPriority w:val="99"/>
    <w:rsid w:val="003176B7"/>
    <w:rPr>
      <w:rFonts w:ascii="Times New Roman" w:hAnsi="Times New Roman"/>
      <w:noProof/>
      <w:sz w:val="16"/>
      <w:szCs w:val="16"/>
      <w:lang w:val="en-US" w:eastAsia="en-US"/>
    </w:rPr>
  </w:style>
  <w:style w:type="character" w:customStyle="1" w:styleId="ReferanceChar">
    <w:name w:val="Referance Char"/>
    <w:basedOn w:val="referencesChar"/>
    <w:link w:val="Referance"/>
    <w:rsid w:val="003176B7"/>
    <w:rPr>
      <w:rFonts w:ascii="Times New Roman" w:eastAsia="MS Mincho" w:hAnsi="Times New Roman"/>
      <w:noProof/>
      <w:sz w:val="16"/>
      <w:szCs w:val="16"/>
      <w:lang w:val="en-US" w:eastAsia="en-US"/>
    </w:rPr>
  </w:style>
  <w:style w:type="paragraph" w:customStyle="1" w:styleId="TableHeading">
    <w:name w:val="Table Heading"/>
    <w:basedOn w:val="Normal"/>
    <w:link w:val="TableHeadingChar"/>
    <w:qFormat/>
    <w:rsid w:val="003E3B75"/>
    <w:pPr>
      <w:spacing w:after="120" w:line="216" w:lineRule="auto"/>
      <w:jc w:val="center"/>
    </w:pPr>
    <w:rPr>
      <w:bCs/>
      <w:sz w:val="16"/>
      <w:szCs w:val="16"/>
    </w:rPr>
  </w:style>
  <w:style w:type="character" w:customStyle="1" w:styleId="TableHeadingChar">
    <w:name w:val="Table Heading Char"/>
    <w:basedOn w:val="DefaultParagraphFont"/>
    <w:link w:val="TableHeading"/>
    <w:rsid w:val="003E3B75"/>
    <w:rPr>
      <w:rFonts w:ascii="Times New Roman" w:eastAsia="MS Mincho" w:hAnsi="Times New Roman"/>
      <w:bCs/>
      <w:spacing w:val="-1"/>
      <w:sz w:val="16"/>
      <w:szCs w:val="16"/>
      <w:lang w:val="en-US" w:eastAsia="en-US"/>
    </w:rPr>
  </w:style>
  <w:style w:type="paragraph" w:customStyle="1" w:styleId="Fig-Image">
    <w:name w:val="Fig- Image"/>
    <w:basedOn w:val="Normal"/>
    <w:link w:val="Fig-ImageChar"/>
    <w:qFormat/>
    <w:rsid w:val="00055F8C"/>
    <w:pPr>
      <w:ind w:firstLine="0"/>
      <w:jc w:val="center"/>
    </w:pPr>
    <w:rPr>
      <w:bCs/>
      <w:lang w:eastAsia="en-IN"/>
    </w:rPr>
  </w:style>
  <w:style w:type="character" w:customStyle="1" w:styleId="Fig-ImageChar">
    <w:name w:val="Fig- Image Char"/>
    <w:basedOn w:val="DefaultParagraphFont"/>
    <w:link w:val="Fig-Image"/>
    <w:rsid w:val="00055F8C"/>
    <w:rPr>
      <w:rFonts w:ascii="Times New Roman" w:eastAsia="MS Mincho" w:hAnsi="Times New Roman"/>
      <w:bCs/>
      <w:spacing w:val="-1"/>
      <w:lang w:val="en-US"/>
    </w:rPr>
  </w:style>
  <w:style w:type="paragraph" w:styleId="NormalWeb">
    <w:name w:val="Normal (Web)"/>
    <w:basedOn w:val="Normal"/>
    <w:uiPriority w:val="99"/>
    <w:semiHidden/>
    <w:unhideWhenUsed/>
    <w:rsid w:val="00443F42"/>
    <w:pPr>
      <w:tabs>
        <w:tab w:val="clear" w:pos="288"/>
      </w:tabs>
      <w:spacing w:before="100" w:beforeAutospacing="1" w:after="100" w:afterAutospacing="1" w:line="240" w:lineRule="auto"/>
      <w:ind w:firstLine="0"/>
      <w:jc w:val="left"/>
    </w:pPr>
    <w:rPr>
      <w:rFonts w:eastAsia="Times New Roman"/>
      <w:spacing w:val="0"/>
      <w:sz w:val="24"/>
      <w:szCs w:val="24"/>
      <w:lang w:val="en-IN" w:eastAsia="en-IN"/>
    </w:rPr>
  </w:style>
  <w:style w:type="character" w:styleId="Hyperlink">
    <w:name w:val="Hyperlink"/>
    <w:basedOn w:val="DefaultParagraphFont"/>
    <w:uiPriority w:val="99"/>
    <w:unhideWhenUsed/>
    <w:rsid w:val="00443F42"/>
    <w:rPr>
      <w:color w:val="0563C1" w:themeColor="hyperlink"/>
      <w:u w:val="single"/>
    </w:rPr>
  </w:style>
  <w:style w:type="table" w:styleId="TableGrid">
    <w:name w:val="Table Grid"/>
    <w:basedOn w:val="TableNormal"/>
    <w:uiPriority w:val="59"/>
    <w:rsid w:val="00443F42"/>
    <w:rPr>
      <w:rFonts w:asciiTheme="minorHAnsi" w:eastAsiaTheme="minorEastAsia"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2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86E"/>
    <w:rPr>
      <w:rFonts w:ascii="Tahoma" w:eastAsia="MS Mincho" w:hAnsi="Tahoma" w:cs="Tahoma"/>
      <w:spacing w:val="-1"/>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malcheyyar@gmail.com" TargetMode="External"/><Relationship Id="rId13" Type="http://schemas.openxmlformats.org/officeDocument/2006/relationships/hyperlink" Target="https://research.unsw.edu.au/projects/unsw-nb15-dataset" TargetMode="External"/><Relationship Id="rId3" Type="http://schemas.openxmlformats.org/officeDocument/2006/relationships/settings" Target="settings.xml"/><Relationship Id="rId7" Type="http://schemas.openxmlformats.org/officeDocument/2006/relationships/hyperlink" Target="mailto:vimalcheyya@gmail.co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haramavel@gmail.com" TargetMode="External"/><Relationship Id="rId11" Type="http://schemas.openxmlformats.org/officeDocument/2006/relationships/image" Target="media/image3.png"/><Relationship Id="rId5" Type="http://schemas.openxmlformats.org/officeDocument/2006/relationships/hyperlink" Target="mailto:dsmthirumal@yahoo.com"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rajan\Desktop\FROM%20MAIL\TEMPLATE\IEEE%20Conferanc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IEEE Conferance_Template</Template>
  <TotalTime>48</TotalTime>
  <Pages>6</Pages>
  <Words>3655</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IEEE Conferance</vt:lpstr>
    </vt:vector>
  </TitlesOfParts>
  <Company>IEEE</Company>
  <LinksUpToDate>false</LinksUpToDate>
  <CharactersWithSpaces>24441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Conferance</dc:title>
  <dc:subject/>
  <dc:creator>Natarajan</dc:creator>
  <cp:keywords/>
  <cp:lastModifiedBy>User</cp:lastModifiedBy>
  <cp:revision>55</cp:revision>
  <dcterms:created xsi:type="dcterms:W3CDTF">2023-07-28T12:41:00Z</dcterms:created>
  <dcterms:modified xsi:type="dcterms:W3CDTF">2023-07-29T11:03:00Z</dcterms:modified>
</cp:coreProperties>
</file>