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1B7" w:rsidRDefault="00974ECE">
      <w:pPr>
        <w:pStyle w:val="Title"/>
      </w:pPr>
      <w:r>
        <w:t xml:space="preserve">Hepatoprotective Activity of Aqueous Extract of </w:t>
      </w:r>
      <w:proofErr w:type="spellStart"/>
      <w:r w:rsidRPr="00797E55">
        <w:rPr>
          <w:i/>
        </w:rPr>
        <w:t>Sphaeranthus</w:t>
      </w:r>
      <w:proofErr w:type="spellEnd"/>
      <w:r w:rsidRPr="00797E55">
        <w:rPr>
          <w:i/>
        </w:rPr>
        <w:t xml:space="preserve"> </w:t>
      </w:r>
      <w:proofErr w:type="spellStart"/>
      <w:r w:rsidRPr="00797E55">
        <w:rPr>
          <w:i/>
        </w:rPr>
        <w:t>Indicus</w:t>
      </w:r>
      <w:proofErr w:type="spellEnd"/>
      <w:r>
        <w:t xml:space="preserve"> </w:t>
      </w:r>
      <w:proofErr w:type="gramStart"/>
      <w:r>
        <w:t>Against</w:t>
      </w:r>
      <w:proofErr w:type="gramEnd"/>
      <w:r>
        <w:t xml:space="preserve"> Paracetamol Induced Hepatotoxicity in Rats</w:t>
      </w:r>
    </w:p>
    <w:p w:rsidR="00C021B7" w:rsidRDefault="00974ECE">
      <w:pPr>
        <w:spacing w:before="118"/>
        <w:ind w:left="1584" w:right="1584"/>
        <w:jc w:val="center"/>
        <w:rPr>
          <w:b/>
          <w:sz w:val="24"/>
        </w:rPr>
      </w:pPr>
      <w:r>
        <w:rPr>
          <w:b/>
          <w:sz w:val="24"/>
          <w:vertAlign w:val="superscript"/>
        </w:rPr>
        <w:t>*</w:t>
      </w:r>
      <w:r w:rsidR="00797E55">
        <w:rPr>
          <w:b/>
          <w:sz w:val="24"/>
        </w:rPr>
        <w:t xml:space="preserve">R. </w:t>
      </w:r>
      <w:proofErr w:type="spellStart"/>
      <w:r w:rsidR="00797E55">
        <w:rPr>
          <w:b/>
          <w:sz w:val="24"/>
        </w:rPr>
        <w:t>Gowri</w:t>
      </w:r>
      <w:proofErr w:type="spellEnd"/>
    </w:p>
    <w:p w:rsidR="00C021B7" w:rsidRDefault="00974ECE">
      <w:pPr>
        <w:pStyle w:val="BodyText"/>
        <w:spacing w:before="58"/>
        <w:ind w:left="1584" w:right="1586"/>
        <w:jc w:val="center"/>
      </w:pPr>
      <w:r>
        <w:t xml:space="preserve">Faculty of Pharmacy, M. S. </w:t>
      </w:r>
      <w:proofErr w:type="spellStart"/>
      <w:r>
        <w:t>Ramaiah</w:t>
      </w:r>
      <w:proofErr w:type="spellEnd"/>
      <w:r>
        <w:t xml:space="preserve"> University of Applied Sciences, Bangalore 560 054</w:t>
      </w:r>
    </w:p>
    <w:p w:rsidR="00C021B7" w:rsidRDefault="00974ECE">
      <w:pPr>
        <w:pStyle w:val="BodyText"/>
        <w:spacing w:before="60"/>
        <w:ind w:left="1584" w:right="1584"/>
        <w:jc w:val="center"/>
      </w:pPr>
      <w:r>
        <w:rPr>
          <w:vertAlign w:val="superscript"/>
        </w:rPr>
        <w:t>*</w:t>
      </w:r>
      <w:r>
        <w:t xml:space="preserve">Contact Author e-mail: </w:t>
      </w:r>
      <w:hyperlink r:id="rId7">
        <w:r>
          <w:t>gowrijp@gmail.com</w:t>
        </w:r>
      </w:hyperlink>
    </w:p>
    <w:p w:rsidR="00C021B7" w:rsidRDefault="0044197F">
      <w:pPr>
        <w:pStyle w:val="BodyText"/>
        <w:spacing w:before="1"/>
        <w:ind w:left="0"/>
        <w:jc w:val="left"/>
        <w:rPr>
          <w:sz w:val="15"/>
        </w:rPr>
      </w:pPr>
      <w:r>
        <w:pict>
          <v:rect id="_x0000_s1028" style="position:absolute;margin-left:70.6pt;margin-top:10.65pt;width:471pt;height:.5pt;z-index:-15728640;mso-wrap-distance-left:0;mso-wrap-distance-right:0;mso-position-horizontal-relative:page" fillcolor="black" stroked="f">
            <w10:wrap type="topAndBottom" anchorx="page"/>
          </v:rect>
        </w:pict>
      </w:r>
    </w:p>
    <w:p w:rsidR="00C021B7" w:rsidRDefault="00974ECE">
      <w:pPr>
        <w:spacing w:line="265" w:lineRule="exact"/>
        <w:ind w:left="140"/>
        <w:rPr>
          <w:b/>
          <w:i/>
          <w:sz w:val="24"/>
        </w:rPr>
      </w:pPr>
      <w:r>
        <w:rPr>
          <w:b/>
          <w:i/>
          <w:sz w:val="24"/>
        </w:rPr>
        <w:t>Abstract</w:t>
      </w:r>
    </w:p>
    <w:p w:rsidR="00C021B7" w:rsidRDefault="00974ECE">
      <w:pPr>
        <w:spacing w:before="56"/>
        <w:ind w:left="140" w:right="133" w:firstLine="405"/>
        <w:jc w:val="both"/>
        <w:rPr>
          <w:i/>
          <w:sz w:val="18"/>
        </w:rPr>
      </w:pPr>
      <w:r>
        <w:rPr>
          <w:i/>
          <w:sz w:val="18"/>
        </w:rPr>
        <w:t xml:space="preserve">From ancient time, medicinal plants are used as source of medicine to treat several diseases. Several Ayurvedic drugs and its formulations are traditionally used to treat several liver diseases. One such important Ayurvedic drug is </w:t>
      </w:r>
      <w:proofErr w:type="spellStart"/>
      <w:r>
        <w:rPr>
          <w:i/>
          <w:sz w:val="18"/>
        </w:rPr>
        <w:t>Munditika</w:t>
      </w:r>
      <w:proofErr w:type="spellEnd"/>
      <w:r>
        <w:rPr>
          <w:i/>
          <w:sz w:val="18"/>
        </w:rPr>
        <w:t xml:space="preserve"> or Mundi which has been used to treat various diseases like jaundice, fever, epilepsy, gastric disorders and painful swellings. The accepted source of </w:t>
      </w:r>
      <w:proofErr w:type="spellStart"/>
      <w:r>
        <w:rPr>
          <w:i/>
          <w:sz w:val="18"/>
        </w:rPr>
        <w:t>Munditika</w:t>
      </w:r>
      <w:proofErr w:type="spellEnd"/>
      <w:r>
        <w:rPr>
          <w:i/>
          <w:sz w:val="18"/>
        </w:rPr>
        <w:t xml:space="preserve"> is </w:t>
      </w:r>
      <w:proofErr w:type="spellStart"/>
      <w:r>
        <w:rPr>
          <w:i/>
          <w:sz w:val="18"/>
        </w:rPr>
        <w:t>Sphaeranthus</w:t>
      </w:r>
      <w:proofErr w:type="spellEnd"/>
      <w:r>
        <w:rPr>
          <w:i/>
          <w:sz w:val="18"/>
        </w:rPr>
        <w:t xml:space="preserve"> </w:t>
      </w:r>
      <w:proofErr w:type="spellStart"/>
      <w:r>
        <w:rPr>
          <w:i/>
          <w:sz w:val="18"/>
        </w:rPr>
        <w:t>indicus</w:t>
      </w:r>
      <w:proofErr w:type="spellEnd"/>
      <w:r>
        <w:rPr>
          <w:i/>
          <w:sz w:val="18"/>
        </w:rPr>
        <w:t xml:space="preserve"> Linn. In the present study aqueous extract of whole plant of </w:t>
      </w:r>
      <w:proofErr w:type="spellStart"/>
      <w:r>
        <w:rPr>
          <w:i/>
          <w:sz w:val="18"/>
        </w:rPr>
        <w:t>Sphaeranthus</w:t>
      </w:r>
      <w:proofErr w:type="spellEnd"/>
      <w:r>
        <w:rPr>
          <w:i/>
          <w:sz w:val="18"/>
        </w:rPr>
        <w:t xml:space="preserve"> </w:t>
      </w:r>
      <w:proofErr w:type="spellStart"/>
      <w:r>
        <w:rPr>
          <w:i/>
          <w:sz w:val="18"/>
        </w:rPr>
        <w:t>indicus</w:t>
      </w:r>
      <w:proofErr w:type="spellEnd"/>
      <w:r>
        <w:rPr>
          <w:i/>
          <w:sz w:val="18"/>
        </w:rPr>
        <w:t xml:space="preserve"> was evaluated for </w:t>
      </w:r>
      <w:proofErr w:type="spellStart"/>
      <w:r>
        <w:rPr>
          <w:i/>
          <w:sz w:val="18"/>
        </w:rPr>
        <w:t>hepatoprotective</w:t>
      </w:r>
      <w:proofErr w:type="spellEnd"/>
      <w:r>
        <w:rPr>
          <w:i/>
          <w:sz w:val="18"/>
        </w:rPr>
        <w:t xml:space="preserve"> activity against paracetamol induced hepatotoxicity in rats. Liver toxicity was induced by administration of Paracetamol orally at a dose of 2 g/kg. Protective effect of the extract was assessed by measuring the levels of serum enzymes like SGOT, SGPT, ALP, total protein and total bilirubin. Results of our study showed that administration of aqueous extract of whole plant of </w:t>
      </w:r>
      <w:proofErr w:type="spellStart"/>
      <w:r>
        <w:rPr>
          <w:i/>
          <w:sz w:val="18"/>
        </w:rPr>
        <w:t>Sphaeranthus</w:t>
      </w:r>
      <w:proofErr w:type="spellEnd"/>
      <w:r>
        <w:rPr>
          <w:i/>
          <w:sz w:val="18"/>
        </w:rPr>
        <w:t xml:space="preserve"> </w:t>
      </w:r>
      <w:proofErr w:type="spellStart"/>
      <w:r>
        <w:rPr>
          <w:i/>
          <w:sz w:val="18"/>
        </w:rPr>
        <w:t>indicus</w:t>
      </w:r>
      <w:proofErr w:type="spellEnd"/>
      <w:r>
        <w:rPr>
          <w:i/>
          <w:sz w:val="18"/>
        </w:rPr>
        <w:t xml:space="preserve"> at 400 mg/kg </w:t>
      </w:r>
      <w:proofErr w:type="spellStart"/>
      <w:r>
        <w:rPr>
          <w:i/>
          <w:sz w:val="18"/>
        </w:rPr>
        <w:t>b.wt</w:t>
      </w:r>
      <w:proofErr w:type="spellEnd"/>
      <w:r>
        <w:rPr>
          <w:i/>
          <w:sz w:val="18"/>
        </w:rPr>
        <w:t xml:space="preserve"> showed significant (***P &lt; 0.001) reduction in elevated serum enzyme levels compared to paracetamol induced toxic group, indicating the protective role of </w:t>
      </w:r>
      <w:proofErr w:type="spellStart"/>
      <w:r>
        <w:rPr>
          <w:i/>
          <w:sz w:val="18"/>
        </w:rPr>
        <w:t>Sphaeranthus</w:t>
      </w:r>
      <w:proofErr w:type="spellEnd"/>
      <w:r>
        <w:rPr>
          <w:i/>
          <w:sz w:val="18"/>
        </w:rPr>
        <w:t xml:space="preserve"> </w:t>
      </w:r>
      <w:proofErr w:type="spellStart"/>
      <w:r>
        <w:rPr>
          <w:i/>
          <w:sz w:val="18"/>
        </w:rPr>
        <w:t>indicus</w:t>
      </w:r>
      <w:proofErr w:type="spellEnd"/>
      <w:r>
        <w:rPr>
          <w:i/>
          <w:sz w:val="18"/>
        </w:rPr>
        <w:t xml:space="preserve"> extract against Paracetamol induced liver toxicity.</w:t>
      </w:r>
    </w:p>
    <w:p w:rsidR="00C021B7" w:rsidRDefault="00974ECE">
      <w:pPr>
        <w:spacing w:before="122"/>
        <w:ind w:left="140"/>
        <w:rPr>
          <w:sz w:val="18"/>
        </w:rPr>
      </w:pPr>
      <w:r>
        <w:rPr>
          <w:b/>
          <w:sz w:val="18"/>
        </w:rPr>
        <w:t xml:space="preserve">Key Words: </w:t>
      </w:r>
      <w:proofErr w:type="spellStart"/>
      <w:r>
        <w:rPr>
          <w:i/>
          <w:sz w:val="18"/>
        </w:rPr>
        <w:t>Sphaeranthus</w:t>
      </w:r>
      <w:proofErr w:type="spellEnd"/>
      <w:r>
        <w:rPr>
          <w:i/>
          <w:sz w:val="18"/>
        </w:rPr>
        <w:t xml:space="preserve"> </w:t>
      </w:r>
      <w:proofErr w:type="spellStart"/>
      <w:r>
        <w:rPr>
          <w:i/>
          <w:sz w:val="18"/>
        </w:rPr>
        <w:t>Indicus</w:t>
      </w:r>
      <w:proofErr w:type="spellEnd"/>
      <w:r>
        <w:rPr>
          <w:sz w:val="18"/>
        </w:rPr>
        <w:t xml:space="preserve">, Paracetamol, Hepatotoxicity, </w:t>
      </w:r>
      <w:r>
        <w:rPr>
          <w:i/>
          <w:sz w:val="18"/>
        </w:rPr>
        <w:t xml:space="preserve">In Vivo </w:t>
      </w:r>
      <w:r>
        <w:rPr>
          <w:sz w:val="18"/>
        </w:rPr>
        <w:t>Model</w:t>
      </w:r>
    </w:p>
    <w:p w:rsidR="00C021B7" w:rsidRDefault="00C021B7">
      <w:pPr>
        <w:pStyle w:val="BodyText"/>
        <w:spacing w:before="2"/>
        <w:ind w:left="0"/>
        <w:jc w:val="left"/>
        <w:rPr>
          <w:sz w:val="20"/>
        </w:rPr>
      </w:pPr>
    </w:p>
    <w:p w:rsidR="00C021B7" w:rsidRDefault="0044197F">
      <w:pPr>
        <w:pStyle w:val="BodyText"/>
        <w:spacing w:line="20" w:lineRule="exact"/>
        <w:ind w:left="111"/>
        <w:jc w:val="left"/>
        <w:rPr>
          <w:sz w:val="2"/>
        </w:rPr>
      </w:pPr>
      <w:r>
        <w:rPr>
          <w:sz w:val="2"/>
        </w:rPr>
      </w:r>
      <w:r>
        <w:rPr>
          <w:sz w:val="2"/>
        </w:rPr>
        <w:pict>
          <v:group id="_x0000_s1026" style="width:471pt;height:.5pt;mso-position-horizontal-relative:char;mso-position-vertical-relative:line" coordsize="9420,10">
            <v:rect id="_x0000_s1027" style="position:absolute;width:9420;height:10" fillcolor="black" stroked="f"/>
            <w10:wrap type="none"/>
            <w10:anchorlock/>
          </v:group>
        </w:pict>
      </w:r>
    </w:p>
    <w:p w:rsidR="00C021B7" w:rsidRDefault="00C021B7">
      <w:pPr>
        <w:spacing w:line="20" w:lineRule="exact"/>
        <w:rPr>
          <w:sz w:val="2"/>
        </w:rPr>
        <w:sectPr w:rsidR="00C021B7">
          <w:footerReference w:type="default" r:id="rId8"/>
          <w:type w:val="continuous"/>
          <w:pgSz w:w="12240" w:h="15840"/>
          <w:pgMar w:top="1380" w:right="1300" w:bottom="1380" w:left="1300" w:header="720" w:footer="1186" w:gutter="0"/>
          <w:pgNumType w:start="21"/>
          <w:cols w:space="720"/>
        </w:sectPr>
      </w:pPr>
    </w:p>
    <w:p w:rsidR="00C021B7" w:rsidRDefault="00974ECE">
      <w:pPr>
        <w:pStyle w:val="Heading1"/>
        <w:numPr>
          <w:ilvl w:val="0"/>
          <w:numId w:val="2"/>
        </w:numPr>
        <w:tabs>
          <w:tab w:val="left" w:pos="500"/>
          <w:tab w:val="left" w:pos="501"/>
        </w:tabs>
        <w:spacing w:before="107"/>
        <w:ind w:hanging="361"/>
      </w:pPr>
      <w:r>
        <w:t>INTRODUCTION</w:t>
      </w:r>
    </w:p>
    <w:p w:rsidR="00C021B7" w:rsidRDefault="00974ECE">
      <w:pPr>
        <w:pStyle w:val="BodyText"/>
        <w:spacing w:before="115"/>
        <w:ind w:right="38"/>
      </w:pPr>
      <w:r>
        <w:t xml:space="preserve">Oxygen derived free radicals plays a major role in the pathogenesis of several degenerative diseases like cancer, diabetes, arthritis, ageing, ischemia, diabetes, </w:t>
      </w:r>
      <w:proofErr w:type="spellStart"/>
      <w:proofErr w:type="gramStart"/>
      <w:r>
        <w:t>parkinson’s</w:t>
      </w:r>
      <w:proofErr w:type="spellEnd"/>
      <w:proofErr w:type="gramEnd"/>
      <w:r>
        <w:t xml:space="preserve"> syndrome and liver disorders [1]. Reactive oxygen species (ROS) includes superoxide anion (O</w:t>
      </w:r>
      <w:r>
        <w:rPr>
          <w:vertAlign w:val="subscript"/>
        </w:rPr>
        <w:t>2</w:t>
      </w:r>
      <w:r>
        <w:t xml:space="preserve">), hydroxyl (OH), </w:t>
      </w:r>
      <w:proofErr w:type="spellStart"/>
      <w:r>
        <w:t>hydroperoxyl</w:t>
      </w:r>
      <w:proofErr w:type="spellEnd"/>
      <w:r>
        <w:t xml:space="preserve"> (OOH), </w:t>
      </w:r>
      <w:proofErr w:type="spellStart"/>
      <w:r>
        <w:t>perxyl</w:t>
      </w:r>
      <w:proofErr w:type="spellEnd"/>
      <w:r>
        <w:t xml:space="preserve"> (ROO), </w:t>
      </w:r>
      <w:proofErr w:type="spellStart"/>
      <w:r>
        <w:t>alkoxyl</w:t>
      </w:r>
      <w:proofErr w:type="spellEnd"/>
      <w:r>
        <w:t xml:space="preserve"> (RO) </w:t>
      </w:r>
      <w:proofErr w:type="gramStart"/>
      <w:r>
        <w:t>radicals</w:t>
      </w:r>
      <w:proofErr w:type="gramEnd"/>
      <w:r>
        <w:t xml:space="preserve"> </w:t>
      </w:r>
      <w:proofErr w:type="spellStart"/>
      <w:r>
        <w:t>andReactive</w:t>
      </w:r>
      <w:proofErr w:type="spellEnd"/>
      <w:r>
        <w:t xml:space="preserve"> nitrogen species (RNS) includes Nitric oxide (NO</w:t>
      </w:r>
      <w:r>
        <w:rPr>
          <w:vertAlign w:val="subscript"/>
        </w:rPr>
        <w:t>2</w:t>
      </w:r>
      <w:r>
        <w:t xml:space="preserve">), </w:t>
      </w:r>
      <w:proofErr w:type="spellStart"/>
      <w:r>
        <w:t>peroxynitrite</w:t>
      </w:r>
      <w:proofErr w:type="spellEnd"/>
      <w:r>
        <w:t xml:space="preserve"> (N00</w:t>
      </w:r>
      <w:r>
        <w:rPr>
          <w:vertAlign w:val="superscript"/>
        </w:rPr>
        <w:t>-</w:t>
      </w:r>
      <w:r>
        <w:t>), nitrogen dioxide (NO</w:t>
      </w:r>
      <w:r>
        <w:rPr>
          <w:vertAlign w:val="subscript"/>
        </w:rPr>
        <w:t>2</w:t>
      </w:r>
      <w:r>
        <w:t xml:space="preserve">). Antioxidants are capable of scavenging these free radicals and preventing the cell from cell damage and peroxidation. Antioxidants are categorized as enzymatic antioxidants and non- enzymatic antioxidants. Several enzymatic antioxidants like Superoxide dismutase, Catalase, Glutathione peroxidase are produced endogenously in the body and several </w:t>
      </w:r>
      <w:proofErr w:type="spellStart"/>
      <w:r>
        <w:t>non enzymatic</w:t>
      </w:r>
      <w:proofErr w:type="spellEnd"/>
      <w:r>
        <w:t xml:space="preserve"> antioxidants are present in several natural sources and include Vitamin – c, Vitamin – E, flavonoids, tannins and carotenoids [2]. Synthetic antioxidants like BHT, TBHQ and BHA are effective but are carcinogenic. Phenolic compounds in traditional medicinal plants have been reported to have several biological activities, including free radical scavenging activity [3]. Currently natural antioxidants are gaining much importance because of their less toxic nature. Hence there is a need to identify and develop natural antioxidants from plant sources to replace synthetic antioxidants for long term</w:t>
      </w:r>
      <w:r>
        <w:rPr>
          <w:spacing w:val="-6"/>
        </w:rPr>
        <w:t xml:space="preserve"> </w:t>
      </w:r>
      <w:r>
        <w:t>safety.</w:t>
      </w:r>
    </w:p>
    <w:p w:rsidR="00C021B7" w:rsidRDefault="00974ECE">
      <w:pPr>
        <w:pStyle w:val="BodyText"/>
        <w:spacing w:before="123"/>
        <w:ind w:right="38"/>
      </w:pPr>
      <w:proofErr w:type="spellStart"/>
      <w:r>
        <w:rPr>
          <w:i/>
        </w:rPr>
        <w:t>Sphaeranthus</w:t>
      </w:r>
      <w:proofErr w:type="spellEnd"/>
      <w:r>
        <w:rPr>
          <w:i/>
        </w:rPr>
        <w:t xml:space="preserve"> </w:t>
      </w:r>
      <w:proofErr w:type="spellStart"/>
      <w:r>
        <w:rPr>
          <w:i/>
        </w:rPr>
        <w:t>indicus</w:t>
      </w:r>
      <w:proofErr w:type="spellEnd"/>
      <w:r>
        <w:rPr>
          <w:i/>
        </w:rPr>
        <w:t xml:space="preserve"> </w:t>
      </w:r>
      <w:r>
        <w:t>Linn is a spreading aromatic herb distributed throughout India especially in plains in damp situation [4]. The plant is extensively used in the treatment of several diseases in both Ayurvedic and Siddha systems of medicine [4</w:t>
      </w:r>
      <w:proofErr w:type="gramStart"/>
      <w:r>
        <w:t>,5</w:t>
      </w:r>
      <w:proofErr w:type="gramEnd"/>
      <w:r>
        <w:t xml:space="preserve">]. The plant has been reported to contain C- glycoside, 5 - hydroxyl-7-methoxy-6-C-glycosyl flavone (aerial part) [6], </w:t>
      </w:r>
      <w:proofErr w:type="spellStart"/>
      <w:r>
        <w:t>sesquiterpene</w:t>
      </w:r>
      <w:proofErr w:type="spellEnd"/>
      <w:r>
        <w:t xml:space="preserve"> glycoside (</w:t>
      </w:r>
      <w:proofErr w:type="spellStart"/>
      <w:r>
        <w:t>Sphaerantholide</w:t>
      </w:r>
      <w:proofErr w:type="spellEnd"/>
      <w:r>
        <w:rPr>
          <w:spacing w:val="-5"/>
        </w:rPr>
        <w:t xml:space="preserve"> </w:t>
      </w:r>
      <w:r>
        <w:t>–</w:t>
      </w:r>
    </w:p>
    <w:p w:rsidR="00C021B7" w:rsidRDefault="00974ECE">
      <w:pPr>
        <w:pStyle w:val="BodyText"/>
        <w:spacing w:line="191" w:lineRule="exact"/>
      </w:pPr>
      <w:r>
        <w:br w:type="column"/>
      </w:r>
      <w:proofErr w:type="gramStart"/>
      <w:r>
        <w:t>flower</w:t>
      </w:r>
      <w:proofErr w:type="gramEnd"/>
      <w:r>
        <w:t xml:space="preserve">) [7], two </w:t>
      </w:r>
      <w:proofErr w:type="spellStart"/>
      <w:r>
        <w:t>eudesmanolides</w:t>
      </w:r>
      <w:proofErr w:type="spellEnd"/>
      <w:r>
        <w:t xml:space="preserve"> namely 7α-</w:t>
      </w:r>
    </w:p>
    <w:p w:rsidR="00C021B7" w:rsidRDefault="00974ECE">
      <w:pPr>
        <w:pStyle w:val="BodyText"/>
        <w:ind w:right="133"/>
      </w:pPr>
      <w:proofErr w:type="spellStart"/>
      <w:proofErr w:type="gramStart"/>
      <w:r>
        <w:t>hydroxyeudesmanolide</w:t>
      </w:r>
      <w:proofErr w:type="spellEnd"/>
      <w:proofErr w:type="gramEnd"/>
      <w:r>
        <w:t xml:space="preserve"> 1 and 2 and two </w:t>
      </w:r>
      <w:proofErr w:type="spellStart"/>
      <w:r>
        <w:t>sesquiterpenoids</w:t>
      </w:r>
      <w:proofErr w:type="spellEnd"/>
      <w:r>
        <w:t xml:space="preserve">, </w:t>
      </w:r>
      <w:proofErr w:type="spellStart"/>
      <w:r>
        <w:t>cryptomeridiol</w:t>
      </w:r>
      <w:proofErr w:type="spellEnd"/>
      <w:r>
        <w:t xml:space="preserve"> &amp; 4-epicryptomeridiol (whole plant) [8]. Based on the earlier literature on flavonoid content the present study has been proposed to investigate the </w:t>
      </w:r>
      <w:proofErr w:type="spellStart"/>
      <w:r>
        <w:t>hepatoprotective</w:t>
      </w:r>
      <w:proofErr w:type="spellEnd"/>
      <w:r>
        <w:t xml:space="preserve"> activity of whole plant of </w:t>
      </w:r>
      <w:proofErr w:type="spellStart"/>
      <w:r>
        <w:rPr>
          <w:i/>
        </w:rPr>
        <w:t>Sphaeranthus</w:t>
      </w:r>
      <w:proofErr w:type="spellEnd"/>
      <w:r>
        <w:rPr>
          <w:i/>
        </w:rPr>
        <w:t xml:space="preserve"> </w:t>
      </w:r>
      <w:proofErr w:type="spellStart"/>
      <w:r>
        <w:rPr>
          <w:i/>
        </w:rPr>
        <w:t>indicus</w:t>
      </w:r>
      <w:proofErr w:type="spellEnd"/>
      <w:r>
        <w:rPr>
          <w:i/>
        </w:rPr>
        <w:t xml:space="preserve"> </w:t>
      </w:r>
      <w:r>
        <w:t>against paracetamol induced liver</w:t>
      </w:r>
      <w:r>
        <w:rPr>
          <w:spacing w:val="-5"/>
        </w:rPr>
        <w:t xml:space="preserve"> </w:t>
      </w:r>
      <w:r>
        <w:t>toxicity.</w:t>
      </w:r>
    </w:p>
    <w:p w:rsidR="00C021B7" w:rsidRDefault="00C021B7">
      <w:pPr>
        <w:pStyle w:val="BodyText"/>
        <w:ind w:left="0"/>
        <w:jc w:val="left"/>
        <w:rPr>
          <w:sz w:val="20"/>
        </w:rPr>
      </w:pPr>
    </w:p>
    <w:p w:rsidR="00C021B7" w:rsidRDefault="00C021B7">
      <w:pPr>
        <w:pStyle w:val="BodyText"/>
        <w:spacing w:before="2"/>
        <w:ind w:left="0"/>
        <w:jc w:val="left"/>
        <w:rPr>
          <w:sz w:val="19"/>
        </w:rPr>
      </w:pPr>
    </w:p>
    <w:p w:rsidR="00C021B7" w:rsidRDefault="00974ECE">
      <w:pPr>
        <w:pStyle w:val="Heading1"/>
        <w:numPr>
          <w:ilvl w:val="0"/>
          <w:numId w:val="2"/>
        </w:numPr>
        <w:tabs>
          <w:tab w:val="left" w:pos="501"/>
        </w:tabs>
        <w:spacing w:before="0"/>
        <w:ind w:hanging="361"/>
        <w:jc w:val="both"/>
      </w:pPr>
      <w:r>
        <w:t>MATERIALS AND</w:t>
      </w:r>
      <w:r>
        <w:rPr>
          <w:spacing w:val="-5"/>
        </w:rPr>
        <w:t xml:space="preserve"> </w:t>
      </w:r>
      <w:r>
        <w:t>METHODS</w:t>
      </w:r>
    </w:p>
    <w:p w:rsidR="00C021B7" w:rsidRDefault="00974ECE">
      <w:pPr>
        <w:pStyle w:val="ListParagraph"/>
        <w:numPr>
          <w:ilvl w:val="1"/>
          <w:numId w:val="2"/>
        </w:numPr>
        <w:tabs>
          <w:tab w:val="left" w:pos="443"/>
        </w:tabs>
        <w:spacing w:before="118"/>
        <w:ind w:right="318" w:firstLine="0"/>
        <w:jc w:val="both"/>
        <w:rPr>
          <w:b/>
          <w:sz w:val="20"/>
        </w:rPr>
      </w:pPr>
      <w:r>
        <w:rPr>
          <w:b/>
          <w:sz w:val="20"/>
        </w:rPr>
        <w:t>Collection of Plant Material and</w:t>
      </w:r>
      <w:r>
        <w:rPr>
          <w:b/>
          <w:spacing w:val="-12"/>
          <w:sz w:val="20"/>
        </w:rPr>
        <w:t xml:space="preserve"> </w:t>
      </w:r>
      <w:r>
        <w:rPr>
          <w:b/>
          <w:sz w:val="20"/>
        </w:rPr>
        <w:t>Preparation of Aqueous</w:t>
      </w:r>
      <w:r>
        <w:rPr>
          <w:b/>
          <w:spacing w:val="-1"/>
          <w:sz w:val="20"/>
        </w:rPr>
        <w:t xml:space="preserve"> </w:t>
      </w:r>
      <w:r>
        <w:rPr>
          <w:b/>
          <w:sz w:val="20"/>
        </w:rPr>
        <w:t>Extract</w:t>
      </w:r>
    </w:p>
    <w:p w:rsidR="00C021B7" w:rsidRDefault="00974ECE">
      <w:pPr>
        <w:pStyle w:val="BodyText"/>
        <w:spacing w:before="118"/>
        <w:ind w:right="134"/>
      </w:pPr>
      <w:r>
        <w:t xml:space="preserve">The whole plant of </w:t>
      </w:r>
      <w:proofErr w:type="spellStart"/>
      <w:r>
        <w:rPr>
          <w:i/>
        </w:rPr>
        <w:t>Sphaeranthus</w:t>
      </w:r>
      <w:proofErr w:type="spellEnd"/>
      <w:r>
        <w:rPr>
          <w:i/>
        </w:rPr>
        <w:t xml:space="preserve"> </w:t>
      </w:r>
      <w:proofErr w:type="spellStart"/>
      <w:r>
        <w:rPr>
          <w:i/>
        </w:rPr>
        <w:t>indicus</w:t>
      </w:r>
      <w:proofErr w:type="spellEnd"/>
      <w:r>
        <w:rPr>
          <w:i/>
        </w:rPr>
        <w:t xml:space="preserve"> </w:t>
      </w:r>
      <w:r>
        <w:t xml:space="preserve">in flowering condition was collected from </w:t>
      </w:r>
      <w:proofErr w:type="spellStart"/>
      <w:r>
        <w:t>Chermadevi</w:t>
      </w:r>
      <w:proofErr w:type="spellEnd"/>
      <w:r>
        <w:t xml:space="preserve"> (paddy fields) region of Tirunelveli district; </w:t>
      </w:r>
      <w:proofErr w:type="spellStart"/>
      <w:r>
        <w:t>Tamilnadu</w:t>
      </w:r>
      <w:proofErr w:type="spellEnd"/>
      <w:r>
        <w:t xml:space="preserve"> in January 2011. The collected plant material was identified and authenticated by Dr. S. N. </w:t>
      </w:r>
      <w:proofErr w:type="spellStart"/>
      <w:r>
        <w:t>Yoghanarasimhan</w:t>
      </w:r>
      <w:proofErr w:type="spellEnd"/>
      <w:r>
        <w:t xml:space="preserve">, Taxonomist and Research coordinator, M. S. </w:t>
      </w:r>
      <w:proofErr w:type="spellStart"/>
      <w:r>
        <w:t>Ramaiah</w:t>
      </w:r>
      <w:proofErr w:type="spellEnd"/>
      <w:r>
        <w:t xml:space="preserve"> College of Pharmacy, Bangalore. Taxonomic identification was carried out using available literature [9]. A voucher herbarium specimen (No. 043) has been deposited in the Department of Pharmacognosy, M. S. </w:t>
      </w:r>
      <w:proofErr w:type="spellStart"/>
      <w:r>
        <w:t>Ramaiah</w:t>
      </w:r>
      <w:proofErr w:type="spellEnd"/>
      <w:r>
        <w:t xml:space="preserve"> College of pharmacy, </w:t>
      </w:r>
      <w:proofErr w:type="gramStart"/>
      <w:r>
        <w:t>Bangalore</w:t>
      </w:r>
      <w:proofErr w:type="gramEnd"/>
      <w:r>
        <w:t xml:space="preserve"> along with the crude drug specimen. The plant material was thoroughly washed with water to remove the adhering dirt and sandy material, cut into small pieces, shade dried and powdered. Coarse powder was extracted with chloroform water by maceration technique [10, 11]. The extract was filtered and concentrated under reduced pressure by using rotary evaporator. The extract obtained</w:t>
      </w:r>
      <w:r>
        <w:rPr>
          <w:spacing w:val="15"/>
        </w:rPr>
        <w:t xml:space="preserve"> </w:t>
      </w:r>
      <w:r>
        <w:t>was</w:t>
      </w:r>
      <w:r>
        <w:rPr>
          <w:spacing w:val="14"/>
        </w:rPr>
        <w:t xml:space="preserve"> </w:t>
      </w:r>
      <w:r>
        <w:t>dark</w:t>
      </w:r>
      <w:r>
        <w:rPr>
          <w:spacing w:val="15"/>
        </w:rPr>
        <w:t xml:space="preserve"> </w:t>
      </w:r>
      <w:r>
        <w:t>brown</w:t>
      </w:r>
      <w:r>
        <w:rPr>
          <w:spacing w:val="17"/>
        </w:rPr>
        <w:t xml:space="preserve"> </w:t>
      </w:r>
      <w:r>
        <w:t>colored</w:t>
      </w:r>
      <w:r>
        <w:rPr>
          <w:spacing w:val="16"/>
        </w:rPr>
        <w:t xml:space="preserve"> </w:t>
      </w:r>
      <w:r>
        <w:t>solid</w:t>
      </w:r>
      <w:r>
        <w:rPr>
          <w:spacing w:val="16"/>
        </w:rPr>
        <w:t xml:space="preserve"> </w:t>
      </w:r>
      <w:r>
        <w:t>mass</w:t>
      </w:r>
      <w:r>
        <w:rPr>
          <w:spacing w:val="16"/>
        </w:rPr>
        <w:t xml:space="preserve"> </w:t>
      </w:r>
      <w:r>
        <w:t>with</w:t>
      </w:r>
      <w:r>
        <w:rPr>
          <w:spacing w:val="18"/>
        </w:rPr>
        <w:t xml:space="preserve"> </w:t>
      </w:r>
      <w:r>
        <w:t>yield</w:t>
      </w:r>
      <w:r>
        <w:rPr>
          <w:spacing w:val="16"/>
        </w:rPr>
        <w:t xml:space="preserve"> </w:t>
      </w:r>
      <w:r>
        <w:t>of</w:t>
      </w:r>
    </w:p>
    <w:p w:rsidR="00C021B7" w:rsidRDefault="00974ECE">
      <w:pPr>
        <w:pStyle w:val="BodyText"/>
        <w:spacing w:line="207" w:lineRule="exact"/>
      </w:pPr>
      <w:r>
        <w:t>9.43 % w/w.</w:t>
      </w:r>
    </w:p>
    <w:p w:rsidR="00C021B7" w:rsidRDefault="00C021B7">
      <w:pPr>
        <w:spacing w:line="207" w:lineRule="exact"/>
        <w:sectPr w:rsidR="00C021B7">
          <w:type w:val="continuous"/>
          <w:pgSz w:w="12240" w:h="15840"/>
          <w:pgMar w:top="1380" w:right="1300" w:bottom="1380" w:left="1300" w:header="720" w:footer="720" w:gutter="0"/>
          <w:cols w:num="2" w:space="720" w:equalWidth="0">
            <w:col w:w="4504" w:space="536"/>
            <w:col w:w="4600"/>
          </w:cols>
        </w:sectPr>
      </w:pPr>
    </w:p>
    <w:p w:rsidR="00C021B7" w:rsidRDefault="00974ECE">
      <w:pPr>
        <w:pStyle w:val="Heading1"/>
        <w:numPr>
          <w:ilvl w:val="1"/>
          <w:numId w:val="2"/>
        </w:numPr>
        <w:tabs>
          <w:tab w:val="left" w:pos="443"/>
        </w:tabs>
        <w:ind w:left="442"/>
      </w:pPr>
      <w:r>
        <w:lastRenderedPageBreak/>
        <w:t>Preliminary Phytochemical</w:t>
      </w:r>
      <w:r>
        <w:rPr>
          <w:spacing w:val="2"/>
        </w:rPr>
        <w:t xml:space="preserve"> </w:t>
      </w:r>
      <w:r>
        <w:t>Screening</w:t>
      </w:r>
    </w:p>
    <w:p w:rsidR="00C021B7" w:rsidRDefault="00974ECE">
      <w:pPr>
        <w:pStyle w:val="BodyText"/>
        <w:spacing w:before="118"/>
        <w:ind w:right="41"/>
      </w:pPr>
      <w:r>
        <w:t>The aqueous extract was screened for the presence of various phytoconstituents by adopting standard procedures [10-12].</w:t>
      </w:r>
    </w:p>
    <w:p w:rsidR="00C021B7" w:rsidRDefault="00974ECE">
      <w:pPr>
        <w:pStyle w:val="Heading1"/>
        <w:numPr>
          <w:ilvl w:val="1"/>
          <w:numId w:val="2"/>
        </w:numPr>
        <w:tabs>
          <w:tab w:val="left" w:pos="443"/>
        </w:tabs>
        <w:spacing w:before="123"/>
        <w:ind w:left="442"/>
      </w:pPr>
      <w:r>
        <w:t>Animals</w:t>
      </w:r>
    </w:p>
    <w:p w:rsidR="00C021B7" w:rsidRDefault="00974ECE">
      <w:pPr>
        <w:pStyle w:val="BodyText"/>
        <w:spacing w:before="115"/>
        <w:ind w:right="41"/>
      </w:pPr>
      <w:r>
        <w:t xml:space="preserve">Healthy </w:t>
      </w:r>
      <w:proofErr w:type="spellStart"/>
      <w:r>
        <w:t>Wistar</w:t>
      </w:r>
      <w:proofErr w:type="spellEnd"/>
      <w:r>
        <w:t xml:space="preserve"> rats of either sex weighing 170 – 200 g were used for the study. The animals were bred and maintained in the animal house of M. S. </w:t>
      </w:r>
      <w:proofErr w:type="spellStart"/>
      <w:r>
        <w:t>Ramaiah</w:t>
      </w:r>
      <w:proofErr w:type="spellEnd"/>
      <w:r>
        <w:t xml:space="preserve"> College of Pharmacy. Animal house was well maintained under standard laboratory conditions, at room temperature and humidity (60 ± 10%) with 12 h day and night cycle</w:t>
      </w:r>
      <w:r>
        <w:rPr>
          <w:i/>
        </w:rPr>
        <w:t xml:space="preserve">. </w:t>
      </w:r>
      <w:r>
        <w:t xml:space="preserve">The animals were provided with standard pellet diet and water </w:t>
      </w:r>
      <w:r>
        <w:rPr>
          <w:i/>
        </w:rPr>
        <w:t xml:space="preserve">ad libitum. </w:t>
      </w:r>
      <w:r>
        <w:t>The study protocol was approved by the Institutional Animal Ethical Committee (IAEC approval No.</w:t>
      </w:r>
      <w:r>
        <w:rPr>
          <w:spacing w:val="-1"/>
        </w:rPr>
        <w:t xml:space="preserve"> </w:t>
      </w:r>
      <w:r>
        <w:t>MSRCP/P-10/2010).</w:t>
      </w:r>
    </w:p>
    <w:p w:rsidR="00C021B7" w:rsidRDefault="00974ECE">
      <w:pPr>
        <w:pStyle w:val="Heading1"/>
        <w:numPr>
          <w:ilvl w:val="1"/>
          <w:numId w:val="2"/>
        </w:numPr>
        <w:tabs>
          <w:tab w:val="left" w:pos="443"/>
        </w:tabs>
        <w:spacing w:before="125"/>
        <w:ind w:left="442"/>
      </w:pPr>
      <w:r>
        <w:t>Acute Toxicity Studies</w:t>
      </w:r>
    </w:p>
    <w:p w:rsidR="00C021B7" w:rsidRDefault="00974ECE">
      <w:pPr>
        <w:pStyle w:val="BodyText"/>
        <w:spacing w:before="118" w:line="207" w:lineRule="exact"/>
      </w:pPr>
      <w:r>
        <w:t>Acute toxicity study was conducted according to OECD</w:t>
      </w:r>
    </w:p>
    <w:p w:rsidR="00C021B7" w:rsidRDefault="00974ECE">
      <w:pPr>
        <w:pStyle w:val="BodyText"/>
        <w:ind w:right="38"/>
      </w:pPr>
      <w:r>
        <w:t xml:space="preserve">423 guidelines [13]. Overnight fasted animals were administered a single dose up to the highest dose of 2000mg/kg body weight and observed for any behavioral and neurological changes for first 2 </w:t>
      </w:r>
      <w:proofErr w:type="spellStart"/>
      <w:r>
        <w:t>hrs</w:t>
      </w:r>
      <w:proofErr w:type="spellEnd"/>
      <w:r>
        <w:t xml:space="preserve"> and for any toxic symptoms or mortality for further 14 days.</w:t>
      </w:r>
    </w:p>
    <w:p w:rsidR="00C021B7" w:rsidRDefault="00974ECE">
      <w:pPr>
        <w:pStyle w:val="Heading1"/>
        <w:numPr>
          <w:ilvl w:val="1"/>
          <w:numId w:val="2"/>
        </w:numPr>
        <w:tabs>
          <w:tab w:val="left" w:pos="443"/>
        </w:tabs>
        <w:spacing w:before="122"/>
        <w:ind w:left="442"/>
        <w:jc w:val="both"/>
      </w:pPr>
      <w:r>
        <w:t>Assessment of Hepatoprotective</w:t>
      </w:r>
      <w:r>
        <w:rPr>
          <w:spacing w:val="-4"/>
        </w:rPr>
        <w:t xml:space="preserve"> </w:t>
      </w:r>
      <w:r>
        <w:t>activity</w:t>
      </w:r>
    </w:p>
    <w:p w:rsidR="00C021B7" w:rsidRDefault="00974ECE">
      <w:pPr>
        <w:pStyle w:val="BodyText"/>
        <w:spacing w:before="117"/>
        <w:ind w:right="41"/>
      </w:pPr>
      <w:r>
        <w:t xml:space="preserve">Liver damage was induced by administration of Paracetamol orally at the dose of 2 g/kg </w:t>
      </w:r>
      <w:proofErr w:type="spellStart"/>
      <w:r>
        <w:t>b.wt</w:t>
      </w:r>
      <w:proofErr w:type="spellEnd"/>
      <w:r>
        <w:t xml:space="preserve"> [14]. The animals were divided in to 5 groups of 6 animals each. All the treated groups were administered with Paracetamol (2g/kg </w:t>
      </w:r>
      <w:proofErr w:type="spellStart"/>
      <w:r>
        <w:t>b.wt</w:t>
      </w:r>
      <w:proofErr w:type="spellEnd"/>
      <w:r>
        <w:t xml:space="preserve">. </w:t>
      </w:r>
      <w:proofErr w:type="spellStart"/>
      <w:r>
        <w:t>p.o</w:t>
      </w:r>
      <w:proofErr w:type="spellEnd"/>
      <w:r>
        <w:t>) on 2</w:t>
      </w:r>
      <w:r>
        <w:rPr>
          <w:vertAlign w:val="superscript"/>
        </w:rPr>
        <w:t>nd</w:t>
      </w:r>
      <w:r>
        <w:t xml:space="preserve"> and 3</w:t>
      </w:r>
      <w:r>
        <w:rPr>
          <w:vertAlign w:val="superscript"/>
        </w:rPr>
        <w:t>rd</w:t>
      </w:r>
      <w:r>
        <w:t xml:space="preserve"> day. Group I was considered as normal control and administered 10%</w:t>
      </w:r>
      <w:r>
        <w:rPr>
          <w:spacing w:val="32"/>
        </w:rPr>
        <w:t xml:space="preserve"> </w:t>
      </w:r>
      <w:r>
        <w:t>Tween</w:t>
      </w:r>
    </w:p>
    <w:p w:rsidR="00C021B7" w:rsidRDefault="00974ECE">
      <w:pPr>
        <w:pStyle w:val="BodyText"/>
        <w:ind w:right="40"/>
      </w:pPr>
      <w:r>
        <w:t>80 (1ml/kg b.w.,</w:t>
      </w:r>
      <w:proofErr w:type="spellStart"/>
      <w:r>
        <w:t>p.o</w:t>
      </w:r>
      <w:proofErr w:type="spellEnd"/>
      <w:r>
        <w:t xml:space="preserve">) once daily for 5 d. Group II was served as positive control and administered with 10% Tween 80 (1ml/kg </w:t>
      </w:r>
      <w:proofErr w:type="spellStart"/>
      <w:r>
        <w:t>b.wt</w:t>
      </w:r>
      <w:proofErr w:type="spellEnd"/>
      <w:r>
        <w:t xml:space="preserve">., </w:t>
      </w:r>
      <w:proofErr w:type="spellStart"/>
      <w:r>
        <w:t>p.o</w:t>
      </w:r>
      <w:proofErr w:type="spellEnd"/>
      <w:r>
        <w:t xml:space="preserve">) for 5 days and Group III was administered with </w:t>
      </w:r>
      <w:proofErr w:type="spellStart"/>
      <w:r>
        <w:t>Silymarin</w:t>
      </w:r>
      <w:proofErr w:type="spellEnd"/>
      <w:r>
        <w:t xml:space="preserve"> (100mg/kg </w:t>
      </w:r>
      <w:proofErr w:type="spellStart"/>
      <w:r>
        <w:t>b.wt</w:t>
      </w:r>
      <w:proofErr w:type="spellEnd"/>
      <w:r>
        <w:t xml:space="preserve">. </w:t>
      </w:r>
      <w:proofErr w:type="spellStart"/>
      <w:r>
        <w:t>p.o</w:t>
      </w:r>
      <w:proofErr w:type="spellEnd"/>
      <w:r>
        <w:t xml:space="preserve">) once daily for 5 days. Group IV and V were administered aqueous extract of </w:t>
      </w:r>
      <w:r>
        <w:rPr>
          <w:i/>
        </w:rPr>
        <w:t xml:space="preserve">S. </w:t>
      </w:r>
      <w:proofErr w:type="spellStart"/>
      <w:r>
        <w:rPr>
          <w:i/>
        </w:rPr>
        <w:t>indicus</w:t>
      </w:r>
      <w:proofErr w:type="spellEnd"/>
      <w:r>
        <w:rPr>
          <w:i/>
        </w:rPr>
        <w:t xml:space="preserve"> </w:t>
      </w:r>
      <w:r>
        <w:t xml:space="preserve">respectively at a dose of 200 &amp; 400 mg/kg, once daily for 5 days. 18 </w:t>
      </w:r>
      <w:proofErr w:type="spellStart"/>
      <w:r>
        <w:t>hrs</w:t>
      </w:r>
      <w:proofErr w:type="spellEnd"/>
      <w:r>
        <w:t xml:space="preserve"> after last treatment, all the animals were anaesthetized with ether </w:t>
      </w:r>
      <w:proofErr w:type="spellStart"/>
      <w:r>
        <w:t>anaesthesia</w:t>
      </w:r>
      <w:proofErr w:type="spellEnd"/>
      <w:r>
        <w:t xml:space="preserve"> for collection of blood from retro-orbital plexus.</w:t>
      </w:r>
    </w:p>
    <w:p w:rsidR="00C021B7" w:rsidRDefault="00974ECE">
      <w:pPr>
        <w:pStyle w:val="Heading1"/>
        <w:numPr>
          <w:ilvl w:val="1"/>
          <w:numId w:val="2"/>
        </w:numPr>
        <w:tabs>
          <w:tab w:val="left" w:pos="443"/>
        </w:tabs>
        <w:spacing w:before="124"/>
        <w:ind w:left="442"/>
        <w:jc w:val="both"/>
      </w:pPr>
      <w:r>
        <w:t>Estimation of Biochemical</w:t>
      </w:r>
      <w:r>
        <w:rPr>
          <w:spacing w:val="-3"/>
        </w:rPr>
        <w:t xml:space="preserve"> </w:t>
      </w:r>
      <w:r>
        <w:t>Parameters</w:t>
      </w:r>
    </w:p>
    <w:p w:rsidR="00C021B7" w:rsidRDefault="00974ECE">
      <w:pPr>
        <w:pStyle w:val="BodyText"/>
        <w:spacing w:before="117"/>
        <w:ind w:right="40"/>
      </w:pPr>
      <w:r>
        <w:t xml:space="preserve">The blood was collected from the retro-orbital plexus and the serum was separated by centrifugation at 10,000 rpm for 15 min .The serum was </w:t>
      </w:r>
      <w:proofErr w:type="spellStart"/>
      <w:r>
        <w:t>analysed</w:t>
      </w:r>
      <w:proofErr w:type="spellEnd"/>
      <w:r>
        <w:t xml:space="preserve"> for biochemical parameters like Serum Glutamate oxaloacetate Transaminase (SGOT), Serum Glutamate Pyruvate Transaminase (SGPT),Serum Alkaline Phosphatase (ALP),Serum Total </w:t>
      </w:r>
      <w:proofErr w:type="spellStart"/>
      <w:r>
        <w:t>biluribin</w:t>
      </w:r>
      <w:proofErr w:type="spellEnd"/>
      <w:r>
        <w:t xml:space="preserve"> (TB),total cholesterol and triglycerides by diagnostic kits obtained from </w:t>
      </w:r>
      <w:proofErr w:type="spellStart"/>
      <w:r>
        <w:t>Agappe</w:t>
      </w:r>
      <w:proofErr w:type="spellEnd"/>
      <w:r>
        <w:t xml:space="preserve"> Diagnostic Ltd, Kerala, using </w:t>
      </w:r>
      <w:proofErr w:type="spellStart"/>
      <w:r>
        <w:t>autoanalyser</w:t>
      </w:r>
      <w:proofErr w:type="spellEnd"/>
      <w:r>
        <w:t xml:space="preserve"> (Semi- automatic B4B</w:t>
      </w:r>
      <w:r>
        <w:rPr>
          <w:vertAlign w:val="superscript"/>
        </w:rPr>
        <w:t>®</w:t>
      </w:r>
      <w:r>
        <w:t xml:space="preserve"> ,Analyzer CA-2005).The animals were sacrificed by excess of ether </w:t>
      </w:r>
      <w:proofErr w:type="spellStart"/>
      <w:r>
        <w:t>anaesthesia</w:t>
      </w:r>
      <w:proofErr w:type="spellEnd"/>
      <w:r>
        <w:t>; entire liver was carefully removed and washed with ice cold saline solution. A portion of liver was preserved in 10% neutral formalin for histopathological</w:t>
      </w:r>
      <w:r>
        <w:rPr>
          <w:spacing w:val="-1"/>
        </w:rPr>
        <w:t xml:space="preserve"> </w:t>
      </w:r>
      <w:r>
        <w:t>studies.</w:t>
      </w:r>
    </w:p>
    <w:p w:rsidR="00C021B7" w:rsidRDefault="00974ECE">
      <w:pPr>
        <w:pStyle w:val="Heading1"/>
        <w:numPr>
          <w:ilvl w:val="1"/>
          <w:numId w:val="2"/>
        </w:numPr>
        <w:tabs>
          <w:tab w:val="left" w:pos="443"/>
        </w:tabs>
        <w:ind w:left="442"/>
      </w:pPr>
      <w:r>
        <w:rPr>
          <w:spacing w:val="-1"/>
          <w:w w:val="99"/>
        </w:rPr>
        <w:br w:type="column"/>
      </w:r>
      <w:r>
        <w:t>Statistical Analysis</w:t>
      </w:r>
    </w:p>
    <w:p w:rsidR="00C021B7" w:rsidRDefault="00974ECE">
      <w:pPr>
        <w:pStyle w:val="BodyText"/>
        <w:spacing w:before="118"/>
        <w:ind w:right="135"/>
      </w:pPr>
      <w:r>
        <w:t xml:space="preserve">Data’s are analyzed by using One Way ANOVA followed by Tukey-Kramer Multiple comparison test. The results are expressed as Mean ± S.E.M. </w:t>
      </w:r>
      <w:r>
        <w:rPr>
          <w:i/>
        </w:rPr>
        <w:t xml:space="preserve">P </w:t>
      </w:r>
      <w:r>
        <w:t>&lt; 0.001 was considered statistically significant.</w:t>
      </w:r>
    </w:p>
    <w:p w:rsidR="00C021B7" w:rsidRDefault="00C021B7">
      <w:pPr>
        <w:pStyle w:val="BodyText"/>
        <w:ind w:left="0"/>
        <w:jc w:val="left"/>
        <w:rPr>
          <w:sz w:val="20"/>
        </w:rPr>
      </w:pPr>
    </w:p>
    <w:p w:rsidR="00C021B7" w:rsidRDefault="00C021B7">
      <w:pPr>
        <w:pStyle w:val="BodyText"/>
        <w:ind w:left="0"/>
        <w:jc w:val="left"/>
        <w:rPr>
          <w:sz w:val="19"/>
        </w:rPr>
      </w:pPr>
    </w:p>
    <w:p w:rsidR="00C021B7" w:rsidRDefault="00974ECE">
      <w:pPr>
        <w:pStyle w:val="Heading1"/>
        <w:numPr>
          <w:ilvl w:val="0"/>
          <w:numId w:val="2"/>
        </w:numPr>
        <w:tabs>
          <w:tab w:val="left" w:pos="342"/>
        </w:tabs>
        <w:spacing w:before="1"/>
        <w:ind w:left="341" w:hanging="202"/>
      </w:pPr>
      <w:r>
        <w:t>RESULTS AND</w:t>
      </w:r>
      <w:r>
        <w:rPr>
          <w:spacing w:val="-1"/>
        </w:rPr>
        <w:t xml:space="preserve"> </w:t>
      </w:r>
      <w:r>
        <w:t>DISCUSSION</w:t>
      </w:r>
    </w:p>
    <w:p w:rsidR="00C021B7" w:rsidRDefault="00974ECE">
      <w:pPr>
        <w:pStyle w:val="BodyText"/>
        <w:spacing w:before="117"/>
        <w:ind w:right="132"/>
      </w:pPr>
      <w:r>
        <w:t xml:space="preserve">The preliminary phytochemical studies confirmed the presence of carbohydrates, Phenolic compounds like tannins &amp; flavonoids, </w:t>
      </w:r>
      <w:proofErr w:type="spellStart"/>
      <w:r>
        <w:t>saponins</w:t>
      </w:r>
      <w:proofErr w:type="spellEnd"/>
      <w:r>
        <w:t xml:space="preserve"> and proteins. Hepatotoxicity was induced by administering paracetamol (2 g/kg). Paracetamol, a widely used analgesic and antipyretic drug, produces acute liver damage at higher doses. Acute paracetamol poisoning is one of the common </w:t>
      </w:r>
      <w:r w:rsidR="00797E55">
        <w:t>causes of</w:t>
      </w:r>
      <w:r>
        <w:t xml:space="preserve"> liver failure in many developed countries [15]. Overdose of Paracetamol causes </w:t>
      </w:r>
      <w:proofErr w:type="spellStart"/>
      <w:r>
        <w:t>centrilobular</w:t>
      </w:r>
      <w:proofErr w:type="spellEnd"/>
      <w:r>
        <w:t xml:space="preserve"> hepatic necrosis which can be fatal. In overdoses, Paracetamol was metabolically activated by Cytochrome P450 enzymes to a reactive metabolite N-acetyl-</w:t>
      </w:r>
      <w:r>
        <w:rPr>
          <w:i/>
        </w:rPr>
        <w:t>p</w:t>
      </w:r>
      <w:r>
        <w:t>-benzo-</w:t>
      </w:r>
      <w:proofErr w:type="spellStart"/>
      <w:r>
        <w:t>quinoneimine</w:t>
      </w:r>
      <w:proofErr w:type="spellEnd"/>
      <w:r>
        <w:t xml:space="preserve"> (NAPQI) that depletes glutathione (GSH). NAPQ1 covalently binds to cellular macromolecules and initiates cell damage [16]. Hepatic cellular damage may result in leakage of enzymes like Serum Glutamate oxaloacetate Transaminase (SGOT), Serum Glutamate Pyruvate Transaminase (SGPT), Serum Alkaline Phosphatase (ALP), which can be measured as indicators of cell damage. Their levels are markedly elevated in hepatitis and other acute liver damage. SGPT level is most commonly used to determine hepatic damage than SGOT</w:t>
      </w:r>
      <w:r>
        <w:rPr>
          <w:spacing w:val="-2"/>
        </w:rPr>
        <w:t xml:space="preserve"> </w:t>
      </w:r>
      <w:r>
        <w:t>[17].</w:t>
      </w:r>
    </w:p>
    <w:p w:rsidR="00C021B7" w:rsidRDefault="00974ECE">
      <w:pPr>
        <w:pStyle w:val="BodyText"/>
        <w:spacing w:before="120"/>
        <w:ind w:right="132"/>
      </w:pPr>
      <w:r>
        <w:t xml:space="preserve">The </w:t>
      </w:r>
      <w:proofErr w:type="spellStart"/>
      <w:r>
        <w:t>hepatoprotective</w:t>
      </w:r>
      <w:proofErr w:type="spellEnd"/>
      <w:r>
        <w:t xml:space="preserve"> activity of aqueous extract of </w:t>
      </w:r>
      <w:proofErr w:type="spellStart"/>
      <w:r>
        <w:rPr>
          <w:i/>
        </w:rPr>
        <w:t>Sphaeranthus</w:t>
      </w:r>
      <w:proofErr w:type="spellEnd"/>
      <w:r>
        <w:rPr>
          <w:i/>
        </w:rPr>
        <w:t xml:space="preserve"> </w:t>
      </w:r>
      <w:proofErr w:type="spellStart"/>
      <w:r>
        <w:rPr>
          <w:i/>
        </w:rPr>
        <w:t>indicus</w:t>
      </w:r>
      <w:proofErr w:type="spellEnd"/>
      <w:r>
        <w:rPr>
          <w:i/>
        </w:rPr>
        <w:t xml:space="preserve"> </w:t>
      </w:r>
      <w:r>
        <w:t xml:space="preserve">at doses 200 and 400 mg/kg were assessed by measuring the level of various liver biochemical parameters like SGOT, SGPT, ALP, TP and TB. Elevated level of SGOT, SGPT, ALP, TC and TG in animals treated with paracetamol is indicative of severe liver necrosis. However treatment with standard drug </w:t>
      </w:r>
      <w:proofErr w:type="spellStart"/>
      <w:r>
        <w:t>Silymarin</w:t>
      </w:r>
      <w:proofErr w:type="spellEnd"/>
      <w:r>
        <w:t xml:space="preserve"> and aqueous extract of </w:t>
      </w:r>
      <w:proofErr w:type="spellStart"/>
      <w:r>
        <w:rPr>
          <w:i/>
        </w:rPr>
        <w:t>Sphaeranthus</w:t>
      </w:r>
      <w:proofErr w:type="spellEnd"/>
      <w:r>
        <w:rPr>
          <w:i/>
        </w:rPr>
        <w:t xml:space="preserve"> </w:t>
      </w:r>
      <w:proofErr w:type="spellStart"/>
      <w:r>
        <w:rPr>
          <w:i/>
        </w:rPr>
        <w:t>indicus</w:t>
      </w:r>
      <w:proofErr w:type="spellEnd"/>
      <w:r>
        <w:rPr>
          <w:i/>
        </w:rPr>
        <w:t xml:space="preserve"> </w:t>
      </w:r>
      <w:r>
        <w:t xml:space="preserve">has significantly decreased the serum enzyme levels indicating the protective effect of </w:t>
      </w:r>
      <w:proofErr w:type="spellStart"/>
      <w:r>
        <w:rPr>
          <w:i/>
        </w:rPr>
        <w:t>Sphaeranthus</w:t>
      </w:r>
      <w:proofErr w:type="spellEnd"/>
      <w:r>
        <w:rPr>
          <w:i/>
        </w:rPr>
        <w:t xml:space="preserve"> </w:t>
      </w:r>
      <w:proofErr w:type="spellStart"/>
      <w:r w:rsidR="00797E55">
        <w:rPr>
          <w:i/>
        </w:rPr>
        <w:t>indicus</w:t>
      </w:r>
      <w:proofErr w:type="spellEnd"/>
      <w:r w:rsidR="00797E55">
        <w:rPr>
          <w:i/>
        </w:rPr>
        <w:t xml:space="preserve"> extract</w:t>
      </w:r>
      <w:r>
        <w:t xml:space="preserve"> against hepatotoxicity. In our study, animals treated with </w:t>
      </w:r>
      <w:proofErr w:type="spellStart"/>
      <w:r>
        <w:t>Silymarin</w:t>
      </w:r>
      <w:proofErr w:type="spellEnd"/>
      <w:r>
        <w:t xml:space="preserve"> (100mg/kg) and 400 mg/kg of aqueous extract of </w:t>
      </w:r>
      <w:proofErr w:type="spellStart"/>
      <w:r>
        <w:rPr>
          <w:i/>
        </w:rPr>
        <w:t>Sphaeranthus</w:t>
      </w:r>
      <w:proofErr w:type="spellEnd"/>
      <w:r>
        <w:rPr>
          <w:i/>
        </w:rPr>
        <w:t xml:space="preserve"> </w:t>
      </w:r>
      <w:proofErr w:type="spellStart"/>
      <w:r>
        <w:rPr>
          <w:i/>
        </w:rPr>
        <w:t>indicus</w:t>
      </w:r>
      <w:proofErr w:type="spellEnd"/>
      <w:r>
        <w:rPr>
          <w:i/>
        </w:rPr>
        <w:t xml:space="preserve"> </w:t>
      </w:r>
      <w:r>
        <w:t>significantly reduced the elevated levels of SGOT, SGPT, ALP (***</w:t>
      </w:r>
      <w:r>
        <w:rPr>
          <w:i/>
        </w:rPr>
        <w:t xml:space="preserve">P </w:t>
      </w:r>
      <w:r>
        <w:t>&lt; 0.001), when compared with the intoxicated group. However, aqueous extract at dose of 200mg/kg does not show significant reduction of serum enzymes (Table 1 &amp;</w:t>
      </w:r>
      <w:r>
        <w:rPr>
          <w:spacing w:val="-4"/>
        </w:rPr>
        <w:t xml:space="preserve"> </w:t>
      </w:r>
      <w:r>
        <w:t>2).</w:t>
      </w:r>
    </w:p>
    <w:p w:rsidR="00C021B7" w:rsidRDefault="00974ECE">
      <w:pPr>
        <w:pStyle w:val="BodyText"/>
        <w:spacing w:before="121"/>
        <w:ind w:right="133"/>
      </w:pPr>
      <w:proofErr w:type="spellStart"/>
      <w:r>
        <w:t>Histopathalogical</w:t>
      </w:r>
      <w:proofErr w:type="spellEnd"/>
      <w:r>
        <w:t xml:space="preserve"> profile of liver of control animals showed normal liver architecture (Fig.1.1), whereas the liver section of animals treated with paracetamol showed distorted liver architecture with more hepatocytes showing degenerative changes and necrosis (Fig.1.2). The liver section of animals treated with aqueous extract showed normal hepatocytes and absence of necrosis (Fig 1.3, 1.4). The above reports confirmed the </w:t>
      </w:r>
      <w:proofErr w:type="spellStart"/>
      <w:r>
        <w:t>hepatoprotective</w:t>
      </w:r>
      <w:proofErr w:type="spellEnd"/>
      <w:r>
        <w:t xml:space="preserve"> effect of whole plant of </w:t>
      </w:r>
      <w:proofErr w:type="spellStart"/>
      <w:r>
        <w:rPr>
          <w:i/>
        </w:rPr>
        <w:t>Sphaeranthus</w:t>
      </w:r>
      <w:proofErr w:type="spellEnd"/>
      <w:r>
        <w:rPr>
          <w:i/>
        </w:rPr>
        <w:t xml:space="preserve"> </w:t>
      </w:r>
      <w:proofErr w:type="spellStart"/>
      <w:r>
        <w:rPr>
          <w:i/>
        </w:rPr>
        <w:t>indicus</w:t>
      </w:r>
      <w:proofErr w:type="spellEnd"/>
      <w:r>
        <w:rPr>
          <w:i/>
        </w:rPr>
        <w:t xml:space="preserve"> </w:t>
      </w:r>
      <w:r>
        <w:t>in paracetamol induced hepatotoxicity in</w:t>
      </w:r>
      <w:r>
        <w:rPr>
          <w:spacing w:val="-2"/>
        </w:rPr>
        <w:t xml:space="preserve"> </w:t>
      </w:r>
      <w:r>
        <w:t>rats.</w:t>
      </w:r>
    </w:p>
    <w:p w:rsidR="00C021B7" w:rsidRDefault="00C021B7">
      <w:pPr>
        <w:sectPr w:rsidR="00C021B7">
          <w:pgSz w:w="12240" w:h="15840"/>
          <w:pgMar w:top="1360" w:right="1300" w:bottom="1440" w:left="1300" w:header="0" w:footer="1186" w:gutter="0"/>
          <w:cols w:num="2" w:space="720" w:equalWidth="0">
            <w:col w:w="4506" w:space="535"/>
            <w:col w:w="4599"/>
          </w:cols>
        </w:sectPr>
      </w:pPr>
    </w:p>
    <w:p w:rsidR="00C021B7" w:rsidRDefault="00974ECE">
      <w:pPr>
        <w:pStyle w:val="Heading1"/>
        <w:numPr>
          <w:ilvl w:val="0"/>
          <w:numId w:val="2"/>
        </w:numPr>
        <w:tabs>
          <w:tab w:val="left" w:pos="500"/>
          <w:tab w:val="left" w:pos="501"/>
        </w:tabs>
        <w:ind w:hanging="361"/>
      </w:pPr>
      <w:r>
        <w:lastRenderedPageBreak/>
        <w:t>CONCLUSION</w:t>
      </w:r>
    </w:p>
    <w:p w:rsidR="00C021B7" w:rsidRDefault="00974ECE">
      <w:pPr>
        <w:pStyle w:val="BodyText"/>
        <w:spacing w:before="118"/>
        <w:ind w:right="38"/>
      </w:pPr>
      <w:r>
        <w:t xml:space="preserve">The result of the present study clearly indicates that the aqueous extract of </w:t>
      </w:r>
      <w:proofErr w:type="spellStart"/>
      <w:r>
        <w:rPr>
          <w:i/>
        </w:rPr>
        <w:t>Sphaeranthus</w:t>
      </w:r>
      <w:proofErr w:type="spellEnd"/>
      <w:r>
        <w:rPr>
          <w:i/>
        </w:rPr>
        <w:t xml:space="preserve"> </w:t>
      </w:r>
      <w:proofErr w:type="spellStart"/>
      <w:r>
        <w:rPr>
          <w:i/>
        </w:rPr>
        <w:t>indicus</w:t>
      </w:r>
      <w:proofErr w:type="spellEnd"/>
      <w:r>
        <w:rPr>
          <w:i/>
        </w:rPr>
        <w:t xml:space="preserve"> </w:t>
      </w:r>
      <w:r>
        <w:t xml:space="preserve">whole plant possesses potent </w:t>
      </w:r>
      <w:proofErr w:type="spellStart"/>
      <w:r>
        <w:t>hepatoprotective</w:t>
      </w:r>
      <w:proofErr w:type="spellEnd"/>
      <w:r>
        <w:t xml:space="preserve"> activity against paracetamol induced hepatotoxicity, which claims its traditional use as a </w:t>
      </w:r>
      <w:proofErr w:type="spellStart"/>
      <w:r>
        <w:t>hepatoprotective</w:t>
      </w:r>
      <w:proofErr w:type="spellEnd"/>
      <w:r>
        <w:t xml:space="preserve"> agent.</w:t>
      </w:r>
    </w:p>
    <w:p w:rsidR="00C021B7" w:rsidRDefault="00C021B7">
      <w:pPr>
        <w:pStyle w:val="BodyText"/>
        <w:ind w:left="0"/>
        <w:jc w:val="left"/>
        <w:rPr>
          <w:sz w:val="20"/>
        </w:rPr>
      </w:pPr>
    </w:p>
    <w:p w:rsidR="00C021B7" w:rsidRDefault="00C021B7">
      <w:pPr>
        <w:pStyle w:val="BodyText"/>
        <w:ind w:left="0"/>
        <w:jc w:val="left"/>
        <w:rPr>
          <w:sz w:val="19"/>
        </w:rPr>
      </w:pPr>
    </w:p>
    <w:p w:rsidR="00C021B7" w:rsidRDefault="00974ECE">
      <w:pPr>
        <w:pStyle w:val="Heading1"/>
        <w:numPr>
          <w:ilvl w:val="0"/>
          <w:numId w:val="2"/>
        </w:numPr>
        <w:tabs>
          <w:tab w:val="left" w:pos="342"/>
        </w:tabs>
        <w:spacing w:before="0"/>
        <w:ind w:left="341" w:hanging="202"/>
      </w:pPr>
      <w:r>
        <w:t>ACKNOWLEDGEMENT</w:t>
      </w:r>
    </w:p>
    <w:p w:rsidR="00C021B7" w:rsidRDefault="00974ECE">
      <w:pPr>
        <w:pStyle w:val="BodyText"/>
        <w:spacing w:before="118"/>
        <w:ind w:right="41"/>
      </w:pPr>
      <w:r>
        <w:t xml:space="preserve">The authors are thankful to Dr. V. </w:t>
      </w:r>
      <w:proofErr w:type="spellStart"/>
      <w:r>
        <w:t>Chelladurai</w:t>
      </w:r>
      <w:proofErr w:type="spellEnd"/>
      <w:r>
        <w:t xml:space="preserve"> for helping in the collection of authentic sample material and also to </w:t>
      </w:r>
      <w:proofErr w:type="spellStart"/>
      <w:r>
        <w:t>Gokula</w:t>
      </w:r>
      <w:proofErr w:type="spellEnd"/>
      <w:r>
        <w:t xml:space="preserve"> Education Foundation, Bangalore for providing facilities to carry out the research</w:t>
      </w:r>
      <w:r>
        <w:rPr>
          <w:spacing w:val="-8"/>
        </w:rPr>
        <w:t xml:space="preserve"> </w:t>
      </w:r>
      <w:r>
        <w:t>work.</w:t>
      </w:r>
    </w:p>
    <w:p w:rsidR="00C021B7" w:rsidRDefault="00C021B7">
      <w:pPr>
        <w:pStyle w:val="BodyText"/>
        <w:spacing w:before="7"/>
        <w:ind w:left="0"/>
        <w:jc w:val="left"/>
        <w:rPr>
          <w:sz w:val="28"/>
        </w:rPr>
      </w:pPr>
    </w:p>
    <w:p w:rsidR="00C021B7" w:rsidRDefault="00974ECE">
      <w:pPr>
        <w:pStyle w:val="Heading1"/>
        <w:spacing w:before="1"/>
        <w:ind w:left="140" w:firstLine="0"/>
      </w:pPr>
      <w:r>
        <w:t>REFERENCES</w:t>
      </w:r>
    </w:p>
    <w:p w:rsidR="00C021B7" w:rsidRDefault="00C021B7">
      <w:pPr>
        <w:pStyle w:val="BodyText"/>
        <w:spacing w:before="8"/>
        <w:ind w:left="0"/>
        <w:jc w:val="left"/>
        <w:rPr>
          <w:b/>
          <w:sz w:val="17"/>
        </w:rPr>
      </w:pPr>
    </w:p>
    <w:p w:rsidR="00C021B7" w:rsidRDefault="00974ECE">
      <w:pPr>
        <w:pStyle w:val="ListParagraph"/>
        <w:numPr>
          <w:ilvl w:val="0"/>
          <w:numId w:val="1"/>
        </w:numPr>
        <w:tabs>
          <w:tab w:val="left" w:pos="501"/>
        </w:tabs>
        <w:ind w:right="39"/>
        <w:jc w:val="both"/>
        <w:rPr>
          <w:sz w:val="18"/>
        </w:rPr>
      </w:pPr>
      <w:r>
        <w:rPr>
          <w:sz w:val="18"/>
        </w:rPr>
        <w:t xml:space="preserve">Cross C.E., (1987) </w:t>
      </w:r>
      <w:r>
        <w:rPr>
          <w:i/>
          <w:sz w:val="18"/>
        </w:rPr>
        <w:t>Oxygen radicals and human disease</w:t>
      </w:r>
      <w:r>
        <w:rPr>
          <w:sz w:val="18"/>
        </w:rPr>
        <w:t>, Annals of International Medicine, 107, pp. 526.</w:t>
      </w:r>
    </w:p>
    <w:p w:rsidR="00C021B7" w:rsidRDefault="00974ECE">
      <w:pPr>
        <w:pStyle w:val="ListParagraph"/>
        <w:numPr>
          <w:ilvl w:val="0"/>
          <w:numId w:val="1"/>
        </w:numPr>
        <w:tabs>
          <w:tab w:val="left" w:pos="501"/>
        </w:tabs>
        <w:spacing w:before="1"/>
        <w:ind w:right="38"/>
        <w:jc w:val="both"/>
        <w:rPr>
          <w:sz w:val="18"/>
        </w:rPr>
      </w:pPr>
      <w:r>
        <w:rPr>
          <w:sz w:val="18"/>
        </w:rPr>
        <w:t xml:space="preserve">Ye-Shih Ho, Jean-Luc </w:t>
      </w:r>
      <w:proofErr w:type="spellStart"/>
      <w:r>
        <w:rPr>
          <w:sz w:val="18"/>
        </w:rPr>
        <w:t>Magnenat</w:t>
      </w:r>
      <w:proofErr w:type="spellEnd"/>
      <w:r>
        <w:rPr>
          <w:sz w:val="18"/>
        </w:rPr>
        <w:t xml:space="preserve">, Mary Gargano, </w:t>
      </w:r>
      <w:proofErr w:type="spellStart"/>
      <w:r>
        <w:rPr>
          <w:sz w:val="18"/>
        </w:rPr>
        <w:t>Jin</w:t>
      </w:r>
      <w:proofErr w:type="spellEnd"/>
      <w:r>
        <w:rPr>
          <w:sz w:val="18"/>
        </w:rPr>
        <w:t xml:space="preserve"> Cao, </w:t>
      </w:r>
      <w:proofErr w:type="gramStart"/>
      <w:r>
        <w:rPr>
          <w:sz w:val="18"/>
        </w:rPr>
        <w:t>(</w:t>
      </w:r>
      <w:proofErr w:type="gramEnd"/>
      <w:r>
        <w:rPr>
          <w:sz w:val="18"/>
        </w:rPr>
        <w:t xml:space="preserve">1998) The Nature of Antioxidant </w:t>
      </w:r>
      <w:proofErr w:type="spellStart"/>
      <w:r>
        <w:rPr>
          <w:sz w:val="18"/>
        </w:rPr>
        <w:t>Defence</w:t>
      </w:r>
      <w:proofErr w:type="spellEnd"/>
      <w:r>
        <w:rPr>
          <w:sz w:val="18"/>
        </w:rPr>
        <w:t xml:space="preserve"> Mechanisms: A Lesson from Transgenic studies, </w:t>
      </w:r>
      <w:r>
        <w:rPr>
          <w:i/>
          <w:sz w:val="18"/>
        </w:rPr>
        <w:t xml:space="preserve">Environmental Health Perspectives, </w:t>
      </w:r>
      <w:r>
        <w:rPr>
          <w:sz w:val="18"/>
        </w:rPr>
        <w:t>106(5), pp. 1219- 1228.</w:t>
      </w:r>
    </w:p>
    <w:p w:rsidR="00C021B7" w:rsidRDefault="00974ECE">
      <w:pPr>
        <w:pStyle w:val="ListParagraph"/>
        <w:numPr>
          <w:ilvl w:val="0"/>
          <w:numId w:val="1"/>
        </w:numPr>
        <w:tabs>
          <w:tab w:val="left" w:pos="501"/>
        </w:tabs>
        <w:ind w:right="38"/>
        <w:jc w:val="both"/>
        <w:rPr>
          <w:sz w:val="18"/>
        </w:rPr>
      </w:pPr>
      <w:proofErr w:type="spellStart"/>
      <w:r>
        <w:rPr>
          <w:sz w:val="18"/>
        </w:rPr>
        <w:t>Mangathayaru</w:t>
      </w:r>
      <w:proofErr w:type="spellEnd"/>
      <w:r>
        <w:rPr>
          <w:sz w:val="18"/>
        </w:rPr>
        <w:t xml:space="preserve"> K., </w:t>
      </w:r>
      <w:proofErr w:type="spellStart"/>
      <w:r>
        <w:rPr>
          <w:sz w:val="18"/>
        </w:rPr>
        <w:t>Sravan</w:t>
      </w:r>
      <w:proofErr w:type="spellEnd"/>
      <w:r>
        <w:rPr>
          <w:sz w:val="18"/>
        </w:rPr>
        <w:t xml:space="preserve"> K, (2007) In vitro antioxidant studies of the aerial parts of </w:t>
      </w:r>
      <w:proofErr w:type="spellStart"/>
      <w:r>
        <w:rPr>
          <w:sz w:val="18"/>
        </w:rPr>
        <w:t>Origanum</w:t>
      </w:r>
      <w:proofErr w:type="spellEnd"/>
      <w:r>
        <w:rPr>
          <w:sz w:val="18"/>
        </w:rPr>
        <w:t xml:space="preserve"> </w:t>
      </w:r>
      <w:proofErr w:type="spellStart"/>
      <w:r>
        <w:rPr>
          <w:sz w:val="18"/>
        </w:rPr>
        <w:t>majoram</w:t>
      </w:r>
      <w:proofErr w:type="spellEnd"/>
      <w:r>
        <w:rPr>
          <w:sz w:val="18"/>
        </w:rPr>
        <w:t xml:space="preserve"> Linn and </w:t>
      </w:r>
      <w:proofErr w:type="spellStart"/>
      <w:r>
        <w:rPr>
          <w:sz w:val="18"/>
        </w:rPr>
        <w:t>Artemesia</w:t>
      </w:r>
      <w:proofErr w:type="spellEnd"/>
      <w:r>
        <w:rPr>
          <w:sz w:val="18"/>
        </w:rPr>
        <w:t xml:space="preserve"> </w:t>
      </w:r>
      <w:proofErr w:type="spellStart"/>
      <w:r>
        <w:rPr>
          <w:sz w:val="18"/>
        </w:rPr>
        <w:t>sieversiana</w:t>
      </w:r>
      <w:proofErr w:type="spellEnd"/>
      <w:r>
        <w:rPr>
          <w:sz w:val="18"/>
        </w:rPr>
        <w:t xml:space="preserve"> </w:t>
      </w:r>
      <w:proofErr w:type="spellStart"/>
      <w:r>
        <w:rPr>
          <w:sz w:val="18"/>
        </w:rPr>
        <w:t>Ehrh</w:t>
      </w:r>
      <w:proofErr w:type="spellEnd"/>
      <w:r>
        <w:rPr>
          <w:sz w:val="18"/>
        </w:rPr>
        <w:t xml:space="preserve">, </w:t>
      </w:r>
      <w:r>
        <w:rPr>
          <w:i/>
          <w:sz w:val="18"/>
        </w:rPr>
        <w:t>Pharmacognosy Magazine</w:t>
      </w:r>
      <w:r>
        <w:rPr>
          <w:sz w:val="18"/>
        </w:rPr>
        <w:t>, 3(10),pp.</w:t>
      </w:r>
      <w:r>
        <w:rPr>
          <w:spacing w:val="-6"/>
          <w:sz w:val="18"/>
        </w:rPr>
        <w:t xml:space="preserve"> </w:t>
      </w:r>
      <w:r>
        <w:rPr>
          <w:sz w:val="18"/>
        </w:rPr>
        <w:t>90-94.</w:t>
      </w:r>
    </w:p>
    <w:p w:rsidR="00C021B7" w:rsidRDefault="00974ECE">
      <w:pPr>
        <w:pStyle w:val="ListParagraph"/>
        <w:numPr>
          <w:ilvl w:val="0"/>
          <w:numId w:val="1"/>
        </w:numPr>
        <w:tabs>
          <w:tab w:val="left" w:pos="501"/>
        </w:tabs>
        <w:ind w:right="39"/>
        <w:jc w:val="both"/>
        <w:rPr>
          <w:sz w:val="18"/>
        </w:rPr>
      </w:pPr>
      <w:proofErr w:type="spellStart"/>
      <w:r>
        <w:rPr>
          <w:sz w:val="18"/>
        </w:rPr>
        <w:t>Yoganarasimhan</w:t>
      </w:r>
      <w:proofErr w:type="spellEnd"/>
      <w:r>
        <w:rPr>
          <w:sz w:val="18"/>
        </w:rPr>
        <w:t xml:space="preserve"> S.N., (2000) </w:t>
      </w:r>
      <w:r>
        <w:rPr>
          <w:i/>
          <w:sz w:val="18"/>
        </w:rPr>
        <w:t>Medicinal plants of India (</w:t>
      </w:r>
      <w:proofErr w:type="spellStart"/>
      <w:r>
        <w:rPr>
          <w:i/>
          <w:sz w:val="18"/>
        </w:rPr>
        <w:t>Tamilnadu</w:t>
      </w:r>
      <w:proofErr w:type="spellEnd"/>
      <w:r>
        <w:rPr>
          <w:i/>
          <w:sz w:val="18"/>
        </w:rPr>
        <w:t>) - Vol II</w:t>
      </w:r>
      <w:r>
        <w:rPr>
          <w:sz w:val="18"/>
        </w:rPr>
        <w:t>, Interline publishing private Ltd,</w:t>
      </w:r>
      <w:r>
        <w:rPr>
          <w:spacing w:val="-1"/>
          <w:sz w:val="18"/>
        </w:rPr>
        <w:t xml:space="preserve"> </w:t>
      </w:r>
      <w:r>
        <w:rPr>
          <w:sz w:val="18"/>
        </w:rPr>
        <w:t>Bangalore.</w:t>
      </w:r>
    </w:p>
    <w:p w:rsidR="00C021B7" w:rsidRDefault="00974ECE">
      <w:pPr>
        <w:pStyle w:val="ListParagraph"/>
        <w:numPr>
          <w:ilvl w:val="0"/>
          <w:numId w:val="1"/>
        </w:numPr>
        <w:tabs>
          <w:tab w:val="left" w:pos="501"/>
        </w:tabs>
        <w:ind w:right="39"/>
        <w:jc w:val="both"/>
        <w:rPr>
          <w:sz w:val="18"/>
        </w:rPr>
      </w:pPr>
      <w:r>
        <w:rPr>
          <w:sz w:val="18"/>
        </w:rPr>
        <w:t>Sharma P.C., (2002) Database on medicinal plants used in Ayurveda- V-5, Central council for Research in Ayurveda and Siddha, pp. 251-259.</w:t>
      </w:r>
    </w:p>
    <w:p w:rsidR="00C021B7" w:rsidRDefault="00974ECE">
      <w:pPr>
        <w:pStyle w:val="ListParagraph"/>
        <w:numPr>
          <w:ilvl w:val="0"/>
          <w:numId w:val="1"/>
        </w:numPr>
        <w:tabs>
          <w:tab w:val="left" w:pos="501"/>
        </w:tabs>
        <w:spacing w:before="1"/>
        <w:ind w:right="40"/>
        <w:jc w:val="both"/>
        <w:rPr>
          <w:sz w:val="18"/>
        </w:rPr>
      </w:pPr>
      <w:proofErr w:type="spellStart"/>
      <w:r>
        <w:rPr>
          <w:sz w:val="18"/>
        </w:rPr>
        <w:t>Bhuwan</w:t>
      </w:r>
      <w:proofErr w:type="spellEnd"/>
      <w:r>
        <w:rPr>
          <w:sz w:val="18"/>
        </w:rPr>
        <w:t xml:space="preserve"> B., Yadav S.B., Rakesh K., </w:t>
      </w:r>
      <w:proofErr w:type="spellStart"/>
      <w:r>
        <w:rPr>
          <w:sz w:val="18"/>
        </w:rPr>
        <w:t>Tripathi</w:t>
      </w:r>
      <w:proofErr w:type="spellEnd"/>
      <w:r>
        <w:rPr>
          <w:sz w:val="18"/>
        </w:rPr>
        <w:t xml:space="preserve"> V., (2007) A Novel </w:t>
      </w:r>
      <w:proofErr w:type="spellStart"/>
      <w:r>
        <w:rPr>
          <w:sz w:val="18"/>
        </w:rPr>
        <w:t>Flavanoid</w:t>
      </w:r>
      <w:proofErr w:type="spellEnd"/>
      <w:r>
        <w:rPr>
          <w:sz w:val="18"/>
        </w:rPr>
        <w:t xml:space="preserve"> C-glycoside from </w:t>
      </w:r>
      <w:proofErr w:type="spellStart"/>
      <w:r>
        <w:rPr>
          <w:sz w:val="18"/>
        </w:rPr>
        <w:t>Sphaeranthus</w:t>
      </w:r>
      <w:proofErr w:type="spellEnd"/>
      <w:r>
        <w:rPr>
          <w:sz w:val="18"/>
        </w:rPr>
        <w:t xml:space="preserve"> </w:t>
      </w:r>
      <w:proofErr w:type="spellStart"/>
      <w:r>
        <w:rPr>
          <w:sz w:val="18"/>
        </w:rPr>
        <w:t>indicus</w:t>
      </w:r>
      <w:proofErr w:type="spellEnd"/>
      <w:r>
        <w:rPr>
          <w:sz w:val="18"/>
        </w:rPr>
        <w:t xml:space="preserve"> L.(Family </w:t>
      </w:r>
      <w:proofErr w:type="spellStart"/>
      <w:r>
        <w:rPr>
          <w:sz w:val="18"/>
        </w:rPr>
        <w:t>Compositae</w:t>
      </w:r>
      <w:proofErr w:type="spellEnd"/>
      <w:r>
        <w:rPr>
          <w:sz w:val="18"/>
        </w:rPr>
        <w:t xml:space="preserve">), </w:t>
      </w:r>
      <w:r>
        <w:rPr>
          <w:i/>
          <w:sz w:val="18"/>
        </w:rPr>
        <w:t>Molecules</w:t>
      </w:r>
      <w:r>
        <w:rPr>
          <w:sz w:val="18"/>
        </w:rPr>
        <w:t>, 12, pp.</w:t>
      </w:r>
      <w:r>
        <w:rPr>
          <w:spacing w:val="-1"/>
          <w:sz w:val="18"/>
        </w:rPr>
        <w:t xml:space="preserve"> </w:t>
      </w:r>
      <w:r>
        <w:rPr>
          <w:sz w:val="18"/>
        </w:rPr>
        <w:t>2288-2291.</w:t>
      </w:r>
    </w:p>
    <w:p w:rsidR="00C021B7" w:rsidRDefault="00974ECE">
      <w:pPr>
        <w:pStyle w:val="ListParagraph"/>
        <w:numPr>
          <w:ilvl w:val="0"/>
          <w:numId w:val="1"/>
        </w:numPr>
        <w:tabs>
          <w:tab w:val="left" w:pos="501"/>
        </w:tabs>
        <w:spacing w:before="75"/>
        <w:ind w:right="134"/>
        <w:jc w:val="both"/>
        <w:rPr>
          <w:sz w:val="18"/>
        </w:rPr>
      </w:pPr>
      <w:r>
        <w:rPr>
          <w:w w:val="99"/>
          <w:sz w:val="18"/>
        </w:rPr>
        <w:br w:type="column"/>
      </w:r>
      <w:proofErr w:type="spellStart"/>
      <w:r>
        <w:rPr>
          <w:sz w:val="18"/>
        </w:rPr>
        <w:t>Shekhani</w:t>
      </w:r>
      <w:proofErr w:type="spellEnd"/>
      <w:r>
        <w:rPr>
          <w:sz w:val="18"/>
        </w:rPr>
        <w:t xml:space="preserve"> M.S., </w:t>
      </w:r>
      <w:proofErr w:type="spellStart"/>
      <w:r>
        <w:rPr>
          <w:sz w:val="18"/>
        </w:rPr>
        <w:t>Muazzam</w:t>
      </w:r>
      <w:proofErr w:type="spellEnd"/>
      <w:r>
        <w:rPr>
          <w:sz w:val="18"/>
        </w:rPr>
        <w:t xml:space="preserve"> shah P., (1990) </w:t>
      </w:r>
      <w:proofErr w:type="gramStart"/>
      <w:r>
        <w:rPr>
          <w:sz w:val="18"/>
        </w:rPr>
        <w:t>An</w:t>
      </w:r>
      <w:proofErr w:type="gramEnd"/>
      <w:r>
        <w:rPr>
          <w:sz w:val="18"/>
        </w:rPr>
        <w:t xml:space="preserve"> </w:t>
      </w:r>
      <w:proofErr w:type="spellStart"/>
      <w:r>
        <w:rPr>
          <w:sz w:val="18"/>
        </w:rPr>
        <w:t>immunostimulant</w:t>
      </w:r>
      <w:proofErr w:type="spellEnd"/>
      <w:r>
        <w:rPr>
          <w:sz w:val="18"/>
        </w:rPr>
        <w:t xml:space="preserve"> </w:t>
      </w:r>
      <w:proofErr w:type="spellStart"/>
      <w:r>
        <w:rPr>
          <w:sz w:val="18"/>
        </w:rPr>
        <w:t>sesquiterpene</w:t>
      </w:r>
      <w:proofErr w:type="spellEnd"/>
      <w:r>
        <w:rPr>
          <w:sz w:val="18"/>
        </w:rPr>
        <w:t xml:space="preserve"> Glycoside from </w:t>
      </w:r>
      <w:proofErr w:type="spellStart"/>
      <w:r>
        <w:rPr>
          <w:sz w:val="18"/>
        </w:rPr>
        <w:t>Sphaeranthus</w:t>
      </w:r>
      <w:proofErr w:type="spellEnd"/>
      <w:r>
        <w:rPr>
          <w:sz w:val="18"/>
        </w:rPr>
        <w:t xml:space="preserve"> </w:t>
      </w:r>
      <w:proofErr w:type="spellStart"/>
      <w:r>
        <w:rPr>
          <w:sz w:val="18"/>
        </w:rPr>
        <w:t>indicus</w:t>
      </w:r>
      <w:proofErr w:type="spellEnd"/>
      <w:r>
        <w:rPr>
          <w:i/>
          <w:sz w:val="18"/>
        </w:rPr>
        <w:t>, Phytochemistry</w:t>
      </w:r>
      <w:r>
        <w:rPr>
          <w:sz w:val="18"/>
        </w:rPr>
        <w:t>, 29(8), pp. 2573-2576.</w:t>
      </w:r>
    </w:p>
    <w:p w:rsidR="00C021B7" w:rsidRDefault="00974ECE">
      <w:pPr>
        <w:pStyle w:val="ListParagraph"/>
        <w:numPr>
          <w:ilvl w:val="0"/>
          <w:numId w:val="1"/>
        </w:numPr>
        <w:tabs>
          <w:tab w:val="left" w:pos="501"/>
        </w:tabs>
        <w:ind w:right="133"/>
        <w:jc w:val="both"/>
        <w:rPr>
          <w:sz w:val="18"/>
        </w:rPr>
      </w:pPr>
      <w:proofErr w:type="spellStart"/>
      <w:r>
        <w:rPr>
          <w:sz w:val="18"/>
        </w:rPr>
        <w:t>Supada</w:t>
      </w:r>
      <w:proofErr w:type="spellEnd"/>
      <w:r>
        <w:rPr>
          <w:sz w:val="18"/>
        </w:rPr>
        <w:t xml:space="preserve"> R.R., </w:t>
      </w:r>
      <w:proofErr w:type="spellStart"/>
      <w:r>
        <w:rPr>
          <w:sz w:val="18"/>
        </w:rPr>
        <w:t>Bhimsen</w:t>
      </w:r>
      <w:proofErr w:type="spellEnd"/>
      <w:r>
        <w:rPr>
          <w:sz w:val="18"/>
        </w:rPr>
        <w:t xml:space="preserve"> A.N., (1992) 7- </w:t>
      </w:r>
      <w:proofErr w:type="spellStart"/>
      <w:r>
        <w:rPr>
          <w:sz w:val="18"/>
        </w:rPr>
        <w:t>HydroxyEudesmanolides</w:t>
      </w:r>
      <w:proofErr w:type="spellEnd"/>
      <w:r>
        <w:rPr>
          <w:sz w:val="18"/>
        </w:rPr>
        <w:t xml:space="preserve"> from </w:t>
      </w:r>
      <w:proofErr w:type="spellStart"/>
      <w:r>
        <w:rPr>
          <w:sz w:val="18"/>
        </w:rPr>
        <w:t>Sphaeranthus</w:t>
      </w:r>
      <w:proofErr w:type="spellEnd"/>
      <w:r>
        <w:rPr>
          <w:sz w:val="18"/>
        </w:rPr>
        <w:t xml:space="preserve"> </w:t>
      </w:r>
      <w:proofErr w:type="spellStart"/>
      <w:r>
        <w:rPr>
          <w:sz w:val="18"/>
        </w:rPr>
        <w:t>indicus</w:t>
      </w:r>
      <w:proofErr w:type="spellEnd"/>
      <w:r>
        <w:rPr>
          <w:sz w:val="18"/>
        </w:rPr>
        <w:t xml:space="preserve">, </w:t>
      </w:r>
      <w:r>
        <w:rPr>
          <w:i/>
          <w:sz w:val="18"/>
        </w:rPr>
        <w:t>Phytochemistry</w:t>
      </w:r>
      <w:r>
        <w:rPr>
          <w:sz w:val="18"/>
        </w:rPr>
        <w:t>, 31(9), pp.</w:t>
      </w:r>
      <w:r>
        <w:rPr>
          <w:spacing w:val="-1"/>
          <w:sz w:val="18"/>
        </w:rPr>
        <w:t xml:space="preserve"> </w:t>
      </w:r>
      <w:r>
        <w:rPr>
          <w:sz w:val="18"/>
        </w:rPr>
        <w:t>3270-3271.</w:t>
      </w:r>
    </w:p>
    <w:p w:rsidR="00C021B7" w:rsidRDefault="00974ECE">
      <w:pPr>
        <w:pStyle w:val="ListParagraph"/>
        <w:numPr>
          <w:ilvl w:val="0"/>
          <w:numId w:val="1"/>
        </w:numPr>
        <w:tabs>
          <w:tab w:val="left" w:pos="501"/>
        </w:tabs>
        <w:spacing w:before="1"/>
        <w:ind w:right="135"/>
        <w:jc w:val="both"/>
        <w:rPr>
          <w:sz w:val="18"/>
        </w:rPr>
      </w:pPr>
      <w:r>
        <w:rPr>
          <w:sz w:val="18"/>
        </w:rPr>
        <w:t xml:space="preserve">Gamble J.S., (1921) </w:t>
      </w:r>
      <w:r>
        <w:rPr>
          <w:i/>
          <w:sz w:val="18"/>
        </w:rPr>
        <w:t>Flora of the Presidency of Madras</w:t>
      </w:r>
      <w:r>
        <w:rPr>
          <w:sz w:val="18"/>
        </w:rPr>
        <w:t xml:space="preserve">, </w:t>
      </w:r>
      <w:proofErr w:type="spellStart"/>
      <w:r>
        <w:rPr>
          <w:sz w:val="18"/>
        </w:rPr>
        <w:t>Bishen</w:t>
      </w:r>
      <w:proofErr w:type="spellEnd"/>
      <w:r>
        <w:rPr>
          <w:sz w:val="18"/>
        </w:rPr>
        <w:t xml:space="preserve"> Singh </w:t>
      </w:r>
      <w:proofErr w:type="spellStart"/>
      <w:r>
        <w:rPr>
          <w:sz w:val="18"/>
        </w:rPr>
        <w:t>Mahendra</w:t>
      </w:r>
      <w:proofErr w:type="spellEnd"/>
      <w:r>
        <w:rPr>
          <w:sz w:val="18"/>
        </w:rPr>
        <w:t xml:space="preserve"> Pal Singh, </w:t>
      </w:r>
      <w:proofErr w:type="spellStart"/>
      <w:r>
        <w:rPr>
          <w:sz w:val="18"/>
        </w:rPr>
        <w:t>Vol.II</w:t>
      </w:r>
      <w:proofErr w:type="spellEnd"/>
      <w:r>
        <w:rPr>
          <w:sz w:val="18"/>
        </w:rPr>
        <w:t>, Dehra Dun, pp.</w:t>
      </w:r>
      <w:r>
        <w:rPr>
          <w:spacing w:val="-4"/>
          <w:sz w:val="18"/>
        </w:rPr>
        <w:t xml:space="preserve"> </w:t>
      </w:r>
      <w:r>
        <w:rPr>
          <w:sz w:val="18"/>
        </w:rPr>
        <w:t>691.</w:t>
      </w:r>
    </w:p>
    <w:p w:rsidR="00C021B7" w:rsidRDefault="00974ECE">
      <w:pPr>
        <w:pStyle w:val="ListParagraph"/>
        <w:numPr>
          <w:ilvl w:val="0"/>
          <w:numId w:val="1"/>
        </w:numPr>
        <w:tabs>
          <w:tab w:val="left" w:pos="501"/>
        </w:tabs>
        <w:ind w:right="133"/>
        <w:jc w:val="both"/>
        <w:rPr>
          <w:sz w:val="18"/>
        </w:rPr>
      </w:pPr>
      <w:proofErr w:type="spellStart"/>
      <w:r>
        <w:rPr>
          <w:sz w:val="18"/>
        </w:rPr>
        <w:t>Kokate</w:t>
      </w:r>
      <w:proofErr w:type="spellEnd"/>
      <w:r>
        <w:rPr>
          <w:sz w:val="18"/>
        </w:rPr>
        <w:t xml:space="preserve"> C.K., (1999) </w:t>
      </w:r>
      <w:r>
        <w:rPr>
          <w:i/>
          <w:sz w:val="18"/>
        </w:rPr>
        <w:t>Practical Pharmacognosy</w:t>
      </w:r>
      <w:r>
        <w:rPr>
          <w:sz w:val="18"/>
        </w:rPr>
        <w:t xml:space="preserve">, </w:t>
      </w:r>
      <w:proofErr w:type="spellStart"/>
      <w:r>
        <w:rPr>
          <w:sz w:val="18"/>
        </w:rPr>
        <w:t>Vallabh</w:t>
      </w:r>
      <w:proofErr w:type="spellEnd"/>
      <w:r>
        <w:rPr>
          <w:sz w:val="18"/>
        </w:rPr>
        <w:t xml:space="preserve"> </w:t>
      </w:r>
      <w:proofErr w:type="spellStart"/>
      <w:r>
        <w:rPr>
          <w:sz w:val="18"/>
        </w:rPr>
        <w:t>Prakashan</w:t>
      </w:r>
      <w:proofErr w:type="spellEnd"/>
      <w:r>
        <w:rPr>
          <w:sz w:val="18"/>
        </w:rPr>
        <w:t>, New Delhi, pp.</w:t>
      </w:r>
      <w:r>
        <w:rPr>
          <w:spacing w:val="-3"/>
          <w:sz w:val="18"/>
        </w:rPr>
        <w:t xml:space="preserve"> </w:t>
      </w:r>
      <w:r>
        <w:rPr>
          <w:sz w:val="18"/>
        </w:rPr>
        <w:t>107-121.</w:t>
      </w:r>
    </w:p>
    <w:p w:rsidR="00C021B7" w:rsidRDefault="00974ECE">
      <w:pPr>
        <w:pStyle w:val="ListParagraph"/>
        <w:numPr>
          <w:ilvl w:val="0"/>
          <w:numId w:val="1"/>
        </w:numPr>
        <w:tabs>
          <w:tab w:val="left" w:pos="501"/>
        </w:tabs>
        <w:ind w:right="136"/>
        <w:jc w:val="both"/>
        <w:rPr>
          <w:sz w:val="18"/>
        </w:rPr>
      </w:pPr>
      <w:proofErr w:type="spellStart"/>
      <w:r>
        <w:rPr>
          <w:sz w:val="18"/>
        </w:rPr>
        <w:t>Harborne</w:t>
      </w:r>
      <w:proofErr w:type="spellEnd"/>
      <w:r>
        <w:rPr>
          <w:sz w:val="18"/>
        </w:rPr>
        <w:t xml:space="preserve"> J.B., (1998) </w:t>
      </w:r>
      <w:r>
        <w:rPr>
          <w:i/>
          <w:sz w:val="18"/>
        </w:rPr>
        <w:t>Phytochemical Methods</w:t>
      </w:r>
      <w:r>
        <w:rPr>
          <w:sz w:val="18"/>
        </w:rPr>
        <w:t>, 3rd Edition, Chapman and Hall, London.</w:t>
      </w:r>
    </w:p>
    <w:p w:rsidR="00C021B7" w:rsidRDefault="00974ECE">
      <w:pPr>
        <w:pStyle w:val="ListParagraph"/>
        <w:numPr>
          <w:ilvl w:val="0"/>
          <w:numId w:val="1"/>
        </w:numPr>
        <w:tabs>
          <w:tab w:val="left" w:pos="501"/>
        </w:tabs>
        <w:ind w:right="136"/>
        <w:jc w:val="both"/>
        <w:rPr>
          <w:sz w:val="18"/>
        </w:rPr>
      </w:pPr>
      <w:proofErr w:type="spellStart"/>
      <w:r>
        <w:rPr>
          <w:sz w:val="18"/>
        </w:rPr>
        <w:t>Raaman</w:t>
      </w:r>
      <w:proofErr w:type="spellEnd"/>
      <w:r>
        <w:rPr>
          <w:sz w:val="18"/>
        </w:rPr>
        <w:t xml:space="preserve"> N., (2006) </w:t>
      </w:r>
      <w:r>
        <w:rPr>
          <w:i/>
          <w:sz w:val="18"/>
        </w:rPr>
        <w:t>Phytochemical Techniques</w:t>
      </w:r>
      <w:r>
        <w:rPr>
          <w:sz w:val="18"/>
        </w:rPr>
        <w:t>, New India Publishing Agency, New</w:t>
      </w:r>
      <w:r>
        <w:rPr>
          <w:spacing w:val="-7"/>
          <w:sz w:val="18"/>
        </w:rPr>
        <w:t xml:space="preserve"> </w:t>
      </w:r>
      <w:r>
        <w:rPr>
          <w:sz w:val="18"/>
        </w:rPr>
        <w:t>Delhi.</w:t>
      </w:r>
    </w:p>
    <w:p w:rsidR="00C021B7" w:rsidRDefault="00974ECE">
      <w:pPr>
        <w:pStyle w:val="ListParagraph"/>
        <w:numPr>
          <w:ilvl w:val="0"/>
          <w:numId w:val="1"/>
        </w:numPr>
        <w:tabs>
          <w:tab w:val="left" w:pos="590"/>
        </w:tabs>
        <w:ind w:right="135"/>
        <w:jc w:val="both"/>
        <w:rPr>
          <w:sz w:val="18"/>
        </w:rPr>
      </w:pPr>
      <w:r>
        <w:tab/>
      </w:r>
      <w:r>
        <w:rPr>
          <w:sz w:val="18"/>
        </w:rPr>
        <w:t>OECD/OCDE, OECD guidelines for testing of Chemical-423, 17 Dec.</w:t>
      </w:r>
      <w:r>
        <w:rPr>
          <w:spacing w:val="-2"/>
          <w:sz w:val="18"/>
        </w:rPr>
        <w:t xml:space="preserve"> </w:t>
      </w:r>
      <w:r>
        <w:rPr>
          <w:sz w:val="18"/>
        </w:rPr>
        <w:t>2001.</w:t>
      </w:r>
    </w:p>
    <w:p w:rsidR="00C021B7" w:rsidRDefault="00974ECE">
      <w:pPr>
        <w:pStyle w:val="ListParagraph"/>
        <w:numPr>
          <w:ilvl w:val="0"/>
          <w:numId w:val="1"/>
        </w:numPr>
        <w:tabs>
          <w:tab w:val="left" w:pos="501"/>
        </w:tabs>
        <w:ind w:right="133"/>
        <w:jc w:val="both"/>
        <w:rPr>
          <w:sz w:val="18"/>
        </w:rPr>
      </w:pPr>
      <w:r>
        <w:rPr>
          <w:sz w:val="18"/>
        </w:rPr>
        <w:t xml:space="preserve">Nirmala M., </w:t>
      </w:r>
      <w:proofErr w:type="spellStart"/>
      <w:r>
        <w:rPr>
          <w:sz w:val="18"/>
        </w:rPr>
        <w:t>Girija</w:t>
      </w:r>
      <w:proofErr w:type="spellEnd"/>
      <w:r>
        <w:rPr>
          <w:sz w:val="18"/>
        </w:rPr>
        <w:t xml:space="preserve"> K., </w:t>
      </w:r>
      <w:proofErr w:type="spellStart"/>
      <w:r>
        <w:rPr>
          <w:sz w:val="18"/>
        </w:rPr>
        <w:t>Lakshman</w:t>
      </w:r>
      <w:proofErr w:type="spellEnd"/>
      <w:r>
        <w:rPr>
          <w:sz w:val="18"/>
        </w:rPr>
        <w:t xml:space="preserve"> K., </w:t>
      </w:r>
      <w:proofErr w:type="spellStart"/>
      <w:r>
        <w:rPr>
          <w:sz w:val="18"/>
        </w:rPr>
        <w:t>Divya</w:t>
      </w:r>
      <w:proofErr w:type="spellEnd"/>
      <w:r>
        <w:rPr>
          <w:sz w:val="18"/>
        </w:rPr>
        <w:t xml:space="preserve"> T., (2012) </w:t>
      </w:r>
      <w:proofErr w:type="spellStart"/>
      <w:r>
        <w:rPr>
          <w:sz w:val="18"/>
        </w:rPr>
        <w:t>Hepatoprotetive</w:t>
      </w:r>
      <w:proofErr w:type="spellEnd"/>
      <w:r>
        <w:rPr>
          <w:sz w:val="18"/>
        </w:rPr>
        <w:t xml:space="preserve"> activity of Musa </w:t>
      </w:r>
      <w:proofErr w:type="spellStart"/>
      <w:r>
        <w:rPr>
          <w:sz w:val="18"/>
        </w:rPr>
        <w:t>paradisica</w:t>
      </w:r>
      <w:proofErr w:type="spellEnd"/>
      <w:r>
        <w:rPr>
          <w:sz w:val="18"/>
        </w:rPr>
        <w:t xml:space="preserve"> on experimental animal models, </w:t>
      </w:r>
      <w:r>
        <w:rPr>
          <w:i/>
          <w:sz w:val="18"/>
        </w:rPr>
        <w:t>Asian Pacific Journal of Tropical Biomedicine</w:t>
      </w:r>
      <w:r>
        <w:rPr>
          <w:sz w:val="18"/>
        </w:rPr>
        <w:t>, 2(1), pp.</w:t>
      </w:r>
      <w:r>
        <w:rPr>
          <w:spacing w:val="-2"/>
          <w:sz w:val="18"/>
        </w:rPr>
        <w:t xml:space="preserve"> </w:t>
      </w:r>
      <w:r>
        <w:rPr>
          <w:sz w:val="18"/>
        </w:rPr>
        <w:t>19-24.</w:t>
      </w:r>
    </w:p>
    <w:p w:rsidR="00C021B7" w:rsidRDefault="00974ECE">
      <w:pPr>
        <w:pStyle w:val="ListParagraph"/>
        <w:numPr>
          <w:ilvl w:val="0"/>
          <w:numId w:val="1"/>
        </w:numPr>
        <w:tabs>
          <w:tab w:val="left" w:pos="501"/>
        </w:tabs>
        <w:ind w:right="133"/>
        <w:jc w:val="both"/>
        <w:rPr>
          <w:sz w:val="18"/>
        </w:rPr>
      </w:pPr>
      <w:proofErr w:type="spellStart"/>
      <w:r>
        <w:rPr>
          <w:sz w:val="18"/>
        </w:rPr>
        <w:t>Litovitz</w:t>
      </w:r>
      <w:proofErr w:type="spellEnd"/>
      <w:r>
        <w:rPr>
          <w:sz w:val="18"/>
        </w:rPr>
        <w:t xml:space="preserve"> T.L., Klein-Schwartz W., Rodgers G.C Jr., </w:t>
      </w:r>
      <w:proofErr w:type="spellStart"/>
      <w:r>
        <w:rPr>
          <w:sz w:val="18"/>
        </w:rPr>
        <w:t>Cobaugh</w:t>
      </w:r>
      <w:proofErr w:type="spellEnd"/>
      <w:r>
        <w:rPr>
          <w:sz w:val="18"/>
        </w:rPr>
        <w:t xml:space="preserve"> D.J., </w:t>
      </w:r>
      <w:proofErr w:type="spellStart"/>
      <w:r>
        <w:rPr>
          <w:sz w:val="18"/>
        </w:rPr>
        <w:t>Youniss</w:t>
      </w:r>
      <w:proofErr w:type="spellEnd"/>
      <w:r>
        <w:rPr>
          <w:sz w:val="18"/>
        </w:rPr>
        <w:t xml:space="preserve"> J., </w:t>
      </w:r>
      <w:proofErr w:type="spellStart"/>
      <w:r>
        <w:rPr>
          <w:sz w:val="18"/>
        </w:rPr>
        <w:t>Omslaer</w:t>
      </w:r>
      <w:proofErr w:type="spellEnd"/>
      <w:r>
        <w:rPr>
          <w:sz w:val="18"/>
        </w:rPr>
        <w:t xml:space="preserve"> J.C., May M.E., Woolf A.D., Benson B.E., (2002) 2001 annual report of the American Association of Poison Control Centers Toxic Exposure Surveillance System, </w:t>
      </w:r>
      <w:r>
        <w:rPr>
          <w:i/>
          <w:sz w:val="18"/>
        </w:rPr>
        <w:t>American Journal of Emergency Medicine</w:t>
      </w:r>
      <w:r>
        <w:rPr>
          <w:sz w:val="18"/>
        </w:rPr>
        <w:t>, 20, pp. 391–452.</w:t>
      </w:r>
    </w:p>
    <w:p w:rsidR="00C021B7" w:rsidRDefault="00974ECE">
      <w:pPr>
        <w:pStyle w:val="ListParagraph"/>
        <w:numPr>
          <w:ilvl w:val="0"/>
          <w:numId w:val="1"/>
        </w:numPr>
        <w:tabs>
          <w:tab w:val="left" w:pos="501"/>
        </w:tabs>
        <w:ind w:right="133"/>
        <w:jc w:val="both"/>
        <w:rPr>
          <w:sz w:val="18"/>
        </w:rPr>
      </w:pPr>
      <w:proofErr w:type="spellStart"/>
      <w:r>
        <w:rPr>
          <w:sz w:val="18"/>
        </w:rPr>
        <w:t>Vermeulen</w:t>
      </w:r>
      <w:proofErr w:type="spellEnd"/>
      <w:r>
        <w:rPr>
          <w:sz w:val="18"/>
        </w:rPr>
        <w:t xml:space="preserve"> N.P.E., </w:t>
      </w:r>
      <w:proofErr w:type="spellStart"/>
      <w:r>
        <w:rPr>
          <w:sz w:val="18"/>
        </w:rPr>
        <w:t>Bessems</w:t>
      </w:r>
      <w:proofErr w:type="spellEnd"/>
      <w:r>
        <w:rPr>
          <w:sz w:val="18"/>
        </w:rPr>
        <w:t xml:space="preserve"> J.G.M., Van de </w:t>
      </w:r>
      <w:proofErr w:type="spellStart"/>
      <w:r>
        <w:rPr>
          <w:sz w:val="18"/>
        </w:rPr>
        <w:t>straat</w:t>
      </w:r>
      <w:proofErr w:type="spellEnd"/>
      <w:r>
        <w:rPr>
          <w:sz w:val="18"/>
        </w:rPr>
        <w:t xml:space="preserve"> R., (1992) Molecular aspect of paracetamol-induced hepatotoxicity and its mechanism based prevention, </w:t>
      </w:r>
      <w:r>
        <w:rPr>
          <w:i/>
          <w:sz w:val="18"/>
        </w:rPr>
        <w:t>Drug Metabolism Review</w:t>
      </w:r>
      <w:r>
        <w:rPr>
          <w:sz w:val="18"/>
        </w:rPr>
        <w:t>, 24, pp. 24:</w:t>
      </w:r>
      <w:r>
        <w:rPr>
          <w:spacing w:val="-6"/>
          <w:sz w:val="18"/>
        </w:rPr>
        <w:t xml:space="preserve"> </w:t>
      </w:r>
      <w:r>
        <w:rPr>
          <w:sz w:val="18"/>
        </w:rPr>
        <w:t>367.</w:t>
      </w:r>
    </w:p>
    <w:p w:rsidR="00C021B7" w:rsidRDefault="00974ECE">
      <w:pPr>
        <w:pStyle w:val="ListParagraph"/>
        <w:numPr>
          <w:ilvl w:val="0"/>
          <w:numId w:val="1"/>
        </w:numPr>
        <w:tabs>
          <w:tab w:val="left" w:pos="501"/>
          <w:tab w:val="left" w:pos="2765"/>
          <w:tab w:val="left" w:pos="4317"/>
        </w:tabs>
        <w:ind w:right="133"/>
        <w:jc w:val="both"/>
        <w:rPr>
          <w:sz w:val="18"/>
        </w:rPr>
      </w:pPr>
      <w:proofErr w:type="spellStart"/>
      <w:r>
        <w:rPr>
          <w:sz w:val="18"/>
        </w:rPr>
        <w:t>Sharida</w:t>
      </w:r>
      <w:proofErr w:type="spellEnd"/>
      <w:r>
        <w:rPr>
          <w:sz w:val="18"/>
        </w:rPr>
        <w:t xml:space="preserve"> </w:t>
      </w:r>
      <w:proofErr w:type="spellStart"/>
      <w:r>
        <w:rPr>
          <w:sz w:val="18"/>
        </w:rPr>
        <w:t>Fakurazi</w:t>
      </w:r>
      <w:proofErr w:type="spellEnd"/>
      <w:r>
        <w:rPr>
          <w:sz w:val="18"/>
        </w:rPr>
        <w:t xml:space="preserve">, </w:t>
      </w:r>
      <w:proofErr w:type="spellStart"/>
      <w:r>
        <w:rPr>
          <w:sz w:val="18"/>
        </w:rPr>
        <w:t>Syazana</w:t>
      </w:r>
      <w:proofErr w:type="spellEnd"/>
      <w:r>
        <w:rPr>
          <w:sz w:val="18"/>
        </w:rPr>
        <w:t xml:space="preserve"> </w:t>
      </w:r>
      <w:proofErr w:type="spellStart"/>
      <w:r>
        <w:rPr>
          <w:sz w:val="18"/>
        </w:rPr>
        <w:t>Akmal</w:t>
      </w:r>
      <w:proofErr w:type="spellEnd"/>
      <w:r>
        <w:rPr>
          <w:sz w:val="18"/>
        </w:rPr>
        <w:t xml:space="preserve"> </w:t>
      </w:r>
      <w:proofErr w:type="spellStart"/>
      <w:r>
        <w:rPr>
          <w:sz w:val="18"/>
        </w:rPr>
        <w:t>Sharifudin</w:t>
      </w:r>
      <w:proofErr w:type="spellEnd"/>
      <w:r>
        <w:rPr>
          <w:sz w:val="18"/>
        </w:rPr>
        <w:t xml:space="preserve">, </w:t>
      </w:r>
      <w:proofErr w:type="spellStart"/>
      <w:r>
        <w:rPr>
          <w:sz w:val="18"/>
        </w:rPr>
        <w:t>Palanisamy</w:t>
      </w:r>
      <w:proofErr w:type="spellEnd"/>
      <w:r>
        <w:rPr>
          <w:sz w:val="18"/>
        </w:rPr>
        <w:t xml:space="preserve"> </w:t>
      </w:r>
      <w:proofErr w:type="spellStart"/>
      <w:r>
        <w:rPr>
          <w:sz w:val="18"/>
        </w:rPr>
        <w:t>Arulselvan</w:t>
      </w:r>
      <w:proofErr w:type="spellEnd"/>
      <w:r>
        <w:rPr>
          <w:sz w:val="18"/>
        </w:rPr>
        <w:t xml:space="preserve">, (2012) </w:t>
      </w:r>
      <w:proofErr w:type="spellStart"/>
      <w:r>
        <w:rPr>
          <w:sz w:val="18"/>
        </w:rPr>
        <w:t>Moringa</w:t>
      </w:r>
      <w:proofErr w:type="spellEnd"/>
      <w:r>
        <w:rPr>
          <w:sz w:val="18"/>
        </w:rPr>
        <w:t xml:space="preserve"> </w:t>
      </w:r>
      <w:proofErr w:type="spellStart"/>
      <w:r>
        <w:rPr>
          <w:sz w:val="18"/>
        </w:rPr>
        <w:t>oleifera</w:t>
      </w:r>
      <w:proofErr w:type="spellEnd"/>
      <w:r>
        <w:rPr>
          <w:sz w:val="18"/>
        </w:rPr>
        <w:t xml:space="preserve"> </w:t>
      </w:r>
      <w:proofErr w:type="spellStart"/>
      <w:r>
        <w:rPr>
          <w:sz w:val="18"/>
        </w:rPr>
        <w:t>Hydroethanolic</w:t>
      </w:r>
      <w:proofErr w:type="spellEnd"/>
      <w:r>
        <w:rPr>
          <w:sz w:val="18"/>
        </w:rPr>
        <w:t xml:space="preserve"> Extracts Effectively Alleviate Acetaminophen-Induced</w:t>
      </w:r>
      <w:r>
        <w:rPr>
          <w:sz w:val="18"/>
        </w:rPr>
        <w:tab/>
        <w:t>Hepatotoxicity</w:t>
      </w:r>
      <w:r>
        <w:rPr>
          <w:sz w:val="18"/>
        </w:rPr>
        <w:tab/>
      </w:r>
      <w:r>
        <w:rPr>
          <w:spacing w:val="-6"/>
          <w:sz w:val="18"/>
        </w:rPr>
        <w:t xml:space="preserve">in </w:t>
      </w:r>
      <w:r>
        <w:rPr>
          <w:sz w:val="18"/>
        </w:rPr>
        <w:t xml:space="preserve">Experimental Rats through Their Antioxidant Nature, </w:t>
      </w:r>
      <w:r>
        <w:rPr>
          <w:i/>
          <w:sz w:val="18"/>
        </w:rPr>
        <w:t>Molecules</w:t>
      </w:r>
      <w:r>
        <w:rPr>
          <w:sz w:val="18"/>
        </w:rPr>
        <w:t>, 17, pp. 8334-8350.</w:t>
      </w:r>
    </w:p>
    <w:p w:rsidR="00C021B7" w:rsidRDefault="00C021B7">
      <w:pPr>
        <w:jc w:val="both"/>
        <w:rPr>
          <w:sz w:val="18"/>
        </w:rPr>
        <w:sectPr w:rsidR="00C021B7">
          <w:pgSz w:w="12240" w:h="15840"/>
          <w:pgMar w:top="1360" w:right="1300" w:bottom="1440" w:left="1300" w:header="0" w:footer="1186" w:gutter="0"/>
          <w:cols w:num="2" w:space="720" w:equalWidth="0">
            <w:col w:w="4504" w:space="537"/>
            <w:col w:w="4599"/>
          </w:cols>
        </w:sectPr>
      </w:pPr>
    </w:p>
    <w:p w:rsidR="00C021B7" w:rsidRDefault="00C021B7">
      <w:pPr>
        <w:pStyle w:val="BodyText"/>
        <w:ind w:left="0"/>
        <w:jc w:val="left"/>
        <w:rPr>
          <w:sz w:val="20"/>
        </w:rPr>
      </w:pPr>
    </w:p>
    <w:p w:rsidR="00C021B7" w:rsidRDefault="00C021B7">
      <w:pPr>
        <w:pStyle w:val="BodyText"/>
        <w:spacing w:before="2"/>
        <w:ind w:left="0"/>
        <w:jc w:val="left"/>
        <w:rPr>
          <w:sz w:val="16"/>
        </w:rPr>
      </w:pPr>
    </w:p>
    <w:p w:rsidR="00C021B7" w:rsidRDefault="00974ECE">
      <w:pPr>
        <w:pStyle w:val="Heading2"/>
        <w:spacing w:before="93" w:line="276" w:lineRule="auto"/>
        <w:ind w:left="3932" w:right="658" w:hanging="3395"/>
      </w:pPr>
      <w:r>
        <w:t xml:space="preserve">Table 1. Effect of aqueous extract of </w:t>
      </w:r>
      <w:proofErr w:type="spellStart"/>
      <w:r>
        <w:rPr>
          <w:i/>
        </w:rPr>
        <w:t>Sphaeranthus</w:t>
      </w:r>
      <w:proofErr w:type="spellEnd"/>
      <w:r>
        <w:rPr>
          <w:i/>
        </w:rPr>
        <w:t xml:space="preserve"> </w:t>
      </w:r>
      <w:proofErr w:type="spellStart"/>
      <w:r>
        <w:rPr>
          <w:i/>
        </w:rPr>
        <w:t>indicus</w:t>
      </w:r>
      <w:proofErr w:type="spellEnd"/>
      <w:r>
        <w:rPr>
          <w:i/>
        </w:rPr>
        <w:t xml:space="preserve"> </w:t>
      </w:r>
      <w:r>
        <w:t>on biochemical parameters in paracetamol induced hepatotoxicity in rats</w:t>
      </w:r>
    </w:p>
    <w:p w:rsidR="00C021B7" w:rsidRDefault="00C021B7">
      <w:pPr>
        <w:pStyle w:val="BodyText"/>
        <w:spacing w:before="3"/>
        <w:ind w:left="0"/>
        <w:jc w:val="left"/>
        <w:rPr>
          <w:b/>
          <w:sz w:val="27"/>
        </w:rPr>
      </w:pPr>
    </w:p>
    <w:tbl>
      <w:tblPr>
        <w:tblW w:w="0" w:type="auto"/>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9"/>
        <w:gridCol w:w="1800"/>
        <w:gridCol w:w="1620"/>
        <w:gridCol w:w="1531"/>
        <w:gridCol w:w="1439"/>
      </w:tblGrid>
      <w:tr w:rsidR="00C021B7">
        <w:trPr>
          <w:trHeight w:val="270"/>
        </w:trPr>
        <w:tc>
          <w:tcPr>
            <w:tcW w:w="1549" w:type="dxa"/>
          </w:tcPr>
          <w:p w:rsidR="00C021B7" w:rsidRDefault="00974ECE">
            <w:pPr>
              <w:pStyle w:val="TableParagraph"/>
              <w:spacing w:line="207" w:lineRule="exact"/>
              <w:ind w:left="604"/>
              <w:rPr>
                <w:b/>
                <w:sz w:val="18"/>
              </w:rPr>
            </w:pPr>
            <w:r>
              <w:rPr>
                <w:b/>
                <w:sz w:val="18"/>
              </w:rPr>
              <w:t>Groups</w:t>
            </w:r>
          </w:p>
        </w:tc>
        <w:tc>
          <w:tcPr>
            <w:tcW w:w="1800" w:type="dxa"/>
          </w:tcPr>
          <w:p w:rsidR="00C021B7" w:rsidRDefault="00974ECE">
            <w:pPr>
              <w:pStyle w:val="TableParagraph"/>
              <w:spacing w:line="207" w:lineRule="exact"/>
              <w:ind w:left="198"/>
              <w:rPr>
                <w:b/>
                <w:sz w:val="18"/>
              </w:rPr>
            </w:pPr>
            <w:r>
              <w:rPr>
                <w:b/>
                <w:sz w:val="18"/>
              </w:rPr>
              <w:t>SGOT(U/L)</w:t>
            </w:r>
          </w:p>
        </w:tc>
        <w:tc>
          <w:tcPr>
            <w:tcW w:w="1620" w:type="dxa"/>
          </w:tcPr>
          <w:p w:rsidR="00C021B7" w:rsidRDefault="00974ECE">
            <w:pPr>
              <w:pStyle w:val="TableParagraph"/>
              <w:spacing w:line="207" w:lineRule="exact"/>
              <w:ind w:left="244"/>
              <w:rPr>
                <w:b/>
                <w:sz w:val="18"/>
              </w:rPr>
            </w:pPr>
            <w:r>
              <w:rPr>
                <w:b/>
                <w:sz w:val="18"/>
              </w:rPr>
              <w:t>SGPT(U/L)</w:t>
            </w:r>
          </w:p>
        </w:tc>
        <w:tc>
          <w:tcPr>
            <w:tcW w:w="1531" w:type="dxa"/>
          </w:tcPr>
          <w:p w:rsidR="00C021B7" w:rsidRDefault="00974ECE">
            <w:pPr>
              <w:pStyle w:val="TableParagraph"/>
              <w:spacing w:line="207" w:lineRule="exact"/>
              <w:ind w:left="198"/>
              <w:rPr>
                <w:b/>
                <w:sz w:val="18"/>
              </w:rPr>
            </w:pPr>
            <w:r>
              <w:rPr>
                <w:b/>
                <w:sz w:val="18"/>
              </w:rPr>
              <w:t>ALP(U/L)</w:t>
            </w:r>
          </w:p>
        </w:tc>
        <w:tc>
          <w:tcPr>
            <w:tcW w:w="1439" w:type="dxa"/>
          </w:tcPr>
          <w:p w:rsidR="00C021B7" w:rsidRDefault="00974ECE">
            <w:pPr>
              <w:pStyle w:val="TableParagraph"/>
              <w:spacing w:line="207" w:lineRule="exact"/>
              <w:ind w:left="199"/>
              <w:rPr>
                <w:b/>
                <w:sz w:val="18"/>
              </w:rPr>
            </w:pPr>
            <w:r>
              <w:rPr>
                <w:b/>
                <w:sz w:val="18"/>
              </w:rPr>
              <w:t>TP(g/dl)</w:t>
            </w:r>
          </w:p>
        </w:tc>
      </w:tr>
      <w:tr w:rsidR="00C021B7">
        <w:trPr>
          <w:trHeight w:val="258"/>
        </w:trPr>
        <w:tc>
          <w:tcPr>
            <w:tcW w:w="1549" w:type="dxa"/>
          </w:tcPr>
          <w:p w:rsidR="00C021B7" w:rsidRDefault="00974ECE">
            <w:pPr>
              <w:pStyle w:val="TableParagraph"/>
              <w:spacing w:line="207" w:lineRule="exact"/>
              <w:rPr>
                <w:b/>
                <w:sz w:val="18"/>
              </w:rPr>
            </w:pPr>
            <w:r>
              <w:rPr>
                <w:b/>
                <w:sz w:val="18"/>
              </w:rPr>
              <w:t>Normal group</w:t>
            </w:r>
          </w:p>
        </w:tc>
        <w:tc>
          <w:tcPr>
            <w:tcW w:w="1800" w:type="dxa"/>
          </w:tcPr>
          <w:p w:rsidR="00C021B7" w:rsidRDefault="00974ECE">
            <w:pPr>
              <w:pStyle w:val="TableParagraph"/>
              <w:rPr>
                <w:sz w:val="18"/>
              </w:rPr>
            </w:pPr>
            <w:r>
              <w:rPr>
                <w:sz w:val="18"/>
              </w:rPr>
              <w:t>71.61 ± 5.43</w:t>
            </w:r>
          </w:p>
        </w:tc>
        <w:tc>
          <w:tcPr>
            <w:tcW w:w="1620" w:type="dxa"/>
          </w:tcPr>
          <w:p w:rsidR="00C021B7" w:rsidRDefault="00974ECE">
            <w:pPr>
              <w:pStyle w:val="TableParagraph"/>
              <w:rPr>
                <w:sz w:val="18"/>
              </w:rPr>
            </w:pPr>
            <w:r>
              <w:rPr>
                <w:sz w:val="18"/>
              </w:rPr>
              <w:t>35.49 ± 9.96</w:t>
            </w:r>
          </w:p>
        </w:tc>
        <w:tc>
          <w:tcPr>
            <w:tcW w:w="1531" w:type="dxa"/>
          </w:tcPr>
          <w:p w:rsidR="00C021B7" w:rsidRDefault="00974ECE">
            <w:pPr>
              <w:pStyle w:val="TableParagraph"/>
              <w:rPr>
                <w:sz w:val="18"/>
              </w:rPr>
            </w:pPr>
            <w:r>
              <w:rPr>
                <w:sz w:val="18"/>
              </w:rPr>
              <w:t>32.56 ± 1.43</w:t>
            </w:r>
          </w:p>
        </w:tc>
        <w:tc>
          <w:tcPr>
            <w:tcW w:w="1439" w:type="dxa"/>
          </w:tcPr>
          <w:p w:rsidR="00C021B7" w:rsidRDefault="00974ECE">
            <w:pPr>
              <w:pStyle w:val="TableParagraph"/>
              <w:ind w:left="108"/>
              <w:rPr>
                <w:sz w:val="18"/>
              </w:rPr>
            </w:pPr>
            <w:r>
              <w:rPr>
                <w:sz w:val="18"/>
              </w:rPr>
              <w:t>6.78 ± 0.87</w:t>
            </w:r>
          </w:p>
        </w:tc>
      </w:tr>
      <w:tr w:rsidR="00C021B7">
        <w:trPr>
          <w:trHeight w:val="434"/>
        </w:trPr>
        <w:tc>
          <w:tcPr>
            <w:tcW w:w="1549" w:type="dxa"/>
          </w:tcPr>
          <w:p w:rsidR="00C021B7" w:rsidRDefault="00974ECE">
            <w:pPr>
              <w:pStyle w:val="TableParagraph"/>
              <w:spacing w:before="6" w:line="206" w:lineRule="exact"/>
              <w:rPr>
                <w:b/>
                <w:sz w:val="18"/>
              </w:rPr>
            </w:pPr>
            <w:r>
              <w:rPr>
                <w:b/>
                <w:sz w:val="18"/>
              </w:rPr>
              <w:t>Paracetamol intoxicated</w:t>
            </w:r>
          </w:p>
        </w:tc>
        <w:tc>
          <w:tcPr>
            <w:tcW w:w="1800" w:type="dxa"/>
          </w:tcPr>
          <w:p w:rsidR="00C021B7" w:rsidRDefault="00974ECE">
            <w:pPr>
              <w:pStyle w:val="TableParagraph"/>
              <w:spacing w:line="205" w:lineRule="exact"/>
              <w:rPr>
                <w:sz w:val="18"/>
              </w:rPr>
            </w:pPr>
            <w:r>
              <w:rPr>
                <w:sz w:val="18"/>
              </w:rPr>
              <w:t>365.63 ± 29.18</w:t>
            </w:r>
          </w:p>
        </w:tc>
        <w:tc>
          <w:tcPr>
            <w:tcW w:w="1620" w:type="dxa"/>
          </w:tcPr>
          <w:p w:rsidR="00C021B7" w:rsidRDefault="00974ECE">
            <w:pPr>
              <w:pStyle w:val="TableParagraph"/>
              <w:spacing w:line="205" w:lineRule="exact"/>
              <w:rPr>
                <w:sz w:val="18"/>
              </w:rPr>
            </w:pPr>
            <w:r>
              <w:rPr>
                <w:sz w:val="18"/>
              </w:rPr>
              <w:t>125.80 ± 20.93</w:t>
            </w:r>
          </w:p>
        </w:tc>
        <w:tc>
          <w:tcPr>
            <w:tcW w:w="1531" w:type="dxa"/>
          </w:tcPr>
          <w:p w:rsidR="00C021B7" w:rsidRDefault="00974ECE">
            <w:pPr>
              <w:pStyle w:val="TableParagraph"/>
              <w:spacing w:line="205" w:lineRule="exact"/>
              <w:rPr>
                <w:sz w:val="18"/>
              </w:rPr>
            </w:pPr>
            <w:r>
              <w:rPr>
                <w:sz w:val="18"/>
              </w:rPr>
              <w:t>100.42 ± 0.09</w:t>
            </w:r>
          </w:p>
        </w:tc>
        <w:tc>
          <w:tcPr>
            <w:tcW w:w="1439" w:type="dxa"/>
          </w:tcPr>
          <w:p w:rsidR="00C021B7" w:rsidRDefault="00974ECE">
            <w:pPr>
              <w:pStyle w:val="TableParagraph"/>
              <w:spacing w:line="205" w:lineRule="exact"/>
              <w:ind w:left="108"/>
              <w:rPr>
                <w:sz w:val="18"/>
              </w:rPr>
            </w:pPr>
            <w:r>
              <w:rPr>
                <w:sz w:val="18"/>
              </w:rPr>
              <w:t>3.08 ± 0.03</w:t>
            </w:r>
          </w:p>
        </w:tc>
      </w:tr>
      <w:tr w:rsidR="00C021B7">
        <w:trPr>
          <w:trHeight w:val="340"/>
        </w:trPr>
        <w:tc>
          <w:tcPr>
            <w:tcW w:w="1549" w:type="dxa"/>
          </w:tcPr>
          <w:p w:rsidR="00C021B7" w:rsidRDefault="00974ECE">
            <w:pPr>
              <w:pStyle w:val="TableParagraph"/>
              <w:spacing w:line="207" w:lineRule="exact"/>
              <w:rPr>
                <w:b/>
                <w:sz w:val="18"/>
              </w:rPr>
            </w:pPr>
            <w:r>
              <w:rPr>
                <w:b/>
                <w:sz w:val="18"/>
              </w:rPr>
              <w:t>Standard group</w:t>
            </w:r>
          </w:p>
        </w:tc>
        <w:tc>
          <w:tcPr>
            <w:tcW w:w="1800" w:type="dxa"/>
          </w:tcPr>
          <w:p w:rsidR="00C021B7" w:rsidRDefault="00974ECE">
            <w:pPr>
              <w:pStyle w:val="TableParagraph"/>
              <w:rPr>
                <w:sz w:val="18"/>
              </w:rPr>
            </w:pPr>
            <w:r>
              <w:rPr>
                <w:sz w:val="18"/>
              </w:rPr>
              <w:t>112.21 ± 4.23 ***</w:t>
            </w:r>
          </w:p>
        </w:tc>
        <w:tc>
          <w:tcPr>
            <w:tcW w:w="1620" w:type="dxa"/>
          </w:tcPr>
          <w:p w:rsidR="00C021B7" w:rsidRDefault="00974ECE">
            <w:pPr>
              <w:pStyle w:val="TableParagraph"/>
              <w:rPr>
                <w:sz w:val="18"/>
              </w:rPr>
            </w:pPr>
            <w:r>
              <w:rPr>
                <w:sz w:val="18"/>
              </w:rPr>
              <w:t>56.85 ± 1.56***</w:t>
            </w:r>
          </w:p>
        </w:tc>
        <w:tc>
          <w:tcPr>
            <w:tcW w:w="1531" w:type="dxa"/>
          </w:tcPr>
          <w:p w:rsidR="00C021B7" w:rsidRDefault="00974ECE">
            <w:pPr>
              <w:pStyle w:val="TableParagraph"/>
              <w:rPr>
                <w:sz w:val="18"/>
              </w:rPr>
            </w:pPr>
            <w:r>
              <w:rPr>
                <w:sz w:val="18"/>
              </w:rPr>
              <w:t>39.87 ± 0.18</w:t>
            </w:r>
          </w:p>
        </w:tc>
        <w:tc>
          <w:tcPr>
            <w:tcW w:w="1439" w:type="dxa"/>
          </w:tcPr>
          <w:p w:rsidR="00C021B7" w:rsidRDefault="00974ECE">
            <w:pPr>
              <w:pStyle w:val="TableParagraph"/>
              <w:ind w:left="108"/>
              <w:rPr>
                <w:sz w:val="18"/>
              </w:rPr>
            </w:pPr>
            <w:r>
              <w:rPr>
                <w:sz w:val="18"/>
              </w:rPr>
              <w:t>6.18± 0.19***</w:t>
            </w:r>
          </w:p>
        </w:tc>
      </w:tr>
      <w:tr w:rsidR="00C021B7">
        <w:trPr>
          <w:trHeight w:val="532"/>
        </w:trPr>
        <w:tc>
          <w:tcPr>
            <w:tcW w:w="1549" w:type="dxa"/>
          </w:tcPr>
          <w:p w:rsidR="00C021B7" w:rsidRDefault="00974ECE">
            <w:pPr>
              <w:pStyle w:val="TableParagraph"/>
              <w:spacing w:line="240" w:lineRule="auto"/>
              <w:ind w:left="153" w:right="157" w:hanging="46"/>
              <w:rPr>
                <w:b/>
                <w:sz w:val="18"/>
              </w:rPr>
            </w:pPr>
            <w:r>
              <w:rPr>
                <w:b/>
                <w:sz w:val="18"/>
              </w:rPr>
              <w:t>Aqueous extract ( 200 mg/kg)</w:t>
            </w:r>
          </w:p>
        </w:tc>
        <w:tc>
          <w:tcPr>
            <w:tcW w:w="1800" w:type="dxa"/>
          </w:tcPr>
          <w:p w:rsidR="00C021B7" w:rsidRDefault="00974ECE">
            <w:pPr>
              <w:pStyle w:val="TableParagraph"/>
              <w:rPr>
                <w:sz w:val="18"/>
              </w:rPr>
            </w:pPr>
            <w:r>
              <w:rPr>
                <w:sz w:val="18"/>
              </w:rPr>
              <w:t>343.37 ± 3.86</w:t>
            </w:r>
          </w:p>
        </w:tc>
        <w:tc>
          <w:tcPr>
            <w:tcW w:w="1620" w:type="dxa"/>
          </w:tcPr>
          <w:p w:rsidR="00C021B7" w:rsidRDefault="00974ECE">
            <w:pPr>
              <w:pStyle w:val="TableParagraph"/>
              <w:rPr>
                <w:sz w:val="18"/>
              </w:rPr>
            </w:pPr>
            <w:r>
              <w:rPr>
                <w:sz w:val="18"/>
              </w:rPr>
              <w:t>112.34 ± 17.16</w:t>
            </w:r>
          </w:p>
        </w:tc>
        <w:tc>
          <w:tcPr>
            <w:tcW w:w="1531" w:type="dxa"/>
          </w:tcPr>
          <w:p w:rsidR="00C021B7" w:rsidRDefault="00974ECE">
            <w:pPr>
              <w:pStyle w:val="TableParagraph"/>
              <w:rPr>
                <w:sz w:val="18"/>
              </w:rPr>
            </w:pPr>
            <w:r>
              <w:rPr>
                <w:sz w:val="18"/>
              </w:rPr>
              <w:t>76.26 ± 1.71</w:t>
            </w:r>
          </w:p>
        </w:tc>
        <w:tc>
          <w:tcPr>
            <w:tcW w:w="1439" w:type="dxa"/>
          </w:tcPr>
          <w:p w:rsidR="00C021B7" w:rsidRDefault="00974ECE">
            <w:pPr>
              <w:pStyle w:val="TableParagraph"/>
              <w:ind w:left="108"/>
              <w:rPr>
                <w:sz w:val="18"/>
              </w:rPr>
            </w:pPr>
            <w:r>
              <w:rPr>
                <w:sz w:val="18"/>
              </w:rPr>
              <w:t>3.45 ± 0.06</w:t>
            </w:r>
          </w:p>
        </w:tc>
      </w:tr>
      <w:tr w:rsidR="00C021B7">
        <w:trPr>
          <w:trHeight w:val="431"/>
        </w:trPr>
        <w:tc>
          <w:tcPr>
            <w:tcW w:w="1549" w:type="dxa"/>
          </w:tcPr>
          <w:p w:rsidR="00C021B7" w:rsidRDefault="00974ECE">
            <w:pPr>
              <w:pStyle w:val="TableParagraph"/>
              <w:spacing w:before="3" w:line="206" w:lineRule="exact"/>
              <w:ind w:left="153" w:right="157" w:hanging="46"/>
              <w:rPr>
                <w:b/>
                <w:sz w:val="18"/>
              </w:rPr>
            </w:pPr>
            <w:r>
              <w:rPr>
                <w:b/>
                <w:sz w:val="18"/>
              </w:rPr>
              <w:t>Aqueous extract ( 400 mg/kg)</w:t>
            </w:r>
          </w:p>
        </w:tc>
        <w:tc>
          <w:tcPr>
            <w:tcW w:w="1800" w:type="dxa"/>
          </w:tcPr>
          <w:p w:rsidR="00C021B7" w:rsidRDefault="00974ECE">
            <w:pPr>
              <w:pStyle w:val="TableParagraph"/>
              <w:rPr>
                <w:sz w:val="18"/>
              </w:rPr>
            </w:pPr>
            <w:r>
              <w:rPr>
                <w:sz w:val="18"/>
              </w:rPr>
              <w:t>303.44 ± 13.00***</w:t>
            </w:r>
          </w:p>
        </w:tc>
        <w:tc>
          <w:tcPr>
            <w:tcW w:w="1620" w:type="dxa"/>
          </w:tcPr>
          <w:p w:rsidR="00C021B7" w:rsidRDefault="00974ECE">
            <w:pPr>
              <w:pStyle w:val="TableParagraph"/>
              <w:rPr>
                <w:sz w:val="18"/>
              </w:rPr>
            </w:pPr>
            <w:r>
              <w:rPr>
                <w:sz w:val="18"/>
              </w:rPr>
              <w:t>80.43 ± 2.50***</w:t>
            </w:r>
          </w:p>
        </w:tc>
        <w:tc>
          <w:tcPr>
            <w:tcW w:w="1531" w:type="dxa"/>
          </w:tcPr>
          <w:p w:rsidR="00C021B7" w:rsidRDefault="00974ECE">
            <w:pPr>
              <w:pStyle w:val="TableParagraph"/>
              <w:rPr>
                <w:sz w:val="18"/>
              </w:rPr>
            </w:pPr>
            <w:r>
              <w:rPr>
                <w:sz w:val="18"/>
              </w:rPr>
              <w:t>69.80 ± 3.24</w:t>
            </w:r>
          </w:p>
        </w:tc>
        <w:tc>
          <w:tcPr>
            <w:tcW w:w="1439" w:type="dxa"/>
          </w:tcPr>
          <w:p w:rsidR="00C021B7" w:rsidRDefault="00974ECE">
            <w:pPr>
              <w:pStyle w:val="TableParagraph"/>
              <w:ind w:left="108"/>
              <w:rPr>
                <w:sz w:val="18"/>
              </w:rPr>
            </w:pPr>
            <w:r>
              <w:rPr>
                <w:sz w:val="18"/>
              </w:rPr>
              <w:t>4.23± 0.08***</w:t>
            </w:r>
          </w:p>
        </w:tc>
      </w:tr>
    </w:tbl>
    <w:p w:rsidR="00C021B7" w:rsidRDefault="00C021B7">
      <w:pPr>
        <w:pStyle w:val="BodyText"/>
        <w:spacing w:before="7"/>
        <w:ind w:left="0"/>
        <w:jc w:val="left"/>
        <w:rPr>
          <w:b/>
          <w:sz w:val="25"/>
        </w:rPr>
      </w:pPr>
    </w:p>
    <w:p w:rsidR="00C021B7" w:rsidRDefault="00974ECE">
      <w:pPr>
        <w:pStyle w:val="BodyText"/>
        <w:ind w:right="537"/>
        <w:jc w:val="left"/>
      </w:pPr>
      <w:r>
        <w:t xml:space="preserve">All values are expressed as mean ± SEM, One way </w:t>
      </w:r>
      <w:proofErr w:type="spellStart"/>
      <w:r>
        <w:t>Anova</w:t>
      </w:r>
      <w:proofErr w:type="spellEnd"/>
      <w:r>
        <w:t xml:space="preserve"> followed by Tukey Kramer multiple comparison test (n = 6). The significance on comparison with control group. ***</w:t>
      </w:r>
      <w:r>
        <w:rPr>
          <w:i/>
        </w:rPr>
        <w:t xml:space="preserve">P </w:t>
      </w:r>
      <w:r>
        <w:t>&lt; 0.001</w:t>
      </w:r>
    </w:p>
    <w:p w:rsidR="00C021B7" w:rsidRDefault="00C021B7">
      <w:pPr>
        <w:sectPr w:rsidR="00C021B7">
          <w:type w:val="continuous"/>
          <w:pgSz w:w="12240" w:h="15840"/>
          <w:pgMar w:top="1380" w:right="1300" w:bottom="1380" w:left="1300" w:header="720" w:footer="720" w:gutter="0"/>
          <w:cols w:space="720"/>
        </w:sectPr>
      </w:pPr>
    </w:p>
    <w:p w:rsidR="00C021B7" w:rsidRDefault="00974ECE">
      <w:pPr>
        <w:pStyle w:val="Heading2"/>
        <w:ind w:left="4223" w:right="177"/>
      </w:pPr>
      <w:r>
        <w:lastRenderedPageBreak/>
        <w:t xml:space="preserve">Table 2. Effect of aqueous extract of </w:t>
      </w:r>
      <w:proofErr w:type="spellStart"/>
      <w:r>
        <w:rPr>
          <w:i/>
        </w:rPr>
        <w:t>Sphaeranthus</w:t>
      </w:r>
      <w:proofErr w:type="spellEnd"/>
      <w:r>
        <w:rPr>
          <w:i/>
        </w:rPr>
        <w:t xml:space="preserve"> </w:t>
      </w:r>
      <w:proofErr w:type="spellStart"/>
      <w:r>
        <w:rPr>
          <w:i/>
        </w:rPr>
        <w:t>indicus</w:t>
      </w:r>
      <w:proofErr w:type="spellEnd"/>
      <w:r>
        <w:rPr>
          <w:i/>
        </w:rPr>
        <w:t xml:space="preserve"> </w:t>
      </w:r>
      <w:r>
        <w:t>on serum levels of Total Bilirubin, TC and TG in paracetamol intoxicated rats</w:t>
      </w:r>
    </w:p>
    <w:p w:rsidR="00C021B7" w:rsidRDefault="00C021B7">
      <w:pPr>
        <w:pStyle w:val="BodyText"/>
        <w:ind w:left="0"/>
        <w:jc w:val="left"/>
        <w:rPr>
          <w:b/>
          <w:sz w:val="20"/>
        </w:rPr>
      </w:pPr>
    </w:p>
    <w:p w:rsidR="00C021B7" w:rsidRDefault="00C021B7">
      <w:pPr>
        <w:pStyle w:val="BodyText"/>
        <w:spacing w:before="2"/>
        <w:ind w:left="0"/>
        <w:jc w:val="left"/>
        <w:rPr>
          <w:b/>
          <w:sz w:val="10"/>
        </w:rPr>
      </w:pPr>
    </w:p>
    <w:tbl>
      <w:tblPr>
        <w:tblW w:w="0" w:type="auto"/>
        <w:tblInd w:w="13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0"/>
        <w:gridCol w:w="1441"/>
        <w:gridCol w:w="1981"/>
        <w:gridCol w:w="1802"/>
      </w:tblGrid>
      <w:tr w:rsidR="00C021B7">
        <w:trPr>
          <w:trHeight w:val="621"/>
        </w:trPr>
        <w:tc>
          <w:tcPr>
            <w:tcW w:w="1640" w:type="dxa"/>
          </w:tcPr>
          <w:p w:rsidR="00C021B7" w:rsidRDefault="00974ECE">
            <w:pPr>
              <w:pStyle w:val="TableParagraph"/>
              <w:spacing w:line="207" w:lineRule="exact"/>
              <w:ind w:left="642"/>
              <w:rPr>
                <w:b/>
                <w:sz w:val="18"/>
              </w:rPr>
            </w:pPr>
            <w:r>
              <w:rPr>
                <w:b/>
                <w:sz w:val="18"/>
              </w:rPr>
              <w:t>Groups</w:t>
            </w:r>
          </w:p>
        </w:tc>
        <w:tc>
          <w:tcPr>
            <w:tcW w:w="1441" w:type="dxa"/>
          </w:tcPr>
          <w:p w:rsidR="00C021B7" w:rsidRDefault="00974ECE">
            <w:pPr>
              <w:pStyle w:val="TableParagraph"/>
              <w:spacing w:line="240" w:lineRule="auto"/>
              <w:ind w:left="369" w:right="341" w:firstLine="192"/>
              <w:rPr>
                <w:b/>
                <w:sz w:val="18"/>
              </w:rPr>
            </w:pPr>
            <w:r>
              <w:rPr>
                <w:b/>
                <w:sz w:val="18"/>
              </w:rPr>
              <w:t>Total Bilirubin</w:t>
            </w:r>
          </w:p>
          <w:p w:rsidR="00C021B7" w:rsidRDefault="00974ECE">
            <w:pPr>
              <w:pStyle w:val="TableParagraph"/>
              <w:spacing w:before="1" w:line="186" w:lineRule="exact"/>
              <w:ind w:left="438"/>
              <w:rPr>
                <w:b/>
                <w:sz w:val="18"/>
              </w:rPr>
            </w:pPr>
            <w:r>
              <w:rPr>
                <w:b/>
                <w:sz w:val="18"/>
              </w:rPr>
              <w:t>(mg/dl)</w:t>
            </w:r>
          </w:p>
        </w:tc>
        <w:tc>
          <w:tcPr>
            <w:tcW w:w="1981" w:type="dxa"/>
          </w:tcPr>
          <w:p w:rsidR="00C021B7" w:rsidRDefault="00974ECE">
            <w:pPr>
              <w:pStyle w:val="TableParagraph"/>
              <w:spacing w:line="207" w:lineRule="exact"/>
              <w:ind w:left="618"/>
              <w:rPr>
                <w:b/>
                <w:sz w:val="18"/>
              </w:rPr>
            </w:pPr>
            <w:r>
              <w:rPr>
                <w:b/>
                <w:sz w:val="18"/>
              </w:rPr>
              <w:t>TC (mg/</w:t>
            </w:r>
            <w:proofErr w:type="spellStart"/>
            <w:r>
              <w:rPr>
                <w:b/>
                <w:sz w:val="18"/>
              </w:rPr>
              <w:t>dL</w:t>
            </w:r>
            <w:proofErr w:type="spellEnd"/>
            <w:r>
              <w:rPr>
                <w:b/>
                <w:sz w:val="18"/>
              </w:rPr>
              <w:t>)</w:t>
            </w:r>
          </w:p>
        </w:tc>
        <w:tc>
          <w:tcPr>
            <w:tcW w:w="1802" w:type="dxa"/>
          </w:tcPr>
          <w:p w:rsidR="00C021B7" w:rsidRDefault="00974ECE">
            <w:pPr>
              <w:pStyle w:val="TableParagraph"/>
              <w:spacing w:line="207" w:lineRule="exact"/>
              <w:ind w:left="196" w:right="194"/>
              <w:jc w:val="center"/>
              <w:rPr>
                <w:b/>
                <w:sz w:val="18"/>
              </w:rPr>
            </w:pPr>
            <w:r>
              <w:rPr>
                <w:b/>
                <w:sz w:val="18"/>
              </w:rPr>
              <w:t>TG (mg/</w:t>
            </w:r>
            <w:proofErr w:type="spellStart"/>
            <w:r>
              <w:rPr>
                <w:b/>
                <w:sz w:val="18"/>
              </w:rPr>
              <w:t>dL</w:t>
            </w:r>
            <w:proofErr w:type="spellEnd"/>
            <w:r>
              <w:rPr>
                <w:b/>
                <w:sz w:val="18"/>
              </w:rPr>
              <w:t>)</w:t>
            </w:r>
          </w:p>
        </w:tc>
      </w:tr>
      <w:tr w:rsidR="00C021B7">
        <w:trPr>
          <w:trHeight w:val="482"/>
        </w:trPr>
        <w:tc>
          <w:tcPr>
            <w:tcW w:w="1640" w:type="dxa"/>
          </w:tcPr>
          <w:p w:rsidR="00C021B7" w:rsidRDefault="00974ECE">
            <w:pPr>
              <w:pStyle w:val="TableParagraph"/>
              <w:spacing w:line="207" w:lineRule="exact"/>
              <w:ind w:left="270"/>
              <w:rPr>
                <w:b/>
                <w:sz w:val="18"/>
              </w:rPr>
            </w:pPr>
            <w:r>
              <w:rPr>
                <w:b/>
                <w:sz w:val="18"/>
              </w:rPr>
              <w:t>Normal group</w:t>
            </w:r>
          </w:p>
        </w:tc>
        <w:tc>
          <w:tcPr>
            <w:tcW w:w="1441" w:type="dxa"/>
          </w:tcPr>
          <w:p w:rsidR="00C021B7" w:rsidRDefault="00974ECE">
            <w:pPr>
              <w:pStyle w:val="TableParagraph"/>
              <w:ind w:left="200" w:right="192"/>
              <w:jc w:val="center"/>
              <w:rPr>
                <w:sz w:val="18"/>
              </w:rPr>
            </w:pPr>
            <w:r>
              <w:rPr>
                <w:sz w:val="18"/>
              </w:rPr>
              <w:t>0.172 ± 0.002</w:t>
            </w:r>
          </w:p>
        </w:tc>
        <w:tc>
          <w:tcPr>
            <w:tcW w:w="1981" w:type="dxa"/>
          </w:tcPr>
          <w:p w:rsidR="00C021B7" w:rsidRDefault="00974ECE">
            <w:pPr>
              <w:pStyle w:val="TableParagraph"/>
              <w:ind w:left="512"/>
              <w:rPr>
                <w:sz w:val="18"/>
              </w:rPr>
            </w:pPr>
            <w:r>
              <w:rPr>
                <w:sz w:val="18"/>
              </w:rPr>
              <w:t>82.06 ±28.53</w:t>
            </w:r>
          </w:p>
        </w:tc>
        <w:tc>
          <w:tcPr>
            <w:tcW w:w="1802" w:type="dxa"/>
          </w:tcPr>
          <w:p w:rsidR="00C021B7" w:rsidRDefault="00974ECE">
            <w:pPr>
              <w:pStyle w:val="TableParagraph"/>
              <w:ind w:left="199" w:right="194"/>
              <w:jc w:val="center"/>
              <w:rPr>
                <w:sz w:val="18"/>
              </w:rPr>
            </w:pPr>
            <w:r>
              <w:rPr>
                <w:sz w:val="18"/>
              </w:rPr>
              <w:t>112.2 ± 34.27</w:t>
            </w:r>
          </w:p>
        </w:tc>
      </w:tr>
      <w:tr w:rsidR="00C021B7">
        <w:trPr>
          <w:trHeight w:val="676"/>
        </w:trPr>
        <w:tc>
          <w:tcPr>
            <w:tcW w:w="1640" w:type="dxa"/>
          </w:tcPr>
          <w:p w:rsidR="00C021B7" w:rsidRDefault="00974ECE">
            <w:pPr>
              <w:pStyle w:val="TableParagraph"/>
              <w:spacing w:before="2" w:line="240" w:lineRule="auto"/>
              <w:ind w:left="141" w:right="114" w:firstLine="194"/>
              <w:rPr>
                <w:b/>
                <w:sz w:val="18"/>
              </w:rPr>
            </w:pPr>
            <w:r>
              <w:rPr>
                <w:b/>
                <w:sz w:val="18"/>
              </w:rPr>
              <w:t>Paracetamol intoxicated group</w:t>
            </w:r>
          </w:p>
        </w:tc>
        <w:tc>
          <w:tcPr>
            <w:tcW w:w="1441" w:type="dxa"/>
          </w:tcPr>
          <w:p w:rsidR="00C021B7" w:rsidRDefault="00974ECE">
            <w:pPr>
              <w:pStyle w:val="TableParagraph"/>
              <w:spacing w:line="204" w:lineRule="exact"/>
              <w:ind w:left="198" w:right="192"/>
              <w:jc w:val="center"/>
              <w:rPr>
                <w:sz w:val="18"/>
              </w:rPr>
            </w:pPr>
            <w:r>
              <w:rPr>
                <w:sz w:val="18"/>
              </w:rPr>
              <w:t>1.234 ± 0.08</w:t>
            </w:r>
          </w:p>
        </w:tc>
        <w:tc>
          <w:tcPr>
            <w:tcW w:w="1981" w:type="dxa"/>
          </w:tcPr>
          <w:p w:rsidR="00C021B7" w:rsidRDefault="00974ECE">
            <w:pPr>
              <w:pStyle w:val="TableParagraph"/>
              <w:spacing w:line="204" w:lineRule="exact"/>
              <w:ind w:left="442"/>
              <w:rPr>
                <w:sz w:val="18"/>
              </w:rPr>
            </w:pPr>
            <w:r>
              <w:rPr>
                <w:sz w:val="18"/>
              </w:rPr>
              <w:t>318.57 ± 25.35</w:t>
            </w:r>
          </w:p>
        </w:tc>
        <w:tc>
          <w:tcPr>
            <w:tcW w:w="1802" w:type="dxa"/>
          </w:tcPr>
          <w:p w:rsidR="00C021B7" w:rsidRDefault="00974ECE">
            <w:pPr>
              <w:pStyle w:val="TableParagraph"/>
              <w:spacing w:line="204" w:lineRule="exact"/>
              <w:ind w:left="199" w:right="193"/>
              <w:jc w:val="center"/>
              <w:rPr>
                <w:sz w:val="18"/>
              </w:rPr>
            </w:pPr>
            <w:r>
              <w:rPr>
                <w:sz w:val="18"/>
              </w:rPr>
              <w:t>248.35 ± 61.42</w:t>
            </w:r>
          </w:p>
        </w:tc>
      </w:tr>
      <w:tr w:rsidR="00C021B7">
        <w:trPr>
          <w:trHeight w:val="530"/>
        </w:trPr>
        <w:tc>
          <w:tcPr>
            <w:tcW w:w="1640" w:type="dxa"/>
          </w:tcPr>
          <w:p w:rsidR="00C021B7" w:rsidRDefault="00974ECE">
            <w:pPr>
              <w:pStyle w:val="TableParagraph"/>
              <w:spacing w:line="207" w:lineRule="exact"/>
              <w:ind w:left="206"/>
              <w:rPr>
                <w:b/>
                <w:sz w:val="18"/>
              </w:rPr>
            </w:pPr>
            <w:r>
              <w:rPr>
                <w:b/>
                <w:sz w:val="18"/>
              </w:rPr>
              <w:t>Standard group</w:t>
            </w:r>
          </w:p>
        </w:tc>
        <w:tc>
          <w:tcPr>
            <w:tcW w:w="1441" w:type="dxa"/>
          </w:tcPr>
          <w:p w:rsidR="00C021B7" w:rsidRDefault="00974ECE">
            <w:pPr>
              <w:pStyle w:val="TableParagraph"/>
              <w:spacing w:line="240" w:lineRule="auto"/>
              <w:ind w:left="381" w:right="355" w:firstLine="62"/>
              <w:rPr>
                <w:sz w:val="18"/>
              </w:rPr>
            </w:pPr>
            <w:r>
              <w:rPr>
                <w:sz w:val="18"/>
              </w:rPr>
              <w:t>0.321 ± 0.032***</w:t>
            </w:r>
          </w:p>
        </w:tc>
        <w:tc>
          <w:tcPr>
            <w:tcW w:w="1981" w:type="dxa"/>
          </w:tcPr>
          <w:p w:rsidR="00C021B7" w:rsidRDefault="00974ECE">
            <w:pPr>
              <w:pStyle w:val="TableParagraph"/>
              <w:ind w:left="286"/>
              <w:rPr>
                <w:b/>
                <w:sz w:val="18"/>
              </w:rPr>
            </w:pPr>
            <w:r>
              <w:rPr>
                <w:sz w:val="18"/>
              </w:rPr>
              <w:t>183.43 ± 5.023</w:t>
            </w:r>
            <w:r>
              <w:rPr>
                <w:b/>
                <w:sz w:val="18"/>
              </w:rPr>
              <w:t>***</w:t>
            </w:r>
          </w:p>
        </w:tc>
        <w:tc>
          <w:tcPr>
            <w:tcW w:w="1802" w:type="dxa"/>
          </w:tcPr>
          <w:p w:rsidR="00C021B7" w:rsidRDefault="00974ECE">
            <w:pPr>
              <w:pStyle w:val="TableParagraph"/>
              <w:ind w:left="199" w:right="194"/>
              <w:jc w:val="center"/>
              <w:rPr>
                <w:sz w:val="18"/>
              </w:rPr>
            </w:pPr>
            <w:r>
              <w:rPr>
                <w:sz w:val="18"/>
              </w:rPr>
              <w:t>159.07 ± 5.206***</w:t>
            </w:r>
          </w:p>
        </w:tc>
      </w:tr>
      <w:tr w:rsidR="00C021B7">
        <w:trPr>
          <w:trHeight w:val="432"/>
        </w:trPr>
        <w:tc>
          <w:tcPr>
            <w:tcW w:w="1640" w:type="dxa"/>
          </w:tcPr>
          <w:p w:rsidR="00C021B7" w:rsidRDefault="00974ECE">
            <w:pPr>
              <w:pStyle w:val="TableParagraph"/>
              <w:spacing w:line="210" w:lineRule="exact"/>
              <w:ind w:left="383" w:right="164" w:hanging="192"/>
              <w:rPr>
                <w:b/>
                <w:sz w:val="18"/>
              </w:rPr>
            </w:pPr>
            <w:r>
              <w:rPr>
                <w:b/>
                <w:sz w:val="18"/>
              </w:rPr>
              <w:t>Aqueous extract (200mg/kg)</w:t>
            </w:r>
          </w:p>
        </w:tc>
        <w:tc>
          <w:tcPr>
            <w:tcW w:w="1441" w:type="dxa"/>
          </w:tcPr>
          <w:p w:rsidR="00C021B7" w:rsidRDefault="00974ECE">
            <w:pPr>
              <w:pStyle w:val="TableParagraph"/>
              <w:ind w:left="200" w:right="192"/>
              <w:jc w:val="center"/>
              <w:rPr>
                <w:sz w:val="18"/>
              </w:rPr>
            </w:pPr>
            <w:r>
              <w:rPr>
                <w:sz w:val="18"/>
              </w:rPr>
              <w:t>1.100 ± 0.176</w:t>
            </w:r>
          </w:p>
        </w:tc>
        <w:tc>
          <w:tcPr>
            <w:tcW w:w="1981" w:type="dxa"/>
          </w:tcPr>
          <w:p w:rsidR="00C021B7" w:rsidRDefault="00974ECE">
            <w:pPr>
              <w:pStyle w:val="TableParagraph"/>
              <w:ind w:left="488"/>
              <w:rPr>
                <w:sz w:val="18"/>
              </w:rPr>
            </w:pPr>
            <w:r>
              <w:rPr>
                <w:sz w:val="18"/>
              </w:rPr>
              <w:t>290.95 ± 7.57</w:t>
            </w:r>
          </w:p>
        </w:tc>
        <w:tc>
          <w:tcPr>
            <w:tcW w:w="1802" w:type="dxa"/>
          </w:tcPr>
          <w:p w:rsidR="00C021B7" w:rsidRDefault="00974ECE">
            <w:pPr>
              <w:pStyle w:val="TableParagraph"/>
              <w:ind w:left="199" w:right="194"/>
              <w:jc w:val="center"/>
              <w:rPr>
                <w:sz w:val="18"/>
              </w:rPr>
            </w:pPr>
            <w:r>
              <w:rPr>
                <w:sz w:val="18"/>
              </w:rPr>
              <w:t>225.50 ± 2.871</w:t>
            </w:r>
          </w:p>
        </w:tc>
      </w:tr>
      <w:tr w:rsidR="00C021B7">
        <w:trPr>
          <w:trHeight w:val="450"/>
        </w:trPr>
        <w:tc>
          <w:tcPr>
            <w:tcW w:w="1640" w:type="dxa"/>
          </w:tcPr>
          <w:p w:rsidR="00C021B7" w:rsidRDefault="00974ECE">
            <w:pPr>
              <w:pStyle w:val="TableParagraph"/>
              <w:spacing w:before="2" w:line="240" w:lineRule="auto"/>
              <w:ind w:left="383" w:right="164" w:hanging="192"/>
              <w:rPr>
                <w:b/>
                <w:sz w:val="18"/>
              </w:rPr>
            </w:pPr>
            <w:r>
              <w:rPr>
                <w:b/>
                <w:sz w:val="18"/>
              </w:rPr>
              <w:t>Aqueous extract (400mg/kg)</w:t>
            </w:r>
          </w:p>
        </w:tc>
        <w:tc>
          <w:tcPr>
            <w:tcW w:w="1441" w:type="dxa"/>
          </w:tcPr>
          <w:p w:rsidR="00C021B7" w:rsidRDefault="00974ECE">
            <w:pPr>
              <w:pStyle w:val="TableParagraph"/>
              <w:spacing w:line="204" w:lineRule="exact"/>
              <w:ind w:left="200" w:right="192"/>
              <w:jc w:val="center"/>
              <w:rPr>
                <w:sz w:val="18"/>
              </w:rPr>
            </w:pPr>
            <w:r>
              <w:rPr>
                <w:sz w:val="18"/>
              </w:rPr>
              <w:t>0.998 ± 0.156</w:t>
            </w:r>
          </w:p>
        </w:tc>
        <w:tc>
          <w:tcPr>
            <w:tcW w:w="1981" w:type="dxa"/>
          </w:tcPr>
          <w:p w:rsidR="00C021B7" w:rsidRDefault="00974ECE">
            <w:pPr>
              <w:pStyle w:val="TableParagraph"/>
              <w:spacing w:line="204" w:lineRule="exact"/>
              <w:ind w:left="308"/>
              <w:rPr>
                <w:b/>
                <w:sz w:val="18"/>
              </w:rPr>
            </w:pPr>
            <w:r>
              <w:rPr>
                <w:sz w:val="18"/>
              </w:rPr>
              <w:t>250.14 ± 0.702</w:t>
            </w:r>
            <w:r>
              <w:rPr>
                <w:b/>
                <w:sz w:val="18"/>
              </w:rPr>
              <w:t>***</w:t>
            </w:r>
          </w:p>
        </w:tc>
        <w:tc>
          <w:tcPr>
            <w:tcW w:w="1802" w:type="dxa"/>
          </w:tcPr>
          <w:p w:rsidR="00C021B7" w:rsidRDefault="00974ECE">
            <w:pPr>
              <w:pStyle w:val="TableParagraph"/>
              <w:spacing w:line="204" w:lineRule="exact"/>
              <w:ind w:left="199" w:right="193"/>
              <w:jc w:val="center"/>
              <w:rPr>
                <w:sz w:val="18"/>
              </w:rPr>
            </w:pPr>
            <w:r>
              <w:rPr>
                <w:sz w:val="18"/>
              </w:rPr>
              <w:t>215.33 ± 7.17</w:t>
            </w:r>
          </w:p>
        </w:tc>
      </w:tr>
    </w:tbl>
    <w:p w:rsidR="00C021B7" w:rsidRDefault="00C021B7">
      <w:pPr>
        <w:pStyle w:val="BodyText"/>
        <w:spacing w:before="4"/>
        <w:ind w:left="0"/>
        <w:jc w:val="left"/>
        <w:rPr>
          <w:b/>
          <w:sz w:val="23"/>
        </w:rPr>
      </w:pPr>
    </w:p>
    <w:p w:rsidR="00C021B7" w:rsidRDefault="00974ECE">
      <w:pPr>
        <w:pStyle w:val="BodyText"/>
        <w:ind w:left="500" w:right="262"/>
        <w:jc w:val="left"/>
      </w:pPr>
      <w:r>
        <w:rPr>
          <w:noProof/>
        </w:rPr>
        <w:drawing>
          <wp:anchor distT="0" distB="0" distL="0" distR="0" simplePos="0" relativeHeight="487407616" behindDoc="1" locked="0" layoutInCell="1" allowOverlap="1">
            <wp:simplePos x="0" y="0"/>
            <wp:positionH relativeFrom="page">
              <wp:posOffset>1306194</wp:posOffset>
            </wp:positionH>
            <wp:positionV relativeFrom="paragraph">
              <wp:posOffset>452022</wp:posOffset>
            </wp:positionV>
            <wp:extent cx="2039359" cy="1446752"/>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039359" cy="1446752"/>
                    </a:xfrm>
                    <a:prstGeom prst="rect">
                      <a:avLst/>
                    </a:prstGeom>
                  </pic:spPr>
                </pic:pic>
              </a:graphicData>
            </a:graphic>
          </wp:anchor>
        </w:drawing>
      </w:r>
      <w:r>
        <w:rPr>
          <w:noProof/>
        </w:rPr>
        <w:drawing>
          <wp:anchor distT="0" distB="0" distL="0" distR="0" simplePos="0" relativeHeight="15730176" behindDoc="0" locked="0" layoutInCell="1" allowOverlap="1">
            <wp:simplePos x="0" y="0"/>
            <wp:positionH relativeFrom="page">
              <wp:posOffset>3363595</wp:posOffset>
            </wp:positionH>
            <wp:positionV relativeFrom="paragraph">
              <wp:posOffset>452022</wp:posOffset>
            </wp:positionV>
            <wp:extent cx="1779904" cy="1475104"/>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1779904" cy="1475104"/>
                    </a:xfrm>
                    <a:prstGeom prst="rect">
                      <a:avLst/>
                    </a:prstGeom>
                  </pic:spPr>
                </pic:pic>
              </a:graphicData>
            </a:graphic>
          </wp:anchor>
        </w:drawing>
      </w:r>
      <w:r>
        <w:rPr>
          <w:noProof/>
        </w:rPr>
        <w:drawing>
          <wp:anchor distT="0" distB="0" distL="0" distR="0" simplePos="0" relativeHeight="487408640" behindDoc="1" locked="0" layoutInCell="1" allowOverlap="1">
            <wp:simplePos x="0" y="0"/>
            <wp:positionH relativeFrom="page">
              <wp:posOffset>1311910</wp:posOffset>
            </wp:positionH>
            <wp:positionV relativeFrom="paragraph">
              <wp:posOffset>2078257</wp:posOffset>
            </wp:positionV>
            <wp:extent cx="2015802" cy="1563624"/>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2015802" cy="1563624"/>
                    </a:xfrm>
                    <a:prstGeom prst="rect">
                      <a:avLst/>
                    </a:prstGeom>
                  </pic:spPr>
                </pic:pic>
              </a:graphicData>
            </a:graphic>
          </wp:anchor>
        </w:drawing>
      </w:r>
      <w:r>
        <w:t xml:space="preserve">All values are expressed as mean ± SEM, One way </w:t>
      </w:r>
      <w:proofErr w:type="spellStart"/>
      <w:r>
        <w:t>Anova</w:t>
      </w:r>
      <w:proofErr w:type="spellEnd"/>
      <w:r>
        <w:t xml:space="preserve"> followed by Tukey Kramer multiple comparison test (n = 6). The significance on comparison with control group. ***</w:t>
      </w:r>
      <w:r>
        <w:rPr>
          <w:i/>
        </w:rPr>
        <w:t xml:space="preserve">P </w:t>
      </w:r>
      <w:r>
        <w:t>&lt; 0.001</w:t>
      </w:r>
    </w:p>
    <w:p w:rsidR="00C021B7" w:rsidRDefault="00C021B7">
      <w:pPr>
        <w:pStyle w:val="BodyText"/>
        <w:spacing w:before="2"/>
        <w:ind w:left="0"/>
        <w:jc w:val="left"/>
        <w:rPr>
          <w:sz w:val="25"/>
        </w:rPr>
      </w:pPr>
    </w:p>
    <w:tbl>
      <w:tblPr>
        <w:tblW w:w="0" w:type="auto"/>
        <w:tblInd w:w="6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3"/>
        <w:gridCol w:w="3128"/>
        <w:gridCol w:w="3080"/>
      </w:tblGrid>
      <w:tr w:rsidR="00C021B7">
        <w:trPr>
          <w:trHeight w:val="2270"/>
        </w:trPr>
        <w:tc>
          <w:tcPr>
            <w:tcW w:w="3241" w:type="dxa"/>
            <w:gridSpan w:val="2"/>
          </w:tcPr>
          <w:p w:rsidR="00C021B7" w:rsidRDefault="00C021B7">
            <w:pPr>
              <w:pStyle w:val="TableParagraph"/>
              <w:spacing w:line="240" w:lineRule="auto"/>
              <w:ind w:left="0"/>
              <w:rPr>
                <w:sz w:val="16"/>
              </w:rPr>
            </w:pPr>
          </w:p>
        </w:tc>
        <w:tc>
          <w:tcPr>
            <w:tcW w:w="3080" w:type="dxa"/>
          </w:tcPr>
          <w:p w:rsidR="00C021B7" w:rsidRDefault="00C021B7">
            <w:pPr>
              <w:pStyle w:val="TableParagraph"/>
              <w:spacing w:line="240" w:lineRule="auto"/>
              <w:ind w:left="0"/>
              <w:rPr>
                <w:sz w:val="16"/>
              </w:rPr>
            </w:pPr>
          </w:p>
        </w:tc>
      </w:tr>
      <w:tr w:rsidR="00C021B7">
        <w:trPr>
          <w:trHeight w:val="261"/>
        </w:trPr>
        <w:tc>
          <w:tcPr>
            <w:tcW w:w="3241" w:type="dxa"/>
            <w:gridSpan w:val="2"/>
            <w:tcBorders>
              <w:bottom w:val="single" w:sz="8" w:space="0" w:color="000000"/>
            </w:tcBorders>
          </w:tcPr>
          <w:p w:rsidR="00C021B7" w:rsidRDefault="00974ECE">
            <w:pPr>
              <w:pStyle w:val="TableParagraph"/>
              <w:ind w:left="153"/>
              <w:rPr>
                <w:sz w:val="18"/>
              </w:rPr>
            </w:pPr>
            <w:r>
              <w:rPr>
                <w:b/>
                <w:sz w:val="18"/>
              </w:rPr>
              <w:t xml:space="preserve">Fig. 1.1 </w:t>
            </w:r>
            <w:r>
              <w:rPr>
                <w:sz w:val="18"/>
              </w:rPr>
              <w:t>Normal ( x 100)</w:t>
            </w:r>
          </w:p>
        </w:tc>
        <w:tc>
          <w:tcPr>
            <w:tcW w:w="3080" w:type="dxa"/>
            <w:tcBorders>
              <w:bottom w:val="single" w:sz="8" w:space="0" w:color="000000"/>
            </w:tcBorders>
          </w:tcPr>
          <w:p w:rsidR="00C021B7" w:rsidRDefault="00974ECE">
            <w:pPr>
              <w:pStyle w:val="TableParagraph"/>
              <w:ind w:left="152"/>
              <w:rPr>
                <w:sz w:val="18"/>
              </w:rPr>
            </w:pPr>
            <w:r>
              <w:rPr>
                <w:b/>
                <w:sz w:val="18"/>
              </w:rPr>
              <w:t xml:space="preserve">Fig.1.2 </w:t>
            </w:r>
            <w:r>
              <w:rPr>
                <w:sz w:val="18"/>
              </w:rPr>
              <w:t>Positive control ( x100)</w:t>
            </w:r>
          </w:p>
        </w:tc>
      </w:tr>
      <w:tr w:rsidR="00C021B7">
        <w:trPr>
          <w:trHeight w:val="2507"/>
        </w:trPr>
        <w:tc>
          <w:tcPr>
            <w:tcW w:w="113" w:type="dxa"/>
          </w:tcPr>
          <w:p w:rsidR="00C021B7" w:rsidRDefault="00C021B7">
            <w:pPr>
              <w:pStyle w:val="TableParagraph"/>
              <w:spacing w:line="240" w:lineRule="auto"/>
              <w:ind w:left="0"/>
              <w:rPr>
                <w:sz w:val="16"/>
              </w:rPr>
            </w:pPr>
          </w:p>
        </w:tc>
        <w:tc>
          <w:tcPr>
            <w:tcW w:w="3128" w:type="dxa"/>
            <w:tcBorders>
              <w:top w:val="single" w:sz="8" w:space="0" w:color="000000"/>
              <w:bottom w:val="double" w:sz="1" w:space="0" w:color="000000"/>
            </w:tcBorders>
          </w:tcPr>
          <w:p w:rsidR="00C021B7" w:rsidRDefault="00C021B7">
            <w:pPr>
              <w:pStyle w:val="TableParagraph"/>
              <w:spacing w:line="240" w:lineRule="auto"/>
              <w:ind w:left="0"/>
              <w:rPr>
                <w:sz w:val="16"/>
              </w:rPr>
            </w:pPr>
          </w:p>
        </w:tc>
        <w:tc>
          <w:tcPr>
            <w:tcW w:w="3080" w:type="dxa"/>
            <w:tcBorders>
              <w:top w:val="single" w:sz="8" w:space="0" w:color="000000"/>
              <w:right w:val="double" w:sz="1" w:space="0" w:color="000000"/>
            </w:tcBorders>
          </w:tcPr>
          <w:p w:rsidR="00C021B7" w:rsidRDefault="00974ECE">
            <w:pPr>
              <w:pStyle w:val="TableParagraph"/>
              <w:spacing w:line="240" w:lineRule="auto"/>
              <w:ind w:left="115"/>
              <w:rPr>
                <w:sz w:val="20"/>
              </w:rPr>
            </w:pPr>
            <w:r>
              <w:rPr>
                <w:noProof/>
                <w:sz w:val="20"/>
              </w:rPr>
              <w:drawing>
                <wp:inline distT="0" distB="0" distL="0" distR="0">
                  <wp:extent cx="1801095" cy="155448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1801095" cy="1554480"/>
                          </a:xfrm>
                          <a:prstGeom prst="rect">
                            <a:avLst/>
                          </a:prstGeom>
                        </pic:spPr>
                      </pic:pic>
                    </a:graphicData>
                  </a:graphic>
                </wp:inline>
              </w:drawing>
            </w:r>
          </w:p>
        </w:tc>
      </w:tr>
      <w:tr w:rsidR="00C021B7">
        <w:trPr>
          <w:trHeight w:val="563"/>
        </w:trPr>
        <w:tc>
          <w:tcPr>
            <w:tcW w:w="3241" w:type="dxa"/>
            <w:gridSpan w:val="2"/>
            <w:tcBorders>
              <w:top w:val="double" w:sz="1" w:space="0" w:color="000000"/>
            </w:tcBorders>
          </w:tcPr>
          <w:p w:rsidR="00C021B7" w:rsidRDefault="00974ECE">
            <w:pPr>
              <w:pStyle w:val="TableParagraph"/>
              <w:spacing w:line="195" w:lineRule="exact"/>
              <w:rPr>
                <w:sz w:val="18"/>
              </w:rPr>
            </w:pPr>
            <w:r>
              <w:rPr>
                <w:b/>
                <w:sz w:val="18"/>
              </w:rPr>
              <w:t>Fig.1.3</w:t>
            </w:r>
            <w:r>
              <w:rPr>
                <w:sz w:val="18"/>
              </w:rPr>
              <w:t xml:space="preserve">.S. </w:t>
            </w:r>
            <w:proofErr w:type="spellStart"/>
            <w:r>
              <w:rPr>
                <w:sz w:val="18"/>
              </w:rPr>
              <w:t>indicus</w:t>
            </w:r>
            <w:proofErr w:type="spellEnd"/>
            <w:r>
              <w:rPr>
                <w:sz w:val="18"/>
              </w:rPr>
              <w:t xml:space="preserve"> aqueous extract 400</w:t>
            </w:r>
          </w:p>
          <w:p w:rsidR="00C021B7" w:rsidRDefault="00974ECE">
            <w:pPr>
              <w:pStyle w:val="TableParagraph"/>
              <w:spacing w:before="30" w:line="240" w:lineRule="auto"/>
              <w:rPr>
                <w:sz w:val="18"/>
              </w:rPr>
            </w:pPr>
            <w:r>
              <w:rPr>
                <w:sz w:val="18"/>
              </w:rPr>
              <w:t>mg/kg ( x 100)</w:t>
            </w:r>
          </w:p>
        </w:tc>
        <w:tc>
          <w:tcPr>
            <w:tcW w:w="3080" w:type="dxa"/>
          </w:tcPr>
          <w:p w:rsidR="00C021B7" w:rsidRDefault="00974ECE">
            <w:pPr>
              <w:pStyle w:val="TableParagraph"/>
              <w:spacing w:line="195" w:lineRule="exact"/>
              <w:ind w:left="198"/>
              <w:rPr>
                <w:sz w:val="18"/>
              </w:rPr>
            </w:pPr>
            <w:r>
              <w:rPr>
                <w:b/>
                <w:sz w:val="18"/>
              </w:rPr>
              <w:t xml:space="preserve">Fig.1.4 </w:t>
            </w:r>
            <w:r>
              <w:rPr>
                <w:sz w:val="18"/>
              </w:rPr>
              <w:t xml:space="preserve">S. </w:t>
            </w:r>
            <w:proofErr w:type="spellStart"/>
            <w:r>
              <w:rPr>
                <w:sz w:val="18"/>
              </w:rPr>
              <w:t>indicus</w:t>
            </w:r>
            <w:proofErr w:type="spellEnd"/>
            <w:r>
              <w:rPr>
                <w:sz w:val="18"/>
              </w:rPr>
              <w:t xml:space="preserve"> aqueous extract</w:t>
            </w:r>
          </w:p>
          <w:p w:rsidR="00C021B7" w:rsidRDefault="00974ECE">
            <w:pPr>
              <w:pStyle w:val="TableParagraph"/>
              <w:spacing w:before="30" w:line="240" w:lineRule="auto"/>
              <w:rPr>
                <w:sz w:val="18"/>
              </w:rPr>
            </w:pPr>
            <w:r>
              <w:rPr>
                <w:sz w:val="18"/>
              </w:rPr>
              <w:t>200 mg/kg ( x 100)</w:t>
            </w:r>
          </w:p>
        </w:tc>
      </w:tr>
    </w:tbl>
    <w:p w:rsidR="00C021B7" w:rsidRDefault="000A4572">
      <w:pPr>
        <w:pStyle w:val="Heading2"/>
        <w:spacing w:before="105"/>
        <w:ind w:firstLine="0"/>
      </w:pPr>
      <w:r>
        <w:t xml:space="preserve">        </w:t>
      </w:r>
      <w:bookmarkStart w:id="0" w:name="_GoBack"/>
      <w:bookmarkEnd w:id="0"/>
      <w:r w:rsidR="00974ECE">
        <w:t xml:space="preserve">Fig. 1 </w:t>
      </w:r>
      <w:proofErr w:type="spellStart"/>
      <w:r w:rsidR="00974ECE">
        <w:t>Histopathalogical</w:t>
      </w:r>
      <w:proofErr w:type="spellEnd"/>
      <w:r w:rsidR="00974ECE">
        <w:t xml:space="preserve"> photomicrographs of liver in Paracetamol induced hepatotoxicity</w:t>
      </w:r>
    </w:p>
    <w:sectPr w:rsidR="00C021B7">
      <w:pgSz w:w="12240" w:h="15840"/>
      <w:pgMar w:top="1360" w:right="1300" w:bottom="1440" w:left="1300" w:header="0" w:footer="11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197F" w:rsidRDefault="0044197F">
      <w:r>
        <w:separator/>
      </w:r>
    </w:p>
  </w:endnote>
  <w:endnote w:type="continuationSeparator" w:id="0">
    <w:p w:rsidR="0044197F" w:rsidRDefault="00441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rlito">
    <w:altName w:val="Arial"/>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1B7" w:rsidRDefault="0044197F">
    <w:pPr>
      <w:pStyle w:val="BodyText"/>
      <w:spacing w:line="14" w:lineRule="auto"/>
      <w:ind w:left="0"/>
      <w:jc w:val="left"/>
      <w:rPr>
        <w:sz w:val="20"/>
      </w:rPr>
    </w:pPr>
    <w:r>
      <w:pict>
        <v:shapetype id="_x0000_t202" coordsize="21600,21600" o:spt="202" path="m,l,21600r21600,l21600,xe">
          <v:stroke joinstyle="miter"/>
          <v:path gradientshapeok="t" o:connecttype="rect"/>
        </v:shapetype>
        <v:shape id="_x0000_s2051" type="#_x0000_t202" style="position:absolute;margin-left:107pt;margin-top:721.35pt;width:87.35pt;height:10.05pt;z-index:-15909376;mso-position-horizontal-relative:page;mso-position-vertical-relative:page" filled="f" stroked="f">
          <v:textbox inset="0,0,0,0">
            <w:txbxContent>
              <w:p w:rsidR="00C021B7" w:rsidRDefault="00C021B7" w:rsidP="00797E55">
                <w:pPr>
                  <w:spacing w:line="184" w:lineRule="exact"/>
                  <w:rPr>
                    <w:rFonts w:ascii="Carlito"/>
                    <w:b/>
                    <w:i/>
                    <w:sz w:val="16"/>
                  </w:rPr>
                </w:pPr>
              </w:p>
            </w:txbxContent>
          </v:textbox>
          <w10:wrap anchorx="page" anchory="page"/>
        </v:shape>
      </w:pict>
    </w:r>
    <w:r>
      <w:pict>
        <v:shape id="_x0000_s2050" type="#_x0000_t202" style="position:absolute;margin-left:280.95pt;margin-top:721.35pt;width:14.2pt;height:10.05pt;z-index:-15908864;mso-position-horizontal-relative:page;mso-position-vertical-relative:page" filled="f" stroked="f">
          <v:textbox inset="0,0,0,0">
            <w:txbxContent>
              <w:p w:rsidR="00C021B7" w:rsidRDefault="00C021B7">
                <w:pPr>
                  <w:spacing w:line="184" w:lineRule="exact"/>
                  <w:ind w:left="60"/>
                  <w:rPr>
                    <w:rFonts w:ascii="Carlito"/>
                    <w:sz w:val="16"/>
                  </w:rPr>
                </w:pPr>
              </w:p>
            </w:txbxContent>
          </v:textbox>
          <w10:wrap anchorx="page" anchory="page"/>
        </v:shape>
      </w:pict>
    </w:r>
    <w:r>
      <w:pict>
        <v:shape id="_x0000_s2049" type="#_x0000_t202" style="position:absolute;margin-left:453.8pt;margin-top:721.35pt;width:51.35pt;height:10.05pt;z-index:-15908352;mso-position-horizontal-relative:page;mso-position-vertical-relative:page" filled="f" stroked="f">
          <v:textbox inset="0,0,0,0">
            <w:txbxContent>
              <w:p w:rsidR="00C021B7" w:rsidRDefault="00C021B7" w:rsidP="00797E55">
                <w:pPr>
                  <w:spacing w:line="184" w:lineRule="exact"/>
                  <w:rPr>
                    <w:rFonts w:ascii="Carlito"/>
                    <w:b/>
                    <w:i/>
                    <w:sz w:val="16"/>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197F" w:rsidRDefault="0044197F">
      <w:r>
        <w:separator/>
      </w:r>
    </w:p>
  </w:footnote>
  <w:footnote w:type="continuationSeparator" w:id="0">
    <w:p w:rsidR="0044197F" w:rsidRDefault="004419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08680C"/>
    <w:multiLevelType w:val="multilevel"/>
    <w:tmpl w:val="E7762946"/>
    <w:lvl w:ilvl="0">
      <w:start w:val="1"/>
      <w:numFmt w:val="decimal"/>
      <w:lvlText w:val="%1."/>
      <w:lvlJc w:val="left"/>
      <w:pPr>
        <w:ind w:left="500" w:hanging="360"/>
        <w:jc w:val="left"/>
      </w:pPr>
      <w:rPr>
        <w:rFonts w:ascii="Times New Roman" w:eastAsia="Times New Roman" w:hAnsi="Times New Roman" w:cs="Times New Roman" w:hint="default"/>
        <w:b/>
        <w:bCs/>
        <w:spacing w:val="0"/>
        <w:w w:val="99"/>
        <w:sz w:val="20"/>
        <w:szCs w:val="20"/>
        <w:lang w:val="en-US" w:eastAsia="en-US" w:bidi="ar-SA"/>
      </w:rPr>
    </w:lvl>
    <w:lvl w:ilvl="1">
      <w:start w:val="1"/>
      <w:numFmt w:val="decimal"/>
      <w:lvlText w:val="%1.%2"/>
      <w:lvlJc w:val="left"/>
      <w:pPr>
        <w:ind w:left="140" w:hanging="303"/>
        <w:jc w:val="left"/>
      </w:pPr>
      <w:rPr>
        <w:rFonts w:ascii="Times New Roman" w:eastAsia="Times New Roman" w:hAnsi="Times New Roman" w:cs="Times New Roman" w:hint="default"/>
        <w:b/>
        <w:bCs/>
        <w:spacing w:val="0"/>
        <w:w w:val="99"/>
        <w:sz w:val="20"/>
        <w:szCs w:val="20"/>
        <w:lang w:val="en-US" w:eastAsia="en-US" w:bidi="ar-SA"/>
      </w:rPr>
    </w:lvl>
    <w:lvl w:ilvl="2">
      <w:numFmt w:val="bullet"/>
      <w:lvlText w:val="•"/>
      <w:lvlJc w:val="left"/>
      <w:pPr>
        <w:ind w:left="384" w:hanging="303"/>
      </w:pPr>
      <w:rPr>
        <w:rFonts w:hint="default"/>
        <w:lang w:val="en-US" w:eastAsia="en-US" w:bidi="ar-SA"/>
      </w:rPr>
    </w:lvl>
    <w:lvl w:ilvl="3">
      <w:numFmt w:val="bullet"/>
      <w:lvlText w:val="•"/>
      <w:lvlJc w:val="left"/>
      <w:pPr>
        <w:ind w:left="269" w:hanging="303"/>
      </w:pPr>
      <w:rPr>
        <w:rFonts w:hint="default"/>
        <w:lang w:val="en-US" w:eastAsia="en-US" w:bidi="ar-SA"/>
      </w:rPr>
    </w:lvl>
    <w:lvl w:ilvl="4">
      <w:numFmt w:val="bullet"/>
      <w:lvlText w:val="•"/>
      <w:lvlJc w:val="left"/>
      <w:pPr>
        <w:ind w:left="154" w:hanging="303"/>
      </w:pPr>
      <w:rPr>
        <w:rFonts w:hint="default"/>
        <w:lang w:val="en-US" w:eastAsia="en-US" w:bidi="ar-SA"/>
      </w:rPr>
    </w:lvl>
    <w:lvl w:ilvl="5">
      <w:numFmt w:val="bullet"/>
      <w:lvlText w:val="•"/>
      <w:lvlJc w:val="left"/>
      <w:pPr>
        <w:ind w:left="39" w:hanging="303"/>
      </w:pPr>
      <w:rPr>
        <w:rFonts w:hint="default"/>
        <w:lang w:val="en-US" w:eastAsia="en-US" w:bidi="ar-SA"/>
      </w:rPr>
    </w:lvl>
    <w:lvl w:ilvl="6">
      <w:numFmt w:val="bullet"/>
      <w:lvlText w:val="•"/>
      <w:lvlJc w:val="left"/>
      <w:pPr>
        <w:ind w:left="-77" w:hanging="303"/>
      </w:pPr>
      <w:rPr>
        <w:rFonts w:hint="default"/>
        <w:lang w:val="en-US" w:eastAsia="en-US" w:bidi="ar-SA"/>
      </w:rPr>
    </w:lvl>
    <w:lvl w:ilvl="7">
      <w:numFmt w:val="bullet"/>
      <w:lvlText w:val="•"/>
      <w:lvlJc w:val="left"/>
      <w:pPr>
        <w:ind w:left="-192" w:hanging="303"/>
      </w:pPr>
      <w:rPr>
        <w:rFonts w:hint="default"/>
        <w:lang w:val="en-US" w:eastAsia="en-US" w:bidi="ar-SA"/>
      </w:rPr>
    </w:lvl>
    <w:lvl w:ilvl="8">
      <w:numFmt w:val="bullet"/>
      <w:lvlText w:val="•"/>
      <w:lvlJc w:val="left"/>
      <w:pPr>
        <w:ind w:left="-307" w:hanging="303"/>
      </w:pPr>
      <w:rPr>
        <w:rFonts w:hint="default"/>
        <w:lang w:val="en-US" w:eastAsia="en-US" w:bidi="ar-SA"/>
      </w:rPr>
    </w:lvl>
  </w:abstractNum>
  <w:abstractNum w:abstractNumId="1" w15:restartNumberingAfterBreak="0">
    <w:nsid w:val="7CDE1CA9"/>
    <w:multiLevelType w:val="hybridMultilevel"/>
    <w:tmpl w:val="46C8D346"/>
    <w:lvl w:ilvl="0" w:tplc="9C4A338A">
      <w:start w:val="1"/>
      <w:numFmt w:val="decimal"/>
      <w:lvlText w:val="[%1]"/>
      <w:lvlJc w:val="left"/>
      <w:pPr>
        <w:ind w:left="500" w:hanging="360"/>
        <w:jc w:val="left"/>
      </w:pPr>
      <w:rPr>
        <w:rFonts w:ascii="Times New Roman" w:eastAsia="Times New Roman" w:hAnsi="Times New Roman" w:cs="Times New Roman" w:hint="default"/>
        <w:spacing w:val="-3"/>
        <w:w w:val="99"/>
        <w:sz w:val="18"/>
        <w:szCs w:val="18"/>
        <w:lang w:val="en-US" w:eastAsia="en-US" w:bidi="ar-SA"/>
      </w:rPr>
    </w:lvl>
    <w:lvl w:ilvl="1" w:tplc="858CD35A">
      <w:numFmt w:val="bullet"/>
      <w:lvlText w:val="•"/>
      <w:lvlJc w:val="left"/>
      <w:pPr>
        <w:ind w:left="900" w:hanging="360"/>
      </w:pPr>
      <w:rPr>
        <w:rFonts w:hint="default"/>
        <w:lang w:val="en-US" w:eastAsia="en-US" w:bidi="ar-SA"/>
      </w:rPr>
    </w:lvl>
    <w:lvl w:ilvl="2" w:tplc="B074F146">
      <w:numFmt w:val="bullet"/>
      <w:lvlText w:val="•"/>
      <w:lvlJc w:val="left"/>
      <w:pPr>
        <w:ind w:left="1300" w:hanging="360"/>
      </w:pPr>
      <w:rPr>
        <w:rFonts w:hint="default"/>
        <w:lang w:val="en-US" w:eastAsia="en-US" w:bidi="ar-SA"/>
      </w:rPr>
    </w:lvl>
    <w:lvl w:ilvl="3" w:tplc="C78CD5AE">
      <w:numFmt w:val="bullet"/>
      <w:lvlText w:val="•"/>
      <w:lvlJc w:val="left"/>
      <w:pPr>
        <w:ind w:left="1701" w:hanging="360"/>
      </w:pPr>
      <w:rPr>
        <w:rFonts w:hint="default"/>
        <w:lang w:val="en-US" w:eastAsia="en-US" w:bidi="ar-SA"/>
      </w:rPr>
    </w:lvl>
    <w:lvl w:ilvl="4" w:tplc="F2B6BEBE">
      <w:numFmt w:val="bullet"/>
      <w:lvlText w:val="•"/>
      <w:lvlJc w:val="left"/>
      <w:pPr>
        <w:ind w:left="2101" w:hanging="360"/>
      </w:pPr>
      <w:rPr>
        <w:rFonts w:hint="default"/>
        <w:lang w:val="en-US" w:eastAsia="en-US" w:bidi="ar-SA"/>
      </w:rPr>
    </w:lvl>
    <w:lvl w:ilvl="5" w:tplc="FDE034B4">
      <w:numFmt w:val="bullet"/>
      <w:lvlText w:val="•"/>
      <w:lvlJc w:val="left"/>
      <w:pPr>
        <w:ind w:left="2501" w:hanging="360"/>
      </w:pPr>
      <w:rPr>
        <w:rFonts w:hint="default"/>
        <w:lang w:val="en-US" w:eastAsia="en-US" w:bidi="ar-SA"/>
      </w:rPr>
    </w:lvl>
    <w:lvl w:ilvl="6" w:tplc="46E2D77A">
      <w:numFmt w:val="bullet"/>
      <w:lvlText w:val="•"/>
      <w:lvlJc w:val="left"/>
      <w:pPr>
        <w:ind w:left="2902" w:hanging="360"/>
      </w:pPr>
      <w:rPr>
        <w:rFonts w:hint="default"/>
        <w:lang w:val="en-US" w:eastAsia="en-US" w:bidi="ar-SA"/>
      </w:rPr>
    </w:lvl>
    <w:lvl w:ilvl="7" w:tplc="ED9AB7D6">
      <w:numFmt w:val="bullet"/>
      <w:lvlText w:val="•"/>
      <w:lvlJc w:val="left"/>
      <w:pPr>
        <w:ind w:left="3302" w:hanging="360"/>
      </w:pPr>
      <w:rPr>
        <w:rFonts w:hint="default"/>
        <w:lang w:val="en-US" w:eastAsia="en-US" w:bidi="ar-SA"/>
      </w:rPr>
    </w:lvl>
    <w:lvl w:ilvl="8" w:tplc="048817A6">
      <w:numFmt w:val="bullet"/>
      <w:lvlText w:val="•"/>
      <w:lvlJc w:val="left"/>
      <w:pPr>
        <w:ind w:left="3702" w:hanging="360"/>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C021B7"/>
    <w:rsid w:val="000A4572"/>
    <w:rsid w:val="0044197F"/>
    <w:rsid w:val="00797E55"/>
    <w:rsid w:val="00974ECE"/>
    <w:rsid w:val="00C02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A90C0807-3184-41AF-A036-71BB80C5D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78"/>
      <w:ind w:left="442" w:hanging="303"/>
      <w:outlineLvl w:val="0"/>
    </w:pPr>
    <w:rPr>
      <w:b/>
      <w:bCs/>
      <w:sz w:val="20"/>
      <w:szCs w:val="20"/>
    </w:rPr>
  </w:style>
  <w:style w:type="paragraph" w:styleId="Heading2">
    <w:name w:val="heading 2"/>
    <w:basedOn w:val="Normal"/>
    <w:uiPriority w:val="1"/>
    <w:qFormat/>
    <w:pPr>
      <w:spacing w:before="80"/>
      <w:ind w:left="140" w:hanging="4026"/>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jc w:val="both"/>
    </w:pPr>
    <w:rPr>
      <w:sz w:val="18"/>
      <w:szCs w:val="18"/>
    </w:rPr>
  </w:style>
  <w:style w:type="paragraph" w:styleId="Title">
    <w:name w:val="Title"/>
    <w:basedOn w:val="Normal"/>
    <w:uiPriority w:val="1"/>
    <w:qFormat/>
    <w:pPr>
      <w:spacing w:before="59"/>
      <w:ind w:left="361" w:right="359" w:firstLine="1"/>
      <w:jc w:val="center"/>
    </w:pPr>
    <w:rPr>
      <w:b/>
      <w:bCs/>
      <w:sz w:val="40"/>
      <w:szCs w:val="40"/>
    </w:rPr>
  </w:style>
  <w:style w:type="paragraph" w:styleId="ListParagraph">
    <w:name w:val="List Paragraph"/>
    <w:basedOn w:val="Normal"/>
    <w:uiPriority w:val="1"/>
    <w:qFormat/>
    <w:pPr>
      <w:ind w:left="500" w:hanging="360"/>
      <w:jc w:val="both"/>
    </w:pPr>
  </w:style>
  <w:style w:type="paragraph" w:customStyle="1" w:styleId="TableParagraph">
    <w:name w:val="Table Paragraph"/>
    <w:basedOn w:val="Normal"/>
    <w:uiPriority w:val="1"/>
    <w:qFormat/>
    <w:pPr>
      <w:spacing w:line="202" w:lineRule="exact"/>
      <w:ind w:left="107"/>
    </w:pPr>
  </w:style>
  <w:style w:type="paragraph" w:styleId="Header">
    <w:name w:val="header"/>
    <w:basedOn w:val="Normal"/>
    <w:link w:val="HeaderChar"/>
    <w:uiPriority w:val="99"/>
    <w:unhideWhenUsed/>
    <w:rsid w:val="00797E55"/>
    <w:pPr>
      <w:tabs>
        <w:tab w:val="center" w:pos="4680"/>
        <w:tab w:val="right" w:pos="9360"/>
      </w:tabs>
    </w:pPr>
  </w:style>
  <w:style w:type="character" w:customStyle="1" w:styleId="HeaderChar">
    <w:name w:val="Header Char"/>
    <w:basedOn w:val="DefaultParagraphFont"/>
    <w:link w:val="Header"/>
    <w:uiPriority w:val="99"/>
    <w:rsid w:val="00797E55"/>
    <w:rPr>
      <w:rFonts w:ascii="Times New Roman" w:eastAsia="Times New Roman" w:hAnsi="Times New Roman" w:cs="Times New Roman"/>
    </w:rPr>
  </w:style>
  <w:style w:type="paragraph" w:styleId="Footer">
    <w:name w:val="footer"/>
    <w:basedOn w:val="Normal"/>
    <w:link w:val="FooterChar"/>
    <w:uiPriority w:val="99"/>
    <w:unhideWhenUsed/>
    <w:rsid w:val="00797E55"/>
    <w:pPr>
      <w:tabs>
        <w:tab w:val="center" w:pos="4680"/>
        <w:tab w:val="right" w:pos="9360"/>
      </w:tabs>
    </w:pPr>
  </w:style>
  <w:style w:type="character" w:customStyle="1" w:styleId="FooterChar">
    <w:name w:val="Footer Char"/>
    <w:basedOn w:val="DefaultParagraphFont"/>
    <w:link w:val="Footer"/>
    <w:uiPriority w:val="99"/>
    <w:rsid w:val="00797E5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owrijp@gmail.com" TargetMode="Externa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2270</Words>
  <Characters>12945</Characters>
  <Application>Microsoft Office Word</Application>
  <DocSecurity>0</DocSecurity>
  <Lines>107</Lines>
  <Paragraphs>30</Paragraphs>
  <ScaleCrop>false</ScaleCrop>
  <Company/>
  <LinksUpToDate>false</LinksUpToDate>
  <CharactersWithSpaces>15185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2023-08-09T11:11:00Z</dcterms:created>
  <dcterms:modified xsi:type="dcterms:W3CDTF">2023-08-09T11:14:00Z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2023-08-09T00:00:00Z</vt:filetime>
  </property>
</Properties>
</file>