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31B03" w14:textId="6E9A823B" w:rsidR="001B5B5F" w:rsidRDefault="001B5B5F" w:rsidP="001B5B5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BIOMARKERS</w:t>
      </w:r>
    </w:p>
    <w:p w14:paraId="29C691E0" w14:textId="77777777" w:rsidR="001B5B5F" w:rsidRDefault="001B5B5F" w:rsidP="001B5B5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Shanmugapriya S, Ajitha V, Mohanvadivelan N</w:t>
      </w:r>
    </w:p>
    <w:p w14:paraId="14E147A4" w14:textId="371BA5F5" w:rsidR="001B5B5F" w:rsidRDefault="001B5B5F" w:rsidP="001B5B5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Department of Biotechnology, Rathinam Arts and Science College, Coimbatore, Tamilnadu, India-641021 </w:t>
      </w:r>
    </w:p>
    <w:p w14:paraId="343ACE0D" w14:textId="58BF9A6D" w:rsidR="00EA6E8A" w:rsidRPr="001B5B5F" w:rsidRDefault="00EA6E8A" w:rsidP="00EA6E8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Description: </w:t>
      </w:r>
    </w:p>
    <w:p w14:paraId="7CBD554F" w14:textId="33799851" w:rsidR="00632833" w:rsidRPr="001839B7" w:rsidRDefault="00632833"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A biomarker's fundamental definition is deceptively straight</w:t>
      </w:r>
      <w:r w:rsidR="0005390F">
        <w:rPr>
          <w:rFonts w:ascii="Times New Roman" w:hAnsi="Times New Roman" w:cs="Times New Roman"/>
          <w:sz w:val="24"/>
          <w:szCs w:val="24"/>
        </w:rPr>
        <w:t xml:space="preserve"> </w:t>
      </w:r>
      <w:r w:rsidRPr="001839B7">
        <w:rPr>
          <w:rFonts w:ascii="Times New Roman" w:hAnsi="Times New Roman" w:cs="Times New Roman"/>
          <w:sz w:val="24"/>
          <w:szCs w:val="24"/>
        </w:rPr>
        <w:t>forward:</w:t>
      </w:r>
      <w:r w:rsidR="0005390F">
        <w:rPr>
          <w:rFonts w:ascii="Times New Roman" w:hAnsi="Times New Roman" w:cs="Times New Roman"/>
          <w:sz w:val="24"/>
          <w:szCs w:val="24"/>
        </w:rPr>
        <w:t xml:space="preserve"> </w:t>
      </w:r>
      <w:r w:rsidRPr="001839B7">
        <w:rPr>
          <w:rFonts w:ascii="Times New Roman" w:hAnsi="Times New Roman" w:cs="Times New Roman"/>
          <w:sz w:val="24"/>
          <w:szCs w:val="24"/>
        </w:rPr>
        <w:t>"A specific quality that can be assessed as a sign of healthy biological activities, pathogenic processes, or reactions to a stimulus or treatment</w:t>
      </w:r>
      <w:r w:rsidR="001839B7" w:rsidRPr="001839B7">
        <w:rPr>
          <w:rFonts w:ascii="Times New Roman" w:hAnsi="Times New Roman" w:cs="Times New Roman"/>
          <w:sz w:val="24"/>
          <w:szCs w:val="24"/>
        </w:rPr>
        <w:t xml:space="preserve"> </w:t>
      </w:r>
      <w:r w:rsidRPr="001839B7">
        <w:rPr>
          <w:rFonts w:ascii="Times New Roman" w:hAnsi="Times New Roman" w:cs="Times New Roman"/>
          <w:sz w:val="24"/>
          <w:szCs w:val="24"/>
        </w:rPr>
        <w:t>[FDA-NIH Biomarker Working Group 2017]</w:t>
      </w:r>
      <w:r w:rsidR="00350DAD">
        <w:rPr>
          <w:rFonts w:ascii="Times New Roman" w:hAnsi="Times New Roman" w:cs="Times New Roman"/>
          <w:sz w:val="24"/>
          <w:szCs w:val="24"/>
        </w:rPr>
        <w:t xml:space="preserve">. </w:t>
      </w:r>
      <w:r w:rsidRPr="001839B7">
        <w:rPr>
          <w:rFonts w:ascii="Times New Roman" w:hAnsi="Times New Roman" w:cs="Times New Roman"/>
          <w:sz w:val="24"/>
          <w:szCs w:val="24"/>
        </w:rPr>
        <w:t xml:space="preserve">Various biomarker </w:t>
      </w:r>
      <w:r w:rsidR="00AE747F">
        <w:rPr>
          <w:rFonts w:ascii="Times New Roman" w:hAnsi="Times New Roman" w:cs="Times New Roman"/>
          <w:sz w:val="24"/>
          <w:szCs w:val="24"/>
        </w:rPr>
        <w:t>and on</w:t>
      </w:r>
      <w:r w:rsidRPr="001839B7">
        <w:rPr>
          <w:rFonts w:ascii="Times New Roman" w:hAnsi="Times New Roman" w:cs="Times New Roman"/>
          <w:sz w:val="24"/>
          <w:szCs w:val="24"/>
        </w:rPr>
        <w:t xml:space="preserve"> the</w:t>
      </w:r>
      <w:r w:rsidR="00AE747F">
        <w:rPr>
          <w:rFonts w:ascii="Times New Roman" w:hAnsi="Times New Roman" w:cs="Times New Roman"/>
          <w:sz w:val="24"/>
          <w:szCs w:val="24"/>
        </w:rPr>
        <w:t xml:space="preserve"> basis of</w:t>
      </w:r>
      <w:r w:rsidRPr="001839B7">
        <w:rPr>
          <w:rFonts w:ascii="Times New Roman" w:hAnsi="Times New Roman" w:cs="Times New Roman"/>
          <w:sz w:val="24"/>
          <w:szCs w:val="24"/>
        </w:rPr>
        <w:t xml:space="preserve"> alleged</w:t>
      </w:r>
      <w:r w:rsidR="00AE747F" w:rsidRPr="00AE747F">
        <w:rPr>
          <w:rFonts w:ascii="Times New Roman" w:hAnsi="Times New Roman" w:cs="Times New Roman"/>
          <w:sz w:val="24"/>
          <w:szCs w:val="24"/>
        </w:rPr>
        <w:t xml:space="preserve"> </w:t>
      </w:r>
      <w:r w:rsidR="00AE747F" w:rsidRPr="001839B7">
        <w:rPr>
          <w:rFonts w:ascii="Times New Roman" w:hAnsi="Times New Roman" w:cs="Times New Roman"/>
          <w:sz w:val="24"/>
          <w:szCs w:val="24"/>
        </w:rPr>
        <w:t>subtypes have been identified</w:t>
      </w:r>
      <w:r w:rsidRPr="001839B7">
        <w:rPr>
          <w:rFonts w:ascii="Times New Roman" w:hAnsi="Times New Roman" w:cs="Times New Roman"/>
          <w:sz w:val="24"/>
          <w:szCs w:val="24"/>
        </w:rPr>
        <w:t>. Importantly, a single biomarker may satisfy several requirements for several uses, but it is crucial to establish proof for each definition. As a result, although definitions may overlap, they also have distinct characteristics that indicate specific purposes. The diagnosis and treatment of chorionic disorders depend heavily on the use of several types of biomarkers, including diagnostic, monitoring, pharmacodynamic/response, safety, predictive and prognostic biomarkers [DeFronzo</w:t>
      </w:r>
      <w:r w:rsidR="0062078E">
        <w:rPr>
          <w:rFonts w:ascii="Times New Roman" w:hAnsi="Times New Roman" w:cs="Times New Roman"/>
          <w:sz w:val="24"/>
          <w:szCs w:val="24"/>
        </w:rPr>
        <w:t xml:space="preserve"> and </w:t>
      </w:r>
      <w:r w:rsidRPr="001839B7">
        <w:rPr>
          <w:rFonts w:ascii="Times New Roman" w:hAnsi="Times New Roman" w:cs="Times New Roman"/>
          <w:sz w:val="24"/>
          <w:szCs w:val="24"/>
        </w:rPr>
        <w:t>Banting lecture</w:t>
      </w:r>
      <w:r w:rsidR="0062078E">
        <w:rPr>
          <w:rFonts w:ascii="Times New Roman" w:hAnsi="Times New Roman" w:cs="Times New Roman"/>
          <w:sz w:val="24"/>
          <w:szCs w:val="24"/>
        </w:rPr>
        <w:t>, 2009</w:t>
      </w:r>
      <w:r w:rsidRPr="001839B7">
        <w:rPr>
          <w:rFonts w:ascii="Times New Roman" w:hAnsi="Times New Roman" w:cs="Times New Roman"/>
          <w:sz w:val="24"/>
          <w:szCs w:val="24"/>
        </w:rPr>
        <w:t>].</w:t>
      </w:r>
    </w:p>
    <w:p w14:paraId="66929D62" w14:textId="119ADA82" w:rsidR="00CE59B2" w:rsidRPr="007C6C8D" w:rsidRDefault="00CE59B2" w:rsidP="001839B7">
      <w:pPr>
        <w:spacing w:line="360" w:lineRule="auto"/>
        <w:jc w:val="both"/>
        <w:rPr>
          <w:rFonts w:ascii="Times New Roman" w:hAnsi="Times New Roman" w:cs="Times New Roman"/>
          <w:b/>
          <w:bCs/>
          <w:sz w:val="24"/>
          <w:szCs w:val="24"/>
        </w:rPr>
      </w:pPr>
      <w:r w:rsidRPr="007C6C8D">
        <w:rPr>
          <w:rFonts w:ascii="Times New Roman" w:hAnsi="Times New Roman" w:cs="Times New Roman"/>
          <w:b/>
          <w:bCs/>
          <w:sz w:val="24"/>
          <w:szCs w:val="24"/>
        </w:rPr>
        <w:t>Diagnostic biomarkers</w:t>
      </w:r>
    </w:p>
    <w:p w14:paraId="076CCB9F" w14:textId="1C016135" w:rsidR="00D254F3" w:rsidRPr="001839B7" w:rsidRDefault="00632833"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A diagnostic biomarker identifies a person who has a particular disease subtype or detects or verifies the presence of a disease or condition of interest.</w:t>
      </w:r>
      <w:r w:rsidR="007C6C8D">
        <w:rPr>
          <w:rFonts w:ascii="Times New Roman" w:hAnsi="Times New Roman" w:cs="Times New Roman"/>
          <w:sz w:val="24"/>
          <w:szCs w:val="24"/>
        </w:rPr>
        <w:t xml:space="preserve"> </w:t>
      </w:r>
      <w:r w:rsidRPr="001839B7">
        <w:rPr>
          <w:rFonts w:ascii="Times New Roman" w:hAnsi="Times New Roman" w:cs="Times New Roman"/>
          <w:sz w:val="24"/>
          <w:szCs w:val="24"/>
        </w:rPr>
        <w:t xml:space="preserve">This kind of biomarker will change significantly. These biomarkers may be used to redefine the classification of the disease as well as to identify individuals who have it. For instance, the categorization of cancer detection is quickly shifting away from an organ-based classification system and toward a molecular and imaging-based classification. The evaluation of a diagnostic biomarker that has a defined context of usage and can be tested with appropriate accuracy and reliability is still difficult. Creating a validation procedure that ensures the biomarker can be assessed accurately, repeatedly, and at a cheap cost is one objective. </w:t>
      </w:r>
      <w:r w:rsidR="00913C05" w:rsidRPr="00913C05">
        <w:rPr>
          <w:rFonts w:ascii="Times New Roman" w:hAnsi="Times New Roman" w:cs="Times New Roman"/>
          <w:sz w:val="24"/>
          <w:szCs w:val="24"/>
        </w:rPr>
        <w:t>Assays are frequently not validated, lead to inaccurate perceptions of the value of the biomarker</w:t>
      </w:r>
      <w:r w:rsidR="00913C05">
        <w:rPr>
          <w:rFonts w:ascii="Times New Roman" w:hAnsi="Times New Roman" w:cs="Times New Roman"/>
          <w:sz w:val="24"/>
          <w:szCs w:val="24"/>
        </w:rPr>
        <w:t xml:space="preserve"> </w:t>
      </w:r>
      <w:r w:rsidR="00EF574D" w:rsidRPr="001839B7">
        <w:rPr>
          <w:rFonts w:ascii="Times New Roman" w:hAnsi="Times New Roman" w:cs="Times New Roman"/>
          <w:sz w:val="24"/>
          <w:szCs w:val="24"/>
        </w:rPr>
        <w:t>[</w:t>
      </w:r>
      <w:r w:rsidR="00105E63" w:rsidRPr="001839B7">
        <w:rPr>
          <w:rFonts w:ascii="Times New Roman" w:hAnsi="Times New Roman" w:cs="Times New Roman"/>
          <w:sz w:val="24"/>
          <w:szCs w:val="24"/>
        </w:rPr>
        <w:t xml:space="preserve">Wang </w:t>
      </w:r>
      <w:r w:rsidR="00156FF0">
        <w:rPr>
          <w:rFonts w:ascii="Times New Roman" w:hAnsi="Times New Roman" w:cs="Times New Roman"/>
          <w:sz w:val="24"/>
          <w:szCs w:val="24"/>
        </w:rPr>
        <w:t xml:space="preserve">et al., </w:t>
      </w:r>
      <w:r w:rsidR="00F1698A">
        <w:rPr>
          <w:rFonts w:ascii="Times New Roman" w:hAnsi="Times New Roman" w:cs="Times New Roman"/>
          <w:sz w:val="24"/>
          <w:szCs w:val="24"/>
        </w:rPr>
        <w:t>2005</w:t>
      </w:r>
      <w:r w:rsidR="00105E63" w:rsidRPr="001839B7">
        <w:rPr>
          <w:rFonts w:ascii="Times New Roman" w:hAnsi="Times New Roman" w:cs="Times New Roman"/>
          <w:sz w:val="24"/>
          <w:szCs w:val="24"/>
        </w:rPr>
        <w:t>].</w:t>
      </w:r>
    </w:p>
    <w:p w14:paraId="2B9A053B" w14:textId="77777777" w:rsidR="002C38FB" w:rsidRPr="001839B7" w:rsidRDefault="002C38FB" w:rsidP="001839B7">
      <w:pPr>
        <w:tabs>
          <w:tab w:val="left" w:pos="90"/>
        </w:tabs>
        <w:spacing w:after="0" w:line="360" w:lineRule="auto"/>
        <w:jc w:val="both"/>
        <w:rPr>
          <w:rFonts w:ascii="Times New Roman" w:eastAsia="MyriadPro-Light" w:hAnsi="Times New Roman" w:cs="Times New Roman"/>
          <w:b/>
          <w:bCs/>
          <w:kern w:val="0"/>
          <w:sz w:val="24"/>
          <w:szCs w:val="24"/>
        </w:rPr>
      </w:pPr>
      <w:r w:rsidRPr="001839B7">
        <w:rPr>
          <w:rFonts w:ascii="Times New Roman" w:eastAsia="MyriadPro-Light" w:hAnsi="Times New Roman" w:cs="Times New Roman"/>
          <w:b/>
          <w:bCs/>
          <w:kern w:val="0"/>
          <w:sz w:val="24"/>
          <w:szCs w:val="24"/>
        </w:rPr>
        <w:t>DIABETES</w:t>
      </w:r>
    </w:p>
    <w:p w14:paraId="4EC77EAD" w14:textId="77777777" w:rsidR="002C38FB" w:rsidRPr="001839B7" w:rsidRDefault="002C38FB" w:rsidP="001839B7">
      <w:pPr>
        <w:tabs>
          <w:tab w:val="left" w:pos="90"/>
        </w:tabs>
        <w:spacing w:after="0" w:line="360" w:lineRule="auto"/>
        <w:jc w:val="both"/>
        <w:rPr>
          <w:rFonts w:ascii="Times New Roman" w:eastAsia="MyriadPro-Light" w:hAnsi="Times New Roman" w:cs="Times New Roman"/>
          <w:b/>
          <w:bCs/>
          <w:kern w:val="0"/>
          <w:sz w:val="24"/>
          <w:szCs w:val="24"/>
        </w:rPr>
      </w:pPr>
      <w:r w:rsidRPr="001839B7">
        <w:rPr>
          <w:rFonts w:ascii="Times New Roman" w:eastAsia="MyriadPro-Light" w:hAnsi="Times New Roman" w:cs="Times New Roman"/>
          <w:b/>
          <w:bCs/>
          <w:kern w:val="0"/>
          <w:sz w:val="24"/>
          <w:szCs w:val="24"/>
        </w:rPr>
        <w:t>HISTORY OF DIABETES MELLITUS</w:t>
      </w:r>
    </w:p>
    <w:p w14:paraId="56538F4F" w14:textId="54336591" w:rsidR="002C38FB" w:rsidRPr="001839B7" w:rsidRDefault="002C38FB" w:rsidP="001839B7">
      <w:pPr>
        <w:spacing w:after="0" w:line="360" w:lineRule="auto"/>
        <w:ind w:left="-6" w:firstLine="726"/>
        <w:jc w:val="both"/>
        <w:rPr>
          <w:rFonts w:ascii="Times New Roman" w:hAnsi="Times New Roman" w:cs="Times New Roman"/>
          <w:color w:val="212121"/>
          <w:sz w:val="24"/>
          <w:szCs w:val="24"/>
          <w:shd w:val="clear" w:color="auto" w:fill="FFFFFF"/>
        </w:rPr>
      </w:pPr>
      <w:r w:rsidRPr="001839B7">
        <w:rPr>
          <w:rFonts w:ascii="Times New Roman" w:hAnsi="Times New Roman" w:cs="Times New Roman"/>
          <w:color w:val="212121"/>
          <w:sz w:val="24"/>
          <w:szCs w:val="24"/>
          <w:shd w:val="clear" w:color="auto" w:fill="FFFFFF"/>
        </w:rPr>
        <w:t xml:space="preserve">Type-1 diabetes mellitus [T1DM] is an endocrine disorder. According to the writings published by Harold Himsworth’s son Richard in 1936 about diabetic medicine, two types of diabetes were distinguished. Harold Himsworth defined them as ‘insulin – insensitive’ and </w:t>
      </w:r>
      <w:r w:rsidRPr="001839B7">
        <w:rPr>
          <w:rFonts w:ascii="Times New Roman" w:hAnsi="Times New Roman" w:cs="Times New Roman"/>
          <w:color w:val="212121"/>
          <w:sz w:val="24"/>
          <w:szCs w:val="24"/>
          <w:shd w:val="clear" w:color="auto" w:fill="FFFFFF"/>
        </w:rPr>
        <w:lastRenderedPageBreak/>
        <w:t>insulin – sensitive. These classifications are today commonly referred as ‘type 1’ and ‘type 2’ diabetes</w:t>
      </w:r>
      <w:r w:rsidR="009359DF" w:rsidRPr="001839B7">
        <w:rPr>
          <w:rFonts w:ascii="Times New Roman" w:hAnsi="Times New Roman" w:cs="Times New Roman"/>
          <w:color w:val="212121"/>
          <w:sz w:val="24"/>
          <w:szCs w:val="24"/>
          <w:shd w:val="clear" w:color="auto" w:fill="FFFFFF"/>
        </w:rPr>
        <w:t>.</w:t>
      </w:r>
    </w:p>
    <w:p w14:paraId="5EADA915" w14:textId="77777777" w:rsidR="002C38FB" w:rsidRPr="001839B7" w:rsidRDefault="002C38FB" w:rsidP="001839B7">
      <w:pPr>
        <w:tabs>
          <w:tab w:val="left" w:pos="90"/>
        </w:tabs>
        <w:spacing w:after="0" w:line="360" w:lineRule="auto"/>
        <w:jc w:val="both"/>
        <w:rPr>
          <w:rFonts w:ascii="Times New Roman" w:hAnsi="Times New Roman" w:cs="Times New Roman"/>
          <w:b/>
          <w:bCs/>
          <w:color w:val="212121"/>
          <w:sz w:val="24"/>
          <w:szCs w:val="24"/>
          <w:shd w:val="clear" w:color="auto" w:fill="FFFFFF"/>
        </w:rPr>
      </w:pPr>
      <w:r w:rsidRPr="001839B7">
        <w:rPr>
          <w:rFonts w:ascii="Times New Roman" w:hAnsi="Times New Roman" w:cs="Times New Roman"/>
          <w:b/>
          <w:bCs/>
          <w:color w:val="212121"/>
          <w:sz w:val="24"/>
          <w:szCs w:val="24"/>
          <w:shd w:val="clear" w:color="auto" w:fill="FFFFFF"/>
        </w:rPr>
        <w:t>INTRODUCTION</w:t>
      </w:r>
    </w:p>
    <w:p w14:paraId="473C6D3C" w14:textId="73E7D54E" w:rsidR="002C38FB" w:rsidRPr="001839B7" w:rsidRDefault="002C38FB" w:rsidP="00BB743D">
      <w:pPr>
        <w:spacing w:line="360" w:lineRule="auto"/>
        <w:jc w:val="both"/>
        <w:rPr>
          <w:rFonts w:ascii="Times New Roman" w:hAnsi="Times New Roman" w:cs="Times New Roman"/>
          <w:b/>
          <w:bCs/>
          <w:color w:val="212121"/>
          <w:sz w:val="24"/>
          <w:szCs w:val="24"/>
          <w:shd w:val="clear" w:color="auto" w:fill="FFFFFF"/>
        </w:rPr>
      </w:pPr>
      <w:r w:rsidRPr="001839B7">
        <w:rPr>
          <w:rFonts w:ascii="Times New Roman" w:hAnsi="Times New Roman" w:cs="Times New Roman"/>
          <w:b/>
          <w:bCs/>
          <w:color w:val="212121"/>
          <w:sz w:val="24"/>
          <w:szCs w:val="24"/>
          <w:shd w:val="clear" w:color="auto" w:fill="FFFFFF"/>
        </w:rPr>
        <w:tab/>
      </w:r>
      <w:r w:rsidR="00AD23A3" w:rsidRPr="00AD23A3">
        <w:rPr>
          <w:rFonts w:ascii="Times New Roman" w:hAnsi="Times New Roman" w:cs="Times New Roman"/>
          <w:color w:val="212121"/>
          <w:sz w:val="24"/>
          <w:szCs w:val="24"/>
          <w:shd w:val="clear" w:color="auto" w:fill="FFFFFF"/>
        </w:rPr>
        <w:t>The endocrine disorder known as type 1 diabetes mellitus (T1DM) causes the pancreatic cells to stop producing insulin, usually as a result of autoimmune destruction.</w:t>
      </w:r>
      <w:r w:rsidR="00AD23A3">
        <w:rPr>
          <w:rFonts w:ascii="Open Sans" w:hAnsi="Open Sans" w:cs="Open Sans"/>
          <w:color w:val="252525"/>
          <w:shd w:val="clear" w:color="auto" w:fill="FFFFFF"/>
        </w:rPr>
        <w:t xml:space="preserve"> </w:t>
      </w:r>
      <w:r w:rsidRPr="001839B7">
        <w:rPr>
          <w:rFonts w:ascii="Times New Roman" w:hAnsi="Times New Roman" w:cs="Times New Roman"/>
          <w:color w:val="212121"/>
          <w:sz w:val="24"/>
          <w:szCs w:val="24"/>
          <w:shd w:val="clear" w:color="auto" w:fill="FFFFFF"/>
        </w:rPr>
        <w:t xml:space="preserve">This results in hyper glycemia and ketosis; thus, insulin replacement is vital to management. </w:t>
      </w:r>
      <w:r w:rsidR="008729F3">
        <w:rPr>
          <w:rFonts w:ascii="Open Sans" w:hAnsi="Open Sans" w:cs="Open Sans"/>
          <w:color w:val="E36B00"/>
          <w:shd w:val="clear" w:color="auto" w:fill="EDFAFF"/>
        </w:rPr>
        <w:t xml:space="preserve">The </w:t>
      </w:r>
      <w:r w:rsidR="008729F3" w:rsidRPr="008729F3">
        <w:rPr>
          <w:rFonts w:ascii="Times New Roman" w:hAnsi="Times New Roman" w:cs="Times New Roman"/>
          <w:color w:val="212121"/>
          <w:sz w:val="24"/>
          <w:szCs w:val="24"/>
          <w:shd w:val="clear" w:color="auto" w:fill="FFFFFF"/>
        </w:rPr>
        <w:t>prevalence has increased during puberty and the early years of adulthood, but onset can happen at any age.</w:t>
      </w:r>
      <w:r w:rsidRPr="001839B7">
        <w:rPr>
          <w:rFonts w:ascii="Times New Roman" w:hAnsi="Times New Roman" w:cs="Times New Roman"/>
          <w:color w:val="212121"/>
          <w:sz w:val="24"/>
          <w:szCs w:val="24"/>
          <w:shd w:val="clear" w:color="auto" w:fill="FFFFFF"/>
        </w:rPr>
        <w:t xml:space="preserve"> </w:t>
      </w:r>
      <w:r w:rsidR="009554A2">
        <w:rPr>
          <w:rFonts w:ascii="Times New Roman" w:hAnsi="Times New Roman" w:cs="Times New Roman"/>
          <w:color w:val="212121"/>
          <w:sz w:val="24"/>
          <w:szCs w:val="24"/>
          <w:shd w:val="clear" w:color="auto" w:fill="FFFFFF"/>
        </w:rPr>
        <w:t>From last decade onwards persons with T1DM</w:t>
      </w:r>
      <w:r w:rsidRPr="001839B7">
        <w:rPr>
          <w:rFonts w:ascii="Times New Roman" w:hAnsi="Times New Roman" w:cs="Times New Roman"/>
          <w:color w:val="212121"/>
          <w:sz w:val="24"/>
          <w:szCs w:val="24"/>
          <w:shd w:val="clear" w:color="auto" w:fill="FFFFFF"/>
        </w:rPr>
        <w:t xml:space="preserve"> </w:t>
      </w:r>
      <w:r w:rsidR="00D35A1E" w:rsidRPr="001839B7">
        <w:rPr>
          <w:rFonts w:ascii="Times New Roman" w:hAnsi="Times New Roman" w:cs="Times New Roman"/>
          <w:color w:val="212121"/>
          <w:sz w:val="24"/>
          <w:szCs w:val="24"/>
          <w:shd w:val="clear" w:color="auto" w:fill="FFFFFF"/>
        </w:rPr>
        <w:t>are</w:t>
      </w:r>
      <w:r w:rsidRPr="001839B7">
        <w:rPr>
          <w:rFonts w:ascii="Times New Roman" w:hAnsi="Times New Roman" w:cs="Times New Roman"/>
          <w:color w:val="212121"/>
          <w:sz w:val="24"/>
          <w:szCs w:val="24"/>
          <w:shd w:val="clear" w:color="auto" w:fill="FFFFFF"/>
        </w:rPr>
        <w:t xml:space="preserve"> highest among adults. Symptoms include polyuria, polydipsia, and weight loss. </w:t>
      </w:r>
      <w:r w:rsidR="0029235C" w:rsidRPr="0029235C">
        <w:rPr>
          <w:rFonts w:ascii="Times New Roman" w:hAnsi="Times New Roman" w:cs="Times New Roman"/>
          <w:color w:val="212121"/>
          <w:sz w:val="24"/>
          <w:szCs w:val="24"/>
          <w:shd w:val="clear" w:color="auto" w:fill="FFFFFF"/>
        </w:rPr>
        <w:t>Diabetes ketoacidosis is one of the acute complications that needs immediate attention.</w:t>
      </w:r>
      <w:r w:rsidR="0029235C" w:rsidRPr="001839B7">
        <w:rPr>
          <w:rFonts w:ascii="Times New Roman" w:hAnsi="Times New Roman" w:cs="Times New Roman"/>
          <w:color w:val="212121"/>
          <w:sz w:val="24"/>
          <w:szCs w:val="24"/>
          <w:shd w:val="clear" w:color="auto" w:fill="FFFFFF"/>
        </w:rPr>
        <w:t xml:space="preserve"> </w:t>
      </w:r>
      <w:r w:rsidRPr="001839B7">
        <w:rPr>
          <w:rFonts w:ascii="Times New Roman" w:hAnsi="Times New Roman" w:cs="Times New Roman"/>
          <w:color w:val="212121"/>
          <w:sz w:val="24"/>
          <w:szCs w:val="24"/>
          <w:shd w:val="clear" w:color="auto" w:fill="FFFFFF"/>
        </w:rPr>
        <w:t xml:space="preserve">Long-term complications include microvascular and macrovascular disease. </w:t>
      </w:r>
      <w:r w:rsidR="00650A09" w:rsidRPr="00650A09">
        <w:rPr>
          <w:rFonts w:ascii="Times New Roman" w:hAnsi="Times New Roman" w:cs="Times New Roman"/>
          <w:color w:val="212121"/>
          <w:sz w:val="24"/>
          <w:szCs w:val="24"/>
          <w:shd w:val="clear" w:color="auto" w:fill="FFFFFF"/>
        </w:rPr>
        <w:t xml:space="preserve">Other autoimmune diseases and psychosocial problems are </w:t>
      </w:r>
      <w:r w:rsidR="00555514">
        <w:rPr>
          <w:rFonts w:ascii="Times New Roman" w:hAnsi="Times New Roman" w:cs="Times New Roman"/>
          <w:color w:val="212121"/>
          <w:sz w:val="24"/>
          <w:szCs w:val="24"/>
          <w:shd w:val="clear" w:color="auto" w:fill="FFFFFF"/>
        </w:rPr>
        <w:t>more frequently occur in</w:t>
      </w:r>
      <w:r w:rsidR="00650A09" w:rsidRPr="00650A09">
        <w:rPr>
          <w:rFonts w:ascii="Times New Roman" w:hAnsi="Times New Roman" w:cs="Times New Roman"/>
          <w:color w:val="212121"/>
          <w:sz w:val="24"/>
          <w:szCs w:val="24"/>
          <w:shd w:val="clear" w:color="auto" w:fill="FFFFFF"/>
        </w:rPr>
        <w:t xml:space="preserve"> T1DM patients. </w:t>
      </w:r>
      <w:bookmarkStart w:id="0" w:name="_Hlk141697318"/>
      <w:r w:rsidR="00370ED6" w:rsidRPr="00370ED6">
        <w:rPr>
          <w:rFonts w:ascii="Times New Roman" w:hAnsi="Times New Roman" w:cs="Times New Roman"/>
          <w:color w:val="212121"/>
          <w:sz w:val="24"/>
          <w:szCs w:val="24"/>
          <w:shd w:val="clear" w:color="auto" w:fill="FFFFFF"/>
        </w:rPr>
        <w:t>Optimizing glucose control should be the main management goal to minimize both short-term and long-term complications</w:t>
      </w:r>
      <w:r w:rsidR="00D35A1E">
        <w:rPr>
          <w:rFonts w:ascii="Open Sans" w:hAnsi="Open Sans" w:cs="Open Sans"/>
          <w:color w:val="252525"/>
          <w:shd w:val="clear" w:color="auto" w:fill="FFFFFF"/>
        </w:rPr>
        <w:t>.</w:t>
      </w:r>
    </w:p>
    <w:bookmarkEnd w:id="0"/>
    <w:p w14:paraId="0D39AC56" w14:textId="6D99A3A9" w:rsidR="00CE59B2" w:rsidRPr="001839B7" w:rsidRDefault="002C38FB" w:rsidP="001839B7">
      <w:pPr>
        <w:spacing w:line="360" w:lineRule="auto"/>
        <w:jc w:val="both"/>
        <w:rPr>
          <w:rFonts w:ascii="Times New Roman" w:hAnsi="Times New Roman" w:cs="Times New Roman"/>
          <w:sz w:val="24"/>
          <w:szCs w:val="24"/>
        </w:rPr>
      </w:pPr>
      <w:r w:rsidRPr="001839B7">
        <w:rPr>
          <w:rFonts w:ascii="Times New Roman" w:hAnsi="Times New Roman" w:cs="Times New Roman"/>
          <w:noProof/>
          <w:sz w:val="24"/>
          <w:szCs w:val="24"/>
        </w:rPr>
        <w:drawing>
          <wp:inline distT="0" distB="0" distL="0" distR="0" wp14:anchorId="3A287FA8" wp14:editId="4D27334C">
            <wp:extent cx="5730827" cy="3017520"/>
            <wp:effectExtent l="0" t="0" r="3810" b="0"/>
            <wp:docPr id="395771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9147" cy="3021901"/>
                    </a:xfrm>
                    <a:prstGeom prst="rect">
                      <a:avLst/>
                    </a:prstGeom>
                    <a:noFill/>
                    <a:ln>
                      <a:noFill/>
                    </a:ln>
                  </pic:spPr>
                </pic:pic>
              </a:graphicData>
            </a:graphic>
          </wp:inline>
        </w:drawing>
      </w:r>
    </w:p>
    <w:p w14:paraId="6B56FCF9" w14:textId="79D99B8F" w:rsidR="002C38FB" w:rsidRPr="001839B7" w:rsidRDefault="00955939" w:rsidP="001839B7">
      <w:pPr>
        <w:tabs>
          <w:tab w:val="left" w:pos="90"/>
        </w:tabs>
        <w:spacing w:after="0" w:line="360" w:lineRule="auto"/>
        <w:jc w:val="both"/>
        <w:rPr>
          <w:rFonts w:ascii="Times New Roman" w:hAnsi="Times New Roman" w:cs="Times New Roman"/>
          <w:b/>
          <w:bCs/>
          <w:color w:val="212121"/>
          <w:sz w:val="24"/>
          <w:szCs w:val="24"/>
          <w:shd w:val="clear" w:color="auto" w:fill="FFFFFF"/>
        </w:rPr>
      </w:pPr>
      <w:r w:rsidRPr="00955939">
        <w:rPr>
          <w:rFonts w:ascii="Times New Roman" w:hAnsi="Times New Roman" w:cs="Times New Roman"/>
          <w:color w:val="080808"/>
          <w:sz w:val="24"/>
          <w:szCs w:val="24"/>
        </w:rPr>
        <w:t xml:space="preserve">Diabetes type 1, also referred to as </w:t>
      </w:r>
      <w:r w:rsidR="00B51104" w:rsidRPr="00955939">
        <w:rPr>
          <w:rFonts w:ascii="Times New Roman" w:hAnsi="Times New Roman" w:cs="Times New Roman"/>
          <w:color w:val="080808"/>
          <w:sz w:val="24"/>
          <w:szCs w:val="24"/>
        </w:rPr>
        <w:t>infantile</w:t>
      </w:r>
      <w:r w:rsidRPr="00955939">
        <w:rPr>
          <w:rFonts w:ascii="Times New Roman" w:hAnsi="Times New Roman" w:cs="Times New Roman"/>
          <w:color w:val="080808"/>
          <w:sz w:val="24"/>
          <w:szCs w:val="24"/>
        </w:rPr>
        <w:t xml:space="preserve"> diabetes or insulin-dependent diabetes, is a chronic illness. </w:t>
      </w:r>
      <w:r w:rsidR="00650E05" w:rsidRPr="00955939">
        <w:rPr>
          <w:rFonts w:ascii="Times New Roman" w:hAnsi="Times New Roman" w:cs="Times New Roman"/>
          <w:color w:val="080808"/>
          <w:sz w:val="24"/>
          <w:szCs w:val="24"/>
        </w:rPr>
        <w:t>Diminutive</w:t>
      </w:r>
      <w:r w:rsidRPr="00955939">
        <w:rPr>
          <w:rFonts w:ascii="Times New Roman" w:hAnsi="Times New Roman" w:cs="Times New Roman"/>
          <w:color w:val="080808"/>
          <w:sz w:val="24"/>
          <w:szCs w:val="24"/>
        </w:rPr>
        <w:t xml:space="preserve"> to no insulin is produced by the pancreas in this condition. </w:t>
      </w:r>
      <w:r w:rsidR="00B51104" w:rsidRPr="00B51104">
        <w:rPr>
          <w:rFonts w:ascii="Times New Roman" w:hAnsi="Times New Roman" w:cs="Times New Roman"/>
          <w:color w:val="080808"/>
          <w:sz w:val="24"/>
          <w:szCs w:val="24"/>
        </w:rPr>
        <w:t>The body uses the hormone insulin to allow glucose (sugar) into cells so those cells can produce energy. Type 1 diabetes may be brought on by a variety of factors, including genetics and certain viruses.</w:t>
      </w:r>
      <w:r w:rsidR="00B51104" w:rsidRPr="001839B7">
        <w:rPr>
          <w:rFonts w:ascii="Times New Roman" w:hAnsi="Times New Roman" w:cs="Times New Roman"/>
          <w:color w:val="080808"/>
          <w:sz w:val="24"/>
          <w:szCs w:val="24"/>
        </w:rPr>
        <w:t xml:space="preserve"> </w:t>
      </w:r>
      <w:r w:rsidR="00D57174" w:rsidRPr="001839B7">
        <w:rPr>
          <w:rFonts w:ascii="Times New Roman" w:hAnsi="Times New Roman" w:cs="Times New Roman"/>
          <w:color w:val="080808"/>
          <w:sz w:val="24"/>
          <w:szCs w:val="24"/>
        </w:rPr>
        <w:t>[</w:t>
      </w:r>
      <w:r w:rsidR="00A71D65" w:rsidRPr="001839B7">
        <w:rPr>
          <w:rFonts w:ascii="Times New Roman" w:hAnsi="Times New Roman" w:cs="Times New Roman"/>
          <w:color w:val="080808"/>
          <w:sz w:val="24"/>
          <w:szCs w:val="24"/>
        </w:rPr>
        <w:t>Nerup</w:t>
      </w:r>
      <w:r w:rsidR="00D1267B" w:rsidRPr="001839B7">
        <w:rPr>
          <w:rFonts w:ascii="Times New Roman" w:hAnsi="Times New Roman" w:cs="Times New Roman"/>
          <w:color w:val="080808"/>
          <w:sz w:val="24"/>
          <w:szCs w:val="24"/>
        </w:rPr>
        <w:t xml:space="preserve"> </w:t>
      </w:r>
      <w:r w:rsidR="00156FF0">
        <w:rPr>
          <w:rFonts w:ascii="Times New Roman" w:hAnsi="Times New Roman" w:cs="Times New Roman"/>
          <w:color w:val="080808"/>
          <w:sz w:val="24"/>
          <w:szCs w:val="24"/>
        </w:rPr>
        <w:t xml:space="preserve">et al., </w:t>
      </w:r>
      <w:r w:rsidR="007A19A5" w:rsidRPr="001839B7">
        <w:rPr>
          <w:rFonts w:ascii="Times New Roman" w:hAnsi="Times New Roman" w:cs="Times New Roman"/>
          <w:color w:val="080808"/>
          <w:sz w:val="24"/>
          <w:szCs w:val="24"/>
        </w:rPr>
        <w:t>1974</w:t>
      </w:r>
      <w:r w:rsidR="00D57174" w:rsidRPr="001839B7">
        <w:rPr>
          <w:rFonts w:ascii="Times New Roman" w:hAnsi="Times New Roman" w:cs="Times New Roman"/>
          <w:color w:val="080808"/>
          <w:sz w:val="24"/>
          <w:szCs w:val="24"/>
        </w:rPr>
        <w:t>].</w:t>
      </w:r>
      <w:r w:rsidR="00303955">
        <w:rPr>
          <w:rFonts w:ascii="Times New Roman" w:hAnsi="Times New Roman" w:cs="Times New Roman"/>
          <w:color w:val="080808"/>
          <w:sz w:val="24"/>
          <w:szCs w:val="24"/>
        </w:rPr>
        <w:t xml:space="preserve"> </w:t>
      </w:r>
      <w:r w:rsidR="00650E05" w:rsidRPr="00650E05">
        <w:rPr>
          <w:rFonts w:ascii="Times New Roman" w:hAnsi="Times New Roman" w:cs="Times New Roman"/>
          <w:color w:val="080808"/>
          <w:sz w:val="24"/>
          <w:szCs w:val="24"/>
        </w:rPr>
        <w:t xml:space="preserve">Despite typically developing in childhood or adolescence, type 1 diabetes can also strike adults. Type 1 diabetes still has no cure, despite extensive research. The goal of treatment is to control blood sugar levels with the help of insulin, diet, and lifestyle changes in order to avoid complications </w:t>
      </w:r>
      <w:r w:rsidR="00994CCC" w:rsidRPr="001839B7">
        <w:rPr>
          <w:rFonts w:ascii="Times New Roman" w:hAnsi="Times New Roman" w:cs="Times New Roman"/>
          <w:color w:val="080808"/>
          <w:sz w:val="24"/>
          <w:szCs w:val="24"/>
        </w:rPr>
        <w:t>[</w:t>
      </w:r>
      <w:r w:rsidR="00435A1D" w:rsidRPr="001839B7">
        <w:rPr>
          <w:rFonts w:ascii="Times New Roman" w:hAnsi="Times New Roman" w:cs="Times New Roman"/>
          <w:color w:val="080808"/>
          <w:sz w:val="24"/>
          <w:szCs w:val="24"/>
        </w:rPr>
        <w:t>Kolb</w:t>
      </w:r>
      <w:r w:rsidR="00D14CC7" w:rsidRPr="001839B7">
        <w:rPr>
          <w:rFonts w:ascii="Times New Roman" w:hAnsi="Times New Roman" w:cs="Times New Roman"/>
          <w:color w:val="080808"/>
          <w:sz w:val="24"/>
          <w:szCs w:val="24"/>
        </w:rPr>
        <w:t>,</w:t>
      </w:r>
      <w:r w:rsidR="00303955">
        <w:rPr>
          <w:rFonts w:ascii="Times New Roman" w:hAnsi="Times New Roman" w:cs="Times New Roman"/>
          <w:color w:val="080808"/>
          <w:sz w:val="24"/>
          <w:szCs w:val="24"/>
        </w:rPr>
        <w:t xml:space="preserve"> </w:t>
      </w:r>
      <w:r w:rsidR="00435A1D" w:rsidRPr="001839B7">
        <w:rPr>
          <w:rFonts w:ascii="Times New Roman" w:hAnsi="Times New Roman" w:cs="Times New Roman"/>
          <w:color w:val="080808"/>
          <w:sz w:val="24"/>
          <w:szCs w:val="24"/>
        </w:rPr>
        <w:t>2005</w:t>
      </w:r>
      <w:r w:rsidR="003B6273" w:rsidRPr="001839B7">
        <w:rPr>
          <w:rFonts w:ascii="Times New Roman" w:hAnsi="Times New Roman" w:cs="Times New Roman"/>
          <w:color w:val="080808"/>
          <w:sz w:val="24"/>
          <w:szCs w:val="24"/>
        </w:rPr>
        <w:t>].</w:t>
      </w:r>
    </w:p>
    <w:p w14:paraId="0333CA32" w14:textId="32AF2414" w:rsidR="002C38FB" w:rsidRPr="001839B7" w:rsidRDefault="002C38FB" w:rsidP="001839B7">
      <w:pPr>
        <w:pStyle w:val="NormalWeb"/>
        <w:shd w:val="clear" w:color="auto" w:fill="FFFFFF"/>
        <w:spacing w:before="0" w:beforeAutospacing="0" w:after="0" w:afterAutospacing="0" w:line="360" w:lineRule="auto"/>
        <w:jc w:val="both"/>
        <w:rPr>
          <w:color w:val="080808"/>
        </w:rPr>
      </w:pPr>
      <w:r w:rsidRPr="001839B7">
        <w:rPr>
          <w:b/>
          <w:bCs/>
          <w:color w:val="080808"/>
        </w:rPr>
        <w:lastRenderedPageBreak/>
        <w:t xml:space="preserve">The </w:t>
      </w:r>
      <w:r w:rsidR="008067A9" w:rsidRPr="001839B7">
        <w:rPr>
          <w:b/>
          <w:bCs/>
          <w:color w:val="080808"/>
        </w:rPr>
        <w:t>protagonist</w:t>
      </w:r>
      <w:r w:rsidRPr="001839B7">
        <w:rPr>
          <w:b/>
          <w:bCs/>
          <w:color w:val="080808"/>
        </w:rPr>
        <w:t xml:space="preserve"> of insulin</w:t>
      </w:r>
    </w:p>
    <w:p w14:paraId="259F08B6" w14:textId="4A896F5D" w:rsidR="008655A7" w:rsidRDefault="008655A7" w:rsidP="001839B7">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Pr>
          <w:rFonts w:ascii="Times New Roman" w:eastAsia="Times New Roman" w:hAnsi="Times New Roman" w:cs="Times New Roman"/>
          <w:color w:val="080808"/>
          <w:kern w:val="0"/>
          <w:sz w:val="24"/>
          <w:szCs w:val="24"/>
          <w:lang w:eastAsia="en-IN"/>
          <w14:ligatures w14:val="none"/>
        </w:rPr>
        <w:t xml:space="preserve">When a significant amount of islet cells </w:t>
      </w:r>
      <w:r w:rsidR="00EB2926">
        <w:rPr>
          <w:rFonts w:ascii="Times New Roman" w:eastAsia="Times New Roman" w:hAnsi="Times New Roman" w:cs="Times New Roman"/>
          <w:color w:val="080808"/>
          <w:kern w:val="0"/>
          <w:sz w:val="24"/>
          <w:szCs w:val="24"/>
          <w:lang w:eastAsia="en-IN"/>
          <w14:ligatures w14:val="none"/>
        </w:rPr>
        <w:t>is</w:t>
      </w:r>
      <w:r>
        <w:rPr>
          <w:rFonts w:ascii="Times New Roman" w:eastAsia="Times New Roman" w:hAnsi="Times New Roman" w:cs="Times New Roman"/>
          <w:color w:val="080808"/>
          <w:kern w:val="0"/>
          <w:sz w:val="24"/>
          <w:szCs w:val="24"/>
          <w:lang w:eastAsia="en-IN"/>
          <w14:ligatures w14:val="none"/>
        </w:rPr>
        <w:t xml:space="preserve"> destroyed, the body produces little or no insulin.</w:t>
      </w:r>
    </w:p>
    <w:p w14:paraId="0790A681" w14:textId="496D0916" w:rsidR="002C38FB" w:rsidRDefault="002C38FB" w:rsidP="001839B7">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1839B7">
        <w:rPr>
          <w:rFonts w:ascii="Times New Roman" w:eastAsia="Times New Roman" w:hAnsi="Times New Roman" w:cs="Times New Roman"/>
          <w:color w:val="080808"/>
          <w:kern w:val="0"/>
          <w:sz w:val="24"/>
          <w:szCs w:val="24"/>
          <w:lang w:eastAsia="en-IN"/>
          <w14:ligatures w14:val="none"/>
        </w:rPr>
        <w:t xml:space="preserve">Insulin is a hormone that </w:t>
      </w:r>
      <w:r w:rsidR="004D1783">
        <w:rPr>
          <w:rFonts w:ascii="Times New Roman" w:eastAsia="Times New Roman" w:hAnsi="Times New Roman" w:cs="Times New Roman"/>
          <w:color w:val="080808"/>
          <w:kern w:val="0"/>
          <w:sz w:val="24"/>
          <w:szCs w:val="24"/>
          <w:lang w:eastAsia="en-IN"/>
          <w14:ligatures w14:val="none"/>
        </w:rPr>
        <w:t>secreted</w:t>
      </w:r>
      <w:r w:rsidRPr="001839B7">
        <w:rPr>
          <w:rFonts w:ascii="Times New Roman" w:eastAsia="Times New Roman" w:hAnsi="Times New Roman" w:cs="Times New Roman"/>
          <w:color w:val="080808"/>
          <w:kern w:val="0"/>
          <w:sz w:val="24"/>
          <w:szCs w:val="24"/>
          <w:lang w:eastAsia="en-IN"/>
          <w14:ligatures w14:val="none"/>
        </w:rPr>
        <w:t xml:space="preserve"> from a gland </w:t>
      </w:r>
      <w:r w:rsidR="00EB2926" w:rsidRPr="001839B7">
        <w:rPr>
          <w:rFonts w:ascii="Times New Roman" w:eastAsia="Times New Roman" w:hAnsi="Times New Roman" w:cs="Times New Roman"/>
          <w:color w:val="080808"/>
          <w:kern w:val="0"/>
          <w:sz w:val="24"/>
          <w:szCs w:val="24"/>
          <w:lang w:eastAsia="en-IN"/>
          <w14:ligatures w14:val="none"/>
        </w:rPr>
        <w:t>late</w:t>
      </w:r>
      <w:r w:rsidRPr="001839B7">
        <w:rPr>
          <w:rFonts w:ascii="Times New Roman" w:eastAsia="Times New Roman" w:hAnsi="Times New Roman" w:cs="Times New Roman"/>
          <w:color w:val="080808"/>
          <w:kern w:val="0"/>
          <w:sz w:val="24"/>
          <w:szCs w:val="24"/>
          <w:lang w:eastAsia="en-IN"/>
          <w14:ligatures w14:val="none"/>
        </w:rPr>
        <w:t xml:space="preserve"> and </w:t>
      </w:r>
      <w:r w:rsidR="00EB2926" w:rsidRPr="001839B7">
        <w:rPr>
          <w:rFonts w:ascii="Times New Roman" w:eastAsia="Times New Roman" w:hAnsi="Times New Roman" w:cs="Times New Roman"/>
          <w:color w:val="080808"/>
          <w:kern w:val="0"/>
          <w:sz w:val="24"/>
          <w:szCs w:val="24"/>
          <w:lang w:eastAsia="en-IN"/>
          <w14:ligatures w14:val="none"/>
        </w:rPr>
        <w:t>beneath</w:t>
      </w:r>
      <w:r w:rsidRPr="001839B7">
        <w:rPr>
          <w:rFonts w:ascii="Times New Roman" w:eastAsia="Times New Roman" w:hAnsi="Times New Roman" w:cs="Times New Roman"/>
          <w:color w:val="080808"/>
          <w:kern w:val="0"/>
          <w:sz w:val="24"/>
          <w:szCs w:val="24"/>
          <w:lang w:eastAsia="en-IN"/>
          <w14:ligatures w14:val="none"/>
        </w:rPr>
        <w:t xml:space="preserve"> the stomach (pancreas).</w:t>
      </w:r>
    </w:p>
    <w:p w14:paraId="2229B21C" w14:textId="6CDF61C3" w:rsidR="00CA7349" w:rsidRPr="00CA7349"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CA7349">
        <w:rPr>
          <w:rFonts w:ascii="Times New Roman" w:eastAsia="Times New Roman" w:hAnsi="Times New Roman" w:cs="Times New Roman"/>
          <w:color w:val="080808"/>
          <w:kern w:val="0"/>
          <w:sz w:val="24"/>
          <w:szCs w:val="24"/>
          <w:lang w:eastAsia="en-IN"/>
          <w14:ligatures w14:val="none"/>
        </w:rPr>
        <w:t>Insulin travels through the bloodstream the from the pancreas.</w:t>
      </w:r>
    </w:p>
    <w:p w14:paraId="2CE80ACE" w14:textId="50B6778A" w:rsidR="00CA7349" w:rsidRPr="00CA7349"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CA7349">
        <w:rPr>
          <w:rFonts w:ascii="Times New Roman" w:eastAsia="Times New Roman" w:hAnsi="Times New Roman" w:cs="Times New Roman"/>
          <w:color w:val="080808"/>
          <w:kern w:val="0"/>
          <w:sz w:val="24"/>
          <w:szCs w:val="24"/>
          <w:lang w:eastAsia="en-IN"/>
          <w14:ligatures w14:val="none"/>
        </w:rPr>
        <w:t>Throughout the body, insulin moves, enabling sugar to enter the cells.</w:t>
      </w:r>
    </w:p>
    <w:p w14:paraId="2E418398" w14:textId="0314D329" w:rsidR="00CA7349" w:rsidRPr="00CA7349"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CA7349">
        <w:rPr>
          <w:rFonts w:ascii="Times New Roman" w:eastAsia="Times New Roman" w:hAnsi="Times New Roman" w:cs="Times New Roman"/>
          <w:color w:val="080808"/>
          <w:kern w:val="0"/>
          <w:sz w:val="24"/>
          <w:szCs w:val="24"/>
          <w:lang w:eastAsia="en-IN"/>
          <w14:ligatures w14:val="none"/>
        </w:rPr>
        <w:t>The amount of sugar in the blood is decreased by insulin.</w:t>
      </w:r>
    </w:p>
    <w:p w14:paraId="79BA4D9E" w14:textId="4D4D6C53" w:rsidR="00CA7349" w:rsidRPr="00CA7349"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CA7349">
        <w:rPr>
          <w:rFonts w:ascii="Times New Roman" w:eastAsia="Times New Roman" w:hAnsi="Times New Roman" w:cs="Times New Roman"/>
          <w:color w:val="080808"/>
          <w:kern w:val="0"/>
          <w:sz w:val="24"/>
          <w:szCs w:val="24"/>
          <w:lang w:eastAsia="en-IN"/>
          <w14:ligatures w14:val="none"/>
        </w:rPr>
        <w:t>The pancreas produces less insulin as the blood sugar level rises.</w:t>
      </w:r>
    </w:p>
    <w:p w14:paraId="26F8B80B" w14:textId="292A93F2" w:rsidR="002C38FB" w:rsidRPr="001839B7" w:rsidRDefault="002C38FB" w:rsidP="001839B7">
      <w:pPr>
        <w:shd w:val="clear" w:color="auto" w:fill="FFFFFF"/>
        <w:spacing w:after="0" w:line="360" w:lineRule="auto"/>
        <w:jc w:val="both"/>
        <w:outlineLvl w:val="2"/>
        <w:rPr>
          <w:rFonts w:ascii="Times New Roman" w:eastAsia="Times New Roman" w:hAnsi="Times New Roman" w:cs="Times New Roman"/>
          <w:b/>
          <w:bCs/>
          <w:color w:val="080808"/>
          <w:kern w:val="0"/>
          <w:sz w:val="24"/>
          <w:szCs w:val="24"/>
          <w:lang w:eastAsia="en-IN"/>
          <w14:ligatures w14:val="none"/>
        </w:rPr>
      </w:pPr>
      <w:r w:rsidRPr="001839B7">
        <w:rPr>
          <w:rFonts w:ascii="Times New Roman" w:eastAsia="Times New Roman" w:hAnsi="Times New Roman" w:cs="Times New Roman"/>
          <w:b/>
          <w:bCs/>
          <w:color w:val="080808"/>
          <w:kern w:val="0"/>
          <w:sz w:val="24"/>
          <w:szCs w:val="24"/>
          <w:lang w:eastAsia="en-IN"/>
          <w14:ligatures w14:val="none"/>
        </w:rPr>
        <w:t xml:space="preserve">The </w:t>
      </w:r>
      <w:r w:rsidR="00E91341">
        <w:rPr>
          <w:rFonts w:ascii="Times New Roman" w:eastAsia="Times New Roman" w:hAnsi="Times New Roman" w:cs="Times New Roman"/>
          <w:b/>
          <w:bCs/>
          <w:color w:val="080808"/>
          <w:kern w:val="0"/>
          <w:sz w:val="24"/>
          <w:szCs w:val="24"/>
          <w:lang w:eastAsia="en-IN"/>
          <w14:ligatures w14:val="none"/>
        </w:rPr>
        <w:t>function</w:t>
      </w:r>
      <w:r w:rsidRPr="001839B7">
        <w:rPr>
          <w:rFonts w:ascii="Times New Roman" w:eastAsia="Times New Roman" w:hAnsi="Times New Roman" w:cs="Times New Roman"/>
          <w:b/>
          <w:bCs/>
          <w:color w:val="080808"/>
          <w:kern w:val="0"/>
          <w:sz w:val="24"/>
          <w:szCs w:val="24"/>
          <w:lang w:eastAsia="en-IN"/>
          <w14:ligatures w14:val="none"/>
        </w:rPr>
        <w:t xml:space="preserve"> of glucose</w:t>
      </w:r>
    </w:p>
    <w:p w14:paraId="2EB93658" w14:textId="77777777" w:rsidR="002C38FB" w:rsidRPr="001839B7" w:rsidRDefault="002C38FB" w:rsidP="001839B7">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1839B7">
        <w:rPr>
          <w:rFonts w:ascii="Times New Roman" w:eastAsia="Times New Roman" w:hAnsi="Times New Roman" w:cs="Times New Roman"/>
          <w:color w:val="080808"/>
          <w:kern w:val="0"/>
          <w:sz w:val="24"/>
          <w:szCs w:val="24"/>
          <w:lang w:eastAsia="en-IN"/>
          <w14:ligatures w14:val="none"/>
        </w:rPr>
        <w:t>Glucose — a sugar — is a main source of energy for the cells that make up muscles and other tissues.</w:t>
      </w:r>
    </w:p>
    <w:p w14:paraId="1266983A" w14:textId="41435E0C" w:rsidR="002C38FB" w:rsidRPr="001839B7" w:rsidRDefault="002B4EF7" w:rsidP="001839B7">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Pr>
          <w:rFonts w:ascii="Times New Roman" w:eastAsia="Times New Roman" w:hAnsi="Times New Roman" w:cs="Times New Roman"/>
          <w:color w:val="080808"/>
          <w:kern w:val="0"/>
          <w:sz w:val="24"/>
          <w:szCs w:val="24"/>
          <w:lang w:eastAsia="en-IN"/>
          <w14:ligatures w14:val="none"/>
        </w:rPr>
        <w:t>F</w:t>
      </w:r>
      <w:r w:rsidR="002C38FB" w:rsidRPr="001839B7">
        <w:rPr>
          <w:rFonts w:ascii="Times New Roman" w:eastAsia="Times New Roman" w:hAnsi="Times New Roman" w:cs="Times New Roman"/>
          <w:color w:val="080808"/>
          <w:kern w:val="0"/>
          <w:sz w:val="24"/>
          <w:szCs w:val="24"/>
          <w:lang w:eastAsia="en-IN"/>
          <w14:ligatures w14:val="none"/>
        </w:rPr>
        <w:t>ood and the liver</w:t>
      </w:r>
      <w:r>
        <w:rPr>
          <w:rFonts w:ascii="Times New Roman" w:eastAsia="Times New Roman" w:hAnsi="Times New Roman" w:cs="Times New Roman"/>
          <w:color w:val="080808"/>
          <w:kern w:val="0"/>
          <w:sz w:val="24"/>
          <w:szCs w:val="24"/>
          <w:lang w:eastAsia="en-IN"/>
          <w14:ligatures w14:val="none"/>
        </w:rPr>
        <w:t xml:space="preserve"> are the two main sources of glucose.</w:t>
      </w:r>
    </w:p>
    <w:p w14:paraId="04EA9CC6" w14:textId="3682CB3F" w:rsidR="002C38FB" w:rsidRPr="001839B7" w:rsidRDefault="002C38FB" w:rsidP="001839B7">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sidRPr="001839B7">
        <w:rPr>
          <w:rFonts w:ascii="Times New Roman" w:eastAsia="Times New Roman" w:hAnsi="Times New Roman" w:cs="Times New Roman"/>
          <w:color w:val="080808"/>
          <w:kern w:val="0"/>
          <w:sz w:val="24"/>
          <w:szCs w:val="24"/>
          <w:lang w:eastAsia="en-IN"/>
          <w14:ligatures w14:val="none"/>
        </w:rPr>
        <w:t xml:space="preserve">Sugar is absorbed into the bloodstream, where it </w:t>
      </w:r>
      <w:r w:rsidR="00196800" w:rsidRPr="001839B7">
        <w:rPr>
          <w:rFonts w:ascii="Times New Roman" w:eastAsia="Times New Roman" w:hAnsi="Times New Roman" w:cs="Times New Roman"/>
          <w:color w:val="080808"/>
          <w:kern w:val="0"/>
          <w:sz w:val="24"/>
          <w:szCs w:val="24"/>
          <w:lang w:eastAsia="en-IN"/>
          <w14:ligatures w14:val="none"/>
        </w:rPr>
        <w:t>crosses</w:t>
      </w:r>
      <w:r w:rsidR="00F40D02" w:rsidRPr="001839B7">
        <w:rPr>
          <w:rFonts w:ascii="Times New Roman" w:eastAsia="Times New Roman" w:hAnsi="Times New Roman" w:cs="Times New Roman"/>
          <w:color w:val="080808"/>
          <w:kern w:val="0"/>
          <w:sz w:val="24"/>
          <w:szCs w:val="24"/>
          <w:lang w:eastAsia="en-IN"/>
          <w14:ligatures w14:val="none"/>
        </w:rPr>
        <w:t xml:space="preserve"> the threshold</w:t>
      </w:r>
      <w:r w:rsidRPr="001839B7">
        <w:rPr>
          <w:rFonts w:ascii="Times New Roman" w:eastAsia="Times New Roman" w:hAnsi="Times New Roman" w:cs="Times New Roman"/>
          <w:color w:val="080808"/>
          <w:kern w:val="0"/>
          <w:sz w:val="24"/>
          <w:szCs w:val="24"/>
          <w:lang w:eastAsia="en-IN"/>
          <w14:ligatures w14:val="none"/>
        </w:rPr>
        <w:t xml:space="preserve"> cells with the help of insulin.</w:t>
      </w:r>
    </w:p>
    <w:p w14:paraId="62981FAB" w14:textId="77777777" w:rsidR="00196800" w:rsidRDefault="00196800" w:rsidP="00196800">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Pr>
          <w:rFonts w:ascii="Times New Roman" w:eastAsia="Times New Roman" w:hAnsi="Times New Roman" w:cs="Times New Roman"/>
          <w:color w:val="080808"/>
          <w:kern w:val="0"/>
          <w:sz w:val="24"/>
          <w:szCs w:val="24"/>
          <w:lang w:eastAsia="en-IN"/>
          <w14:ligatures w14:val="none"/>
        </w:rPr>
        <w:t>G</w:t>
      </w:r>
      <w:r w:rsidR="002C38FB" w:rsidRPr="001839B7">
        <w:rPr>
          <w:rFonts w:ascii="Times New Roman" w:eastAsia="Times New Roman" w:hAnsi="Times New Roman" w:cs="Times New Roman"/>
          <w:color w:val="080808"/>
          <w:kern w:val="0"/>
          <w:sz w:val="24"/>
          <w:szCs w:val="24"/>
          <w:lang w:eastAsia="en-IN"/>
          <w14:ligatures w14:val="none"/>
        </w:rPr>
        <w:t>lycogen</w:t>
      </w:r>
      <w:r>
        <w:rPr>
          <w:rFonts w:ascii="Times New Roman" w:eastAsia="Times New Roman" w:hAnsi="Times New Roman" w:cs="Times New Roman"/>
          <w:color w:val="080808"/>
          <w:kern w:val="0"/>
          <w:sz w:val="24"/>
          <w:szCs w:val="24"/>
          <w:lang w:eastAsia="en-IN"/>
          <w14:ligatures w14:val="none"/>
        </w:rPr>
        <w:t>, a form of glucose, stores in the liver.</w:t>
      </w:r>
    </w:p>
    <w:p w14:paraId="65DF4A84" w14:textId="28626A63" w:rsidR="00196800" w:rsidRPr="00196800" w:rsidRDefault="00196800" w:rsidP="00196800">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sidRPr="00196800">
        <w:rPr>
          <w:rFonts w:ascii="Times New Roman" w:eastAsia="Times New Roman" w:hAnsi="Times New Roman" w:cs="Times New Roman"/>
          <w:color w:val="080808"/>
          <w:kern w:val="0"/>
          <w:sz w:val="24"/>
          <w:szCs w:val="24"/>
          <w:lang w:eastAsia="en-IN"/>
          <w14:ligatures w14:val="none"/>
        </w:rPr>
        <w:t>The liver converts stored glycogen into glucose when blood glucose levels because they are low, when you haven't eaten for a while. As a result, glucose levels stay within the normal range.</w:t>
      </w:r>
    </w:p>
    <w:p w14:paraId="749E3988" w14:textId="77777777" w:rsidR="00657DF7" w:rsidRPr="00657DF7" w:rsidRDefault="00657DF7" w:rsidP="00657DF7">
      <w:pPr>
        <w:spacing w:line="360" w:lineRule="auto"/>
        <w:jc w:val="both"/>
        <w:rPr>
          <w:rFonts w:ascii="Times New Roman" w:eastAsia="Times New Roman" w:hAnsi="Times New Roman" w:cs="Times New Roman"/>
          <w:color w:val="080808"/>
          <w:kern w:val="0"/>
          <w:sz w:val="24"/>
          <w:szCs w:val="24"/>
          <w:lang w:eastAsia="en-IN"/>
          <w14:ligatures w14:val="none"/>
        </w:rPr>
      </w:pPr>
      <w:r w:rsidRPr="00657DF7">
        <w:rPr>
          <w:rFonts w:ascii="Times New Roman" w:eastAsia="Times New Roman" w:hAnsi="Times New Roman" w:cs="Times New Roman"/>
          <w:color w:val="080808"/>
          <w:kern w:val="0"/>
          <w:sz w:val="24"/>
          <w:szCs w:val="24"/>
          <w:lang w:eastAsia="en-IN"/>
          <w14:ligatures w14:val="none"/>
        </w:rPr>
        <w:t>There is no insulin to allow glucose into the cells in type 1 diabetes. Sugar accumulates in the blood as a result. Life-threatening complications may result from this. Complications from type 1 diabetes over time may have an impact on the body's major organs. The heart, blood vessels, nerves, eyes, and kidneys are some of these organs. The risk of numerous complications can be reduced by maintaining normal blood sugar levels.</w:t>
      </w:r>
    </w:p>
    <w:p w14:paraId="27FB9DCB" w14:textId="7C731922" w:rsidR="002C38FB" w:rsidRPr="001839B7" w:rsidRDefault="002C38FB" w:rsidP="001C435D">
      <w:pPr>
        <w:pStyle w:val="ListParagraph"/>
        <w:shd w:val="clear" w:color="auto" w:fill="FFFFFF"/>
        <w:spacing w:after="0" w:line="360" w:lineRule="auto"/>
        <w:ind w:left="0"/>
        <w:jc w:val="both"/>
        <w:rPr>
          <w:rFonts w:ascii="Times New Roman" w:eastAsia="Times New Roman" w:hAnsi="Times New Roman" w:cs="Times New Roman"/>
          <w:color w:val="080808"/>
          <w:kern w:val="0"/>
          <w:sz w:val="24"/>
          <w:szCs w:val="24"/>
          <w:lang w:eastAsia="en-IN"/>
          <w14:ligatures w14:val="none"/>
        </w:rPr>
      </w:pPr>
    </w:p>
    <w:p w14:paraId="1CADC26A" w14:textId="59F8B45F" w:rsidR="002C38FB" w:rsidRPr="001839B7" w:rsidRDefault="002C38FB" w:rsidP="00BB743D">
      <w:pPr>
        <w:pStyle w:val="ListParagraph"/>
        <w:shd w:val="clear" w:color="auto" w:fill="FFFFFF"/>
        <w:spacing w:after="0" w:line="360" w:lineRule="auto"/>
        <w:ind w:hanging="720"/>
        <w:jc w:val="center"/>
        <w:rPr>
          <w:rFonts w:ascii="Times New Roman" w:eastAsia="Times New Roman" w:hAnsi="Times New Roman" w:cs="Times New Roman"/>
          <w:color w:val="080808"/>
          <w:kern w:val="0"/>
          <w:sz w:val="24"/>
          <w:szCs w:val="24"/>
          <w:lang w:eastAsia="en-IN"/>
          <w14:ligatures w14:val="none"/>
        </w:rPr>
      </w:pPr>
      <w:r w:rsidRPr="001839B7">
        <w:rPr>
          <w:rFonts w:ascii="Times New Roman" w:hAnsi="Times New Roman" w:cs="Times New Roman"/>
          <w:noProof/>
          <w:sz w:val="24"/>
          <w:szCs w:val="24"/>
        </w:rPr>
        <w:drawing>
          <wp:inline distT="0" distB="0" distL="0" distR="0" wp14:anchorId="352C92EE" wp14:editId="7E1F7D5B">
            <wp:extent cx="5731510" cy="2461260"/>
            <wp:effectExtent l="0" t="0" r="2540" b="0"/>
            <wp:docPr id="123778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461260"/>
                    </a:xfrm>
                    <a:prstGeom prst="rect">
                      <a:avLst/>
                    </a:prstGeom>
                    <a:noFill/>
                    <a:ln>
                      <a:noFill/>
                    </a:ln>
                  </pic:spPr>
                </pic:pic>
              </a:graphicData>
            </a:graphic>
          </wp:inline>
        </w:drawing>
      </w:r>
    </w:p>
    <w:p w14:paraId="705A39A3" w14:textId="77777777" w:rsidR="002C38FB" w:rsidRPr="001839B7" w:rsidRDefault="002C38FB" w:rsidP="001C435D">
      <w:pPr>
        <w:shd w:val="clear" w:color="auto" w:fill="FFFFFF"/>
        <w:spacing w:after="0" w:line="360" w:lineRule="auto"/>
        <w:jc w:val="center"/>
        <w:rPr>
          <w:rFonts w:ascii="Times New Roman" w:eastAsia="Times New Roman" w:hAnsi="Times New Roman" w:cs="Times New Roman"/>
          <w:color w:val="080808"/>
          <w:kern w:val="0"/>
          <w:sz w:val="24"/>
          <w:szCs w:val="24"/>
          <w:lang w:eastAsia="en-IN"/>
          <w14:ligatures w14:val="none"/>
        </w:rPr>
      </w:pPr>
      <w:r w:rsidRPr="001839B7">
        <w:rPr>
          <w:rFonts w:ascii="Times New Roman" w:eastAsia="Times New Roman" w:hAnsi="Times New Roman" w:cs="Times New Roman"/>
          <w:color w:val="080808"/>
          <w:kern w:val="0"/>
          <w:sz w:val="24"/>
          <w:szCs w:val="24"/>
          <w:lang w:eastAsia="en-IN"/>
          <w14:ligatures w14:val="none"/>
        </w:rPr>
        <w:lastRenderedPageBreak/>
        <w:t>Diabetes complications can lead to disabilities or even threaten your life.</w:t>
      </w:r>
    </w:p>
    <w:p w14:paraId="20B6F194" w14:textId="313FA5BD" w:rsidR="002C6C1C" w:rsidRDefault="00C9726C"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Pr>
          <w:rFonts w:ascii="Times New Roman" w:eastAsia="Times New Roman" w:hAnsi="Times New Roman" w:cs="Times New Roman"/>
          <w:b/>
          <w:bCs/>
          <w:color w:val="080808"/>
          <w:kern w:val="0"/>
          <w:sz w:val="24"/>
          <w:szCs w:val="24"/>
          <w:lang w:eastAsia="en-IN"/>
          <w14:ligatures w14:val="none"/>
        </w:rPr>
        <w:t xml:space="preserve">Blood vessel and </w:t>
      </w:r>
      <w:r w:rsidR="007164FB" w:rsidRPr="002C6C1C">
        <w:rPr>
          <w:rFonts w:ascii="Times New Roman" w:eastAsia="Times New Roman" w:hAnsi="Times New Roman" w:cs="Times New Roman"/>
          <w:b/>
          <w:bCs/>
          <w:color w:val="080808"/>
          <w:kern w:val="0"/>
          <w:sz w:val="24"/>
          <w:szCs w:val="24"/>
          <w:lang w:eastAsia="en-IN"/>
          <w14:ligatures w14:val="none"/>
        </w:rPr>
        <w:t>heart disease</w:t>
      </w:r>
      <w:r w:rsidR="002C38FB" w:rsidRPr="002C6C1C">
        <w:rPr>
          <w:rFonts w:ascii="Times New Roman" w:eastAsia="Times New Roman" w:hAnsi="Times New Roman" w:cs="Times New Roman"/>
          <w:b/>
          <w:bCs/>
          <w:color w:val="080808"/>
          <w:kern w:val="0"/>
          <w:sz w:val="24"/>
          <w:szCs w:val="24"/>
          <w:lang w:eastAsia="en-IN"/>
          <w14:ligatures w14:val="none"/>
        </w:rPr>
        <w:t>.</w:t>
      </w:r>
      <w:r w:rsidR="002C38FB" w:rsidRPr="002C6C1C">
        <w:rPr>
          <w:rFonts w:ascii="Times New Roman" w:eastAsia="Times New Roman" w:hAnsi="Times New Roman" w:cs="Times New Roman"/>
          <w:color w:val="080808"/>
          <w:kern w:val="0"/>
          <w:sz w:val="24"/>
          <w:szCs w:val="24"/>
          <w:lang w:eastAsia="en-IN"/>
          <w14:ligatures w14:val="none"/>
        </w:rPr>
        <w:t> </w:t>
      </w:r>
      <w:r w:rsidR="002C6C1C" w:rsidRPr="002C6C1C">
        <w:rPr>
          <w:rFonts w:ascii="Times New Roman" w:eastAsia="Times New Roman" w:hAnsi="Times New Roman" w:cs="Times New Roman"/>
          <w:color w:val="080808"/>
          <w:kern w:val="0"/>
          <w:sz w:val="24"/>
          <w:szCs w:val="24"/>
          <w:lang w:eastAsia="en-IN"/>
          <w14:ligatures w14:val="none"/>
        </w:rPr>
        <w:t xml:space="preserve">Diabetes </w:t>
      </w:r>
      <w:r w:rsidR="007164FB">
        <w:rPr>
          <w:rFonts w:ascii="Times New Roman" w:eastAsia="Times New Roman" w:hAnsi="Times New Roman" w:cs="Times New Roman"/>
          <w:color w:val="080808"/>
          <w:kern w:val="0"/>
          <w:sz w:val="24"/>
          <w:szCs w:val="24"/>
          <w:lang w:eastAsia="en-IN"/>
          <w14:ligatures w14:val="none"/>
        </w:rPr>
        <w:t>reduces</w:t>
      </w:r>
      <w:r w:rsidR="002C6C1C" w:rsidRPr="002C6C1C">
        <w:rPr>
          <w:rFonts w:ascii="Times New Roman" w:eastAsia="Times New Roman" w:hAnsi="Times New Roman" w:cs="Times New Roman"/>
          <w:color w:val="080808"/>
          <w:kern w:val="0"/>
          <w:sz w:val="24"/>
          <w:szCs w:val="24"/>
          <w:lang w:eastAsia="en-IN"/>
          <w14:ligatures w14:val="none"/>
        </w:rPr>
        <w:t xml:space="preserve"> the risk of some heart and blood vessel </w:t>
      </w:r>
      <w:r w:rsidR="007164FB" w:rsidRPr="002C6C1C">
        <w:rPr>
          <w:rFonts w:ascii="Times New Roman" w:eastAsia="Times New Roman" w:hAnsi="Times New Roman" w:cs="Times New Roman"/>
          <w:color w:val="080808"/>
          <w:kern w:val="0"/>
          <w:sz w:val="24"/>
          <w:szCs w:val="24"/>
          <w:lang w:eastAsia="en-IN"/>
          <w14:ligatures w14:val="none"/>
        </w:rPr>
        <w:t>problems</w:t>
      </w:r>
      <w:r w:rsidR="002C6C1C" w:rsidRPr="002C6C1C">
        <w:rPr>
          <w:rFonts w:ascii="Times New Roman" w:eastAsia="Times New Roman" w:hAnsi="Times New Roman" w:cs="Times New Roman"/>
          <w:color w:val="080808"/>
          <w:kern w:val="0"/>
          <w:sz w:val="24"/>
          <w:szCs w:val="24"/>
          <w:lang w:eastAsia="en-IN"/>
          <w14:ligatures w14:val="none"/>
        </w:rPr>
        <w:t xml:space="preserve">. These include </w:t>
      </w:r>
      <w:r w:rsidR="00AD6607">
        <w:rPr>
          <w:rFonts w:ascii="Times New Roman" w:eastAsia="Times New Roman" w:hAnsi="Times New Roman" w:cs="Times New Roman"/>
          <w:color w:val="080808"/>
          <w:kern w:val="0"/>
          <w:sz w:val="24"/>
          <w:szCs w:val="24"/>
          <w:lang w:eastAsia="en-IN"/>
          <w14:ligatures w14:val="none"/>
        </w:rPr>
        <w:t>hypertension</w:t>
      </w:r>
      <w:r w:rsidR="002C6C1C" w:rsidRPr="002C6C1C">
        <w:rPr>
          <w:rFonts w:ascii="Times New Roman" w:eastAsia="Times New Roman" w:hAnsi="Times New Roman" w:cs="Times New Roman"/>
          <w:color w:val="080808"/>
          <w:kern w:val="0"/>
          <w:sz w:val="24"/>
          <w:szCs w:val="24"/>
          <w:lang w:eastAsia="en-IN"/>
          <w14:ligatures w14:val="none"/>
        </w:rPr>
        <w:t>, heart attack, stroke</w:t>
      </w:r>
      <w:r w:rsidR="00AD6607">
        <w:rPr>
          <w:rFonts w:ascii="Times New Roman" w:eastAsia="Times New Roman" w:hAnsi="Times New Roman" w:cs="Times New Roman"/>
          <w:color w:val="080808"/>
          <w:kern w:val="0"/>
          <w:sz w:val="24"/>
          <w:szCs w:val="24"/>
          <w:lang w:eastAsia="en-IN"/>
          <w14:ligatures w14:val="none"/>
        </w:rPr>
        <w:t>s</w:t>
      </w:r>
      <w:r w:rsidR="002C6C1C" w:rsidRPr="002C6C1C">
        <w:rPr>
          <w:rFonts w:ascii="Times New Roman" w:eastAsia="Times New Roman" w:hAnsi="Times New Roman" w:cs="Times New Roman"/>
          <w:color w:val="080808"/>
          <w:kern w:val="0"/>
          <w:sz w:val="24"/>
          <w:szCs w:val="24"/>
          <w:lang w:eastAsia="en-IN"/>
          <w14:ligatures w14:val="none"/>
        </w:rPr>
        <w:t xml:space="preserve">, coronary artery disease with chest pain (angina), and artery narrowing (atherosclerosis). </w:t>
      </w:r>
    </w:p>
    <w:p w14:paraId="72512188" w14:textId="77777777" w:rsidR="00234CB7" w:rsidRPr="00234CB7"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234CB7">
        <w:rPr>
          <w:rFonts w:ascii="Times New Roman" w:eastAsia="Times New Roman" w:hAnsi="Times New Roman" w:cs="Times New Roman"/>
          <w:b/>
          <w:bCs/>
          <w:color w:val="080808"/>
          <w:kern w:val="0"/>
          <w:sz w:val="24"/>
          <w:szCs w:val="24"/>
          <w:lang w:eastAsia="en-IN"/>
          <w14:ligatures w14:val="none"/>
        </w:rPr>
        <w:t>Nerve damage (neuropathy).</w:t>
      </w:r>
      <w:r w:rsidRPr="00234CB7">
        <w:rPr>
          <w:rFonts w:ascii="Times New Roman" w:eastAsia="Times New Roman" w:hAnsi="Times New Roman" w:cs="Times New Roman"/>
          <w:color w:val="080808"/>
          <w:kern w:val="0"/>
          <w:sz w:val="24"/>
          <w:szCs w:val="24"/>
          <w:lang w:eastAsia="en-IN"/>
          <w14:ligatures w14:val="none"/>
        </w:rPr>
        <w:t> </w:t>
      </w:r>
      <w:r w:rsidR="00234CB7" w:rsidRPr="00234CB7">
        <w:rPr>
          <w:rFonts w:ascii="Times New Roman" w:eastAsia="Times New Roman" w:hAnsi="Times New Roman" w:cs="Times New Roman"/>
          <w:color w:val="080808"/>
          <w:kern w:val="0"/>
          <w:sz w:val="24"/>
          <w:szCs w:val="24"/>
          <w:lang w:eastAsia="en-IN"/>
          <w14:ligatures w14:val="none"/>
        </w:rPr>
        <w:t xml:space="preserve">If there is too much sugar in the blood, the walls of the tiny blood vessels (capillaries) that supply the nerves may be harmed. </w:t>
      </w:r>
      <w:r w:rsidR="002C6C1C" w:rsidRPr="00234CB7">
        <w:rPr>
          <w:rFonts w:ascii="Times New Roman" w:eastAsia="Times New Roman" w:hAnsi="Times New Roman" w:cs="Times New Roman"/>
          <w:color w:val="080808"/>
          <w:kern w:val="0"/>
          <w:sz w:val="24"/>
          <w:szCs w:val="24"/>
          <w:lang w:eastAsia="en-IN"/>
          <w14:ligatures w14:val="none"/>
        </w:rPr>
        <w:t xml:space="preserve">Tingling, numbness, burning, or pain may result from this. This typically spreads upward from the tips of the toes or fingers. </w:t>
      </w:r>
      <w:r w:rsidR="00234CB7" w:rsidRPr="00234CB7">
        <w:rPr>
          <w:rFonts w:ascii="Times New Roman" w:eastAsia="Times New Roman" w:hAnsi="Times New Roman" w:cs="Times New Roman"/>
          <w:color w:val="080808"/>
          <w:kern w:val="0"/>
          <w:sz w:val="24"/>
          <w:szCs w:val="24"/>
          <w:lang w:eastAsia="en-IN"/>
          <w14:ligatures w14:val="none"/>
        </w:rPr>
        <w:t>Your affected limbs may gradually lose all feeling as a result of a blood sugar low. Problems with nausea, vomiting, diarrhea, or constipation can result from damage to the nerves that control the digestive system. Erectile dysfunction may be a problem for men.</w:t>
      </w:r>
    </w:p>
    <w:p w14:paraId="2FF35290" w14:textId="77777777" w:rsidR="00887D56" w:rsidRPr="00887D56"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887D56">
        <w:rPr>
          <w:rFonts w:ascii="Times New Roman" w:eastAsia="Times New Roman" w:hAnsi="Times New Roman" w:cs="Times New Roman"/>
          <w:b/>
          <w:bCs/>
          <w:color w:val="080808"/>
          <w:kern w:val="0"/>
          <w:sz w:val="24"/>
          <w:szCs w:val="24"/>
          <w:lang w:eastAsia="en-IN"/>
          <w14:ligatures w14:val="none"/>
        </w:rPr>
        <w:t>Kidney damage (nephropathy).</w:t>
      </w:r>
      <w:r w:rsidRPr="00887D56">
        <w:rPr>
          <w:rFonts w:ascii="Times New Roman" w:eastAsia="Times New Roman" w:hAnsi="Times New Roman" w:cs="Times New Roman"/>
          <w:color w:val="080808"/>
          <w:kern w:val="0"/>
          <w:sz w:val="24"/>
          <w:szCs w:val="24"/>
          <w:lang w:eastAsia="en-IN"/>
          <w14:ligatures w14:val="none"/>
        </w:rPr>
        <w:t> </w:t>
      </w:r>
      <w:r w:rsidR="00887D56" w:rsidRPr="00887D56">
        <w:rPr>
          <w:rFonts w:ascii="Times New Roman" w:eastAsia="Times New Roman" w:hAnsi="Times New Roman" w:cs="Times New Roman"/>
          <w:color w:val="080808"/>
          <w:kern w:val="0"/>
          <w:sz w:val="24"/>
          <w:szCs w:val="24"/>
          <w:lang w:eastAsia="en-IN"/>
          <w14:ligatures w14:val="none"/>
        </w:rPr>
        <w:t xml:space="preserve">The kidneys' countless tiny blood vessels stop waste from entering the bloodstream. Diabetes could harm this system. Severe damage can lead to kidney failure or chronic end-stage kidney disease. Dialysis or kidney transplantation are the only treatments available for end-stage kidney disease. </w:t>
      </w:r>
    </w:p>
    <w:p w14:paraId="4DEB209A" w14:textId="56EEC4B3" w:rsidR="00D40C5B" w:rsidRPr="00887D56"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887D56">
        <w:rPr>
          <w:rFonts w:ascii="Times New Roman" w:eastAsia="Times New Roman" w:hAnsi="Times New Roman" w:cs="Times New Roman"/>
          <w:b/>
          <w:bCs/>
          <w:color w:val="080808"/>
          <w:kern w:val="0"/>
          <w:sz w:val="24"/>
          <w:szCs w:val="24"/>
          <w:lang w:eastAsia="en-IN"/>
          <w14:ligatures w14:val="none"/>
        </w:rPr>
        <w:t>Eye damage.</w:t>
      </w:r>
      <w:r w:rsidRPr="00887D56">
        <w:rPr>
          <w:rFonts w:ascii="Times New Roman" w:eastAsia="Times New Roman" w:hAnsi="Times New Roman" w:cs="Times New Roman"/>
          <w:color w:val="080808"/>
          <w:kern w:val="0"/>
          <w:sz w:val="24"/>
          <w:szCs w:val="24"/>
          <w:lang w:eastAsia="en-IN"/>
          <w14:ligatures w14:val="none"/>
        </w:rPr>
        <w:t> </w:t>
      </w:r>
      <w:r w:rsidR="00D40C5B" w:rsidRPr="00887D56">
        <w:rPr>
          <w:rFonts w:ascii="Times New Roman" w:eastAsia="Times New Roman" w:hAnsi="Times New Roman" w:cs="Times New Roman"/>
          <w:color w:val="080808"/>
          <w:kern w:val="0"/>
          <w:sz w:val="24"/>
          <w:szCs w:val="24"/>
          <w:lang w:eastAsia="en-IN"/>
          <w14:ligatures w14:val="none"/>
        </w:rPr>
        <w:t xml:space="preserve">Diabetes (diabetic retinopathy) can </w:t>
      </w:r>
      <w:r w:rsidR="00E92F50" w:rsidRPr="00887D56">
        <w:rPr>
          <w:rFonts w:ascii="Times New Roman" w:eastAsia="Times New Roman" w:hAnsi="Times New Roman" w:cs="Times New Roman"/>
          <w:color w:val="080808"/>
          <w:kern w:val="0"/>
          <w:sz w:val="24"/>
          <w:szCs w:val="24"/>
          <w:lang w:eastAsia="en-IN"/>
          <w14:ligatures w14:val="none"/>
        </w:rPr>
        <w:t>impairment</w:t>
      </w:r>
      <w:r w:rsidR="00D40C5B" w:rsidRPr="00887D56">
        <w:rPr>
          <w:rFonts w:ascii="Times New Roman" w:eastAsia="Times New Roman" w:hAnsi="Times New Roman" w:cs="Times New Roman"/>
          <w:color w:val="080808"/>
          <w:kern w:val="0"/>
          <w:sz w:val="24"/>
          <w:szCs w:val="24"/>
          <w:lang w:eastAsia="en-IN"/>
          <w14:ligatures w14:val="none"/>
        </w:rPr>
        <w:t xml:space="preserve"> the blood vessels in the retina, the area of the eye that detects light. Blindness could result from this. Diabetes </w:t>
      </w:r>
      <w:r w:rsidR="00B643FB" w:rsidRPr="00887D56">
        <w:rPr>
          <w:rFonts w:ascii="Times New Roman" w:eastAsia="Times New Roman" w:hAnsi="Times New Roman" w:cs="Times New Roman"/>
          <w:color w:val="080808"/>
          <w:kern w:val="0"/>
          <w:sz w:val="24"/>
          <w:szCs w:val="24"/>
          <w:lang w:eastAsia="en-IN"/>
          <w14:ligatures w14:val="none"/>
        </w:rPr>
        <w:t>as well</w:t>
      </w:r>
      <w:r w:rsidR="00D40C5B" w:rsidRPr="00887D56">
        <w:rPr>
          <w:rFonts w:ascii="Times New Roman" w:eastAsia="Times New Roman" w:hAnsi="Times New Roman" w:cs="Times New Roman"/>
          <w:color w:val="080808"/>
          <w:kern w:val="0"/>
          <w:sz w:val="24"/>
          <w:szCs w:val="24"/>
          <w:lang w:eastAsia="en-IN"/>
          <w14:ligatures w14:val="none"/>
        </w:rPr>
        <w:t xml:space="preserve"> raises the risk of glaucoma and cataracts, two serious eye diseases. </w:t>
      </w:r>
    </w:p>
    <w:p w14:paraId="0213500F" w14:textId="3CBAE5E8" w:rsidR="00984AED"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984AED">
        <w:rPr>
          <w:rFonts w:ascii="Times New Roman" w:eastAsia="Times New Roman" w:hAnsi="Times New Roman" w:cs="Times New Roman"/>
          <w:b/>
          <w:bCs/>
          <w:color w:val="080808"/>
          <w:kern w:val="0"/>
          <w:sz w:val="24"/>
          <w:szCs w:val="24"/>
          <w:lang w:eastAsia="en-IN"/>
          <w14:ligatures w14:val="none"/>
        </w:rPr>
        <w:t>Foot damage.</w:t>
      </w:r>
      <w:r w:rsidRPr="00984AED">
        <w:rPr>
          <w:rFonts w:ascii="Times New Roman" w:eastAsia="Times New Roman" w:hAnsi="Times New Roman" w:cs="Times New Roman"/>
          <w:color w:val="080808"/>
          <w:kern w:val="0"/>
          <w:sz w:val="24"/>
          <w:szCs w:val="24"/>
          <w:lang w:eastAsia="en-IN"/>
          <w14:ligatures w14:val="none"/>
        </w:rPr>
        <w:t> </w:t>
      </w:r>
      <w:r w:rsidR="00C66743" w:rsidRPr="00C66743">
        <w:rPr>
          <w:rFonts w:ascii="Times New Roman" w:eastAsia="Times New Roman" w:hAnsi="Times New Roman" w:cs="Times New Roman"/>
          <w:color w:val="080808"/>
          <w:kern w:val="0"/>
          <w:sz w:val="24"/>
          <w:szCs w:val="24"/>
          <w:lang w:eastAsia="en-IN"/>
          <w14:ligatures w14:val="none"/>
        </w:rPr>
        <w:t xml:space="preserve">If there is nerve damage in the feet or poor blood flow to the feet, specific foot complications are more likely to develop. </w:t>
      </w:r>
      <w:r w:rsidR="00984AED" w:rsidRPr="00984AED">
        <w:rPr>
          <w:rFonts w:ascii="Times New Roman" w:eastAsia="Times New Roman" w:hAnsi="Times New Roman" w:cs="Times New Roman"/>
          <w:color w:val="080808"/>
          <w:kern w:val="0"/>
          <w:sz w:val="24"/>
          <w:szCs w:val="24"/>
          <w:lang w:eastAsia="en-IN"/>
          <w14:ligatures w14:val="none"/>
        </w:rPr>
        <w:t xml:space="preserve">Blisters and cuts can develop into dangerous infections if left untreated. Amputation of the leg, foot, or toe may be </w:t>
      </w:r>
      <w:r w:rsidR="008D391A" w:rsidRPr="00984AED">
        <w:rPr>
          <w:rFonts w:ascii="Times New Roman" w:eastAsia="Times New Roman" w:hAnsi="Times New Roman" w:cs="Times New Roman"/>
          <w:color w:val="080808"/>
          <w:kern w:val="0"/>
          <w:sz w:val="24"/>
          <w:szCs w:val="24"/>
          <w:lang w:eastAsia="en-IN"/>
          <w14:ligatures w14:val="none"/>
        </w:rPr>
        <w:t>essential</w:t>
      </w:r>
      <w:r w:rsidR="00984AED" w:rsidRPr="00984AED">
        <w:rPr>
          <w:rFonts w:ascii="Times New Roman" w:eastAsia="Times New Roman" w:hAnsi="Times New Roman" w:cs="Times New Roman"/>
          <w:color w:val="080808"/>
          <w:kern w:val="0"/>
          <w:sz w:val="24"/>
          <w:szCs w:val="24"/>
          <w:lang w:eastAsia="en-IN"/>
          <w14:ligatures w14:val="none"/>
        </w:rPr>
        <w:t xml:space="preserve"> for the treatment of these infections. </w:t>
      </w:r>
    </w:p>
    <w:p w14:paraId="6C83B819" w14:textId="115B6090" w:rsidR="00984AED" w:rsidRPr="00984AED"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984AED">
        <w:rPr>
          <w:rFonts w:ascii="Times New Roman" w:eastAsia="Times New Roman" w:hAnsi="Times New Roman" w:cs="Times New Roman"/>
          <w:b/>
          <w:bCs/>
          <w:color w:val="080808"/>
          <w:kern w:val="0"/>
          <w:sz w:val="24"/>
          <w:szCs w:val="24"/>
          <w:lang w:eastAsia="en-IN"/>
          <w14:ligatures w14:val="none"/>
        </w:rPr>
        <w:t>Skin and mouth conditions.</w:t>
      </w:r>
      <w:r w:rsidRPr="00984AED">
        <w:rPr>
          <w:rFonts w:ascii="Times New Roman" w:eastAsia="Times New Roman" w:hAnsi="Times New Roman" w:cs="Times New Roman"/>
          <w:color w:val="080808"/>
          <w:kern w:val="0"/>
          <w:sz w:val="24"/>
          <w:szCs w:val="24"/>
          <w:lang w:eastAsia="en-IN"/>
          <w14:ligatures w14:val="none"/>
        </w:rPr>
        <w:t> </w:t>
      </w:r>
      <w:r w:rsidR="008D391A" w:rsidRPr="008D391A">
        <w:rPr>
          <w:rFonts w:ascii="Times New Roman" w:eastAsia="Times New Roman" w:hAnsi="Times New Roman" w:cs="Times New Roman"/>
          <w:color w:val="080808"/>
          <w:kern w:val="0"/>
          <w:sz w:val="24"/>
          <w:szCs w:val="24"/>
          <w:lang w:eastAsia="en-IN"/>
          <w14:ligatures w14:val="none"/>
        </w:rPr>
        <w:t xml:space="preserve">You could be more vulnerable to skin problems </w:t>
      </w:r>
      <w:r w:rsidR="00984AED" w:rsidRPr="00984AED">
        <w:rPr>
          <w:rFonts w:ascii="Times New Roman" w:eastAsia="Times New Roman" w:hAnsi="Times New Roman" w:cs="Times New Roman"/>
          <w:color w:val="080808"/>
          <w:kern w:val="0"/>
          <w:sz w:val="24"/>
          <w:szCs w:val="24"/>
          <w:lang w:eastAsia="en-IN"/>
          <w14:ligatures w14:val="none"/>
        </w:rPr>
        <w:t xml:space="preserve">and mouth infections if you have diabetes. Infections </w:t>
      </w:r>
      <w:r w:rsidR="008D391A" w:rsidRPr="00984AED">
        <w:rPr>
          <w:rFonts w:ascii="Times New Roman" w:eastAsia="Times New Roman" w:hAnsi="Times New Roman" w:cs="Times New Roman"/>
          <w:color w:val="080808"/>
          <w:kern w:val="0"/>
          <w:sz w:val="24"/>
          <w:szCs w:val="24"/>
          <w:lang w:eastAsia="en-IN"/>
          <w14:ligatures w14:val="none"/>
        </w:rPr>
        <w:t>triggered</w:t>
      </w:r>
      <w:r w:rsidR="00984AED" w:rsidRPr="00984AED">
        <w:rPr>
          <w:rFonts w:ascii="Times New Roman" w:eastAsia="Times New Roman" w:hAnsi="Times New Roman" w:cs="Times New Roman"/>
          <w:color w:val="080808"/>
          <w:kern w:val="0"/>
          <w:sz w:val="24"/>
          <w:szCs w:val="24"/>
          <w:lang w:eastAsia="en-IN"/>
          <w14:ligatures w14:val="none"/>
        </w:rPr>
        <w:t xml:space="preserve"> by bacteria and fungi are among them. Dry mouth and gum disease are also more probable.</w:t>
      </w:r>
    </w:p>
    <w:p w14:paraId="32EEC889" w14:textId="2A398618" w:rsidR="001C435D" w:rsidRPr="00984AED"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984AED">
        <w:rPr>
          <w:rFonts w:ascii="Times New Roman" w:eastAsia="Times New Roman" w:hAnsi="Times New Roman" w:cs="Times New Roman"/>
          <w:b/>
          <w:bCs/>
          <w:color w:val="080808"/>
          <w:kern w:val="0"/>
          <w:sz w:val="24"/>
          <w:szCs w:val="24"/>
          <w:lang w:eastAsia="en-IN"/>
          <w14:ligatures w14:val="none"/>
        </w:rPr>
        <w:t>Pregnancy complications.</w:t>
      </w:r>
      <w:r w:rsidRPr="00984AED">
        <w:rPr>
          <w:rFonts w:ascii="Times New Roman" w:eastAsia="Times New Roman" w:hAnsi="Times New Roman" w:cs="Times New Roman"/>
          <w:color w:val="080808"/>
          <w:kern w:val="0"/>
          <w:sz w:val="24"/>
          <w:szCs w:val="24"/>
          <w:lang w:eastAsia="en-IN"/>
          <w14:ligatures w14:val="none"/>
        </w:rPr>
        <w:t> </w:t>
      </w:r>
      <w:r w:rsidR="00984AED" w:rsidRPr="00984AED">
        <w:rPr>
          <w:rFonts w:ascii="Times New Roman" w:eastAsia="Times New Roman" w:hAnsi="Times New Roman" w:cs="Times New Roman"/>
          <w:color w:val="080808"/>
          <w:kern w:val="0"/>
          <w:sz w:val="24"/>
          <w:szCs w:val="24"/>
          <w:lang w:eastAsia="en-IN"/>
          <w14:ligatures w14:val="none"/>
        </w:rPr>
        <w:t>Both parents and babies may be in danger from high blood sugar levels. When diabetes is poorly managed, the risk of miscarriage, stillbirth, and birth defects rises. Diabetes increases the parent's risk of developing preeclampsia, diabetic ketoacidosis, retinopathy, high blood pressure brought on by pregnancy, and diabetic ketoacidosis.</w:t>
      </w:r>
    </w:p>
    <w:p w14:paraId="0C137FE2" w14:textId="77777777" w:rsidR="001C435D" w:rsidRDefault="002C38FB" w:rsidP="001C435D">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1839B7">
        <w:rPr>
          <w:rFonts w:ascii="Times New Roman" w:eastAsia="Times New Roman" w:hAnsi="Times New Roman" w:cs="Times New Roman"/>
          <w:b/>
          <w:bCs/>
          <w:color w:val="080808"/>
          <w:kern w:val="0"/>
          <w:sz w:val="24"/>
          <w:szCs w:val="24"/>
          <w:lang w:eastAsia="en-IN"/>
          <w14:ligatures w14:val="none"/>
        </w:rPr>
        <w:t>SERUM/AUTOANTIBODIES BASED BIOMARKERS</w:t>
      </w:r>
    </w:p>
    <w:p w14:paraId="793F3C5F" w14:textId="7265075C" w:rsidR="001C435D" w:rsidRDefault="0092125A" w:rsidP="001C435D">
      <w:pPr>
        <w:shd w:val="clear" w:color="auto" w:fill="FFFFFF"/>
        <w:spacing w:after="0" w:line="360" w:lineRule="auto"/>
        <w:ind w:firstLine="720"/>
        <w:jc w:val="both"/>
        <w:rPr>
          <w:rFonts w:ascii="Times New Roman" w:eastAsia="Times New Roman" w:hAnsi="Times New Roman" w:cs="Times New Roman"/>
          <w:color w:val="080808"/>
          <w:kern w:val="0"/>
          <w:sz w:val="24"/>
          <w:szCs w:val="24"/>
          <w:lang w:eastAsia="en-IN"/>
          <w14:ligatures w14:val="none"/>
        </w:rPr>
      </w:pPr>
      <w:r w:rsidRPr="0092125A">
        <w:rPr>
          <w:rFonts w:ascii="Times New Roman" w:hAnsi="Times New Roman" w:cs="Times New Roman"/>
          <w:sz w:val="24"/>
          <w:szCs w:val="24"/>
        </w:rPr>
        <w:t xml:space="preserve">Risk factors from both parents may be inherited in the majority of type 1 diabetes cases. It first embodies in early childhood or adolescence. Adults can develop it. There is still no </w:t>
      </w:r>
      <w:r w:rsidRPr="0092125A">
        <w:rPr>
          <w:rFonts w:ascii="Times New Roman" w:hAnsi="Times New Roman" w:cs="Times New Roman"/>
          <w:sz w:val="24"/>
          <w:szCs w:val="24"/>
        </w:rPr>
        <w:lastRenderedPageBreak/>
        <w:t>diagnosis for [T1DM]</w:t>
      </w:r>
      <w:r>
        <w:rPr>
          <w:rFonts w:ascii="Times New Roman" w:hAnsi="Times New Roman" w:cs="Times New Roman"/>
          <w:sz w:val="24"/>
          <w:szCs w:val="24"/>
        </w:rPr>
        <w:t xml:space="preserve">, </w:t>
      </w:r>
      <w:r w:rsidR="002C38FB" w:rsidRPr="001839B7">
        <w:rPr>
          <w:rFonts w:ascii="Times New Roman" w:hAnsi="Times New Roman" w:cs="Times New Roman"/>
          <w:sz w:val="24"/>
          <w:szCs w:val="24"/>
        </w:rPr>
        <w:t>only early prediction may help to control the food and lifestyle to maintain a good health. T1DM show symptoms only at later stage of 12-14 years age people. For the diagnosis of T1DM,</w:t>
      </w:r>
      <w:r w:rsidR="001C435D">
        <w:rPr>
          <w:rFonts w:ascii="Times New Roman" w:hAnsi="Times New Roman" w:cs="Times New Roman"/>
          <w:sz w:val="24"/>
          <w:szCs w:val="24"/>
        </w:rPr>
        <w:t xml:space="preserve"> </w:t>
      </w:r>
      <w:r w:rsidR="002C38FB" w:rsidRPr="001839B7">
        <w:rPr>
          <w:rFonts w:ascii="Times New Roman" w:hAnsi="Times New Roman" w:cs="Times New Roman"/>
          <w:sz w:val="24"/>
          <w:szCs w:val="24"/>
        </w:rPr>
        <w:t>serum biomarkers which includes the combination of glucose, glycated molecules, c-peptide and autoantibodies. In this case study we diagnosed T1DM using GADA</w:t>
      </w:r>
      <w:r w:rsidR="001C435D">
        <w:rPr>
          <w:rFonts w:ascii="Times New Roman" w:hAnsi="Times New Roman" w:cs="Times New Roman"/>
          <w:sz w:val="24"/>
          <w:szCs w:val="24"/>
        </w:rPr>
        <w:t xml:space="preserve"> </w:t>
      </w:r>
      <w:r w:rsidR="002C38FB" w:rsidRPr="001839B7">
        <w:rPr>
          <w:rFonts w:ascii="Times New Roman" w:hAnsi="Times New Roman" w:cs="Times New Roman"/>
          <w:sz w:val="24"/>
          <w:szCs w:val="24"/>
        </w:rPr>
        <w:t>[Glutamic and decarboxylase AAb],</w:t>
      </w:r>
      <w:r w:rsidR="001C435D">
        <w:rPr>
          <w:rFonts w:ascii="Times New Roman" w:hAnsi="Times New Roman" w:cs="Times New Roman"/>
          <w:sz w:val="24"/>
          <w:szCs w:val="24"/>
        </w:rPr>
        <w:t xml:space="preserve"> </w:t>
      </w:r>
      <w:r w:rsidR="002C38FB" w:rsidRPr="001839B7">
        <w:rPr>
          <w:rFonts w:ascii="Times New Roman" w:hAnsi="Times New Roman" w:cs="Times New Roman"/>
          <w:sz w:val="24"/>
          <w:szCs w:val="24"/>
        </w:rPr>
        <w:t>ICA</w:t>
      </w:r>
      <w:r w:rsidR="001C435D">
        <w:rPr>
          <w:rFonts w:ascii="Times New Roman" w:hAnsi="Times New Roman" w:cs="Times New Roman"/>
          <w:sz w:val="24"/>
          <w:szCs w:val="24"/>
        </w:rPr>
        <w:t xml:space="preserve"> </w:t>
      </w:r>
      <w:r w:rsidR="002C38FB" w:rsidRPr="001839B7">
        <w:rPr>
          <w:rFonts w:ascii="Times New Roman" w:hAnsi="Times New Roman" w:cs="Times New Roman"/>
          <w:sz w:val="24"/>
          <w:szCs w:val="24"/>
        </w:rPr>
        <w:t>[Islet cell cytoplasmic AAb] and IAA</w:t>
      </w:r>
      <w:r w:rsidR="001C435D">
        <w:rPr>
          <w:rFonts w:ascii="Times New Roman" w:hAnsi="Times New Roman" w:cs="Times New Roman"/>
          <w:sz w:val="24"/>
          <w:szCs w:val="24"/>
        </w:rPr>
        <w:t xml:space="preserve"> </w:t>
      </w:r>
      <w:r w:rsidR="002C38FB" w:rsidRPr="001839B7">
        <w:rPr>
          <w:rFonts w:ascii="Times New Roman" w:hAnsi="Times New Roman" w:cs="Times New Roman"/>
          <w:sz w:val="24"/>
          <w:szCs w:val="24"/>
        </w:rPr>
        <w:t>[Insulin Autoantibody].</w:t>
      </w:r>
    </w:p>
    <w:p w14:paraId="5088D377" w14:textId="2DA25B9A" w:rsidR="002C38FB" w:rsidRPr="001C435D" w:rsidRDefault="003B4895" w:rsidP="001C435D">
      <w:pPr>
        <w:shd w:val="clear" w:color="auto" w:fill="FFFFFF"/>
        <w:spacing w:after="0" w:line="360" w:lineRule="auto"/>
        <w:ind w:firstLine="720"/>
        <w:jc w:val="both"/>
        <w:rPr>
          <w:rFonts w:ascii="Times New Roman" w:eastAsia="Times New Roman" w:hAnsi="Times New Roman" w:cs="Times New Roman"/>
          <w:color w:val="080808"/>
          <w:kern w:val="0"/>
          <w:sz w:val="24"/>
          <w:szCs w:val="24"/>
          <w:lang w:eastAsia="en-IN"/>
          <w14:ligatures w14:val="none"/>
        </w:rPr>
      </w:pPr>
      <w:r w:rsidRPr="001839B7">
        <w:rPr>
          <w:rFonts w:ascii="Times New Roman" w:hAnsi="Times New Roman" w:cs="Times New Roman"/>
          <w:sz w:val="24"/>
          <w:szCs w:val="24"/>
        </w:rPr>
        <w:t>In any case</w:t>
      </w:r>
      <w:r w:rsidR="002C38FB" w:rsidRPr="001839B7">
        <w:rPr>
          <w:rFonts w:ascii="Times New Roman" w:hAnsi="Times New Roman" w:cs="Times New Roman"/>
          <w:sz w:val="24"/>
          <w:szCs w:val="24"/>
        </w:rPr>
        <w:t xml:space="preserve"> one of these 3 biomarkers present in more than 95 percent of T1DM patients upon Hyper glycemia detection.</w:t>
      </w:r>
      <w:r w:rsidR="001C435D">
        <w:rPr>
          <w:rFonts w:ascii="Times New Roman" w:hAnsi="Times New Roman" w:cs="Times New Roman"/>
          <w:sz w:val="24"/>
          <w:szCs w:val="24"/>
        </w:rPr>
        <w:t xml:space="preserve"> </w:t>
      </w:r>
      <w:r w:rsidR="002C38FB" w:rsidRPr="001839B7">
        <w:rPr>
          <w:rFonts w:ascii="Times New Roman" w:hAnsi="Times New Roman" w:cs="Times New Roman"/>
          <w:sz w:val="24"/>
          <w:szCs w:val="24"/>
        </w:rPr>
        <w:t>GADA helps in the test for AAb against B-cell protein [antigen]. It is not specific to beta cells. Diabetic patients with the presence of GADA indicates the presence of autoimmune destruction.</w:t>
      </w:r>
      <w:r w:rsidR="004B481D">
        <w:rPr>
          <w:rFonts w:ascii="Times New Roman" w:hAnsi="Times New Roman" w:cs="Times New Roman"/>
          <w:sz w:val="24"/>
          <w:szCs w:val="24"/>
        </w:rPr>
        <w:t xml:space="preserve"> </w:t>
      </w:r>
      <w:r w:rsidR="002C38FB" w:rsidRPr="001839B7">
        <w:rPr>
          <w:rFonts w:ascii="Times New Roman" w:hAnsi="Times New Roman" w:cs="Times New Roman"/>
          <w:sz w:val="24"/>
          <w:szCs w:val="24"/>
        </w:rPr>
        <w:t xml:space="preserve">Approximately 70-80 percent of persons with new -onset type 1 diabetes have the presence of </w:t>
      </w:r>
      <w:r w:rsidR="00180CD8" w:rsidRPr="001839B7">
        <w:rPr>
          <w:rFonts w:ascii="Times New Roman" w:hAnsi="Times New Roman" w:cs="Times New Roman"/>
          <w:sz w:val="24"/>
          <w:szCs w:val="24"/>
        </w:rPr>
        <w:t>GADA;</w:t>
      </w:r>
      <w:r w:rsidR="002C38FB" w:rsidRPr="001839B7">
        <w:rPr>
          <w:rFonts w:ascii="Times New Roman" w:hAnsi="Times New Roman" w:cs="Times New Roman"/>
          <w:sz w:val="24"/>
          <w:szCs w:val="24"/>
        </w:rPr>
        <w:t xml:space="preserve"> it indicates the increased risk for the </w:t>
      </w:r>
      <w:r w:rsidRPr="001839B7">
        <w:rPr>
          <w:rFonts w:ascii="Times New Roman" w:hAnsi="Times New Roman" w:cs="Times New Roman"/>
          <w:sz w:val="24"/>
          <w:szCs w:val="24"/>
        </w:rPr>
        <w:t>progress</w:t>
      </w:r>
      <w:r w:rsidR="002C38FB" w:rsidRPr="001839B7">
        <w:rPr>
          <w:rFonts w:ascii="Times New Roman" w:hAnsi="Times New Roman" w:cs="Times New Roman"/>
          <w:sz w:val="24"/>
          <w:szCs w:val="24"/>
        </w:rPr>
        <w:t xml:space="preserve"> of T1DM.</w:t>
      </w:r>
      <w:r w:rsidR="00180CD8">
        <w:rPr>
          <w:rFonts w:ascii="Times New Roman" w:hAnsi="Times New Roman" w:cs="Times New Roman"/>
          <w:sz w:val="24"/>
          <w:szCs w:val="24"/>
        </w:rPr>
        <w:t xml:space="preserve"> </w:t>
      </w:r>
      <w:r w:rsidR="002C38FB" w:rsidRPr="001839B7">
        <w:rPr>
          <w:rFonts w:ascii="Times New Roman" w:hAnsi="Times New Roman" w:cs="Times New Roman"/>
          <w:sz w:val="24"/>
          <w:szCs w:val="24"/>
        </w:rPr>
        <w:t>ICA involves in the measurement of a group of islet cell AAb targeted against islet cell protein whereas beta cells are also types of islet cells.</w:t>
      </w:r>
      <w:r w:rsidR="004B481D">
        <w:rPr>
          <w:rFonts w:ascii="Times New Roman" w:hAnsi="Times New Roman" w:cs="Times New Roman"/>
          <w:sz w:val="24"/>
          <w:szCs w:val="24"/>
        </w:rPr>
        <w:t xml:space="preserve"> </w:t>
      </w:r>
      <w:r w:rsidR="002C38FB" w:rsidRPr="001839B7">
        <w:rPr>
          <w:rFonts w:ascii="Times New Roman" w:hAnsi="Times New Roman" w:cs="Times New Roman"/>
          <w:sz w:val="24"/>
          <w:szCs w:val="24"/>
        </w:rPr>
        <w:t>Like GADA,</w:t>
      </w:r>
      <w:r w:rsidR="004B481D">
        <w:rPr>
          <w:rFonts w:ascii="Times New Roman" w:hAnsi="Times New Roman" w:cs="Times New Roman"/>
          <w:sz w:val="24"/>
          <w:szCs w:val="24"/>
        </w:rPr>
        <w:t xml:space="preserve"> </w:t>
      </w:r>
      <w:r w:rsidR="002C38FB" w:rsidRPr="001839B7">
        <w:rPr>
          <w:rFonts w:ascii="Times New Roman" w:hAnsi="Times New Roman" w:cs="Times New Roman"/>
          <w:sz w:val="24"/>
          <w:szCs w:val="24"/>
        </w:rPr>
        <w:t>the presence of ICA indicates the presence of autoimmune destruction,</w:t>
      </w:r>
      <w:r w:rsidR="004B481D">
        <w:rPr>
          <w:rFonts w:ascii="Times New Roman" w:hAnsi="Times New Roman" w:cs="Times New Roman"/>
          <w:sz w:val="24"/>
          <w:szCs w:val="24"/>
        </w:rPr>
        <w:t xml:space="preserve"> </w:t>
      </w:r>
      <w:r w:rsidR="002C38FB" w:rsidRPr="001839B7">
        <w:rPr>
          <w:rFonts w:ascii="Times New Roman" w:hAnsi="Times New Roman" w:cs="Times New Roman"/>
          <w:sz w:val="24"/>
          <w:szCs w:val="24"/>
        </w:rPr>
        <w:t>ICA is present in 70-80 percent of new onset type 1diabetic patients. IAA is targeted to insulin [autoantibody against antigen].</w:t>
      </w:r>
      <w:r w:rsidR="001C435D">
        <w:rPr>
          <w:rFonts w:ascii="Times New Roman" w:hAnsi="Times New Roman" w:cs="Times New Roman"/>
          <w:sz w:val="24"/>
          <w:szCs w:val="24"/>
        </w:rPr>
        <w:t xml:space="preserve"> </w:t>
      </w:r>
      <w:r w:rsidR="002C38FB" w:rsidRPr="001839B7">
        <w:rPr>
          <w:rFonts w:ascii="Times New Roman" w:hAnsi="Times New Roman" w:cs="Times New Roman"/>
          <w:sz w:val="24"/>
          <w:szCs w:val="24"/>
        </w:rPr>
        <w:t>The only antigen thought to be highly specific for beta cell is insulin.</w:t>
      </w:r>
      <w:r w:rsidR="004B481D">
        <w:rPr>
          <w:rFonts w:ascii="Times New Roman" w:hAnsi="Times New Roman" w:cs="Times New Roman"/>
          <w:sz w:val="24"/>
          <w:szCs w:val="24"/>
        </w:rPr>
        <w:t xml:space="preserve"> </w:t>
      </w:r>
      <w:r w:rsidR="002C38FB" w:rsidRPr="001839B7">
        <w:rPr>
          <w:rFonts w:ascii="Times New Roman" w:hAnsi="Times New Roman" w:cs="Times New Roman"/>
          <w:sz w:val="24"/>
          <w:szCs w:val="24"/>
        </w:rPr>
        <w:t xml:space="preserve">Patients with diabetes with the presence of IAA indicates the increased risk of Type 1 diabetes. It is confirmed </w:t>
      </w:r>
      <w:r w:rsidR="004B481D" w:rsidRPr="004B481D">
        <w:rPr>
          <w:rFonts w:ascii="Times New Roman" w:hAnsi="Times New Roman" w:cs="Times New Roman"/>
          <w:sz w:val="24"/>
          <w:szCs w:val="24"/>
        </w:rPr>
        <w:t xml:space="preserve">strictly when patients weren't taking insulin </w:t>
      </w:r>
      <w:r w:rsidR="002C38FB" w:rsidRPr="001839B7">
        <w:rPr>
          <w:rFonts w:ascii="Times New Roman" w:hAnsi="Times New Roman" w:cs="Times New Roman"/>
          <w:sz w:val="24"/>
          <w:szCs w:val="24"/>
        </w:rPr>
        <w:t>treated for 14 days before IAA testing. This AAb are present in 50 percent of children with new onset of type 1diabetes and uncommon in adults. Autoantibodies that target the endogenous insulin and autoantibody produced against exogenous insulin are not distinguished by IAA test.</w:t>
      </w:r>
    </w:p>
    <w:p w14:paraId="42544AC0" w14:textId="77777777" w:rsidR="00AC132D" w:rsidRPr="001839B7" w:rsidRDefault="00AC132D" w:rsidP="001839B7">
      <w:pPr>
        <w:spacing w:after="0" w:line="360" w:lineRule="auto"/>
        <w:ind w:left="-5"/>
        <w:jc w:val="both"/>
        <w:rPr>
          <w:rFonts w:ascii="Times New Roman" w:hAnsi="Times New Roman" w:cs="Times New Roman"/>
          <w:b/>
          <w:bCs/>
          <w:sz w:val="24"/>
          <w:szCs w:val="24"/>
        </w:rPr>
      </w:pPr>
      <w:r w:rsidRPr="001839B7">
        <w:rPr>
          <w:rFonts w:ascii="Times New Roman" w:hAnsi="Times New Roman" w:cs="Times New Roman"/>
          <w:b/>
          <w:bCs/>
          <w:sz w:val="24"/>
          <w:szCs w:val="24"/>
        </w:rPr>
        <w:t>TYPE -2 DIABETES MELLITUS</w:t>
      </w:r>
    </w:p>
    <w:p w14:paraId="36C48137" w14:textId="76CD14C0" w:rsidR="00AC132D" w:rsidRPr="001839B7" w:rsidRDefault="00AC132D" w:rsidP="001C435D">
      <w:pPr>
        <w:spacing w:after="0" w:line="360" w:lineRule="auto"/>
        <w:ind w:left="-5" w:firstLine="725"/>
        <w:jc w:val="both"/>
        <w:rPr>
          <w:rFonts w:ascii="Times New Roman" w:hAnsi="Times New Roman" w:cs="Times New Roman"/>
          <w:sz w:val="24"/>
          <w:szCs w:val="24"/>
        </w:rPr>
      </w:pPr>
      <w:r w:rsidRPr="001839B7">
        <w:rPr>
          <w:rFonts w:ascii="Times New Roman" w:hAnsi="Times New Roman" w:cs="Times New Roman"/>
          <w:sz w:val="24"/>
          <w:szCs w:val="24"/>
        </w:rPr>
        <w:t>Type 2 Diabetes Mellitus (T2DM) is a chorionic disease,</w:t>
      </w:r>
      <w:r w:rsidR="001C435D">
        <w:rPr>
          <w:rFonts w:ascii="Times New Roman" w:hAnsi="Times New Roman" w:cs="Times New Roman"/>
          <w:sz w:val="24"/>
          <w:szCs w:val="24"/>
        </w:rPr>
        <w:t xml:space="preserve"> </w:t>
      </w:r>
      <w:r w:rsidRPr="001839B7">
        <w:rPr>
          <w:rFonts w:ascii="Times New Roman" w:hAnsi="Times New Roman" w:cs="Times New Roman"/>
          <w:sz w:val="24"/>
          <w:szCs w:val="24"/>
        </w:rPr>
        <w:t>contemplated to be foremost global health issue. Within the past 35 years, it is fourfold from 108 million to 422 million in 2014 and the expected level in 2030 is 552 million</w:t>
      </w:r>
      <w:r w:rsidR="001C435D">
        <w:rPr>
          <w:rFonts w:ascii="Times New Roman" w:hAnsi="Times New Roman" w:cs="Times New Roman"/>
          <w:sz w:val="24"/>
          <w:szCs w:val="24"/>
        </w:rPr>
        <w:t xml:space="preserve"> </w:t>
      </w:r>
      <w:r w:rsidR="000525B7" w:rsidRPr="001839B7">
        <w:rPr>
          <w:rFonts w:ascii="Times New Roman" w:hAnsi="Times New Roman" w:cs="Times New Roman"/>
          <w:sz w:val="24"/>
          <w:szCs w:val="24"/>
        </w:rPr>
        <w:t>[</w:t>
      </w:r>
      <w:r w:rsidR="00762091" w:rsidRPr="001839B7">
        <w:rPr>
          <w:rFonts w:ascii="Times New Roman" w:hAnsi="Times New Roman" w:cs="Times New Roman"/>
          <w:sz w:val="24"/>
          <w:szCs w:val="24"/>
        </w:rPr>
        <w:t>William</w:t>
      </w:r>
      <w:r w:rsidR="000E7657" w:rsidRPr="001839B7">
        <w:rPr>
          <w:rFonts w:ascii="Times New Roman" w:hAnsi="Times New Roman" w:cs="Times New Roman"/>
          <w:sz w:val="24"/>
          <w:szCs w:val="24"/>
        </w:rPr>
        <w:t>,</w:t>
      </w:r>
      <w:r w:rsidR="007D0DFB">
        <w:rPr>
          <w:rFonts w:ascii="Times New Roman" w:hAnsi="Times New Roman" w:cs="Times New Roman"/>
          <w:sz w:val="24"/>
          <w:szCs w:val="24"/>
        </w:rPr>
        <w:t xml:space="preserve"> </w:t>
      </w:r>
      <w:r w:rsidR="000E7657" w:rsidRPr="001839B7">
        <w:rPr>
          <w:rFonts w:ascii="Times New Roman" w:hAnsi="Times New Roman" w:cs="Times New Roman"/>
          <w:sz w:val="24"/>
          <w:szCs w:val="24"/>
        </w:rPr>
        <w:t>200</w:t>
      </w:r>
      <w:r w:rsidR="007D0DFB">
        <w:rPr>
          <w:rFonts w:ascii="Times New Roman" w:hAnsi="Times New Roman" w:cs="Times New Roman"/>
          <w:sz w:val="24"/>
          <w:szCs w:val="24"/>
        </w:rPr>
        <w:t>8</w:t>
      </w:r>
      <w:r w:rsidR="007466BF" w:rsidRPr="001839B7">
        <w:rPr>
          <w:rFonts w:ascii="Times New Roman" w:hAnsi="Times New Roman" w:cs="Times New Roman"/>
          <w:sz w:val="24"/>
          <w:szCs w:val="24"/>
        </w:rPr>
        <w:t>].</w:t>
      </w:r>
      <w:r w:rsidR="001C435D">
        <w:rPr>
          <w:rFonts w:ascii="Times New Roman" w:hAnsi="Times New Roman" w:cs="Times New Roman"/>
          <w:sz w:val="24"/>
          <w:szCs w:val="24"/>
        </w:rPr>
        <w:t xml:space="preserve"> </w:t>
      </w:r>
      <w:r w:rsidRPr="001839B7">
        <w:rPr>
          <w:rFonts w:ascii="Times New Roman" w:hAnsi="Times New Roman" w:cs="Times New Roman"/>
          <w:sz w:val="24"/>
          <w:szCs w:val="24"/>
        </w:rPr>
        <w:t xml:space="preserve">T2DM is distinguished by dysregulation of carbohydrate, lipid and protein metabolism, which leads to impaired insulin secretion and insulin resistance, sometimes both of these. Among the three major types of Diabetes, T2DM is </w:t>
      </w:r>
      <w:r w:rsidR="003831D4" w:rsidRPr="001839B7">
        <w:rPr>
          <w:rFonts w:ascii="Times New Roman" w:hAnsi="Times New Roman" w:cs="Times New Roman"/>
          <w:sz w:val="24"/>
          <w:szCs w:val="24"/>
        </w:rPr>
        <w:t>further</w:t>
      </w:r>
      <w:r w:rsidRPr="001839B7">
        <w:rPr>
          <w:rFonts w:ascii="Times New Roman" w:hAnsi="Times New Roman" w:cs="Times New Roman"/>
          <w:sz w:val="24"/>
          <w:szCs w:val="24"/>
        </w:rPr>
        <w:t xml:space="preserve"> </w:t>
      </w:r>
      <w:r w:rsidR="003831D4" w:rsidRPr="001839B7">
        <w:rPr>
          <w:rFonts w:ascii="Times New Roman" w:hAnsi="Times New Roman" w:cs="Times New Roman"/>
          <w:sz w:val="24"/>
          <w:szCs w:val="24"/>
        </w:rPr>
        <w:t>communal</w:t>
      </w:r>
      <w:r w:rsidRPr="001839B7">
        <w:rPr>
          <w:rFonts w:ascii="Times New Roman" w:hAnsi="Times New Roman" w:cs="Times New Roman"/>
          <w:sz w:val="24"/>
          <w:szCs w:val="24"/>
        </w:rPr>
        <w:t xml:space="preserve"> than Type 1DM or Gestational diabetes.</w:t>
      </w:r>
    </w:p>
    <w:p w14:paraId="2B9DF02D" w14:textId="06093D43" w:rsidR="00AC132D" w:rsidRPr="001839B7" w:rsidRDefault="00AC132D" w:rsidP="001C435D">
      <w:pPr>
        <w:spacing w:after="0" w:line="360" w:lineRule="auto"/>
        <w:ind w:left="-5" w:firstLine="725"/>
        <w:jc w:val="both"/>
        <w:rPr>
          <w:rFonts w:ascii="Times New Roman" w:hAnsi="Times New Roman" w:cs="Times New Roman"/>
          <w:sz w:val="24"/>
          <w:szCs w:val="24"/>
        </w:rPr>
      </w:pPr>
      <w:r w:rsidRPr="001839B7">
        <w:rPr>
          <w:rFonts w:ascii="Times New Roman" w:hAnsi="Times New Roman" w:cs="Times New Roman"/>
          <w:sz w:val="24"/>
          <w:szCs w:val="24"/>
        </w:rPr>
        <w:t xml:space="preserve">T2DM is a complex </w:t>
      </w:r>
      <w:r w:rsidR="00A75E51">
        <w:rPr>
          <w:rFonts w:ascii="Times New Roman" w:hAnsi="Times New Roman" w:cs="Times New Roman"/>
          <w:sz w:val="24"/>
          <w:szCs w:val="24"/>
        </w:rPr>
        <w:t>illness caused by hereditary</w:t>
      </w:r>
      <w:r w:rsidRPr="001839B7">
        <w:rPr>
          <w:rFonts w:ascii="Times New Roman" w:hAnsi="Times New Roman" w:cs="Times New Roman"/>
          <w:sz w:val="24"/>
          <w:szCs w:val="24"/>
        </w:rPr>
        <w:t xml:space="preserve"> and environmental factors and the changes are specified by B -cell dysfunction, insulin resistance and chorionic inflammation. Type 2 Diabetes Mellitus does not </w:t>
      </w:r>
      <w:r w:rsidR="006E24BC" w:rsidRPr="001839B7">
        <w:rPr>
          <w:rFonts w:ascii="Times New Roman" w:hAnsi="Times New Roman" w:cs="Times New Roman"/>
          <w:sz w:val="24"/>
          <w:szCs w:val="24"/>
        </w:rPr>
        <w:t>ensue</w:t>
      </w:r>
      <w:r w:rsidRPr="001839B7">
        <w:rPr>
          <w:rFonts w:ascii="Times New Roman" w:hAnsi="Times New Roman" w:cs="Times New Roman"/>
          <w:sz w:val="24"/>
          <w:szCs w:val="24"/>
        </w:rPr>
        <w:t xml:space="preserve"> unless the B -cells are unable to produce sufficient amounts of insulin to even out the insulin resistance. Factors that contribute to B -cell failure are genetic abnormalities, ageing, incretin hormone resistance or deficiency [ gastric inhibitory peptide (GIP) and glucagon like peptide 1(GLPP)], glucotoxicity, lipotoxicity. Insulin </w:t>
      </w:r>
      <w:r w:rsidRPr="001839B7">
        <w:rPr>
          <w:rFonts w:ascii="Times New Roman" w:hAnsi="Times New Roman" w:cs="Times New Roman"/>
          <w:sz w:val="24"/>
          <w:szCs w:val="24"/>
        </w:rPr>
        <w:lastRenderedPageBreak/>
        <w:t>resistance results to B -cell stress, reactive oxygen stress, hypersecretion of islet amyloid polypeptide IAPP and activate the inflammatory pathways such as CRP, PAI 1, IL-6, IL-18.</w:t>
      </w:r>
      <w:r w:rsidR="00866C23" w:rsidRPr="001839B7">
        <w:rPr>
          <w:rFonts w:ascii="Times New Roman" w:hAnsi="Times New Roman" w:cs="Times New Roman"/>
          <w:sz w:val="24"/>
          <w:szCs w:val="24"/>
        </w:rPr>
        <w:t xml:space="preserve"> DeFronzo</w:t>
      </w:r>
      <w:r w:rsidR="00FB793C">
        <w:rPr>
          <w:rFonts w:ascii="Times New Roman" w:hAnsi="Times New Roman" w:cs="Times New Roman"/>
          <w:sz w:val="24"/>
          <w:szCs w:val="24"/>
        </w:rPr>
        <w:t xml:space="preserve"> and</w:t>
      </w:r>
      <w:r w:rsidR="00866C23" w:rsidRPr="001839B7">
        <w:rPr>
          <w:rFonts w:ascii="Times New Roman" w:hAnsi="Times New Roman" w:cs="Times New Roman"/>
          <w:sz w:val="24"/>
          <w:szCs w:val="24"/>
        </w:rPr>
        <w:t xml:space="preserve"> Banting lecture (2009). </w:t>
      </w:r>
    </w:p>
    <w:p w14:paraId="610958C5" w14:textId="77777777" w:rsidR="00AC132D" w:rsidRPr="001839B7" w:rsidRDefault="00AC132D" w:rsidP="001839B7">
      <w:pPr>
        <w:spacing w:after="0" w:line="360" w:lineRule="auto"/>
        <w:ind w:left="-5"/>
        <w:jc w:val="both"/>
        <w:rPr>
          <w:rFonts w:ascii="Times New Roman" w:hAnsi="Times New Roman" w:cs="Times New Roman"/>
          <w:b/>
          <w:bCs/>
          <w:sz w:val="24"/>
          <w:szCs w:val="24"/>
        </w:rPr>
      </w:pPr>
      <w:r w:rsidRPr="001839B7">
        <w:rPr>
          <w:rFonts w:ascii="Times New Roman" w:hAnsi="Times New Roman" w:cs="Times New Roman"/>
          <w:b/>
          <w:bCs/>
          <w:sz w:val="24"/>
          <w:szCs w:val="24"/>
        </w:rPr>
        <w:t>CRP</w:t>
      </w:r>
    </w:p>
    <w:p w14:paraId="06FC4800" w14:textId="4D06C72F" w:rsidR="00AC132D" w:rsidRPr="001839B7" w:rsidRDefault="00AC132D" w:rsidP="008A3424">
      <w:pPr>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            The </w:t>
      </w:r>
      <w:r w:rsidR="006E24BC" w:rsidRPr="001839B7">
        <w:rPr>
          <w:rFonts w:ascii="Times New Roman" w:hAnsi="Times New Roman" w:cs="Times New Roman"/>
          <w:sz w:val="24"/>
          <w:szCs w:val="24"/>
        </w:rPr>
        <w:t>occurrence</w:t>
      </w:r>
      <w:r w:rsidRPr="001839B7">
        <w:rPr>
          <w:rFonts w:ascii="Times New Roman" w:hAnsi="Times New Roman" w:cs="Times New Roman"/>
          <w:sz w:val="24"/>
          <w:szCs w:val="24"/>
        </w:rPr>
        <w:t xml:space="preserve"> of congestive heart failure, cardiomyopathy and CHD is more in patients of type 2 diabetes mellitus</w:t>
      </w:r>
      <w:r w:rsidR="0074603F" w:rsidRPr="001839B7">
        <w:rPr>
          <w:rFonts w:ascii="Times New Roman" w:hAnsi="Times New Roman" w:cs="Times New Roman"/>
          <w:sz w:val="24"/>
          <w:szCs w:val="24"/>
        </w:rPr>
        <w:t>.</w:t>
      </w:r>
      <w:r w:rsidR="00984AED">
        <w:rPr>
          <w:rFonts w:ascii="Times New Roman" w:hAnsi="Times New Roman" w:cs="Times New Roman"/>
          <w:sz w:val="24"/>
          <w:szCs w:val="24"/>
        </w:rPr>
        <w:t xml:space="preserve"> </w:t>
      </w:r>
      <w:r w:rsidRPr="001839B7">
        <w:rPr>
          <w:rFonts w:ascii="Times New Roman" w:hAnsi="Times New Roman" w:cs="Times New Roman"/>
          <w:sz w:val="24"/>
          <w:szCs w:val="24"/>
        </w:rPr>
        <w:t xml:space="preserve">The mortality rate of CHD in patients of type 2 diabetes mellitus is two times more in males and four times more in females according to Framingham heart study. As diabetics are more at risk for CHD so there is a need to search out for new biomarkers which would help to </w:t>
      </w:r>
      <w:r w:rsidR="00EB62C3" w:rsidRPr="001839B7">
        <w:rPr>
          <w:rFonts w:ascii="Times New Roman" w:hAnsi="Times New Roman" w:cs="Times New Roman"/>
          <w:sz w:val="24"/>
          <w:szCs w:val="24"/>
        </w:rPr>
        <w:t>evaluate</w:t>
      </w:r>
      <w:r w:rsidRPr="001839B7">
        <w:rPr>
          <w:rFonts w:ascii="Times New Roman" w:hAnsi="Times New Roman" w:cs="Times New Roman"/>
          <w:sz w:val="24"/>
          <w:szCs w:val="24"/>
        </w:rPr>
        <w:t xml:space="preserve"> the risk for development of CHD in these patients. Elevated level of CRP is a better and strong indicator of CHD in type 2 DM than any other risk markers due to its basic role in atherosclerosis</w:t>
      </w:r>
      <w:r w:rsidR="001C435D">
        <w:rPr>
          <w:rFonts w:ascii="Times New Roman" w:hAnsi="Times New Roman" w:cs="Times New Roman"/>
          <w:sz w:val="24"/>
          <w:szCs w:val="24"/>
        </w:rPr>
        <w:t xml:space="preserve"> </w:t>
      </w:r>
      <w:r w:rsidR="00DD22F2" w:rsidRPr="001839B7">
        <w:rPr>
          <w:rFonts w:ascii="Times New Roman" w:hAnsi="Times New Roman" w:cs="Times New Roman"/>
          <w:sz w:val="24"/>
          <w:szCs w:val="24"/>
        </w:rPr>
        <w:t>[</w:t>
      </w:r>
      <w:r w:rsidR="0073507B" w:rsidRPr="001839B7">
        <w:rPr>
          <w:rFonts w:ascii="Times New Roman" w:hAnsi="Times New Roman" w:cs="Times New Roman"/>
          <w:sz w:val="24"/>
          <w:szCs w:val="24"/>
        </w:rPr>
        <w:t>Lyer</w:t>
      </w:r>
      <w:r w:rsidR="002950D2">
        <w:rPr>
          <w:rFonts w:ascii="Times New Roman" w:hAnsi="Times New Roman" w:cs="Times New Roman"/>
          <w:sz w:val="24"/>
          <w:szCs w:val="24"/>
        </w:rPr>
        <w:t xml:space="preserve"> and </w:t>
      </w:r>
      <w:r w:rsidR="0073507B" w:rsidRPr="001839B7">
        <w:rPr>
          <w:rFonts w:ascii="Times New Roman" w:hAnsi="Times New Roman" w:cs="Times New Roman"/>
          <w:sz w:val="24"/>
          <w:szCs w:val="24"/>
        </w:rPr>
        <w:t>Desai P</w:t>
      </w:r>
      <w:r w:rsidR="00E143FB" w:rsidRPr="001839B7">
        <w:rPr>
          <w:rFonts w:ascii="Times New Roman" w:hAnsi="Times New Roman" w:cs="Times New Roman"/>
          <w:sz w:val="24"/>
          <w:szCs w:val="24"/>
        </w:rPr>
        <w:t>,</w:t>
      </w:r>
      <w:r w:rsidR="00EB62C3">
        <w:rPr>
          <w:rFonts w:ascii="Times New Roman" w:hAnsi="Times New Roman" w:cs="Times New Roman"/>
          <w:sz w:val="24"/>
          <w:szCs w:val="24"/>
        </w:rPr>
        <w:t xml:space="preserve"> </w:t>
      </w:r>
      <w:r w:rsidR="00E143FB" w:rsidRPr="001839B7">
        <w:rPr>
          <w:rFonts w:ascii="Times New Roman" w:hAnsi="Times New Roman" w:cs="Times New Roman"/>
          <w:sz w:val="24"/>
          <w:szCs w:val="24"/>
        </w:rPr>
        <w:t>201</w:t>
      </w:r>
      <w:r w:rsidR="002950D2">
        <w:rPr>
          <w:rFonts w:ascii="Times New Roman" w:hAnsi="Times New Roman" w:cs="Times New Roman"/>
          <w:sz w:val="24"/>
          <w:szCs w:val="24"/>
        </w:rPr>
        <w:t>0</w:t>
      </w:r>
      <w:r w:rsidR="00AF3F13" w:rsidRPr="001839B7">
        <w:rPr>
          <w:rFonts w:ascii="Times New Roman" w:hAnsi="Times New Roman" w:cs="Times New Roman"/>
          <w:sz w:val="24"/>
          <w:szCs w:val="24"/>
        </w:rPr>
        <w:t>].</w:t>
      </w:r>
      <w:r w:rsidR="00EB62C3">
        <w:rPr>
          <w:rFonts w:ascii="Times New Roman" w:hAnsi="Times New Roman" w:cs="Times New Roman"/>
          <w:sz w:val="24"/>
          <w:szCs w:val="24"/>
        </w:rPr>
        <w:t xml:space="preserve"> </w:t>
      </w:r>
      <w:r w:rsidRPr="001839B7">
        <w:rPr>
          <w:rFonts w:ascii="Times New Roman" w:hAnsi="Times New Roman" w:cs="Times New Roman"/>
          <w:sz w:val="24"/>
          <w:szCs w:val="24"/>
        </w:rPr>
        <w:t>It enhances the release of tissue factor from macrophages, leads to activate the complement system and causes the aggregation of LDL-C and VLDL-C by binding with them18-20. Due to involvement of inflammatory mechanisms in diabetogenesis and atherosclerosis, CRP levels tend to be increased in patients of type 2 diabetes mellitus with CHD21,22. Our results show high levels of hs-CRP in patients having type 2 diabetes mellitus with CHD as compared to patients having type 2 diabetes mellitus without CHD</w:t>
      </w:r>
      <w:r w:rsidR="001C435D">
        <w:rPr>
          <w:rFonts w:ascii="Times New Roman" w:hAnsi="Times New Roman" w:cs="Times New Roman"/>
          <w:sz w:val="24"/>
          <w:szCs w:val="24"/>
        </w:rPr>
        <w:t xml:space="preserve"> </w:t>
      </w:r>
      <w:r w:rsidR="002A225E" w:rsidRPr="001839B7">
        <w:rPr>
          <w:rFonts w:ascii="Times New Roman" w:hAnsi="Times New Roman" w:cs="Times New Roman"/>
          <w:sz w:val="24"/>
          <w:szCs w:val="24"/>
        </w:rPr>
        <w:t>[</w:t>
      </w:r>
      <w:r w:rsidR="00E44718" w:rsidRPr="001839B7">
        <w:rPr>
          <w:rFonts w:ascii="Times New Roman" w:hAnsi="Times New Roman" w:cs="Times New Roman"/>
          <w:sz w:val="24"/>
          <w:szCs w:val="24"/>
        </w:rPr>
        <w:t>Lyer</w:t>
      </w:r>
      <w:r w:rsidR="00FF514E">
        <w:rPr>
          <w:rFonts w:ascii="Times New Roman" w:hAnsi="Times New Roman" w:cs="Times New Roman"/>
          <w:sz w:val="24"/>
          <w:szCs w:val="24"/>
        </w:rPr>
        <w:t xml:space="preserve"> and</w:t>
      </w:r>
      <w:r w:rsidR="00D14E4E">
        <w:rPr>
          <w:rFonts w:ascii="Times New Roman" w:hAnsi="Times New Roman" w:cs="Times New Roman"/>
          <w:sz w:val="24"/>
          <w:szCs w:val="24"/>
        </w:rPr>
        <w:t xml:space="preserve"> </w:t>
      </w:r>
      <w:r w:rsidR="00E44718" w:rsidRPr="001839B7">
        <w:rPr>
          <w:rFonts w:ascii="Times New Roman" w:hAnsi="Times New Roman" w:cs="Times New Roman"/>
          <w:sz w:val="24"/>
          <w:szCs w:val="24"/>
        </w:rPr>
        <w:t>Desai</w:t>
      </w:r>
      <w:r w:rsidR="00375260" w:rsidRPr="001839B7">
        <w:rPr>
          <w:rFonts w:ascii="Times New Roman" w:hAnsi="Times New Roman" w:cs="Times New Roman"/>
          <w:sz w:val="24"/>
          <w:szCs w:val="24"/>
        </w:rPr>
        <w:t xml:space="preserve"> </w:t>
      </w:r>
      <w:r w:rsidR="00F25D1D" w:rsidRPr="001839B7">
        <w:rPr>
          <w:rFonts w:ascii="Times New Roman" w:hAnsi="Times New Roman" w:cs="Times New Roman"/>
          <w:sz w:val="24"/>
          <w:szCs w:val="24"/>
        </w:rPr>
        <w:t>Res</w:t>
      </w:r>
      <w:r w:rsidR="00ED128B">
        <w:rPr>
          <w:rFonts w:ascii="Times New Roman" w:hAnsi="Times New Roman" w:cs="Times New Roman"/>
          <w:sz w:val="24"/>
          <w:szCs w:val="24"/>
        </w:rPr>
        <w:t xml:space="preserve">, </w:t>
      </w:r>
      <w:r w:rsidR="00F25D1D" w:rsidRPr="001839B7">
        <w:rPr>
          <w:rFonts w:ascii="Times New Roman" w:hAnsi="Times New Roman" w:cs="Times New Roman"/>
          <w:sz w:val="24"/>
          <w:szCs w:val="24"/>
        </w:rPr>
        <w:t>2010</w:t>
      </w:r>
      <w:r w:rsidR="0085011E" w:rsidRPr="001839B7">
        <w:rPr>
          <w:rFonts w:ascii="Times New Roman" w:hAnsi="Times New Roman" w:cs="Times New Roman"/>
          <w:sz w:val="24"/>
          <w:szCs w:val="24"/>
        </w:rPr>
        <w:t>]</w:t>
      </w:r>
      <w:r w:rsidR="00E96AF6" w:rsidRPr="001839B7">
        <w:rPr>
          <w:rFonts w:ascii="Times New Roman" w:hAnsi="Times New Roman" w:cs="Times New Roman"/>
          <w:sz w:val="24"/>
          <w:szCs w:val="24"/>
        </w:rPr>
        <w:t>.</w:t>
      </w:r>
      <w:r w:rsidR="001C435D">
        <w:rPr>
          <w:rFonts w:ascii="Times New Roman" w:hAnsi="Times New Roman" w:cs="Times New Roman"/>
          <w:sz w:val="24"/>
          <w:szCs w:val="24"/>
        </w:rPr>
        <w:t xml:space="preserve"> T</w:t>
      </w:r>
      <w:r w:rsidRPr="001839B7">
        <w:rPr>
          <w:rFonts w:ascii="Times New Roman" w:hAnsi="Times New Roman" w:cs="Times New Roman"/>
          <w:sz w:val="24"/>
          <w:szCs w:val="24"/>
        </w:rPr>
        <w:t xml:space="preserve">hese results are in tune with the reports presented by Mohan </w:t>
      </w:r>
      <w:r w:rsidR="00156FF0">
        <w:rPr>
          <w:rFonts w:ascii="Times New Roman" w:hAnsi="Times New Roman" w:cs="Times New Roman"/>
          <w:sz w:val="24"/>
          <w:szCs w:val="24"/>
        </w:rPr>
        <w:t xml:space="preserve">et al., </w:t>
      </w:r>
      <w:r w:rsidR="00D14E4E">
        <w:rPr>
          <w:rFonts w:ascii="Times New Roman" w:hAnsi="Times New Roman" w:cs="Times New Roman"/>
          <w:sz w:val="24"/>
          <w:szCs w:val="24"/>
        </w:rPr>
        <w:t>(</w:t>
      </w:r>
      <w:r w:rsidRPr="001839B7">
        <w:rPr>
          <w:rFonts w:ascii="Times New Roman" w:hAnsi="Times New Roman" w:cs="Times New Roman"/>
          <w:sz w:val="24"/>
          <w:szCs w:val="24"/>
        </w:rPr>
        <w:t>2</w:t>
      </w:r>
      <w:r w:rsidR="00D14E4E">
        <w:rPr>
          <w:rFonts w:ascii="Times New Roman" w:hAnsi="Times New Roman" w:cs="Times New Roman"/>
          <w:sz w:val="24"/>
          <w:szCs w:val="24"/>
        </w:rPr>
        <w:t>005)</w:t>
      </w:r>
      <w:r w:rsidRPr="001839B7">
        <w:rPr>
          <w:rFonts w:ascii="Times New Roman" w:hAnsi="Times New Roman" w:cs="Times New Roman"/>
          <w:sz w:val="24"/>
          <w:szCs w:val="24"/>
        </w:rPr>
        <w:t xml:space="preserve"> and Leipold </w:t>
      </w:r>
      <w:r w:rsidR="00156FF0">
        <w:rPr>
          <w:rFonts w:ascii="Times New Roman" w:hAnsi="Times New Roman" w:cs="Times New Roman"/>
          <w:sz w:val="24"/>
          <w:szCs w:val="24"/>
        </w:rPr>
        <w:t xml:space="preserve">et al., </w:t>
      </w:r>
      <w:r w:rsidR="00D14E4E">
        <w:rPr>
          <w:rFonts w:ascii="Times New Roman" w:hAnsi="Times New Roman" w:cs="Times New Roman"/>
          <w:sz w:val="24"/>
          <w:szCs w:val="24"/>
        </w:rPr>
        <w:t>(</w:t>
      </w:r>
      <w:r w:rsidRPr="001839B7">
        <w:rPr>
          <w:rFonts w:ascii="Times New Roman" w:hAnsi="Times New Roman" w:cs="Times New Roman"/>
          <w:sz w:val="24"/>
          <w:szCs w:val="24"/>
        </w:rPr>
        <w:t>2</w:t>
      </w:r>
      <w:r w:rsidR="00D14E4E">
        <w:rPr>
          <w:rFonts w:ascii="Times New Roman" w:hAnsi="Times New Roman" w:cs="Times New Roman"/>
          <w:sz w:val="24"/>
          <w:szCs w:val="24"/>
        </w:rPr>
        <w:t>00</w:t>
      </w:r>
      <w:r w:rsidRPr="001839B7">
        <w:rPr>
          <w:rFonts w:ascii="Times New Roman" w:hAnsi="Times New Roman" w:cs="Times New Roman"/>
          <w:sz w:val="24"/>
          <w:szCs w:val="24"/>
        </w:rPr>
        <w:t>5</w:t>
      </w:r>
      <w:r w:rsidR="00D14E4E">
        <w:rPr>
          <w:rFonts w:ascii="Times New Roman" w:hAnsi="Times New Roman" w:cs="Times New Roman"/>
          <w:sz w:val="24"/>
          <w:szCs w:val="24"/>
        </w:rPr>
        <w:t>)</w:t>
      </w:r>
      <w:r w:rsidRPr="001839B7">
        <w:rPr>
          <w:rFonts w:ascii="Times New Roman" w:hAnsi="Times New Roman" w:cs="Times New Roman"/>
          <w:sz w:val="24"/>
          <w:szCs w:val="24"/>
        </w:rPr>
        <w:t xml:space="preserve">. A </w:t>
      </w:r>
      <w:r w:rsidR="001C435D" w:rsidRPr="001839B7">
        <w:rPr>
          <w:rFonts w:ascii="Times New Roman" w:hAnsi="Times New Roman" w:cs="Times New Roman"/>
          <w:sz w:val="24"/>
          <w:szCs w:val="24"/>
        </w:rPr>
        <w:t>meta-analysis</w:t>
      </w:r>
      <w:r w:rsidRPr="001839B7">
        <w:rPr>
          <w:rFonts w:ascii="Times New Roman" w:hAnsi="Times New Roman" w:cs="Times New Roman"/>
          <w:sz w:val="24"/>
          <w:szCs w:val="24"/>
        </w:rPr>
        <w:t xml:space="preserve"> of 2000 studies, comprised of about 1953 coronary accidents also showed that a single initial base line CRP value in upper third suggests the risk of 2.0 for future coronary accident as compared to a CRP value in lower third of the distribution, as seen in general population</w:t>
      </w:r>
      <w:r w:rsidR="003D10E8">
        <w:rPr>
          <w:rFonts w:ascii="Times New Roman" w:hAnsi="Times New Roman" w:cs="Times New Roman"/>
          <w:sz w:val="24"/>
          <w:szCs w:val="24"/>
        </w:rPr>
        <w:t xml:space="preserve"> </w:t>
      </w:r>
      <w:r w:rsidR="008448F4" w:rsidRPr="001839B7">
        <w:rPr>
          <w:rFonts w:ascii="Times New Roman" w:hAnsi="Times New Roman" w:cs="Times New Roman"/>
          <w:sz w:val="24"/>
          <w:szCs w:val="24"/>
        </w:rPr>
        <w:t>[</w:t>
      </w:r>
      <w:r w:rsidR="00A72DB4" w:rsidRPr="001839B7">
        <w:rPr>
          <w:rFonts w:ascii="Times New Roman" w:hAnsi="Times New Roman" w:cs="Times New Roman"/>
          <w:sz w:val="24"/>
          <w:szCs w:val="24"/>
        </w:rPr>
        <w:t xml:space="preserve">Rafique </w:t>
      </w:r>
      <w:r w:rsidR="003D10E8">
        <w:rPr>
          <w:rFonts w:ascii="Times New Roman" w:hAnsi="Times New Roman" w:cs="Times New Roman"/>
          <w:sz w:val="24"/>
          <w:szCs w:val="24"/>
        </w:rPr>
        <w:t xml:space="preserve">et </w:t>
      </w:r>
      <w:r w:rsidR="00156FF0">
        <w:rPr>
          <w:rFonts w:ascii="Times New Roman" w:hAnsi="Times New Roman" w:cs="Times New Roman"/>
          <w:sz w:val="24"/>
          <w:szCs w:val="24"/>
        </w:rPr>
        <w:t>al.,</w:t>
      </w:r>
      <w:r w:rsidR="003D10E8">
        <w:rPr>
          <w:rFonts w:ascii="Times New Roman" w:hAnsi="Times New Roman" w:cs="Times New Roman"/>
          <w:sz w:val="24"/>
          <w:szCs w:val="24"/>
        </w:rPr>
        <w:t xml:space="preserve"> </w:t>
      </w:r>
      <w:r w:rsidR="00A72DB4" w:rsidRPr="001839B7">
        <w:rPr>
          <w:rFonts w:ascii="Times New Roman" w:hAnsi="Times New Roman" w:cs="Times New Roman"/>
          <w:sz w:val="24"/>
          <w:szCs w:val="24"/>
        </w:rPr>
        <w:t>2006</w:t>
      </w:r>
      <w:r w:rsidR="00FC1C8C" w:rsidRPr="001839B7">
        <w:rPr>
          <w:rFonts w:ascii="Times New Roman" w:hAnsi="Times New Roman" w:cs="Times New Roman"/>
          <w:sz w:val="24"/>
          <w:szCs w:val="24"/>
        </w:rPr>
        <w:t>]</w:t>
      </w:r>
      <w:r w:rsidR="0039425D" w:rsidRPr="001839B7">
        <w:rPr>
          <w:rFonts w:ascii="Times New Roman" w:hAnsi="Times New Roman" w:cs="Times New Roman"/>
          <w:sz w:val="24"/>
          <w:szCs w:val="24"/>
        </w:rPr>
        <w:t>.</w:t>
      </w:r>
      <w:r w:rsidR="00FC138A">
        <w:rPr>
          <w:rFonts w:ascii="Times New Roman" w:hAnsi="Times New Roman" w:cs="Times New Roman"/>
          <w:sz w:val="24"/>
          <w:szCs w:val="24"/>
        </w:rPr>
        <w:t xml:space="preserve"> </w:t>
      </w:r>
      <w:r w:rsidR="00EB62C3" w:rsidRPr="00EB62C3">
        <w:rPr>
          <w:rFonts w:ascii="Times New Roman" w:hAnsi="Times New Roman" w:cs="Times New Roman"/>
          <w:sz w:val="24"/>
          <w:szCs w:val="24"/>
        </w:rPr>
        <w:t>These findings concurred with those of normal subjects with the diabetic population and found no significant difference in CRP values</w:t>
      </w:r>
      <w:r w:rsidR="00EB62C3">
        <w:rPr>
          <w:rFonts w:ascii="Times New Roman" w:hAnsi="Times New Roman" w:cs="Times New Roman"/>
          <w:sz w:val="24"/>
          <w:szCs w:val="24"/>
        </w:rPr>
        <w:t xml:space="preserve"> </w:t>
      </w:r>
      <w:r w:rsidR="00BC1774" w:rsidRPr="001839B7">
        <w:rPr>
          <w:rFonts w:ascii="Times New Roman" w:hAnsi="Times New Roman" w:cs="Times New Roman"/>
          <w:sz w:val="24"/>
          <w:szCs w:val="24"/>
        </w:rPr>
        <w:t>[</w:t>
      </w:r>
      <w:r w:rsidR="00C35D1A" w:rsidRPr="001839B7">
        <w:rPr>
          <w:rFonts w:ascii="Times New Roman" w:hAnsi="Times New Roman" w:cs="Times New Roman"/>
          <w:sz w:val="24"/>
          <w:szCs w:val="24"/>
        </w:rPr>
        <w:t>East</w:t>
      </w:r>
      <w:r w:rsidR="003D10E8">
        <w:rPr>
          <w:rFonts w:ascii="Times New Roman" w:hAnsi="Times New Roman" w:cs="Times New Roman"/>
          <w:sz w:val="24"/>
          <w:szCs w:val="24"/>
        </w:rPr>
        <w:t xml:space="preserve">, </w:t>
      </w:r>
      <w:r w:rsidR="00C35D1A" w:rsidRPr="001839B7">
        <w:rPr>
          <w:rFonts w:ascii="Times New Roman" w:hAnsi="Times New Roman" w:cs="Times New Roman"/>
          <w:sz w:val="24"/>
          <w:szCs w:val="24"/>
        </w:rPr>
        <w:t>2006</w:t>
      </w:r>
      <w:r w:rsidR="00BC1774" w:rsidRPr="001839B7">
        <w:rPr>
          <w:rFonts w:ascii="Times New Roman" w:hAnsi="Times New Roman" w:cs="Times New Roman"/>
          <w:sz w:val="24"/>
          <w:szCs w:val="24"/>
        </w:rPr>
        <w:t>].</w:t>
      </w:r>
      <w:r w:rsidR="00FC138A">
        <w:rPr>
          <w:rFonts w:ascii="Times New Roman" w:hAnsi="Times New Roman" w:cs="Times New Roman"/>
          <w:sz w:val="24"/>
          <w:szCs w:val="24"/>
        </w:rPr>
        <w:t xml:space="preserve"> </w:t>
      </w:r>
      <w:r w:rsidRPr="001839B7">
        <w:rPr>
          <w:rFonts w:ascii="Times New Roman" w:hAnsi="Times New Roman" w:cs="Times New Roman"/>
          <w:sz w:val="24"/>
          <w:szCs w:val="24"/>
        </w:rPr>
        <w:t xml:space="preserve">The positive association of hs-CRP with FBS and HbAlc can be </w:t>
      </w:r>
      <w:r w:rsidR="0000200A" w:rsidRPr="001839B7">
        <w:rPr>
          <w:rFonts w:ascii="Times New Roman" w:hAnsi="Times New Roman" w:cs="Times New Roman"/>
          <w:sz w:val="24"/>
          <w:szCs w:val="24"/>
        </w:rPr>
        <w:t>explicated</w:t>
      </w:r>
      <w:r w:rsidRPr="001839B7">
        <w:rPr>
          <w:rFonts w:ascii="Times New Roman" w:hAnsi="Times New Roman" w:cs="Times New Roman"/>
          <w:sz w:val="24"/>
          <w:szCs w:val="24"/>
        </w:rPr>
        <w:t xml:space="preserve"> by the </w:t>
      </w:r>
      <w:r w:rsidR="006F61E3" w:rsidRPr="001839B7">
        <w:rPr>
          <w:rFonts w:ascii="Times New Roman" w:hAnsi="Times New Roman" w:cs="Times New Roman"/>
          <w:sz w:val="24"/>
          <w:szCs w:val="24"/>
        </w:rPr>
        <w:t>datum</w:t>
      </w:r>
      <w:r w:rsidRPr="001839B7">
        <w:rPr>
          <w:rFonts w:ascii="Times New Roman" w:hAnsi="Times New Roman" w:cs="Times New Roman"/>
          <w:sz w:val="24"/>
          <w:szCs w:val="24"/>
        </w:rPr>
        <w:t xml:space="preserve"> that inflammation is the main hallmark state of insulin resistance which is observed in obesity and type 2 diabetes mellitus</w:t>
      </w:r>
      <w:r w:rsidR="00FC138A">
        <w:rPr>
          <w:rFonts w:ascii="Times New Roman" w:hAnsi="Times New Roman" w:cs="Times New Roman"/>
          <w:sz w:val="24"/>
          <w:szCs w:val="24"/>
        </w:rPr>
        <w:t xml:space="preserve"> </w:t>
      </w:r>
      <w:r w:rsidR="008A5ED7" w:rsidRPr="001839B7">
        <w:rPr>
          <w:rFonts w:ascii="Times New Roman" w:hAnsi="Times New Roman" w:cs="Times New Roman"/>
          <w:sz w:val="24"/>
          <w:szCs w:val="24"/>
        </w:rPr>
        <w:t>[</w:t>
      </w:r>
      <w:r w:rsidR="00FA056F" w:rsidRPr="001839B7">
        <w:rPr>
          <w:rFonts w:ascii="Times New Roman" w:hAnsi="Times New Roman" w:cs="Times New Roman"/>
          <w:sz w:val="24"/>
          <w:szCs w:val="24"/>
        </w:rPr>
        <w:t>SocNephrol</w:t>
      </w:r>
      <w:r w:rsidR="00E6586B">
        <w:rPr>
          <w:rFonts w:ascii="Times New Roman" w:hAnsi="Times New Roman" w:cs="Times New Roman"/>
          <w:sz w:val="24"/>
          <w:szCs w:val="24"/>
        </w:rPr>
        <w:t>,</w:t>
      </w:r>
      <w:r w:rsidR="00FA056F" w:rsidRPr="001839B7">
        <w:rPr>
          <w:rFonts w:ascii="Times New Roman" w:hAnsi="Times New Roman" w:cs="Times New Roman"/>
          <w:sz w:val="24"/>
          <w:szCs w:val="24"/>
        </w:rPr>
        <w:t xml:space="preserve"> 2006</w:t>
      </w:r>
      <w:r w:rsidR="008A5ED7" w:rsidRPr="001839B7">
        <w:rPr>
          <w:rFonts w:ascii="Times New Roman" w:hAnsi="Times New Roman" w:cs="Times New Roman"/>
          <w:sz w:val="24"/>
          <w:szCs w:val="24"/>
        </w:rPr>
        <w:t>].</w:t>
      </w:r>
      <w:r w:rsidR="00FC138A">
        <w:rPr>
          <w:rFonts w:ascii="Times New Roman" w:hAnsi="Times New Roman" w:cs="Times New Roman"/>
          <w:sz w:val="24"/>
          <w:szCs w:val="24"/>
        </w:rPr>
        <w:t xml:space="preserve"> </w:t>
      </w:r>
      <w:r w:rsidR="006F61E3" w:rsidRPr="006F61E3">
        <w:rPr>
          <w:rFonts w:ascii="Times New Roman" w:hAnsi="Times New Roman" w:cs="Times New Roman"/>
          <w:sz w:val="24"/>
          <w:szCs w:val="24"/>
        </w:rPr>
        <w:t>Inflammation can be caused by two different mechanisms</w:t>
      </w:r>
      <w:r w:rsidRPr="001839B7">
        <w:rPr>
          <w:rFonts w:ascii="Times New Roman" w:hAnsi="Times New Roman" w:cs="Times New Roman"/>
          <w:sz w:val="24"/>
          <w:szCs w:val="24"/>
        </w:rPr>
        <w:t xml:space="preserve">. </w:t>
      </w:r>
      <w:r w:rsidR="008A3424" w:rsidRPr="008A3424">
        <w:rPr>
          <w:rFonts w:ascii="Times New Roman" w:hAnsi="Times New Roman" w:cs="Times New Roman"/>
          <w:sz w:val="24"/>
          <w:szCs w:val="24"/>
        </w:rPr>
        <w:t>First, long-term overeating and intake of glucose cause an oxidative stress and pro-inflammatory state; second, the release of TNF- and IL-6 inhibits the action of insulin by blocking the transduction of insulin signals</w:t>
      </w:r>
      <w:r w:rsidR="008A3424">
        <w:rPr>
          <w:rFonts w:ascii="Times New Roman" w:hAnsi="Times New Roman" w:cs="Times New Roman"/>
          <w:sz w:val="24"/>
          <w:szCs w:val="24"/>
        </w:rPr>
        <w:t xml:space="preserve"> 34, 35</w:t>
      </w:r>
      <w:r w:rsidR="008A3424" w:rsidRPr="008A3424">
        <w:rPr>
          <w:rFonts w:ascii="Times New Roman" w:hAnsi="Times New Roman" w:cs="Times New Roman"/>
          <w:sz w:val="24"/>
          <w:szCs w:val="24"/>
        </w:rPr>
        <w:t>.</w:t>
      </w:r>
      <w:r w:rsidR="008A3424">
        <w:rPr>
          <w:rFonts w:ascii="Times New Roman" w:hAnsi="Times New Roman" w:cs="Times New Roman"/>
          <w:sz w:val="24"/>
          <w:szCs w:val="24"/>
        </w:rPr>
        <w:t xml:space="preserve"> </w:t>
      </w:r>
      <w:r w:rsidR="008A3424" w:rsidRPr="008A3424">
        <w:rPr>
          <w:rFonts w:ascii="Times New Roman" w:hAnsi="Times New Roman" w:cs="Times New Roman"/>
          <w:sz w:val="24"/>
          <w:szCs w:val="24"/>
        </w:rPr>
        <w:t xml:space="preserve">As per the study, elevated plasma hs-CRP levels in type 2 diabetic patients may contribute to ongoing atherosclerotic processes that result in the development of coronary heart disease in these patients. </w:t>
      </w:r>
      <w:r w:rsidR="00C603CD" w:rsidRPr="00C603CD">
        <w:rPr>
          <w:rFonts w:ascii="Times New Roman" w:hAnsi="Times New Roman" w:cs="Times New Roman"/>
          <w:sz w:val="24"/>
          <w:szCs w:val="24"/>
        </w:rPr>
        <w:t>Patients with diabetes mellitus may be able to use this as a marker for the development of atherosclerosis</w:t>
      </w:r>
      <w:r w:rsidR="008A3424" w:rsidRPr="008A3424">
        <w:rPr>
          <w:rFonts w:ascii="Times New Roman" w:hAnsi="Times New Roman" w:cs="Times New Roman"/>
          <w:sz w:val="24"/>
          <w:szCs w:val="24"/>
        </w:rPr>
        <w:t xml:space="preserve"> </w:t>
      </w:r>
      <w:r w:rsidR="00F7085E" w:rsidRPr="001839B7">
        <w:rPr>
          <w:rFonts w:ascii="Times New Roman" w:hAnsi="Times New Roman" w:cs="Times New Roman"/>
          <w:sz w:val="24"/>
          <w:szCs w:val="24"/>
        </w:rPr>
        <w:t>[</w:t>
      </w:r>
      <w:r w:rsidR="005D2C40" w:rsidRPr="001839B7">
        <w:rPr>
          <w:rFonts w:ascii="Times New Roman" w:hAnsi="Times New Roman" w:cs="Times New Roman"/>
          <w:sz w:val="24"/>
          <w:szCs w:val="24"/>
        </w:rPr>
        <w:t>Clin Invest</w:t>
      </w:r>
      <w:r w:rsidR="00343CF9">
        <w:rPr>
          <w:rFonts w:ascii="Times New Roman" w:hAnsi="Times New Roman" w:cs="Times New Roman"/>
          <w:sz w:val="24"/>
          <w:szCs w:val="24"/>
        </w:rPr>
        <w:t>,</w:t>
      </w:r>
      <w:r w:rsidR="005D2C40" w:rsidRPr="001839B7">
        <w:rPr>
          <w:rFonts w:ascii="Times New Roman" w:hAnsi="Times New Roman" w:cs="Times New Roman"/>
          <w:sz w:val="24"/>
          <w:szCs w:val="24"/>
        </w:rPr>
        <w:t xml:space="preserve"> 2003</w:t>
      </w:r>
      <w:r w:rsidR="00F7085E" w:rsidRPr="001839B7">
        <w:rPr>
          <w:rFonts w:ascii="Times New Roman" w:hAnsi="Times New Roman" w:cs="Times New Roman"/>
          <w:sz w:val="24"/>
          <w:szCs w:val="24"/>
        </w:rPr>
        <w:t>]</w:t>
      </w:r>
      <w:r w:rsidR="00DC6FE3">
        <w:rPr>
          <w:rFonts w:ascii="Times New Roman" w:hAnsi="Times New Roman" w:cs="Times New Roman"/>
          <w:sz w:val="24"/>
          <w:szCs w:val="24"/>
        </w:rPr>
        <w:t>.</w:t>
      </w:r>
    </w:p>
    <w:p w14:paraId="657B68B7" w14:textId="77777777" w:rsidR="00BB743D" w:rsidRDefault="00BB743D" w:rsidP="001839B7">
      <w:pPr>
        <w:spacing w:after="0" w:line="360" w:lineRule="auto"/>
        <w:jc w:val="both"/>
        <w:rPr>
          <w:rFonts w:ascii="Times New Roman" w:hAnsi="Times New Roman" w:cs="Times New Roman"/>
          <w:b/>
          <w:bCs/>
          <w:sz w:val="24"/>
          <w:szCs w:val="24"/>
        </w:rPr>
      </w:pPr>
    </w:p>
    <w:p w14:paraId="580CCBF5" w14:textId="77777777" w:rsidR="00BB743D" w:rsidRDefault="00BB743D" w:rsidP="001839B7">
      <w:pPr>
        <w:spacing w:after="0" w:line="360" w:lineRule="auto"/>
        <w:jc w:val="both"/>
        <w:rPr>
          <w:rFonts w:ascii="Times New Roman" w:hAnsi="Times New Roman" w:cs="Times New Roman"/>
          <w:b/>
          <w:bCs/>
          <w:sz w:val="24"/>
          <w:szCs w:val="24"/>
        </w:rPr>
      </w:pPr>
    </w:p>
    <w:p w14:paraId="4A004BB7" w14:textId="4A6D240C" w:rsidR="00AC132D" w:rsidRPr="001839B7" w:rsidRDefault="00AC132D" w:rsidP="001839B7">
      <w:pPr>
        <w:spacing w:after="0"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lastRenderedPageBreak/>
        <w:t>IL-6 AND IL-18</w:t>
      </w:r>
    </w:p>
    <w:p w14:paraId="08657EA8" w14:textId="73652898" w:rsidR="00AC132D" w:rsidRPr="001839B7" w:rsidRDefault="00AC132D" w:rsidP="00BB743D">
      <w:pPr>
        <w:spacing w:after="0" w:line="360" w:lineRule="auto"/>
        <w:ind w:left="-5" w:firstLine="725"/>
        <w:jc w:val="both"/>
        <w:rPr>
          <w:rFonts w:ascii="Times New Roman" w:hAnsi="Times New Roman" w:cs="Times New Roman"/>
          <w:sz w:val="24"/>
          <w:szCs w:val="24"/>
        </w:rPr>
      </w:pPr>
      <w:r w:rsidRPr="001839B7">
        <w:rPr>
          <w:rFonts w:ascii="Times New Roman" w:hAnsi="Times New Roman" w:cs="Times New Roman"/>
          <w:sz w:val="24"/>
          <w:szCs w:val="24"/>
        </w:rPr>
        <w:t>IL-6 is a cytokine which acts in both the innate and adaptive immune response. IL-6 is synthesized by monocytes, fibroblasts, endothelial cells or other cells in response to the other cytokines stimulation. IL-18 is a cytokine from IL-1 family. It has a pleiotropic action and it participates in both the innate and in acquired immune response</w:t>
      </w:r>
      <w:r w:rsidR="004663EB">
        <w:rPr>
          <w:rFonts w:ascii="Times New Roman" w:hAnsi="Times New Roman" w:cs="Times New Roman"/>
          <w:sz w:val="24"/>
          <w:szCs w:val="24"/>
        </w:rPr>
        <w:t xml:space="preserve"> </w:t>
      </w:r>
      <w:r w:rsidR="003235FE" w:rsidRPr="001839B7">
        <w:rPr>
          <w:rFonts w:ascii="Times New Roman" w:hAnsi="Times New Roman" w:cs="Times New Roman"/>
          <w:sz w:val="24"/>
          <w:szCs w:val="24"/>
        </w:rPr>
        <w:t>[</w:t>
      </w:r>
      <w:r w:rsidR="00E21E44" w:rsidRPr="001839B7">
        <w:rPr>
          <w:rFonts w:ascii="Times New Roman" w:hAnsi="Times New Roman" w:cs="Times New Roman"/>
          <w:sz w:val="24"/>
          <w:szCs w:val="24"/>
        </w:rPr>
        <w:t>J Clin Invest 2006</w:t>
      </w:r>
      <w:r w:rsidR="003235FE" w:rsidRPr="001839B7">
        <w:rPr>
          <w:rFonts w:ascii="Times New Roman" w:hAnsi="Times New Roman" w:cs="Times New Roman"/>
          <w:sz w:val="24"/>
          <w:szCs w:val="24"/>
        </w:rPr>
        <w:t>].</w:t>
      </w:r>
      <w:r w:rsidR="004663EB">
        <w:rPr>
          <w:rFonts w:ascii="Times New Roman" w:hAnsi="Times New Roman" w:cs="Times New Roman"/>
          <w:sz w:val="24"/>
          <w:szCs w:val="24"/>
        </w:rPr>
        <w:t xml:space="preserve"> </w:t>
      </w:r>
      <w:r w:rsidRPr="001839B7">
        <w:rPr>
          <w:rFonts w:ascii="Times New Roman" w:hAnsi="Times New Roman" w:cs="Times New Roman"/>
          <w:sz w:val="24"/>
          <w:szCs w:val="24"/>
        </w:rPr>
        <w:t>Hyperglycemia is a characteristic of glucose intolerance. IL-6 and IL-18 shows serum level variations which are positively correlated i.e, more significant increases in hyperglycemia spikes. Hyperglycemia is a common situation in diabetic patients</w:t>
      </w:r>
      <w:r w:rsidR="004663EB">
        <w:rPr>
          <w:rFonts w:ascii="Times New Roman" w:hAnsi="Times New Roman" w:cs="Times New Roman"/>
          <w:sz w:val="24"/>
          <w:szCs w:val="24"/>
        </w:rPr>
        <w:t xml:space="preserve"> </w:t>
      </w:r>
      <w:r w:rsidR="0059509B" w:rsidRPr="001839B7">
        <w:rPr>
          <w:rFonts w:ascii="Times New Roman" w:hAnsi="Times New Roman" w:cs="Times New Roman"/>
          <w:sz w:val="24"/>
          <w:szCs w:val="24"/>
        </w:rPr>
        <w:t>[</w:t>
      </w:r>
      <w:r w:rsidR="008A27D0" w:rsidRPr="001839B7">
        <w:rPr>
          <w:rFonts w:ascii="Times New Roman" w:hAnsi="Times New Roman" w:cs="Times New Roman"/>
          <w:sz w:val="24"/>
          <w:szCs w:val="24"/>
        </w:rPr>
        <w:t xml:space="preserve"> Eur Cytokine Netw 2006</w:t>
      </w:r>
      <w:r w:rsidR="0059509B" w:rsidRPr="001839B7">
        <w:rPr>
          <w:rFonts w:ascii="Times New Roman" w:hAnsi="Times New Roman" w:cs="Times New Roman"/>
          <w:sz w:val="24"/>
          <w:szCs w:val="24"/>
        </w:rPr>
        <w:t>]</w:t>
      </w:r>
      <w:r w:rsidR="004663EB">
        <w:rPr>
          <w:rFonts w:ascii="Times New Roman" w:hAnsi="Times New Roman" w:cs="Times New Roman"/>
          <w:sz w:val="24"/>
          <w:szCs w:val="24"/>
        </w:rPr>
        <w:t>.</w:t>
      </w:r>
    </w:p>
    <w:p w14:paraId="38B897F9" w14:textId="4C13CE1E" w:rsidR="00AC132D" w:rsidRPr="001839B7" w:rsidRDefault="00C548F6" w:rsidP="00C548F6">
      <w:pPr>
        <w:spacing w:after="0" w:line="360" w:lineRule="auto"/>
        <w:ind w:firstLine="720"/>
        <w:jc w:val="both"/>
        <w:rPr>
          <w:rFonts w:ascii="Times New Roman" w:hAnsi="Times New Roman" w:cs="Times New Roman"/>
          <w:sz w:val="24"/>
          <w:szCs w:val="24"/>
        </w:rPr>
      </w:pPr>
      <w:r w:rsidRPr="00C548F6">
        <w:rPr>
          <w:rFonts w:ascii="Times New Roman" w:hAnsi="Times New Roman" w:cs="Times New Roman"/>
          <w:sz w:val="24"/>
          <w:szCs w:val="24"/>
        </w:rPr>
        <w:t xml:space="preserve">Atherosclerosis initiates a very slight increase in CRP, so measuring it requires the use of extremely sensitive techniques. </w:t>
      </w:r>
      <w:r w:rsidR="004210CE" w:rsidRPr="004210CE">
        <w:rPr>
          <w:rFonts w:ascii="Times New Roman" w:hAnsi="Times New Roman" w:cs="Times New Roman"/>
          <w:sz w:val="24"/>
          <w:szCs w:val="24"/>
        </w:rPr>
        <w:t>Acute myocardial infarction</w:t>
      </w:r>
      <w:r w:rsidR="004210CE">
        <w:rPr>
          <w:rFonts w:ascii="Times New Roman" w:hAnsi="Times New Roman" w:cs="Times New Roman"/>
          <w:sz w:val="24"/>
          <w:szCs w:val="24"/>
        </w:rPr>
        <w:t xml:space="preserve"> </w:t>
      </w:r>
      <w:r w:rsidR="004210CE" w:rsidRPr="00C548F6">
        <w:rPr>
          <w:rFonts w:ascii="Times New Roman" w:hAnsi="Times New Roman" w:cs="Times New Roman"/>
          <w:sz w:val="24"/>
          <w:szCs w:val="24"/>
        </w:rPr>
        <w:t>(AMI)</w:t>
      </w:r>
      <w:r w:rsidR="004210CE" w:rsidRPr="004210CE">
        <w:rPr>
          <w:rFonts w:ascii="Times New Roman" w:hAnsi="Times New Roman" w:cs="Times New Roman"/>
          <w:sz w:val="24"/>
          <w:szCs w:val="24"/>
        </w:rPr>
        <w:t xml:space="preserve"> risk is emerging</w:t>
      </w:r>
      <w:r w:rsidR="004210CE">
        <w:rPr>
          <w:rFonts w:ascii="Times New Roman" w:hAnsi="Times New Roman" w:cs="Times New Roman"/>
          <w:sz w:val="24"/>
          <w:szCs w:val="24"/>
        </w:rPr>
        <w:t xml:space="preserve"> in</w:t>
      </w:r>
      <w:r w:rsidR="00C90784">
        <w:rPr>
          <w:rFonts w:ascii="Times New Roman" w:hAnsi="Times New Roman" w:cs="Times New Roman"/>
          <w:sz w:val="24"/>
          <w:szCs w:val="24"/>
        </w:rPr>
        <w:t xml:space="preserve"> </w:t>
      </w:r>
      <w:r w:rsidRPr="00C548F6">
        <w:rPr>
          <w:rFonts w:ascii="Times New Roman" w:hAnsi="Times New Roman" w:cs="Times New Roman"/>
          <w:sz w:val="24"/>
          <w:szCs w:val="24"/>
        </w:rPr>
        <w:t xml:space="preserve">associated with CRP has persisted in the Honolulu Heart Program even after 20 years. </w:t>
      </w:r>
      <w:r w:rsidR="00AC132D" w:rsidRPr="001839B7">
        <w:rPr>
          <w:rFonts w:ascii="Times New Roman" w:hAnsi="Times New Roman" w:cs="Times New Roman"/>
          <w:sz w:val="24"/>
          <w:szCs w:val="24"/>
        </w:rPr>
        <w:t xml:space="preserve">Hyperglycemia itself, a characteristic of glucose intolerance, is related to the immediate synthesis of markers such as IL-6 and IL-18, with serum level variations positively correlated and with more significant increases in hyperglycemic spikes, a situation that is common in diabetic </w:t>
      </w:r>
      <w:r w:rsidR="0059509B" w:rsidRPr="001839B7">
        <w:rPr>
          <w:rFonts w:ascii="Times New Roman" w:hAnsi="Times New Roman" w:cs="Times New Roman"/>
          <w:sz w:val="24"/>
          <w:szCs w:val="24"/>
        </w:rPr>
        <w:t>patients</w:t>
      </w:r>
      <w:r w:rsidR="00170ED6">
        <w:rPr>
          <w:rFonts w:ascii="Times New Roman" w:hAnsi="Times New Roman" w:cs="Times New Roman"/>
          <w:sz w:val="24"/>
          <w:szCs w:val="24"/>
        </w:rPr>
        <w:t xml:space="preserve"> </w:t>
      </w:r>
      <w:r w:rsidR="0059509B" w:rsidRPr="001839B7">
        <w:rPr>
          <w:rFonts w:ascii="Times New Roman" w:hAnsi="Times New Roman" w:cs="Times New Roman"/>
          <w:sz w:val="24"/>
          <w:szCs w:val="24"/>
        </w:rPr>
        <w:t>[</w:t>
      </w:r>
      <w:r w:rsidR="00A44617" w:rsidRPr="001839B7">
        <w:rPr>
          <w:rFonts w:ascii="Times New Roman" w:hAnsi="Times New Roman" w:cs="Times New Roman"/>
          <w:sz w:val="24"/>
          <w:szCs w:val="24"/>
        </w:rPr>
        <w:t>Lancet 2005]</w:t>
      </w:r>
      <w:r w:rsidR="00D63D10" w:rsidRPr="001839B7">
        <w:rPr>
          <w:rFonts w:ascii="Times New Roman" w:hAnsi="Times New Roman" w:cs="Times New Roman"/>
          <w:sz w:val="24"/>
          <w:szCs w:val="24"/>
        </w:rPr>
        <w:t>.</w:t>
      </w:r>
      <w:r w:rsidR="00AC132D" w:rsidRPr="001839B7">
        <w:rPr>
          <w:rFonts w:ascii="Times New Roman" w:hAnsi="Times New Roman" w:cs="Times New Roman"/>
          <w:sz w:val="24"/>
          <w:szCs w:val="24"/>
        </w:rPr>
        <w:t xml:space="preserve">Since patients with diabetes comprise a significant part of the </w:t>
      </w:r>
      <w:r w:rsidR="00C90784" w:rsidRPr="001839B7">
        <w:rPr>
          <w:rFonts w:ascii="Times New Roman" w:hAnsi="Times New Roman" w:cs="Times New Roman"/>
          <w:sz w:val="24"/>
          <w:szCs w:val="24"/>
        </w:rPr>
        <w:t>people</w:t>
      </w:r>
      <w:r w:rsidR="00AC132D" w:rsidRPr="001839B7">
        <w:rPr>
          <w:rFonts w:ascii="Times New Roman" w:hAnsi="Times New Roman" w:cs="Times New Roman"/>
          <w:sz w:val="24"/>
          <w:szCs w:val="24"/>
        </w:rPr>
        <w:t xml:space="preserve"> with coronary artery disease (20-24%), the understanding of the inflammatory mechanisms in diabetes and also in insulin resistance is fundamental for a proper treatment</w:t>
      </w:r>
      <w:r w:rsidR="004663EB">
        <w:rPr>
          <w:rFonts w:ascii="Times New Roman" w:hAnsi="Times New Roman" w:cs="Times New Roman"/>
          <w:sz w:val="24"/>
          <w:szCs w:val="24"/>
        </w:rPr>
        <w:t xml:space="preserve"> </w:t>
      </w:r>
      <w:r w:rsidR="00D63D10" w:rsidRPr="001839B7">
        <w:rPr>
          <w:rFonts w:ascii="Times New Roman" w:hAnsi="Times New Roman" w:cs="Times New Roman"/>
          <w:sz w:val="24"/>
          <w:szCs w:val="24"/>
        </w:rPr>
        <w:t>[</w:t>
      </w:r>
      <w:r w:rsidR="006428C7" w:rsidRPr="001839B7">
        <w:rPr>
          <w:rFonts w:ascii="Times New Roman" w:hAnsi="Times New Roman" w:cs="Times New Roman"/>
          <w:sz w:val="24"/>
          <w:szCs w:val="24"/>
        </w:rPr>
        <w:t>Kannel</w:t>
      </w:r>
      <w:r w:rsidR="00BB743D">
        <w:rPr>
          <w:rFonts w:ascii="Times New Roman" w:hAnsi="Times New Roman" w:cs="Times New Roman"/>
          <w:sz w:val="24"/>
          <w:szCs w:val="24"/>
        </w:rPr>
        <w:t>,</w:t>
      </w:r>
      <w:r w:rsidR="006428C7" w:rsidRPr="001839B7">
        <w:rPr>
          <w:rFonts w:ascii="Times New Roman" w:hAnsi="Times New Roman" w:cs="Times New Roman"/>
          <w:sz w:val="24"/>
          <w:szCs w:val="24"/>
        </w:rPr>
        <w:t xml:space="preserve"> </w:t>
      </w:r>
      <w:r w:rsidR="00AC7E76" w:rsidRPr="001839B7">
        <w:rPr>
          <w:rFonts w:ascii="Times New Roman" w:hAnsi="Times New Roman" w:cs="Times New Roman"/>
          <w:sz w:val="24"/>
          <w:szCs w:val="24"/>
        </w:rPr>
        <w:t>1978].</w:t>
      </w:r>
    </w:p>
    <w:p w14:paraId="00CB4E16" w14:textId="4E0B1CAD" w:rsidR="00AC132D" w:rsidRPr="001839B7" w:rsidRDefault="00AC132D" w:rsidP="001839B7">
      <w:pPr>
        <w:spacing w:after="0" w:line="360" w:lineRule="auto"/>
        <w:jc w:val="both"/>
        <w:rPr>
          <w:rFonts w:ascii="Times New Roman" w:hAnsi="Times New Roman" w:cs="Times New Roman"/>
          <w:sz w:val="24"/>
          <w:szCs w:val="24"/>
        </w:rPr>
      </w:pPr>
      <w:r w:rsidRPr="001839B7">
        <w:rPr>
          <w:rFonts w:ascii="Times New Roman" w:hAnsi="Times New Roman" w:cs="Times New Roman"/>
          <w:b/>
          <w:bCs/>
          <w:sz w:val="24"/>
          <w:szCs w:val="24"/>
        </w:rPr>
        <w:t>Methods</w:t>
      </w:r>
      <w:r w:rsidRPr="001839B7">
        <w:rPr>
          <w:rFonts w:ascii="Times New Roman" w:hAnsi="Times New Roman" w:cs="Times New Roman"/>
          <w:sz w:val="24"/>
          <w:szCs w:val="24"/>
        </w:rPr>
        <w:t xml:space="preserve"> </w:t>
      </w:r>
    </w:p>
    <w:p w14:paraId="127F51BA" w14:textId="5945A273" w:rsidR="00AC132D" w:rsidRPr="001839B7" w:rsidRDefault="00AE482A" w:rsidP="004663EB">
      <w:pPr>
        <w:spacing w:after="0" w:line="360" w:lineRule="auto"/>
        <w:ind w:firstLine="720"/>
        <w:jc w:val="both"/>
        <w:rPr>
          <w:rFonts w:ascii="Times New Roman" w:hAnsi="Times New Roman" w:cs="Times New Roman"/>
          <w:sz w:val="24"/>
          <w:szCs w:val="24"/>
        </w:rPr>
      </w:pPr>
      <w:r w:rsidRPr="00AE482A">
        <w:rPr>
          <w:rFonts w:ascii="Times New Roman" w:hAnsi="Times New Roman" w:cs="Times New Roman"/>
          <w:sz w:val="24"/>
          <w:szCs w:val="24"/>
        </w:rPr>
        <w:t xml:space="preserve">The patients could be utilized, enrolled, and given </w:t>
      </w:r>
      <w:r w:rsidR="00170ED6" w:rsidRPr="00AE482A">
        <w:rPr>
          <w:rFonts w:ascii="Times New Roman" w:hAnsi="Times New Roman" w:cs="Times New Roman"/>
          <w:sz w:val="24"/>
          <w:szCs w:val="24"/>
        </w:rPr>
        <w:t>a</w:t>
      </w:r>
      <w:r w:rsidRPr="00AE482A">
        <w:rPr>
          <w:rFonts w:ascii="Times New Roman" w:hAnsi="Times New Roman" w:cs="Times New Roman"/>
          <w:sz w:val="24"/>
          <w:szCs w:val="24"/>
        </w:rPr>
        <w:t xml:space="preserve"> </w:t>
      </w:r>
      <w:r w:rsidR="00C90784" w:rsidRPr="00AE482A">
        <w:rPr>
          <w:rFonts w:ascii="Times New Roman" w:hAnsi="Times New Roman" w:cs="Times New Roman"/>
          <w:sz w:val="24"/>
          <w:szCs w:val="24"/>
        </w:rPr>
        <w:t>conversant</w:t>
      </w:r>
      <w:r w:rsidRPr="00AE482A">
        <w:rPr>
          <w:rFonts w:ascii="Times New Roman" w:hAnsi="Times New Roman" w:cs="Times New Roman"/>
          <w:sz w:val="24"/>
          <w:szCs w:val="24"/>
        </w:rPr>
        <w:t xml:space="preserve"> </w:t>
      </w:r>
      <w:r w:rsidR="00C90784" w:rsidRPr="00AE482A">
        <w:rPr>
          <w:rFonts w:ascii="Times New Roman" w:hAnsi="Times New Roman" w:cs="Times New Roman"/>
          <w:sz w:val="24"/>
          <w:szCs w:val="24"/>
        </w:rPr>
        <w:t>harmony</w:t>
      </w:r>
      <w:r w:rsidRPr="00AE482A">
        <w:rPr>
          <w:rFonts w:ascii="Times New Roman" w:hAnsi="Times New Roman" w:cs="Times New Roman"/>
          <w:sz w:val="24"/>
          <w:szCs w:val="24"/>
        </w:rPr>
        <w:t xml:space="preserve"> </w:t>
      </w:r>
      <w:r w:rsidR="00C90784" w:rsidRPr="00AE482A">
        <w:rPr>
          <w:rFonts w:ascii="Times New Roman" w:hAnsi="Times New Roman" w:cs="Times New Roman"/>
          <w:sz w:val="24"/>
          <w:szCs w:val="24"/>
        </w:rPr>
        <w:t>method</w:t>
      </w:r>
      <w:r w:rsidRPr="00AE482A">
        <w:rPr>
          <w:rFonts w:ascii="Times New Roman" w:hAnsi="Times New Roman" w:cs="Times New Roman"/>
          <w:sz w:val="24"/>
          <w:szCs w:val="24"/>
        </w:rPr>
        <w:t xml:space="preserve"> </w:t>
      </w:r>
      <w:r w:rsidR="00C90784" w:rsidRPr="00AE482A">
        <w:rPr>
          <w:rFonts w:ascii="Times New Roman" w:hAnsi="Times New Roman" w:cs="Times New Roman"/>
          <w:sz w:val="24"/>
          <w:szCs w:val="24"/>
        </w:rPr>
        <w:t>previously</w:t>
      </w:r>
      <w:r w:rsidRPr="00AE482A">
        <w:rPr>
          <w:rFonts w:ascii="Times New Roman" w:hAnsi="Times New Roman" w:cs="Times New Roman"/>
          <w:sz w:val="24"/>
          <w:szCs w:val="24"/>
        </w:rPr>
        <w:t xml:space="preserve"> having their veins sampled for IL-6, IL-18, high-sensitivity C-reactive protein, and markers of myocardial necrosis.</w:t>
      </w:r>
      <w:r w:rsidR="00AC132D" w:rsidRPr="001839B7">
        <w:rPr>
          <w:rFonts w:ascii="Times New Roman" w:hAnsi="Times New Roman" w:cs="Times New Roman"/>
          <w:sz w:val="24"/>
          <w:szCs w:val="24"/>
        </w:rPr>
        <w:t xml:space="preserve"> Blood was also used for determinations of blood count, coagulation tests, urea, creatinine, sodium, potassium, blood glucose, and lipid profile</w:t>
      </w:r>
      <w:r w:rsidR="004663EB">
        <w:rPr>
          <w:rFonts w:ascii="Times New Roman" w:hAnsi="Times New Roman" w:cs="Times New Roman"/>
          <w:sz w:val="24"/>
          <w:szCs w:val="24"/>
        </w:rPr>
        <w:t xml:space="preserve"> </w:t>
      </w:r>
      <w:r w:rsidR="000845D6" w:rsidRPr="001839B7">
        <w:rPr>
          <w:rFonts w:ascii="Times New Roman" w:hAnsi="Times New Roman" w:cs="Times New Roman"/>
          <w:sz w:val="24"/>
          <w:szCs w:val="24"/>
        </w:rPr>
        <w:t>[</w:t>
      </w:r>
      <w:r w:rsidR="004F7275" w:rsidRPr="001839B7">
        <w:rPr>
          <w:rFonts w:ascii="Times New Roman" w:hAnsi="Times New Roman" w:cs="Times New Roman"/>
          <w:sz w:val="24"/>
          <w:szCs w:val="24"/>
        </w:rPr>
        <w:t xml:space="preserve">King </w:t>
      </w:r>
      <w:r w:rsidR="00E4354A">
        <w:rPr>
          <w:rFonts w:ascii="Times New Roman" w:hAnsi="Times New Roman" w:cs="Times New Roman"/>
          <w:sz w:val="24"/>
          <w:szCs w:val="24"/>
        </w:rPr>
        <w:t>and</w:t>
      </w:r>
      <w:r w:rsidR="004F7275" w:rsidRPr="001839B7">
        <w:rPr>
          <w:rFonts w:ascii="Times New Roman" w:hAnsi="Times New Roman" w:cs="Times New Roman"/>
          <w:sz w:val="24"/>
          <w:szCs w:val="24"/>
        </w:rPr>
        <w:t xml:space="preserve"> Aubert</w:t>
      </w:r>
      <w:r w:rsidR="00486AA9" w:rsidRPr="001839B7">
        <w:rPr>
          <w:rFonts w:ascii="Times New Roman" w:hAnsi="Times New Roman" w:cs="Times New Roman"/>
          <w:sz w:val="24"/>
          <w:szCs w:val="24"/>
        </w:rPr>
        <w:t>,</w:t>
      </w:r>
      <w:r w:rsidR="00C90784">
        <w:rPr>
          <w:rFonts w:ascii="Times New Roman" w:hAnsi="Times New Roman" w:cs="Times New Roman"/>
          <w:sz w:val="24"/>
          <w:szCs w:val="24"/>
        </w:rPr>
        <w:t xml:space="preserve"> </w:t>
      </w:r>
      <w:r w:rsidR="00486AA9" w:rsidRPr="001839B7">
        <w:rPr>
          <w:rFonts w:ascii="Times New Roman" w:hAnsi="Times New Roman" w:cs="Times New Roman"/>
          <w:sz w:val="24"/>
          <w:szCs w:val="24"/>
        </w:rPr>
        <w:t>1998</w:t>
      </w:r>
      <w:r w:rsidR="00BF1395" w:rsidRPr="001839B7">
        <w:rPr>
          <w:rFonts w:ascii="Times New Roman" w:hAnsi="Times New Roman" w:cs="Times New Roman"/>
          <w:sz w:val="24"/>
          <w:szCs w:val="24"/>
        </w:rPr>
        <w:t xml:space="preserve">]. </w:t>
      </w:r>
      <w:r w:rsidR="00AC132D" w:rsidRPr="001839B7">
        <w:rPr>
          <w:rFonts w:ascii="Times New Roman" w:hAnsi="Times New Roman" w:cs="Times New Roman"/>
          <w:sz w:val="24"/>
          <w:szCs w:val="24"/>
        </w:rPr>
        <w:t>No additional venous puncture was performed in unstable patients, since punctures are performed as a routine diagnostic procedure. All patients received the usual treatment and no medication was added or discontinued by study intervention</w:t>
      </w:r>
      <w:r w:rsidR="00930AB5">
        <w:rPr>
          <w:rFonts w:ascii="Times New Roman" w:hAnsi="Times New Roman" w:cs="Times New Roman"/>
          <w:sz w:val="24"/>
          <w:szCs w:val="24"/>
        </w:rPr>
        <w:t xml:space="preserve"> </w:t>
      </w:r>
      <w:r w:rsidR="00C3753B" w:rsidRPr="001839B7">
        <w:rPr>
          <w:rFonts w:ascii="Times New Roman" w:hAnsi="Times New Roman" w:cs="Times New Roman"/>
          <w:sz w:val="24"/>
          <w:szCs w:val="24"/>
        </w:rPr>
        <w:t>[</w:t>
      </w:r>
      <w:r w:rsidR="00B725D9" w:rsidRPr="001839B7">
        <w:rPr>
          <w:rFonts w:ascii="Times New Roman" w:hAnsi="Times New Roman" w:cs="Times New Roman"/>
          <w:sz w:val="24"/>
          <w:szCs w:val="24"/>
        </w:rPr>
        <w:t>SocNephrol</w:t>
      </w:r>
      <w:r w:rsidR="00E4354A">
        <w:rPr>
          <w:rFonts w:ascii="Times New Roman" w:hAnsi="Times New Roman" w:cs="Times New Roman"/>
          <w:sz w:val="24"/>
          <w:szCs w:val="24"/>
        </w:rPr>
        <w:t>,</w:t>
      </w:r>
      <w:r w:rsidR="00B725D9" w:rsidRPr="001839B7">
        <w:rPr>
          <w:rFonts w:ascii="Times New Roman" w:hAnsi="Times New Roman" w:cs="Times New Roman"/>
          <w:sz w:val="24"/>
          <w:szCs w:val="24"/>
        </w:rPr>
        <w:t xml:space="preserve"> 2006</w:t>
      </w:r>
      <w:r w:rsidR="00C3753B" w:rsidRPr="001839B7">
        <w:rPr>
          <w:rFonts w:ascii="Times New Roman" w:hAnsi="Times New Roman" w:cs="Times New Roman"/>
          <w:sz w:val="24"/>
          <w:szCs w:val="24"/>
        </w:rPr>
        <w:t>].</w:t>
      </w:r>
      <w:r w:rsidR="00930AB5">
        <w:rPr>
          <w:rFonts w:ascii="Times New Roman" w:hAnsi="Times New Roman" w:cs="Times New Roman"/>
          <w:sz w:val="24"/>
          <w:szCs w:val="24"/>
        </w:rPr>
        <w:t xml:space="preserve"> </w:t>
      </w:r>
      <w:r w:rsidR="00894823" w:rsidRPr="00894823">
        <w:rPr>
          <w:rFonts w:ascii="Times New Roman" w:hAnsi="Times New Roman" w:cs="Times New Roman"/>
          <w:sz w:val="24"/>
          <w:szCs w:val="24"/>
        </w:rPr>
        <w:t xml:space="preserve">Patients who were </w:t>
      </w:r>
      <w:r w:rsidR="00867959" w:rsidRPr="00894823">
        <w:rPr>
          <w:rFonts w:ascii="Times New Roman" w:hAnsi="Times New Roman" w:cs="Times New Roman"/>
          <w:sz w:val="24"/>
          <w:szCs w:val="24"/>
        </w:rPr>
        <w:t>unbalanced</w:t>
      </w:r>
      <w:r w:rsidR="00894823" w:rsidRPr="00894823">
        <w:rPr>
          <w:rFonts w:ascii="Times New Roman" w:hAnsi="Times New Roman" w:cs="Times New Roman"/>
          <w:sz w:val="24"/>
          <w:szCs w:val="24"/>
        </w:rPr>
        <w:t xml:space="preserve"> were closely watched in the coronary unit or emergency room. Patients had the option to leave the study whenever they wanted.</w:t>
      </w:r>
      <w:r w:rsidR="00AC132D" w:rsidRPr="001839B7">
        <w:rPr>
          <w:rFonts w:ascii="Times New Roman" w:hAnsi="Times New Roman" w:cs="Times New Roman"/>
          <w:sz w:val="24"/>
          <w:szCs w:val="24"/>
        </w:rPr>
        <w:t xml:space="preserve"> The samples were centrifuged and kept at -80°C for further analysis. The mean time elapsed from the last episode of pain and blood collection was 14 hours. Serum levels of IL-6 and IL-18 were determined using the ELISA technique, with the R&amp;D Systems (Minneapolis, MN, USA) and MBL-Medical &amp; Biological Laboratories (Nagoya, Japan) commercial kits, respectively, according to the manufacturers</w:t>
      </w:r>
      <w:r w:rsidR="00FA1CA7" w:rsidRPr="001839B7">
        <w:rPr>
          <w:rFonts w:ascii="Times New Roman" w:hAnsi="Times New Roman" w:cs="Times New Roman"/>
          <w:sz w:val="24"/>
          <w:szCs w:val="24"/>
        </w:rPr>
        <w:t>.</w:t>
      </w:r>
      <w:r w:rsidR="00930AB5">
        <w:rPr>
          <w:rFonts w:ascii="Times New Roman" w:hAnsi="Times New Roman" w:cs="Times New Roman"/>
          <w:sz w:val="24"/>
          <w:szCs w:val="24"/>
        </w:rPr>
        <w:t xml:space="preserve"> </w:t>
      </w:r>
      <w:r w:rsidR="00894823" w:rsidRPr="00894823">
        <w:rPr>
          <w:rFonts w:ascii="Times New Roman" w:hAnsi="Times New Roman" w:cs="Times New Roman"/>
          <w:sz w:val="24"/>
          <w:szCs w:val="24"/>
        </w:rPr>
        <w:t xml:space="preserve">A distinctive monoclonal antibody is adsorbed onto a plate using this procedure. </w:t>
      </w:r>
      <w:r w:rsidR="00AC132D" w:rsidRPr="001839B7">
        <w:rPr>
          <w:rFonts w:ascii="Times New Roman" w:hAnsi="Times New Roman" w:cs="Times New Roman"/>
          <w:sz w:val="24"/>
          <w:szCs w:val="24"/>
        </w:rPr>
        <w:t xml:space="preserve">After addition of the serum sample where the mediator to be determined is placed, </w:t>
      </w:r>
      <w:r w:rsidR="00AC132D" w:rsidRPr="001839B7">
        <w:rPr>
          <w:rFonts w:ascii="Times New Roman" w:hAnsi="Times New Roman" w:cs="Times New Roman"/>
          <w:sz w:val="24"/>
          <w:szCs w:val="24"/>
        </w:rPr>
        <w:lastRenderedPageBreak/>
        <w:t xml:space="preserve">the material is incubated, and this is the moment when the antigen molecules will bind to the antibodies adsorbed onto the plate. All unbound material is washed away. </w:t>
      </w:r>
      <w:r w:rsidR="00894823" w:rsidRPr="00894823">
        <w:rPr>
          <w:rFonts w:ascii="Times New Roman" w:hAnsi="Times New Roman" w:cs="Times New Roman"/>
          <w:sz w:val="24"/>
          <w:szCs w:val="24"/>
        </w:rPr>
        <w:t xml:space="preserve">Then, using the sandwich technique, a fresh antibody that is specific for an antigenic determinant bound to the plate is added. To get rid of the unbound antibodies, the material is washed once more. Then, in proportion to the amount of the mediator present in the sample (antigen), a substrate that has the property of changing color when in contact with the enzyme is added. </w:t>
      </w:r>
      <w:r w:rsidR="00AC132D" w:rsidRPr="001839B7">
        <w:rPr>
          <w:rFonts w:ascii="Times New Roman" w:hAnsi="Times New Roman" w:cs="Times New Roman"/>
          <w:sz w:val="24"/>
          <w:szCs w:val="24"/>
        </w:rPr>
        <w:t xml:space="preserve">The reading is performed in a plate reader (BioRad, Tokyo, Japan) at 450 nm </w:t>
      </w:r>
      <w:r w:rsidR="00170ED6" w:rsidRPr="001839B7">
        <w:rPr>
          <w:rFonts w:ascii="Times New Roman" w:hAnsi="Times New Roman" w:cs="Times New Roman"/>
          <w:sz w:val="24"/>
          <w:szCs w:val="24"/>
        </w:rPr>
        <w:t xml:space="preserve">and </w:t>
      </w:r>
      <w:r w:rsidR="00170ED6" w:rsidRPr="00A81BB5">
        <w:rPr>
          <w:rFonts w:ascii="Times New Roman" w:hAnsi="Times New Roman" w:cs="Times New Roman"/>
          <w:sz w:val="24"/>
          <w:szCs w:val="24"/>
        </w:rPr>
        <w:t xml:space="preserve">in comparison, </w:t>
      </w:r>
      <w:r w:rsidR="00A81BB5" w:rsidRPr="00A81BB5">
        <w:rPr>
          <w:rFonts w:ascii="Times New Roman" w:hAnsi="Times New Roman" w:cs="Times New Roman"/>
          <w:sz w:val="24"/>
          <w:szCs w:val="24"/>
        </w:rPr>
        <w:t>to a standard curve produced using known amounts of the recombinant mediators</w:t>
      </w:r>
      <w:r w:rsidR="00AC132D" w:rsidRPr="001839B7">
        <w:rPr>
          <w:rFonts w:ascii="Times New Roman" w:hAnsi="Times New Roman" w:cs="Times New Roman"/>
          <w:sz w:val="24"/>
          <w:szCs w:val="24"/>
        </w:rPr>
        <w:t xml:space="preserve">. </w:t>
      </w:r>
      <w:r w:rsidR="007059EB" w:rsidRPr="007059EB">
        <w:rPr>
          <w:rFonts w:ascii="Times New Roman" w:hAnsi="Times New Roman" w:cs="Times New Roman"/>
          <w:sz w:val="24"/>
          <w:szCs w:val="24"/>
        </w:rPr>
        <w:t xml:space="preserve">For IL-6, the detection limits for the essays were 0.09 pg/ml, and for IL-18, they were 12.5 pg/ml. </w:t>
      </w:r>
      <w:r w:rsidR="00AC132D" w:rsidRPr="001839B7">
        <w:rPr>
          <w:rFonts w:ascii="Times New Roman" w:hAnsi="Times New Roman" w:cs="Times New Roman"/>
          <w:sz w:val="24"/>
          <w:szCs w:val="24"/>
        </w:rPr>
        <w:t>The change in serum levels of IL-6 and IL-18 shows the best results in the diagnosis of Type 2 Diabetes Mellitus</w:t>
      </w:r>
      <w:r w:rsidR="00E25FAE">
        <w:rPr>
          <w:rFonts w:ascii="Times New Roman" w:hAnsi="Times New Roman" w:cs="Times New Roman"/>
          <w:sz w:val="24"/>
          <w:szCs w:val="24"/>
        </w:rPr>
        <w:t xml:space="preserve"> </w:t>
      </w:r>
      <w:r w:rsidR="00AD701B" w:rsidRPr="001839B7">
        <w:rPr>
          <w:rFonts w:ascii="Times New Roman" w:hAnsi="Times New Roman" w:cs="Times New Roman"/>
          <w:sz w:val="24"/>
          <w:szCs w:val="24"/>
        </w:rPr>
        <w:t>[</w:t>
      </w:r>
      <w:r w:rsidR="0031394A" w:rsidRPr="001839B7">
        <w:rPr>
          <w:rFonts w:ascii="Times New Roman" w:hAnsi="Times New Roman" w:cs="Times New Roman"/>
          <w:sz w:val="24"/>
          <w:szCs w:val="24"/>
        </w:rPr>
        <w:t>Pradhan</w:t>
      </w:r>
      <w:r w:rsidR="00E15AF0">
        <w:rPr>
          <w:rFonts w:ascii="Times New Roman" w:hAnsi="Times New Roman" w:cs="Times New Roman"/>
          <w:sz w:val="24"/>
          <w:szCs w:val="24"/>
        </w:rPr>
        <w:t xml:space="preserve"> </w:t>
      </w:r>
      <w:r w:rsidR="00156FF0">
        <w:rPr>
          <w:rFonts w:ascii="Times New Roman" w:hAnsi="Times New Roman" w:cs="Times New Roman"/>
          <w:sz w:val="24"/>
          <w:szCs w:val="24"/>
        </w:rPr>
        <w:t xml:space="preserve">et al., </w:t>
      </w:r>
      <w:r w:rsidR="007313F3" w:rsidRPr="001839B7">
        <w:rPr>
          <w:rFonts w:ascii="Times New Roman" w:hAnsi="Times New Roman" w:cs="Times New Roman"/>
          <w:sz w:val="24"/>
          <w:szCs w:val="24"/>
        </w:rPr>
        <w:t>2003</w:t>
      </w:r>
      <w:r w:rsidR="00AD701B" w:rsidRPr="001839B7">
        <w:rPr>
          <w:rFonts w:ascii="Times New Roman" w:hAnsi="Times New Roman" w:cs="Times New Roman"/>
          <w:sz w:val="24"/>
          <w:szCs w:val="24"/>
        </w:rPr>
        <w:t>]</w:t>
      </w:r>
      <w:r w:rsidR="007020BF" w:rsidRPr="001839B7">
        <w:rPr>
          <w:rFonts w:ascii="Times New Roman" w:hAnsi="Times New Roman" w:cs="Times New Roman"/>
          <w:sz w:val="24"/>
          <w:szCs w:val="24"/>
        </w:rPr>
        <w:t>.</w:t>
      </w:r>
    </w:p>
    <w:p w14:paraId="5853C2F9" w14:textId="77777777" w:rsidR="00AC132D" w:rsidRPr="001839B7" w:rsidRDefault="00AC132D" w:rsidP="001839B7">
      <w:pPr>
        <w:spacing w:after="0" w:line="360" w:lineRule="auto"/>
        <w:jc w:val="both"/>
        <w:rPr>
          <w:rFonts w:ascii="Times New Roman" w:hAnsi="Times New Roman" w:cs="Times New Roman"/>
          <w:sz w:val="24"/>
          <w:szCs w:val="24"/>
        </w:rPr>
      </w:pPr>
      <w:r w:rsidRPr="001839B7">
        <w:rPr>
          <w:rFonts w:ascii="Times New Roman" w:hAnsi="Times New Roman" w:cs="Times New Roman"/>
          <w:b/>
          <w:bCs/>
          <w:sz w:val="24"/>
          <w:szCs w:val="24"/>
        </w:rPr>
        <w:t>OBESITY</w:t>
      </w:r>
    </w:p>
    <w:p w14:paraId="314CAD7B" w14:textId="59B7571A" w:rsidR="00AB5D80" w:rsidRPr="001839B7" w:rsidRDefault="00632833" w:rsidP="001839B7">
      <w:pPr>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Nearly all nations in the globe are experiencing an </w:t>
      </w:r>
      <w:r w:rsidR="00876664">
        <w:rPr>
          <w:rFonts w:ascii="Times New Roman" w:hAnsi="Times New Roman" w:cs="Times New Roman"/>
          <w:sz w:val="24"/>
          <w:szCs w:val="24"/>
        </w:rPr>
        <w:t>upregulation</w:t>
      </w:r>
      <w:r w:rsidRPr="001839B7">
        <w:rPr>
          <w:rFonts w:ascii="Times New Roman" w:hAnsi="Times New Roman" w:cs="Times New Roman"/>
          <w:sz w:val="24"/>
          <w:szCs w:val="24"/>
        </w:rPr>
        <w:t xml:space="preserve"> in the obesity epidemic, and future rises are anticipated [Epidemiol</w:t>
      </w:r>
      <w:r w:rsidR="00572B42">
        <w:rPr>
          <w:rFonts w:ascii="Times New Roman" w:hAnsi="Times New Roman" w:cs="Times New Roman"/>
          <w:sz w:val="24"/>
          <w:szCs w:val="24"/>
        </w:rPr>
        <w:t>,</w:t>
      </w:r>
      <w:r w:rsidRPr="001839B7">
        <w:rPr>
          <w:rFonts w:ascii="Times New Roman" w:hAnsi="Times New Roman" w:cs="Times New Roman"/>
          <w:sz w:val="24"/>
          <w:szCs w:val="24"/>
        </w:rPr>
        <w:t xml:space="preserve"> 2002]</w:t>
      </w:r>
      <w:r w:rsidR="00930AB5">
        <w:rPr>
          <w:rFonts w:ascii="Times New Roman" w:hAnsi="Times New Roman" w:cs="Times New Roman"/>
          <w:sz w:val="24"/>
          <w:szCs w:val="24"/>
        </w:rPr>
        <w:t>.</w:t>
      </w:r>
      <w:r w:rsidRPr="001839B7">
        <w:rPr>
          <w:rFonts w:ascii="Times New Roman" w:hAnsi="Times New Roman" w:cs="Times New Roman"/>
          <w:sz w:val="24"/>
          <w:szCs w:val="24"/>
        </w:rPr>
        <w:t xml:space="preserve"> Men in Western </w:t>
      </w:r>
      <w:r w:rsidR="00930AB5" w:rsidRPr="001839B7">
        <w:rPr>
          <w:rFonts w:ascii="Times New Roman" w:hAnsi="Times New Roman" w:cs="Times New Roman"/>
          <w:sz w:val="24"/>
          <w:szCs w:val="24"/>
        </w:rPr>
        <w:t>high-income</w:t>
      </w:r>
      <w:r w:rsidRPr="001839B7">
        <w:rPr>
          <w:rFonts w:ascii="Times New Roman" w:hAnsi="Times New Roman" w:cs="Times New Roman"/>
          <w:sz w:val="24"/>
          <w:szCs w:val="24"/>
        </w:rPr>
        <w:t xml:space="preserve"> countries and women in Central Asia, the Middle East, and North Africa have the highest obesity prevalence rates. Obesity is linked to a shorter life expectancy and a range of chronic disorders, most notably type 2 diabetes, coronary heart disease, and some types of cancer [J</w:t>
      </w:r>
      <w:r w:rsidR="008C08B3" w:rsidRPr="001839B7">
        <w:rPr>
          <w:rFonts w:ascii="Times New Roman" w:hAnsi="Times New Roman" w:cs="Times New Roman"/>
          <w:sz w:val="24"/>
          <w:szCs w:val="24"/>
        </w:rPr>
        <w:t>ama</w:t>
      </w:r>
      <w:r w:rsidR="008C08B3">
        <w:rPr>
          <w:rFonts w:ascii="Times New Roman" w:hAnsi="Times New Roman" w:cs="Times New Roman"/>
          <w:sz w:val="24"/>
          <w:szCs w:val="24"/>
        </w:rPr>
        <w:t>,</w:t>
      </w:r>
      <w:r w:rsidRPr="001839B7">
        <w:rPr>
          <w:rFonts w:ascii="Times New Roman" w:hAnsi="Times New Roman" w:cs="Times New Roman"/>
          <w:sz w:val="24"/>
          <w:szCs w:val="24"/>
        </w:rPr>
        <w:t xml:space="preserve"> 2001]. As a result, obesity is one of the most significant public health issues of our time and has </w:t>
      </w:r>
      <w:r w:rsidR="003F22C1" w:rsidRPr="001839B7">
        <w:rPr>
          <w:rFonts w:ascii="Times New Roman" w:hAnsi="Times New Roman" w:cs="Times New Roman"/>
          <w:sz w:val="24"/>
          <w:szCs w:val="24"/>
        </w:rPr>
        <w:t>substantial</w:t>
      </w:r>
      <w:r w:rsidRPr="001839B7">
        <w:rPr>
          <w:rFonts w:ascii="Times New Roman" w:hAnsi="Times New Roman" w:cs="Times New Roman"/>
          <w:sz w:val="24"/>
          <w:szCs w:val="24"/>
        </w:rPr>
        <w:t xml:space="preserve"> </w:t>
      </w:r>
      <w:r w:rsidR="002363E4" w:rsidRPr="001839B7">
        <w:rPr>
          <w:rFonts w:ascii="Times New Roman" w:hAnsi="Times New Roman" w:cs="Times New Roman"/>
          <w:sz w:val="24"/>
          <w:szCs w:val="24"/>
        </w:rPr>
        <w:t>allegations</w:t>
      </w:r>
      <w:r w:rsidRPr="001839B7">
        <w:rPr>
          <w:rFonts w:ascii="Times New Roman" w:hAnsi="Times New Roman" w:cs="Times New Roman"/>
          <w:sz w:val="24"/>
          <w:szCs w:val="24"/>
        </w:rPr>
        <w:t xml:space="preserve"> </w:t>
      </w:r>
      <w:r w:rsidR="002363E4" w:rsidRPr="001839B7">
        <w:rPr>
          <w:rFonts w:ascii="Times New Roman" w:hAnsi="Times New Roman" w:cs="Times New Roman"/>
          <w:sz w:val="24"/>
          <w:szCs w:val="24"/>
        </w:rPr>
        <w:t>used for</w:t>
      </w:r>
      <w:r w:rsidRPr="001839B7">
        <w:rPr>
          <w:rFonts w:ascii="Times New Roman" w:hAnsi="Times New Roman" w:cs="Times New Roman"/>
          <w:sz w:val="24"/>
          <w:szCs w:val="24"/>
        </w:rPr>
        <w:t xml:space="preserve"> </w:t>
      </w:r>
      <w:r w:rsidR="002363E4" w:rsidRPr="001839B7">
        <w:rPr>
          <w:rFonts w:ascii="Times New Roman" w:hAnsi="Times New Roman" w:cs="Times New Roman"/>
          <w:sz w:val="24"/>
          <w:szCs w:val="24"/>
        </w:rPr>
        <w:t>together</w:t>
      </w:r>
      <w:r w:rsidRPr="001839B7">
        <w:rPr>
          <w:rFonts w:ascii="Times New Roman" w:hAnsi="Times New Roman" w:cs="Times New Roman"/>
          <w:sz w:val="24"/>
          <w:szCs w:val="24"/>
        </w:rPr>
        <w:t xml:space="preserve"> the healthcare system and individual health. </w:t>
      </w:r>
      <w:r w:rsidR="002363E4" w:rsidRPr="002363E4">
        <w:rPr>
          <w:rFonts w:ascii="Times New Roman" w:hAnsi="Times New Roman" w:cs="Times New Roman"/>
          <w:sz w:val="24"/>
          <w:szCs w:val="24"/>
        </w:rPr>
        <w:t xml:space="preserve">Despite the fact that research have shown that accounting for body fat distribution </w:t>
      </w:r>
      <w:r w:rsidRPr="001839B7">
        <w:rPr>
          <w:rFonts w:ascii="Times New Roman" w:hAnsi="Times New Roman" w:cs="Times New Roman"/>
          <w:sz w:val="24"/>
          <w:szCs w:val="24"/>
        </w:rPr>
        <w:t xml:space="preserve">with measurements like waist circumference may improve disease prediction, obesity is traditionally defined based on body mass index (BMI), </w:t>
      </w:r>
      <w:r w:rsidR="000506BE" w:rsidRPr="001839B7">
        <w:rPr>
          <w:rFonts w:ascii="Times New Roman" w:hAnsi="Times New Roman" w:cs="Times New Roman"/>
          <w:sz w:val="24"/>
          <w:szCs w:val="24"/>
        </w:rPr>
        <w:t>contempt</w:t>
      </w:r>
      <w:r w:rsidRPr="001839B7">
        <w:rPr>
          <w:rFonts w:ascii="Times New Roman" w:hAnsi="Times New Roman" w:cs="Times New Roman"/>
          <w:sz w:val="24"/>
          <w:szCs w:val="24"/>
        </w:rPr>
        <w:t xml:space="preserve"> the fact that the BMI is known to be an imperfect measure of excessive or abnormal body fat accumulation [</w:t>
      </w:r>
      <w:r w:rsidR="006D65ED" w:rsidRPr="001839B7">
        <w:rPr>
          <w:rFonts w:ascii="Times New Roman" w:hAnsi="Times New Roman" w:cs="Times New Roman"/>
          <w:sz w:val="24"/>
          <w:szCs w:val="24"/>
        </w:rPr>
        <w:t>Shoelson</w:t>
      </w:r>
      <w:r w:rsidR="00572B42">
        <w:rPr>
          <w:rFonts w:ascii="Times New Roman" w:hAnsi="Times New Roman" w:cs="Times New Roman"/>
          <w:sz w:val="24"/>
          <w:szCs w:val="24"/>
        </w:rPr>
        <w:t xml:space="preserve"> </w:t>
      </w:r>
      <w:r w:rsidR="00156FF0">
        <w:rPr>
          <w:rFonts w:ascii="Times New Roman" w:hAnsi="Times New Roman" w:cs="Times New Roman"/>
          <w:sz w:val="24"/>
          <w:szCs w:val="24"/>
        </w:rPr>
        <w:t>et al.,</w:t>
      </w:r>
      <w:r w:rsidR="006D65ED" w:rsidRPr="001839B7">
        <w:rPr>
          <w:rFonts w:ascii="Times New Roman" w:hAnsi="Times New Roman" w:cs="Times New Roman"/>
          <w:sz w:val="24"/>
          <w:szCs w:val="24"/>
        </w:rPr>
        <w:t xml:space="preserve"> 2006</w:t>
      </w:r>
      <w:r w:rsidRPr="001839B7">
        <w:rPr>
          <w:rFonts w:ascii="Times New Roman" w:hAnsi="Times New Roman" w:cs="Times New Roman"/>
          <w:sz w:val="24"/>
          <w:szCs w:val="24"/>
        </w:rPr>
        <w:t xml:space="preserve">]. </w:t>
      </w:r>
      <w:r w:rsidR="000506BE" w:rsidRPr="000506BE">
        <w:rPr>
          <w:rFonts w:ascii="Times New Roman" w:hAnsi="Times New Roman" w:cs="Times New Roman"/>
          <w:sz w:val="24"/>
          <w:szCs w:val="24"/>
        </w:rPr>
        <w:t xml:space="preserve">Analyzing the molecular processes that cause the correlation between obesity and </w:t>
      </w:r>
      <w:r w:rsidRPr="001839B7">
        <w:rPr>
          <w:rFonts w:ascii="Times New Roman" w:hAnsi="Times New Roman" w:cs="Times New Roman"/>
          <w:sz w:val="24"/>
          <w:szCs w:val="24"/>
        </w:rPr>
        <w:t xml:space="preserve">chronic disease has identified a number of biomarkers as potential mediators. </w:t>
      </w:r>
      <w:r w:rsidR="00AB5D80" w:rsidRPr="001839B7">
        <w:rPr>
          <w:rFonts w:ascii="Times New Roman" w:hAnsi="Times New Roman" w:cs="Times New Roman"/>
          <w:sz w:val="24"/>
          <w:szCs w:val="24"/>
        </w:rPr>
        <w:t xml:space="preserve">These biomarkers for obesity include circulating cytokines and hormones like adipokines, which are hormones secreted by adipose tissue, as well as indicators at other biological levels like genetic or transcriptome markers that have recently been developed by more advanced omics technologies. The </w:t>
      </w:r>
      <w:r w:rsidR="003831A3" w:rsidRPr="001839B7">
        <w:rPr>
          <w:rFonts w:ascii="Times New Roman" w:hAnsi="Times New Roman" w:cs="Times New Roman"/>
          <w:sz w:val="24"/>
          <w:szCs w:val="24"/>
        </w:rPr>
        <w:t>probable</w:t>
      </w:r>
      <w:r w:rsidR="00AB5D80" w:rsidRPr="001839B7">
        <w:rPr>
          <w:rFonts w:ascii="Times New Roman" w:hAnsi="Times New Roman" w:cs="Times New Roman"/>
          <w:sz w:val="24"/>
          <w:szCs w:val="24"/>
        </w:rPr>
        <w:t xml:space="preserve"> for using obesity biomarkers for a different or expanded more accurate characterisation of the obese phenotype that is important for disease exists.</w:t>
      </w:r>
    </w:p>
    <w:p w14:paraId="5DE3B9C3" w14:textId="3CF61C34" w:rsidR="00AC132D" w:rsidRPr="001839B7" w:rsidRDefault="00AB5D80" w:rsidP="001839B7">
      <w:pPr>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            Insulin resistance, or reduced insulin-mediated glucose absorption, has been linked to obesity for more than three </w:t>
      </w:r>
      <w:r w:rsidR="00200899" w:rsidRPr="001839B7">
        <w:rPr>
          <w:rFonts w:ascii="Times New Roman" w:hAnsi="Times New Roman" w:cs="Times New Roman"/>
          <w:sz w:val="24"/>
          <w:szCs w:val="24"/>
        </w:rPr>
        <w:t>years</w:t>
      </w:r>
      <w:r w:rsidRPr="001839B7">
        <w:rPr>
          <w:rFonts w:ascii="Times New Roman" w:hAnsi="Times New Roman" w:cs="Times New Roman"/>
          <w:sz w:val="24"/>
          <w:szCs w:val="24"/>
        </w:rPr>
        <w:t xml:space="preserve"> </w:t>
      </w:r>
      <w:r w:rsidR="004D14F5">
        <w:rPr>
          <w:rFonts w:ascii="Times New Roman" w:hAnsi="Times New Roman" w:cs="Times New Roman"/>
          <w:sz w:val="24"/>
          <w:szCs w:val="24"/>
        </w:rPr>
        <w:t>[</w:t>
      </w:r>
      <w:r w:rsidRPr="001839B7">
        <w:rPr>
          <w:rFonts w:ascii="Times New Roman" w:hAnsi="Times New Roman" w:cs="Times New Roman"/>
          <w:sz w:val="24"/>
          <w:szCs w:val="24"/>
        </w:rPr>
        <w:t>Cardiol</w:t>
      </w:r>
      <w:r w:rsidR="00A84C7F">
        <w:rPr>
          <w:rFonts w:ascii="Times New Roman" w:hAnsi="Times New Roman" w:cs="Times New Roman"/>
          <w:sz w:val="24"/>
          <w:szCs w:val="24"/>
        </w:rPr>
        <w:t>,</w:t>
      </w:r>
      <w:r w:rsidRPr="001839B7">
        <w:rPr>
          <w:rFonts w:ascii="Times New Roman" w:hAnsi="Times New Roman" w:cs="Times New Roman"/>
          <w:sz w:val="24"/>
          <w:szCs w:val="24"/>
        </w:rPr>
        <w:t xml:space="preserve"> 2006]. Long-term insulin resistance is linked to hyperinsulinemia, which is hypothesized to result from the pancreatic beta cells' compensatory increase in insulin secretion to lower the raised blood glucose levels </w:t>
      </w:r>
      <w:r w:rsidR="00AC132D" w:rsidRPr="001839B7">
        <w:rPr>
          <w:rFonts w:ascii="Times New Roman" w:hAnsi="Times New Roman" w:cs="Times New Roman"/>
          <w:sz w:val="24"/>
          <w:szCs w:val="24"/>
        </w:rPr>
        <w:t>[</w:t>
      </w:r>
      <w:r w:rsidR="0022288E" w:rsidRPr="001839B7">
        <w:rPr>
          <w:rFonts w:ascii="Times New Roman" w:hAnsi="Times New Roman" w:cs="Times New Roman"/>
          <w:sz w:val="24"/>
          <w:szCs w:val="24"/>
        </w:rPr>
        <w:t>Sjohoim</w:t>
      </w:r>
      <w:r w:rsidR="004D14F5">
        <w:rPr>
          <w:rFonts w:ascii="Times New Roman" w:hAnsi="Times New Roman" w:cs="Times New Roman"/>
          <w:sz w:val="24"/>
          <w:szCs w:val="24"/>
        </w:rPr>
        <w:t xml:space="preserve"> and</w:t>
      </w:r>
      <w:r w:rsidR="0022288E" w:rsidRPr="001839B7">
        <w:rPr>
          <w:rFonts w:ascii="Times New Roman" w:hAnsi="Times New Roman" w:cs="Times New Roman"/>
          <w:sz w:val="24"/>
          <w:szCs w:val="24"/>
        </w:rPr>
        <w:t xml:space="preserve"> Nystr</w:t>
      </w:r>
      <w:r w:rsidR="004D14F5">
        <w:rPr>
          <w:rFonts w:ascii="Times New Roman" w:hAnsi="Times New Roman" w:cs="Times New Roman"/>
          <w:sz w:val="24"/>
          <w:szCs w:val="24"/>
        </w:rPr>
        <w:t>o</w:t>
      </w:r>
      <w:r w:rsidR="0022288E" w:rsidRPr="001839B7">
        <w:rPr>
          <w:rFonts w:ascii="Times New Roman" w:hAnsi="Times New Roman" w:cs="Times New Roman"/>
          <w:sz w:val="24"/>
          <w:szCs w:val="24"/>
        </w:rPr>
        <w:t>m</w:t>
      </w:r>
      <w:r w:rsidR="004D14F5">
        <w:rPr>
          <w:rFonts w:ascii="Times New Roman" w:hAnsi="Times New Roman" w:cs="Times New Roman"/>
          <w:sz w:val="24"/>
          <w:szCs w:val="24"/>
        </w:rPr>
        <w:t xml:space="preserve"> </w:t>
      </w:r>
      <w:r w:rsidR="00ED128B">
        <w:rPr>
          <w:rFonts w:ascii="Times New Roman" w:hAnsi="Times New Roman" w:cs="Times New Roman"/>
          <w:sz w:val="24"/>
          <w:szCs w:val="24"/>
        </w:rPr>
        <w:t xml:space="preserve">et </w:t>
      </w:r>
      <w:r w:rsidR="00ED128B">
        <w:rPr>
          <w:rFonts w:ascii="Times New Roman" w:hAnsi="Times New Roman" w:cs="Times New Roman"/>
          <w:sz w:val="24"/>
          <w:szCs w:val="24"/>
        </w:rPr>
        <w:lastRenderedPageBreak/>
        <w:t>al.,</w:t>
      </w:r>
      <w:r w:rsidR="00B83535" w:rsidRPr="001839B7">
        <w:rPr>
          <w:rFonts w:ascii="Times New Roman" w:hAnsi="Times New Roman" w:cs="Times New Roman"/>
          <w:sz w:val="24"/>
          <w:szCs w:val="24"/>
        </w:rPr>
        <w:t xml:space="preserve"> 2005</w:t>
      </w:r>
      <w:r w:rsidR="00AC132D" w:rsidRPr="001839B7">
        <w:rPr>
          <w:rFonts w:ascii="Times New Roman" w:hAnsi="Times New Roman" w:cs="Times New Roman"/>
          <w:sz w:val="24"/>
          <w:szCs w:val="24"/>
        </w:rPr>
        <w:t xml:space="preserve">]. </w:t>
      </w:r>
      <w:r w:rsidRPr="001839B7">
        <w:rPr>
          <w:rFonts w:ascii="Times New Roman" w:hAnsi="Times New Roman" w:cs="Times New Roman"/>
          <w:sz w:val="24"/>
          <w:szCs w:val="24"/>
        </w:rPr>
        <w:t>A distinct series of events has recently been proposed, according to which obesity first causes hyperinsulinemia, which is then followed by insulin resistance brought on by downstream pathways [</w:t>
      </w:r>
      <w:r w:rsidR="00F368E8" w:rsidRPr="001839B7">
        <w:rPr>
          <w:rFonts w:ascii="Times New Roman" w:hAnsi="Times New Roman" w:cs="Times New Roman"/>
          <w:sz w:val="24"/>
          <w:szCs w:val="24"/>
        </w:rPr>
        <w:t xml:space="preserve">Kannel </w:t>
      </w:r>
      <w:r w:rsidR="00ED128B">
        <w:rPr>
          <w:rFonts w:ascii="Times New Roman" w:hAnsi="Times New Roman" w:cs="Times New Roman"/>
          <w:sz w:val="24"/>
          <w:szCs w:val="24"/>
        </w:rPr>
        <w:t xml:space="preserve">et al., </w:t>
      </w:r>
      <w:r w:rsidR="00F368E8" w:rsidRPr="001839B7">
        <w:rPr>
          <w:rFonts w:ascii="Times New Roman" w:hAnsi="Times New Roman" w:cs="Times New Roman"/>
          <w:sz w:val="24"/>
          <w:szCs w:val="24"/>
        </w:rPr>
        <w:t>1979</w:t>
      </w:r>
      <w:r w:rsidRPr="001839B7">
        <w:rPr>
          <w:rFonts w:ascii="Times New Roman" w:hAnsi="Times New Roman" w:cs="Times New Roman"/>
          <w:sz w:val="24"/>
          <w:szCs w:val="24"/>
        </w:rPr>
        <w:t xml:space="preserve">]. Obesity and chronic diseases like diabetes and cardiovascular disease may be related through insulin resistance and hyperinsulinemia. The IGF system, an evolutionary conserved set of factors that has an ongoing impact on growth, is </w:t>
      </w:r>
      <w:r w:rsidR="00D066F2" w:rsidRPr="001839B7">
        <w:rPr>
          <w:rFonts w:ascii="Times New Roman" w:hAnsi="Times New Roman" w:cs="Times New Roman"/>
          <w:sz w:val="24"/>
          <w:szCs w:val="24"/>
        </w:rPr>
        <w:t>strictly</w:t>
      </w:r>
      <w:r w:rsidRPr="001839B7">
        <w:rPr>
          <w:rFonts w:ascii="Times New Roman" w:hAnsi="Times New Roman" w:cs="Times New Roman"/>
          <w:sz w:val="24"/>
          <w:szCs w:val="24"/>
        </w:rPr>
        <w:t xml:space="preserve"> </w:t>
      </w:r>
      <w:r w:rsidR="00D066F2" w:rsidRPr="001839B7">
        <w:rPr>
          <w:rFonts w:ascii="Times New Roman" w:hAnsi="Times New Roman" w:cs="Times New Roman"/>
          <w:sz w:val="24"/>
          <w:szCs w:val="24"/>
        </w:rPr>
        <w:t>connected</w:t>
      </w:r>
      <w:r w:rsidRPr="001839B7">
        <w:rPr>
          <w:rFonts w:ascii="Times New Roman" w:hAnsi="Times New Roman" w:cs="Times New Roman"/>
          <w:sz w:val="24"/>
          <w:szCs w:val="24"/>
        </w:rPr>
        <w:t xml:space="preserve"> to insulin metabolism [</w:t>
      </w:r>
      <w:r w:rsidR="00385F62" w:rsidRPr="001839B7">
        <w:rPr>
          <w:rFonts w:ascii="Times New Roman" w:hAnsi="Times New Roman" w:cs="Times New Roman"/>
          <w:sz w:val="24"/>
          <w:szCs w:val="24"/>
        </w:rPr>
        <w:t xml:space="preserve">Garcia </w:t>
      </w:r>
      <w:r w:rsidR="00ED128B">
        <w:rPr>
          <w:rFonts w:ascii="Times New Roman" w:hAnsi="Times New Roman" w:cs="Times New Roman"/>
          <w:sz w:val="24"/>
          <w:szCs w:val="24"/>
        </w:rPr>
        <w:t xml:space="preserve">et al., </w:t>
      </w:r>
      <w:r w:rsidR="00385F62" w:rsidRPr="001839B7">
        <w:rPr>
          <w:rFonts w:ascii="Times New Roman" w:hAnsi="Times New Roman" w:cs="Times New Roman"/>
          <w:sz w:val="24"/>
          <w:szCs w:val="24"/>
        </w:rPr>
        <w:t>1974</w:t>
      </w:r>
      <w:r w:rsidRPr="001839B7">
        <w:rPr>
          <w:rFonts w:ascii="Times New Roman" w:hAnsi="Times New Roman" w:cs="Times New Roman"/>
          <w:sz w:val="24"/>
          <w:szCs w:val="24"/>
        </w:rPr>
        <w:t>]. IGF-1 has been linked to the formation of cancer because it affects cell proliferation, differentiation, migration, and survival in both healthy and genetically damaged cells [</w:t>
      </w:r>
      <w:r w:rsidR="007B64FB" w:rsidRPr="001839B7">
        <w:rPr>
          <w:rFonts w:ascii="Times New Roman" w:hAnsi="Times New Roman" w:cs="Times New Roman"/>
          <w:sz w:val="24"/>
          <w:szCs w:val="24"/>
        </w:rPr>
        <w:t xml:space="preserve">Susan </w:t>
      </w:r>
      <w:r w:rsidR="00ED128B">
        <w:rPr>
          <w:rFonts w:ascii="Times New Roman" w:hAnsi="Times New Roman" w:cs="Times New Roman"/>
          <w:sz w:val="24"/>
          <w:szCs w:val="24"/>
        </w:rPr>
        <w:t xml:space="preserve">et al., </w:t>
      </w:r>
      <w:r w:rsidR="00BA2A79" w:rsidRPr="001839B7">
        <w:rPr>
          <w:rFonts w:ascii="Times New Roman" w:hAnsi="Times New Roman" w:cs="Times New Roman"/>
          <w:sz w:val="24"/>
          <w:szCs w:val="24"/>
        </w:rPr>
        <w:t>2004</w:t>
      </w:r>
      <w:r w:rsidRPr="001839B7">
        <w:rPr>
          <w:rFonts w:ascii="Times New Roman" w:hAnsi="Times New Roman" w:cs="Times New Roman"/>
          <w:sz w:val="24"/>
          <w:szCs w:val="24"/>
        </w:rPr>
        <w:t xml:space="preserve">]. Additionally, it has been </w:t>
      </w:r>
      <w:r w:rsidR="002D5CF7" w:rsidRPr="001839B7">
        <w:rPr>
          <w:rFonts w:ascii="Times New Roman" w:hAnsi="Times New Roman" w:cs="Times New Roman"/>
          <w:sz w:val="24"/>
          <w:szCs w:val="24"/>
        </w:rPr>
        <w:t>established</w:t>
      </w:r>
      <w:r w:rsidRPr="001839B7">
        <w:rPr>
          <w:rFonts w:ascii="Times New Roman" w:hAnsi="Times New Roman" w:cs="Times New Roman"/>
          <w:sz w:val="24"/>
          <w:szCs w:val="24"/>
        </w:rPr>
        <w:t xml:space="preserve"> that insulin has growth-promoting effects by boosting cell proliferation and suppressing apoptosis [</w:t>
      </w:r>
      <w:r w:rsidR="00A70245" w:rsidRPr="001839B7">
        <w:rPr>
          <w:rFonts w:ascii="Times New Roman" w:hAnsi="Times New Roman" w:cs="Times New Roman"/>
          <w:sz w:val="24"/>
          <w:szCs w:val="24"/>
        </w:rPr>
        <w:t>Ridker</w:t>
      </w:r>
      <w:r w:rsidR="00FA34F2">
        <w:rPr>
          <w:rFonts w:ascii="Times New Roman" w:hAnsi="Times New Roman" w:cs="Times New Roman"/>
          <w:sz w:val="24"/>
          <w:szCs w:val="24"/>
        </w:rPr>
        <w:t xml:space="preserve"> </w:t>
      </w:r>
      <w:r w:rsidR="00ED128B">
        <w:rPr>
          <w:rFonts w:ascii="Times New Roman" w:hAnsi="Times New Roman" w:cs="Times New Roman"/>
          <w:sz w:val="24"/>
          <w:szCs w:val="24"/>
        </w:rPr>
        <w:t xml:space="preserve">et al., </w:t>
      </w:r>
      <w:r w:rsidR="0031688B" w:rsidRPr="001839B7">
        <w:rPr>
          <w:rFonts w:ascii="Times New Roman" w:hAnsi="Times New Roman" w:cs="Times New Roman"/>
          <w:sz w:val="24"/>
          <w:szCs w:val="24"/>
        </w:rPr>
        <w:t>2002</w:t>
      </w:r>
      <w:r w:rsidRPr="001839B7">
        <w:rPr>
          <w:rFonts w:ascii="Times New Roman" w:hAnsi="Times New Roman" w:cs="Times New Roman"/>
          <w:sz w:val="24"/>
          <w:szCs w:val="24"/>
        </w:rPr>
        <w:t>]. As a result, insulin may have an impact on cancer risk. By downregulating the synthesis of IGF binding proteins (IGFBP-1, IGFBP-2) on the one hand and by increasing hepatic IGF-1 production on the other, hyperinsulinemia increases the bioavailability of free, active IGF-1. Thus, one molecular mechanism between obesity and the risk of developing cancer has been suggested using insulin and the IGF axis [</w:t>
      </w:r>
      <w:r w:rsidR="00B87C1E" w:rsidRPr="001839B7">
        <w:rPr>
          <w:rFonts w:ascii="Times New Roman" w:hAnsi="Times New Roman" w:cs="Times New Roman"/>
          <w:sz w:val="24"/>
          <w:szCs w:val="24"/>
        </w:rPr>
        <w:t xml:space="preserve">Cermak </w:t>
      </w:r>
      <w:r w:rsidR="00ED128B">
        <w:rPr>
          <w:rFonts w:ascii="Times New Roman" w:hAnsi="Times New Roman" w:cs="Times New Roman"/>
          <w:sz w:val="24"/>
          <w:szCs w:val="24"/>
        </w:rPr>
        <w:t xml:space="preserve">et al., </w:t>
      </w:r>
      <w:r w:rsidR="00B87C1E" w:rsidRPr="001839B7">
        <w:rPr>
          <w:rFonts w:ascii="Times New Roman" w:hAnsi="Times New Roman" w:cs="Times New Roman"/>
          <w:sz w:val="24"/>
          <w:szCs w:val="24"/>
        </w:rPr>
        <w:t>1993</w:t>
      </w:r>
      <w:r w:rsidRPr="001839B7">
        <w:rPr>
          <w:rFonts w:ascii="Times New Roman" w:hAnsi="Times New Roman" w:cs="Times New Roman"/>
          <w:sz w:val="24"/>
          <w:szCs w:val="24"/>
        </w:rPr>
        <w:t xml:space="preserve">]. Contrarily, experimental trials on </w:t>
      </w:r>
      <w:r w:rsidR="00AC256C" w:rsidRPr="001839B7">
        <w:rPr>
          <w:rFonts w:ascii="Times New Roman" w:hAnsi="Times New Roman" w:cs="Times New Roman"/>
          <w:sz w:val="24"/>
          <w:szCs w:val="24"/>
        </w:rPr>
        <w:t>public</w:t>
      </w:r>
      <w:r w:rsidRPr="001839B7">
        <w:rPr>
          <w:rFonts w:ascii="Times New Roman" w:hAnsi="Times New Roman" w:cs="Times New Roman"/>
          <w:sz w:val="24"/>
          <w:szCs w:val="24"/>
        </w:rPr>
        <w:t xml:space="preserve"> with diabetes revealed that administering IGF-1, particularly in conjunction with IGFBP-3, lowers the need for insulin and enhances glucose homeostasis [</w:t>
      </w:r>
      <w:r w:rsidR="00E91398" w:rsidRPr="001839B7">
        <w:rPr>
          <w:rFonts w:ascii="Times New Roman" w:hAnsi="Times New Roman" w:cs="Times New Roman"/>
          <w:sz w:val="24"/>
          <w:szCs w:val="24"/>
        </w:rPr>
        <w:t>Pradhan</w:t>
      </w:r>
      <w:r w:rsidR="00AC256C">
        <w:rPr>
          <w:rFonts w:ascii="Times New Roman" w:hAnsi="Times New Roman" w:cs="Times New Roman"/>
          <w:sz w:val="24"/>
          <w:szCs w:val="24"/>
        </w:rPr>
        <w:t xml:space="preserve"> </w:t>
      </w:r>
      <w:r w:rsidR="00ED128B">
        <w:rPr>
          <w:rFonts w:ascii="Times New Roman" w:hAnsi="Times New Roman" w:cs="Times New Roman"/>
          <w:sz w:val="24"/>
          <w:szCs w:val="24"/>
        </w:rPr>
        <w:t>et al.,</w:t>
      </w:r>
      <w:r w:rsidR="00A84C7F">
        <w:rPr>
          <w:rFonts w:ascii="Times New Roman" w:hAnsi="Times New Roman" w:cs="Times New Roman"/>
          <w:sz w:val="24"/>
          <w:szCs w:val="24"/>
        </w:rPr>
        <w:t xml:space="preserve"> </w:t>
      </w:r>
      <w:r w:rsidR="00472492" w:rsidRPr="001839B7">
        <w:rPr>
          <w:rFonts w:ascii="Times New Roman" w:hAnsi="Times New Roman" w:cs="Times New Roman"/>
          <w:sz w:val="24"/>
          <w:szCs w:val="24"/>
        </w:rPr>
        <w:t>2001</w:t>
      </w:r>
      <w:r w:rsidRPr="001839B7">
        <w:rPr>
          <w:rFonts w:ascii="Times New Roman" w:hAnsi="Times New Roman" w:cs="Times New Roman"/>
          <w:sz w:val="24"/>
          <w:szCs w:val="24"/>
        </w:rPr>
        <w:t xml:space="preserve">]. Additionally, according to experimental studies, IGF-1 lowers the burden of atherosclerotic plaque through controlling oxidative and inflammatory processes, cell senescence, and epigenetic alterations [Eur J Endocrinol 1997]. </w:t>
      </w:r>
      <w:r w:rsidR="00930AB5">
        <w:rPr>
          <w:rFonts w:ascii="Times New Roman" w:hAnsi="Times New Roman" w:cs="Times New Roman"/>
          <w:sz w:val="24"/>
          <w:szCs w:val="24"/>
        </w:rPr>
        <w:t xml:space="preserve"> </w:t>
      </w:r>
      <w:r w:rsidRPr="001839B7">
        <w:rPr>
          <w:rFonts w:ascii="Times New Roman" w:hAnsi="Times New Roman" w:cs="Times New Roman"/>
          <w:sz w:val="24"/>
          <w:szCs w:val="24"/>
        </w:rPr>
        <w:t>Adipokines are a group of hormones secreted by the adipose tissue, an active endocrine organ that mediates the metabolic and inflammatory effects of obesity and may establish a relationship between obesity and disease risk [</w:t>
      </w:r>
      <w:r w:rsidR="00D148A0" w:rsidRPr="001839B7">
        <w:rPr>
          <w:rFonts w:ascii="Times New Roman" w:hAnsi="Times New Roman" w:cs="Times New Roman"/>
          <w:sz w:val="24"/>
          <w:szCs w:val="24"/>
        </w:rPr>
        <w:t>Haffner</w:t>
      </w:r>
      <w:r w:rsidR="00AC256C">
        <w:rPr>
          <w:rFonts w:ascii="Times New Roman" w:hAnsi="Times New Roman" w:cs="Times New Roman"/>
          <w:sz w:val="24"/>
          <w:szCs w:val="24"/>
        </w:rPr>
        <w:t xml:space="preserve">, </w:t>
      </w:r>
      <w:r w:rsidR="00D148A0" w:rsidRPr="001839B7">
        <w:rPr>
          <w:rFonts w:ascii="Times New Roman" w:hAnsi="Times New Roman" w:cs="Times New Roman"/>
          <w:sz w:val="24"/>
          <w:szCs w:val="24"/>
        </w:rPr>
        <w:t>2006</w:t>
      </w:r>
      <w:r w:rsidRPr="001839B7">
        <w:rPr>
          <w:rFonts w:ascii="Times New Roman" w:hAnsi="Times New Roman" w:cs="Times New Roman"/>
          <w:sz w:val="24"/>
          <w:szCs w:val="24"/>
        </w:rPr>
        <w:t>]. Leptin and adiponectin are the most prevalent and best understood adipokines, whereas more recently, adipokines like resist</w:t>
      </w:r>
      <w:r w:rsidR="00930AB5">
        <w:rPr>
          <w:rFonts w:ascii="Times New Roman" w:hAnsi="Times New Roman" w:cs="Times New Roman"/>
          <w:sz w:val="24"/>
          <w:szCs w:val="24"/>
        </w:rPr>
        <w:t xml:space="preserve"> </w:t>
      </w:r>
      <w:r w:rsidRPr="001839B7">
        <w:rPr>
          <w:rFonts w:ascii="Times New Roman" w:hAnsi="Times New Roman" w:cs="Times New Roman"/>
          <w:sz w:val="24"/>
          <w:szCs w:val="24"/>
        </w:rPr>
        <w:t xml:space="preserve">in, fatty-acid binding protein-4 (FABP-4), omentin, lipokalin-2, and chemerin have been suggested to play a role in the negative health effects of obesity. Adipose tissue is where adiponectin and leptin are largely expressed. In </w:t>
      </w:r>
      <w:r w:rsidR="00AC256C" w:rsidRPr="001839B7">
        <w:rPr>
          <w:rFonts w:ascii="Times New Roman" w:hAnsi="Times New Roman" w:cs="Times New Roman"/>
          <w:sz w:val="24"/>
          <w:szCs w:val="24"/>
        </w:rPr>
        <w:t>divergence</w:t>
      </w:r>
      <w:r w:rsidRPr="001839B7">
        <w:rPr>
          <w:rFonts w:ascii="Times New Roman" w:hAnsi="Times New Roman" w:cs="Times New Roman"/>
          <w:sz w:val="24"/>
          <w:szCs w:val="24"/>
        </w:rPr>
        <w:t xml:space="preserve"> to the majority of other adipokines, adiponectin expression is downregulated in adipose tissue in obese persons, leading to </w:t>
      </w:r>
      <w:r w:rsidR="008B109D" w:rsidRPr="008B109D">
        <w:rPr>
          <w:rFonts w:ascii="Times New Roman" w:hAnsi="Times New Roman" w:cs="Times New Roman"/>
          <w:sz w:val="24"/>
          <w:szCs w:val="24"/>
        </w:rPr>
        <w:t xml:space="preserve">the finding that obese people have lower levels of adiponectin than people of normal weight </w:t>
      </w:r>
      <w:r w:rsidRPr="001839B7">
        <w:rPr>
          <w:rFonts w:ascii="Times New Roman" w:hAnsi="Times New Roman" w:cs="Times New Roman"/>
          <w:sz w:val="24"/>
          <w:szCs w:val="24"/>
        </w:rPr>
        <w:t>[</w:t>
      </w:r>
      <w:r w:rsidR="00695E95" w:rsidRPr="001839B7">
        <w:rPr>
          <w:rFonts w:ascii="Times New Roman" w:hAnsi="Times New Roman" w:cs="Times New Roman"/>
          <w:sz w:val="24"/>
          <w:szCs w:val="24"/>
        </w:rPr>
        <w:t>Leipold,</w:t>
      </w:r>
      <w:r w:rsidR="00C80892">
        <w:rPr>
          <w:rFonts w:ascii="Times New Roman" w:hAnsi="Times New Roman" w:cs="Times New Roman"/>
          <w:sz w:val="24"/>
          <w:szCs w:val="24"/>
        </w:rPr>
        <w:t xml:space="preserve"> </w:t>
      </w:r>
      <w:r w:rsidR="00695E95" w:rsidRPr="001839B7">
        <w:rPr>
          <w:rFonts w:ascii="Times New Roman" w:hAnsi="Times New Roman" w:cs="Times New Roman"/>
          <w:sz w:val="24"/>
          <w:szCs w:val="24"/>
        </w:rPr>
        <w:t>2005</w:t>
      </w:r>
      <w:r w:rsidRPr="001839B7">
        <w:rPr>
          <w:rFonts w:ascii="Times New Roman" w:hAnsi="Times New Roman" w:cs="Times New Roman"/>
          <w:sz w:val="24"/>
          <w:szCs w:val="24"/>
        </w:rPr>
        <w:t xml:space="preserve">]. In </w:t>
      </w:r>
      <w:r w:rsidR="00965234" w:rsidRPr="001839B7">
        <w:rPr>
          <w:rFonts w:ascii="Times New Roman" w:hAnsi="Times New Roman" w:cs="Times New Roman"/>
          <w:sz w:val="24"/>
          <w:szCs w:val="24"/>
        </w:rPr>
        <w:t>accumulation</w:t>
      </w:r>
      <w:r w:rsidRPr="001839B7">
        <w:rPr>
          <w:rFonts w:ascii="Times New Roman" w:hAnsi="Times New Roman" w:cs="Times New Roman"/>
          <w:sz w:val="24"/>
          <w:szCs w:val="24"/>
        </w:rPr>
        <w:t xml:space="preserve"> </w:t>
      </w:r>
      <w:r w:rsidR="00965234">
        <w:rPr>
          <w:rFonts w:ascii="Times New Roman" w:hAnsi="Times New Roman" w:cs="Times New Roman"/>
          <w:sz w:val="24"/>
          <w:szCs w:val="24"/>
        </w:rPr>
        <w:t>of</w:t>
      </w:r>
      <w:r w:rsidRPr="001839B7">
        <w:rPr>
          <w:rFonts w:ascii="Times New Roman" w:hAnsi="Times New Roman" w:cs="Times New Roman"/>
          <w:sz w:val="24"/>
          <w:szCs w:val="24"/>
        </w:rPr>
        <w:t xml:space="preserve"> its role in energy metabolism, adiponectin also has anti-inflammatory and insulin-sensitizing properties [</w:t>
      </w:r>
      <w:r w:rsidR="00F96C68" w:rsidRPr="001839B7">
        <w:rPr>
          <w:rFonts w:ascii="Times New Roman" w:hAnsi="Times New Roman" w:cs="Times New Roman"/>
          <w:sz w:val="24"/>
          <w:szCs w:val="24"/>
        </w:rPr>
        <w:t>Danesh</w:t>
      </w:r>
      <w:r w:rsidR="0055455F">
        <w:rPr>
          <w:rFonts w:ascii="Times New Roman" w:hAnsi="Times New Roman" w:cs="Times New Roman"/>
          <w:sz w:val="24"/>
          <w:szCs w:val="24"/>
        </w:rPr>
        <w:t xml:space="preserve"> </w:t>
      </w:r>
      <w:r w:rsidR="00ED128B">
        <w:rPr>
          <w:rFonts w:ascii="Times New Roman" w:hAnsi="Times New Roman" w:cs="Times New Roman"/>
          <w:sz w:val="24"/>
          <w:szCs w:val="24"/>
        </w:rPr>
        <w:t xml:space="preserve">et al., </w:t>
      </w:r>
      <w:r w:rsidR="00F96C68" w:rsidRPr="001839B7">
        <w:rPr>
          <w:rFonts w:ascii="Times New Roman" w:hAnsi="Times New Roman" w:cs="Times New Roman"/>
          <w:sz w:val="24"/>
          <w:szCs w:val="24"/>
        </w:rPr>
        <w:t>2</w:t>
      </w:r>
      <w:r w:rsidR="00304905" w:rsidRPr="001839B7">
        <w:rPr>
          <w:rFonts w:ascii="Times New Roman" w:hAnsi="Times New Roman" w:cs="Times New Roman"/>
          <w:sz w:val="24"/>
          <w:szCs w:val="24"/>
        </w:rPr>
        <w:t>0</w:t>
      </w:r>
      <w:r w:rsidR="00F96C68" w:rsidRPr="001839B7">
        <w:rPr>
          <w:rFonts w:ascii="Times New Roman" w:hAnsi="Times New Roman" w:cs="Times New Roman"/>
          <w:sz w:val="24"/>
          <w:szCs w:val="24"/>
        </w:rPr>
        <w:t>0</w:t>
      </w:r>
      <w:r w:rsidR="00304905" w:rsidRPr="001839B7">
        <w:rPr>
          <w:rFonts w:ascii="Times New Roman" w:hAnsi="Times New Roman" w:cs="Times New Roman"/>
          <w:sz w:val="24"/>
          <w:szCs w:val="24"/>
        </w:rPr>
        <w:t>2</w:t>
      </w:r>
      <w:r w:rsidRPr="001839B7">
        <w:rPr>
          <w:rFonts w:ascii="Times New Roman" w:hAnsi="Times New Roman" w:cs="Times New Roman"/>
          <w:sz w:val="24"/>
          <w:szCs w:val="24"/>
        </w:rPr>
        <w:t xml:space="preserve">]. A meta-analysis of 16 prospective cohort studies found no evidence of a </w:t>
      </w:r>
      <w:r w:rsidR="00965234" w:rsidRPr="001839B7">
        <w:rPr>
          <w:rFonts w:ascii="Times New Roman" w:hAnsi="Times New Roman" w:cs="Times New Roman"/>
          <w:sz w:val="24"/>
          <w:szCs w:val="24"/>
        </w:rPr>
        <w:t>linkage</w:t>
      </w:r>
      <w:r w:rsidRPr="001839B7">
        <w:rPr>
          <w:rFonts w:ascii="Times New Roman" w:hAnsi="Times New Roman" w:cs="Times New Roman"/>
          <w:sz w:val="24"/>
          <w:szCs w:val="24"/>
        </w:rPr>
        <w:t xml:space="preserve"> </w:t>
      </w:r>
      <w:r w:rsidR="00965234" w:rsidRPr="001839B7">
        <w:rPr>
          <w:rFonts w:ascii="Times New Roman" w:hAnsi="Times New Roman" w:cs="Times New Roman"/>
          <w:sz w:val="24"/>
          <w:szCs w:val="24"/>
        </w:rPr>
        <w:t>among</w:t>
      </w:r>
      <w:r w:rsidRPr="001839B7">
        <w:rPr>
          <w:rFonts w:ascii="Times New Roman" w:hAnsi="Times New Roman" w:cs="Times New Roman"/>
          <w:sz w:val="24"/>
          <w:szCs w:val="24"/>
        </w:rPr>
        <w:t xml:space="preserve"> circulating adiponectin and coronary heart disease or stroke [</w:t>
      </w:r>
      <w:r w:rsidR="00782E16" w:rsidRPr="001839B7">
        <w:rPr>
          <w:rFonts w:ascii="Times New Roman" w:hAnsi="Times New Roman" w:cs="Times New Roman"/>
          <w:sz w:val="24"/>
          <w:szCs w:val="24"/>
        </w:rPr>
        <w:t>Dutor A</w:t>
      </w:r>
      <w:r w:rsidR="00A84C7F">
        <w:rPr>
          <w:rFonts w:ascii="Times New Roman" w:hAnsi="Times New Roman" w:cs="Times New Roman"/>
          <w:sz w:val="24"/>
          <w:szCs w:val="24"/>
        </w:rPr>
        <w:t xml:space="preserve">, </w:t>
      </w:r>
      <w:r w:rsidR="00782E16" w:rsidRPr="001839B7">
        <w:rPr>
          <w:rFonts w:ascii="Times New Roman" w:hAnsi="Times New Roman" w:cs="Times New Roman"/>
          <w:sz w:val="24"/>
          <w:szCs w:val="24"/>
        </w:rPr>
        <w:t>1997</w:t>
      </w:r>
      <w:r w:rsidRPr="001839B7">
        <w:rPr>
          <w:rFonts w:ascii="Times New Roman" w:hAnsi="Times New Roman" w:cs="Times New Roman"/>
          <w:sz w:val="24"/>
          <w:szCs w:val="24"/>
        </w:rPr>
        <w:t xml:space="preserve">], despite the fact that adiponectin has been suggested to have cardioprotective and anti-atherogenic properties. The idea that adiponectin </w:t>
      </w:r>
      <w:r w:rsidR="007A3C86" w:rsidRPr="007A3C86">
        <w:rPr>
          <w:rFonts w:ascii="Times New Roman" w:hAnsi="Times New Roman" w:cs="Times New Roman"/>
          <w:sz w:val="24"/>
          <w:szCs w:val="24"/>
        </w:rPr>
        <w:t>was also disproven to play a causal role in the pathophysiology of coronary heart disease</w:t>
      </w:r>
      <w:r w:rsidRPr="001839B7">
        <w:rPr>
          <w:rFonts w:ascii="Times New Roman" w:hAnsi="Times New Roman" w:cs="Times New Roman"/>
          <w:sz w:val="24"/>
          <w:szCs w:val="24"/>
        </w:rPr>
        <w:t xml:space="preserve"> by a Mendelian Randomization study </w:t>
      </w:r>
      <w:r w:rsidRPr="001839B7">
        <w:rPr>
          <w:rFonts w:ascii="Times New Roman" w:hAnsi="Times New Roman" w:cs="Times New Roman"/>
          <w:sz w:val="24"/>
          <w:szCs w:val="24"/>
        </w:rPr>
        <w:lastRenderedPageBreak/>
        <w:t>[</w:t>
      </w:r>
      <w:r w:rsidR="000F5748" w:rsidRPr="001839B7">
        <w:rPr>
          <w:rFonts w:ascii="Times New Roman" w:hAnsi="Times New Roman" w:cs="Times New Roman"/>
          <w:sz w:val="24"/>
          <w:szCs w:val="24"/>
        </w:rPr>
        <w:t>Brownlee M.</w:t>
      </w:r>
      <w:r w:rsidR="0055455F">
        <w:rPr>
          <w:rFonts w:ascii="Times New Roman" w:hAnsi="Times New Roman" w:cs="Times New Roman"/>
          <w:sz w:val="24"/>
          <w:szCs w:val="24"/>
        </w:rPr>
        <w:t xml:space="preserve">, </w:t>
      </w:r>
      <w:r w:rsidR="000F5748" w:rsidRPr="001839B7">
        <w:rPr>
          <w:rFonts w:ascii="Times New Roman" w:hAnsi="Times New Roman" w:cs="Times New Roman"/>
          <w:sz w:val="24"/>
          <w:szCs w:val="24"/>
        </w:rPr>
        <w:t>2001</w:t>
      </w:r>
      <w:r w:rsidRPr="001839B7">
        <w:rPr>
          <w:rFonts w:ascii="Times New Roman" w:hAnsi="Times New Roman" w:cs="Times New Roman"/>
          <w:sz w:val="24"/>
          <w:szCs w:val="24"/>
        </w:rPr>
        <w:t xml:space="preserve">]. Adiponectin has been linked to a protective role in the development of cancer, especially colorectal cancer, either directly through its role in the inhibition of cell growth and induction of apoptosis or indirectly </w:t>
      </w:r>
      <w:r w:rsidR="0087003B" w:rsidRPr="001839B7">
        <w:rPr>
          <w:rFonts w:ascii="Times New Roman" w:hAnsi="Times New Roman" w:cs="Times New Roman"/>
          <w:sz w:val="24"/>
          <w:szCs w:val="24"/>
        </w:rPr>
        <w:t>complete</w:t>
      </w:r>
      <w:r w:rsidRPr="001839B7">
        <w:rPr>
          <w:rFonts w:ascii="Times New Roman" w:hAnsi="Times New Roman" w:cs="Times New Roman"/>
          <w:sz w:val="24"/>
          <w:szCs w:val="24"/>
        </w:rPr>
        <w:t xml:space="preserve"> its positive effects on insulin sensitivity and decreased inflammation [Eur J Epidemiol</w:t>
      </w:r>
      <w:r w:rsidR="008F359D">
        <w:rPr>
          <w:rFonts w:ascii="Times New Roman" w:hAnsi="Times New Roman" w:cs="Times New Roman"/>
          <w:sz w:val="24"/>
          <w:szCs w:val="24"/>
        </w:rPr>
        <w:t>,</w:t>
      </w:r>
      <w:r w:rsidRPr="001839B7">
        <w:rPr>
          <w:rFonts w:ascii="Times New Roman" w:hAnsi="Times New Roman" w:cs="Times New Roman"/>
          <w:sz w:val="24"/>
          <w:szCs w:val="24"/>
        </w:rPr>
        <w:t xml:space="preserve"> 2017]. </w:t>
      </w:r>
      <w:r w:rsidR="0055455F" w:rsidRPr="001839B7">
        <w:rPr>
          <w:rFonts w:ascii="Times New Roman" w:hAnsi="Times New Roman" w:cs="Times New Roman"/>
          <w:sz w:val="24"/>
          <w:szCs w:val="24"/>
        </w:rPr>
        <w:t>A</w:t>
      </w:r>
      <w:r w:rsidRPr="001839B7">
        <w:rPr>
          <w:rFonts w:ascii="Times New Roman" w:hAnsi="Times New Roman" w:cs="Times New Roman"/>
          <w:sz w:val="24"/>
          <w:szCs w:val="24"/>
        </w:rPr>
        <w:t xml:space="preserve"> link between circulating adiponectin levels and a reduced risk of colorectal cancer has been found [Cancer Prev Res (Phila)], although a subsequent Mendelian Randomization research found no evidence of a causative relationship [Pischon</w:t>
      </w:r>
      <w:r w:rsidR="00D74252">
        <w:rPr>
          <w:rFonts w:ascii="Times New Roman" w:hAnsi="Times New Roman" w:cs="Times New Roman"/>
          <w:sz w:val="24"/>
          <w:szCs w:val="24"/>
        </w:rPr>
        <w:t>,</w:t>
      </w:r>
      <w:r w:rsidRPr="001839B7">
        <w:rPr>
          <w:rFonts w:ascii="Times New Roman" w:hAnsi="Times New Roman" w:cs="Times New Roman"/>
          <w:sz w:val="24"/>
          <w:szCs w:val="24"/>
        </w:rPr>
        <w:t xml:space="preserve"> 2009]. </w:t>
      </w:r>
      <w:r w:rsidR="00AC132D" w:rsidRPr="001839B7">
        <w:rPr>
          <w:rFonts w:ascii="Times New Roman" w:hAnsi="Times New Roman" w:cs="Times New Roman"/>
          <w:sz w:val="24"/>
          <w:szCs w:val="24"/>
        </w:rPr>
        <w:t xml:space="preserve"> </w:t>
      </w:r>
      <w:r w:rsidRPr="001839B7">
        <w:rPr>
          <w:rFonts w:ascii="Times New Roman" w:hAnsi="Times New Roman" w:cs="Times New Roman"/>
          <w:sz w:val="24"/>
          <w:szCs w:val="24"/>
        </w:rPr>
        <w:t>As an adipokine that measures adipose tissue mass, leptin is higher in obese people than in those of normal weight [</w:t>
      </w:r>
      <w:r w:rsidR="00F56BAF" w:rsidRPr="001839B7">
        <w:rPr>
          <w:rFonts w:ascii="Times New Roman" w:hAnsi="Times New Roman" w:cs="Times New Roman"/>
          <w:sz w:val="24"/>
          <w:szCs w:val="24"/>
        </w:rPr>
        <w:t>Mohan</w:t>
      </w:r>
      <w:r w:rsidR="003F0AFF">
        <w:rPr>
          <w:rFonts w:ascii="Times New Roman" w:hAnsi="Times New Roman" w:cs="Times New Roman"/>
          <w:sz w:val="24"/>
          <w:szCs w:val="24"/>
        </w:rPr>
        <w:t xml:space="preserve"> </w:t>
      </w:r>
      <w:r w:rsidR="00ED128B">
        <w:rPr>
          <w:rFonts w:ascii="Times New Roman" w:hAnsi="Times New Roman" w:cs="Times New Roman"/>
          <w:sz w:val="24"/>
          <w:szCs w:val="24"/>
        </w:rPr>
        <w:t xml:space="preserve">et al., </w:t>
      </w:r>
      <w:r w:rsidR="00F56BAF" w:rsidRPr="001839B7">
        <w:rPr>
          <w:rFonts w:ascii="Times New Roman" w:hAnsi="Times New Roman" w:cs="Times New Roman"/>
          <w:sz w:val="24"/>
          <w:szCs w:val="24"/>
        </w:rPr>
        <w:t>20</w:t>
      </w:r>
      <w:r w:rsidR="00561886" w:rsidRPr="001839B7">
        <w:rPr>
          <w:rFonts w:ascii="Times New Roman" w:hAnsi="Times New Roman" w:cs="Times New Roman"/>
          <w:sz w:val="24"/>
          <w:szCs w:val="24"/>
        </w:rPr>
        <w:t>10</w:t>
      </w:r>
      <w:r w:rsidRPr="001839B7">
        <w:rPr>
          <w:rFonts w:ascii="Times New Roman" w:hAnsi="Times New Roman" w:cs="Times New Roman"/>
          <w:sz w:val="24"/>
          <w:szCs w:val="24"/>
        </w:rPr>
        <w:t xml:space="preserve">], suggesting that there is a leptin-resistant state in obesity. According to Dis Markers (2009), leptin's primary role is to regulate energy balance and hunger over the long term. When this function is compromised by leptin resistance, obesity results. </w:t>
      </w:r>
      <w:r w:rsidR="00E569E9" w:rsidRPr="001839B7">
        <w:rPr>
          <w:rFonts w:ascii="Times New Roman" w:hAnsi="Times New Roman" w:cs="Times New Roman"/>
          <w:sz w:val="24"/>
          <w:szCs w:val="24"/>
        </w:rPr>
        <w:t>Owing</w:t>
      </w:r>
      <w:r w:rsidRPr="001839B7">
        <w:rPr>
          <w:rFonts w:ascii="Times New Roman" w:hAnsi="Times New Roman" w:cs="Times New Roman"/>
          <w:sz w:val="24"/>
          <w:szCs w:val="24"/>
        </w:rPr>
        <w:t xml:space="preserve"> to its reputation as a pro-inflammatory adipokine that corresponds with cardiovascular risk factors including hypertension, leptin has been proposed to mediate the </w:t>
      </w:r>
      <w:r w:rsidR="00E569E9">
        <w:rPr>
          <w:rFonts w:ascii="Times New Roman" w:hAnsi="Times New Roman" w:cs="Times New Roman"/>
          <w:sz w:val="24"/>
          <w:szCs w:val="24"/>
        </w:rPr>
        <w:t xml:space="preserve">upregulated </w:t>
      </w:r>
      <w:r w:rsidRPr="001839B7">
        <w:rPr>
          <w:rFonts w:ascii="Times New Roman" w:hAnsi="Times New Roman" w:cs="Times New Roman"/>
          <w:sz w:val="24"/>
          <w:szCs w:val="24"/>
        </w:rPr>
        <w:t>risk of cardiovascular illnesses linked with obesity [Am J Cardiol</w:t>
      </w:r>
      <w:r w:rsidR="008F359D">
        <w:rPr>
          <w:rFonts w:ascii="Times New Roman" w:hAnsi="Times New Roman" w:cs="Times New Roman"/>
          <w:sz w:val="24"/>
          <w:szCs w:val="24"/>
        </w:rPr>
        <w:t>,</w:t>
      </w:r>
      <w:r w:rsidRPr="001839B7">
        <w:rPr>
          <w:rFonts w:ascii="Times New Roman" w:hAnsi="Times New Roman" w:cs="Times New Roman"/>
          <w:sz w:val="24"/>
          <w:szCs w:val="24"/>
        </w:rPr>
        <w:t xml:space="preserve"> 2006].</w:t>
      </w:r>
    </w:p>
    <w:p w14:paraId="46E539B4" w14:textId="77777777" w:rsidR="00AC132D" w:rsidRPr="001839B7" w:rsidRDefault="00AC132D" w:rsidP="001839B7">
      <w:pPr>
        <w:tabs>
          <w:tab w:val="left" w:pos="90"/>
        </w:tabs>
        <w:autoSpaceDE w:val="0"/>
        <w:autoSpaceDN w:val="0"/>
        <w:adjustRightInd w:val="0"/>
        <w:spacing w:after="0" w:line="360" w:lineRule="auto"/>
        <w:jc w:val="both"/>
        <w:rPr>
          <w:rFonts w:ascii="Times New Roman" w:hAnsi="Times New Roman" w:cs="Times New Roman"/>
          <w:b/>
          <w:bCs/>
          <w:color w:val="000000"/>
          <w:kern w:val="0"/>
          <w:sz w:val="24"/>
          <w:szCs w:val="24"/>
        </w:rPr>
      </w:pPr>
      <w:r w:rsidRPr="001839B7">
        <w:rPr>
          <w:rFonts w:ascii="Times New Roman" w:hAnsi="Times New Roman" w:cs="Times New Roman"/>
          <w:b/>
          <w:bCs/>
          <w:color w:val="000000"/>
          <w:kern w:val="0"/>
          <w:sz w:val="24"/>
          <w:szCs w:val="24"/>
        </w:rPr>
        <w:t xml:space="preserve">ALZHEIMER’S DISEASE </w:t>
      </w:r>
    </w:p>
    <w:p w14:paraId="62E37845" w14:textId="3EFF4569" w:rsidR="00AC132D" w:rsidRPr="0055455F" w:rsidRDefault="00AC132D" w:rsidP="001839B7">
      <w:pPr>
        <w:tabs>
          <w:tab w:val="left" w:pos="90"/>
        </w:tabs>
        <w:autoSpaceDE w:val="0"/>
        <w:autoSpaceDN w:val="0"/>
        <w:adjustRightInd w:val="0"/>
        <w:spacing w:after="0" w:line="360" w:lineRule="auto"/>
        <w:jc w:val="both"/>
        <w:rPr>
          <w:rFonts w:ascii="Times New Roman" w:hAnsi="Times New Roman" w:cs="Times New Roman"/>
          <w:color w:val="000000"/>
          <w:kern w:val="0"/>
          <w:sz w:val="24"/>
          <w:szCs w:val="24"/>
        </w:rPr>
      </w:pPr>
      <w:r w:rsidRPr="001839B7">
        <w:rPr>
          <w:rFonts w:ascii="Times New Roman" w:hAnsi="Times New Roman" w:cs="Times New Roman"/>
          <w:color w:val="000000"/>
          <w:kern w:val="0"/>
          <w:sz w:val="24"/>
          <w:szCs w:val="24"/>
        </w:rPr>
        <w:t>At present, 48 million people worldwide are suffering from dementia and this number is projected to increase to 131 million by 2050 [</w:t>
      </w:r>
      <w:r w:rsidR="001E316B" w:rsidRPr="001839B7">
        <w:rPr>
          <w:rFonts w:ascii="Times New Roman" w:hAnsi="Times New Roman" w:cs="Times New Roman"/>
          <w:color w:val="000000"/>
          <w:kern w:val="0"/>
          <w:sz w:val="24"/>
          <w:szCs w:val="24"/>
        </w:rPr>
        <w:t>Alzheimer’s Association</w:t>
      </w:r>
      <w:r w:rsidR="008F359D">
        <w:rPr>
          <w:rFonts w:ascii="Times New Roman" w:hAnsi="Times New Roman" w:cs="Times New Roman"/>
          <w:color w:val="000000"/>
          <w:kern w:val="0"/>
          <w:sz w:val="24"/>
          <w:szCs w:val="24"/>
        </w:rPr>
        <w:t>,</w:t>
      </w:r>
      <w:r w:rsidR="001E316B" w:rsidRPr="001839B7">
        <w:rPr>
          <w:rFonts w:ascii="Times New Roman" w:hAnsi="Times New Roman" w:cs="Times New Roman"/>
          <w:color w:val="000000"/>
          <w:kern w:val="0"/>
          <w:sz w:val="24"/>
          <w:szCs w:val="24"/>
        </w:rPr>
        <w:t xml:space="preserve"> 2010</w:t>
      </w:r>
      <w:r w:rsidRPr="001839B7">
        <w:rPr>
          <w:rFonts w:ascii="Times New Roman" w:hAnsi="Times New Roman" w:cs="Times New Roman"/>
          <w:color w:val="000000"/>
          <w:kern w:val="0"/>
          <w:sz w:val="24"/>
          <w:szCs w:val="24"/>
        </w:rPr>
        <w:t xml:space="preserve">].  </w:t>
      </w:r>
      <w:r w:rsidRPr="001839B7">
        <w:rPr>
          <w:rFonts w:ascii="Times New Roman" w:hAnsi="Times New Roman" w:cs="Times New Roman"/>
          <w:sz w:val="24"/>
          <w:szCs w:val="24"/>
        </w:rPr>
        <w:t xml:space="preserve">The most frequent form of dementia is </w:t>
      </w:r>
      <w:r w:rsidR="009B0E3A"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disease (AD), </w:t>
      </w:r>
      <w:r w:rsidR="000927F1" w:rsidRPr="000927F1">
        <w:rPr>
          <w:rFonts w:ascii="Times New Roman" w:hAnsi="Times New Roman" w:cs="Times New Roman"/>
          <w:sz w:val="24"/>
          <w:szCs w:val="24"/>
        </w:rPr>
        <w:t>which is clinically characterized by a progression from memory problems that occur only occasionally to a slow overall decline</w:t>
      </w:r>
      <w:r w:rsidR="000927F1">
        <w:rPr>
          <w:rFonts w:ascii="Times New Roman" w:hAnsi="Times New Roman" w:cs="Times New Roman"/>
          <w:sz w:val="24"/>
          <w:szCs w:val="24"/>
        </w:rPr>
        <w:t xml:space="preserve"> </w:t>
      </w:r>
      <w:r w:rsidRPr="001839B7">
        <w:rPr>
          <w:rFonts w:ascii="Times New Roman" w:hAnsi="Times New Roman" w:cs="Times New Roman"/>
          <w:sz w:val="24"/>
          <w:szCs w:val="24"/>
        </w:rPr>
        <w:t>in cognitive function. Dementia was expected to impact 44 million people worldwide in 2013 (</w:t>
      </w:r>
      <w:r w:rsidR="006D398A" w:rsidRPr="001839B7">
        <w:rPr>
          <w:rFonts w:ascii="Times New Roman" w:hAnsi="Times New Roman" w:cs="Times New Roman"/>
          <w:sz w:val="24"/>
          <w:szCs w:val="24"/>
        </w:rPr>
        <w:t xml:space="preserve">Santana </w:t>
      </w:r>
      <w:r w:rsidR="00ED128B">
        <w:rPr>
          <w:rFonts w:ascii="Times New Roman" w:hAnsi="Times New Roman" w:cs="Times New Roman"/>
          <w:sz w:val="24"/>
          <w:szCs w:val="24"/>
        </w:rPr>
        <w:t>et al.,</w:t>
      </w:r>
      <w:r w:rsidR="008F359D">
        <w:rPr>
          <w:rFonts w:ascii="Times New Roman" w:hAnsi="Times New Roman" w:cs="Times New Roman"/>
          <w:sz w:val="24"/>
          <w:szCs w:val="24"/>
        </w:rPr>
        <w:t xml:space="preserve"> </w:t>
      </w:r>
      <w:r w:rsidR="006D398A" w:rsidRPr="001839B7">
        <w:rPr>
          <w:rFonts w:ascii="Times New Roman" w:hAnsi="Times New Roman" w:cs="Times New Roman"/>
          <w:sz w:val="24"/>
          <w:szCs w:val="24"/>
        </w:rPr>
        <w:t>20</w:t>
      </w:r>
      <w:r w:rsidR="00326521" w:rsidRPr="001839B7">
        <w:rPr>
          <w:rFonts w:ascii="Times New Roman" w:hAnsi="Times New Roman" w:cs="Times New Roman"/>
          <w:sz w:val="24"/>
          <w:szCs w:val="24"/>
        </w:rPr>
        <w:t>15</w:t>
      </w:r>
      <w:r w:rsidRPr="001839B7">
        <w:rPr>
          <w:rFonts w:ascii="Times New Roman" w:hAnsi="Times New Roman" w:cs="Times New Roman"/>
          <w:sz w:val="24"/>
          <w:szCs w:val="24"/>
        </w:rPr>
        <w:t xml:space="preserve">). </w:t>
      </w:r>
      <w:r w:rsidR="0023261C" w:rsidRPr="0023261C">
        <w:rPr>
          <w:rFonts w:ascii="Times New Roman" w:hAnsi="Times New Roman" w:cs="Times New Roman"/>
          <w:sz w:val="24"/>
          <w:szCs w:val="24"/>
        </w:rPr>
        <w:t>The biggest clinical need in neurology is still Alzheimer's disease</w:t>
      </w:r>
      <w:r w:rsidRPr="001839B7">
        <w:rPr>
          <w:rFonts w:ascii="Times New Roman" w:hAnsi="Times New Roman" w:cs="Times New Roman"/>
          <w:sz w:val="24"/>
          <w:szCs w:val="24"/>
        </w:rPr>
        <w:t xml:space="preserve"> because there are currently no therapies with demonstrated disease-modifying effects. The pathology of AD is characterized by a complex interplay of several biochemical changes, such as modifications in the metabolism of amyloid precursor proteins, phosphorylation of the tau protein, oxidative stress, diminished energetics, mitochondrial dysfunction, inflammation, membrane lipid dysregulation, and disruption of neurotransmitter pathways. The majority of these clinical characteristics are distinctly related to anomalies in metabolism. Metabolic dysfunction is </w:t>
      </w:r>
      <w:r w:rsidR="00B61E4E" w:rsidRPr="001839B7">
        <w:rPr>
          <w:rFonts w:ascii="Times New Roman" w:hAnsi="Times New Roman" w:cs="Times New Roman"/>
          <w:sz w:val="24"/>
          <w:szCs w:val="24"/>
        </w:rPr>
        <w:t>progressively</w:t>
      </w:r>
      <w:r w:rsidRPr="001839B7">
        <w:rPr>
          <w:rFonts w:ascii="Times New Roman" w:hAnsi="Times New Roman" w:cs="Times New Roman"/>
          <w:sz w:val="24"/>
          <w:szCs w:val="24"/>
        </w:rPr>
        <w:t xml:space="preserve"> </w:t>
      </w:r>
      <w:r w:rsidR="005E74FB" w:rsidRPr="001839B7">
        <w:rPr>
          <w:rFonts w:ascii="Times New Roman" w:hAnsi="Times New Roman" w:cs="Times New Roman"/>
          <w:sz w:val="24"/>
          <w:szCs w:val="24"/>
        </w:rPr>
        <w:t>documented</w:t>
      </w:r>
      <w:r w:rsidRPr="001839B7">
        <w:rPr>
          <w:rFonts w:ascii="Times New Roman" w:hAnsi="Times New Roman" w:cs="Times New Roman"/>
          <w:sz w:val="24"/>
          <w:szCs w:val="24"/>
        </w:rPr>
        <w:t xml:space="preserve"> as a significant contributor to AD. For instance, decreased cerebral glucose absorption is a constant aspect of AD and manifests decades before cognitive loss does. Because of the interaction between A42 and mitochondrial enzymes, which increases the release of reactive oxygen species (ROS), glycolysis, the TCA cycle, and mitochondrial respiratory-chain activity are all impacted, as well as the accumulation of harmful intermediate metabolites in the mitochondria, by the well-documented neurotoxicity associated with A42.</w:t>
      </w:r>
    </w:p>
    <w:p w14:paraId="4B89CCA7" w14:textId="77777777" w:rsidR="00AC132D" w:rsidRPr="001839B7" w:rsidRDefault="00AC132D" w:rsidP="001839B7">
      <w:pPr>
        <w:tabs>
          <w:tab w:val="left" w:pos="90"/>
        </w:tabs>
        <w:spacing w:after="0"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lastRenderedPageBreak/>
        <w:t>Alois Alzheimer and Auguste D</w:t>
      </w:r>
    </w:p>
    <w:p w14:paraId="007CF77E" w14:textId="24DC8010"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 dementing syndrome that would eventually be known as AD was initially described by the German neuropathologist and psychiatrist Dr. Alois Alzheimer. Alzheimer discussed </w:t>
      </w:r>
      <w:r w:rsidR="00203D96" w:rsidRPr="00203D96">
        <w:rPr>
          <w:rFonts w:ascii="Times New Roman" w:hAnsi="Times New Roman" w:cs="Times New Roman"/>
          <w:sz w:val="24"/>
          <w:szCs w:val="24"/>
        </w:rPr>
        <w:t xml:space="preserve">In his influential 1906 conference lecture and a subsequent 1907 article, Auguste D. discussed the case of a 51-year-old woman with a "peculiar disease of the cerebral cortex." Progressive memory and language loss, disorientation, and behavioral symptoms (hallucinations, delusions, paranoia) </w:t>
      </w:r>
      <w:r w:rsidR="00203D96" w:rsidRPr="001839B7">
        <w:rPr>
          <w:rFonts w:ascii="Times New Roman" w:hAnsi="Times New Roman" w:cs="Times New Roman"/>
          <w:sz w:val="24"/>
          <w:szCs w:val="24"/>
        </w:rPr>
        <w:t xml:space="preserve">and psychosocial impairment </w:t>
      </w:r>
      <w:r w:rsidR="00203D96" w:rsidRPr="00203D96">
        <w:rPr>
          <w:rFonts w:ascii="Times New Roman" w:hAnsi="Times New Roman" w:cs="Times New Roman"/>
          <w:sz w:val="24"/>
          <w:szCs w:val="24"/>
        </w:rPr>
        <w:t>were all present in Auguste D</w:t>
      </w:r>
      <w:r w:rsidR="00203D96">
        <w:rPr>
          <w:rFonts w:ascii="Times New Roman" w:hAnsi="Times New Roman" w:cs="Times New Roman"/>
          <w:sz w:val="24"/>
          <w:szCs w:val="24"/>
        </w:rPr>
        <w:t xml:space="preserve"> </w:t>
      </w:r>
      <w:r w:rsidR="007F75FF" w:rsidRPr="001839B7">
        <w:rPr>
          <w:rFonts w:ascii="Times New Roman" w:hAnsi="Times New Roman" w:cs="Times New Roman"/>
          <w:sz w:val="24"/>
          <w:szCs w:val="24"/>
        </w:rPr>
        <w:t>[</w:t>
      </w:r>
      <w:r w:rsidR="00AA617A" w:rsidRPr="001839B7">
        <w:rPr>
          <w:rFonts w:ascii="Times New Roman" w:hAnsi="Times New Roman" w:cs="Times New Roman"/>
          <w:sz w:val="24"/>
          <w:szCs w:val="24"/>
        </w:rPr>
        <w:t>Chiang</w:t>
      </w:r>
      <w:r w:rsidR="009F58AA">
        <w:rPr>
          <w:rFonts w:ascii="Times New Roman" w:hAnsi="Times New Roman" w:cs="Times New Roman"/>
          <w:sz w:val="24"/>
          <w:szCs w:val="24"/>
        </w:rPr>
        <w:t>,</w:t>
      </w:r>
      <w:r w:rsidR="00AA617A" w:rsidRPr="001839B7">
        <w:rPr>
          <w:rFonts w:ascii="Times New Roman" w:hAnsi="Times New Roman" w:cs="Times New Roman"/>
          <w:sz w:val="24"/>
          <w:szCs w:val="24"/>
        </w:rPr>
        <w:t xml:space="preserve"> </w:t>
      </w:r>
      <w:r w:rsidR="00187386" w:rsidRPr="001839B7">
        <w:rPr>
          <w:rFonts w:ascii="Times New Roman" w:hAnsi="Times New Roman" w:cs="Times New Roman"/>
          <w:sz w:val="24"/>
          <w:szCs w:val="24"/>
        </w:rPr>
        <w:t>20</w:t>
      </w:r>
      <w:r w:rsidR="00E959AE" w:rsidRPr="001839B7">
        <w:rPr>
          <w:rFonts w:ascii="Times New Roman" w:hAnsi="Times New Roman" w:cs="Times New Roman"/>
          <w:sz w:val="24"/>
          <w:szCs w:val="24"/>
        </w:rPr>
        <w:t>14</w:t>
      </w:r>
      <w:r w:rsidR="007F75FF" w:rsidRPr="001839B7">
        <w:rPr>
          <w:rFonts w:ascii="Times New Roman" w:hAnsi="Times New Roman" w:cs="Times New Roman"/>
          <w:sz w:val="24"/>
          <w:szCs w:val="24"/>
        </w:rPr>
        <w:t>]</w:t>
      </w:r>
      <w:r w:rsidR="00E959AE" w:rsidRPr="001839B7">
        <w:rPr>
          <w:rFonts w:ascii="Times New Roman" w:hAnsi="Times New Roman" w:cs="Times New Roman"/>
          <w:sz w:val="24"/>
          <w:szCs w:val="24"/>
        </w:rPr>
        <w:t>.</w:t>
      </w:r>
      <w:r w:rsidRPr="001839B7">
        <w:rPr>
          <w:rFonts w:ascii="Times New Roman" w:hAnsi="Times New Roman" w:cs="Times New Roman"/>
          <w:sz w:val="24"/>
          <w:szCs w:val="24"/>
        </w:rPr>
        <w:t xml:space="preserve">            </w:t>
      </w:r>
    </w:p>
    <w:p w14:paraId="552F4190" w14:textId="77777777" w:rsidR="00AC132D" w:rsidRPr="001839B7" w:rsidRDefault="00AC132D" w:rsidP="001839B7">
      <w:pPr>
        <w:tabs>
          <w:tab w:val="left" w:pos="90"/>
        </w:tabs>
        <w:spacing w:after="0"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Normal memory</w:t>
      </w:r>
    </w:p>
    <w:p w14:paraId="10F31246" w14:textId="1695E6F3"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To comprehend the complexity of dementia, it is vital to define what happens during normal ageing as well as comprehend what might go wrong and give rise to aberrant conditions such as dementia. Ageing can be classified into biological, social, and psychological fields, but there is frequently significant overlap and interaction between them. A bodily change, such as arthritis, can, for example, decrease mobility, which can reduce participation in social activities or other previous sources of satisfaction. The impact of one component of ageing on another should also be considered; this is critical when </w:t>
      </w:r>
      <w:r w:rsidR="0055455F" w:rsidRPr="001839B7">
        <w:rPr>
          <w:rFonts w:ascii="Times New Roman" w:hAnsi="Times New Roman" w:cs="Times New Roman"/>
          <w:sz w:val="24"/>
          <w:szCs w:val="24"/>
        </w:rPr>
        <w:t>considering</w:t>
      </w:r>
      <w:r w:rsidRPr="001839B7">
        <w:rPr>
          <w:rFonts w:ascii="Times New Roman" w:hAnsi="Times New Roman" w:cs="Times New Roman"/>
          <w:sz w:val="24"/>
          <w:szCs w:val="24"/>
        </w:rPr>
        <w:t xml:space="preserve"> and contrasting historical and present cognitive functions in the same person.</w:t>
      </w:r>
      <w:r w:rsidR="0055455F">
        <w:rPr>
          <w:rFonts w:ascii="Times New Roman" w:hAnsi="Times New Roman" w:cs="Times New Roman"/>
          <w:sz w:val="24"/>
          <w:szCs w:val="24"/>
        </w:rPr>
        <w:t xml:space="preserve"> </w:t>
      </w:r>
      <w:r w:rsidRPr="001839B7">
        <w:rPr>
          <w:rFonts w:ascii="Times New Roman" w:hAnsi="Times New Roman" w:cs="Times New Roman"/>
          <w:sz w:val="24"/>
          <w:szCs w:val="24"/>
        </w:rPr>
        <w:t xml:space="preserve">It is difficult to define 'normal,' and it is astonishing how 'normal' and 'abnormal' behaviours and attitudes sometimes coincide. Boundaries are blurred across different cultures, settings, and even between individuals. A common misunderstanding is that normalcy is separate from </w:t>
      </w:r>
      <w:r w:rsidR="009B0E3A" w:rsidRPr="001839B7">
        <w:rPr>
          <w:rFonts w:ascii="Times New Roman" w:hAnsi="Times New Roman" w:cs="Times New Roman"/>
          <w:sz w:val="24"/>
          <w:szCs w:val="24"/>
        </w:rPr>
        <w:t>abnormally</w:t>
      </w:r>
      <w:r w:rsidRPr="001839B7">
        <w:rPr>
          <w:rFonts w:ascii="Times New Roman" w:hAnsi="Times New Roman" w:cs="Times New Roman"/>
          <w:sz w:val="24"/>
          <w:szCs w:val="24"/>
        </w:rPr>
        <w:t>, whereas in fact 'normal</w:t>
      </w:r>
      <w:r w:rsidR="009B0E3A" w:rsidRPr="001839B7">
        <w:rPr>
          <w:rFonts w:ascii="Times New Roman" w:hAnsi="Times New Roman" w:cs="Times New Roman"/>
          <w:sz w:val="24"/>
          <w:szCs w:val="24"/>
        </w:rPr>
        <w:t>l</w:t>
      </w:r>
      <w:r w:rsidRPr="001839B7">
        <w:rPr>
          <w:rFonts w:ascii="Times New Roman" w:hAnsi="Times New Roman" w:cs="Times New Roman"/>
          <w:sz w:val="24"/>
          <w:szCs w:val="24"/>
        </w:rPr>
        <w:t>y' refers to the 'range around the middle of a dimension (eg height) with two extremes at opposing ends (extremely tall and very low), rather than one extreme.</w:t>
      </w:r>
      <w:r w:rsidR="00142ED0">
        <w:rPr>
          <w:rFonts w:ascii="Times New Roman" w:hAnsi="Times New Roman" w:cs="Times New Roman"/>
          <w:sz w:val="24"/>
          <w:szCs w:val="24"/>
        </w:rPr>
        <w:t xml:space="preserve"> </w:t>
      </w:r>
      <w:r w:rsidRPr="001839B7">
        <w:rPr>
          <w:rFonts w:ascii="Times New Roman" w:hAnsi="Times New Roman" w:cs="Times New Roman"/>
          <w:sz w:val="24"/>
          <w:szCs w:val="24"/>
        </w:rPr>
        <w:t>varied people have varied ideas about what constitutes normal</w:t>
      </w:r>
      <w:r w:rsidR="000014CB" w:rsidRPr="001839B7">
        <w:rPr>
          <w:rFonts w:ascii="Times New Roman" w:hAnsi="Times New Roman" w:cs="Times New Roman"/>
          <w:sz w:val="24"/>
          <w:szCs w:val="24"/>
        </w:rPr>
        <w:t>l</w:t>
      </w:r>
      <w:r w:rsidRPr="001839B7">
        <w:rPr>
          <w:rFonts w:ascii="Times New Roman" w:hAnsi="Times New Roman" w:cs="Times New Roman"/>
          <w:sz w:val="24"/>
          <w:szCs w:val="24"/>
        </w:rPr>
        <w:t>y, hence people's expectations about ageing differ. Individuals are generally living longer lives as medicine and technology develop, thus more individuals are exposed to older people and experience the varying ages of relatives and acquaintances</w:t>
      </w:r>
      <w:r w:rsidR="00142ED0">
        <w:rPr>
          <w:rFonts w:ascii="Times New Roman" w:hAnsi="Times New Roman" w:cs="Times New Roman"/>
          <w:sz w:val="24"/>
          <w:szCs w:val="24"/>
        </w:rPr>
        <w:t xml:space="preserve"> </w:t>
      </w:r>
      <w:r w:rsidR="000C739C" w:rsidRPr="001839B7">
        <w:rPr>
          <w:rFonts w:ascii="Times New Roman" w:hAnsi="Times New Roman" w:cs="Times New Roman"/>
          <w:sz w:val="24"/>
          <w:szCs w:val="24"/>
        </w:rPr>
        <w:t>[</w:t>
      </w:r>
      <w:r w:rsidR="00756438" w:rsidRPr="001839B7">
        <w:rPr>
          <w:rFonts w:ascii="Times New Roman" w:hAnsi="Times New Roman" w:cs="Times New Roman"/>
          <w:sz w:val="24"/>
          <w:szCs w:val="24"/>
        </w:rPr>
        <w:t xml:space="preserve">Povova </w:t>
      </w:r>
      <w:r w:rsidR="00156FF0">
        <w:rPr>
          <w:rFonts w:ascii="Times New Roman" w:hAnsi="Times New Roman" w:cs="Times New Roman"/>
          <w:sz w:val="24"/>
          <w:szCs w:val="24"/>
        </w:rPr>
        <w:t>et al.,</w:t>
      </w:r>
      <w:r w:rsidR="00E63DD2">
        <w:rPr>
          <w:rFonts w:ascii="Times New Roman" w:hAnsi="Times New Roman" w:cs="Times New Roman"/>
          <w:sz w:val="24"/>
          <w:szCs w:val="24"/>
        </w:rPr>
        <w:t xml:space="preserve"> </w:t>
      </w:r>
      <w:r w:rsidR="00756438" w:rsidRPr="001839B7">
        <w:rPr>
          <w:rFonts w:ascii="Times New Roman" w:hAnsi="Times New Roman" w:cs="Times New Roman"/>
          <w:sz w:val="24"/>
          <w:szCs w:val="24"/>
        </w:rPr>
        <w:t>2012</w:t>
      </w:r>
      <w:r w:rsidR="000C739C" w:rsidRPr="001839B7">
        <w:rPr>
          <w:rFonts w:ascii="Times New Roman" w:hAnsi="Times New Roman" w:cs="Times New Roman"/>
          <w:sz w:val="24"/>
          <w:szCs w:val="24"/>
        </w:rPr>
        <w:t>].</w:t>
      </w:r>
      <w:r w:rsidR="00142ED0">
        <w:rPr>
          <w:rFonts w:ascii="Times New Roman" w:hAnsi="Times New Roman" w:cs="Times New Roman"/>
          <w:sz w:val="24"/>
          <w:szCs w:val="24"/>
        </w:rPr>
        <w:t xml:space="preserve"> </w:t>
      </w:r>
      <w:r w:rsidRPr="001839B7">
        <w:rPr>
          <w:rFonts w:ascii="Times New Roman" w:hAnsi="Times New Roman" w:cs="Times New Roman"/>
          <w:sz w:val="24"/>
          <w:szCs w:val="24"/>
        </w:rPr>
        <w:t>As a result, people's perceptions of normal ageing are continually evolving, as are their expectations of themselves and others. Normal ageing causes changes in an individual's appearance, however modest, as well as specific alterations in higher brain functions or 'cognitive' functions. Memory can also be harmed.</w:t>
      </w:r>
      <w:r w:rsidR="00142ED0">
        <w:rPr>
          <w:rFonts w:ascii="Times New Roman" w:hAnsi="Times New Roman" w:cs="Times New Roman"/>
          <w:sz w:val="24"/>
          <w:szCs w:val="24"/>
        </w:rPr>
        <w:t xml:space="preserve"> </w:t>
      </w:r>
      <w:r w:rsidRPr="001839B7">
        <w:rPr>
          <w:rFonts w:ascii="Times New Roman" w:hAnsi="Times New Roman" w:cs="Times New Roman"/>
          <w:sz w:val="24"/>
          <w:szCs w:val="24"/>
        </w:rPr>
        <w:t xml:space="preserve">Sometimes this is because the individual did not absorb the information correctly, and other times it is because it can no longer be efficiently encoded or preserved. The impact of ageing on memory, specifically episodic memory is frequently one of the first cognitive functions to be seen by others and can cause significant distress to the individual as well as relatives, close friends, and careers. Deterioration in memory functioning is a hallmark of dementia. However, it can also signal </w:t>
      </w:r>
      <w:r w:rsidRPr="001839B7">
        <w:rPr>
          <w:rFonts w:ascii="Times New Roman" w:hAnsi="Times New Roman" w:cs="Times New Roman"/>
          <w:sz w:val="24"/>
          <w:szCs w:val="24"/>
        </w:rPr>
        <w:lastRenderedPageBreak/>
        <w:t>other dysfunctions, which should always be taken into account in any examination</w:t>
      </w:r>
      <w:r w:rsidR="00142ED0">
        <w:rPr>
          <w:rFonts w:ascii="Times New Roman" w:hAnsi="Times New Roman" w:cs="Times New Roman"/>
          <w:sz w:val="24"/>
          <w:szCs w:val="24"/>
        </w:rPr>
        <w:t xml:space="preserve"> </w:t>
      </w:r>
      <w:r w:rsidR="00CD1595" w:rsidRPr="001839B7">
        <w:rPr>
          <w:rFonts w:ascii="Times New Roman" w:hAnsi="Times New Roman" w:cs="Times New Roman"/>
          <w:sz w:val="24"/>
          <w:szCs w:val="24"/>
        </w:rPr>
        <w:t>[</w:t>
      </w:r>
      <w:r w:rsidR="00972CE6" w:rsidRPr="001839B7">
        <w:rPr>
          <w:rFonts w:ascii="Times New Roman" w:hAnsi="Times New Roman" w:cs="Times New Roman"/>
          <w:sz w:val="24"/>
          <w:szCs w:val="24"/>
        </w:rPr>
        <w:t>Blennow</w:t>
      </w:r>
      <w:r w:rsidR="00B92129">
        <w:rPr>
          <w:rFonts w:ascii="Times New Roman" w:hAnsi="Times New Roman" w:cs="Times New Roman"/>
          <w:sz w:val="24"/>
          <w:szCs w:val="24"/>
        </w:rPr>
        <w:t xml:space="preserve"> </w:t>
      </w:r>
      <w:r w:rsidR="00ED128B">
        <w:rPr>
          <w:rFonts w:ascii="Times New Roman" w:hAnsi="Times New Roman" w:cs="Times New Roman"/>
          <w:sz w:val="24"/>
          <w:szCs w:val="24"/>
        </w:rPr>
        <w:t xml:space="preserve">et al., </w:t>
      </w:r>
      <w:r w:rsidR="0007102B" w:rsidRPr="001839B7">
        <w:rPr>
          <w:rFonts w:ascii="Times New Roman" w:hAnsi="Times New Roman" w:cs="Times New Roman"/>
          <w:sz w:val="24"/>
          <w:szCs w:val="24"/>
        </w:rPr>
        <w:t>2006</w:t>
      </w:r>
      <w:r w:rsidR="004D11F5" w:rsidRPr="001839B7">
        <w:rPr>
          <w:rFonts w:ascii="Times New Roman" w:hAnsi="Times New Roman" w:cs="Times New Roman"/>
          <w:sz w:val="24"/>
          <w:szCs w:val="24"/>
        </w:rPr>
        <w:t>]</w:t>
      </w:r>
    </w:p>
    <w:p w14:paraId="78218196"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b/>
          <w:bCs/>
          <w:sz w:val="24"/>
          <w:szCs w:val="24"/>
        </w:rPr>
        <w:t>Modes:</w:t>
      </w:r>
      <w:r w:rsidRPr="001839B7">
        <w:rPr>
          <w:rFonts w:ascii="Times New Roman" w:hAnsi="Times New Roman" w:cs="Times New Roman"/>
          <w:sz w:val="24"/>
          <w:szCs w:val="24"/>
        </w:rPr>
        <w:t xml:space="preserve"> </w:t>
      </w:r>
    </w:p>
    <w:p w14:paraId="2DE90CE7" w14:textId="0FC9BDAA" w:rsidR="007D2087" w:rsidRDefault="00F0754A" w:rsidP="001839B7">
      <w:pPr>
        <w:tabs>
          <w:tab w:val="left" w:pos="90"/>
        </w:tabs>
        <w:spacing w:after="0" w:line="360" w:lineRule="auto"/>
        <w:jc w:val="both"/>
        <w:rPr>
          <w:rFonts w:ascii="Times New Roman" w:hAnsi="Times New Roman" w:cs="Times New Roman"/>
          <w:sz w:val="24"/>
          <w:szCs w:val="24"/>
        </w:rPr>
      </w:pPr>
      <w:r w:rsidRPr="00F0754A">
        <w:rPr>
          <w:rFonts w:ascii="Times New Roman" w:hAnsi="Times New Roman" w:cs="Times New Roman"/>
          <w:sz w:val="24"/>
          <w:szCs w:val="24"/>
        </w:rPr>
        <w:t>There are three main stages to the disease, each with their own challenges and symptoms.</w:t>
      </w:r>
      <w:r w:rsidR="00AB73BE" w:rsidRPr="00AB73BE">
        <w:rPr>
          <w:rFonts w:ascii="Times New Roman" w:hAnsi="Times New Roman" w:cs="Times New Roman"/>
          <w:sz w:val="24"/>
          <w:szCs w:val="24"/>
        </w:rPr>
        <w:t xml:space="preserve"> Medical experts can forecast future symptoms and potential therapeutic options by determining the disease's stage at the moment. </w:t>
      </w:r>
      <w:r w:rsidRPr="00F0754A">
        <w:rPr>
          <w:rFonts w:ascii="Times New Roman" w:hAnsi="Times New Roman" w:cs="Times New Roman"/>
          <w:sz w:val="24"/>
          <w:szCs w:val="24"/>
        </w:rPr>
        <w:t>The symptoms of AD vary in severity and are specific to each individual case.</w:t>
      </w:r>
      <w:r w:rsidR="00AC132D" w:rsidRPr="001839B7">
        <w:rPr>
          <w:rFonts w:ascii="Times New Roman" w:hAnsi="Times New Roman" w:cs="Times New Roman"/>
          <w:sz w:val="24"/>
          <w:szCs w:val="24"/>
        </w:rPr>
        <w:t xml:space="preserve"> Inheritance of certain genes is a risk factor for AD, with both </w:t>
      </w:r>
      <w:r w:rsidR="00C45C24" w:rsidRPr="001839B7">
        <w:rPr>
          <w:rFonts w:ascii="Times New Roman" w:hAnsi="Times New Roman" w:cs="Times New Roman"/>
          <w:sz w:val="24"/>
          <w:szCs w:val="24"/>
        </w:rPr>
        <w:t>familiar</w:t>
      </w:r>
      <w:r w:rsidR="00AC132D" w:rsidRPr="001839B7">
        <w:rPr>
          <w:rFonts w:ascii="Times New Roman" w:hAnsi="Times New Roman" w:cs="Times New Roman"/>
          <w:sz w:val="24"/>
          <w:szCs w:val="24"/>
        </w:rPr>
        <w:t xml:space="preserve"> and sporadic cases occurring. In sporadic AD, which is the more common form, there is a link with the apolipoprotein 4 (APOE4) allele, with the risk being greater in homozygotic situations [</w:t>
      </w:r>
      <w:r w:rsidR="00A06FA8" w:rsidRPr="001839B7">
        <w:rPr>
          <w:rFonts w:ascii="Times New Roman" w:hAnsi="Times New Roman" w:cs="Times New Roman"/>
          <w:sz w:val="24"/>
          <w:szCs w:val="24"/>
        </w:rPr>
        <w:t>Förstl and Kurz</w:t>
      </w:r>
      <w:r w:rsidR="00BF49A8">
        <w:rPr>
          <w:rFonts w:ascii="Times New Roman" w:hAnsi="Times New Roman" w:cs="Times New Roman"/>
          <w:sz w:val="24"/>
          <w:szCs w:val="24"/>
        </w:rPr>
        <w:t xml:space="preserve">, </w:t>
      </w:r>
      <w:r w:rsidR="00BE167B" w:rsidRPr="001839B7">
        <w:rPr>
          <w:rFonts w:ascii="Times New Roman" w:hAnsi="Times New Roman" w:cs="Times New Roman"/>
          <w:sz w:val="24"/>
          <w:szCs w:val="24"/>
        </w:rPr>
        <w:t>1999</w:t>
      </w:r>
      <w:r w:rsidR="00AC132D" w:rsidRPr="001839B7">
        <w:rPr>
          <w:rFonts w:ascii="Times New Roman" w:hAnsi="Times New Roman" w:cs="Times New Roman"/>
          <w:sz w:val="24"/>
          <w:szCs w:val="24"/>
        </w:rPr>
        <w:t xml:space="preserve">]. </w:t>
      </w:r>
      <w:r w:rsidR="00AB73BE" w:rsidRPr="00AB73BE">
        <w:rPr>
          <w:rFonts w:ascii="Times New Roman" w:hAnsi="Times New Roman" w:cs="Times New Roman"/>
          <w:sz w:val="24"/>
          <w:szCs w:val="24"/>
        </w:rPr>
        <w:t>Alzheimer's disease is influenced by vascular factors, psychological factors, and environmental factors.</w:t>
      </w:r>
      <w:r w:rsidR="00AC132D" w:rsidRPr="001839B7">
        <w:rPr>
          <w:rFonts w:ascii="Times New Roman" w:hAnsi="Times New Roman" w:cs="Times New Roman"/>
          <w:sz w:val="24"/>
          <w:szCs w:val="24"/>
        </w:rPr>
        <w:t xml:space="preserve"> </w:t>
      </w:r>
      <w:r w:rsidR="00BF49A8" w:rsidRPr="00BF49A8">
        <w:rPr>
          <w:rFonts w:ascii="Times New Roman" w:hAnsi="Times New Roman" w:cs="Times New Roman"/>
          <w:sz w:val="24"/>
          <w:szCs w:val="24"/>
        </w:rPr>
        <w:t>The disease has three main stages, each with a unique set of symptoms</w:t>
      </w:r>
      <w:r w:rsidR="00BF49A8">
        <w:rPr>
          <w:rFonts w:ascii="Times New Roman" w:hAnsi="Times New Roman" w:cs="Times New Roman"/>
          <w:sz w:val="24"/>
          <w:szCs w:val="24"/>
        </w:rPr>
        <w:t xml:space="preserve"> </w:t>
      </w:r>
      <w:r w:rsidR="00D11EC0" w:rsidRPr="001839B7">
        <w:rPr>
          <w:rFonts w:ascii="Times New Roman" w:hAnsi="Times New Roman" w:cs="Times New Roman"/>
          <w:sz w:val="24"/>
          <w:szCs w:val="24"/>
        </w:rPr>
        <w:t>[</w:t>
      </w:r>
      <w:r w:rsidR="004042D2" w:rsidRPr="001839B7">
        <w:rPr>
          <w:rFonts w:ascii="Times New Roman" w:hAnsi="Times New Roman" w:cs="Times New Roman"/>
          <w:sz w:val="24"/>
          <w:szCs w:val="24"/>
        </w:rPr>
        <w:t>Almkvist</w:t>
      </w:r>
      <w:r w:rsidR="00BF49A8">
        <w:rPr>
          <w:rFonts w:ascii="Times New Roman" w:hAnsi="Times New Roman" w:cs="Times New Roman"/>
          <w:sz w:val="24"/>
          <w:szCs w:val="24"/>
        </w:rPr>
        <w:t xml:space="preserve">, </w:t>
      </w:r>
      <w:r w:rsidR="004042D2" w:rsidRPr="001839B7">
        <w:rPr>
          <w:rFonts w:ascii="Times New Roman" w:hAnsi="Times New Roman" w:cs="Times New Roman"/>
          <w:sz w:val="24"/>
          <w:szCs w:val="24"/>
        </w:rPr>
        <w:t>1996</w:t>
      </w:r>
      <w:r w:rsidR="00D11EC0" w:rsidRPr="001839B7">
        <w:rPr>
          <w:rFonts w:ascii="Times New Roman" w:hAnsi="Times New Roman" w:cs="Times New Roman"/>
          <w:sz w:val="24"/>
          <w:szCs w:val="24"/>
        </w:rPr>
        <w:t>].</w:t>
      </w:r>
      <w:r w:rsidR="00142ED0">
        <w:rPr>
          <w:rFonts w:ascii="Times New Roman" w:hAnsi="Times New Roman" w:cs="Times New Roman"/>
          <w:sz w:val="24"/>
          <w:szCs w:val="24"/>
        </w:rPr>
        <w:t xml:space="preserve"> </w:t>
      </w:r>
      <w:r w:rsidR="00AC132D" w:rsidRPr="001839B7">
        <w:rPr>
          <w:rFonts w:ascii="Times New Roman" w:hAnsi="Times New Roman" w:cs="Times New Roman"/>
          <w:sz w:val="24"/>
          <w:szCs w:val="24"/>
        </w:rPr>
        <w:t xml:space="preserve">It has its own set of problems and symptoms. Physicians can determine what symptoms to expect by determining the disease's current stage. be predicted in the future and alternative courses of treatment. Each case of </w:t>
      </w:r>
      <w:r w:rsidR="008F18F3" w:rsidRPr="001839B7">
        <w:rPr>
          <w:rFonts w:ascii="Times New Roman" w:hAnsi="Times New Roman" w:cs="Times New Roman"/>
          <w:sz w:val="24"/>
          <w:szCs w:val="24"/>
        </w:rPr>
        <w:t>a</w:t>
      </w:r>
      <w:r w:rsidR="00AC132D" w:rsidRPr="001839B7">
        <w:rPr>
          <w:rFonts w:ascii="Times New Roman" w:hAnsi="Times New Roman" w:cs="Times New Roman"/>
          <w:sz w:val="24"/>
          <w:szCs w:val="24"/>
        </w:rPr>
        <w:t>lzheimer's disease has an own collection of symptoms that vary in severity</w:t>
      </w:r>
      <w:r w:rsidR="00142ED0">
        <w:rPr>
          <w:rFonts w:ascii="Times New Roman" w:hAnsi="Times New Roman" w:cs="Times New Roman"/>
          <w:sz w:val="24"/>
          <w:szCs w:val="24"/>
        </w:rPr>
        <w:t xml:space="preserve"> </w:t>
      </w:r>
      <w:r w:rsidR="00D443EE" w:rsidRPr="001839B7">
        <w:rPr>
          <w:rFonts w:ascii="Times New Roman" w:hAnsi="Times New Roman" w:cs="Times New Roman"/>
          <w:sz w:val="24"/>
          <w:szCs w:val="24"/>
        </w:rPr>
        <w:t>[</w:t>
      </w:r>
      <w:r w:rsidR="00297B76" w:rsidRPr="001839B7">
        <w:rPr>
          <w:rFonts w:ascii="Times New Roman" w:hAnsi="Times New Roman" w:cs="Times New Roman"/>
          <w:sz w:val="24"/>
          <w:szCs w:val="24"/>
        </w:rPr>
        <w:t>Chou</w:t>
      </w:r>
      <w:r w:rsidR="00624528">
        <w:rPr>
          <w:rFonts w:ascii="Times New Roman" w:hAnsi="Times New Roman" w:cs="Times New Roman"/>
          <w:sz w:val="24"/>
          <w:szCs w:val="24"/>
        </w:rPr>
        <w:t xml:space="preserve">, </w:t>
      </w:r>
      <w:r w:rsidR="00297B76" w:rsidRPr="001839B7">
        <w:rPr>
          <w:rFonts w:ascii="Times New Roman" w:hAnsi="Times New Roman" w:cs="Times New Roman"/>
          <w:sz w:val="24"/>
          <w:szCs w:val="24"/>
        </w:rPr>
        <w:t>2014</w:t>
      </w:r>
      <w:r w:rsidR="005553E8" w:rsidRPr="001839B7">
        <w:rPr>
          <w:rFonts w:ascii="Times New Roman" w:hAnsi="Times New Roman" w:cs="Times New Roman"/>
          <w:sz w:val="24"/>
          <w:szCs w:val="24"/>
        </w:rPr>
        <w:t>].</w:t>
      </w:r>
      <w:r w:rsidR="00142ED0">
        <w:rPr>
          <w:rFonts w:ascii="Times New Roman" w:hAnsi="Times New Roman" w:cs="Times New Roman"/>
          <w:sz w:val="24"/>
          <w:szCs w:val="24"/>
        </w:rPr>
        <w:t xml:space="preserve"> </w:t>
      </w:r>
      <w:r w:rsidR="00AC132D" w:rsidRPr="001839B7">
        <w:rPr>
          <w:rFonts w:ascii="Times New Roman" w:hAnsi="Times New Roman" w:cs="Times New Roman"/>
          <w:sz w:val="24"/>
          <w:szCs w:val="24"/>
        </w:rPr>
        <w:t xml:space="preserve">Certain gene inheritance is a risk factor for </w:t>
      </w:r>
      <w:r w:rsidR="008F18F3" w:rsidRPr="001839B7">
        <w:rPr>
          <w:rFonts w:ascii="Times New Roman" w:hAnsi="Times New Roman" w:cs="Times New Roman"/>
          <w:sz w:val="24"/>
          <w:szCs w:val="24"/>
        </w:rPr>
        <w:t>a</w:t>
      </w:r>
      <w:r w:rsidR="00AC132D" w:rsidRPr="001839B7">
        <w:rPr>
          <w:rFonts w:ascii="Times New Roman" w:hAnsi="Times New Roman" w:cs="Times New Roman"/>
          <w:sz w:val="24"/>
          <w:szCs w:val="24"/>
        </w:rPr>
        <w:t xml:space="preserve">lzheimer's disease, with both </w:t>
      </w:r>
      <w:r w:rsidR="008F18F3" w:rsidRPr="001839B7">
        <w:rPr>
          <w:rFonts w:ascii="Times New Roman" w:hAnsi="Times New Roman" w:cs="Times New Roman"/>
          <w:sz w:val="24"/>
          <w:szCs w:val="24"/>
        </w:rPr>
        <w:t>familiar</w:t>
      </w:r>
      <w:r w:rsidR="00AC132D" w:rsidRPr="001839B7">
        <w:rPr>
          <w:rFonts w:ascii="Times New Roman" w:hAnsi="Times New Roman" w:cs="Times New Roman"/>
          <w:sz w:val="24"/>
          <w:szCs w:val="24"/>
        </w:rPr>
        <w:t xml:space="preserve"> and sporadic cases occurring. The apolipoprotein 4 (APOE4) allele has been linked to sporadic </w:t>
      </w:r>
      <w:r w:rsidR="00743C5D" w:rsidRPr="001839B7">
        <w:rPr>
          <w:rFonts w:ascii="Times New Roman" w:hAnsi="Times New Roman" w:cs="Times New Roman"/>
          <w:sz w:val="24"/>
          <w:szCs w:val="24"/>
        </w:rPr>
        <w:t>a</w:t>
      </w:r>
      <w:r w:rsidR="00AC132D" w:rsidRPr="001839B7">
        <w:rPr>
          <w:rFonts w:ascii="Times New Roman" w:hAnsi="Times New Roman" w:cs="Times New Roman"/>
          <w:sz w:val="24"/>
          <w:szCs w:val="24"/>
        </w:rPr>
        <w:t xml:space="preserve">lzheimer's disease (the more prevalent variety), with the risk being higher in homozygotic conditions. Alzheimer's disease is caused by a combination of environmental, vascular, and psychological factors. </w:t>
      </w:r>
      <w:r w:rsidR="00624528" w:rsidRPr="00624528">
        <w:rPr>
          <w:rFonts w:ascii="Times New Roman" w:hAnsi="Times New Roman" w:cs="Times New Roman"/>
          <w:sz w:val="24"/>
          <w:szCs w:val="24"/>
        </w:rPr>
        <w:t>There are currently no drugs that can stop the progression of neurodegeneration in Alzheimer's disease; instead, symptomatic care is provided.</w:t>
      </w:r>
      <w:r w:rsidR="00AC132D" w:rsidRPr="001839B7">
        <w:rPr>
          <w:rFonts w:ascii="Times New Roman" w:hAnsi="Times New Roman" w:cs="Times New Roman"/>
          <w:sz w:val="24"/>
          <w:szCs w:val="24"/>
        </w:rPr>
        <w:t xml:space="preserve"> In mild to severe </w:t>
      </w:r>
      <w:r w:rsidR="00743C5D" w:rsidRPr="001839B7">
        <w:rPr>
          <w:rFonts w:ascii="Times New Roman" w:hAnsi="Times New Roman" w:cs="Times New Roman"/>
          <w:sz w:val="24"/>
          <w:szCs w:val="24"/>
        </w:rPr>
        <w:t>a</w:t>
      </w:r>
      <w:r w:rsidR="00AC132D" w:rsidRPr="001839B7">
        <w:rPr>
          <w:rFonts w:ascii="Times New Roman" w:hAnsi="Times New Roman" w:cs="Times New Roman"/>
          <w:sz w:val="24"/>
          <w:szCs w:val="24"/>
        </w:rPr>
        <w:t xml:space="preserve">lzheimer's disease, for example, cholinesterase inhibitors (CIs) that increase cholinergic neurotransmission are utilized. Memantine, a N-methyl-D-aspartate (NMDA) receptor antagonist, is used to avoid excitotoxicity in mild to severe cases, and antipsychotics and antidepressants are used to treat neuropsychiatric symptoms. There is currently no known way to prevent </w:t>
      </w:r>
      <w:r w:rsidR="00743C5D" w:rsidRPr="001839B7">
        <w:rPr>
          <w:rFonts w:ascii="Times New Roman" w:hAnsi="Times New Roman" w:cs="Times New Roman"/>
          <w:sz w:val="24"/>
          <w:szCs w:val="24"/>
        </w:rPr>
        <w:t>a</w:t>
      </w:r>
      <w:r w:rsidR="00AC132D" w:rsidRPr="001839B7">
        <w:rPr>
          <w:rFonts w:ascii="Times New Roman" w:hAnsi="Times New Roman" w:cs="Times New Roman"/>
          <w:sz w:val="24"/>
          <w:szCs w:val="24"/>
        </w:rPr>
        <w:t xml:space="preserve">lzheimer's disease. Prevention measures are being researched and developed on a daily basis. So far, the strongest data suggests that you may be able to reduce your risk of </w:t>
      </w:r>
      <w:r w:rsidR="00743C5D" w:rsidRPr="001839B7">
        <w:rPr>
          <w:rFonts w:ascii="Times New Roman" w:hAnsi="Times New Roman" w:cs="Times New Roman"/>
          <w:sz w:val="24"/>
          <w:szCs w:val="24"/>
        </w:rPr>
        <w:t>a</w:t>
      </w:r>
      <w:r w:rsidR="00AC132D" w:rsidRPr="001839B7">
        <w:rPr>
          <w:rFonts w:ascii="Times New Roman" w:hAnsi="Times New Roman" w:cs="Times New Roman"/>
          <w:sz w:val="24"/>
          <w:szCs w:val="24"/>
        </w:rPr>
        <w:t>lzheimer's disease by lowering your risk of heart disease</w:t>
      </w:r>
      <w:r w:rsidR="00401E49">
        <w:rPr>
          <w:rFonts w:ascii="Times New Roman" w:hAnsi="Times New Roman" w:cs="Times New Roman"/>
          <w:sz w:val="24"/>
          <w:szCs w:val="24"/>
        </w:rPr>
        <w:t xml:space="preserve">. </w:t>
      </w:r>
      <w:r w:rsidR="00401E49" w:rsidRPr="00401E49">
        <w:rPr>
          <w:rFonts w:ascii="Times New Roman" w:hAnsi="Times New Roman" w:cs="Times New Roman"/>
          <w:sz w:val="24"/>
          <w:szCs w:val="24"/>
        </w:rPr>
        <w:t>Alzheimer's disease and vascular dementia are both risks of heart disease that are largely increased by the same risk factors</w:t>
      </w:r>
      <w:r w:rsidR="00AC132D" w:rsidRPr="001839B7">
        <w:rPr>
          <w:rFonts w:ascii="Times New Roman" w:hAnsi="Times New Roman" w:cs="Times New Roman"/>
          <w:sz w:val="24"/>
          <w:szCs w:val="24"/>
        </w:rPr>
        <w:t>. High blood pressure, high cholesterol, being overweight, and diabetes are all important risk factors. Alzheimer's disease is complicated, and no one drug or other intervention is likely to result in effective treatment</w:t>
      </w:r>
      <w:r w:rsidR="00142ED0">
        <w:rPr>
          <w:rFonts w:ascii="Times New Roman" w:hAnsi="Times New Roman" w:cs="Times New Roman"/>
          <w:sz w:val="24"/>
          <w:szCs w:val="24"/>
        </w:rPr>
        <w:t xml:space="preserve"> </w:t>
      </w:r>
      <w:r w:rsidR="005553E8" w:rsidRPr="001839B7">
        <w:rPr>
          <w:rFonts w:ascii="Times New Roman" w:hAnsi="Times New Roman" w:cs="Times New Roman"/>
          <w:sz w:val="24"/>
          <w:szCs w:val="24"/>
        </w:rPr>
        <w:t>[</w:t>
      </w:r>
      <w:r w:rsidR="00D016A8" w:rsidRPr="001839B7">
        <w:rPr>
          <w:rFonts w:ascii="Times New Roman" w:hAnsi="Times New Roman" w:cs="Times New Roman"/>
          <w:sz w:val="24"/>
          <w:szCs w:val="24"/>
        </w:rPr>
        <w:t>Galasko D</w:t>
      </w:r>
      <w:r w:rsidR="009477FC" w:rsidRPr="001839B7">
        <w:rPr>
          <w:rFonts w:ascii="Times New Roman" w:hAnsi="Times New Roman" w:cs="Times New Roman"/>
          <w:sz w:val="24"/>
          <w:szCs w:val="24"/>
        </w:rPr>
        <w:t>.1998</w:t>
      </w:r>
      <w:r w:rsidR="005F2CD0" w:rsidRPr="001839B7">
        <w:rPr>
          <w:rFonts w:ascii="Times New Roman" w:hAnsi="Times New Roman" w:cs="Times New Roman"/>
          <w:sz w:val="24"/>
          <w:szCs w:val="24"/>
        </w:rPr>
        <w:t>].</w:t>
      </w:r>
      <w:r w:rsidR="00142ED0">
        <w:rPr>
          <w:rFonts w:ascii="Times New Roman" w:hAnsi="Times New Roman" w:cs="Times New Roman"/>
          <w:sz w:val="24"/>
          <w:szCs w:val="24"/>
        </w:rPr>
        <w:t xml:space="preserve"> </w:t>
      </w:r>
      <w:r w:rsidR="00AC132D" w:rsidRPr="001839B7">
        <w:rPr>
          <w:rFonts w:ascii="Times New Roman" w:hAnsi="Times New Roman" w:cs="Times New Roman"/>
          <w:sz w:val="24"/>
          <w:szCs w:val="24"/>
        </w:rPr>
        <w:t xml:space="preserve">Current treatments are aimed at assisting patients in maintaining mental function, managing </w:t>
      </w:r>
      <w:r w:rsidR="007A19F2" w:rsidRPr="001839B7">
        <w:rPr>
          <w:rFonts w:ascii="Times New Roman" w:hAnsi="Times New Roman" w:cs="Times New Roman"/>
          <w:sz w:val="24"/>
          <w:szCs w:val="24"/>
        </w:rPr>
        <w:t xml:space="preserve">behaviour </w:t>
      </w:r>
      <w:r w:rsidR="00AC132D" w:rsidRPr="001839B7">
        <w:rPr>
          <w:rFonts w:ascii="Times New Roman" w:hAnsi="Times New Roman" w:cs="Times New Roman"/>
          <w:sz w:val="24"/>
          <w:szCs w:val="24"/>
        </w:rPr>
        <w:t xml:space="preserve">problems, and slowing or delaying illness signs. Researchers want to create </w:t>
      </w:r>
      <w:r w:rsidR="00AC132D" w:rsidRPr="001839B7">
        <w:rPr>
          <w:rFonts w:ascii="Times New Roman" w:hAnsi="Times New Roman" w:cs="Times New Roman"/>
          <w:sz w:val="24"/>
          <w:szCs w:val="24"/>
        </w:rPr>
        <w:lastRenderedPageBreak/>
        <w:t>medicines that target specific genetic, molecular, and cellular systems in order to stop or prevent the fundamental cause of the disease.</w:t>
      </w:r>
    </w:p>
    <w:p w14:paraId="35EE94D7" w14:textId="60A0B39C"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b/>
          <w:bCs/>
          <w:sz w:val="24"/>
          <w:szCs w:val="24"/>
        </w:rPr>
        <w:t>RISK FACTORS</w:t>
      </w:r>
    </w:p>
    <w:p w14:paraId="36795C58"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b/>
          <w:bCs/>
          <w:sz w:val="24"/>
          <w:szCs w:val="24"/>
        </w:rPr>
        <w:t>Age:</w:t>
      </w:r>
      <w:r w:rsidRPr="001839B7">
        <w:rPr>
          <w:rFonts w:ascii="Times New Roman" w:hAnsi="Times New Roman" w:cs="Times New Roman"/>
          <w:sz w:val="24"/>
          <w:szCs w:val="24"/>
        </w:rPr>
        <w:t xml:space="preserve"> </w:t>
      </w:r>
    </w:p>
    <w:p w14:paraId="1CD0CEC1" w14:textId="7CB5C046"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One of the </w:t>
      </w:r>
      <w:r w:rsidR="00142ED0" w:rsidRPr="001839B7">
        <w:rPr>
          <w:rFonts w:ascii="Times New Roman" w:hAnsi="Times New Roman" w:cs="Times New Roman"/>
          <w:sz w:val="24"/>
          <w:szCs w:val="24"/>
        </w:rPr>
        <w:t>non-modifiable</w:t>
      </w:r>
      <w:r w:rsidRPr="001839B7">
        <w:rPr>
          <w:rFonts w:ascii="Times New Roman" w:hAnsi="Times New Roman" w:cs="Times New Roman"/>
          <w:sz w:val="24"/>
          <w:szCs w:val="24"/>
        </w:rPr>
        <w:t xml:space="preserve"> risk variables is age, which is the single </w:t>
      </w:r>
      <w:r w:rsidR="00D909C7" w:rsidRPr="001839B7">
        <w:rPr>
          <w:rFonts w:ascii="Times New Roman" w:hAnsi="Times New Roman" w:cs="Times New Roman"/>
          <w:sz w:val="24"/>
          <w:szCs w:val="24"/>
        </w:rPr>
        <w:t>maximum</w:t>
      </w:r>
      <w:r w:rsidRPr="001839B7">
        <w:rPr>
          <w:rFonts w:ascii="Times New Roman" w:hAnsi="Times New Roman" w:cs="Times New Roman"/>
          <w:sz w:val="24"/>
          <w:szCs w:val="24"/>
        </w:rPr>
        <w:t xml:space="preserve"> risk factor for acquiring </w:t>
      </w:r>
      <w:r w:rsidR="00943FFD"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disease. The majority of </w:t>
      </w:r>
      <w:r w:rsidR="00943FFD"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disease instances are seen in those over the age of 65. Alzheimer's disease affects about 5% of persons between the ages of 65 and 74. The risk rises to 50% for people above the age of 85. </w:t>
      </w:r>
      <w:r w:rsidR="00F57F60" w:rsidRPr="001839B7">
        <w:rPr>
          <w:rFonts w:ascii="Times New Roman" w:hAnsi="Times New Roman" w:cs="Times New Roman"/>
          <w:sz w:val="24"/>
          <w:szCs w:val="24"/>
        </w:rPr>
        <w:t>Numerous</w:t>
      </w:r>
      <w:r w:rsidRPr="001839B7">
        <w:rPr>
          <w:rFonts w:ascii="Times New Roman" w:hAnsi="Times New Roman" w:cs="Times New Roman"/>
          <w:sz w:val="24"/>
          <w:szCs w:val="24"/>
        </w:rPr>
        <w:t xml:space="preserve"> studies have </w:t>
      </w:r>
      <w:r w:rsidR="00F57F60" w:rsidRPr="001839B7">
        <w:rPr>
          <w:rFonts w:ascii="Times New Roman" w:hAnsi="Times New Roman" w:cs="Times New Roman"/>
          <w:sz w:val="24"/>
          <w:szCs w:val="24"/>
        </w:rPr>
        <w:t>initiated</w:t>
      </w:r>
      <w:r w:rsidRPr="001839B7">
        <w:rPr>
          <w:rFonts w:ascii="Times New Roman" w:hAnsi="Times New Roman" w:cs="Times New Roman"/>
          <w:sz w:val="24"/>
          <w:szCs w:val="24"/>
        </w:rPr>
        <w:t xml:space="preserve"> that ageing can affect the body's self-repair processes, including those in the brain. Furthermore, several cardiovascular risk factors, such as high blood pressure, heart disease, and excessive cholesterol, worsen with age</w:t>
      </w:r>
      <w:r w:rsidR="00142ED0">
        <w:rPr>
          <w:rFonts w:ascii="Times New Roman" w:hAnsi="Times New Roman" w:cs="Times New Roman"/>
          <w:sz w:val="24"/>
          <w:szCs w:val="24"/>
        </w:rPr>
        <w:t xml:space="preserve"> </w:t>
      </w:r>
      <w:r w:rsidR="005F2CD0" w:rsidRPr="001839B7">
        <w:rPr>
          <w:rFonts w:ascii="Times New Roman" w:hAnsi="Times New Roman" w:cs="Times New Roman"/>
          <w:sz w:val="24"/>
          <w:szCs w:val="24"/>
        </w:rPr>
        <w:t>[</w:t>
      </w:r>
      <w:r w:rsidR="009371F9" w:rsidRPr="001839B7">
        <w:rPr>
          <w:rFonts w:ascii="Times New Roman" w:hAnsi="Times New Roman" w:cs="Times New Roman"/>
          <w:sz w:val="24"/>
          <w:szCs w:val="24"/>
        </w:rPr>
        <w:t xml:space="preserve">Emilien and Grard, </w:t>
      </w:r>
      <w:r w:rsidR="00156FF0">
        <w:rPr>
          <w:rFonts w:ascii="Times New Roman" w:hAnsi="Times New Roman" w:cs="Times New Roman"/>
          <w:sz w:val="24"/>
          <w:szCs w:val="24"/>
        </w:rPr>
        <w:t>et al.,</w:t>
      </w:r>
      <w:r w:rsidR="00142ED0">
        <w:rPr>
          <w:rFonts w:ascii="Times New Roman" w:hAnsi="Times New Roman" w:cs="Times New Roman"/>
          <w:sz w:val="24"/>
          <w:szCs w:val="24"/>
        </w:rPr>
        <w:t xml:space="preserve"> </w:t>
      </w:r>
      <w:r w:rsidR="00462035" w:rsidRPr="001839B7">
        <w:rPr>
          <w:rFonts w:ascii="Times New Roman" w:hAnsi="Times New Roman" w:cs="Times New Roman"/>
          <w:sz w:val="24"/>
          <w:szCs w:val="24"/>
        </w:rPr>
        <w:t>2004</w:t>
      </w:r>
      <w:r w:rsidR="005F2CD0" w:rsidRPr="001839B7">
        <w:rPr>
          <w:rFonts w:ascii="Times New Roman" w:hAnsi="Times New Roman" w:cs="Times New Roman"/>
          <w:sz w:val="24"/>
          <w:szCs w:val="24"/>
        </w:rPr>
        <w:t>]</w:t>
      </w:r>
      <w:r w:rsidR="00142ED0">
        <w:rPr>
          <w:rFonts w:ascii="Times New Roman" w:hAnsi="Times New Roman" w:cs="Times New Roman"/>
          <w:sz w:val="24"/>
          <w:szCs w:val="24"/>
        </w:rPr>
        <w:t>.</w:t>
      </w:r>
    </w:p>
    <w:p w14:paraId="4F49C49E"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b/>
          <w:bCs/>
          <w:sz w:val="24"/>
          <w:szCs w:val="24"/>
        </w:rPr>
        <w:t>Genetics:</w:t>
      </w:r>
      <w:r w:rsidRPr="001839B7">
        <w:rPr>
          <w:rFonts w:ascii="Times New Roman" w:hAnsi="Times New Roman" w:cs="Times New Roman"/>
          <w:sz w:val="24"/>
          <w:szCs w:val="24"/>
        </w:rPr>
        <w:t xml:space="preserve"> </w:t>
      </w:r>
    </w:p>
    <w:p w14:paraId="22E67C61" w14:textId="27C13BD1"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There is no </w:t>
      </w:r>
      <w:r w:rsidR="009C44B0" w:rsidRPr="001839B7">
        <w:rPr>
          <w:rFonts w:ascii="Times New Roman" w:hAnsi="Times New Roman" w:cs="Times New Roman"/>
          <w:sz w:val="24"/>
          <w:szCs w:val="24"/>
        </w:rPr>
        <w:t>suggestion</w:t>
      </w:r>
      <w:r w:rsidRPr="001839B7">
        <w:rPr>
          <w:rFonts w:ascii="Times New Roman" w:hAnsi="Times New Roman" w:cs="Times New Roman"/>
          <w:sz w:val="24"/>
          <w:szCs w:val="24"/>
        </w:rPr>
        <w:t xml:space="preserve"> of a genetic pattern of inheritance in sporadic </w:t>
      </w:r>
      <w:r w:rsidR="00943FFD"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disease. </w:t>
      </w:r>
      <w:r w:rsidR="001474B6" w:rsidRPr="001474B6">
        <w:rPr>
          <w:rFonts w:ascii="Times New Roman" w:hAnsi="Times New Roman" w:cs="Times New Roman"/>
          <w:sz w:val="24"/>
          <w:szCs w:val="24"/>
        </w:rPr>
        <w:t xml:space="preserve">The gene for apo lipoprotein E (ApoE) has been linked to the onset of Alzheimer's disease. </w:t>
      </w:r>
      <w:r w:rsidRPr="001839B7">
        <w:rPr>
          <w:rFonts w:ascii="Times New Roman" w:hAnsi="Times New Roman" w:cs="Times New Roman"/>
          <w:sz w:val="24"/>
          <w:szCs w:val="24"/>
        </w:rPr>
        <w:t xml:space="preserve">This gene is thought to be in charge of the protein that transports cholesterol in blood vessels. ApoE4 has been demonstrated to raise the likelihood of developing the condition to a larger level. The ApoE2 variant, on the other hand, protects against the disease. A chromosomal mutation may be to blame in cases occurring before the age of 65. This uncommon form of the disease is known as </w:t>
      </w:r>
      <w:r w:rsidR="00943FFD" w:rsidRPr="001839B7">
        <w:rPr>
          <w:rFonts w:ascii="Times New Roman" w:hAnsi="Times New Roman" w:cs="Times New Roman"/>
          <w:sz w:val="24"/>
          <w:szCs w:val="24"/>
        </w:rPr>
        <w:t>Familiar</w:t>
      </w:r>
      <w:r w:rsidRPr="001839B7">
        <w:rPr>
          <w:rFonts w:ascii="Times New Roman" w:hAnsi="Times New Roman" w:cs="Times New Roman"/>
          <w:sz w:val="24"/>
          <w:szCs w:val="24"/>
        </w:rPr>
        <w:t xml:space="preserve"> </w:t>
      </w:r>
      <w:r w:rsidR="00943FFD" w:rsidRPr="001839B7">
        <w:rPr>
          <w:rFonts w:ascii="Times New Roman" w:hAnsi="Times New Roman" w:cs="Times New Roman"/>
          <w:sz w:val="24"/>
          <w:szCs w:val="24"/>
        </w:rPr>
        <w:t>a</w:t>
      </w:r>
      <w:r w:rsidR="009A3EE3" w:rsidRPr="001839B7">
        <w:rPr>
          <w:rFonts w:ascii="Times New Roman" w:hAnsi="Times New Roman" w:cs="Times New Roman"/>
          <w:sz w:val="24"/>
          <w:szCs w:val="24"/>
        </w:rPr>
        <w:t>lzheimer’s</w:t>
      </w:r>
      <w:r w:rsidRPr="001839B7">
        <w:rPr>
          <w:rFonts w:ascii="Times New Roman" w:hAnsi="Times New Roman" w:cs="Times New Roman"/>
          <w:sz w:val="24"/>
          <w:szCs w:val="24"/>
        </w:rPr>
        <w:t xml:space="preserve"> disease, and it affects less than 10% of </w:t>
      </w:r>
      <w:r w:rsidR="00D10DE6"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sufferers. Mutations on chromosomes 1, 14, and 21 have been found to be the cause.If a single chromosomal mutation is inherited, the person is 50% more likely to acquire </w:t>
      </w:r>
      <w:r w:rsidR="005412DF"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disease. In many cases, the prevalence and incidence of </w:t>
      </w:r>
      <w:r w:rsidR="005412DF"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disease strongly showed that age is the most relevant known risk factor. Indeed, AD prevalence rises dramatically with age, with </w:t>
      </w:r>
      <w:r w:rsidR="005412DF" w:rsidRPr="001839B7">
        <w:rPr>
          <w:rFonts w:ascii="Times New Roman" w:hAnsi="Times New Roman" w:cs="Times New Roman"/>
          <w:sz w:val="24"/>
          <w:szCs w:val="24"/>
        </w:rPr>
        <w:t>(</w:t>
      </w:r>
      <w:r w:rsidRPr="001839B7">
        <w:rPr>
          <w:rFonts w:ascii="Times New Roman" w:hAnsi="Times New Roman" w:cs="Times New Roman"/>
          <w:sz w:val="24"/>
          <w:szCs w:val="24"/>
        </w:rPr>
        <w:t>AD</w:t>
      </w:r>
      <w:r w:rsidR="005412DF" w:rsidRPr="001839B7">
        <w:rPr>
          <w:rFonts w:ascii="Times New Roman" w:hAnsi="Times New Roman" w:cs="Times New Roman"/>
          <w:sz w:val="24"/>
          <w:szCs w:val="24"/>
        </w:rPr>
        <w:t>)</w:t>
      </w:r>
      <w:r w:rsidR="00E909CD">
        <w:rPr>
          <w:rFonts w:ascii="Times New Roman" w:hAnsi="Times New Roman" w:cs="Times New Roman"/>
          <w:sz w:val="24"/>
          <w:szCs w:val="24"/>
        </w:rPr>
        <w:t xml:space="preserve"> </w:t>
      </w:r>
      <w:r w:rsidRPr="001839B7">
        <w:rPr>
          <w:rFonts w:ascii="Times New Roman" w:hAnsi="Times New Roman" w:cs="Times New Roman"/>
          <w:sz w:val="24"/>
          <w:szCs w:val="24"/>
        </w:rPr>
        <w:t>incidence rising from 2.8 per 1000 person years in people aged 65 to 69 to 56.1 per 1000 person years in people aged 90 and later.</w:t>
      </w:r>
    </w:p>
    <w:p w14:paraId="42FC9343"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b/>
          <w:bCs/>
          <w:sz w:val="24"/>
          <w:szCs w:val="24"/>
        </w:rPr>
        <w:t>Coexisting Health Problems:</w:t>
      </w:r>
    </w:p>
    <w:p w14:paraId="6EAA3F7D" w14:textId="17DADB14"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 It has been discovered that there is a substantial correlation between an </w:t>
      </w:r>
      <w:r w:rsidR="00946C4E"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patient's cardiovascular health and brain health. Having heart disease, high blood pressure, or both Certain or high cholesterol levels can raise the likelihood of developing </w:t>
      </w:r>
      <w:r w:rsidR="002D6E2D"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disease. This is caused by damage to blood arteries in the brain, which results in decreased blood flow and possibly brain tissue loss. Diabetes type 2 may potentially increase the risk of </w:t>
      </w:r>
      <w:r w:rsidR="002D6E2D" w:rsidRPr="001839B7">
        <w:rPr>
          <w:rFonts w:ascii="Times New Roman" w:hAnsi="Times New Roman" w:cs="Times New Roman"/>
          <w:sz w:val="24"/>
          <w:szCs w:val="24"/>
        </w:rPr>
        <w:t>a</w:t>
      </w:r>
      <w:r w:rsidRPr="001839B7">
        <w:rPr>
          <w:rFonts w:ascii="Times New Roman" w:hAnsi="Times New Roman" w:cs="Times New Roman"/>
          <w:sz w:val="24"/>
          <w:szCs w:val="24"/>
        </w:rPr>
        <w:t>lzheimer's disease. Inadequate insulin conversion to energy may result in greater amounts of sugar in the brain, causing significant injury to the entire body</w:t>
      </w:r>
      <w:r w:rsidR="00E909CD">
        <w:rPr>
          <w:rFonts w:ascii="Times New Roman" w:hAnsi="Times New Roman" w:cs="Times New Roman"/>
          <w:sz w:val="24"/>
          <w:szCs w:val="24"/>
        </w:rPr>
        <w:t xml:space="preserve"> </w:t>
      </w:r>
      <w:r w:rsidR="00B040F1" w:rsidRPr="001839B7">
        <w:rPr>
          <w:rFonts w:ascii="Times New Roman" w:hAnsi="Times New Roman" w:cs="Times New Roman"/>
          <w:sz w:val="24"/>
          <w:szCs w:val="24"/>
        </w:rPr>
        <w:t>[</w:t>
      </w:r>
      <w:r w:rsidR="00B51366" w:rsidRPr="001839B7">
        <w:rPr>
          <w:rFonts w:ascii="Times New Roman" w:hAnsi="Times New Roman" w:cs="Times New Roman"/>
          <w:sz w:val="24"/>
          <w:szCs w:val="24"/>
        </w:rPr>
        <w:t>Mellon</w:t>
      </w:r>
      <w:r w:rsidR="00771D38">
        <w:rPr>
          <w:rFonts w:ascii="Times New Roman" w:hAnsi="Times New Roman" w:cs="Times New Roman"/>
          <w:sz w:val="24"/>
          <w:szCs w:val="24"/>
        </w:rPr>
        <w:t xml:space="preserve"> e</w:t>
      </w:r>
      <w:r w:rsidR="00156FF0">
        <w:rPr>
          <w:rFonts w:ascii="Times New Roman" w:hAnsi="Times New Roman" w:cs="Times New Roman"/>
          <w:sz w:val="24"/>
          <w:szCs w:val="24"/>
        </w:rPr>
        <w:t>t al.,</w:t>
      </w:r>
      <w:r w:rsidR="00771D38">
        <w:rPr>
          <w:rFonts w:ascii="Times New Roman" w:hAnsi="Times New Roman" w:cs="Times New Roman"/>
          <w:sz w:val="24"/>
          <w:szCs w:val="24"/>
        </w:rPr>
        <w:t xml:space="preserve"> </w:t>
      </w:r>
      <w:r w:rsidR="009140C3" w:rsidRPr="001839B7">
        <w:rPr>
          <w:rFonts w:ascii="Times New Roman" w:hAnsi="Times New Roman" w:cs="Times New Roman"/>
          <w:sz w:val="24"/>
          <w:szCs w:val="24"/>
        </w:rPr>
        <w:t>2009</w:t>
      </w:r>
      <w:r w:rsidR="00B040F1" w:rsidRPr="001839B7">
        <w:rPr>
          <w:rFonts w:ascii="Times New Roman" w:hAnsi="Times New Roman" w:cs="Times New Roman"/>
          <w:sz w:val="24"/>
          <w:szCs w:val="24"/>
        </w:rPr>
        <w:t>].</w:t>
      </w:r>
      <w:r w:rsidR="00771D38">
        <w:rPr>
          <w:rFonts w:ascii="Times New Roman" w:hAnsi="Times New Roman" w:cs="Times New Roman"/>
          <w:sz w:val="24"/>
          <w:szCs w:val="24"/>
        </w:rPr>
        <w:t xml:space="preserve"> </w:t>
      </w:r>
      <w:r w:rsidRPr="001839B7">
        <w:rPr>
          <w:rFonts w:ascii="Times New Roman" w:hAnsi="Times New Roman" w:cs="Times New Roman"/>
          <w:sz w:val="24"/>
          <w:szCs w:val="24"/>
        </w:rPr>
        <w:t xml:space="preserve">As in almost every case, symptoms such as amnesia and confusion are moderate in the early stages of the disease, </w:t>
      </w:r>
      <w:r w:rsidRPr="001839B7">
        <w:rPr>
          <w:rFonts w:ascii="Times New Roman" w:hAnsi="Times New Roman" w:cs="Times New Roman"/>
          <w:sz w:val="24"/>
          <w:szCs w:val="24"/>
        </w:rPr>
        <w:lastRenderedPageBreak/>
        <w:t xml:space="preserve">but they steadily deteriorate as the disease continues and brain damage becomes more severe and evident. Some persons with </w:t>
      </w:r>
      <w:r w:rsidR="00B040F1" w:rsidRPr="001839B7">
        <w:rPr>
          <w:rFonts w:ascii="Times New Roman" w:hAnsi="Times New Roman" w:cs="Times New Roman"/>
          <w:sz w:val="24"/>
          <w:szCs w:val="24"/>
        </w:rPr>
        <w:t>a</w:t>
      </w:r>
      <w:r w:rsidRPr="001839B7">
        <w:rPr>
          <w:rFonts w:ascii="Times New Roman" w:hAnsi="Times New Roman" w:cs="Times New Roman"/>
          <w:sz w:val="24"/>
          <w:szCs w:val="24"/>
        </w:rPr>
        <w:t>lzheimer's disease also suffer from acute depression and are unsure how to cope with the loss of cognitive and fundamental functioning. Among the symptoms of depression are:</w:t>
      </w:r>
    </w:p>
    <w:p w14:paraId="14528990"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                                     •Insomnia</w:t>
      </w:r>
    </w:p>
    <w:p w14:paraId="3D740333"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                                     •Mood swings</w:t>
      </w:r>
    </w:p>
    <w:p w14:paraId="26AB839C"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                                     •Less contact with the people around</w:t>
      </w:r>
    </w:p>
    <w:p w14:paraId="1CE4C779"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                                     •Difficulty in concentrating</w:t>
      </w:r>
    </w:p>
    <w:p w14:paraId="0FC53198"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p>
    <w:p w14:paraId="1B0C5662" w14:textId="77777777" w:rsidR="00AC132D" w:rsidRPr="001839B7" w:rsidRDefault="00AC132D" w:rsidP="001839B7">
      <w:pPr>
        <w:tabs>
          <w:tab w:val="left" w:pos="90"/>
        </w:tabs>
        <w:spacing w:after="0"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Diagnosis;</w:t>
      </w:r>
    </w:p>
    <w:p w14:paraId="435AAFFD" w14:textId="2C6C90A6"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Diagnosis Criteria: </w:t>
      </w:r>
      <w:r w:rsidR="001474B6" w:rsidRPr="001474B6">
        <w:rPr>
          <w:rFonts w:ascii="Times New Roman" w:hAnsi="Times New Roman" w:cs="Times New Roman"/>
          <w:sz w:val="24"/>
          <w:szCs w:val="24"/>
        </w:rPr>
        <w:t>There is a logical progression for the clinical diagnosis of Alzheimer's disease</w:t>
      </w:r>
      <w:r w:rsidR="001474B6">
        <w:rPr>
          <w:rFonts w:ascii="Times New Roman" w:hAnsi="Times New Roman" w:cs="Times New Roman"/>
          <w:sz w:val="24"/>
          <w:szCs w:val="24"/>
        </w:rPr>
        <w:t xml:space="preserve"> </w:t>
      </w:r>
      <w:r w:rsidRPr="001839B7">
        <w:rPr>
          <w:rFonts w:ascii="Times New Roman" w:hAnsi="Times New Roman" w:cs="Times New Roman"/>
          <w:sz w:val="24"/>
          <w:szCs w:val="24"/>
        </w:rPr>
        <w:t>as is observed in many diseases: the history should include information from an informant</w:t>
      </w:r>
      <w:r w:rsidR="00B8489E" w:rsidRPr="001839B7">
        <w:rPr>
          <w:rFonts w:ascii="Times New Roman" w:hAnsi="Times New Roman" w:cs="Times New Roman"/>
          <w:sz w:val="24"/>
          <w:szCs w:val="24"/>
        </w:rPr>
        <w:t xml:space="preserve">ion </w:t>
      </w:r>
      <w:r w:rsidRPr="001839B7">
        <w:rPr>
          <w:rFonts w:ascii="Times New Roman" w:hAnsi="Times New Roman" w:cs="Times New Roman"/>
          <w:sz w:val="24"/>
          <w:szCs w:val="24"/>
        </w:rPr>
        <w:t>i.e.</w:t>
      </w:r>
      <w:r w:rsidR="008F1962">
        <w:rPr>
          <w:rFonts w:ascii="Times New Roman" w:hAnsi="Times New Roman" w:cs="Times New Roman"/>
          <w:sz w:val="24"/>
          <w:szCs w:val="24"/>
        </w:rPr>
        <w:t>,</w:t>
      </w:r>
      <w:r w:rsidRPr="001839B7">
        <w:rPr>
          <w:rFonts w:ascii="Times New Roman" w:hAnsi="Times New Roman" w:cs="Times New Roman"/>
          <w:sz w:val="24"/>
          <w:szCs w:val="24"/>
        </w:rPr>
        <w:t xml:space="preserve"> the person related to the patient</w:t>
      </w:r>
      <w:r w:rsidR="00B8489E" w:rsidRPr="001839B7">
        <w:rPr>
          <w:rFonts w:ascii="Times New Roman" w:hAnsi="Times New Roman" w:cs="Times New Roman"/>
          <w:sz w:val="24"/>
          <w:szCs w:val="24"/>
        </w:rPr>
        <w:t xml:space="preserve">, </w:t>
      </w:r>
      <w:r w:rsidRPr="001839B7">
        <w:rPr>
          <w:rFonts w:ascii="Times New Roman" w:hAnsi="Times New Roman" w:cs="Times New Roman"/>
          <w:sz w:val="24"/>
          <w:szCs w:val="24"/>
        </w:rPr>
        <w:t>a mental state assessment should include a validated cognitive function test; and the physical examination should focus on vascular and neurological signs supplemented by investigations and patient history</w:t>
      </w:r>
      <w:r w:rsidR="00DD561A">
        <w:rPr>
          <w:rFonts w:ascii="Times New Roman" w:hAnsi="Times New Roman" w:cs="Times New Roman"/>
          <w:sz w:val="24"/>
          <w:szCs w:val="24"/>
        </w:rPr>
        <w:t xml:space="preserve"> </w:t>
      </w:r>
      <w:r w:rsidR="007A171A" w:rsidRPr="001839B7">
        <w:rPr>
          <w:rFonts w:ascii="Times New Roman" w:hAnsi="Times New Roman" w:cs="Times New Roman"/>
          <w:sz w:val="24"/>
          <w:szCs w:val="24"/>
        </w:rPr>
        <w:t>[</w:t>
      </w:r>
      <w:r w:rsidR="001D7073" w:rsidRPr="001839B7">
        <w:rPr>
          <w:rFonts w:ascii="Times New Roman" w:hAnsi="Times New Roman" w:cs="Times New Roman"/>
          <w:sz w:val="24"/>
          <w:szCs w:val="24"/>
        </w:rPr>
        <w:t>Lukiw</w:t>
      </w:r>
      <w:r w:rsidR="00DD561A">
        <w:rPr>
          <w:rFonts w:ascii="Times New Roman" w:hAnsi="Times New Roman" w:cs="Times New Roman"/>
          <w:sz w:val="24"/>
          <w:szCs w:val="24"/>
        </w:rPr>
        <w:t xml:space="preserve">, </w:t>
      </w:r>
      <w:r w:rsidR="001D7073" w:rsidRPr="001839B7">
        <w:rPr>
          <w:rFonts w:ascii="Times New Roman" w:hAnsi="Times New Roman" w:cs="Times New Roman"/>
          <w:sz w:val="24"/>
          <w:szCs w:val="24"/>
        </w:rPr>
        <w:t>2012</w:t>
      </w:r>
      <w:r w:rsidR="007A171A" w:rsidRPr="001839B7">
        <w:rPr>
          <w:rFonts w:ascii="Times New Roman" w:hAnsi="Times New Roman" w:cs="Times New Roman"/>
          <w:sz w:val="24"/>
          <w:szCs w:val="24"/>
        </w:rPr>
        <w:t>].</w:t>
      </w:r>
      <w:r w:rsidR="00DD561A">
        <w:rPr>
          <w:rFonts w:ascii="Times New Roman" w:hAnsi="Times New Roman" w:cs="Times New Roman"/>
          <w:sz w:val="24"/>
          <w:szCs w:val="24"/>
        </w:rPr>
        <w:t xml:space="preserve"> </w:t>
      </w:r>
      <w:r w:rsidRPr="001839B7">
        <w:rPr>
          <w:rFonts w:ascii="Times New Roman" w:hAnsi="Times New Roman" w:cs="Times New Roman"/>
          <w:sz w:val="24"/>
          <w:szCs w:val="24"/>
        </w:rPr>
        <w:t xml:space="preserve">Assessment of dementia involves a two-step process in most cases. Firstly, it is important to distinguish dementia syndromes from other conditions that can mimic them, such as depression, delirium, and mild cognitive impairment as is observed in most cases, therefore these diseases need to be distinguished first. Secondly, once dementia syndrome is recognized, the diagnosis of a subtype is important because it may determine the kind of treatment possible. </w:t>
      </w:r>
      <w:r w:rsidR="007A70F1" w:rsidRPr="007A70F1">
        <w:rPr>
          <w:rFonts w:ascii="Times New Roman" w:hAnsi="Times New Roman" w:cs="Times New Roman"/>
          <w:sz w:val="24"/>
          <w:szCs w:val="24"/>
        </w:rPr>
        <w:t xml:space="preserve">Due to its non-confrontational nature and the fact that a normal drawing of a clock more or less rules out the presence of significant cognitive impairment, the clock test is widely used for cognitive screening in general practice. However, using a single cognitive test to check for the presence of dementia syndrome can be challenging due to the rules for scoring the tests, which can be quite complicated. </w:t>
      </w:r>
      <w:r w:rsidRPr="001839B7">
        <w:rPr>
          <w:rFonts w:ascii="Times New Roman" w:hAnsi="Times New Roman" w:cs="Times New Roman"/>
          <w:sz w:val="24"/>
          <w:szCs w:val="24"/>
        </w:rPr>
        <w:t xml:space="preserve"> does not do justice to the wide variety of symptoms and indications that make up the clinical syndrome of dementia. Activities of daily living are assessed alongside cognition, but there is less consistency in the assessment instruments used</w:t>
      </w:r>
      <w:r w:rsidR="00E909CD">
        <w:rPr>
          <w:rFonts w:ascii="Times New Roman" w:hAnsi="Times New Roman" w:cs="Times New Roman"/>
          <w:sz w:val="24"/>
          <w:szCs w:val="24"/>
        </w:rPr>
        <w:t xml:space="preserve"> </w:t>
      </w:r>
      <w:r w:rsidR="001A5558" w:rsidRPr="001839B7">
        <w:rPr>
          <w:rFonts w:ascii="Times New Roman" w:hAnsi="Times New Roman" w:cs="Times New Roman"/>
          <w:sz w:val="24"/>
          <w:szCs w:val="24"/>
        </w:rPr>
        <w:t>[</w:t>
      </w:r>
      <w:r w:rsidR="007317B5" w:rsidRPr="001839B7">
        <w:rPr>
          <w:rFonts w:ascii="Times New Roman" w:hAnsi="Times New Roman" w:cs="Times New Roman"/>
          <w:sz w:val="24"/>
          <w:szCs w:val="24"/>
        </w:rPr>
        <w:t>Thies and Bleiler</w:t>
      </w:r>
      <w:r w:rsidR="00284B30">
        <w:rPr>
          <w:rFonts w:ascii="Times New Roman" w:hAnsi="Times New Roman" w:cs="Times New Roman"/>
          <w:sz w:val="24"/>
          <w:szCs w:val="24"/>
        </w:rPr>
        <w:t xml:space="preserve">, </w:t>
      </w:r>
      <w:r w:rsidR="00A65FA6" w:rsidRPr="001839B7">
        <w:rPr>
          <w:rFonts w:ascii="Times New Roman" w:hAnsi="Times New Roman" w:cs="Times New Roman"/>
          <w:sz w:val="24"/>
          <w:szCs w:val="24"/>
        </w:rPr>
        <w:t>2013</w:t>
      </w:r>
      <w:r w:rsidR="001A5558" w:rsidRPr="001839B7">
        <w:rPr>
          <w:rFonts w:ascii="Times New Roman" w:hAnsi="Times New Roman" w:cs="Times New Roman"/>
          <w:sz w:val="24"/>
          <w:szCs w:val="24"/>
        </w:rPr>
        <w:t>]</w:t>
      </w:r>
    </w:p>
    <w:p w14:paraId="4EDD53A0" w14:textId="5BF5EAD3"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Detection Methods: Neuroimaging is a promising and rapidly growing field of study for detecting </w:t>
      </w:r>
      <w:r w:rsidR="001A5558" w:rsidRPr="001839B7">
        <w:rPr>
          <w:rFonts w:ascii="Times New Roman" w:hAnsi="Times New Roman" w:cs="Times New Roman"/>
          <w:sz w:val="24"/>
          <w:szCs w:val="24"/>
        </w:rPr>
        <w:t>a</w:t>
      </w:r>
      <w:r w:rsidRPr="001839B7">
        <w:rPr>
          <w:rFonts w:ascii="Times New Roman" w:hAnsi="Times New Roman" w:cs="Times New Roman"/>
          <w:sz w:val="24"/>
          <w:szCs w:val="24"/>
        </w:rPr>
        <w:t>lzheimer's disease. There are a variety of brain imaging technologies that can be used to detect abnormalities in the brain, including PET, MRI, and CT scans, which are considered preliminary testing for illness identification</w:t>
      </w:r>
      <w:r w:rsidR="00E909CD">
        <w:rPr>
          <w:rFonts w:ascii="Times New Roman" w:hAnsi="Times New Roman" w:cs="Times New Roman"/>
          <w:sz w:val="24"/>
          <w:szCs w:val="24"/>
        </w:rPr>
        <w:t xml:space="preserve"> </w:t>
      </w:r>
      <w:r w:rsidR="00AD73E4" w:rsidRPr="001839B7">
        <w:rPr>
          <w:rFonts w:ascii="Times New Roman" w:hAnsi="Times New Roman" w:cs="Times New Roman"/>
          <w:sz w:val="24"/>
          <w:szCs w:val="24"/>
        </w:rPr>
        <w:t>[</w:t>
      </w:r>
      <w:r w:rsidR="00AC4773" w:rsidRPr="001839B7">
        <w:rPr>
          <w:rFonts w:ascii="Times New Roman" w:hAnsi="Times New Roman" w:cs="Times New Roman"/>
          <w:sz w:val="24"/>
          <w:szCs w:val="24"/>
        </w:rPr>
        <w:t xml:space="preserve">Francis </w:t>
      </w:r>
      <w:r w:rsidR="00ED128B">
        <w:rPr>
          <w:rFonts w:ascii="Times New Roman" w:hAnsi="Times New Roman" w:cs="Times New Roman"/>
          <w:sz w:val="24"/>
          <w:szCs w:val="24"/>
        </w:rPr>
        <w:t>et al.,</w:t>
      </w:r>
      <w:r w:rsidR="001B3172">
        <w:rPr>
          <w:rFonts w:ascii="Times New Roman" w:hAnsi="Times New Roman" w:cs="Times New Roman"/>
          <w:sz w:val="24"/>
          <w:szCs w:val="24"/>
        </w:rPr>
        <w:t xml:space="preserve"> </w:t>
      </w:r>
      <w:r w:rsidR="00AC4773" w:rsidRPr="001839B7">
        <w:rPr>
          <w:rFonts w:ascii="Times New Roman" w:hAnsi="Times New Roman" w:cs="Times New Roman"/>
          <w:sz w:val="24"/>
          <w:szCs w:val="24"/>
        </w:rPr>
        <w:t>1999</w:t>
      </w:r>
      <w:r w:rsidR="00AD73E4" w:rsidRPr="001839B7">
        <w:rPr>
          <w:rFonts w:ascii="Times New Roman" w:hAnsi="Times New Roman" w:cs="Times New Roman"/>
          <w:sz w:val="24"/>
          <w:szCs w:val="24"/>
        </w:rPr>
        <w:t>].</w:t>
      </w:r>
      <w:r w:rsidR="00E909CD">
        <w:rPr>
          <w:rFonts w:ascii="Times New Roman" w:hAnsi="Times New Roman" w:cs="Times New Roman"/>
          <w:sz w:val="24"/>
          <w:szCs w:val="24"/>
        </w:rPr>
        <w:t xml:space="preserve"> </w:t>
      </w:r>
      <w:r w:rsidRPr="001839B7">
        <w:rPr>
          <w:rFonts w:ascii="Times New Roman" w:hAnsi="Times New Roman" w:cs="Times New Roman"/>
          <w:sz w:val="24"/>
          <w:szCs w:val="24"/>
        </w:rPr>
        <w:t xml:space="preserve">Each scan employs a distinct technique to discover specific structures and abnormalities in the brain and its connected regions. Although brain imaging is not now a common aspect of </w:t>
      </w:r>
      <w:r w:rsidR="00AD73E4" w:rsidRPr="001839B7">
        <w:rPr>
          <w:rFonts w:ascii="Times New Roman" w:hAnsi="Times New Roman" w:cs="Times New Roman"/>
          <w:sz w:val="24"/>
          <w:szCs w:val="24"/>
        </w:rPr>
        <w:t>a</w:t>
      </w:r>
      <w:r w:rsidRPr="001839B7">
        <w:rPr>
          <w:rFonts w:ascii="Times New Roman" w:hAnsi="Times New Roman" w:cs="Times New Roman"/>
          <w:sz w:val="24"/>
          <w:szCs w:val="24"/>
        </w:rPr>
        <w:t xml:space="preserve">lzheimer's </w:t>
      </w:r>
      <w:r w:rsidRPr="001839B7">
        <w:rPr>
          <w:rFonts w:ascii="Times New Roman" w:hAnsi="Times New Roman" w:cs="Times New Roman"/>
          <w:sz w:val="24"/>
          <w:szCs w:val="24"/>
        </w:rPr>
        <w:lastRenderedPageBreak/>
        <w:t xml:space="preserve">disease testing, recent clinical studies have showed encouraging results that may transform how physicians diagnose the condition. Despite many years of dedicated and productive study, no effective medication for </w:t>
      </w:r>
      <w:r w:rsidR="00AD73E4" w:rsidRPr="001839B7">
        <w:rPr>
          <w:rFonts w:ascii="Times New Roman" w:hAnsi="Times New Roman" w:cs="Times New Roman"/>
          <w:sz w:val="24"/>
          <w:szCs w:val="24"/>
        </w:rPr>
        <w:t>a</w:t>
      </w:r>
      <w:r w:rsidRPr="001839B7">
        <w:rPr>
          <w:rFonts w:ascii="Times New Roman" w:hAnsi="Times New Roman" w:cs="Times New Roman"/>
          <w:sz w:val="24"/>
          <w:szCs w:val="24"/>
        </w:rPr>
        <w:t>lzheimer's disease, the most common form of dementia, currently exists.  has evolved. It has become increasingly clear that, if the disease is to be treated successfully, it must be detected as early as possible, perhaps even before symptoms are evident. Thus, there is a great need for reliable diagnostic methods so that treatment to slow or prevent the disease can begin as early as possible to treat the disease in proper way</w:t>
      </w:r>
      <w:r w:rsidR="00E909CD">
        <w:rPr>
          <w:rFonts w:ascii="Times New Roman" w:hAnsi="Times New Roman" w:cs="Times New Roman"/>
          <w:sz w:val="24"/>
          <w:szCs w:val="24"/>
        </w:rPr>
        <w:t xml:space="preserve"> </w:t>
      </w:r>
      <w:r w:rsidR="00426429" w:rsidRPr="001839B7">
        <w:rPr>
          <w:rFonts w:ascii="Times New Roman" w:hAnsi="Times New Roman" w:cs="Times New Roman"/>
          <w:sz w:val="24"/>
          <w:szCs w:val="24"/>
        </w:rPr>
        <w:t>[</w:t>
      </w:r>
      <w:r w:rsidR="00556E0B" w:rsidRPr="001839B7">
        <w:rPr>
          <w:rFonts w:ascii="Times New Roman" w:hAnsi="Times New Roman" w:cs="Times New Roman"/>
          <w:sz w:val="24"/>
          <w:szCs w:val="24"/>
        </w:rPr>
        <w:t>Corbett</w:t>
      </w:r>
      <w:r w:rsidR="00E324CD" w:rsidRPr="001839B7">
        <w:rPr>
          <w:rFonts w:ascii="Times New Roman" w:hAnsi="Times New Roman" w:cs="Times New Roman"/>
          <w:sz w:val="24"/>
          <w:szCs w:val="24"/>
        </w:rPr>
        <w:t xml:space="preserve"> </w:t>
      </w:r>
      <w:r w:rsidR="00ED128B">
        <w:rPr>
          <w:rFonts w:ascii="Times New Roman" w:hAnsi="Times New Roman" w:cs="Times New Roman"/>
          <w:sz w:val="24"/>
          <w:szCs w:val="24"/>
        </w:rPr>
        <w:t xml:space="preserve">et al., </w:t>
      </w:r>
      <w:r w:rsidR="002C61D0" w:rsidRPr="001839B7">
        <w:rPr>
          <w:rFonts w:ascii="Times New Roman" w:hAnsi="Times New Roman" w:cs="Times New Roman"/>
          <w:sz w:val="24"/>
          <w:szCs w:val="24"/>
        </w:rPr>
        <w:t>2013]</w:t>
      </w:r>
      <w:r w:rsidR="00426429" w:rsidRPr="001839B7">
        <w:rPr>
          <w:rFonts w:ascii="Times New Roman" w:hAnsi="Times New Roman" w:cs="Times New Roman"/>
          <w:sz w:val="24"/>
          <w:szCs w:val="24"/>
        </w:rPr>
        <w:t>.</w:t>
      </w:r>
    </w:p>
    <w:p w14:paraId="1BDDF306" w14:textId="52BA071E" w:rsidR="00AC132D" w:rsidRPr="001839B7" w:rsidRDefault="00AC132D"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The typical pathological feature of Alzheimer's disease is formation of insoluble amyloid plaques in the brain and nerve cells. These panels may exist measured in the brain using positron emission tomography (PET camera) to visualize the binding of radioactive tracer particles amyloid plaques. It also measures amyloid levels in the spinal cord</w:t>
      </w:r>
      <w:r w:rsidR="00E909CD">
        <w:rPr>
          <w:rFonts w:ascii="Times New Roman" w:hAnsi="Times New Roman" w:cs="Times New Roman"/>
          <w:sz w:val="24"/>
          <w:szCs w:val="24"/>
        </w:rPr>
        <w:t xml:space="preserve"> </w:t>
      </w:r>
      <w:r w:rsidR="00426429" w:rsidRPr="001839B7">
        <w:rPr>
          <w:rFonts w:ascii="Times New Roman" w:hAnsi="Times New Roman" w:cs="Times New Roman"/>
          <w:sz w:val="24"/>
          <w:szCs w:val="24"/>
        </w:rPr>
        <w:t>[</w:t>
      </w:r>
      <w:r w:rsidR="00DE209B" w:rsidRPr="001839B7">
        <w:rPr>
          <w:rFonts w:ascii="Times New Roman" w:hAnsi="Times New Roman" w:cs="Times New Roman"/>
          <w:sz w:val="24"/>
          <w:szCs w:val="24"/>
        </w:rPr>
        <w:t>Thies W and Bleiler L</w:t>
      </w:r>
      <w:r w:rsidR="003A076A" w:rsidRPr="001839B7">
        <w:rPr>
          <w:rFonts w:ascii="Times New Roman" w:hAnsi="Times New Roman" w:cs="Times New Roman"/>
          <w:sz w:val="24"/>
          <w:szCs w:val="24"/>
        </w:rPr>
        <w:t>,</w:t>
      </w:r>
      <w:r w:rsidR="00DE5CC7">
        <w:rPr>
          <w:rFonts w:ascii="Times New Roman" w:hAnsi="Times New Roman" w:cs="Times New Roman"/>
          <w:sz w:val="24"/>
          <w:szCs w:val="24"/>
        </w:rPr>
        <w:t xml:space="preserve"> </w:t>
      </w:r>
      <w:r w:rsidR="003A076A" w:rsidRPr="001839B7">
        <w:rPr>
          <w:rFonts w:ascii="Times New Roman" w:hAnsi="Times New Roman" w:cs="Times New Roman"/>
          <w:sz w:val="24"/>
          <w:szCs w:val="24"/>
        </w:rPr>
        <w:t>2013</w:t>
      </w:r>
      <w:r w:rsidR="00426429" w:rsidRPr="001839B7">
        <w:rPr>
          <w:rFonts w:ascii="Times New Roman" w:hAnsi="Times New Roman" w:cs="Times New Roman"/>
          <w:sz w:val="24"/>
          <w:szCs w:val="24"/>
        </w:rPr>
        <w:t>].</w:t>
      </w:r>
      <w:r w:rsidR="00E909CD">
        <w:rPr>
          <w:rFonts w:ascii="Times New Roman" w:hAnsi="Times New Roman" w:cs="Times New Roman"/>
          <w:sz w:val="24"/>
          <w:szCs w:val="24"/>
        </w:rPr>
        <w:t xml:space="preserve"> </w:t>
      </w:r>
      <w:r w:rsidRPr="001839B7">
        <w:rPr>
          <w:rFonts w:ascii="Times New Roman" w:hAnsi="Times New Roman" w:cs="Times New Roman"/>
          <w:sz w:val="24"/>
          <w:szCs w:val="24"/>
        </w:rPr>
        <w:t>Despite the accumulation of amyloid in the brain. Alzheimer's disease, study shows amyloid levels. Instead, atrophy of the spinal cord. Check out this study. These men compared PET measurements of amyloid in the brainiest beta amyloid 42 in the cerebrospinal fluid to see how they line up this</w:t>
      </w:r>
      <w:r w:rsidR="00284BC2" w:rsidRPr="001839B7">
        <w:rPr>
          <w:rFonts w:ascii="Times New Roman" w:hAnsi="Times New Roman" w:cs="Times New Roman"/>
          <w:sz w:val="24"/>
          <w:szCs w:val="24"/>
        </w:rPr>
        <w:t xml:space="preserve">. </w:t>
      </w:r>
      <w:r w:rsidRPr="001839B7">
        <w:rPr>
          <w:rFonts w:ascii="Times New Roman" w:hAnsi="Times New Roman" w:cs="Times New Roman"/>
          <w:sz w:val="24"/>
          <w:szCs w:val="24"/>
        </w:rPr>
        <w:t>The research was carried out in seven European memory clinics.</w:t>
      </w:r>
      <w:r w:rsidR="00426429" w:rsidRPr="001839B7">
        <w:rPr>
          <w:rFonts w:ascii="Times New Roman" w:hAnsi="Times New Roman" w:cs="Times New Roman"/>
          <w:sz w:val="24"/>
          <w:szCs w:val="24"/>
        </w:rPr>
        <w:t xml:space="preserve"> </w:t>
      </w:r>
      <w:r w:rsidRPr="001839B7">
        <w:rPr>
          <w:rFonts w:ascii="Times New Roman" w:hAnsi="Times New Roman" w:cs="Times New Roman"/>
          <w:sz w:val="24"/>
          <w:szCs w:val="24"/>
        </w:rPr>
        <w:t xml:space="preserve">230patients were tested for memory problems and dementia The patient received many different diagnoses, including benign </w:t>
      </w:r>
      <w:r w:rsidR="00E909CD" w:rsidRPr="001839B7">
        <w:rPr>
          <w:rFonts w:ascii="Times New Roman" w:hAnsi="Times New Roman" w:cs="Times New Roman"/>
          <w:sz w:val="24"/>
          <w:szCs w:val="24"/>
        </w:rPr>
        <w:t>one’s</w:t>
      </w:r>
      <w:r w:rsidRPr="001839B7">
        <w:rPr>
          <w:rFonts w:ascii="Times New Roman" w:hAnsi="Times New Roman" w:cs="Times New Roman"/>
          <w:sz w:val="24"/>
          <w:szCs w:val="24"/>
        </w:rPr>
        <w:t xml:space="preserve"> Cognitive impairment (CLD), Alzheimer's disease, etc. type of dementia PET: Positron emission tomography (PET) uses radiation signals. At the end, create a colorful 3D portrait of a person body. Patients receive radioactive injections, which</w:t>
      </w:r>
      <w:r w:rsidR="00284BC2" w:rsidRPr="001839B7">
        <w:rPr>
          <w:rFonts w:ascii="Times New Roman" w:hAnsi="Times New Roman" w:cs="Times New Roman"/>
          <w:sz w:val="24"/>
          <w:szCs w:val="24"/>
        </w:rPr>
        <w:t xml:space="preserve"> </w:t>
      </w:r>
      <w:r w:rsidRPr="001839B7">
        <w:rPr>
          <w:rFonts w:ascii="Times New Roman" w:hAnsi="Times New Roman" w:cs="Times New Roman"/>
          <w:sz w:val="24"/>
          <w:szCs w:val="24"/>
        </w:rPr>
        <w:t>include</w:t>
      </w:r>
      <w:r w:rsidR="00284BC2" w:rsidRPr="001839B7">
        <w:rPr>
          <w:rFonts w:ascii="Times New Roman" w:hAnsi="Times New Roman" w:cs="Times New Roman"/>
          <w:sz w:val="24"/>
          <w:szCs w:val="24"/>
        </w:rPr>
        <w:t>s</w:t>
      </w:r>
      <w:r w:rsidRPr="001839B7">
        <w:rPr>
          <w:rFonts w:ascii="Times New Roman" w:hAnsi="Times New Roman" w:cs="Times New Roman"/>
          <w:sz w:val="24"/>
          <w:szCs w:val="24"/>
        </w:rPr>
        <w:t xml:space="preserve"> </w:t>
      </w:r>
      <w:r w:rsidR="00E909CD">
        <w:rPr>
          <w:rFonts w:ascii="Times New Roman" w:hAnsi="Times New Roman" w:cs="Times New Roman"/>
          <w:sz w:val="24"/>
          <w:szCs w:val="24"/>
        </w:rPr>
        <w:t>r</w:t>
      </w:r>
      <w:r w:rsidRPr="001839B7">
        <w:rPr>
          <w:rFonts w:ascii="Times New Roman" w:hAnsi="Times New Roman" w:cs="Times New Roman"/>
          <w:sz w:val="24"/>
          <w:szCs w:val="24"/>
        </w:rPr>
        <w:t>adioactive materials with natural chemicals This chemical is normal in the California Alzheimer's study Glucose is widely used. The radiation reaches the organs</w:t>
      </w:r>
      <w:r w:rsidR="00284BC2" w:rsidRPr="001839B7">
        <w:rPr>
          <w:rFonts w:ascii="Times New Roman" w:hAnsi="Times New Roman" w:cs="Times New Roman"/>
          <w:sz w:val="24"/>
          <w:szCs w:val="24"/>
        </w:rPr>
        <w:t xml:space="preserve">. </w:t>
      </w:r>
      <w:r w:rsidRPr="001839B7">
        <w:rPr>
          <w:rFonts w:ascii="Times New Roman" w:hAnsi="Times New Roman" w:cs="Times New Roman"/>
          <w:sz w:val="24"/>
          <w:szCs w:val="24"/>
        </w:rPr>
        <w:t xml:space="preserve">This molecule is used as energy. From the settings </w:t>
      </w:r>
      <w:r w:rsidR="00284BC2" w:rsidRPr="001839B7">
        <w:rPr>
          <w:rFonts w:ascii="Times New Roman" w:hAnsi="Times New Roman" w:cs="Times New Roman"/>
          <w:sz w:val="24"/>
          <w:szCs w:val="24"/>
        </w:rPr>
        <w:t>m</w:t>
      </w:r>
      <w:r w:rsidRPr="001839B7">
        <w:rPr>
          <w:rFonts w:ascii="Times New Roman" w:hAnsi="Times New Roman" w:cs="Times New Roman"/>
          <w:sz w:val="24"/>
          <w:szCs w:val="24"/>
        </w:rPr>
        <w:t>etabolism releases positrons</w:t>
      </w:r>
      <w:r w:rsidR="00284BC2" w:rsidRPr="001839B7">
        <w:rPr>
          <w:rFonts w:ascii="Times New Roman" w:hAnsi="Times New Roman" w:cs="Times New Roman"/>
          <w:sz w:val="24"/>
          <w:szCs w:val="24"/>
        </w:rPr>
        <w:t>,</w:t>
      </w:r>
      <w:r w:rsidRPr="001839B7">
        <w:rPr>
          <w:rFonts w:ascii="Times New Roman" w:hAnsi="Times New Roman" w:cs="Times New Roman"/>
          <w:sz w:val="24"/>
          <w:szCs w:val="24"/>
        </w:rPr>
        <w:t xml:space="preserve"> the energy of these places </w:t>
      </w:r>
      <w:r w:rsidR="00E909CD" w:rsidRPr="001839B7">
        <w:rPr>
          <w:rFonts w:ascii="Times New Roman" w:hAnsi="Times New Roman" w:cs="Times New Roman"/>
          <w:sz w:val="24"/>
          <w:szCs w:val="24"/>
        </w:rPr>
        <w:t>a PET</w:t>
      </w:r>
      <w:r w:rsidRPr="001839B7">
        <w:rPr>
          <w:rFonts w:ascii="Times New Roman" w:hAnsi="Times New Roman" w:cs="Times New Roman"/>
          <w:sz w:val="24"/>
          <w:szCs w:val="24"/>
        </w:rPr>
        <w:t xml:space="preserve"> scan detects an itron and converts the input into images. The resulting screen image. This image shows the function of the patient's body, showing how effectively the radiotracer is being used broke up </w:t>
      </w:r>
      <w:r w:rsidR="00284BC2" w:rsidRPr="001839B7">
        <w:rPr>
          <w:rFonts w:ascii="Times New Roman" w:hAnsi="Times New Roman" w:cs="Times New Roman"/>
          <w:sz w:val="24"/>
          <w:szCs w:val="24"/>
        </w:rPr>
        <w:t>t</w:t>
      </w:r>
      <w:r w:rsidRPr="001839B7">
        <w:rPr>
          <w:rFonts w:ascii="Times New Roman" w:hAnsi="Times New Roman" w:cs="Times New Roman"/>
          <w:sz w:val="24"/>
          <w:szCs w:val="24"/>
        </w:rPr>
        <w:t>he amount of emitted positron energy generates different colors and intensities that reflect the range</w:t>
      </w:r>
      <w:r w:rsidR="00284BC2" w:rsidRPr="001839B7">
        <w:rPr>
          <w:rFonts w:ascii="Times New Roman" w:hAnsi="Times New Roman" w:cs="Times New Roman"/>
          <w:sz w:val="24"/>
          <w:szCs w:val="24"/>
        </w:rPr>
        <w:t xml:space="preserve"> of</w:t>
      </w:r>
      <w:r w:rsidRPr="001839B7">
        <w:rPr>
          <w:rFonts w:ascii="Times New Roman" w:hAnsi="Times New Roman" w:cs="Times New Roman"/>
          <w:sz w:val="24"/>
          <w:szCs w:val="24"/>
        </w:rPr>
        <w:t xml:space="preserve"> brain function </w:t>
      </w:r>
      <w:r w:rsidR="00284BC2" w:rsidRPr="001839B7">
        <w:rPr>
          <w:rFonts w:ascii="Times New Roman" w:hAnsi="Times New Roman" w:cs="Times New Roman"/>
          <w:sz w:val="24"/>
          <w:szCs w:val="24"/>
        </w:rPr>
        <w:t xml:space="preserve">a </w:t>
      </w:r>
      <w:r w:rsidRPr="001839B7">
        <w:rPr>
          <w:rFonts w:ascii="Times New Roman" w:hAnsi="Times New Roman" w:cs="Times New Roman"/>
          <w:sz w:val="24"/>
          <w:szCs w:val="24"/>
        </w:rPr>
        <w:t xml:space="preserve">PET scan can detect changes metabolism, blood circulation and cellular communication processes in the brain and other brain activities. The study was published in 1996 in the Journal of Clinical Psychiatry described a method for using PET scanning to detect changes in glucose metabolism in the Alzheimer's disease brain the patient It was found that in parietal, temporal and pos. upper cortices, glucose metabolism is unusually low seen Their number was further reduced in patients with the disease is advanced and affects more places brain. Small and colleagues found that PET the scan can be used to detect changes in glucose metabolism long before the clinical manifestation of </w:t>
      </w:r>
      <w:r w:rsidRPr="001839B7">
        <w:rPr>
          <w:rFonts w:ascii="Times New Roman" w:hAnsi="Times New Roman" w:cs="Times New Roman"/>
          <w:sz w:val="24"/>
          <w:szCs w:val="24"/>
        </w:rPr>
        <w:lastRenderedPageBreak/>
        <w:t xml:space="preserve">symptoms. In </w:t>
      </w:r>
      <w:r w:rsidR="00ED5A31" w:rsidRPr="001839B7">
        <w:rPr>
          <w:rFonts w:ascii="Times New Roman" w:hAnsi="Times New Roman" w:cs="Times New Roman"/>
          <w:sz w:val="24"/>
          <w:szCs w:val="24"/>
        </w:rPr>
        <w:t>addition,</w:t>
      </w:r>
      <w:r w:rsidRPr="001839B7">
        <w:rPr>
          <w:rFonts w:ascii="Times New Roman" w:hAnsi="Times New Roman" w:cs="Times New Roman"/>
          <w:sz w:val="24"/>
          <w:szCs w:val="24"/>
        </w:rPr>
        <w:t xml:space="preserve"> A PET image could also be used for diagnosis the effectiveness of the treatment of Alzheimer's disease [</w:t>
      </w:r>
      <w:r w:rsidR="00084358" w:rsidRPr="001839B7">
        <w:rPr>
          <w:rFonts w:ascii="Times New Roman" w:hAnsi="Times New Roman" w:cs="Times New Roman"/>
          <w:sz w:val="24"/>
          <w:szCs w:val="24"/>
        </w:rPr>
        <w:t>Beyenhof and Lauren</w:t>
      </w:r>
      <w:r w:rsidR="00284B30">
        <w:rPr>
          <w:rFonts w:ascii="Times New Roman" w:hAnsi="Times New Roman" w:cs="Times New Roman"/>
          <w:sz w:val="24"/>
          <w:szCs w:val="24"/>
        </w:rPr>
        <w:t xml:space="preserve">, </w:t>
      </w:r>
      <w:r w:rsidR="003B2815" w:rsidRPr="001839B7">
        <w:rPr>
          <w:rFonts w:ascii="Times New Roman" w:hAnsi="Times New Roman" w:cs="Times New Roman"/>
          <w:sz w:val="24"/>
          <w:szCs w:val="24"/>
        </w:rPr>
        <w:t>2010</w:t>
      </w:r>
      <w:r w:rsidRPr="001839B7">
        <w:rPr>
          <w:rFonts w:ascii="Times New Roman" w:hAnsi="Times New Roman" w:cs="Times New Roman"/>
          <w:sz w:val="24"/>
          <w:szCs w:val="24"/>
        </w:rPr>
        <w:t xml:space="preserve">]. CT: Computed tomography (CT) makes a series of CT images Sectional view of the body. using a computer,Individual scans are combined and merged into one detailed image. Scanners provide information to doctors Body </w:t>
      </w:r>
      <w:r w:rsidR="00ED5A31" w:rsidRPr="001839B7">
        <w:rPr>
          <w:rFonts w:ascii="Times New Roman" w:hAnsi="Times New Roman" w:cs="Times New Roman"/>
          <w:sz w:val="24"/>
          <w:szCs w:val="24"/>
        </w:rPr>
        <w:t>density and</w:t>
      </w:r>
      <w:r w:rsidRPr="001839B7">
        <w:rPr>
          <w:rFonts w:ascii="Times New Roman" w:hAnsi="Times New Roman" w:cs="Times New Roman"/>
          <w:sz w:val="24"/>
          <w:szCs w:val="24"/>
        </w:rPr>
        <w:t xml:space="preserve"> different </w:t>
      </w:r>
      <w:r w:rsidR="00ED5A31" w:rsidRPr="001839B7">
        <w:rPr>
          <w:rFonts w:ascii="Times New Roman" w:hAnsi="Times New Roman" w:cs="Times New Roman"/>
          <w:sz w:val="24"/>
          <w:szCs w:val="24"/>
        </w:rPr>
        <w:t>tissues parts</w:t>
      </w:r>
      <w:r w:rsidRPr="001839B7">
        <w:rPr>
          <w:rFonts w:ascii="Times New Roman" w:hAnsi="Times New Roman" w:cs="Times New Roman"/>
          <w:sz w:val="24"/>
          <w:szCs w:val="24"/>
        </w:rPr>
        <w:t xml:space="preserve"> of the brain Contrasting colors can be used to improve </w:t>
      </w:r>
      <w:r w:rsidR="00ED5A31" w:rsidRPr="001839B7">
        <w:rPr>
          <w:rFonts w:ascii="Times New Roman" w:hAnsi="Times New Roman" w:cs="Times New Roman"/>
          <w:sz w:val="24"/>
          <w:szCs w:val="24"/>
        </w:rPr>
        <w:t>clarity injection</w:t>
      </w:r>
      <w:r w:rsidRPr="001839B7">
        <w:rPr>
          <w:rFonts w:ascii="Times New Roman" w:hAnsi="Times New Roman" w:cs="Times New Roman"/>
          <w:sz w:val="24"/>
          <w:szCs w:val="24"/>
        </w:rPr>
        <w:t xml:space="preserve"> to isolate homologous tissues [</w:t>
      </w:r>
      <w:r w:rsidR="00E257B6" w:rsidRPr="001839B7">
        <w:rPr>
          <w:rFonts w:ascii="Times New Roman" w:hAnsi="Times New Roman" w:cs="Times New Roman"/>
          <w:sz w:val="24"/>
          <w:szCs w:val="24"/>
        </w:rPr>
        <w:t>Khachaturian</w:t>
      </w:r>
      <w:r w:rsidR="00284B30">
        <w:rPr>
          <w:rFonts w:ascii="Times New Roman" w:hAnsi="Times New Roman" w:cs="Times New Roman"/>
          <w:sz w:val="24"/>
          <w:szCs w:val="24"/>
        </w:rPr>
        <w:t xml:space="preserve"> and</w:t>
      </w:r>
      <w:r w:rsidR="00E257B6" w:rsidRPr="001839B7">
        <w:rPr>
          <w:rFonts w:ascii="Times New Roman" w:hAnsi="Times New Roman" w:cs="Times New Roman"/>
          <w:sz w:val="24"/>
          <w:szCs w:val="24"/>
        </w:rPr>
        <w:t xml:space="preserve"> Zaven</w:t>
      </w:r>
      <w:r w:rsidR="00284B30">
        <w:rPr>
          <w:rFonts w:ascii="Times New Roman" w:hAnsi="Times New Roman" w:cs="Times New Roman"/>
          <w:sz w:val="24"/>
          <w:szCs w:val="24"/>
        </w:rPr>
        <w:t>,</w:t>
      </w:r>
      <w:r w:rsidR="00E257B6" w:rsidRPr="001839B7">
        <w:rPr>
          <w:rFonts w:ascii="Times New Roman" w:hAnsi="Times New Roman" w:cs="Times New Roman"/>
          <w:sz w:val="24"/>
          <w:szCs w:val="24"/>
        </w:rPr>
        <w:t xml:space="preserve"> 1999</w:t>
      </w:r>
      <w:r w:rsidRPr="001839B7">
        <w:rPr>
          <w:rFonts w:ascii="Times New Roman" w:hAnsi="Times New Roman" w:cs="Times New Roman"/>
          <w:sz w:val="24"/>
          <w:szCs w:val="24"/>
        </w:rPr>
        <w:t xml:space="preserve">]. MRI: The first magnetic resonance imaging technology 1977 It was </w:t>
      </w:r>
      <w:r w:rsidR="00ED5A31" w:rsidRPr="001839B7">
        <w:rPr>
          <w:rFonts w:ascii="Times New Roman" w:hAnsi="Times New Roman" w:cs="Times New Roman"/>
          <w:sz w:val="24"/>
          <w:szCs w:val="24"/>
        </w:rPr>
        <w:t>used to</w:t>
      </w:r>
      <w:r w:rsidRPr="001839B7">
        <w:rPr>
          <w:rFonts w:ascii="Times New Roman" w:hAnsi="Times New Roman" w:cs="Times New Roman"/>
          <w:sz w:val="24"/>
          <w:szCs w:val="24"/>
        </w:rPr>
        <w:t xml:space="preserve"> create 2D or 3D </w:t>
      </w:r>
      <w:r w:rsidR="00ED5A31" w:rsidRPr="001839B7">
        <w:rPr>
          <w:rFonts w:ascii="Times New Roman" w:hAnsi="Times New Roman" w:cs="Times New Roman"/>
          <w:sz w:val="24"/>
          <w:szCs w:val="24"/>
        </w:rPr>
        <w:t>images. Effects</w:t>
      </w:r>
      <w:r w:rsidRPr="001839B7">
        <w:rPr>
          <w:rFonts w:ascii="Times New Roman" w:hAnsi="Times New Roman" w:cs="Times New Roman"/>
          <w:sz w:val="24"/>
          <w:szCs w:val="24"/>
        </w:rPr>
        <w:t xml:space="preserve"> on the body and can be used to diagnose injuries and diseases. East- A superconductor is an important component of the MR </w:t>
      </w:r>
      <w:r w:rsidR="00ED5A31" w:rsidRPr="001839B7">
        <w:rPr>
          <w:rFonts w:ascii="Times New Roman" w:hAnsi="Times New Roman" w:cs="Times New Roman"/>
          <w:sz w:val="24"/>
          <w:szCs w:val="24"/>
        </w:rPr>
        <w:t>system magnets</w:t>
      </w:r>
      <w:r w:rsidRPr="001839B7">
        <w:rPr>
          <w:rFonts w:ascii="Times New Roman" w:hAnsi="Times New Roman" w:cs="Times New Roman"/>
          <w:sz w:val="24"/>
          <w:szCs w:val="24"/>
        </w:rPr>
        <w:t xml:space="preserve"> produce a large and stable magnetic </w:t>
      </w:r>
      <w:r w:rsidR="00ED5A31" w:rsidRPr="001839B7">
        <w:rPr>
          <w:rFonts w:ascii="Times New Roman" w:hAnsi="Times New Roman" w:cs="Times New Roman"/>
          <w:sz w:val="24"/>
          <w:szCs w:val="24"/>
        </w:rPr>
        <w:t>field.</w:t>
      </w:r>
      <w:r w:rsidRPr="001839B7">
        <w:rPr>
          <w:rFonts w:ascii="Times New Roman" w:hAnsi="Times New Roman" w:cs="Times New Roman"/>
          <w:sz w:val="24"/>
          <w:szCs w:val="24"/>
        </w:rPr>
        <w:t xml:space="preserve"> Smaller gradient magnets produce weaker magnets domain here</w:t>
      </w:r>
      <w:r w:rsidR="00D6262D" w:rsidRPr="001839B7">
        <w:rPr>
          <w:rFonts w:ascii="Times New Roman" w:hAnsi="Times New Roman" w:cs="Times New Roman"/>
          <w:sz w:val="24"/>
          <w:szCs w:val="24"/>
        </w:rPr>
        <w:t xml:space="preserve">. </w:t>
      </w:r>
      <w:r w:rsidRPr="001839B7">
        <w:rPr>
          <w:rFonts w:ascii="Times New Roman" w:hAnsi="Times New Roman" w:cs="Times New Roman"/>
          <w:sz w:val="24"/>
          <w:szCs w:val="24"/>
        </w:rPr>
        <w:t xml:space="preserve">These magnets can make different parts of the </w:t>
      </w:r>
      <w:r w:rsidR="00ED5A31" w:rsidRPr="001839B7">
        <w:rPr>
          <w:rFonts w:ascii="Times New Roman" w:hAnsi="Times New Roman" w:cs="Times New Roman"/>
          <w:sz w:val="24"/>
          <w:szCs w:val="24"/>
        </w:rPr>
        <w:t>body.</w:t>
      </w:r>
      <w:r w:rsidRPr="001839B7">
        <w:rPr>
          <w:rFonts w:ascii="Times New Roman" w:hAnsi="Times New Roman" w:cs="Times New Roman"/>
          <w:sz w:val="24"/>
          <w:szCs w:val="24"/>
        </w:rPr>
        <w:t xml:space="preserve"> Scanner The human body is made up of billions of atoms. But the hydrogen atom becomes </w:t>
      </w:r>
      <w:r w:rsidR="00ED5A31" w:rsidRPr="001839B7">
        <w:rPr>
          <w:rFonts w:ascii="Times New Roman" w:hAnsi="Times New Roman" w:cs="Times New Roman"/>
          <w:sz w:val="24"/>
          <w:szCs w:val="24"/>
        </w:rPr>
        <w:t>magnetic in</w:t>
      </w:r>
      <w:r w:rsidRPr="001839B7">
        <w:rPr>
          <w:rFonts w:ascii="Times New Roman" w:hAnsi="Times New Roman" w:cs="Times New Roman"/>
          <w:sz w:val="24"/>
          <w:szCs w:val="24"/>
        </w:rPr>
        <w:t xml:space="preserve"> the field of networking. Each hydrogen atom is rotated randomly hub, </w:t>
      </w:r>
      <w:r w:rsidR="00ED5A31" w:rsidRPr="001839B7">
        <w:rPr>
          <w:rFonts w:ascii="Times New Roman" w:hAnsi="Times New Roman" w:cs="Times New Roman"/>
          <w:sz w:val="24"/>
          <w:szCs w:val="24"/>
        </w:rPr>
        <w:t>but the</w:t>
      </w:r>
      <w:r w:rsidRPr="001839B7">
        <w:rPr>
          <w:rFonts w:ascii="Times New Roman" w:hAnsi="Times New Roman" w:cs="Times New Roman"/>
          <w:sz w:val="24"/>
          <w:szCs w:val="24"/>
        </w:rPr>
        <w:t xml:space="preserve"> particles in the MR </w:t>
      </w:r>
      <w:r w:rsidR="00ED5A31" w:rsidRPr="001839B7">
        <w:rPr>
          <w:rFonts w:ascii="Times New Roman" w:hAnsi="Times New Roman" w:cs="Times New Roman"/>
          <w:sz w:val="24"/>
          <w:szCs w:val="24"/>
        </w:rPr>
        <w:t>field corresponds</w:t>
      </w:r>
      <w:r w:rsidRPr="001839B7">
        <w:rPr>
          <w:rFonts w:ascii="Times New Roman" w:hAnsi="Times New Roman" w:cs="Times New Roman"/>
          <w:sz w:val="24"/>
          <w:szCs w:val="24"/>
        </w:rPr>
        <w:t xml:space="preserve"> to the direction of the field. half an </w:t>
      </w:r>
      <w:r w:rsidR="00ED5A31" w:rsidRPr="001839B7">
        <w:rPr>
          <w:rFonts w:ascii="Times New Roman" w:hAnsi="Times New Roman" w:cs="Times New Roman"/>
          <w:sz w:val="24"/>
          <w:szCs w:val="24"/>
        </w:rPr>
        <w:t>atom Point</w:t>
      </w:r>
      <w:r w:rsidRPr="001839B7">
        <w:rPr>
          <w:rFonts w:ascii="Times New Roman" w:hAnsi="Times New Roman" w:cs="Times New Roman"/>
          <w:sz w:val="24"/>
          <w:szCs w:val="24"/>
        </w:rPr>
        <w:t xml:space="preserve"> to the patient's head, halfway to the feet, </w:t>
      </w:r>
      <w:r w:rsidR="00ED5A31" w:rsidRPr="001839B7">
        <w:rPr>
          <w:rFonts w:ascii="Times New Roman" w:hAnsi="Times New Roman" w:cs="Times New Roman"/>
          <w:sz w:val="24"/>
          <w:szCs w:val="24"/>
        </w:rPr>
        <w:t>they</w:t>
      </w:r>
      <w:r w:rsidRPr="001839B7">
        <w:rPr>
          <w:rFonts w:ascii="Times New Roman" w:hAnsi="Times New Roman" w:cs="Times New Roman"/>
          <w:sz w:val="24"/>
          <w:szCs w:val="24"/>
        </w:rPr>
        <w:t xml:space="preserve"> cancel each other out. How many atoms per million   It has not been cancelled. Then the machine emits radio frequencies The intrinsic moment of hydrogen that spins these </w:t>
      </w:r>
      <w:r w:rsidR="00ED5A31" w:rsidRPr="001839B7">
        <w:rPr>
          <w:rFonts w:ascii="Times New Roman" w:hAnsi="Times New Roman" w:cs="Times New Roman"/>
          <w:sz w:val="24"/>
          <w:szCs w:val="24"/>
        </w:rPr>
        <w:t>protons otherwise</w:t>
      </w:r>
      <w:r w:rsidRPr="001839B7">
        <w:rPr>
          <w:rFonts w:ascii="Times New Roman" w:hAnsi="Times New Roman" w:cs="Times New Roman"/>
          <w:sz w:val="24"/>
          <w:szCs w:val="24"/>
        </w:rPr>
        <w:t xml:space="preserve">. When the spin stops, the </w:t>
      </w:r>
      <w:r w:rsidR="00ED5A31" w:rsidRPr="001839B7">
        <w:rPr>
          <w:rFonts w:ascii="Times New Roman" w:hAnsi="Times New Roman" w:cs="Times New Roman"/>
          <w:sz w:val="24"/>
          <w:szCs w:val="24"/>
        </w:rPr>
        <w:t>proton</w:t>
      </w:r>
      <w:r w:rsidR="00ED5A31">
        <w:rPr>
          <w:rFonts w:ascii="Times New Roman" w:hAnsi="Times New Roman" w:cs="Times New Roman"/>
          <w:sz w:val="24"/>
          <w:szCs w:val="24"/>
        </w:rPr>
        <w:t>.</w:t>
      </w:r>
      <w:r w:rsidR="00ED5A31" w:rsidRPr="001839B7">
        <w:rPr>
          <w:rFonts w:ascii="Times New Roman" w:hAnsi="Times New Roman" w:cs="Times New Roman"/>
          <w:sz w:val="24"/>
          <w:szCs w:val="24"/>
        </w:rPr>
        <w:t xml:space="preserve"> It</w:t>
      </w:r>
      <w:r w:rsidRPr="001839B7">
        <w:rPr>
          <w:rFonts w:ascii="Times New Roman" w:hAnsi="Times New Roman" w:cs="Times New Roman"/>
          <w:sz w:val="24"/>
          <w:szCs w:val="24"/>
        </w:rPr>
        <w:t xml:space="preserve"> releases the energy </w:t>
      </w:r>
      <w:r w:rsidR="00ED5A31" w:rsidRPr="001839B7">
        <w:rPr>
          <w:rFonts w:ascii="Times New Roman" w:hAnsi="Times New Roman" w:cs="Times New Roman"/>
          <w:sz w:val="24"/>
          <w:szCs w:val="24"/>
        </w:rPr>
        <w:t>that the</w:t>
      </w:r>
      <w:r w:rsidRPr="001839B7">
        <w:rPr>
          <w:rFonts w:ascii="Times New Roman" w:hAnsi="Times New Roman" w:cs="Times New Roman"/>
          <w:sz w:val="24"/>
          <w:szCs w:val="24"/>
        </w:rPr>
        <w:t xml:space="preserve"> system interprets reverse </w:t>
      </w:r>
      <w:r w:rsidR="00ED5A31">
        <w:rPr>
          <w:rFonts w:ascii="Times New Roman" w:hAnsi="Times New Roman" w:cs="Times New Roman"/>
          <w:sz w:val="24"/>
          <w:szCs w:val="24"/>
        </w:rPr>
        <w:t>e</w:t>
      </w:r>
      <w:r w:rsidR="00ED5A31" w:rsidRPr="001839B7">
        <w:rPr>
          <w:rFonts w:ascii="Times New Roman" w:hAnsi="Times New Roman" w:cs="Times New Roman"/>
          <w:sz w:val="24"/>
          <w:szCs w:val="24"/>
        </w:rPr>
        <w:t>ach type</w:t>
      </w:r>
      <w:r w:rsidRPr="001839B7">
        <w:rPr>
          <w:rFonts w:ascii="Times New Roman" w:hAnsi="Times New Roman" w:cs="Times New Roman"/>
          <w:sz w:val="24"/>
          <w:szCs w:val="24"/>
        </w:rPr>
        <w:t xml:space="preserve"> of fabric responds and appears differently to Trast dye</w:t>
      </w:r>
      <w:r w:rsidR="00ED5A31">
        <w:rPr>
          <w:rFonts w:ascii="Times New Roman" w:hAnsi="Times New Roman" w:cs="Times New Roman"/>
          <w:sz w:val="24"/>
          <w:szCs w:val="24"/>
        </w:rPr>
        <w:t xml:space="preserve">. </w:t>
      </w:r>
      <w:r w:rsidRPr="001839B7">
        <w:rPr>
          <w:rFonts w:ascii="Times New Roman" w:hAnsi="Times New Roman" w:cs="Times New Roman"/>
          <w:sz w:val="24"/>
          <w:szCs w:val="24"/>
        </w:rPr>
        <w:t xml:space="preserve">The image is generated as individual shades of gray known-How the system works, researchers can decide MRI can effectively identify structural and cellular changes Death has been observed in the brains </w:t>
      </w:r>
      <w:r w:rsidR="00ED5A31" w:rsidRPr="001839B7">
        <w:rPr>
          <w:rFonts w:ascii="Times New Roman" w:hAnsi="Times New Roman" w:cs="Times New Roman"/>
          <w:sz w:val="24"/>
          <w:szCs w:val="24"/>
        </w:rPr>
        <w:t>of Alzheimer’s</w:t>
      </w:r>
      <w:r w:rsidRPr="001839B7">
        <w:rPr>
          <w:rFonts w:ascii="Times New Roman" w:hAnsi="Times New Roman" w:cs="Times New Roman"/>
          <w:sz w:val="24"/>
          <w:szCs w:val="24"/>
        </w:rPr>
        <w:t xml:space="preserve"> patients. ships- In Alzheimer's disease, the hippocampus is often seen, even before the onset of clinical </w:t>
      </w:r>
      <w:r w:rsidR="00ED5A31" w:rsidRPr="001839B7">
        <w:rPr>
          <w:rFonts w:ascii="Times New Roman" w:hAnsi="Times New Roman" w:cs="Times New Roman"/>
          <w:sz w:val="24"/>
          <w:szCs w:val="24"/>
        </w:rPr>
        <w:t>symptoms. Fifty</w:t>
      </w:r>
      <w:r w:rsidRPr="001839B7">
        <w:rPr>
          <w:rFonts w:ascii="Times New Roman" w:hAnsi="Times New Roman" w:cs="Times New Roman"/>
          <w:sz w:val="24"/>
          <w:szCs w:val="24"/>
        </w:rPr>
        <w:t xml:space="preserve">-six participants had varying degrees of cognitive impairment. Measure and determine hippocampal size using </w:t>
      </w:r>
      <w:r w:rsidR="00ED5A31" w:rsidRPr="001839B7">
        <w:rPr>
          <w:rFonts w:ascii="Times New Roman" w:hAnsi="Times New Roman" w:cs="Times New Roman"/>
          <w:sz w:val="24"/>
          <w:szCs w:val="24"/>
        </w:rPr>
        <w:t>MRI. The</w:t>
      </w:r>
      <w:r w:rsidRPr="001839B7">
        <w:rPr>
          <w:rFonts w:ascii="Times New Roman" w:hAnsi="Times New Roman" w:cs="Times New Roman"/>
          <w:sz w:val="24"/>
          <w:szCs w:val="24"/>
        </w:rPr>
        <w:t xml:space="preserve"> importance of an indicator of AD neuropathology</w:t>
      </w:r>
      <w:r w:rsidR="00E97BED" w:rsidRPr="001839B7">
        <w:rPr>
          <w:rFonts w:ascii="Times New Roman" w:hAnsi="Times New Roman" w:cs="Times New Roman"/>
          <w:sz w:val="24"/>
          <w:szCs w:val="24"/>
        </w:rPr>
        <w:t xml:space="preserve">. </w:t>
      </w:r>
      <w:r w:rsidRPr="001839B7">
        <w:rPr>
          <w:rFonts w:ascii="Times New Roman" w:hAnsi="Times New Roman" w:cs="Times New Roman"/>
          <w:sz w:val="24"/>
          <w:szCs w:val="24"/>
        </w:rPr>
        <w:t>The results demonstrate that this analysis can be used for determination. Older people without dementia and people with Alzheimer's disease And people who have never experienced memory loss before</w:t>
      </w:r>
      <w:r w:rsidR="004049BE" w:rsidRPr="001839B7">
        <w:rPr>
          <w:rFonts w:ascii="Times New Roman" w:hAnsi="Times New Roman" w:cs="Times New Roman"/>
          <w:sz w:val="24"/>
          <w:szCs w:val="24"/>
        </w:rPr>
        <w:t xml:space="preserve"> </w:t>
      </w:r>
      <w:r w:rsidRPr="001839B7">
        <w:rPr>
          <w:rFonts w:ascii="Times New Roman" w:hAnsi="Times New Roman" w:cs="Times New Roman"/>
          <w:sz w:val="24"/>
          <w:szCs w:val="24"/>
        </w:rPr>
        <w:t xml:space="preserve">go through </w:t>
      </w:r>
      <w:r w:rsidR="00E97BED" w:rsidRPr="001839B7">
        <w:rPr>
          <w:rFonts w:ascii="Times New Roman" w:hAnsi="Times New Roman" w:cs="Times New Roman"/>
          <w:sz w:val="24"/>
          <w:szCs w:val="24"/>
        </w:rPr>
        <w:t>d</w:t>
      </w:r>
      <w:r w:rsidRPr="001839B7">
        <w:rPr>
          <w:rFonts w:ascii="Times New Roman" w:hAnsi="Times New Roman" w:cs="Times New Roman"/>
          <w:sz w:val="24"/>
          <w:szCs w:val="24"/>
        </w:rPr>
        <w:t xml:space="preserve">etermine the risk of these patients developing Alzheimer's disease Doctors can relieve symptoms long before symptoms appear ability to administer treatments that slow disease progression Disease </w:t>
      </w:r>
      <w:r w:rsidR="004049BE" w:rsidRPr="001839B7">
        <w:rPr>
          <w:rFonts w:ascii="Times New Roman" w:hAnsi="Times New Roman" w:cs="Times New Roman"/>
          <w:sz w:val="24"/>
          <w:szCs w:val="24"/>
        </w:rPr>
        <w:t>a</w:t>
      </w:r>
      <w:r w:rsidRPr="001839B7">
        <w:rPr>
          <w:rFonts w:ascii="Times New Roman" w:hAnsi="Times New Roman" w:cs="Times New Roman"/>
          <w:sz w:val="24"/>
          <w:szCs w:val="24"/>
        </w:rPr>
        <w:t xml:space="preserve"> recent 2009 Ministry of Education survey Doctor of Radiology and Neurology, University of Pennsylvania is investigating the use of sodium MRI Alzheimer's disease detection This technique uses the same principle as the previous technique. but, use this technique instead of measuring hydrogen atoms Sodium is naturally abundant and is 23Na. To do this, select this ion Sodium is involved in the brain's ability to recognize and track tumors cell death. Participants were 5 healthy elderly people. 5 Adults and Suspected </w:t>
      </w:r>
      <w:r w:rsidR="00C90988" w:rsidRPr="001839B7">
        <w:rPr>
          <w:rFonts w:ascii="Times New Roman" w:hAnsi="Times New Roman" w:cs="Times New Roman"/>
          <w:sz w:val="24"/>
          <w:szCs w:val="24"/>
        </w:rPr>
        <w:t>a</w:t>
      </w:r>
      <w:r w:rsidRPr="001839B7">
        <w:rPr>
          <w:rFonts w:ascii="Times New Roman" w:hAnsi="Times New Roman" w:cs="Times New Roman"/>
          <w:sz w:val="24"/>
          <w:szCs w:val="24"/>
        </w:rPr>
        <w:t>lzheimer's Disease</w:t>
      </w:r>
      <w:r w:rsidR="00C90988" w:rsidRPr="001839B7">
        <w:rPr>
          <w:rFonts w:ascii="Times New Roman" w:hAnsi="Times New Roman" w:cs="Times New Roman"/>
          <w:sz w:val="24"/>
          <w:szCs w:val="24"/>
        </w:rPr>
        <w:t xml:space="preserve">. </w:t>
      </w:r>
      <w:r w:rsidRPr="001839B7">
        <w:rPr>
          <w:rFonts w:ascii="Times New Roman" w:hAnsi="Times New Roman" w:cs="Times New Roman"/>
          <w:sz w:val="24"/>
          <w:szCs w:val="24"/>
        </w:rPr>
        <w:t xml:space="preserve">When nerve cells die, the spaces within the cells are </w:t>
      </w:r>
      <w:r w:rsidRPr="001839B7">
        <w:rPr>
          <w:rFonts w:ascii="Times New Roman" w:hAnsi="Times New Roman" w:cs="Times New Roman"/>
          <w:sz w:val="24"/>
          <w:szCs w:val="24"/>
        </w:rPr>
        <w:lastRenderedPageBreak/>
        <w:t>destroyed</w:t>
      </w:r>
      <w:r w:rsidR="001F311F">
        <w:rPr>
          <w:rFonts w:ascii="Times New Roman" w:hAnsi="Times New Roman" w:cs="Times New Roman"/>
          <w:sz w:val="24"/>
          <w:szCs w:val="24"/>
        </w:rPr>
        <w:t>.</w:t>
      </w:r>
      <w:r w:rsidRPr="001839B7">
        <w:rPr>
          <w:rFonts w:ascii="Times New Roman" w:hAnsi="Times New Roman" w:cs="Times New Roman"/>
          <w:sz w:val="24"/>
          <w:szCs w:val="24"/>
        </w:rPr>
        <w:t xml:space="preserve"> Therefore, its concentration increases</w:t>
      </w:r>
      <w:r w:rsidR="001F311F">
        <w:rPr>
          <w:rFonts w:ascii="Times New Roman" w:hAnsi="Times New Roman" w:cs="Times New Roman"/>
          <w:sz w:val="24"/>
          <w:szCs w:val="24"/>
        </w:rPr>
        <w:t xml:space="preserve"> th</w:t>
      </w:r>
      <w:r w:rsidRPr="001839B7">
        <w:rPr>
          <w:rFonts w:ascii="Times New Roman" w:hAnsi="Times New Roman" w:cs="Times New Roman"/>
          <w:sz w:val="24"/>
          <w:szCs w:val="24"/>
        </w:rPr>
        <w:t>e presence of sodium in the extracellular space increases signal intensity</w:t>
      </w:r>
      <w:r w:rsidR="001F311F">
        <w:rPr>
          <w:rFonts w:ascii="Times New Roman" w:hAnsi="Times New Roman" w:cs="Times New Roman"/>
          <w:sz w:val="24"/>
          <w:szCs w:val="24"/>
        </w:rPr>
        <w:t xml:space="preserve"> </w:t>
      </w:r>
      <w:r w:rsidR="00BC4620" w:rsidRPr="001839B7">
        <w:rPr>
          <w:rFonts w:ascii="Times New Roman" w:hAnsi="Times New Roman" w:cs="Times New Roman"/>
          <w:sz w:val="24"/>
          <w:szCs w:val="24"/>
        </w:rPr>
        <w:t>[</w:t>
      </w:r>
      <w:r w:rsidR="00514D62" w:rsidRPr="001839B7">
        <w:rPr>
          <w:rFonts w:ascii="Times New Roman" w:hAnsi="Times New Roman" w:cs="Times New Roman"/>
          <w:sz w:val="24"/>
          <w:szCs w:val="24"/>
        </w:rPr>
        <w:t xml:space="preserve">Mellon </w:t>
      </w:r>
      <w:r w:rsidR="00156FF0">
        <w:rPr>
          <w:rFonts w:ascii="Times New Roman" w:hAnsi="Times New Roman" w:cs="Times New Roman"/>
          <w:sz w:val="24"/>
          <w:szCs w:val="24"/>
        </w:rPr>
        <w:t>et al.,</w:t>
      </w:r>
      <w:r w:rsidR="00350A47">
        <w:rPr>
          <w:rFonts w:ascii="Times New Roman" w:hAnsi="Times New Roman" w:cs="Times New Roman"/>
          <w:sz w:val="24"/>
          <w:szCs w:val="24"/>
        </w:rPr>
        <w:t xml:space="preserve"> </w:t>
      </w:r>
      <w:r w:rsidR="00514D62" w:rsidRPr="001839B7">
        <w:rPr>
          <w:rFonts w:ascii="Times New Roman" w:hAnsi="Times New Roman" w:cs="Times New Roman"/>
          <w:sz w:val="24"/>
          <w:szCs w:val="24"/>
        </w:rPr>
        <w:t>2009</w:t>
      </w:r>
      <w:r w:rsidR="00BC4620" w:rsidRPr="001839B7">
        <w:rPr>
          <w:rFonts w:ascii="Times New Roman" w:hAnsi="Times New Roman" w:cs="Times New Roman"/>
          <w:sz w:val="24"/>
          <w:szCs w:val="24"/>
        </w:rPr>
        <w:t>].</w:t>
      </w:r>
      <w:r w:rsidRPr="001839B7">
        <w:rPr>
          <w:rFonts w:ascii="Times New Roman" w:hAnsi="Times New Roman" w:cs="Times New Roman"/>
          <w:sz w:val="24"/>
          <w:szCs w:val="24"/>
        </w:rPr>
        <w:t xml:space="preserve"> Magnetic resonance imaging of Alzheimer's disease patients. The technology isn't perfect yet, but research is still ongoing.  Do this and see if the signal strength increases. Fifty-six participants with varying degrees of cognitive impairment due to changes in ion concentration or quantity. Adjust and determine the strength of the signal increase due to changes in ion concentration or size</w:t>
      </w:r>
      <w:r w:rsidR="00B37821">
        <w:rPr>
          <w:rFonts w:ascii="Times New Roman" w:hAnsi="Times New Roman" w:cs="Times New Roman"/>
          <w:sz w:val="24"/>
          <w:szCs w:val="24"/>
        </w:rPr>
        <w:t xml:space="preserve"> </w:t>
      </w:r>
      <w:r w:rsidR="003C00E6" w:rsidRPr="001839B7">
        <w:rPr>
          <w:rFonts w:ascii="Times New Roman" w:hAnsi="Times New Roman" w:cs="Times New Roman"/>
          <w:sz w:val="24"/>
          <w:szCs w:val="24"/>
        </w:rPr>
        <w:t>[</w:t>
      </w:r>
      <w:r w:rsidR="00C65BA6" w:rsidRPr="001839B7">
        <w:rPr>
          <w:rFonts w:ascii="Times New Roman" w:hAnsi="Times New Roman" w:cs="Times New Roman"/>
          <w:sz w:val="24"/>
          <w:szCs w:val="24"/>
        </w:rPr>
        <w:t>Chou</w:t>
      </w:r>
      <w:r w:rsidR="006F2205">
        <w:rPr>
          <w:rFonts w:ascii="Times New Roman" w:hAnsi="Times New Roman" w:cs="Times New Roman"/>
          <w:sz w:val="24"/>
          <w:szCs w:val="24"/>
        </w:rPr>
        <w:t>,</w:t>
      </w:r>
      <w:r w:rsidR="00D13F76" w:rsidRPr="001839B7">
        <w:rPr>
          <w:rFonts w:ascii="Times New Roman" w:hAnsi="Times New Roman" w:cs="Times New Roman"/>
          <w:sz w:val="24"/>
          <w:szCs w:val="24"/>
        </w:rPr>
        <w:t xml:space="preserve"> 2014</w:t>
      </w:r>
      <w:r w:rsidR="003C00E6" w:rsidRPr="001839B7">
        <w:rPr>
          <w:rFonts w:ascii="Times New Roman" w:hAnsi="Times New Roman" w:cs="Times New Roman"/>
          <w:sz w:val="24"/>
          <w:szCs w:val="24"/>
        </w:rPr>
        <w:t>].</w:t>
      </w:r>
    </w:p>
    <w:p w14:paraId="2A19FCB6"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HEPATOTOXICITY</w:t>
      </w:r>
    </w:p>
    <w:p w14:paraId="16DF7E10"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INTRODUCTION</w:t>
      </w:r>
    </w:p>
    <w:p w14:paraId="16F3FB50" w14:textId="38739B51"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 liver performs an amazing variety of essential roles in the body's upkeep, operation, and homeostasis regulation. It is involved in practically all metabolic pathways that lead to growth, the prevention of disease, the supply of nutrients, the creation of energy, and reproduction </w:t>
      </w:r>
      <w:r w:rsidR="00522549">
        <w:rPr>
          <w:rFonts w:ascii="Times New Roman" w:hAnsi="Times New Roman" w:cs="Times New Roman"/>
          <w:sz w:val="24"/>
          <w:szCs w:val="24"/>
        </w:rPr>
        <w:t>[</w:t>
      </w:r>
      <w:r w:rsidRPr="001839B7">
        <w:rPr>
          <w:rFonts w:ascii="Times New Roman" w:hAnsi="Times New Roman" w:cs="Times New Roman"/>
          <w:sz w:val="24"/>
          <w:szCs w:val="24"/>
        </w:rPr>
        <w:t xml:space="preserve">Sharma </w:t>
      </w:r>
      <w:r w:rsidR="00ED128B">
        <w:rPr>
          <w:rFonts w:ascii="Times New Roman" w:hAnsi="Times New Roman" w:cs="Times New Roman"/>
          <w:sz w:val="24"/>
          <w:szCs w:val="24"/>
        </w:rPr>
        <w:t xml:space="preserve">et al., </w:t>
      </w:r>
      <w:r w:rsidR="00522549">
        <w:rPr>
          <w:rFonts w:ascii="Times New Roman" w:hAnsi="Times New Roman" w:cs="Times New Roman"/>
          <w:sz w:val="24"/>
          <w:szCs w:val="24"/>
        </w:rPr>
        <w:t>1</w:t>
      </w:r>
      <w:r w:rsidRPr="001839B7">
        <w:rPr>
          <w:rFonts w:ascii="Times New Roman" w:hAnsi="Times New Roman" w:cs="Times New Roman"/>
          <w:sz w:val="24"/>
          <w:szCs w:val="24"/>
        </w:rPr>
        <w:t>991</w:t>
      </w:r>
      <w:r w:rsidR="00522549">
        <w:rPr>
          <w:rFonts w:ascii="Times New Roman" w:hAnsi="Times New Roman" w:cs="Times New Roman"/>
          <w:sz w:val="24"/>
          <w:szCs w:val="24"/>
        </w:rPr>
        <w:t>]</w:t>
      </w:r>
      <w:r w:rsidRPr="001839B7">
        <w:rPr>
          <w:rFonts w:ascii="Times New Roman" w:hAnsi="Times New Roman" w:cs="Times New Roman"/>
          <w:sz w:val="24"/>
          <w:szCs w:val="24"/>
        </w:rPr>
        <w:t xml:space="preserve">. The metabolism of carbohydrates, proteins, and fats, detoxification, bile secretion, and vitamin storage are the liver's main tasks. Therefore, it is essential to maintain a healthy liver for one's general health and wellbeing </w:t>
      </w:r>
      <w:r w:rsidR="00522549">
        <w:rPr>
          <w:rFonts w:ascii="Times New Roman" w:hAnsi="Times New Roman" w:cs="Times New Roman"/>
          <w:sz w:val="24"/>
          <w:szCs w:val="24"/>
        </w:rPr>
        <w:t>[</w:t>
      </w:r>
      <w:r w:rsidRPr="001839B7">
        <w:rPr>
          <w:rFonts w:ascii="Times New Roman" w:hAnsi="Times New Roman" w:cs="Times New Roman"/>
          <w:sz w:val="24"/>
          <w:szCs w:val="24"/>
        </w:rPr>
        <w:t>Subramaniam and Pushpangadan, 1999</w:t>
      </w:r>
      <w:r w:rsidR="00522549">
        <w:rPr>
          <w:rFonts w:ascii="Times New Roman" w:hAnsi="Times New Roman" w:cs="Times New Roman"/>
          <w:sz w:val="24"/>
          <w:szCs w:val="24"/>
        </w:rPr>
        <w:t>]</w:t>
      </w:r>
      <w:r w:rsidRPr="001839B7">
        <w:rPr>
          <w:rFonts w:ascii="Times New Roman" w:hAnsi="Times New Roman" w:cs="Times New Roman"/>
          <w:sz w:val="24"/>
          <w:szCs w:val="24"/>
        </w:rPr>
        <w:t>.</w:t>
      </w:r>
      <w:r w:rsidR="00FE78FA">
        <w:rPr>
          <w:rFonts w:ascii="Times New Roman" w:hAnsi="Times New Roman" w:cs="Times New Roman"/>
          <w:sz w:val="24"/>
          <w:szCs w:val="24"/>
        </w:rPr>
        <w:t xml:space="preserve"> </w:t>
      </w:r>
      <w:r w:rsidR="004F0744" w:rsidRPr="004F0744">
        <w:rPr>
          <w:rFonts w:ascii="Times New Roman" w:hAnsi="Times New Roman" w:cs="Times New Roman"/>
          <w:sz w:val="24"/>
          <w:szCs w:val="24"/>
        </w:rPr>
        <w:t xml:space="preserve">Damage to the liver brought on by chemicals is known as hepatotoxicity. </w:t>
      </w:r>
      <w:r w:rsidRPr="001839B7">
        <w:rPr>
          <w:rFonts w:ascii="Times New Roman" w:hAnsi="Times New Roman" w:cs="Times New Roman"/>
          <w:sz w:val="24"/>
          <w:szCs w:val="24"/>
        </w:rPr>
        <w:t xml:space="preserve">Certain medications have the potential to harm the organ when taken in excess or occasionally even when administered within therapeutic parameters. Other chemical substances, including those employed in businesses and labs, natural substances (such microcystins), and herbal medicines can also induce hepatotoxicity. </w:t>
      </w:r>
      <w:r w:rsidR="004F0744" w:rsidRPr="004F0744">
        <w:rPr>
          <w:rFonts w:ascii="Times New Roman" w:hAnsi="Times New Roman" w:cs="Times New Roman"/>
          <w:sz w:val="24"/>
          <w:szCs w:val="24"/>
        </w:rPr>
        <w:t>The term "hepatotoxins" refers to substances that harm the liver.</w:t>
      </w:r>
      <w:r w:rsidR="004F0744">
        <w:rPr>
          <w:rFonts w:ascii="Open Sans" w:hAnsi="Open Sans" w:cs="Open Sans"/>
          <w:color w:val="252525"/>
          <w:shd w:val="clear" w:color="auto" w:fill="FFFFFF"/>
        </w:rPr>
        <w:t xml:space="preserve"> </w:t>
      </w:r>
      <w:r w:rsidRPr="001839B7">
        <w:rPr>
          <w:rFonts w:ascii="Times New Roman" w:hAnsi="Times New Roman" w:cs="Times New Roman"/>
          <w:sz w:val="24"/>
          <w:szCs w:val="24"/>
        </w:rPr>
        <w:t xml:space="preserve">The term "hepatotoxins" refers to toxins that harm the liver. The most frequent reason for a drug's removal from the market is liver damage, which has been linked to more than 900 different medications. Subclinical liver damage brought on by chemicals frequently only emerges as abnormal liver enzyme tests. 50% of all acute liver failures and 5% of all hospital admissions are due to drug-induced liver damage. Idiosyncratic medication responses frequently lead to liver transplantation or death in more than 75% of instances. </w:t>
      </w:r>
    </w:p>
    <w:p w14:paraId="297F041E"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HEPATOTOXIC DRUGS</w:t>
      </w:r>
    </w:p>
    <w:p w14:paraId="58D2B03D"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Anti-Tubercular Drugs</w:t>
      </w:r>
    </w:p>
    <w:p w14:paraId="25BFF5B8" w14:textId="7E5095FA"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Rifampicin, isoniazid, and pyrazinamide, the first-line anti-tubercular medications, have the potential to be hepatotoxic. The liver breaks down these medicines. Ethambutol and streptomycin have not been linked to any liver damage reports. By using numerous drug regimens, adverse effects of antitubercular therapy might occasionally be amplified. Because of this, even while INH, Rifampicin, and Pyrazinamide alone have the potential to be </w:t>
      </w:r>
      <w:r w:rsidRPr="001839B7">
        <w:rPr>
          <w:rFonts w:ascii="Times New Roman" w:hAnsi="Times New Roman" w:cs="Times New Roman"/>
          <w:sz w:val="24"/>
          <w:szCs w:val="24"/>
        </w:rPr>
        <w:lastRenderedPageBreak/>
        <w:t xml:space="preserve">hepatotoxic when administered alone, their toxic effect is increased when given together. The incidence of anti-TB associated hepatotoxicity is reported to range from 2% to 28% depending on the population under research and the hepatotoxicity diagnosis criteria </w:t>
      </w:r>
      <w:r w:rsidR="0010369F">
        <w:rPr>
          <w:rFonts w:ascii="Times New Roman" w:hAnsi="Times New Roman" w:cs="Times New Roman"/>
          <w:sz w:val="24"/>
          <w:szCs w:val="24"/>
        </w:rPr>
        <w:t>[</w:t>
      </w:r>
      <w:r w:rsidRPr="001839B7">
        <w:rPr>
          <w:rFonts w:ascii="Times New Roman" w:hAnsi="Times New Roman" w:cs="Times New Roman"/>
          <w:sz w:val="24"/>
          <w:szCs w:val="24"/>
        </w:rPr>
        <w:t>Girling, 1978</w:t>
      </w:r>
      <w:r w:rsidR="0010369F">
        <w:rPr>
          <w:rFonts w:ascii="Times New Roman" w:hAnsi="Times New Roman" w:cs="Times New Roman"/>
          <w:sz w:val="24"/>
          <w:szCs w:val="24"/>
        </w:rPr>
        <w:t>]</w:t>
      </w:r>
      <w:r w:rsidRPr="001839B7">
        <w:rPr>
          <w:rFonts w:ascii="Times New Roman" w:hAnsi="Times New Roman" w:cs="Times New Roman"/>
          <w:sz w:val="24"/>
          <w:szCs w:val="24"/>
        </w:rPr>
        <w:t>.</w:t>
      </w:r>
    </w:p>
    <w:p w14:paraId="50425A5A"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Rifampicin</w:t>
      </w:r>
    </w:p>
    <w:p w14:paraId="1C91059D" w14:textId="45AFE3BD"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Hepatitis is more prevalent in patients receiving concomitant Rifampicin medication. This has been theorized as the result of increased formation of the hazardous metabolites from acetyl hydrazine (AcHz) caused by Rifampicin-induced cytochrome P450 enzyme-induction. Additionally, rifampicin speeds up the conversion of INH into the hepatotoxic </w:t>
      </w:r>
      <w:r w:rsidR="00DE5CC7" w:rsidRPr="001839B7">
        <w:rPr>
          <w:rFonts w:ascii="Times New Roman" w:hAnsi="Times New Roman" w:cs="Times New Roman"/>
          <w:sz w:val="24"/>
          <w:szCs w:val="24"/>
        </w:rPr>
        <w:t>compounds’</w:t>
      </w:r>
      <w:r w:rsidRPr="001839B7">
        <w:rPr>
          <w:rFonts w:ascii="Times New Roman" w:hAnsi="Times New Roman" w:cs="Times New Roman"/>
          <w:sz w:val="24"/>
          <w:szCs w:val="24"/>
        </w:rPr>
        <w:t xml:space="preserve"> hydrazine and isonicotinic acid. Rifampicin reduces the plasma half-life of AcHz (an INH metabolite) and accelerates the oxidative clearance rate of AcHz, which is associated to the increased risk of liver necrosis brought on by the combined effects of INH and Rifampicin. Rifampicin also interacts with antiretroviral medications, affecting both the risk of hepatotoxicity and plasma levels of these medications </w:t>
      </w:r>
      <w:r w:rsidR="0010369F">
        <w:rPr>
          <w:rFonts w:ascii="Times New Roman" w:hAnsi="Times New Roman" w:cs="Times New Roman"/>
          <w:sz w:val="24"/>
          <w:szCs w:val="24"/>
        </w:rPr>
        <w:t>[</w:t>
      </w:r>
      <w:r w:rsidRPr="001839B7">
        <w:rPr>
          <w:rFonts w:ascii="Times New Roman" w:hAnsi="Times New Roman" w:cs="Times New Roman"/>
          <w:sz w:val="24"/>
          <w:szCs w:val="24"/>
        </w:rPr>
        <w:t xml:space="preserve">Padma </w:t>
      </w:r>
      <w:r w:rsidR="00ED128B">
        <w:rPr>
          <w:rFonts w:ascii="Times New Roman" w:hAnsi="Times New Roman" w:cs="Times New Roman"/>
          <w:sz w:val="24"/>
          <w:szCs w:val="24"/>
        </w:rPr>
        <w:t>et al.,</w:t>
      </w:r>
      <w:r w:rsidR="0010369F">
        <w:rPr>
          <w:rFonts w:ascii="Times New Roman" w:hAnsi="Times New Roman" w:cs="Times New Roman"/>
          <w:sz w:val="24"/>
          <w:szCs w:val="24"/>
        </w:rPr>
        <w:t xml:space="preserve"> </w:t>
      </w:r>
      <w:r w:rsidRPr="001839B7">
        <w:rPr>
          <w:rFonts w:ascii="Times New Roman" w:hAnsi="Times New Roman" w:cs="Times New Roman"/>
          <w:sz w:val="24"/>
          <w:szCs w:val="24"/>
        </w:rPr>
        <w:t xml:space="preserve">1998; Tostmann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2008</w:t>
      </w:r>
      <w:r w:rsidR="0010369F">
        <w:rPr>
          <w:rFonts w:ascii="Times New Roman" w:hAnsi="Times New Roman" w:cs="Times New Roman"/>
          <w:sz w:val="24"/>
          <w:szCs w:val="24"/>
        </w:rPr>
        <w:t>]</w:t>
      </w:r>
      <w:r w:rsidRPr="001839B7">
        <w:rPr>
          <w:rFonts w:ascii="Times New Roman" w:hAnsi="Times New Roman" w:cs="Times New Roman"/>
          <w:sz w:val="24"/>
          <w:szCs w:val="24"/>
        </w:rPr>
        <w:t>.</w:t>
      </w:r>
    </w:p>
    <w:p w14:paraId="0291267D" w14:textId="0A88D6A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Isoniazid</w:t>
      </w:r>
    </w:p>
    <w:p w14:paraId="157E43B5" w14:textId="622370EE"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Isoniazid hepatotoxicity is a frequent side effect of antituberculosis treatment, and its severity can range from an asymptomatic increase in serum transaminases to hepatic failure necessitating liver transplantation. This does not result from elevated plasma isoniazid levels; rather, it seems to be an atypical reaction. Hepatotoxicity results from the cytochrome P450 enzyme's subsequent metabolization of INH to monoacetyl hydrazine, which is then converted into a hazardous substance.</w:t>
      </w:r>
      <w:r w:rsidR="00FE78FA">
        <w:rPr>
          <w:rFonts w:ascii="Times New Roman" w:hAnsi="Times New Roman" w:cs="Times New Roman"/>
          <w:sz w:val="24"/>
          <w:szCs w:val="24"/>
        </w:rPr>
        <w:t xml:space="preserve"> </w:t>
      </w:r>
      <w:r w:rsidRPr="001839B7">
        <w:rPr>
          <w:rFonts w:ascii="Times New Roman" w:hAnsi="Times New Roman" w:cs="Times New Roman"/>
          <w:sz w:val="24"/>
          <w:szCs w:val="24"/>
        </w:rPr>
        <w:t xml:space="preserve">According to studies on human genetics, cytochrome P4502E1 (CYP2E1) plays a role in the liver toxicity of anti-tubercular drugs </w:t>
      </w:r>
      <w:r w:rsidR="00AD486F">
        <w:rPr>
          <w:rFonts w:ascii="Times New Roman" w:hAnsi="Times New Roman" w:cs="Times New Roman"/>
          <w:sz w:val="24"/>
          <w:szCs w:val="24"/>
        </w:rPr>
        <w:t>[</w:t>
      </w:r>
      <w:r w:rsidRPr="001839B7">
        <w:rPr>
          <w:rFonts w:ascii="Times New Roman" w:hAnsi="Times New Roman" w:cs="Times New Roman"/>
          <w:sz w:val="24"/>
          <w:szCs w:val="24"/>
        </w:rPr>
        <w:t xml:space="preserve">Huang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2003</w:t>
      </w:r>
      <w:r w:rsidR="00AD486F">
        <w:rPr>
          <w:rFonts w:ascii="Times New Roman" w:hAnsi="Times New Roman" w:cs="Times New Roman"/>
          <w:sz w:val="24"/>
          <w:szCs w:val="24"/>
        </w:rPr>
        <w:t>]</w:t>
      </w:r>
      <w:r w:rsidRPr="001839B7">
        <w:rPr>
          <w:rFonts w:ascii="Times New Roman" w:hAnsi="Times New Roman" w:cs="Times New Roman"/>
          <w:sz w:val="24"/>
          <w:szCs w:val="24"/>
        </w:rPr>
        <w:t xml:space="preserve">. The CYP2E1 c1/c1 genotype is connected to an elevated amount of CYP2E1 activity, which could increase the synthesis of hepatotoxins. Isoniazid and Hydrazine stimulate CYP2E1 activity, according to research done on rats </w:t>
      </w:r>
      <w:r w:rsidR="00AD486F">
        <w:rPr>
          <w:rFonts w:ascii="Times New Roman" w:hAnsi="Times New Roman" w:cs="Times New Roman"/>
          <w:sz w:val="24"/>
          <w:szCs w:val="24"/>
        </w:rPr>
        <w:t>[</w:t>
      </w:r>
      <w:r w:rsidRPr="001839B7">
        <w:rPr>
          <w:rFonts w:ascii="Times New Roman" w:hAnsi="Times New Roman" w:cs="Times New Roman"/>
          <w:sz w:val="24"/>
          <w:szCs w:val="24"/>
        </w:rPr>
        <w:t>Jenner and Timbrell, 1994; Jenner and Timbrell, 1995</w:t>
      </w:r>
      <w:r w:rsidR="00AD486F">
        <w:rPr>
          <w:rFonts w:ascii="Times New Roman" w:hAnsi="Times New Roman" w:cs="Times New Roman"/>
          <w:sz w:val="24"/>
          <w:szCs w:val="24"/>
        </w:rPr>
        <w:t>]</w:t>
      </w:r>
      <w:r w:rsidRPr="001839B7">
        <w:rPr>
          <w:rFonts w:ascii="Times New Roman" w:hAnsi="Times New Roman" w:cs="Times New Roman"/>
          <w:sz w:val="24"/>
          <w:szCs w:val="24"/>
        </w:rPr>
        <w:t xml:space="preserve">. The activity of CYP1A2, 2A6, 2C19, and 3A4 is inhibited by isoniazid. The detoxification of hydrazine may include CYP1A2. By activating or inhibiting these enzymes, isoniazid can generate its own toxicity </w:t>
      </w:r>
      <w:r w:rsidR="00AD486F">
        <w:rPr>
          <w:rFonts w:ascii="Times New Roman" w:hAnsi="Times New Roman" w:cs="Times New Roman"/>
          <w:sz w:val="24"/>
          <w:szCs w:val="24"/>
        </w:rPr>
        <w:t>[</w:t>
      </w:r>
      <w:r w:rsidRPr="001839B7">
        <w:rPr>
          <w:rFonts w:ascii="Times New Roman" w:hAnsi="Times New Roman" w:cs="Times New Roman"/>
          <w:sz w:val="24"/>
          <w:szCs w:val="24"/>
        </w:rPr>
        <w:t xml:space="preserve">Wen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2002; Desta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2001</w:t>
      </w:r>
      <w:r w:rsidR="00AD486F">
        <w:rPr>
          <w:rFonts w:ascii="Times New Roman" w:hAnsi="Times New Roman" w:cs="Times New Roman"/>
          <w:sz w:val="24"/>
          <w:szCs w:val="24"/>
        </w:rPr>
        <w:t>]</w:t>
      </w:r>
      <w:r w:rsidRPr="001839B7">
        <w:rPr>
          <w:rFonts w:ascii="Times New Roman" w:hAnsi="Times New Roman" w:cs="Times New Roman"/>
          <w:sz w:val="24"/>
          <w:szCs w:val="24"/>
        </w:rPr>
        <w:t>.</w:t>
      </w:r>
    </w:p>
    <w:p w14:paraId="784AAD28"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Pyrazinamide</w:t>
      </w:r>
    </w:p>
    <w:p w14:paraId="63E1BEC8" w14:textId="4AF6A02A"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By being converted to pyrazinoic acid by xanthine oxidase, pyrazinamide (PZA; pyrazoic acid amide) becomes 5-hydroxypyrazinoic acid. Pyrazinamide's serum half-life is not correlated </w:t>
      </w:r>
      <w:r w:rsidRPr="001839B7">
        <w:rPr>
          <w:rFonts w:ascii="Times New Roman" w:hAnsi="Times New Roman" w:cs="Times New Roman"/>
          <w:sz w:val="24"/>
          <w:szCs w:val="24"/>
        </w:rPr>
        <w:lastRenderedPageBreak/>
        <w:t xml:space="preserve">with the duration of therapy, suggesting that it does not activate the enzymes necessary for its metabolism. Pyrazinamide-induced toxicity's mechanism, the enzymes involved, and whether the toxicity is brought on by the compound itself or its metabolites are all unknown. However, a study in human liver microsomes revealed that pyrazinamide has no inhibitory impact on the CYP450 isoenzymes </w:t>
      </w:r>
      <w:r w:rsidR="00E561AF">
        <w:rPr>
          <w:rFonts w:ascii="Times New Roman" w:hAnsi="Times New Roman" w:cs="Times New Roman"/>
          <w:sz w:val="24"/>
          <w:szCs w:val="24"/>
        </w:rPr>
        <w:t>[</w:t>
      </w:r>
      <w:r w:rsidRPr="001839B7">
        <w:rPr>
          <w:rFonts w:ascii="Times New Roman" w:hAnsi="Times New Roman" w:cs="Times New Roman"/>
          <w:sz w:val="24"/>
          <w:szCs w:val="24"/>
        </w:rPr>
        <w:t xml:space="preserve">Maffei and Carini, 1980; Nishimura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2004</w:t>
      </w:r>
      <w:r w:rsidR="00E561AF">
        <w:rPr>
          <w:rFonts w:ascii="Times New Roman" w:hAnsi="Times New Roman" w:cs="Times New Roman"/>
          <w:sz w:val="24"/>
          <w:szCs w:val="24"/>
        </w:rPr>
        <w:t>]</w:t>
      </w:r>
      <w:r w:rsidRPr="001839B7">
        <w:rPr>
          <w:rFonts w:ascii="Times New Roman" w:hAnsi="Times New Roman" w:cs="Times New Roman"/>
          <w:sz w:val="24"/>
          <w:szCs w:val="24"/>
        </w:rPr>
        <w:t>. In a rat investigation, pyrazinamide decreased the activity of many CYP450 isoenzymes (2B, 2C, 2E1, and 3A).</w:t>
      </w:r>
    </w:p>
    <w:p w14:paraId="6C5DD288"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Non-Steroidal Anti-Inflammatory Drugs</w:t>
      </w:r>
    </w:p>
    <w:p w14:paraId="66628DB6" w14:textId="1767F61A"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Non-steroidal anti-inflammatory drugs (NSAIDs), such as acetaminophen, Nimesulide, Diclofenac, and Ibuprofen are the mainstay of pharmaceutical treatment for the majority of rheumatological disorders. Both on prescription and off-label, they are widely used as analgesics and antipyretics. It is the primary factor in the hazardous drug-induced harm to multiple organ systems, including the well-known renal and gastrointestinal injuries. Centrilobular hepatic necrosis is caused by an overdose of the analgesic/antipyretic acetaminophen </w:t>
      </w:r>
      <w:r w:rsidR="006254D2">
        <w:rPr>
          <w:rFonts w:ascii="Times New Roman" w:hAnsi="Times New Roman" w:cs="Times New Roman"/>
          <w:sz w:val="24"/>
          <w:szCs w:val="24"/>
        </w:rPr>
        <w:t>[</w:t>
      </w:r>
      <w:r w:rsidRPr="001839B7">
        <w:rPr>
          <w:rFonts w:ascii="Times New Roman" w:hAnsi="Times New Roman" w:cs="Times New Roman"/>
          <w:sz w:val="24"/>
          <w:szCs w:val="24"/>
        </w:rPr>
        <w:t>Walker, 1997</w:t>
      </w:r>
      <w:r w:rsidR="006254D2">
        <w:rPr>
          <w:rFonts w:ascii="Times New Roman" w:hAnsi="Times New Roman" w:cs="Times New Roman"/>
          <w:sz w:val="24"/>
          <w:szCs w:val="24"/>
        </w:rPr>
        <w:t>]</w:t>
      </w:r>
      <w:r w:rsidRPr="001839B7">
        <w:rPr>
          <w:rFonts w:ascii="Times New Roman" w:hAnsi="Times New Roman" w:cs="Times New Roman"/>
          <w:sz w:val="24"/>
          <w:szCs w:val="24"/>
        </w:rPr>
        <w:t xml:space="preserve">. Clinically visible liver damage is rare (1–8 occurrences per 100,000 patient years of NSAID usage), but when it does happen, it can be devastating and be difficult to diagnose </w:t>
      </w:r>
      <w:r w:rsidR="008748C7">
        <w:rPr>
          <w:rFonts w:ascii="Times New Roman" w:hAnsi="Times New Roman" w:cs="Times New Roman"/>
          <w:sz w:val="24"/>
          <w:szCs w:val="24"/>
        </w:rPr>
        <w:t>[</w:t>
      </w:r>
      <w:r w:rsidRPr="001839B7">
        <w:rPr>
          <w:rFonts w:ascii="Times New Roman" w:hAnsi="Times New Roman" w:cs="Times New Roman"/>
          <w:sz w:val="24"/>
          <w:szCs w:val="24"/>
        </w:rPr>
        <w:t xml:space="preserve">Sgro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2002</w:t>
      </w:r>
      <w:r w:rsidR="008748C7">
        <w:rPr>
          <w:rFonts w:ascii="Times New Roman" w:hAnsi="Times New Roman" w:cs="Times New Roman"/>
          <w:sz w:val="24"/>
          <w:szCs w:val="24"/>
        </w:rPr>
        <w:t>]</w:t>
      </w:r>
      <w:r w:rsidRPr="001839B7">
        <w:rPr>
          <w:rFonts w:ascii="Times New Roman" w:hAnsi="Times New Roman" w:cs="Times New Roman"/>
          <w:sz w:val="24"/>
          <w:szCs w:val="24"/>
        </w:rPr>
        <w:t>.</w:t>
      </w:r>
      <w:r w:rsidR="00FE78FA">
        <w:rPr>
          <w:rFonts w:ascii="Times New Roman" w:hAnsi="Times New Roman" w:cs="Times New Roman"/>
          <w:sz w:val="24"/>
          <w:szCs w:val="24"/>
        </w:rPr>
        <w:t xml:space="preserve"> </w:t>
      </w:r>
      <w:r w:rsidRPr="001839B7">
        <w:rPr>
          <w:rFonts w:ascii="Times New Roman" w:hAnsi="Times New Roman" w:cs="Times New Roman"/>
          <w:sz w:val="24"/>
          <w:szCs w:val="24"/>
        </w:rPr>
        <w:t xml:space="preserve">Ibuprofen use, however, sharply increased between 1998 and 2000. The mechanism is believed to be immunological idiosyncrasy, and nearly all NSAIDs have been linked to liver damage. These injuries tend to be hepatocellular in origin (Zimmerman, 1990). Due to related hepatotoxicity, a number of NSAIDs have been taken out of clinical practice </w:t>
      </w:r>
      <w:r w:rsidR="008748C7">
        <w:rPr>
          <w:rFonts w:ascii="Times New Roman" w:hAnsi="Times New Roman" w:cs="Times New Roman"/>
          <w:sz w:val="24"/>
          <w:szCs w:val="24"/>
        </w:rPr>
        <w:t>[</w:t>
      </w:r>
      <w:r w:rsidRPr="001839B7">
        <w:rPr>
          <w:rFonts w:ascii="Times New Roman" w:hAnsi="Times New Roman" w:cs="Times New Roman"/>
          <w:sz w:val="24"/>
          <w:szCs w:val="24"/>
        </w:rPr>
        <w:t xml:space="preserve">Connor </w:t>
      </w:r>
      <w:r w:rsidR="00ED128B">
        <w:rPr>
          <w:rFonts w:ascii="Times New Roman" w:hAnsi="Times New Roman" w:cs="Times New Roman"/>
          <w:sz w:val="24"/>
          <w:szCs w:val="24"/>
        </w:rPr>
        <w:t>et al.,</w:t>
      </w:r>
      <w:r w:rsidR="008748C7">
        <w:rPr>
          <w:rFonts w:ascii="Times New Roman" w:hAnsi="Times New Roman" w:cs="Times New Roman"/>
          <w:sz w:val="24"/>
          <w:szCs w:val="24"/>
        </w:rPr>
        <w:t xml:space="preserve"> </w:t>
      </w:r>
      <w:r w:rsidRPr="001839B7">
        <w:rPr>
          <w:rFonts w:ascii="Times New Roman" w:hAnsi="Times New Roman" w:cs="Times New Roman"/>
          <w:sz w:val="24"/>
          <w:szCs w:val="24"/>
        </w:rPr>
        <w:t>2003</w:t>
      </w:r>
      <w:r w:rsidR="008748C7">
        <w:rPr>
          <w:rFonts w:ascii="Times New Roman" w:hAnsi="Times New Roman" w:cs="Times New Roman"/>
          <w:sz w:val="24"/>
          <w:szCs w:val="24"/>
        </w:rPr>
        <w:t>]</w:t>
      </w:r>
      <w:r w:rsidRPr="001839B7">
        <w:rPr>
          <w:rFonts w:ascii="Times New Roman" w:hAnsi="Times New Roman" w:cs="Times New Roman"/>
          <w:sz w:val="24"/>
          <w:szCs w:val="24"/>
        </w:rPr>
        <w:t>. According to Benichou (1990), the newer, more selective COX-2 inhibitors, such as celecoxib, rofecoxib, and nimesulide, are also linked to hepatotoxicity. However, celecoxib is thought to be less likely to cause hepatotoxicity.</w:t>
      </w:r>
      <w:r w:rsidR="00FE78FA">
        <w:rPr>
          <w:rFonts w:ascii="Times New Roman" w:hAnsi="Times New Roman" w:cs="Times New Roman"/>
          <w:sz w:val="24"/>
          <w:szCs w:val="24"/>
        </w:rPr>
        <w:t xml:space="preserve"> </w:t>
      </w:r>
      <w:r w:rsidRPr="001839B7">
        <w:rPr>
          <w:rFonts w:ascii="Times New Roman" w:hAnsi="Times New Roman" w:cs="Times New Roman"/>
          <w:sz w:val="24"/>
          <w:szCs w:val="24"/>
        </w:rPr>
        <w:t xml:space="preserve">Examples of NSAIDs of different types that have been discontinued or withdrawn due to hepatotoxicity </w:t>
      </w:r>
      <w:r w:rsidR="008748C7">
        <w:rPr>
          <w:rFonts w:ascii="Times New Roman" w:hAnsi="Times New Roman" w:cs="Times New Roman"/>
          <w:sz w:val="24"/>
          <w:szCs w:val="24"/>
        </w:rPr>
        <w:t>[</w:t>
      </w:r>
      <w:r w:rsidRPr="001839B7">
        <w:rPr>
          <w:rFonts w:ascii="Times New Roman" w:hAnsi="Times New Roman" w:cs="Times New Roman"/>
          <w:sz w:val="24"/>
          <w:szCs w:val="24"/>
        </w:rPr>
        <w:t>Lewis, 2003</w:t>
      </w:r>
      <w:r w:rsidR="008748C7">
        <w:rPr>
          <w:rFonts w:ascii="Times New Roman" w:hAnsi="Times New Roman" w:cs="Times New Roman"/>
          <w:sz w:val="24"/>
          <w:szCs w:val="24"/>
        </w:rPr>
        <w:t>].</w:t>
      </w:r>
    </w:p>
    <w:p w14:paraId="47A46BFC"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 xml:space="preserve">Mechanism of toxicity of NSAID’s </w:t>
      </w:r>
    </w:p>
    <w:p w14:paraId="09CF74E6" w14:textId="1C0FC82A"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Numerous in vitro animal models have recently been employed to research potential NSAID-related hepatotoxic pathways. Diphenylamine, which is frequently found in the structure of NSAIDs, uncouples oxidative phosphorylation, lowers hepatic ATP level, and causes hepatocyte damage, according to studies employing rat liver mitochondria and freshly isolated rat hepatocytes. Mitochondrial edema resulted by diphenylamine, mefenamic acid, or diclofenac incubation. As another sign of the uncoupling of oxidative phosphorylation, the safranine-binding spectra to mitochondria shifted in spectral direction, indicating the loss of </w:t>
      </w:r>
      <w:r w:rsidRPr="001839B7">
        <w:rPr>
          <w:rFonts w:ascii="Times New Roman" w:hAnsi="Times New Roman" w:cs="Times New Roman"/>
          <w:sz w:val="24"/>
          <w:szCs w:val="24"/>
        </w:rPr>
        <w:lastRenderedPageBreak/>
        <w:t xml:space="preserve">mitochondrial membrane potentials. Oligomycin, which inhibits ATPase, was added to provide protection from cellular harm. No appreciable oxidative stress (reduction in glutathione and lipid peroxidation) or rise in intracellular calcium concentration was observed in diclofenac-induced damage in hepatocytes. Administration of paracetamol results in the necrosis of centrilobular hepatocytes, which is characterized by nuclear pyknosis and eosinophilic cytoplasm and is followed by a significant amount of hepatic lesion. According to Masubuchi </w:t>
      </w:r>
      <w:r w:rsidR="00156FF0">
        <w:rPr>
          <w:rFonts w:ascii="Times New Roman" w:hAnsi="Times New Roman" w:cs="Times New Roman"/>
          <w:sz w:val="24"/>
          <w:szCs w:val="24"/>
        </w:rPr>
        <w:t xml:space="preserve">et al., </w:t>
      </w:r>
      <w:r w:rsidR="00935F14">
        <w:rPr>
          <w:rFonts w:ascii="Times New Roman" w:hAnsi="Times New Roman" w:cs="Times New Roman"/>
          <w:sz w:val="24"/>
          <w:szCs w:val="24"/>
        </w:rPr>
        <w:t>[</w:t>
      </w:r>
      <w:r w:rsidRPr="001839B7">
        <w:rPr>
          <w:rFonts w:ascii="Times New Roman" w:hAnsi="Times New Roman" w:cs="Times New Roman"/>
          <w:sz w:val="24"/>
          <w:szCs w:val="24"/>
        </w:rPr>
        <w:t>2000</w:t>
      </w:r>
      <w:r w:rsidR="00935F14">
        <w:rPr>
          <w:rFonts w:ascii="Times New Roman" w:hAnsi="Times New Roman" w:cs="Times New Roman"/>
          <w:sz w:val="24"/>
          <w:szCs w:val="24"/>
        </w:rPr>
        <w:t>]</w:t>
      </w:r>
      <w:r w:rsidRPr="001839B7">
        <w:rPr>
          <w:rFonts w:ascii="Times New Roman" w:hAnsi="Times New Roman" w:cs="Times New Roman"/>
          <w:sz w:val="24"/>
          <w:szCs w:val="24"/>
        </w:rPr>
        <w:t xml:space="preserve"> and Bort </w:t>
      </w:r>
      <w:r w:rsidR="00156FF0">
        <w:rPr>
          <w:rFonts w:ascii="Times New Roman" w:hAnsi="Times New Roman" w:cs="Times New Roman"/>
          <w:sz w:val="24"/>
          <w:szCs w:val="24"/>
        </w:rPr>
        <w:t>et al.,</w:t>
      </w:r>
      <w:r w:rsidRPr="001839B7">
        <w:rPr>
          <w:rFonts w:ascii="Times New Roman" w:hAnsi="Times New Roman" w:cs="Times New Roman"/>
          <w:sz w:val="24"/>
          <w:szCs w:val="24"/>
        </w:rPr>
        <w:t xml:space="preserve"> </w:t>
      </w:r>
      <w:r w:rsidR="00935F14">
        <w:rPr>
          <w:rFonts w:ascii="Times New Roman" w:hAnsi="Times New Roman" w:cs="Times New Roman"/>
          <w:sz w:val="24"/>
          <w:szCs w:val="24"/>
        </w:rPr>
        <w:t>[</w:t>
      </w:r>
      <w:r w:rsidRPr="001839B7">
        <w:rPr>
          <w:rFonts w:ascii="Times New Roman" w:hAnsi="Times New Roman" w:cs="Times New Roman"/>
          <w:sz w:val="24"/>
          <w:szCs w:val="24"/>
        </w:rPr>
        <w:t>1999</w:t>
      </w:r>
      <w:r w:rsidR="00935F14">
        <w:rPr>
          <w:rFonts w:ascii="Times New Roman" w:hAnsi="Times New Roman" w:cs="Times New Roman"/>
          <w:sz w:val="24"/>
          <w:szCs w:val="24"/>
        </w:rPr>
        <w:t>]</w:t>
      </w:r>
      <w:r w:rsidRPr="001839B7">
        <w:rPr>
          <w:rFonts w:ascii="Times New Roman" w:hAnsi="Times New Roman" w:cs="Times New Roman"/>
          <w:sz w:val="24"/>
          <w:szCs w:val="24"/>
        </w:rPr>
        <w:t>, the covalent binding of N-acetyl-P-benzoquinoneimine, an oxidative byproduct of paracetamol, to sulphydryl groups of protein results in lipid peroxidative degradation of glutathione level and consequently causes cell necrosis in the liver.</w:t>
      </w:r>
    </w:p>
    <w:p w14:paraId="0031AD56"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Diclofenac</w:t>
      </w:r>
    </w:p>
    <w:p w14:paraId="0CD36F7F" w14:textId="075168BC"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According to Mitchell </w:t>
      </w:r>
      <w:r w:rsidR="00156FF0">
        <w:rPr>
          <w:rFonts w:ascii="Times New Roman" w:hAnsi="Times New Roman" w:cs="Times New Roman"/>
          <w:sz w:val="24"/>
          <w:szCs w:val="24"/>
        </w:rPr>
        <w:t>et al.,</w:t>
      </w:r>
      <w:r w:rsidRPr="001839B7">
        <w:rPr>
          <w:rFonts w:ascii="Times New Roman" w:hAnsi="Times New Roman" w:cs="Times New Roman"/>
          <w:sz w:val="24"/>
          <w:szCs w:val="24"/>
        </w:rPr>
        <w:t xml:space="preserve"> </w:t>
      </w:r>
      <w:r w:rsidR="00935F14">
        <w:rPr>
          <w:rFonts w:ascii="Times New Roman" w:hAnsi="Times New Roman" w:cs="Times New Roman"/>
          <w:sz w:val="24"/>
          <w:szCs w:val="24"/>
        </w:rPr>
        <w:t>[</w:t>
      </w:r>
      <w:r w:rsidRPr="001839B7">
        <w:rPr>
          <w:rFonts w:ascii="Times New Roman" w:hAnsi="Times New Roman" w:cs="Times New Roman"/>
          <w:sz w:val="24"/>
          <w:szCs w:val="24"/>
        </w:rPr>
        <w:t>1973</w:t>
      </w:r>
      <w:r w:rsidR="00935F14">
        <w:rPr>
          <w:rFonts w:ascii="Times New Roman" w:hAnsi="Times New Roman" w:cs="Times New Roman"/>
          <w:sz w:val="24"/>
          <w:szCs w:val="24"/>
        </w:rPr>
        <w:t>]</w:t>
      </w:r>
      <w:r w:rsidRPr="001839B7">
        <w:rPr>
          <w:rFonts w:ascii="Times New Roman" w:hAnsi="Times New Roman" w:cs="Times New Roman"/>
          <w:sz w:val="24"/>
          <w:szCs w:val="24"/>
        </w:rPr>
        <w:t xml:space="preserve">, diclofenac hepatotoxicity is an archetype of idiosyncratic drug-induced liver injury (DILI). A threefold increase in transaminase levels has been documented in 5% of patients who take diclofenac on a regular basis, and approximately 15% of individuals experience high liver enzyme levels. Diclofenac is linked to liver damage that is primarily hepatocellular, but it has also been reported to cause cholestatic liver damage and cases that resemble autoimmune hepatitis </w:t>
      </w:r>
      <w:r w:rsidR="00935F14">
        <w:rPr>
          <w:rFonts w:ascii="Times New Roman" w:hAnsi="Times New Roman" w:cs="Times New Roman"/>
          <w:sz w:val="24"/>
          <w:szCs w:val="24"/>
        </w:rPr>
        <w:t>[</w:t>
      </w:r>
      <w:r w:rsidRPr="001839B7">
        <w:rPr>
          <w:rFonts w:ascii="Times New Roman" w:hAnsi="Times New Roman" w:cs="Times New Roman"/>
          <w:sz w:val="24"/>
          <w:szCs w:val="24"/>
        </w:rPr>
        <w:t>Aithal, 2004</w:t>
      </w:r>
      <w:r w:rsidR="00935F14">
        <w:rPr>
          <w:rFonts w:ascii="Times New Roman" w:hAnsi="Times New Roman" w:cs="Times New Roman"/>
          <w:sz w:val="24"/>
          <w:szCs w:val="24"/>
        </w:rPr>
        <w:t>]</w:t>
      </w:r>
      <w:r w:rsidRPr="001839B7">
        <w:rPr>
          <w:rFonts w:ascii="Times New Roman" w:hAnsi="Times New Roman" w:cs="Times New Roman"/>
          <w:sz w:val="24"/>
          <w:szCs w:val="24"/>
        </w:rPr>
        <w:t xml:space="preserve">. Diclofenac undergoes glucuronidation by UDP-glucuronosyltransferase-2B7 in addition to 4′-hydroxylation by cytochrome P450 2C9 to create an unstable acyl glucuronide. The latter is subjected to further oxidation by CYP2C8. Additionally, the production of 5-hydroxydiclofenac is catalyzed by CYP2C8. Both the benzoquinone imines generated from 5-hydroxydiclofenac and the diclofenac acyl glucuronide change proteins in a covalent manner; as a result, both decreased and enhanced CYP2C8 activity may potentially raise the risk of hepatotoxicity. Diclofenac acyl glucuronide is transported to biliary canaliculi by MRP2, and the metabolite builds up when MRP2 expression is reduced. Reactive metabolite buildup causes mitochondrial permeability transition and oxidative stress, which damage cells. Neoantigens are also produced as a result of reactive metabolites' covalent attachment to'self' proteins. A proinflammatory cellular milieu and a susceptible person could cause mild liver damage to worsen into DILI, or diclofenac adducts generated by dying hepatocytes could be phagocytosed by APCs and presented with MHC II molecules. Helper T cells activate and send out effector cells in response to neoantigen recognition. It is possible for hepatocytes to have diclofenac adducts and express MHC I molecules on their surface, which could cause cytotoxic T-cell-mediated liver damage. As an alternative, B cells may detect diclofenac adducts on the plasma membrane of hepatocytes, causing plasmacytes to develop into mature hepatocytes, antibodies to be secreted, and </w:t>
      </w:r>
      <w:r w:rsidRPr="001839B7">
        <w:rPr>
          <w:rFonts w:ascii="Times New Roman" w:hAnsi="Times New Roman" w:cs="Times New Roman"/>
          <w:sz w:val="24"/>
          <w:szCs w:val="24"/>
        </w:rPr>
        <w:lastRenderedPageBreak/>
        <w:t xml:space="preserve">hepatocytes to be immunologically destroyed. APC stands for antigen-presenting cell; DILI stands for drug-induced liver injury; IL stands for interleukin; MRP2 stands for multidrug resistance protein 2; and TCR stands for T-cell receptor </w:t>
      </w:r>
      <w:r w:rsidR="00935F14">
        <w:rPr>
          <w:rFonts w:ascii="Times New Roman" w:hAnsi="Times New Roman" w:cs="Times New Roman"/>
          <w:sz w:val="24"/>
          <w:szCs w:val="24"/>
        </w:rPr>
        <w:t>[</w:t>
      </w:r>
      <w:r w:rsidRPr="001839B7">
        <w:rPr>
          <w:rFonts w:ascii="Times New Roman" w:hAnsi="Times New Roman" w:cs="Times New Roman"/>
          <w:sz w:val="24"/>
          <w:szCs w:val="24"/>
        </w:rPr>
        <w:t>Aithal, 2011</w:t>
      </w:r>
      <w:r w:rsidR="00935F14">
        <w:rPr>
          <w:rFonts w:ascii="Times New Roman" w:hAnsi="Times New Roman" w:cs="Times New Roman"/>
          <w:sz w:val="24"/>
          <w:szCs w:val="24"/>
        </w:rPr>
        <w:t>]</w:t>
      </w:r>
      <w:r w:rsidRPr="001839B7">
        <w:rPr>
          <w:rFonts w:ascii="Times New Roman" w:hAnsi="Times New Roman" w:cs="Times New Roman"/>
          <w:sz w:val="24"/>
          <w:szCs w:val="24"/>
        </w:rPr>
        <w:t>.</w:t>
      </w:r>
    </w:p>
    <w:p w14:paraId="28C6ED0D"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Sulindac</w:t>
      </w:r>
    </w:p>
    <w:p w14:paraId="7280C4C7" w14:textId="50308A6D" w:rsidR="005F3778"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 medication that has been most frequently linked to hepatotoxicity is sulindac. 91 cases of liver injury have been reported in published studies, with 43% of those cases exhibiting a cholestatic pattern (liver injury impairs bile flow, thus cases are typically characterized by itching and jaundice), 25% by a hepatocellular pattern, and the other cases by a mixed pattern of injury </w:t>
      </w:r>
      <w:r w:rsidR="00935F14">
        <w:rPr>
          <w:rFonts w:ascii="Times New Roman" w:hAnsi="Times New Roman" w:cs="Times New Roman"/>
          <w:sz w:val="24"/>
          <w:szCs w:val="24"/>
        </w:rPr>
        <w:t>[</w:t>
      </w:r>
      <w:r w:rsidRPr="001839B7">
        <w:rPr>
          <w:rFonts w:ascii="Times New Roman" w:hAnsi="Times New Roman" w:cs="Times New Roman"/>
          <w:sz w:val="24"/>
          <w:szCs w:val="24"/>
        </w:rPr>
        <w:t xml:space="preserve">Tarazi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1993</w:t>
      </w:r>
      <w:r w:rsidR="00935F14">
        <w:rPr>
          <w:rFonts w:ascii="Times New Roman" w:hAnsi="Times New Roman" w:cs="Times New Roman"/>
          <w:sz w:val="24"/>
          <w:szCs w:val="24"/>
        </w:rPr>
        <w:t>]</w:t>
      </w:r>
      <w:r w:rsidRPr="001839B7">
        <w:rPr>
          <w:rFonts w:ascii="Times New Roman" w:hAnsi="Times New Roman" w:cs="Times New Roman"/>
          <w:sz w:val="24"/>
          <w:szCs w:val="24"/>
        </w:rPr>
        <w:t>.</w:t>
      </w:r>
      <w:r w:rsidR="00FE78FA">
        <w:rPr>
          <w:rFonts w:ascii="Times New Roman" w:hAnsi="Times New Roman" w:cs="Times New Roman"/>
          <w:sz w:val="24"/>
          <w:szCs w:val="24"/>
        </w:rPr>
        <w:t xml:space="preserve"> </w:t>
      </w:r>
      <w:r w:rsidRPr="001839B7">
        <w:rPr>
          <w:rFonts w:ascii="Times New Roman" w:hAnsi="Times New Roman" w:cs="Times New Roman"/>
          <w:sz w:val="24"/>
          <w:szCs w:val="24"/>
        </w:rPr>
        <w:t xml:space="preserve">Four patients passed away, and 67% of the patients had jaundice. According to Bolder </w:t>
      </w:r>
      <w:r w:rsidR="00156FF0">
        <w:rPr>
          <w:rFonts w:ascii="Times New Roman" w:hAnsi="Times New Roman" w:cs="Times New Roman"/>
          <w:sz w:val="24"/>
          <w:szCs w:val="24"/>
        </w:rPr>
        <w:t xml:space="preserve">et al., </w:t>
      </w:r>
      <w:r w:rsidRPr="001839B7">
        <w:rPr>
          <w:rFonts w:ascii="Times New Roman" w:hAnsi="Times New Roman" w:cs="Times New Roman"/>
          <w:sz w:val="24"/>
          <w:szCs w:val="24"/>
        </w:rPr>
        <w:t>(1999), sulindac competitively reduces canalicular bile salt transport, and this inhibition may be a factor in cholestatic liver damage.</w:t>
      </w:r>
    </w:p>
    <w:p w14:paraId="079E23E3"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CURRENTLY USED BIOMARKERS</w:t>
      </w:r>
    </w:p>
    <w:p w14:paraId="58D37682"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Diagnostic Biomarkers</w:t>
      </w:r>
    </w:p>
    <w:p w14:paraId="43763829" w14:textId="3A93FFCE"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There are currently few biomarkers for DILI that can be used for diagnosis, monitoring, or early detection. The serum levels of alanine aminotransferase (ALT), aspartate aminotransferase, alkaline phosphatase (ALP), and gamma-glutamyl transferase have historically been used in clinical practice to detect liver injury. These markers also measure changes in tissue and cell integrity </w:t>
      </w:r>
      <w:r w:rsidR="00291A8E">
        <w:rPr>
          <w:rFonts w:ascii="Times New Roman" w:hAnsi="Times New Roman" w:cs="Times New Roman"/>
          <w:sz w:val="24"/>
          <w:szCs w:val="24"/>
        </w:rPr>
        <w:t>[</w:t>
      </w:r>
      <w:r w:rsidRPr="001839B7">
        <w:rPr>
          <w:rFonts w:ascii="Times New Roman" w:hAnsi="Times New Roman" w:cs="Times New Roman"/>
          <w:sz w:val="24"/>
          <w:szCs w:val="24"/>
        </w:rPr>
        <w:t xml:space="preserve">Aithal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 xml:space="preserve">2011; Andrade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2019</w:t>
      </w:r>
      <w:r w:rsidR="00291A8E">
        <w:rPr>
          <w:rFonts w:ascii="Times New Roman" w:hAnsi="Times New Roman" w:cs="Times New Roman"/>
          <w:sz w:val="24"/>
          <w:szCs w:val="24"/>
        </w:rPr>
        <w:t>]</w:t>
      </w:r>
      <w:r w:rsidRPr="001839B7">
        <w:rPr>
          <w:rFonts w:ascii="Times New Roman" w:hAnsi="Times New Roman" w:cs="Times New Roman"/>
          <w:sz w:val="24"/>
          <w:szCs w:val="24"/>
        </w:rPr>
        <w:t>. The level of serum bilirubin determines how useful it is as a diagnostic marker. It may be difficult to distinguish between increased unconjugated bilirubin as seen with Gilbert illness and total bilirubin that is less than 40 mol/L without value for conjugated bilirubin. However, it is a diagnostic indicator of liver damage when its value is substantially beyond this threshold or when the increase is accompanied by an increase in conjugated bilirubin. The usage of bilirubin is more of a severity criterion, though (see the Severity Biomarkers section).</w:t>
      </w:r>
      <w:r w:rsidR="00FE78FA">
        <w:rPr>
          <w:rFonts w:ascii="Times New Roman" w:hAnsi="Times New Roman" w:cs="Times New Roman"/>
          <w:sz w:val="24"/>
          <w:szCs w:val="24"/>
        </w:rPr>
        <w:t xml:space="preserve"> </w:t>
      </w:r>
      <w:r w:rsidRPr="001839B7">
        <w:rPr>
          <w:rFonts w:ascii="Times New Roman" w:hAnsi="Times New Roman" w:cs="Times New Roman"/>
          <w:sz w:val="24"/>
          <w:szCs w:val="24"/>
        </w:rPr>
        <w:t xml:space="preserve">The following case definitions for DILI were suggested by the EASL DILI recommendations </w:t>
      </w:r>
      <w:r w:rsidR="009F60FE">
        <w:rPr>
          <w:rFonts w:ascii="Times New Roman" w:hAnsi="Times New Roman" w:cs="Times New Roman"/>
          <w:sz w:val="24"/>
          <w:szCs w:val="24"/>
        </w:rPr>
        <w:t>[</w:t>
      </w:r>
      <w:r w:rsidRPr="001839B7">
        <w:rPr>
          <w:rFonts w:ascii="Times New Roman" w:hAnsi="Times New Roman" w:cs="Times New Roman"/>
          <w:sz w:val="24"/>
          <w:szCs w:val="24"/>
        </w:rPr>
        <w:t xml:space="preserve">Andrade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2019</w:t>
      </w:r>
      <w:r w:rsidR="009F60FE">
        <w:rPr>
          <w:rFonts w:ascii="Times New Roman" w:hAnsi="Times New Roman" w:cs="Times New Roman"/>
          <w:sz w:val="24"/>
          <w:szCs w:val="24"/>
        </w:rPr>
        <w:t>]</w:t>
      </w:r>
      <w:r w:rsidRPr="001839B7">
        <w:rPr>
          <w:rFonts w:ascii="Times New Roman" w:hAnsi="Times New Roman" w:cs="Times New Roman"/>
          <w:sz w:val="24"/>
          <w:szCs w:val="24"/>
        </w:rPr>
        <w:t xml:space="preserve">, each of which includes one of the following thresholds: </w:t>
      </w:r>
    </w:p>
    <w:p w14:paraId="29555C0E" w14:textId="77777777"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A) An increase in serum ALT levels that is five times above the upper limit of normal (ULN) value. </w:t>
      </w:r>
    </w:p>
    <w:p w14:paraId="4AB952C9" w14:textId="77777777"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B) An increase in serum ALP levels that is two times above the ULN value, particularly when there are concurrent increases in gamma-glutamyl transferase and no known bone pathology is to blame.or</w:t>
      </w:r>
    </w:p>
    <w:p w14:paraId="42A9D0B8" w14:textId="77777777"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lastRenderedPageBreak/>
        <w:t>c) The concomitant rise of total bilirubin concentration over 2 ULN and ALT elevation above 3 ULN (2)</w:t>
      </w:r>
    </w:p>
    <w:p w14:paraId="61017D61" w14:textId="5F26ADF3"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These conventional biomarkers have a number of shortcomings that prevent them from being the ideal biomarkers in actual practice, despite the fact that they can represent hepatic lesions and be helpful for the diagnosis of severe DILI. Aspartate aminotransferase and ALT levels in the serum are frequently utilized as biomarkers of hepatic injury, despite the fact that their rise can also be indicative of cardiac and muscle damage, respectively. These indicators also make it impossible to distinguish DILI from other liver injury etiologies or pinpoint its precise cause. Additionally, there is little relationship between liver enzyme levels and lesion severity and histological patterns </w:t>
      </w:r>
      <w:r w:rsidR="00B738DA">
        <w:rPr>
          <w:rFonts w:ascii="Times New Roman" w:hAnsi="Times New Roman" w:cs="Times New Roman"/>
          <w:sz w:val="24"/>
          <w:szCs w:val="24"/>
        </w:rPr>
        <w:t>[</w:t>
      </w:r>
      <w:r w:rsidRPr="001839B7">
        <w:rPr>
          <w:rFonts w:ascii="Times New Roman" w:hAnsi="Times New Roman" w:cs="Times New Roman"/>
          <w:sz w:val="24"/>
          <w:szCs w:val="24"/>
        </w:rPr>
        <w:t>Devarbhavi, 2012</w:t>
      </w:r>
      <w:r w:rsidR="00B738DA">
        <w:rPr>
          <w:rFonts w:ascii="Times New Roman" w:hAnsi="Times New Roman" w:cs="Times New Roman"/>
          <w:sz w:val="24"/>
          <w:szCs w:val="24"/>
        </w:rPr>
        <w:t>]</w:t>
      </w:r>
      <w:r w:rsidRPr="001839B7">
        <w:rPr>
          <w:rFonts w:ascii="Times New Roman" w:hAnsi="Times New Roman" w:cs="Times New Roman"/>
          <w:sz w:val="24"/>
          <w:szCs w:val="24"/>
        </w:rPr>
        <w:t>.</w:t>
      </w:r>
      <w:r w:rsidR="00FE78FA">
        <w:rPr>
          <w:rFonts w:ascii="Times New Roman" w:hAnsi="Times New Roman" w:cs="Times New Roman"/>
          <w:sz w:val="24"/>
          <w:szCs w:val="24"/>
        </w:rPr>
        <w:t xml:space="preserve"> </w:t>
      </w:r>
      <w:r w:rsidRPr="001839B7">
        <w:rPr>
          <w:rFonts w:ascii="Times New Roman" w:hAnsi="Times New Roman" w:cs="Times New Roman"/>
          <w:sz w:val="24"/>
          <w:szCs w:val="24"/>
        </w:rPr>
        <w:t xml:space="preserve">The diagnosis of DILI is currently made primarily using chronological criteria, clinical criteria, and the exclusion of other competing causes. </w:t>
      </w:r>
    </w:p>
    <w:p w14:paraId="1133DF69" w14:textId="2B405F46" w:rsidR="005F3778"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It is frequently an elimination diagnosis when there is a lack of specificity </w:t>
      </w:r>
      <w:r w:rsidR="00391636">
        <w:rPr>
          <w:rFonts w:ascii="Times New Roman" w:hAnsi="Times New Roman" w:cs="Times New Roman"/>
          <w:sz w:val="24"/>
          <w:szCs w:val="24"/>
        </w:rPr>
        <w:t>[</w:t>
      </w:r>
      <w:r w:rsidRPr="001839B7">
        <w:rPr>
          <w:rFonts w:ascii="Times New Roman" w:hAnsi="Times New Roman" w:cs="Times New Roman"/>
          <w:sz w:val="24"/>
          <w:szCs w:val="24"/>
        </w:rPr>
        <w:t xml:space="preserve">LiverTox; Fontana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 xml:space="preserve">2010; Larrey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2017</w:t>
      </w:r>
      <w:r w:rsidR="00391636">
        <w:rPr>
          <w:rFonts w:ascii="Times New Roman" w:hAnsi="Times New Roman" w:cs="Times New Roman"/>
          <w:sz w:val="24"/>
          <w:szCs w:val="24"/>
        </w:rPr>
        <w:t>]</w:t>
      </w:r>
      <w:r w:rsidRPr="001839B7">
        <w:rPr>
          <w:rFonts w:ascii="Times New Roman" w:hAnsi="Times New Roman" w:cs="Times New Roman"/>
          <w:sz w:val="24"/>
          <w:szCs w:val="24"/>
        </w:rPr>
        <w:t xml:space="preserve">. Methods based on ratings given to the pertinent factors can be used to determine causality. Based on ratings, a number of causality assessment techniques (CAM) have been created. The Roussel Uclaf Causality Assessment Method (RUCAM) is the primary one.There are several methods for determining causality, such as the American Drug-Induced Liver Injury Network system, which is based on a calculation of causality's probability rather than on scores </w:t>
      </w:r>
      <w:r w:rsidR="00391636">
        <w:rPr>
          <w:rFonts w:ascii="Times New Roman" w:hAnsi="Times New Roman" w:cs="Times New Roman"/>
          <w:sz w:val="24"/>
          <w:szCs w:val="24"/>
        </w:rPr>
        <w:t>[</w:t>
      </w:r>
      <w:r w:rsidRPr="001839B7">
        <w:rPr>
          <w:rFonts w:ascii="Times New Roman" w:hAnsi="Times New Roman" w:cs="Times New Roman"/>
          <w:sz w:val="24"/>
          <w:szCs w:val="24"/>
        </w:rPr>
        <w:t xml:space="preserve">Fontana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2009</w:t>
      </w:r>
      <w:r w:rsidR="00391636">
        <w:rPr>
          <w:rFonts w:ascii="Times New Roman" w:hAnsi="Times New Roman" w:cs="Times New Roman"/>
          <w:sz w:val="24"/>
          <w:szCs w:val="24"/>
        </w:rPr>
        <w:t>]</w:t>
      </w:r>
      <w:r w:rsidRPr="001839B7">
        <w:rPr>
          <w:rFonts w:ascii="Times New Roman" w:hAnsi="Times New Roman" w:cs="Times New Roman"/>
          <w:sz w:val="24"/>
          <w:szCs w:val="24"/>
        </w:rPr>
        <w:t>. The most widely utilized CAM is the freshly improved RUCAM.</w:t>
      </w:r>
    </w:p>
    <w:p w14:paraId="0313E546" w14:textId="77777777" w:rsidR="006F2205" w:rsidRPr="001839B7" w:rsidRDefault="006F2205" w:rsidP="001839B7">
      <w:pPr>
        <w:spacing w:line="360" w:lineRule="auto"/>
        <w:jc w:val="both"/>
        <w:rPr>
          <w:rFonts w:ascii="Times New Roman" w:hAnsi="Times New Roman" w:cs="Times New Roman"/>
          <w:sz w:val="24"/>
          <w:szCs w:val="24"/>
        </w:rPr>
      </w:pPr>
    </w:p>
    <w:p w14:paraId="1B04AC4F"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 xml:space="preserve">Determination of the Drug </w:t>
      </w:r>
    </w:p>
    <w:p w14:paraId="1D53043B" w14:textId="2F1DC896"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Paracetamol serves as a prototype because of its straightforward, predictable, and dose-dependent toxicity mechanism </w:t>
      </w:r>
      <w:r w:rsidR="00AE4863">
        <w:rPr>
          <w:rFonts w:ascii="Times New Roman" w:hAnsi="Times New Roman" w:cs="Times New Roman"/>
          <w:sz w:val="24"/>
          <w:szCs w:val="24"/>
        </w:rPr>
        <w:t>[</w:t>
      </w:r>
      <w:r w:rsidRPr="001839B7">
        <w:rPr>
          <w:rFonts w:ascii="Times New Roman" w:hAnsi="Times New Roman" w:cs="Times New Roman"/>
          <w:sz w:val="24"/>
          <w:szCs w:val="24"/>
        </w:rPr>
        <w:t xml:space="preserve">Andrade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2019</w:t>
      </w:r>
      <w:r w:rsidR="00AE4863">
        <w:rPr>
          <w:rFonts w:ascii="Times New Roman" w:hAnsi="Times New Roman" w:cs="Times New Roman"/>
          <w:sz w:val="24"/>
          <w:szCs w:val="24"/>
        </w:rPr>
        <w:t>].</w:t>
      </w:r>
      <w:r w:rsidRPr="001839B7">
        <w:rPr>
          <w:rFonts w:ascii="Times New Roman" w:hAnsi="Times New Roman" w:cs="Times New Roman"/>
          <w:sz w:val="24"/>
          <w:szCs w:val="24"/>
        </w:rPr>
        <w:t xml:space="preserve"> Plasma paracetamol levels are directly connected with liver toxicity (&gt;200 g/L 4 h or &gt;100 g/L 8 h after intake).</w:t>
      </w:r>
    </w:p>
    <w:p w14:paraId="14D60163"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Specific Autoantibodies</w:t>
      </w:r>
    </w:p>
    <w:p w14:paraId="70FFDE0C" w14:textId="7FC7E1A3"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Certain antibodies are linked to the hepatotoxicity of several medications. They make excellent diagnostic markers since they have excellent specificity and sensitivity together. As demonstrated by anti-cytochrome 1A2 with dihydralazine, anti-cytochrome 3A with anti-epileptics, and anti-cytochrome 2E1 with halothane </w:t>
      </w:r>
      <w:r w:rsidR="00AE4863">
        <w:rPr>
          <w:rFonts w:ascii="Times New Roman" w:hAnsi="Times New Roman" w:cs="Times New Roman"/>
          <w:sz w:val="24"/>
          <w:szCs w:val="24"/>
        </w:rPr>
        <w:t>[</w:t>
      </w:r>
      <w:r w:rsidRPr="001839B7">
        <w:rPr>
          <w:rFonts w:ascii="Times New Roman" w:hAnsi="Times New Roman" w:cs="Times New Roman"/>
          <w:sz w:val="24"/>
          <w:szCs w:val="24"/>
        </w:rPr>
        <w:t xml:space="preserve">Larrey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2017</w:t>
      </w:r>
      <w:r w:rsidR="00AE4863">
        <w:rPr>
          <w:rFonts w:ascii="Times New Roman" w:hAnsi="Times New Roman" w:cs="Times New Roman"/>
          <w:sz w:val="24"/>
          <w:szCs w:val="24"/>
        </w:rPr>
        <w:t>]</w:t>
      </w:r>
      <w:r w:rsidRPr="001839B7">
        <w:rPr>
          <w:rFonts w:ascii="Times New Roman" w:hAnsi="Times New Roman" w:cs="Times New Roman"/>
          <w:sz w:val="24"/>
          <w:szCs w:val="24"/>
        </w:rPr>
        <w:t>, this is also true for anti-mitochondrial antibodies type 6 with isoniazid.</w:t>
      </w:r>
      <w:r w:rsidR="00AE4863">
        <w:rPr>
          <w:rFonts w:ascii="Times New Roman" w:hAnsi="Times New Roman" w:cs="Times New Roman"/>
          <w:sz w:val="24"/>
          <w:szCs w:val="24"/>
        </w:rPr>
        <w:t xml:space="preserve"> </w:t>
      </w:r>
      <w:r w:rsidRPr="001839B7">
        <w:rPr>
          <w:rFonts w:ascii="Times New Roman" w:hAnsi="Times New Roman" w:cs="Times New Roman"/>
          <w:sz w:val="24"/>
          <w:szCs w:val="24"/>
        </w:rPr>
        <w:t xml:space="preserve">Anti-epoxide hydrolase antibodies, a particular marker for the liver toxicity of germander (Teucrium chamaedrys), are a further </w:t>
      </w:r>
      <w:r w:rsidRPr="001839B7">
        <w:rPr>
          <w:rFonts w:ascii="Times New Roman" w:hAnsi="Times New Roman" w:cs="Times New Roman"/>
          <w:sz w:val="24"/>
          <w:szCs w:val="24"/>
        </w:rPr>
        <w:lastRenderedPageBreak/>
        <w:t xml:space="preserve">intriguing example. An aid to weight loss was granted a commercial license for this medicinal plant in 1986 after it was first used as an antipyretic and analgesic for abdominal pain </w:t>
      </w:r>
      <w:r w:rsidR="00AE4863">
        <w:rPr>
          <w:rFonts w:ascii="Times New Roman" w:hAnsi="Times New Roman" w:cs="Times New Roman"/>
          <w:sz w:val="24"/>
          <w:szCs w:val="24"/>
        </w:rPr>
        <w:t>[</w:t>
      </w:r>
      <w:r w:rsidRPr="001839B7">
        <w:rPr>
          <w:rFonts w:ascii="Times New Roman" w:hAnsi="Times New Roman" w:cs="Times New Roman"/>
          <w:sz w:val="24"/>
          <w:szCs w:val="24"/>
        </w:rPr>
        <w:t xml:space="preserve">Larrey and Faure, 2011; Teschke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2016</w:t>
      </w:r>
      <w:r w:rsidR="00AE4863">
        <w:rPr>
          <w:rFonts w:ascii="Times New Roman" w:hAnsi="Times New Roman" w:cs="Times New Roman"/>
          <w:sz w:val="24"/>
          <w:szCs w:val="24"/>
        </w:rPr>
        <w:t>]</w:t>
      </w:r>
      <w:r w:rsidRPr="001839B7">
        <w:rPr>
          <w:rFonts w:ascii="Times New Roman" w:hAnsi="Times New Roman" w:cs="Times New Roman"/>
          <w:sz w:val="24"/>
          <w:szCs w:val="24"/>
        </w:rPr>
        <w:t xml:space="preserve">. In a short period of time, the pharmacovigilance center gathered more than 30 cases of drug-related liver impairment, including fulminant hepatitis. As a result, it has been taken off the market and is no longer permitted for free sale. Then, the mechanism of hepatotoxicity was established: CYP 3A oxidizes Germander to produce reactive metabolites, which are the target of anti-epoxide hydrolase antibodies in the blood </w:t>
      </w:r>
      <w:r w:rsidR="00CC2BD9">
        <w:rPr>
          <w:rFonts w:ascii="Times New Roman" w:hAnsi="Times New Roman" w:cs="Times New Roman"/>
          <w:sz w:val="24"/>
          <w:szCs w:val="24"/>
        </w:rPr>
        <w:t>[</w:t>
      </w:r>
      <w:r w:rsidRPr="001839B7">
        <w:rPr>
          <w:rFonts w:ascii="Times New Roman" w:hAnsi="Times New Roman" w:cs="Times New Roman"/>
          <w:sz w:val="24"/>
          <w:szCs w:val="24"/>
        </w:rPr>
        <w:t xml:space="preserve">Larrey and Faure, 2011; Teschke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2016</w:t>
      </w:r>
      <w:r w:rsidR="00CC2BD9">
        <w:rPr>
          <w:rFonts w:ascii="Times New Roman" w:hAnsi="Times New Roman" w:cs="Times New Roman"/>
          <w:sz w:val="24"/>
          <w:szCs w:val="24"/>
        </w:rPr>
        <w:t>]</w:t>
      </w:r>
      <w:r w:rsidRPr="001839B7">
        <w:rPr>
          <w:rFonts w:ascii="Times New Roman" w:hAnsi="Times New Roman" w:cs="Times New Roman"/>
          <w:sz w:val="24"/>
          <w:szCs w:val="24"/>
        </w:rPr>
        <w:t>.</w:t>
      </w:r>
    </w:p>
    <w:p w14:paraId="606294FE"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Detection of Reactive Adducts in Serum</w:t>
      </w:r>
    </w:p>
    <w:p w14:paraId="40FAACD7" w14:textId="5A2CAA69"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 production of harmful reactive metabolites from the drug is another illustration of a biomarker based on one of the primary toxicity mechanisms </w:t>
      </w:r>
      <w:r w:rsidR="00CC2BD9">
        <w:rPr>
          <w:rFonts w:ascii="Times New Roman" w:hAnsi="Times New Roman" w:cs="Times New Roman"/>
          <w:sz w:val="24"/>
          <w:szCs w:val="24"/>
        </w:rPr>
        <w:t>[</w:t>
      </w:r>
      <w:r w:rsidRPr="001839B7">
        <w:rPr>
          <w:rFonts w:ascii="Times New Roman" w:hAnsi="Times New Roman" w:cs="Times New Roman"/>
          <w:sz w:val="24"/>
          <w:szCs w:val="24"/>
        </w:rPr>
        <w:t xml:space="preserve">Larrey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2017</w:t>
      </w:r>
      <w:r w:rsidR="00CC2BD9">
        <w:rPr>
          <w:rFonts w:ascii="Times New Roman" w:hAnsi="Times New Roman" w:cs="Times New Roman"/>
          <w:sz w:val="24"/>
          <w:szCs w:val="24"/>
        </w:rPr>
        <w:t>]</w:t>
      </w:r>
      <w:r w:rsidRPr="001839B7">
        <w:rPr>
          <w:rFonts w:ascii="Times New Roman" w:hAnsi="Times New Roman" w:cs="Times New Roman"/>
          <w:sz w:val="24"/>
          <w:szCs w:val="24"/>
        </w:rPr>
        <w:t>.</w:t>
      </w:r>
    </w:p>
    <w:p w14:paraId="6BC58267" w14:textId="66591B3C"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This harmful metabolite has the ability to stably bind to proteins as well as other organelles and molecules. A blood adduct that is formed by the reactive protein-reactive metabolite complex can be identified. It has been proven that patients with paracetamol-induced liver injury can have a paracetamol metabolite-protein adduct found in their blood, although this method of diagnosis is not currently used in clinical settings and is therefore not usually required </w:t>
      </w:r>
      <w:r w:rsidR="00FC6C49">
        <w:rPr>
          <w:rFonts w:ascii="Times New Roman" w:hAnsi="Times New Roman" w:cs="Times New Roman"/>
          <w:sz w:val="24"/>
          <w:szCs w:val="24"/>
        </w:rPr>
        <w:t>[</w:t>
      </w:r>
      <w:r w:rsidRPr="001839B7">
        <w:rPr>
          <w:rFonts w:ascii="Times New Roman" w:hAnsi="Times New Roman" w:cs="Times New Roman"/>
          <w:sz w:val="24"/>
          <w:szCs w:val="24"/>
        </w:rPr>
        <w:t xml:space="preserve">James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2009</w:t>
      </w:r>
      <w:r w:rsidR="00FC6C49">
        <w:rPr>
          <w:rFonts w:ascii="Times New Roman" w:hAnsi="Times New Roman" w:cs="Times New Roman"/>
          <w:sz w:val="24"/>
          <w:szCs w:val="24"/>
        </w:rPr>
        <w:t>]</w:t>
      </w:r>
      <w:r w:rsidRPr="001839B7">
        <w:rPr>
          <w:rFonts w:ascii="Times New Roman" w:hAnsi="Times New Roman" w:cs="Times New Roman"/>
          <w:sz w:val="24"/>
          <w:szCs w:val="24"/>
        </w:rPr>
        <w:t xml:space="preserve">. Another recent instance is the discovery of a hazardous metabolite made from pyrrolizidine alkaloids in the blood or certain urine samples (Larrey and Faure, 2011). The traditional Chinese medicine "Tusanqi," which is used as a painkiller and is often risk-free but has resulted in a string of 50 cases of sinusoidal obstruction syndrome, is the source of the development of this biomarker </w:t>
      </w:r>
      <w:r w:rsidR="00FC6C49">
        <w:rPr>
          <w:rFonts w:ascii="Times New Roman" w:hAnsi="Times New Roman" w:cs="Times New Roman"/>
          <w:sz w:val="24"/>
          <w:szCs w:val="24"/>
        </w:rPr>
        <w:t>[</w:t>
      </w:r>
      <w:r w:rsidRPr="001839B7">
        <w:rPr>
          <w:rFonts w:ascii="Times New Roman" w:hAnsi="Times New Roman" w:cs="Times New Roman"/>
          <w:sz w:val="24"/>
          <w:szCs w:val="24"/>
        </w:rPr>
        <w:t xml:space="preserve">Teschke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2016</w:t>
      </w:r>
      <w:r w:rsidR="00FC6C49">
        <w:rPr>
          <w:rFonts w:ascii="Times New Roman" w:hAnsi="Times New Roman" w:cs="Times New Roman"/>
          <w:sz w:val="24"/>
          <w:szCs w:val="24"/>
        </w:rPr>
        <w:t>]</w:t>
      </w:r>
      <w:r w:rsidRPr="001839B7">
        <w:rPr>
          <w:rFonts w:ascii="Times New Roman" w:hAnsi="Times New Roman" w:cs="Times New Roman"/>
          <w:sz w:val="24"/>
          <w:szCs w:val="24"/>
        </w:rPr>
        <w:t xml:space="preserve">. The production of this composition accidentally substituted two plants, confusing the safe Sedum aizoon with the deadly Gynura segetum, which contains alkaloids, leading to toxicity </w:t>
      </w:r>
      <w:r w:rsidR="00FC6C49">
        <w:rPr>
          <w:rFonts w:ascii="Times New Roman" w:hAnsi="Times New Roman" w:cs="Times New Roman"/>
          <w:sz w:val="24"/>
          <w:szCs w:val="24"/>
        </w:rPr>
        <w:t>[</w:t>
      </w:r>
      <w:r w:rsidRPr="001839B7">
        <w:rPr>
          <w:rFonts w:ascii="Times New Roman" w:hAnsi="Times New Roman" w:cs="Times New Roman"/>
          <w:sz w:val="24"/>
          <w:szCs w:val="24"/>
        </w:rPr>
        <w:t xml:space="preserve">Teschke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2016</w:t>
      </w:r>
      <w:r w:rsidR="00FC6C49">
        <w:rPr>
          <w:rFonts w:ascii="Times New Roman" w:hAnsi="Times New Roman" w:cs="Times New Roman"/>
          <w:sz w:val="24"/>
          <w:szCs w:val="24"/>
        </w:rPr>
        <w:t>]</w:t>
      </w:r>
      <w:r w:rsidRPr="001839B7">
        <w:rPr>
          <w:rFonts w:ascii="Times New Roman" w:hAnsi="Times New Roman" w:cs="Times New Roman"/>
          <w:sz w:val="24"/>
          <w:szCs w:val="24"/>
        </w:rPr>
        <w:t>. With a beneficial evolution, a biomarker of pyrrolizidine alkaloids was presented, originally tested in rats, and then in a patient with sinusoidal obstruction syndrome. This allowed the diagnosis to be made with confidence and had a specificity of 95.8% and a sensitivity of 100%.</w:t>
      </w:r>
    </w:p>
    <w:p w14:paraId="18EEF6B9" w14:textId="075A33A2"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During the first 40 days, the amount of adducts of reactive pyrrole-protein reactive metabolites declines quickly, but they are still detectable in the blood for about 300 days </w:t>
      </w:r>
      <w:r w:rsidR="00FB202C">
        <w:rPr>
          <w:rFonts w:ascii="Times New Roman" w:hAnsi="Times New Roman" w:cs="Times New Roman"/>
          <w:sz w:val="24"/>
          <w:szCs w:val="24"/>
        </w:rPr>
        <w:t>[</w:t>
      </w:r>
      <w:r w:rsidRPr="001839B7">
        <w:rPr>
          <w:rFonts w:ascii="Times New Roman" w:hAnsi="Times New Roman" w:cs="Times New Roman"/>
          <w:sz w:val="24"/>
          <w:szCs w:val="24"/>
        </w:rPr>
        <w:t xml:space="preserve">Larrey and Faure, 2011; Lin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 xml:space="preserve">2011; Teschke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2016</w:t>
      </w:r>
      <w:r w:rsidR="00FB202C">
        <w:rPr>
          <w:rFonts w:ascii="Times New Roman" w:hAnsi="Times New Roman" w:cs="Times New Roman"/>
          <w:sz w:val="24"/>
          <w:szCs w:val="24"/>
        </w:rPr>
        <w:t>]</w:t>
      </w:r>
      <w:r w:rsidRPr="001839B7">
        <w:rPr>
          <w:rFonts w:ascii="Times New Roman" w:hAnsi="Times New Roman" w:cs="Times New Roman"/>
          <w:sz w:val="24"/>
          <w:szCs w:val="24"/>
        </w:rPr>
        <w:t>.</w:t>
      </w:r>
    </w:p>
    <w:p w14:paraId="03380072"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NEUTRALISED CANDIDATE BIOMARKERS</w:t>
      </w:r>
    </w:p>
    <w:p w14:paraId="1675D674" w14:textId="77777777"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 xml:space="preserve">The miRNA 122 </w:t>
      </w:r>
    </w:p>
    <w:p w14:paraId="41B0ED18" w14:textId="1A151F0E" w:rsidR="005F3778" w:rsidRPr="001839B7" w:rsidRDefault="005F3778" w:rsidP="001839B7">
      <w:pPr>
        <w:spacing w:line="360" w:lineRule="auto"/>
        <w:jc w:val="both"/>
        <w:rPr>
          <w:rFonts w:ascii="Times New Roman" w:hAnsi="Times New Roman" w:cs="Times New Roman"/>
          <w:sz w:val="24"/>
          <w:szCs w:val="24"/>
        </w:rPr>
      </w:pPr>
      <w:r w:rsidRPr="001839B7">
        <w:rPr>
          <w:rFonts w:ascii="Times New Roman" w:hAnsi="Times New Roman" w:cs="Times New Roman"/>
          <w:sz w:val="24"/>
          <w:szCs w:val="24"/>
        </w:rPr>
        <w:lastRenderedPageBreak/>
        <w:t>Short RNAs called microRNAs (miRNAs) influence the translation of proteins and the expression of genes, and they play a critical role in the control of cellular activities.Hepato-specific miR-122 and miR-192 are circulating microRNAs. A possible early indicator of liver damage caused by viruses, alcohol, or toxic substances is microRNA 122. MicroRNA 122 is more vulnerable to paracetamol intoxications and increases before transaminases do.In contrast to ALT, microRNA 122 levels in the blood do not rise in cases of muscle injury. Consequently, it is more precise in this instance.</w:t>
      </w:r>
      <w:r w:rsidR="00FE78FA">
        <w:rPr>
          <w:rFonts w:ascii="Times New Roman" w:hAnsi="Times New Roman" w:cs="Times New Roman"/>
          <w:sz w:val="24"/>
          <w:szCs w:val="24"/>
        </w:rPr>
        <w:t xml:space="preserve"> </w:t>
      </w:r>
      <w:r w:rsidRPr="001839B7">
        <w:rPr>
          <w:rFonts w:ascii="Times New Roman" w:hAnsi="Times New Roman" w:cs="Times New Roman"/>
          <w:sz w:val="24"/>
          <w:szCs w:val="24"/>
        </w:rPr>
        <w:t xml:space="preserve">MiRNAs, like miRNA-122, have the potential to offer both improved sensitivity and specificity in predicting, monitoring, and classifying DILI, according to Howell's recent review article </w:t>
      </w:r>
      <w:r w:rsidR="00936463">
        <w:rPr>
          <w:rFonts w:ascii="Times New Roman" w:hAnsi="Times New Roman" w:cs="Times New Roman"/>
          <w:sz w:val="24"/>
          <w:szCs w:val="24"/>
        </w:rPr>
        <w:t>[</w:t>
      </w:r>
      <w:r w:rsidRPr="001839B7">
        <w:rPr>
          <w:rFonts w:ascii="Times New Roman" w:hAnsi="Times New Roman" w:cs="Times New Roman"/>
          <w:sz w:val="24"/>
          <w:szCs w:val="24"/>
        </w:rPr>
        <w:t xml:space="preserve">Howell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2018</w:t>
      </w:r>
      <w:r w:rsidR="00936463">
        <w:rPr>
          <w:rFonts w:ascii="Times New Roman" w:hAnsi="Times New Roman" w:cs="Times New Roman"/>
          <w:sz w:val="24"/>
          <w:szCs w:val="24"/>
        </w:rPr>
        <w:t>]</w:t>
      </w:r>
      <w:r w:rsidRPr="001839B7">
        <w:rPr>
          <w:rFonts w:ascii="Times New Roman" w:hAnsi="Times New Roman" w:cs="Times New Roman"/>
          <w:sz w:val="24"/>
          <w:szCs w:val="24"/>
        </w:rPr>
        <w:t>.</w:t>
      </w:r>
    </w:p>
    <w:p w14:paraId="67BF750D" w14:textId="381AB254" w:rsidR="005F3778" w:rsidRPr="001839B7" w:rsidRDefault="005F3778" w:rsidP="001839B7">
      <w:pPr>
        <w:spacing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Cytokeratin 18</w:t>
      </w:r>
    </w:p>
    <w:p w14:paraId="114F4BC2" w14:textId="1F7C935A" w:rsidR="005F3778" w:rsidRPr="001839B7" w:rsidRDefault="005F3778"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 liver contains a lot of this non-specific cytoskeleton protein. In the event of hepatocyte necrosis, it is released. It rises sooner than ALT does in cases of liver toxicity. It may also serve as a predictive indicator of liver damage because it is elevated more in paracetamol overdose patients who die or get liver transplantation compared to those who recover on their own </w:t>
      </w:r>
      <w:r w:rsidR="007C2169">
        <w:rPr>
          <w:rFonts w:ascii="Times New Roman" w:hAnsi="Times New Roman" w:cs="Times New Roman"/>
          <w:sz w:val="24"/>
          <w:szCs w:val="24"/>
        </w:rPr>
        <w:t>[</w:t>
      </w:r>
      <w:r w:rsidRPr="001839B7">
        <w:rPr>
          <w:rFonts w:ascii="Times New Roman" w:hAnsi="Times New Roman" w:cs="Times New Roman"/>
          <w:sz w:val="24"/>
          <w:szCs w:val="24"/>
        </w:rPr>
        <w:t xml:space="preserve">Thulin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 xml:space="preserve">2014; Church and Watkins, 2017; Kullak-Ublick </w:t>
      </w:r>
      <w:r w:rsidR="00ED128B">
        <w:rPr>
          <w:rFonts w:ascii="Times New Roman" w:hAnsi="Times New Roman" w:cs="Times New Roman"/>
          <w:sz w:val="24"/>
          <w:szCs w:val="24"/>
        </w:rPr>
        <w:t>et al.,</w:t>
      </w:r>
      <w:r w:rsidRPr="001839B7">
        <w:rPr>
          <w:rFonts w:ascii="Times New Roman" w:hAnsi="Times New Roman" w:cs="Times New Roman"/>
          <w:sz w:val="24"/>
          <w:szCs w:val="24"/>
        </w:rPr>
        <w:t xml:space="preserve"> 2017; Church </w:t>
      </w:r>
      <w:r w:rsidR="00ED128B">
        <w:rPr>
          <w:rFonts w:ascii="Times New Roman" w:hAnsi="Times New Roman" w:cs="Times New Roman"/>
          <w:sz w:val="24"/>
          <w:szCs w:val="24"/>
        </w:rPr>
        <w:t xml:space="preserve">et al., </w:t>
      </w:r>
      <w:r w:rsidRPr="001839B7">
        <w:rPr>
          <w:rFonts w:ascii="Times New Roman" w:hAnsi="Times New Roman" w:cs="Times New Roman"/>
          <w:sz w:val="24"/>
          <w:szCs w:val="24"/>
        </w:rPr>
        <w:t>2019</w:t>
      </w:r>
      <w:r w:rsidR="007C2169">
        <w:rPr>
          <w:rFonts w:ascii="Times New Roman" w:hAnsi="Times New Roman" w:cs="Times New Roman"/>
          <w:sz w:val="24"/>
          <w:szCs w:val="24"/>
        </w:rPr>
        <w:t>]</w:t>
      </w:r>
    </w:p>
    <w:p w14:paraId="2DFFF7C4" w14:textId="77777777" w:rsidR="00284BC2" w:rsidRPr="001839B7" w:rsidRDefault="00284BC2" w:rsidP="001839B7">
      <w:pPr>
        <w:tabs>
          <w:tab w:val="left" w:pos="90"/>
        </w:tabs>
        <w:spacing w:after="0" w:line="360" w:lineRule="auto"/>
        <w:jc w:val="both"/>
        <w:rPr>
          <w:rFonts w:ascii="Times New Roman" w:hAnsi="Times New Roman" w:cs="Times New Roman"/>
          <w:b/>
          <w:bCs/>
          <w:sz w:val="24"/>
          <w:szCs w:val="24"/>
        </w:rPr>
      </w:pPr>
      <w:r w:rsidRPr="001839B7">
        <w:rPr>
          <w:rFonts w:ascii="Times New Roman" w:hAnsi="Times New Roman" w:cs="Times New Roman"/>
          <w:b/>
          <w:bCs/>
          <w:sz w:val="24"/>
          <w:szCs w:val="24"/>
        </w:rPr>
        <w:t>CANCER</w:t>
      </w:r>
    </w:p>
    <w:p w14:paraId="4FD0ED5F" w14:textId="77777777" w:rsidR="00284BC2" w:rsidRPr="001839B7" w:rsidRDefault="00284BC2" w:rsidP="001839B7">
      <w:pPr>
        <w:tabs>
          <w:tab w:val="left" w:pos="90"/>
        </w:tabs>
        <w:spacing w:line="360" w:lineRule="auto"/>
        <w:ind w:firstLine="720"/>
        <w:jc w:val="both"/>
        <w:rPr>
          <w:rFonts w:ascii="Times New Roman" w:hAnsi="Times New Roman" w:cs="Times New Roman"/>
          <w:sz w:val="24"/>
          <w:szCs w:val="24"/>
        </w:rPr>
      </w:pPr>
      <w:r w:rsidRPr="001839B7">
        <w:rPr>
          <w:rFonts w:ascii="Times New Roman" w:hAnsi="Times New Roman" w:cs="Times New Roman"/>
          <w:sz w:val="24"/>
          <w:szCs w:val="24"/>
        </w:rPr>
        <w:t>Cancer is an intricate illness that causes a variety of temporal and spatial changes in cell physiology that ultimately result in malignant tumors. The biological hallmark of the illness is abnormal cell growth, or neoplasia. For the majority of cancer patients, the primary cause of morbidity and mortality is tumor cell invasion of nearby tissues and distant organs. The biological mechanism by which healthy cells become cancerous has been the focus of extensive research in the biomedical sciences for many years.</w:t>
      </w:r>
    </w:p>
    <w:p w14:paraId="38CA33A1" w14:textId="77777777" w:rsidR="002547CD" w:rsidRDefault="00284BC2" w:rsidP="002547CD">
      <w:pPr>
        <w:pStyle w:val="NormalWeb"/>
        <w:shd w:val="clear" w:color="auto" w:fill="FFFFFF"/>
        <w:tabs>
          <w:tab w:val="left" w:pos="90"/>
        </w:tabs>
        <w:spacing w:before="0" w:beforeAutospacing="0" w:after="0" w:afterAutospacing="0" w:line="360" w:lineRule="auto"/>
        <w:ind w:firstLine="720"/>
        <w:jc w:val="both"/>
        <w:rPr>
          <w:color w:val="1B1B1B"/>
        </w:rPr>
      </w:pPr>
      <w:r w:rsidRPr="001839B7">
        <w:rPr>
          <w:color w:val="1B1B1B"/>
        </w:rPr>
        <w:t>Cancerous tumors spread into, or invade, nearby tissues and can travel to distant places in the body to form new tumors (a process called </w:t>
      </w:r>
      <w:hyperlink r:id="rId7" w:history="1">
        <w:r w:rsidRPr="001839B7">
          <w:rPr>
            <w:rStyle w:val="Hyperlink"/>
            <w:color w:val="1B1B1B"/>
          </w:rPr>
          <w:t>metastasis</w:t>
        </w:r>
      </w:hyperlink>
      <w:r w:rsidRPr="001839B7">
        <w:rPr>
          <w:color w:val="1B1B1B"/>
        </w:rPr>
        <w:t xml:space="preserve">). Cancerous </w:t>
      </w:r>
      <w:r w:rsidR="0064164F" w:rsidRPr="001839B7">
        <w:rPr>
          <w:color w:val="1B1B1B"/>
        </w:rPr>
        <w:t>tumours</w:t>
      </w:r>
      <w:r w:rsidRPr="001839B7">
        <w:rPr>
          <w:color w:val="1B1B1B"/>
        </w:rPr>
        <w:t xml:space="preserve"> may also be called </w:t>
      </w:r>
      <w:hyperlink r:id="rId8" w:history="1">
        <w:r w:rsidRPr="00FE78FA">
          <w:rPr>
            <w:rStyle w:val="Hyperlink"/>
            <w:color w:val="1B1B1B"/>
            <w:u w:val="none"/>
          </w:rPr>
          <w:t>malignant</w:t>
        </w:r>
      </w:hyperlink>
      <w:r w:rsidRPr="001839B7">
        <w:rPr>
          <w:color w:val="1B1B1B"/>
        </w:rPr>
        <w:t> tumors. Many cancers form solid tumors, but cancers of the blood, such as </w:t>
      </w:r>
      <w:hyperlink r:id="rId9" w:history="1">
        <w:r w:rsidRPr="001839B7">
          <w:rPr>
            <w:rStyle w:val="Hyperlink"/>
            <w:color w:val="1B1B1B"/>
          </w:rPr>
          <w:t>leukemias</w:t>
        </w:r>
      </w:hyperlink>
      <w:r w:rsidRPr="001839B7">
        <w:rPr>
          <w:color w:val="1B1B1B"/>
        </w:rPr>
        <w:t xml:space="preserve">, generally do not. Benign tumors do not spread into, or invade, nearby tissues. </w:t>
      </w:r>
      <w:r w:rsidR="002547CD" w:rsidRPr="002547CD">
        <w:rPr>
          <w:color w:val="1B1B1B"/>
        </w:rPr>
        <w:t xml:space="preserve">Benign tumors typically don't come back after removal, whereas cancerous tumors can. However, benign tumors can occasionally grow to be quite large. Some, like benign brain tumors, can have grave side effects or even be fatal. Metastatic cancer is a type of cancer that has spread from the site of its initial formation to another location in the body. Metastasis is the process by which cancer cells spread to different areas of the body. The primary or original cancer's name and cancer cell type also apply to metastatic cancer. For instance, breast cancer </w:t>
      </w:r>
      <w:r w:rsidR="002547CD" w:rsidRPr="002547CD">
        <w:rPr>
          <w:color w:val="1B1B1B"/>
        </w:rPr>
        <w:lastRenderedPageBreak/>
        <w:t xml:space="preserve">that spreads to the lung and develops a tumor is considered metastatic breast cancer rather than lung cancer. Metastatic cancer cells typically resemble the original cancer's cells when viewed under a microscope. Additionally, there are some molecular similarities between metastatic cancer cells and the original cancer cells, such as the presence of particular chromosome changes. </w:t>
      </w:r>
    </w:p>
    <w:p w14:paraId="39CA783E" w14:textId="29839A7B" w:rsidR="00284BC2" w:rsidRPr="001839B7" w:rsidRDefault="00284BC2" w:rsidP="002547CD">
      <w:pPr>
        <w:pStyle w:val="NormalWeb"/>
        <w:shd w:val="clear" w:color="auto" w:fill="FFFFFF"/>
        <w:tabs>
          <w:tab w:val="left" w:pos="90"/>
        </w:tabs>
        <w:spacing w:before="0" w:beforeAutospacing="0" w:after="0" w:afterAutospacing="0" w:line="360" w:lineRule="auto"/>
        <w:ind w:firstLine="720"/>
        <w:jc w:val="both"/>
      </w:pPr>
      <w:r w:rsidRPr="001839B7">
        <w:t>When the DNA (deoxyribonucleic acid), or cellular blueprints, of normal cells are damaged, cancerous cells develop. Every cell has DNA, which controls all of the activities of the cell, including growth, death, protein synthesis, etc. In a typical cell, when DNA is harmed, the cell either repairs the damage or dies. Cancer cells do not die because the damaged DNA is not repaired. Instead, it produces more of these dysplastic cells with DNA. All of these new cells share the original cancer cell's incomplete DNA.</w:t>
      </w:r>
    </w:p>
    <w:p w14:paraId="2773B5C5" w14:textId="77777777" w:rsidR="00284BC2" w:rsidRPr="001839B7" w:rsidRDefault="00284BC2" w:rsidP="001839B7">
      <w:pPr>
        <w:pStyle w:val="NormalWeb"/>
        <w:shd w:val="clear" w:color="auto" w:fill="FFFFFF"/>
        <w:tabs>
          <w:tab w:val="left" w:pos="90"/>
        </w:tabs>
        <w:spacing w:before="0" w:beforeAutospacing="0" w:after="0" w:afterAutospacing="0" w:line="360" w:lineRule="auto"/>
        <w:ind w:firstLine="720"/>
        <w:jc w:val="both"/>
        <w:rPr>
          <w:color w:val="1B1B1B"/>
        </w:rPr>
      </w:pPr>
      <w:r w:rsidRPr="001839B7">
        <w:rPr>
          <w:noProof/>
          <w:lang w:val="en-US"/>
        </w:rPr>
        <w:drawing>
          <wp:inline distT="0" distB="0" distL="0" distR="0" wp14:anchorId="07561129" wp14:editId="0BDD0CB7">
            <wp:extent cx="5081666" cy="1963711"/>
            <wp:effectExtent l="19050" t="0" r="468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0865" cy="1971130"/>
                    </a:xfrm>
                    <a:prstGeom prst="rect">
                      <a:avLst/>
                    </a:prstGeom>
                    <a:noFill/>
                    <a:ln>
                      <a:noFill/>
                    </a:ln>
                  </pic:spPr>
                </pic:pic>
              </a:graphicData>
            </a:graphic>
          </wp:inline>
        </w:drawing>
      </w:r>
    </w:p>
    <w:p w14:paraId="1D1118D7" w14:textId="77777777" w:rsidR="00284BC2" w:rsidRPr="001839B7" w:rsidRDefault="00284BC2" w:rsidP="006F2205">
      <w:pPr>
        <w:pStyle w:val="NormalWeb"/>
        <w:shd w:val="clear" w:color="auto" w:fill="FFFFFF"/>
        <w:tabs>
          <w:tab w:val="left" w:pos="90"/>
        </w:tabs>
        <w:spacing w:before="0" w:beforeAutospacing="0" w:after="0" w:afterAutospacing="0" w:line="360" w:lineRule="auto"/>
        <w:ind w:firstLine="720"/>
        <w:jc w:val="center"/>
        <w:rPr>
          <w:color w:val="1B1B1B"/>
        </w:rPr>
      </w:pPr>
      <w:r w:rsidRPr="001839B7">
        <w:rPr>
          <w:b/>
        </w:rPr>
        <w:t>A series of genetic changes that lead to cancer</w:t>
      </w:r>
    </w:p>
    <w:p w14:paraId="33F2B484" w14:textId="77777777" w:rsidR="00284BC2" w:rsidRPr="001839B7" w:rsidRDefault="00284BC2" w:rsidP="001839B7">
      <w:pPr>
        <w:pStyle w:val="NormalWeb"/>
        <w:shd w:val="clear" w:color="auto" w:fill="FFFFFF"/>
        <w:tabs>
          <w:tab w:val="left" w:pos="90"/>
        </w:tabs>
        <w:spacing w:before="0" w:beforeAutospacing="0" w:after="0" w:afterAutospacing="0" w:line="360" w:lineRule="auto"/>
        <w:ind w:firstLine="720"/>
        <w:jc w:val="both"/>
        <w:rPr>
          <w:color w:val="1B1B1B"/>
        </w:rPr>
      </w:pPr>
    </w:p>
    <w:p w14:paraId="0103FF94" w14:textId="77777777" w:rsidR="00284BC2" w:rsidRPr="001839B7" w:rsidRDefault="00284BC2" w:rsidP="001839B7">
      <w:pPr>
        <w:pStyle w:val="NormalWeb"/>
        <w:shd w:val="clear" w:color="auto" w:fill="FFFFFF"/>
        <w:tabs>
          <w:tab w:val="left" w:pos="90"/>
        </w:tabs>
        <w:spacing w:before="0" w:beforeAutospacing="0" w:after="0" w:afterAutospacing="0" w:line="360" w:lineRule="auto"/>
        <w:ind w:firstLine="720"/>
        <w:jc w:val="both"/>
        <w:rPr>
          <w:color w:val="1B1B1B"/>
        </w:rPr>
      </w:pPr>
      <w:r w:rsidRPr="001839B7">
        <w:rPr>
          <w:color w:val="1B1B1B"/>
        </w:rPr>
        <w:t>In some cases, treatment may help prolong the lives of people with metastatic cancer. In other cases, the primary goal of treatment for metastatic cancer is to control the growth of the cancer or to relieve symptoms it is causing. Metastatic tumors can cause severe damage to how the body functions, and most people who die of cancer die of metastatic disease.  Biomarker testing is a way to look for genes, proteins, and other substances (called </w:t>
      </w:r>
      <w:hyperlink r:id="rId11" w:history="1">
        <w:r w:rsidRPr="001839B7">
          <w:rPr>
            <w:rStyle w:val="Hyperlink"/>
            <w:color w:val="1B1B1B"/>
          </w:rPr>
          <w:t>biomarkers</w:t>
        </w:r>
      </w:hyperlink>
      <w:r w:rsidRPr="001839B7">
        <w:rPr>
          <w:color w:val="1B1B1B"/>
        </w:rPr>
        <w:t> or tumor markers) that can provide information about cancer. Each person’s cancer has a unique pattern of biomarkers. Some biomarkers affect how certain cancer treatments work. Biomarker testing may help you and your doctor choose a cancer treatment for you. Biomarker testing is a way to look for genes, proteins, and other substances (called </w:t>
      </w:r>
      <w:hyperlink r:id="rId12" w:history="1">
        <w:r w:rsidRPr="001839B7">
          <w:rPr>
            <w:rStyle w:val="Hyperlink"/>
            <w:color w:val="1B1B1B"/>
          </w:rPr>
          <w:t>biomarkers</w:t>
        </w:r>
      </w:hyperlink>
      <w:r w:rsidRPr="001839B7">
        <w:rPr>
          <w:color w:val="1B1B1B"/>
        </w:rPr>
        <w:t> or tumor markers) that can provide information about cancer. Each person’s cancer has a unique pattern of biomarkers. Some biomarkers affect how certain cancer treatments work. Biomarker testing may help you and your doctor choose a cancer treatment for you.</w:t>
      </w:r>
    </w:p>
    <w:p w14:paraId="11707928"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1839B7">
        <w:rPr>
          <w:color w:val="1B1B1B"/>
        </w:rPr>
        <w:lastRenderedPageBreak/>
        <w:t xml:space="preserve">There are also other kinds of biomarkers that can help doctors diagnose and monitor cancer during and after treatment. </w:t>
      </w:r>
    </w:p>
    <w:p w14:paraId="22E4A357"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b/>
          <w:bCs/>
          <w:color w:val="1B1B1B"/>
        </w:rPr>
      </w:pPr>
      <w:r w:rsidRPr="001839B7">
        <w:rPr>
          <w:b/>
          <w:bCs/>
          <w:color w:val="1B1B1B"/>
        </w:rPr>
        <w:t>The symbol and Idyllic Biomarker of cancer</w:t>
      </w:r>
    </w:p>
    <w:p w14:paraId="385AFB3D" w14:textId="77777777" w:rsidR="00284BC2" w:rsidRPr="001839B7" w:rsidRDefault="00284BC2"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 xml:space="preserve">The eight biological characteristics that define cancer serve as an organizing principle for making sense of the complexity of neoplastic disease. These characteristics were acquired during the multi-step development of human tumors.  </w:t>
      </w:r>
    </w:p>
    <w:p w14:paraId="15651EF4" w14:textId="77777777" w:rsidR="00284BC2" w:rsidRPr="001839B7"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1. Sustaining proliferative signaling</w:t>
      </w:r>
    </w:p>
    <w:p w14:paraId="636132E2" w14:textId="77777777" w:rsidR="00284BC2" w:rsidRPr="001839B7"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2. Evading growth suppressors</w:t>
      </w:r>
    </w:p>
    <w:p w14:paraId="22E9E371" w14:textId="77777777" w:rsidR="00284BC2" w:rsidRPr="001839B7"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3. Resisting cell death</w:t>
      </w:r>
    </w:p>
    <w:p w14:paraId="01C729A4" w14:textId="77777777" w:rsidR="00284BC2" w:rsidRPr="001839B7"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4. Enabling replicative immortality</w:t>
      </w:r>
    </w:p>
    <w:p w14:paraId="509525E9" w14:textId="77777777" w:rsidR="00284BC2" w:rsidRPr="001839B7"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5. Inducing angiogenesis</w:t>
      </w:r>
    </w:p>
    <w:p w14:paraId="04DC315E" w14:textId="77777777" w:rsidR="00284BC2" w:rsidRPr="001839B7"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6. Activating invasion and metastasis</w:t>
      </w:r>
    </w:p>
    <w:p w14:paraId="0E5EA5D7" w14:textId="77777777" w:rsidR="00284BC2" w:rsidRPr="001839B7"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7. Reprogramming energy metabolism (emerging)</w:t>
      </w:r>
    </w:p>
    <w:p w14:paraId="600CCF8B" w14:textId="77777777" w:rsidR="00284BC2" w:rsidRPr="001839B7" w:rsidRDefault="00284BC2"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8. Escaping immune destruction (emerging)</w:t>
      </w:r>
    </w:p>
    <w:p w14:paraId="6682E84D" w14:textId="77777777" w:rsidR="00284BC2" w:rsidRPr="001839B7" w:rsidRDefault="00284BC2"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Genome instability, which produces the genetic diversity that speeds up their acquisition, and inflammation, which promotes multiple hallmark functions, underlie these hallmarks. In addition to cancer cells, tumors also display another level of complexity: they contain a variety of recruited, seemingly normal cells that aid in the development of distinguishing characteristics by establishing the "tumor microenvironment."</w:t>
      </w:r>
    </w:p>
    <w:p w14:paraId="4716C5E3" w14:textId="77777777" w:rsidR="00284BC2" w:rsidRPr="001839B7" w:rsidRDefault="00284BC2"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These characteristics should be taken into account when looking for biomarkers to help with cancer diagnosis and treatment.</w:t>
      </w:r>
    </w:p>
    <w:p w14:paraId="0B61F524"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b/>
          <w:bCs/>
          <w:color w:val="1B1B1B"/>
        </w:rPr>
      </w:pPr>
      <w:r w:rsidRPr="001839B7">
        <w:rPr>
          <w:b/>
          <w:bCs/>
          <w:color w:val="1B1B1B"/>
        </w:rPr>
        <w:t>Diffusive Cancer Biomarkers</w:t>
      </w:r>
    </w:p>
    <w:p w14:paraId="48061D3A"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1839B7">
        <w:rPr>
          <w:color w:val="1B1B1B"/>
        </w:rPr>
        <w:tab/>
      </w:r>
      <w:r w:rsidRPr="001839B7">
        <w:rPr>
          <w:color w:val="1B1B1B"/>
        </w:rPr>
        <w:tab/>
        <w:t xml:space="preserve">Biomarkers can be found on fluid biopsies of body fluids, mostly circulating plasma, as an alternative to cancer tissue biopsy. This section will cover exosomes or microvesicles, circulating tumor cells, and circulating nucleic acids as three major categories of circulating biomarkers. </w:t>
      </w:r>
    </w:p>
    <w:p w14:paraId="2D9C07EC"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b/>
          <w:bCs/>
          <w:color w:val="1B1B1B"/>
        </w:rPr>
      </w:pPr>
    </w:p>
    <w:p w14:paraId="55E8B802"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1839B7">
        <w:rPr>
          <w:color w:val="1B1B1B"/>
        </w:rPr>
        <w:t>Exposed tumor tissue can be examined for biomarkers, particularly for prognostic and theranostic purposes. In order to identify patients with particular types of epidermal growth factor receptor (EGFR) gene mutations in non-small cell lung cancer (NSCLC), EC- Endometrial cancer, Cervical cancer, Colorectal which will inform treatment choices, the FDA has approved the first liquid biopsy companion diagnostic that also uses next-generation sequencing (NGS) technology.</w:t>
      </w:r>
    </w:p>
    <w:p w14:paraId="5BE8054F" w14:textId="77777777" w:rsidR="00284BC2" w:rsidRPr="001839B7" w:rsidRDefault="00284BC2" w:rsidP="001839B7">
      <w:pPr>
        <w:pStyle w:val="NormalWeb"/>
        <w:shd w:val="clear" w:color="auto" w:fill="FFFFFF"/>
        <w:tabs>
          <w:tab w:val="left" w:pos="90"/>
        </w:tabs>
        <w:spacing w:after="0" w:line="360" w:lineRule="auto"/>
        <w:jc w:val="both"/>
        <w:rPr>
          <w:color w:val="1B1B1B"/>
        </w:rPr>
      </w:pPr>
      <w:r w:rsidRPr="001839B7">
        <w:rPr>
          <w:color w:val="1B1B1B"/>
        </w:rPr>
        <w:lastRenderedPageBreak/>
        <w:t>Biomarkers that can be detected in blood or other bodily fluids, such as urine, saliva, cyst fluid, ascites, and pleural fluid, may be very helpful in this situation. Active secretion can cause cancer biomarkers to become visible in the blood circulation or cellular leakage in the tumor microenvironment from cancer cells or supporting tissue. In addition to serving as a gauge of tumor load and metastatic potential, circulating biomarkers such as proteins and auto-antibodies, nucleic acids (cell-free DNA and RNA), circulating tumor cells, and microvesicles dispersed in the blood stream can also be used to investigate specific molecular alterations in a tumor. The current emphasis on so-called "liquid biopsies" is due to the fact that these biomarkers offer a potent substitute to invasive biopsies of particular organs for molecular analysis [</w:t>
      </w:r>
      <w:r w:rsidRPr="001839B7">
        <w:t>Marrugo-Ramírez., 2018</w:t>
      </w:r>
      <w:r w:rsidRPr="001839B7">
        <w:rPr>
          <w:color w:val="1B1B1B"/>
        </w:rPr>
        <w:t>].</w:t>
      </w:r>
    </w:p>
    <w:p w14:paraId="6F2086B5" w14:textId="77777777" w:rsidR="00284BC2" w:rsidRPr="001839B7" w:rsidRDefault="00284BC2" w:rsidP="001839B7">
      <w:pPr>
        <w:pStyle w:val="NormalWeb"/>
        <w:shd w:val="clear" w:color="auto" w:fill="FFFFFF"/>
        <w:tabs>
          <w:tab w:val="left" w:pos="90"/>
        </w:tabs>
        <w:spacing w:after="0" w:line="360" w:lineRule="auto"/>
        <w:jc w:val="both"/>
        <w:rPr>
          <w:color w:val="1B1B1B"/>
        </w:rPr>
      </w:pPr>
      <w:r w:rsidRPr="001839B7">
        <w:rPr>
          <w:noProof/>
        </w:rPr>
        <w:drawing>
          <wp:inline distT="0" distB="0" distL="0" distR="0" wp14:anchorId="3A3D9283" wp14:editId="672A70BF">
            <wp:extent cx="5943600" cy="2908300"/>
            <wp:effectExtent l="0" t="0" r="0" b="6350"/>
            <wp:docPr id="54912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21957" name=""/>
                    <pic:cNvPicPr/>
                  </pic:nvPicPr>
                  <pic:blipFill>
                    <a:blip r:embed="rId13"/>
                    <a:stretch>
                      <a:fillRect/>
                    </a:stretch>
                  </pic:blipFill>
                  <pic:spPr>
                    <a:xfrm>
                      <a:off x="0" y="0"/>
                      <a:ext cx="5943600" cy="2908300"/>
                    </a:xfrm>
                    <a:prstGeom prst="rect">
                      <a:avLst/>
                    </a:prstGeom>
                  </pic:spPr>
                </pic:pic>
              </a:graphicData>
            </a:graphic>
          </wp:inline>
        </w:drawing>
      </w:r>
    </w:p>
    <w:p w14:paraId="4DDCB3E1"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 xml:space="preserve">MMP </w:t>
      </w:r>
    </w:p>
    <w:p w14:paraId="26EDAEC2" w14:textId="051B01D4" w:rsidR="00284BC2" w:rsidRPr="001839B7" w:rsidRDefault="0055192E" w:rsidP="001839B7">
      <w:pPr>
        <w:tabs>
          <w:tab w:val="left" w:pos="90"/>
        </w:tabs>
        <w:autoSpaceDE w:val="0"/>
        <w:autoSpaceDN w:val="0"/>
        <w:adjustRightInd w:val="0"/>
        <w:spacing w:before="120" w:after="120" w:line="360" w:lineRule="auto"/>
        <w:ind w:firstLine="720"/>
        <w:jc w:val="both"/>
        <w:rPr>
          <w:rFonts w:ascii="Times New Roman" w:hAnsi="Times New Roman" w:cs="Times New Roman"/>
          <w:spacing w:val="-2"/>
          <w:sz w:val="24"/>
          <w:szCs w:val="24"/>
        </w:rPr>
      </w:pPr>
      <w:r w:rsidRPr="0055192E">
        <w:rPr>
          <w:rFonts w:ascii="Times New Roman" w:hAnsi="Times New Roman" w:cs="Times New Roman"/>
          <w:sz w:val="24"/>
          <w:szCs w:val="24"/>
        </w:rPr>
        <w:t xml:space="preserve">The breakdown of extracellular matrix is facilitated by a family of zinc-dependent endopeptidases known as MMPs (matrix metalloproteinases). Six subclasses of MMPs exist: membrane-type MMPs, stromelysins, matrilysins, collagenases, and gelatinases. Both physiological and pathological processes, such as the invasion and spread of malignant cancers, depend on them. Additionally, according to Kim </w:t>
      </w:r>
      <w:r w:rsidR="00156FF0">
        <w:rPr>
          <w:rFonts w:ascii="Times New Roman" w:hAnsi="Times New Roman" w:cs="Times New Roman"/>
          <w:sz w:val="24"/>
          <w:szCs w:val="24"/>
        </w:rPr>
        <w:t xml:space="preserve">et al., </w:t>
      </w:r>
      <w:r w:rsidRPr="0055192E">
        <w:rPr>
          <w:rFonts w:ascii="Times New Roman" w:hAnsi="Times New Roman" w:cs="Times New Roman"/>
          <w:sz w:val="24"/>
          <w:szCs w:val="24"/>
        </w:rPr>
        <w:t>(2007), they exist in both ectopic and eutopic endometrium. The basal membrane is specifically important for the degradation by MMP-2 (gelatinase A), which is present. MMP expression has started to become overexpressed in endometrium and numerous malignant tumors</w:t>
      </w:r>
      <w:r w:rsidR="00284BC2" w:rsidRPr="001839B7">
        <w:rPr>
          <w:rFonts w:ascii="Times New Roman" w:hAnsi="Times New Roman" w:cs="Times New Roman"/>
          <w:spacing w:val="-2"/>
          <w:sz w:val="24"/>
          <w:szCs w:val="24"/>
        </w:rPr>
        <w:t xml:space="preserve"> </w:t>
      </w:r>
      <w:r w:rsidR="0015197D">
        <w:rPr>
          <w:rFonts w:ascii="Times New Roman" w:hAnsi="Times New Roman" w:cs="Times New Roman"/>
          <w:spacing w:val="-2"/>
          <w:sz w:val="24"/>
          <w:szCs w:val="24"/>
        </w:rPr>
        <w:t>[</w:t>
      </w:r>
      <w:r w:rsidR="00284BC2" w:rsidRPr="001839B7">
        <w:rPr>
          <w:rFonts w:ascii="Times New Roman" w:eastAsia="AdvP4DF60E" w:hAnsi="Times New Roman" w:cs="Times New Roman"/>
          <w:spacing w:val="-2"/>
          <w:sz w:val="24"/>
          <w:szCs w:val="24"/>
        </w:rPr>
        <w:t xml:space="preserve">Chung </w:t>
      </w:r>
      <w:r w:rsidR="00ED128B" w:rsidRPr="0015197D">
        <w:rPr>
          <w:rFonts w:ascii="Times New Roman" w:eastAsia="AdvP4DF60E" w:hAnsi="Times New Roman" w:cs="Times New Roman"/>
          <w:iCs/>
          <w:spacing w:val="-2"/>
          <w:sz w:val="24"/>
          <w:szCs w:val="24"/>
        </w:rPr>
        <w:t>et al.,</w:t>
      </w:r>
      <w:r w:rsidR="00ED128B">
        <w:rPr>
          <w:rFonts w:ascii="Times New Roman" w:eastAsia="AdvP4DF60E" w:hAnsi="Times New Roman" w:cs="Times New Roman"/>
          <w:i/>
          <w:spacing w:val="-2"/>
          <w:sz w:val="24"/>
          <w:szCs w:val="24"/>
        </w:rPr>
        <w:t xml:space="preserve"> </w:t>
      </w:r>
      <w:r w:rsidR="00284BC2" w:rsidRPr="001839B7">
        <w:rPr>
          <w:rFonts w:ascii="Times New Roman" w:eastAsia="AdvP4DF60E" w:hAnsi="Times New Roman" w:cs="Times New Roman"/>
          <w:spacing w:val="-2"/>
          <w:sz w:val="24"/>
          <w:szCs w:val="24"/>
        </w:rPr>
        <w:t>2002</w:t>
      </w:r>
      <w:r w:rsidR="0015197D">
        <w:rPr>
          <w:rFonts w:ascii="Times New Roman" w:eastAsia="AdvP4DF60E" w:hAnsi="Times New Roman" w:cs="Times New Roman"/>
          <w:spacing w:val="-2"/>
          <w:sz w:val="24"/>
          <w:szCs w:val="24"/>
        </w:rPr>
        <w:t>]</w:t>
      </w:r>
      <w:r w:rsidR="00284BC2" w:rsidRPr="001839B7">
        <w:rPr>
          <w:rFonts w:ascii="Times New Roman" w:hAnsi="Times New Roman" w:cs="Times New Roman"/>
          <w:spacing w:val="-2"/>
          <w:sz w:val="24"/>
          <w:szCs w:val="24"/>
        </w:rPr>
        <w:t>.</w:t>
      </w:r>
    </w:p>
    <w:p w14:paraId="08FC713D" w14:textId="04089283" w:rsidR="00284BC2" w:rsidRPr="001839B7" w:rsidRDefault="002356AB"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r w:rsidRPr="002356AB">
        <w:rPr>
          <w:rFonts w:ascii="Times New Roman" w:hAnsi="Times New Roman" w:cs="Times New Roman"/>
          <w:sz w:val="24"/>
          <w:szCs w:val="24"/>
        </w:rPr>
        <w:lastRenderedPageBreak/>
        <w:t xml:space="preserve">MMP-9 (gelatinase B) also progresses type IV collagen and is present in many different cancer types, including malignant cancer and the stroma around it. Similar to gelatinase A, gelatinase B is present in both hyperplastic endometrium and endometrial carcinoma in addition to typical endometrium in the proliferative phase </w:t>
      </w:r>
      <w:r w:rsidR="0015197D">
        <w:rPr>
          <w:rFonts w:ascii="Times New Roman" w:hAnsi="Times New Roman" w:cs="Times New Roman"/>
          <w:sz w:val="24"/>
          <w:szCs w:val="24"/>
        </w:rPr>
        <w:t>[</w:t>
      </w:r>
      <w:r w:rsidRPr="002356AB">
        <w:rPr>
          <w:rFonts w:ascii="Times New Roman" w:hAnsi="Times New Roman" w:cs="Times New Roman"/>
          <w:sz w:val="24"/>
          <w:szCs w:val="24"/>
        </w:rPr>
        <w:t xml:space="preserve">Graesslin </w:t>
      </w:r>
      <w:r w:rsidR="00ED128B">
        <w:rPr>
          <w:rFonts w:ascii="Times New Roman" w:hAnsi="Times New Roman" w:cs="Times New Roman"/>
          <w:sz w:val="24"/>
          <w:szCs w:val="24"/>
        </w:rPr>
        <w:t xml:space="preserve">et al., </w:t>
      </w:r>
      <w:r w:rsidRPr="002356AB">
        <w:rPr>
          <w:rFonts w:ascii="Times New Roman" w:hAnsi="Times New Roman" w:cs="Times New Roman"/>
          <w:sz w:val="24"/>
          <w:szCs w:val="24"/>
        </w:rPr>
        <w:t>2006</w:t>
      </w:r>
      <w:r w:rsidR="0015197D">
        <w:rPr>
          <w:rFonts w:ascii="Times New Roman" w:hAnsi="Times New Roman" w:cs="Times New Roman"/>
          <w:sz w:val="24"/>
          <w:szCs w:val="24"/>
        </w:rPr>
        <w:t>]</w:t>
      </w:r>
      <w:r w:rsidRPr="002356AB">
        <w:rPr>
          <w:rFonts w:ascii="Times New Roman" w:hAnsi="Times New Roman" w:cs="Times New Roman"/>
          <w:sz w:val="24"/>
          <w:szCs w:val="24"/>
        </w:rPr>
        <w:t>. As a result, MMP-2 and MMP-9, among other MMPs, demonstrated to be particularly significant factors in the development and invasion of endometrial cancer</w:t>
      </w:r>
      <w:r>
        <w:rPr>
          <w:rFonts w:ascii="Times New Roman" w:hAnsi="Times New Roman" w:cs="Times New Roman"/>
          <w:sz w:val="24"/>
          <w:szCs w:val="24"/>
        </w:rPr>
        <w:t xml:space="preserve"> </w:t>
      </w:r>
      <w:r w:rsidR="0015197D">
        <w:rPr>
          <w:rFonts w:ascii="Times New Roman" w:hAnsi="Times New Roman" w:cs="Times New Roman"/>
          <w:sz w:val="24"/>
          <w:szCs w:val="24"/>
        </w:rPr>
        <w:t>[</w:t>
      </w:r>
      <w:r w:rsidR="00284BC2" w:rsidRPr="0015197D">
        <w:rPr>
          <w:rFonts w:ascii="Times New Roman" w:eastAsia="AdvP4DF60E" w:hAnsi="Times New Roman" w:cs="Times New Roman"/>
          <w:sz w:val="24"/>
          <w:szCs w:val="24"/>
        </w:rPr>
        <w:t xml:space="preserve">Amalinei </w:t>
      </w:r>
      <w:r w:rsidR="00ED128B" w:rsidRPr="0015197D">
        <w:rPr>
          <w:rFonts w:ascii="Times New Roman" w:eastAsia="AdvP4DF60E" w:hAnsi="Times New Roman" w:cs="Times New Roman"/>
          <w:sz w:val="24"/>
          <w:szCs w:val="24"/>
        </w:rPr>
        <w:t>et al.,</w:t>
      </w:r>
      <w:r w:rsidR="00ED128B">
        <w:rPr>
          <w:rFonts w:ascii="Times New Roman" w:eastAsia="AdvP4DF60E" w:hAnsi="Times New Roman" w:cs="Times New Roman"/>
          <w:i/>
          <w:sz w:val="24"/>
          <w:szCs w:val="24"/>
        </w:rPr>
        <w:t xml:space="preserve"> </w:t>
      </w:r>
      <w:r w:rsidR="00284BC2" w:rsidRPr="001839B7">
        <w:rPr>
          <w:rFonts w:ascii="Times New Roman" w:eastAsia="AdvP4DF60E" w:hAnsi="Times New Roman" w:cs="Times New Roman"/>
          <w:sz w:val="24"/>
          <w:szCs w:val="24"/>
        </w:rPr>
        <w:t>2011</w:t>
      </w:r>
      <w:r w:rsidR="0015197D">
        <w:rPr>
          <w:rFonts w:ascii="Times New Roman" w:eastAsia="AdvP4DF60E" w:hAnsi="Times New Roman" w:cs="Times New Roman"/>
          <w:sz w:val="24"/>
          <w:szCs w:val="24"/>
        </w:rPr>
        <w:t>]</w:t>
      </w:r>
      <w:r w:rsidR="00284BC2" w:rsidRPr="001839B7">
        <w:rPr>
          <w:rFonts w:ascii="Times New Roman" w:hAnsi="Times New Roman" w:cs="Times New Roman"/>
          <w:sz w:val="24"/>
          <w:szCs w:val="24"/>
        </w:rPr>
        <w:t>.</w:t>
      </w:r>
    </w:p>
    <w:p w14:paraId="0419ADC3"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Table 5. Functions of MMP</w:t>
      </w:r>
    </w:p>
    <w:tbl>
      <w:tblPr>
        <w:tblStyle w:val="TableGrid"/>
        <w:tblW w:w="5000" w:type="pct"/>
        <w:tblLook w:val="04A0" w:firstRow="1" w:lastRow="0" w:firstColumn="1" w:lastColumn="0" w:noHBand="0" w:noVBand="1"/>
      </w:tblPr>
      <w:tblGrid>
        <w:gridCol w:w="3359"/>
        <w:gridCol w:w="2826"/>
        <w:gridCol w:w="2831"/>
      </w:tblGrid>
      <w:tr w:rsidR="00284BC2" w:rsidRPr="001839B7" w14:paraId="6A822139" w14:textId="77777777" w:rsidTr="00EE75F5">
        <w:tc>
          <w:tcPr>
            <w:tcW w:w="1863" w:type="pct"/>
          </w:tcPr>
          <w:p w14:paraId="682BC8E9"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b/>
                <w:sz w:val="24"/>
                <w:szCs w:val="24"/>
              </w:rPr>
            </w:pPr>
            <w:r w:rsidRPr="001839B7">
              <w:rPr>
                <w:rFonts w:ascii="Times New Roman" w:hAnsi="Times New Roman" w:cs="Times New Roman"/>
                <w:b/>
                <w:sz w:val="24"/>
                <w:szCs w:val="24"/>
              </w:rPr>
              <w:t>Physiological function</w:t>
            </w:r>
          </w:p>
        </w:tc>
        <w:tc>
          <w:tcPr>
            <w:tcW w:w="3137" w:type="pct"/>
            <w:gridSpan w:val="2"/>
          </w:tcPr>
          <w:p w14:paraId="72C77FE3"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b/>
                <w:sz w:val="24"/>
                <w:szCs w:val="24"/>
              </w:rPr>
            </w:pPr>
            <w:r w:rsidRPr="001839B7">
              <w:rPr>
                <w:rFonts w:ascii="Times New Roman" w:hAnsi="Times New Roman" w:cs="Times New Roman"/>
                <w:b/>
                <w:sz w:val="24"/>
                <w:szCs w:val="24"/>
              </w:rPr>
              <w:t>Pathological function</w:t>
            </w:r>
          </w:p>
        </w:tc>
      </w:tr>
      <w:tr w:rsidR="00284BC2" w:rsidRPr="001839B7" w14:paraId="0EB074DA" w14:textId="77777777" w:rsidTr="00EE75F5">
        <w:tc>
          <w:tcPr>
            <w:tcW w:w="1863" w:type="pct"/>
          </w:tcPr>
          <w:p w14:paraId="1D4167FE"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Angiogenesis</w:t>
            </w:r>
          </w:p>
        </w:tc>
        <w:tc>
          <w:tcPr>
            <w:tcW w:w="1567" w:type="pct"/>
            <w:tcBorders>
              <w:right w:val="single" w:sz="4" w:space="0" w:color="auto"/>
            </w:tcBorders>
          </w:tcPr>
          <w:p w14:paraId="713F3E68"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Arthritis</w:t>
            </w:r>
          </w:p>
        </w:tc>
        <w:tc>
          <w:tcPr>
            <w:tcW w:w="1570" w:type="pct"/>
            <w:tcBorders>
              <w:left w:val="single" w:sz="4" w:space="0" w:color="auto"/>
            </w:tcBorders>
          </w:tcPr>
          <w:p w14:paraId="224A1265"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Various Sclerosis</w:t>
            </w:r>
          </w:p>
        </w:tc>
      </w:tr>
      <w:tr w:rsidR="00284BC2" w:rsidRPr="001839B7" w14:paraId="5D4C50A5" w14:textId="77777777" w:rsidTr="00EE75F5">
        <w:tc>
          <w:tcPr>
            <w:tcW w:w="1863" w:type="pct"/>
          </w:tcPr>
          <w:p w14:paraId="227F7F9A"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Apoptosis</w:t>
            </w:r>
          </w:p>
        </w:tc>
        <w:tc>
          <w:tcPr>
            <w:tcW w:w="1567" w:type="pct"/>
            <w:tcBorders>
              <w:right w:val="single" w:sz="4" w:space="0" w:color="auto"/>
            </w:tcBorders>
          </w:tcPr>
          <w:p w14:paraId="104EF776"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Alzheimers disease</w:t>
            </w:r>
          </w:p>
        </w:tc>
        <w:tc>
          <w:tcPr>
            <w:tcW w:w="1570" w:type="pct"/>
            <w:tcBorders>
              <w:left w:val="single" w:sz="4" w:space="0" w:color="auto"/>
            </w:tcBorders>
          </w:tcPr>
          <w:p w14:paraId="40782C67"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Nephritis</w:t>
            </w:r>
          </w:p>
        </w:tc>
      </w:tr>
      <w:tr w:rsidR="00284BC2" w:rsidRPr="001839B7" w14:paraId="643647AB" w14:textId="77777777" w:rsidTr="00EE75F5">
        <w:tc>
          <w:tcPr>
            <w:tcW w:w="1863" w:type="pct"/>
          </w:tcPr>
          <w:p w14:paraId="53BEB2FD"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Blastocyst implantation</w:t>
            </w:r>
          </w:p>
        </w:tc>
        <w:tc>
          <w:tcPr>
            <w:tcW w:w="1567" w:type="pct"/>
            <w:tcBorders>
              <w:right w:val="single" w:sz="4" w:space="0" w:color="auto"/>
            </w:tcBorders>
          </w:tcPr>
          <w:p w14:paraId="55E58713"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Atherosclerosis</w:t>
            </w:r>
          </w:p>
        </w:tc>
        <w:tc>
          <w:tcPr>
            <w:tcW w:w="1570" w:type="pct"/>
            <w:tcBorders>
              <w:left w:val="single" w:sz="4" w:space="0" w:color="auto"/>
            </w:tcBorders>
          </w:tcPr>
          <w:p w14:paraId="617BC4B5"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Neurological disease</w:t>
            </w:r>
          </w:p>
        </w:tc>
      </w:tr>
      <w:tr w:rsidR="00284BC2" w:rsidRPr="001839B7" w14:paraId="7E8C7433" w14:textId="77777777" w:rsidTr="00EE75F5">
        <w:trPr>
          <w:trHeight w:val="730"/>
        </w:trPr>
        <w:tc>
          <w:tcPr>
            <w:tcW w:w="1863" w:type="pct"/>
          </w:tcPr>
          <w:p w14:paraId="116844E3"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Bone remodeling</w:t>
            </w:r>
          </w:p>
        </w:tc>
        <w:tc>
          <w:tcPr>
            <w:tcW w:w="1567" w:type="pct"/>
            <w:tcBorders>
              <w:right w:val="single" w:sz="4" w:space="0" w:color="auto"/>
            </w:tcBorders>
          </w:tcPr>
          <w:p w14:paraId="6827832B"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 xml:space="preserve">Break down of blood-brain barrier </w:t>
            </w:r>
          </w:p>
        </w:tc>
        <w:tc>
          <w:tcPr>
            <w:tcW w:w="1570" w:type="pct"/>
            <w:tcBorders>
              <w:left w:val="single" w:sz="4" w:space="0" w:color="auto"/>
            </w:tcBorders>
          </w:tcPr>
          <w:p w14:paraId="4EDFE622"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Osteoarthritis</w:t>
            </w:r>
          </w:p>
        </w:tc>
      </w:tr>
      <w:tr w:rsidR="00284BC2" w:rsidRPr="001839B7" w14:paraId="6745C650" w14:textId="77777777" w:rsidTr="00EE75F5">
        <w:tc>
          <w:tcPr>
            <w:tcW w:w="1863" w:type="pct"/>
          </w:tcPr>
          <w:p w14:paraId="6D52BE2A"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Cervical dilation</w:t>
            </w:r>
          </w:p>
        </w:tc>
        <w:tc>
          <w:tcPr>
            <w:tcW w:w="1567" w:type="pct"/>
            <w:tcBorders>
              <w:right w:val="single" w:sz="4" w:space="0" w:color="auto"/>
            </w:tcBorders>
          </w:tcPr>
          <w:p w14:paraId="1A5631FE"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Cancer</w:t>
            </w:r>
          </w:p>
        </w:tc>
        <w:tc>
          <w:tcPr>
            <w:tcW w:w="1570" w:type="pct"/>
            <w:tcBorders>
              <w:left w:val="single" w:sz="4" w:space="0" w:color="auto"/>
            </w:tcBorders>
          </w:tcPr>
          <w:p w14:paraId="77C8A3EE"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Periodontal disease</w:t>
            </w:r>
          </w:p>
        </w:tc>
      </w:tr>
      <w:tr w:rsidR="00284BC2" w:rsidRPr="001839B7" w14:paraId="1BB83F07" w14:textId="77777777" w:rsidTr="00EE75F5">
        <w:tc>
          <w:tcPr>
            <w:tcW w:w="1863" w:type="pct"/>
          </w:tcPr>
          <w:p w14:paraId="7AD5D7C8"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Embryonic development</w:t>
            </w:r>
          </w:p>
        </w:tc>
        <w:tc>
          <w:tcPr>
            <w:tcW w:w="1567" w:type="pct"/>
            <w:tcBorders>
              <w:right w:val="single" w:sz="4" w:space="0" w:color="auto"/>
            </w:tcBorders>
          </w:tcPr>
          <w:p w14:paraId="78C402FF"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Cardiovascular disease</w:t>
            </w:r>
          </w:p>
        </w:tc>
        <w:tc>
          <w:tcPr>
            <w:tcW w:w="1570" w:type="pct"/>
            <w:tcBorders>
              <w:left w:val="single" w:sz="4" w:space="0" w:color="auto"/>
            </w:tcBorders>
          </w:tcPr>
          <w:p w14:paraId="12B3EDD8"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Rheumatoid</w:t>
            </w:r>
          </w:p>
        </w:tc>
      </w:tr>
      <w:tr w:rsidR="00284BC2" w:rsidRPr="001839B7" w14:paraId="52983328" w14:textId="77777777" w:rsidTr="00EE75F5">
        <w:trPr>
          <w:trHeight w:val="726"/>
        </w:trPr>
        <w:tc>
          <w:tcPr>
            <w:tcW w:w="1863" w:type="pct"/>
          </w:tcPr>
          <w:p w14:paraId="0656B4EE"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Endometrial cycling</w:t>
            </w:r>
          </w:p>
        </w:tc>
        <w:tc>
          <w:tcPr>
            <w:tcW w:w="1567" w:type="pct"/>
            <w:tcBorders>
              <w:right w:val="single" w:sz="4" w:space="0" w:color="auto"/>
            </w:tcBorders>
          </w:tcPr>
          <w:p w14:paraId="4767C994"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Central nervous system disorder</w:t>
            </w:r>
          </w:p>
        </w:tc>
        <w:tc>
          <w:tcPr>
            <w:tcW w:w="1570" w:type="pct"/>
            <w:tcBorders>
              <w:left w:val="single" w:sz="4" w:space="0" w:color="auto"/>
            </w:tcBorders>
          </w:tcPr>
          <w:p w14:paraId="73AD18AA"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Skin ulceration</w:t>
            </w:r>
          </w:p>
        </w:tc>
      </w:tr>
      <w:tr w:rsidR="00284BC2" w:rsidRPr="001839B7" w14:paraId="01C8D8A5" w14:textId="77777777" w:rsidTr="00EE75F5">
        <w:tc>
          <w:tcPr>
            <w:tcW w:w="1863" w:type="pct"/>
          </w:tcPr>
          <w:p w14:paraId="33EF7A0C"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Hair follicle cycling</w:t>
            </w:r>
          </w:p>
        </w:tc>
        <w:tc>
          <w:tcPr>
            <w:tcW w:w="1567" w:type="pct"/>
            <w:tcBorders>
              <w:right w:val="single" w:sz="4" w:space="0" w:color="auto"/>
            </w:tcBorders>
          </w:tcPr>
          <w:p w14:paraId="0529E326"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 xml:space="preserve">Corneal ulceration </w:t>
            </w:r>
          </w:p>
        </w:tc>
        <w:tc>
          <w:tcPr>
            <w:tcW w:w="1570" w:type="pct"/>
            <w:tcBorders>
              <w:left w:val="single" w:sz="4" w:space="0" w:color="auto"/>
            </w:tcBorders>
          </w:tcPr>
          <w:p w14:paraId="32FBD28A" w14:textId="77777777" w:rsidR="00284BC2" w:rsidRPr="001839B7"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1839B7">
              <w:rPr>
                <w:rFonts w:ascii="Times New Roman" w:hAnsi="Times New Roman" w:cs="Times New Roman"/>
                <w:sz w:val="24"/>
                <w:szCs w:val="24"/>
              </w:rPr>
              <w:t>Sorbys fundus disease</w:t>
            </w:r>
          </w:p>
        </w:tc>
      </w:tr>
    </w:tbl>
    <w:p w14:paraId="3FABD3EC"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VEGF</w:t>
      </w:r>
    </w:p>
    <w:p w14:paraId="3DEDE95D" w14:textId="3247BC7B" w:rsidR="00284BC2" w:rsidRPr="001839B7" w:rsidRDefault="000405E2"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r w:rsidRPr="000405E2">
        <w:rPr>
          <w:rFonts w:ascii="Times New Roman" w:hAnsi="Times New Roman" w:cs="Times New Roman"/>
          <w:sz w:val="24"/>
          <w:szCs w:val="24"/>
        </w:rPr>
        <w:t xml:space="preserve">Vasculogenesis and angiogenesis are mediated by vascular endothelial growth factors. The development of new blood vessels, the spread of solid tumors, and metastatic growth are all well-established processes </w:t>
      </w:r>
      <w:r w:rsidR="00AA4C30">
        <w:rPr>
          <w:rFonts w:ascii="Times New Roman" w:hAnsi="Times New Roman" w:cs="Times New Roman"/>
          <w:sz w:val="24"/>
          <w:szCs w:val="24"/>
        </w:rPr>
        <w:t>[</w:t>
      </w:r>
      <w:r w:rsidRPr="000405E2">
        <w:rPr>
          <w:rFonts w:ascii="Times New Roman" w:hAnsi="Times New Roman" w:cs="Times New Roman"/>
          <w:sz w:val="24"/>
          <w:szCs w:val="24"/>
        </w:rPr>
        <w:t>Bergers and Benjamin, 2003</w:t>
      </w:r>
      <w:r w:rsidR="00AA4C30">
        <w:rPr>
          <w:rFonts w:ascii="Times New Roman" w:hAnsi="Times New Roman" w:cs="Times New Roman"/>
          <w:sz w:val="24"/>
          <w:szCs w:val="24"/>
        </w:rPr>
        <w:t>]</w:t>
      </w:r>
      <w:r w:rsidRPr="000405E2">
        <w:rPr>
          <w:rFonts w:ascii="Times New Roman" w:hAnsi="Times New Roman" w:cs="Times New Roman"/>
          <w:sz w:val="24"/>
          <w:szCs w:val="24"/>
        </w:rPr>
        <w:t xml:space="preserve">. Two vascular endothelium-expressed high-affinity transmembrane tyrosine kinase receptors, VEGFR-1 and VEGFR-2, inhibit VEGF </w:t>
      </w:r>
      <w:r w:rsidR="00AA4C30">
        <w:rPr>
          <w:rFonts w:ascii="Times New Roman" w:hAnsi="Times New Roman" w:cs="Times New Roman"/>
          <w:sz w:val="24"/>
          <w:szCs w:val="24"/>
        </w:rPr>
        <w:t>[</w:t>
      </w:r>
      <w:r w:rsidRPr="000405E2">
        <w:rPr>
          <w:rFonts w:ascii="Times New Roman" w:hAnsi="Times New Roman" w:cs="Times New Roman"/>
          <w:sz w:val="24"/>
          <w:szCs w:val="24"/>
        </w:rPr>
        <w:t xml:space="preserve">Talvensaari </w:t>
      </w:r>
      <w:r w:rsidR="00ED128B">
        <w:rPr>
          <w:rFonts w:ascii="Times New Roman" w:hAnsi="Times New Roman" w:cs="Times New Roman"/>
          <w:sz w:val="24"/>
          <w:szCs w:val="24"/>
        </w:rPr>
        <w:t>et al.,</w:t>
      </w:r>
      <w:r w:rsidR="00AA4C30">
        <w:rPr>
          <w:rFonts w:ascii="Times New Roman" w:hAnsi="Times New Roman" w:cs="Times New Roman"/>
          <w:sz w:val="24"/>
          <w:szCs w:val="24"/>
        </w:rPr>
        <w:t xml:space="preserve"> </w:t>
      </w:r>
      <w:r w:rsidRPr="000405E2">
        <w:rPr>
          <w:rFonts w:ascii="Times New Roman" w:hAnsi="Times New Roman" w:cs="Times New Roman"/>
          <w:sz w:val="24"/>
          <w:szCs w:val="24"/>
        </w:rPr>
        <w:t>2005</w:t>
      </w:r>
      <w:r w:rsidR="00AA4C30">
        <w:rPr>
          <w:rFonts w:ascii="Times New Roman" w:hAnsi="Times New Roman" w:cs="Times New Roman"/>
          <w:sz w:val="24"/>
          <w:szCs w:val="24"/>
        </w:rPr>
        <w:t>]</w:t>
      </w:r>
      <w:r w:rsidRPr="000405E2">
        <w:rPr>
          <w:rFonts w:ascii="Times New Roman" w:hAnsi="Times New Roman" w:cs="Times New Roman"/>
          <w:sz w:val="24"/>
          <w:szCs w:val="24"/>
        </w:rPr>
        <w:t xml:space="preserve">. Numerous cancers, including colorectal, head and neck, ovarian, and endometrial cancer, have tumors that grow and metastasize more quickly when VEGF is overexpressed in the tumor cells </w:t>
      </w:r>
      <w:r w:rsidR="00AA4C30">
        <w:rPr>
          <w:rFonts w:ascii="Times New Roman" w:hAnsi="Times New Roman" w:cs="Times New Roman"/>
          <w:sz w:val="24"/>
          <w:szCs w:val="24"/>
        </w:rPr>
        <w:t>[</w:t>
      </w:r>
      <w:r w:rsidR="00284BC2" w:rsidRPr="001839B7">
        <w:rPr>
          <w:rFonts w:ascii="Times New Roman" w:hAnsi="Times New Roman" w:cs="Times New Roman"/>
          <w:sz w:val="24"/>
          <w:szCs w:val="24"/>
        </w:rPr>
        <w:t xml:space="preserve">Sivridis </w:t>
      </w:r>
      <w:r w:rsidR="00ED128B" w:rsidRPr="00AA4C30">
        <w:rPr>
          <w:rFonts w:ascii="Times New Roman" w:hAnsi="Times New Roman" w:cs="Times New Roman"/>
          <w:iCs/>
          <w:sz w:val="24"/>
          <w:szCs w:val="24"/>
        </w:rPr>
        <w:t xml:space="preserve">et al., </w:t>
      </w:r>
      <w:r w:rsidR="00284BC2" w:rsidRPr="00AA4C30">
        <w:rPr>
          <w:rFonts w:ascii="Times New Roman" w:hAnsi="Times New Roman" w:cs="Times New Roman"/>
          <w:iCs/>
          <w:sz w:val="24"/>
          <w:szCs w:val="24"/>
        </w:rPr>
        <w:t>2</w:t>
      </w:r>
      <w:r w:rsidR="00284BC2" w:rsidRPr="001839B7">
        <w:rPr>
          <w:rFonts w:ascii="Times New Roman" w:hAnsi="Times New Roman" w:cs="Times New Roman"/>
          <w:sz w:val="24"/>
          <w:szCs w:val="24"/>
        </w:rPr>
        <w:t>002</w:t>
      </w:r>
      <w:r w:rsidR="00AA4C30">
        <w:rPr>
          <w:rFonts w:ascii="Times New Roman" w:hAnsi="Times New Roman" w:cs="Times New Roman"/>
          <w:sz w:val="24"/>
          <w:szCs w:val="24"/>
        </w:rPr>
        <w:t>]</w:t>
      </w:r>
      <w:r w:rsidR="00284BC2" w:rsidRPr="001839B7">
        <w:rPr>
          <w:rFonts w:ascii="Times New Roman" w:hAnsi="Times New Roman" w:cs="Times New Roman"/>
          <w:sz w:val="24"/>
          <w:szCs w:val="24"/>
        </w:rPr>
        <w:t xml:space="preserve">. </w:t>
      </w:r>
    </w:p>
    <w:p w14:paraId="6B1E6C73"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Oncogene and tumour suppressor genes</w:t>
      </w:r>
    </w:p>
    <w:p w14:paraId="0933658D"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PTEN</w:t>
      </w:r>
    </w:p>
    <w:p w14:paraId="13CB89BF" w14:textId="1A6D613B" w:rsidR="00284BC2" w:rsidRPr="001839B7" w:rsidRDefault="00A946BE"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r w:rsidRPr="00A946BE">
        <w:rPr>
          <w:rFonts w:ascii="Times New Roman" w:hAnsi="Times New Roman" w:cs="Times New Roman"/>
          <w:sz w:val="24"/>
          <w:szCs w:val="24"/>
        </w:rPr>
        <w:t xml:space="preserve">Phospho Along with the tensin cytoskeletal proteins, tensin homologue genes have formations of protein tyrosine phosphatases. Other proteins' serine, threonine, and tyrosine </w:t>
      </w:r>
      <w:r w:rsidRPr="00A946BE">
        <w:rPr>
          <w:rFonts w:ascii="Times New Roman" w:hAnsi="Times New Roman" w:cs="Times New Roman"/>
          <w:sz w:val="24"/>
          <w:szCs w:val="24"/>
        </w:rPr>
        <w:lastRenderedPageBreak/>
        <w:t>residues are dephosphorylated in vitro by PTEN. The cephalic and caudal regions exhibit increased cell proliferation and overgrowth due to the PTEN gene. PTEN is primarily active in the female reproductive tract when proliferative endometrial lesions have developed</w:t>
      </w:r>
      <w:r>
        <w:rPr>
          <w:rFonts w:ascii="Times New Roman" w:hAnsi="Times New Roman" w:cs="Times New Roman"/>
          <w:sz w:val="24"/>
          <w:szCs w:val="24"/>
        </w:rPr>
        <w:t xml:space="preserve"> </w:t>
      </w:r>
      <w:r w:rsidR="00965F87">
        <w:rPr>
          <w:rFonts w:ascii="Times New Roman" w:hAnsi="Times New Roman" w:cs="Times New Roman"/>
          <w:sz w:val="24"/>
          <w:szCs w:val="24"/>
        </w:rPr>
        <w:t>[</w:t>
      </w:r>
      <w:r w:rsidR="00284BC2" w:rsidRPr="001839B7">
        <w:rPr>
          <w:rFonts w:ascii="Times New Roman" w:hAnsi="Times New Roman" w:cs="Times New Roman"/>
          <w:iCs/>
          <w:sz w:val="24"/>
          <w:szCs w:val="24"/>
        </w:rPr>
        <w:t xml:space="preserve">Hongbo </w:t>
      </w:r>
      <w:r w:rsidR="00ED128B" w:rsidRPr="00965F87">
        <w:rPr>
          <w:rFonts w:ascii="Times New Roman" w:hAnsi="Times New Roman" w:cs="Times New Roman"/>
          <w:sz w:val="24"/>
          <w:szCs w:val="24"/>
        </w:rPr>
        <w:t>et al.,</w:t>
      </w:r>
      <w:r w:rsidR="00ED128B">
        <w:rPr>
          <w:rFonts w:ascii="Times New Roman" w:hAnsi="Times New Roman" w:cs="Times New Roman"/>
          <w:i/>
          <w:iCs/>
          <w:sz w:val="24"/>
          <w:szCs w:val="24"/>
        </w:rPr>
        <w:t xml:space="preserve"> </w:t>
      </w:r>
      <w:r w:rsidR="00284BC2" w:rsidRPr="001839B7">
        <w:rPr>
          <w:rFonts w:ascii="Times New Roman" w:hAnsi="Times New Roman" w:cs="Times New Roman"/>
          <w:iCs/>
          <w:sz w:val="24"/>
          <w:szCs w:val="24"/>
        </w:rPr>
        <w:t>2001</w:t>
      </w:r>
      <w:r w:rsidR="00965F87">
        <w:rPr>
          <w:rFonts w:ascii="Times New Roman" w:hAnsi="Times New Roman" w:cs="Times New Roman"/>
          <w:iCs/>
          <w:sz w:val="24"/>
          <w:szCs w:val="24"/>
        </w:rPr>
        <w:t>]</w:t>
      </w:r>
      <w:r w:rsidR="00284BC2" w:rsidRPr="001839B7">
        <w:rPr>
          <w:rFonts w:ascii="Times New Roman" w:hAnsi="Times New Roman" w:cs="Times New Roman"/>
          <w:sz w:val="24"/>
          <w:szCs w:val="24"/>
        </w:rPr>
        <w:t xml:space="preserve">. </w:t>
      </w:r>
      <w:r w:rsidR="00D549B5" w:rsidRPr="00D549B5">
        <w:rPr>
          <w:rFonts w:ascii="Times New Roman" w:hAnsi="Times New Roman" w:cs="Times New Roman"/>
          <w:sz w:val="24"/>
          <w:szCs w:val="24"/>
        </w:rPr>
        <w:t xml:space="preserve">Human cancers like melanoma, glioma, prostate, and endometrial carcinoma are used to divert the PTEN gene through deletion or mutation. According to George </w:t>
      </w:r>
      <w:r w:rsidR="00156FF0">
        <w:rPr>
          <w:rFonts w:ascii="Times New Roman" w:hAnsi="Times New Roman" w:cs="Times New Roman"/>
          <w:sz w:val="24"/>
          <w:szCs w:val="24"/>
        </w:rPr>
        <w:t>et al.,</w:t>
      </w:r>
      <w:r w:rsidR="00D549B5" w:rsidRPr="00D549B5">
        <w:rPr>
          <w:rFonts w:ascii="Times New Roman" w:hAnsi="Times New Roman" w:cs="Times New Roman"/>
          <w:sz w:val="24"/>
          <w:szCs w:val="24"/>
        </w:rPr>
        <w:t xml:space="preserve"> (2000), PTEN inactivation occurs at the beginning stages of endometrial carcinogenesis and leads to the development of cytologic atypia in hyperplasia. Its primary effects include inhibition of growth factor-stimulated MAPK signaling pathway, up-regulation of cyclin dependent kinase, pro-apoptotic activity involving caspases, down-regulation of anti-apoptotic protein Bcl-2, and up-regulation of PI3K signaling pathway</w:t>
      </w:r>
      <w:r w:rsidR="00D549B5">
        <w:rPr>
          <w:rFonts w:ascii="Times New Roman" w:hAnsi="Times New Roman" w:cs="Times New Roman"/>
          <w:sz w:val="24"/>
          <w:szCs w:val="24"/>
        </w:rPr>
        <w:t xml:space="preserve"> </w:t>
      </w:r>
      <w:r w:rsidR="00965F87">
        <w:rPr>
          <w:rFonts w:ascii="Times New Roman" w:hAnsi="Times New Roman" w:cs="Times New Roman"/>
          <w:sz w:val="24"/>
          <w:szCs w:val="24"/>
        </w:rPr>
        <w:t>[</w:t>
      </w:r>
      <w:r w:rsidR="00284BC2" w:rsidRPr="001839B7">
        <w:rPr>
          <w:rFonts w:ascii="Times New Roman" w:hAnsi="Times New Roman" w:cs="Times New Roman"/>
          <w:sz w:val="24"/>
          <w:szCs w:val="24"/>
        </w:rPr>
        <w:t xml:space="preserve">Wu </w:t>
      </w:r>
      <w:r w:rsidR="00ED128B" w:rsidRPr="00965F87">
        <w:rPr>
          <w:rFonts w:ascii="Times New Roman" w:hAnsi="Times New Roman" w:cs="Times New Roman"/>
          <w:iCs/>
          <w:sz w:val="24"/>
          <w:szCs w:val="24"/>
        </w:rPr>
        <w:t xml:space="preserve">et al., </w:t>
      </w:r>
      <w:r w:rsidR="00284BC2" w:rsidRPr="001839B7">
        <w:rPr>
          <w:rFonts w:ascii="Times New Roman" w:hAnsi="Times New Roman" w:cs="Times New Roman"/>
          <w:sz w:val="24"/>
          <w:szCs w:val="24"/>
        </w:rPr>
        <w:t>2003</w:t>
      </w:r>
      <w:r w:rsidR="00965F87">
        <w:rPr>
          <w:rFonts w:ascii="Times New Roman" w:hAnsi="Times New Roman" w:cs="Times New Roman"/>
          <w:sz w:val="24"/>
          <w:szCs w:val="24"/>
        </w:rPr>
        <w:t>]</w:t>
      </w:r>
      <w:r w:rsidR="00284BC2" w:rsidRPr="001839B7">
        <w:rPr>
          <w:rFonts w:ascii="Times New Roman" w:hAnsi="Times New Roman" w:cs="Times New Roman"/>
          <w:sz w:val="24"/>
          <w:szCs w:val="24"/>
        </w:rPr>
        <w:t>.</w:t>
      </w:r>
    </w:p>
    <w:p w14:paraId="4D001EF7" w14:textId="77777777" w:rsidR="00D35C44" w:rsidRDefault="00D35C44"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
    <w:p w14:paraId="02702EB8" w14:textId="6354F321"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PI3K</w:t>
      </w:r>
    </w:p>
    <w:p w14:paraId="24BD0384" w14:textId="78AEDB1B" w:rsidR="00284BC2" w:rsidRPr="001839B7" w:rsidRDefault="0029416F"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r w:rsidRPr="0029416F">
        <w:rPr>
          <w:rFonts w:ascii="Times New Roman" w:hAnsi="Times New Roman" w:cs="Times New Roman"/>
          <w:sz w:val="24"/>
          <w:szCs w:val="24"/>
        </w:rPr>
        <w:t xml:space="preserve">In cellular growth, transformation, adhesion, survival, motility, and Ras-mediated cell proliferation, the phosphatidylinositol 3-kinase (PI3K) pathway is crucial. In several tumor lineages, including EC, aberrations at multiple nodes frequently initiate the PI3K signals downstream from receptor tyrosine kinases (RTK) </w:t>
      </w:r>
      <w:r w:rsidR="001B5A17">
        <w:rPr>
          <w:rFonts w:ascii="Times New Roman" w:hAnsi="Times New Roman" w:cs="Times New Roman"/>
          <w:sz w:val="24"/>
          <w:szCs w:val="24"/>
        </w:rPr>
        <w:t>[</w:t>
      </w:r>
      <w:r w:rsidRPr="0029416F">
        <w:rPr>
          <w:rFonts w:ascii="Times New Roman" w:hAnsi="Times New Roman" w:cs="Times New Roman"/>
          <w:sz w:val="24"/>
          <w:szCs w:val="24"/>
        </w:rPr>
        <w:t xml:space="preserve">Hennessy </w:t>
      </w:r>
      <w:r w:rsidR="00ED128B">
        <w:rPr>
          <w:rFonts w:ascii="Times New Roman" w:hAnsi="Times New Roman" w:cs="Times New Roman"/>
          <w:sz w:val="24"/>
          <w:szCs w:val="24"/>
        </w:rPr>
        <w:t>et al.,</w:t>
      </w:r>
      <w:r w:rsidR="001B5A17">
        <w:rPr>
          <w:rFonts w:ascii="Times New Roman" w:hAnsi="Times New Roman" w:cs="Times New Roman"/>
          <w:sz w:val="24"/>
          <w:szCs w:val="24"/>
        </w:rPr>
        <w:t xml:space="preserve"> </w:t>
      </w:r>
      <w:r w:rsidRPr="0029416F">
        <w:rPr>
          <w:rFonts w:ascii="Times New Roman" w:hAnsi="Times New Roman" w:cs="Times New Roman"/>
          <w:sz w:val="24"/>
          <w:szCs w:val="24"/>
        </w:rPr>
        <w:t>2005</w:t>
      </w:r>
      <w:r w:rsidR="001B5A17">
        <w:rPr>
          <w:rFonts w:ascii="Times New Roman" w:hAnsi="Times New Roman" w:cs="Times New Roman"/>
          <w:sz w:val="24"/>
          <w:szCs w:val="24"/>
        </w:rPr>
        <w:t>]</w:t>
      </w:r>
      <w:r w:rsidRPr="0029416F">
        <w:rPr>
          <w:rFonts w:ascii="Times New Roman" w:hAnsi="Times New Roman" w:cs="Times New Roman"/>
          <w:sz w:val="24"/>
          <w:szCs w:val="24"/>
        </w:rPr>
        <w:t>. When PTEN activates PI3K, phosphatidylinositol 3,4,5-triphosphate (PIP3) is produced from phosphatidylinositol 4,5-bisphosphate (PIP2) as a second messenger. Ras/mitogen-activated protein kinase (MAPK) and PI3K pathways can interact in both directions, suggesting that the two pathways may work together to determine functional outcomes</w:t>
      </w:r>
      <w:r>
        <w:rPr>
          <w:rFonts w:ascii="Times New Roman" w:hAnsi="Times New Roman" w:cs="Times New Roman"/>
          <w:sz w:val="24"/>
          <w:szCs w:val="24"/>
        </w:rPr>
        <w:t xml:space="preserve"> </w:t>
      </w:r>
      <w:r w:rsidR="00AD24A7">
        <w:rPr>
          <w:rFonts w:ascii="Times New Roman" w:hAnsi="Times New Roman" w:cs="Times New Roman"/>
          <w:sz w:val="24"/>
          <w:szCs w:val="24"/>
        </w:rPr>
        <w:t>[</w:t>
      </w:r>
      <w:r w:rsidR="00284BC2" w:rsidRPr="001839B7">
        <w:rPr>
          <w:rFonts w:ascii="Times New Roman" w:hAnsi="Times New Roman" w:cs="Times New Roman"/>
          <w:sz w:val="24"/>
          <w:szCs w:val="24"/>
        </w:rPr>
        <w:t xml:space="preserve">Gupta </w:t>
      </w:r>
      <w:r w:rsidR="00ED128B" w:rsidRPr="00AD24A7">
        <w:rPr>
          <w:rFonts w:ascii="Times New Roman" w:hAnsi="Times New Roman" w:cs="Times New Roman"/>
          <w:iCs/>
          <w:sz w:val="24"/>
          <w:szCs w:val="24"/>
        </w:rPr>
        <w:t xml:space="preserve">et al., </w:t>
      </w:r>
      <w:r w:rsidR="00284BC2" w:rsidRPr="00AD24A7">
        <w:rPr>
          <w:rFonts w:ascii="Times New Roman" w:hAnsi="Times New Roman" w:cs="Times New Roman"/>
          <w:iCs/>
          <w:sz w:val="24"/>
          <w:szCs w:val="24"/>
        </w:rPr>
        <w:t>2007</w:t>
      </w:r>
      <w:r w:rsidR="00AD24A7">
        <w:rPr>
          <w:rFonts w:ascii="Times New Roman" w:hAnsi="Times New Roman" w:cs="Times New Roman"/>
          <w:iCs/>
          <w:sz w:val="24"/>
          <w:szCs w:val="24"/>
        </w:rPr>
        <w:t>]</w:t>
      </w:r>
      <w:r w:rsidR="00284BC2" w:rsidRPr="001839B7">
        <w:rPr>
          <w:rFonts w:ascii="Times New Roman" w:hAnsi="Times New Roman" w:cs="Times New Roman"/>
          <w:sz w:val="24"/>
          <w:szCs w:val="24"/>
        </w:rPr>
        <w:t>.</w:t>
      </w:r>
    </w:p>
    <w:p w14:paraId="023C9B0D"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b/>
          <w:bCs/>
          <w:color w:val="1B1B1B"/>
        </w:rPr>
      </w:pPr>
      <w:r w:rsidRPr="001839B7">
        <w:rPr>
          <w:b/>
          <w:bCs/>
          <w:color w:val="1B1B1B"/>
        </w:rPr>
        <w:t>KRAS</w:t>
      </w:r>
    </w:p>
    <w:p w14:paraId="0D98A20D" w14:textId="7D1BBC5B" w:rsidR="00ED4A30" w:rsidRPr="001839B7" w:rsidRDefault="00674FB4" w:rsidP="001839B7">
      <w:pPr>
        <w:pStyle w:val="NormalWeb"/>
        <w:shd w:val="clear" w:color="auto" w:fill="FFFFFF"/>
        <w:tabs>
          <w:tab w:val="left" w:pos="90"/>
        </w:tabs>
        <w:spacing w:before="0" w:beforeAutospacing="0" w:after="0" w:afterAutospacing="0" w:line="360" w:lineRule="auto"/>
        <w:jc w:val="both"/>
      </w:pPr>
      <w:r w:rsidRPr="001839B7">
        <w:t xml:space="preserve"> </w:t>
      </w:r>
      <w:r w:rsidR="00ED4A30" w:rsidRPr="001839B7">
        <w:t>A Potential Therapeutic Target for the Treatment of Cancer is KRAS. The most frequently mutated oncogene in human cancer is known as Kirsten rat sarcoma 2 viral oncogene homolog (KRAS). KRAS is a high-priority therapeutic target because the progression of many malignancies depends on its continued expression and signaling.</w:t>
      </w:r>
      <w:r w:rsidRPr="001839B7">
        <w:t xml:space="preserve">           </w:t>
      </w:r>
    </w:p>
    <w:p w14:paraId="12AA93FD" w14:textId="5F651CF7" w:rsidR="00674FB4" w:rsidRPr="001839B7" w:rsidRDefault="00AB5D80" w:rsidP="001839B7">
      <w:pPr>
        <w:pStyle w:val="NormalWeb"/>
        <w:shd w:val="clear" w:color="auto" w:fill="FFFFFF"/>
        <w:tabs>
          <w:tab w:val="left" w:pos="90"/>
        </w:tabs>
        <w:spacing w:before="0" w:beforeAutospacing="0" w:after="0" w:afterAutospacing="0" w:line="360" w:lineRule="auto"/>
        <w:jc w:val="both"/>
      </w:pPr>
      <w:r w:rsidRPr="001839B7">
        <w:t xml:space="preserve">AMG510 (sotorasib), an allele-specific covalent inhibitor of KRAS (G12C) with notable clinical responses in a variety of tumor types, has been approved by the Food and Drug Administration (FDA) [Janes </w:t>
      </w:r>
      <w:r w:rsidR="00ED128B">
        <w:t xml:space="preserve">et al., </w:t>
      </w:r>
      <w:r w:rsidRPr="001839B7">
        <w:t xml:space="preserve">2018]. Additionally, a novel targeted therapy is offered by MRTX1133, a selective non-covalent inhibitor of KRAS (G12D) [Vasan </w:t>
      </w:r>
      <w:r w:rsidR="00ED128B">
        <w:t xml:space="preserve">et al., </w:t>
      </w:r>
      <w:r w:rsidRPr="001839B7">
        <w:t xml:space="preserve">2014]. The next challenge in this new era of KRAS mutant targeting will be to comprehend and circumvent medication resistance processes. In this review, we outline the most recent therapeutic methods for KRAS mutant malignancies and talk about the mechanisms of KRAS mutant therapy </w:t>
      </w:r>
      <w:r w:rsidRPr="001839B7">
        <w:lastRenderedPageBreak/>
        <w:t xml:space="preserve">resistance as well as potential solutions. malignancies caused by the KRAS mutation KRAS mutations are prevalent in a wide range of cancers, including 45% of CRC cases in the US and 49% of CRC cases in China, 90% of pancreatic ductal adenocarcinomas (PDAC) in the US and 89% of LUADs (a subtype of non-small-cell lung cancer) in the US and 13% of LUADs in China [Hofmann </w:t>
      </w:r>
      <w:r w:rsidR="00ED128B">
        <w:t xml:space="preserve">et al., </w:t>
      </w:r>
      <w:r w:rsidRPr="001839B7">
        <w:t xml:space="preserve">2022]. KRAS is made up of two isomers, KRAS4A and KRAS4B, which are produced by the KRAS gene's selective splicing. The mutations KRAS (G12D), KRAS (G12V), KRAS (G12C), KRAS (G13D), KRAS (G12R), and KRAS (G12A) or KRAS wild-type amplification are the most common subtypes of mutant KRAS. The stability of the arginine residue hydrolysis transition state is destroyed by genetic modifications to G12 or G13 [Xue </w:t>
      </w:r>
      <w:r w:rsidR="00ED128B">
        <w:t xml:space="preserve">et al., </w:t>
      </w:r>
      <w:r w:rsidRPr="001839B7">
        <w:t>2020]. KRAS (G12C) mutations are present in 41% of LUAD, while the two most prevalent alleles in CRC and PDAC are KRAS (G12D) and KRAS (G12V). The prevalence of KRAS mutations differs among different types of human malignancies. Notably, PDAC has less copies of other KRAS alleles such G12R. Although KRAS mutations are the cause of the tumor type, the codons and frequency of mutations differ depending on the tissue type.</w:t>
      </w:r>
    </w:p>
    <w:p w14:paraId="34FC1B77" w14:textId="77777777" w:rsidR="00674FB4" w:rsidRPr="001839B7" w:rsidRDefault="00674FB4" w:rsidP="001839B7">
      <w:pPr>
        <w:pStyle w:val="NormalWeb"/>
        <w:shd w:val="clear" w:color="auto" w:fill="FFFFFF"/>
        <w:tabs>
          <w:tab w:val="left" w:pos="90"/>
        </w:tabs>
        <w:spacing w:before="0" w:beforeAutospacing="0" w:after="0" w:afterAutospacing="0" w:line="360" w:lineRule="auto"/>
        <w:jc w:val="both"/>
      </w:pPr>
      <w:r w:rsidRPr="001839B7">
        <w:rPr>
          <w:b/>
          <w:bCs/>
        </w:rPr>
        <w:t>KRAS biology: functions and signalling pathways</w:t>
      </w:r>
      <w:r w:rsidRPr="001839B7">
        <w:t xml:space="preserve"> </w:t>
      </w:r>
    </w:p>
    <w:p w14:paraId="46B673CE" w14:textId="33411B88" w:rsidR="00674FB4" w:rsidRPr="001839B7" w:rsidRDefault="00674FB4" w:rsidP="001839B7">
      <w:pPr>
        <w:pStyle w:val="NormalWeb"/>
        <w:shd w:val="clear" w:color="auto" w:fill="FFFFFF"/>
        <w:tabs>
          <w:tab w:val="left" w:pos="90"/>
        </w:tabs>
        <w:spacing w:before="0" w:beforeAutospacing="0" w:after="0" w:afterAutospacing="0" w:line="360" w:lineRule="auto"/>
        <w:jc w:val="both"/>
      </w:pPr>
      <w:r w:rsidRPr="001839B7">
        <w:t xml:space="preserve">              </w:t>
      </w:r>
      <w:r w:rsidR="00ED4A30" w:rsidRPr="001839B7">
        <w:t xml:space="preserve">By taking part in central carbon metabolism, enhancing glucose uptake and glycolysis to enhance the nutrients flux and stimulating various branching biosynthetic pathways, KRAS signaling gives cancer cells a competitive advantage. By stimulating phagocytosis, it also controls the overall mitochondrial content and function, and the damaged mitochondria slow the growth of tumors. The synthesis of nicotinamide adenine dinucleotide phosphate (NADPH) increases as a result of KRAS's promotion of alternative glutamine catabolism [Uprety, 2020]. When cells are cultivated in buffered brine deficient in key nutrients, the limited supply of mitochondrial substrates can result in dangerously high levels of reactive oxygen species (ROS) and depleted nucleotide pools. KRAS regulates pinocytosis to deal with this situation. To sustain TCA cycling and nucleotide synthesis, autophagy flux supplies glutamine and glutamate to KRAS-driven cancer cells [Dai </w:t>
      </w:r>
      <w:r w:rsidR="00ED128B">
        <w:t xml:space="preserve">et al., </w:t>
      </w:r>
      <w:r w:rsidR="00ED4A30" w:rsidRPr="001839B7">
        <w:t>2020].</w:t>
      </w:r>
    </w:p>
    <w:p w14:paraId="16FF9DCD"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MAPK</w:t>
      </w:r>
    </w:p>
    <w:p w14:paraId="67557146" w14:textId="44A9702C" w:rsidR="00284BC2" w:rsidRPr="001839B7" w:rsidRDefault="00AC4BE7" w:rsidP="001839B7">
      <w:pPr>
        <w:tabs>
          <w:tab w:val="left" w:pos="90"/>
        </w:tabs>
        <w:autoSpaceDE w:val="0"/>
        <w:autoSpaceDN w:val="0"/>
        <w:adjustRightInd w:val="0"/>
        <w:spacing w:before="120" w:after="120" w:line="360" w:lineRule="auto"/>
        <w:jc w:val="both"/>
        <w:rPr>
          <w:rFonts w:ascii="Times New Roman" w:hAnsi="Times New Roman" w:cs="Times New Roman"/>
          <w:spacing w:val="-4"/>
          <w:sz w:val="24"/>
          <w:szCs w:val="24"/>
        </w:rPr>
      </w:pPr>
      <w:r w:rsidRPr="00AC4BE7">
        <w:rPr>
          <w:rFonts w:ascii="Times New Roman" w:hAnsi="Times New Roman" w:cs="Times New Roman"/>
          <w:sz w:val="24"/>
          <w:szCs w:val="24"/>
        </w:rPr>
        <w:t xml:space="preserve">The RAS-RAF-MEK-ERK signaling pathway is also a word for the mitogen-activated protein kinase (MAPK) pathway. Activated by upstream growth factors and their receptors, such as tyrosine kinases, G protein-coupled receptors, cytokine receptors, and integrins, it controls cell division and proliferation. Endometrial cancer was the source of the activating KRas mutations that first caused oncogenic changes in the Ras/MAPK pathway </w:t>
      </w:r>
      <w:r w:rsidR="008774BF">
        <w:rPr>
          <w:rFonts w:ascii="Times New Roman" w:hAnsi="Times New Roman" w:cs="Times New Roman"/>
          <w:sz w:val="24"/>
          <w:szCs w:val="24"/>
        </w:rPr>
        <w:t>[</w:t>
      </w:r>
      <w:r w:rsidRPr="00AC4BE7">
        <w:rPr>
          <w:rFonts w:ascii="Times New Roman" w:hAnsi="Times New Roman" w:cs="Times New Roman"/>
          <w:sz w:val="24"/>
          <w:szCs w:val="24"/>
        </w:rPr>
        <w:t xml:space="preserve">Urick </w:t>
      </w:r>
      <w:r w:rsidR="00ED128B">
        <w:rPr>
          <w:rFonts w:ascii="Times New Roman" w:hAnsi="Times New Roman" w:cs="Times New Roman"/>
          <w:sz w:val="24"/>
          <w:szCs w:val="24"/>
        </w:rPr>
        <w:t>et al.,</w:t>
      </w:r>
      <w:r w:rsidR="008774BF">
        <w:rPr>
          <w:rFonts w:ascii="Times New Roman" w:hAnsi="Times New Roman" w:cs="Times New Roman"/>
          <w:sz w:val="24"/>
          <w:szCs w:val="24"/>
        </w:rPr>
        <w:t xml:space="preserve"> </w:t>
      </w:r>
      <w:r w:rsidRPr="00AC4BE7">
        <w:rPr>
          <w:rFonts w:ascii="Times New Roman" w:hAnsi="Times New Roman" w:cs="Times New Roman"/>
          <w:sz w:val="24"/>
          <w:szCs w:val="24"/>
        </w:rPr>
        <w:t>2011</w:t>
      </w:r>
      <w:r w:rsidR="008774BF">
        <w:rPr>
          <w:rFonts w:ascii="Times New Roman" w:hAnsi="Times New Roman" w:cs="Times New Roman"/>
          <w:sz w:val="24"/>
          <w:szCs w:val="24"/>
        </w:rPr>
        <w:t>]</w:t>
      </w:r>
      <w:r w:rsidRPr="00AC4BE7">
        <w:rPr>
          <w:rFonts w:ascii="Times New Roman" w:hAnsi="Times New Roman" w:cs="Times New Roman"/>
          <w:sz w:val="24"/>
          <w:szCs w:val="24"/>
        </w:rPr>
        <w:t xml:space="preserve">. The </w:t>
      </w:r>
      <w:r w:rsidRPr="00AC4BE7">
        <w:rPr>
          <w:rFonts w:ascii="Times New Roman" w:hAnsi="Times New Roman" w:cs="Times New Roman"/>
          <w:sz w:val="24"/>
          <w:szCs w:val="24"/>
        </w:rPr>
        <w:lastRenderedPageBreak/>
        <w:t>increased level of growth factors and their receptors in cancer frequently leads to an autonomous and constitutive activation of MAPK signaling</w:t>
      </w:r>
      <w:r>
        <w:rPr>
          <w:rFonts w:ascii="Times New Roman" w:hAnsi="Times New Roman" w:cs="Times New Roman"/>
          <w:sz w:val="24"/>
          <w:szCs w:val="24"/>
        </w:rPr>
        <w:t xml:space="preserve"> </w:t>
      </w:r>
      <w:r w:rsidR="008774BF">
        <w:rPr>
          <w:rFonts w:ascii="Times New Roman" w:hAnsi="Times New Roman" w:cs="Times New Roman"/>
          <w:spacing w:val="-4"/>
          <w:sz w:val="24"/>
          <w:szCs w:val="24"/>
        </w:rPr>
        <w:t>[</w:t>
      </w:r>
      <w:r w:rsidR="00284BC2" w:rsidRPr="001839B7">
        <w:rPr>
          <w:rFonts w:ascii="Times New Roman" w:hAnsi="Times New Roman" w:cs="Times New Roman"/>
          <w:spacing w:val="-4"/>
          <w:sz w:val="24"/>
          <w:szCs w:val="24"/>
        </w:rPr>
        <w:t xml:space="preserve">Cheung </w:t>
      </w:r>
      <w:r w:rsidR="00ED128B" w:rsidRPr="008774BF">
        <w:rPr>
          <w:rFonts w:ascii="Times New Roman" w:hAnsi="Times New Roman" w:cs="Times New Roman"/>
          <w:iCs/>
          <w:spacing w:val="-4"/>
          <w:sz w:val="24"/>
          <w:szCs w:val="24"/>
        </w:rPr>
        <w:t>et al.,</w:t>
      </w:r>
      <w:r w:rsidR="00ED128B">
        <w:rPr>
          <w:rFonts w:ascii="Times New Roman" w:hAnsi="Times New Roman" w:cs="Times New Roman"/>
          <w:i/>
          <w:spacing w:val="-4"/>
          <w:sz w:val="24"/>
          <w:szCs w:val="24"/>
        </w:rPr>
        <w:t xml:space="preserve"> </w:t>
      </w:r>
      <w:r w:rsidR="00284BC2" w:rsidRPr="001839B7">
        <w:rPr>
          <w:rFonts w:ascii="Times New Roman" w:hAnsi="Times New Roman" w:cs="Times New Roman"/>
          <w:spacing w:val="-4"/>
          <w:sz w:val="24"/>
          <w:szCs w:val="24"/>
        </w:rPr>
        <w:t>2011</w:t>
      </w:r>
      <w:r w:rsidR="008774BF">
        <w:rPr>
          <w:rFonts w:ascii="Times New Roman" w:hAnsi="Times New Roman" w:cs="Times New Roman"/>
          <w:spacing w:val="-4"/>
          <w:sz w:val="24"/>
          <w:szCs w:val="24"/>
        </w:rPr>
        <w:t>]</w:t>
      </w:r>
      <w:r w:rsidR="00284BC2" w:rsidRPr="001839B7">
        <w:rPr>
          <w:rFonts w:ascii="Times New Roman" w:hAnsi="Times New Roman" w:cs="Times New Roman"/>
          <w:spacing w:val="-4"/>
          <w:sz w:val="24"/>
          <w:szCs w:val="24"/>
        </w:rPr>
        <w:t>.</w:t>
      </w:r>
    </w:p>
    <w:p w14:paraId="53E78649"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TGF-β</w:t>
      </w:r>
    </w:p>
    <w:p w14:paraId="5BACF551" w14:textId="54F39FF4" w:rsidR="00445C34" w:rsidRDefault="004F4B13" w:rsidP="00445C34">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4B13">
        <w:rPr>
          <w:rFonts w:ascii="Times New Roman" w:hAnsi="Times New Roman" w:cs="Times New Roman"/>
          <w:sz w:val="24"/>
          <w:szCs w:val="24"/>
        </w:rPr>
        <w:t xml:space="preserve">Emerging factor that converts Superfamily cytokines regulate a wide range of biological processes, including cell division, migration, survival, and apoptosis </w:t>
      </w:r>
      <w:r w:rsidR="008774BF">
        <w:rPr>
          <w:rFonts w:ascii="Times New Roman" w:hAnsi="Times New Roman" w:cs="Times New Roman"/>
          <w:sz w:val="24"/>
          <w:szCs w:val="24"/>
        </w:rPr>
        <w:t>[</w:t>
      </w:r>
      <w:r w:rsidRPr="004F4B13">
        <w:rPr>
          <w:rFonts w:ascii="Times New Roman" w:hAnsi="Times New Roman" w:cs="Times New Roman"/>
          <w:sz w:val="24"/>
          <w:szCs w:val="24"/>
        </w:rPr>
        <w:t>Derynck, 2003</w:t>
      </w:r>
      <w:r w:rsidR="008774BF">
        <w:rPr>
          <w:rFonts w:ascii="Times New Roman" w:hAnsi="Times New Roman" w:cs="Times New Roman"/>
          <w:sz w:val="24"/>
          <w:szCs w:val="24"/>
        </w:rPr>
        <w:t>]</w:t>
      </w:r>
      <w:r w:rsidRPr="004F4B13">
        <w:rPr>
          <w:rFonts w:ascii="Times New Roman" w:hAnsi="Times New Roman" w:cs="Times New Roman"/>
          <w:sz w:val="24"/>
          <w:szCs w:val="24"/>
        </w:rPr>
        <w:t xml:space="preserve">. TGF- works by connecting to a heteromeric complex of type I (RI) and type II (RII) transmembrane serine/threonine kinase. The TGF-type I receptor then binds ligand to the RI/RII complex, phosphorylating Smad2 and Smad3, the so-called receptor-regulated Smads (R-Smads). </w:t>
      </w:r>
      <w:r w:rsidR="00AA129B" w:rsidRPr="00AA129B">
        <w:rPr>
          <w:rFonts w:ascii="Times New Roman" w:hAnsi="Times New Roman" w:cs="Times New Roman"/>
          <w:sz w:val="24"/>
          <w:szCs w:val="24"/>
        </w:rPr>
        <w:t xml:space="preserve">Once Smad4 and phosphorylated R-Smads form a heteromeric complex, Smad4 translocates into the nucleus to control the transcription of TGF-responsive genes. In addition to MAPK, PI3K, and RhoA pathways, there are numerous Smad-independent pathways </w:t>
      </w:r>
      <w:r w:rsidR="00445C34">
        <w:rPr>
          <w:rFonts w:ascii="Times New Roman" w:hAnsi="Times New Roman" w:cs="Times New Roman"/>
          <w:sz w:val="24"/>
          <w:szCs w:val="24"/>
        </w:rPr>
        <w:t>[</w:t>
      </w:r>
      <w:r w:rsidR="00AA129B" w:rsidRPr="00AA129B">
        <w:rPr>
          <w:rFonts w:ascii="Times New Roman" w:hAnsi="Times New Roman" w:cs="Times New Roman"/>
          <w:sz w:val="24"/>
          <w:szCs w:val="24"/>
        </w:rPr>
        <w:t>Bakin, 2000</w:t>
      </w:r>
      <w:r w:rsidR="00445C34">
        <w:rPr>
          <w:rFonts w:ascii="Times New Roman" w:hAnsi="Times New Roman" w:cs="Times New Roman"/>
          <w:sz w:val="24"/>
          <w:szCs w:val="24"/>
        </w:rPr>
        <w:t>]</w:t>
      </w:r>
      <w:r w:rsidR="00AA129B" w:rsidRPr="00AA129B">
        <w:rPr>
          <w:rFonts w:ascii="Times New Roman" w:hAnsi="Times New Roman" w:cs="Times New Roman"/>
          <w:sz w:val="24"/>
          <w:szCs w:val="24"/>
        </w:rPr>
        <w:t xml:space="preserve">. The TGF-signaling pathway is crucial for female reproduction, and its dysregulation may be the cause of grave consequences, particularly cancers and diseases that affect the reproductive system </w:t>
      </w:r>
      <w:r w:rsidR="00445C34">
        <w:rPr>
          <w:rFonts w:ascii="Times New Roman" w:hAnsi="Times New Roman" w:cs="Times New Roman"/>
          <w:sz w:val="24"/>
          <w:szCs w:val="24"/>
        </w:rPr>
        <w:t>[</w:t>
      </w:r>
      <w:r w:rsidR="00AA129B" w:rsidRPr="00AA129B">
        <w:rPr>
          <w:rFonts w:ascii="Times New Roman" w:hAnsi="Times New Roman" w:cs="Times New Roman"/>
          <w:sz w:val="24"/>
          <w:szCs w:val="24"/>
        </w:rPr>
        <w:t>Edson, 2010</w:t>
      </w:r>
      <w:r w:rsidR="00445C34">
        <w:rPr>
          <w:rFonts w:ascii="Times New Roman" w:hAnsi="Times New Roman" w:cs="Times New Roman"/>
          <w:sz w:val="24"/>
          <w:szCs w:val="24"/>
        </w:rPr>
        <w:t>]</w:t>
      </w:r>
      <w:r w:rsidR="00AA129B" w:rsidRPr="00AA129B">
        <w:rPr>
          <w:rFonts w:ascii="Times New Roman" w:hAnsi="Times New Roman" w:cs="Times New Roman"/>
          <w:sz w:val="24"/>
          <w:szCs w:val="24"/>
        </w:rPr>
        <w:t xml:space="preserve">. TGF- expression in EC was disrupted at both the mRNA and protein levels, which may have an impact on tumor development and cell survival. </w:t>
      </w:r>
    </w:p>
    <w:p w14:paraId="44E40269" w14:textId="0F917E75" w:rsidR="00284BC2" w:rsidRPr="001839B7" w:rsidRDefault="00284BC2" w:rsidP="00445C34">
      <w:pPr>
        <w:tabs>
          <w:tab w:val="left" w:pos="90"/>
        </w:tabs>
        <w:autoSpaceDE w:val="0"/>
        <w:autoSpaceDN w:val="0"/>
        <w:adjustRightInd w:val="0"/>
        <w:spacing w:before="120" w:after="120" w:line="360" w:lineRule="auto"/>
        <w:jc w:val="center"/>
        <w:rPr>
          <w:rFonts w:ascii="Times New Roman" w:hAnsi="Times New Roman" w:cs="Times New Roman"/>
          <w:sz w:val="24"/>
          <w:szCs w:val="24"/>
        </w:rPr>
      </w:pPr>
      <w:r w:rsidRPr="001839B7">
        <w:rPr>
          <w:rFonts w:ascii="Times New Roman" w:hAnsi="Times New Roman" w:cs="Times New Roman"/>
          <w:noProof/>
          <w:sz w:val="24"/>
          <w:szCs w:val="24"/>
        </w:rPr>
        <w:drawing>
          <wp:inline distT="0" distB="0" distL="0" distR="0" wp14:anchorId="2A2F7AE2" wp14:editId="7A89FD46">
            <wp:extent cx="3162300" cy="27283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497" cy="2751845"/>
                    </a:xfrm>
                    <a:prstGeom prst="rect">
                      <a:avLst/>
                    </a:prstGeom>
                    <a:noFill/>
                    <a:ln>
                      <a:noFill/>
                    </a:ln>
                  </pic:spPr>
                </pic:pic>
              </a:graphicData>
            </a:graphic>
          </wp:inline>
        </w:drawing>
      </w:r>
    </w:p>
    <w:p w14:paraId="7A3D5513" w14:textId="337C9CB8" w:rsidR="00284BC2" w:rsidRPr="001839B7" w:rsidRDefault="00284BC2" w:rsidP="002D6A7F">
      <w:pPr>
        <w:tabs>
          <w:tab w:val="left" w:pos="90"/>
        </w:tabs>
        <w:autoSpaceDE w:val="0"/>
        <w:autoSpaceDN w:val="0"/>
        <w:adjustRightInd w:val="0"/>
        <w:spacing w:before="120" w:after="120" w:line="360" w:lineRule="auto"/>
        <w:jc w:val="center"/>
        <w:rPr>
          <w:rFonts w:ascii="Times New Roman" w:hAnsi="Times New Roman" w:cs="Times New Roman"/>
          <w:b/>
          <w:sz w:val="24"/>
          <w:szCs w:val="24"/>
        </w:rPr>
      </w:pPr>
      <w:r w:rsidRPr="001839B7">
        <w:rPr>
          <w:rFonts w:ascii="Times New Roman" w:hAnsi="Times New Roman" w:cs="Times New Roman"/>
          <w:b/>
          <w:sz w:val="24"/>
          <w:szCs w:val="24"/>
        </w:rPr>
        <w:t>Major function of TGF-β superfamily signaling in female reproduction Cell proliferation</w:t>
      </w:r>
    </w:p>
    <w:p w14:paraId="1DF5BF6D"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PCNA</w:t>
      </w:r>
    </w:p>
    <w:p w14:paraId="77BD8672" w14:textId="71DA92F4" w:rsidR="00284BC2" w:rsidRPr="001839B7" w:rsidRDefault="00BF72C5"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BF72C5">
        <w:rPr>
          <w:rFonts w:ascii="Times New Roman" w:hAnsi="Times New Roman" w:cs="Times New Roman"/>
          <w:sz w:val="24"/>
          <w:szCs w:val="24"/>
        </w:rPr>
        <w:t xml:space="preserve">In cells that are in the DNA synthesis phase of the cell cycle, the proliferating cell nuclear antigen (PCNA), a marker of cell proliferation, is expressed in the nuclei. Proliferative behavior can be used to grade benign lesions and altered neoplasms </w:t>
      </w:r>
      <w:r w:rsidR="00D256C5">
        <w:rPr>
          <w:rFonts w:ascii="Times New Roman" w:hAnsi="Times New Roman" w:cs="Times New Roman"/>
          <w:sz w:val="24"/>
          <w:szCs w:val="24"/>
        </w:rPr>
        <w:t>[</w:t>
      </w:r>
      <w:r w:rsidRPr="00BF72C5">
        <w:rPr>
          <w:rFonts w:ascii="Times New Roman" w:hAnsi="Times New Roman" w:cs="Times New Roman"/>
          <w:sz w:val="24"/>
          <w:szCs w:val="24"/>
        </w:rPr>
        <w:t xml:space="preserve">Marion </w:t>
      </w:r>
      <w:r w:rsidR="00ED128B">
        <w:rPr>
          <w:rFonts w:ascii="Times New Roman" w:hAnsi="Times New Roman" w:cs="Times New Roman"/>
          <w:sz w:val="24"/>
          <w:szCs w:val="24"/>
        </w:rPr>
        <w:t xml:space="preserve">et al., </w:t>
      </w:r>
      <w:r w:rsidRPr="00BF72C5">
        <w:rPr>
          <w:rFonts w:ascii="Times New Roman" w:hAnsi="Times New Roman" w:cs="Times New Roman"/>
          <w:sz w:val="24"/>
          <w:szCs w:val="24"/>
        </w:rPr>
        <w:t>2012</w:t>
      </w:r>
      <w:r w:rsidR="00D256C5">
        <w:rPr>
          <w:rFonts w:ascii="Times New Roman" w:hAnsi="Times New Roman" w:cs="Times New Roman"/>
          <w:sz w:val="24"/>
          <w:szCs w:val="24"/>
        </w:rPr>
        <w:t>]</w:t>
      </w:r>
      <w:r w:rsidRPr="00BF72C5">
        <w:rPr>
          <w:rFonts w:ascii="Times New Roman" w:hAnsi="Times New Roman" w:cs="Times New Roman"/>
          <w:sz w:val="24"/>
          <w:szCs w:val="24"/>
        </w:rPr>
        <w:t xml:space="preserve">. PCNA </w:t>
      </w:r>
      <w:r w:rsidRPr="00BF72C5">
        <w:rPr>
          <w:rFonts w:ascii="Times New Roman" w:hAnsi="Times New Roman" w:cs="Times New Roman"/>
          <w:sz w:val="24"/>
          <w:szCs w:val="24"/>
        </w:rPr>
        <w:lastRenderedPageBreak/>
        <w:t>performs essential cellular functions such as chromatin remodeling, DNA repair, sister-chromatid cohesion, and cell-cycle regulation in addition to DNA replication (Ivaylo and Thomas, 2009). Endometrial hyperplasias and carcinomas both showed increased expression of PCNA</w:t>
      </w:r>
      <w:r>
        <w:rPr>
          <w:rFonts w:ascii="Times New Roman" w:hAnsi="Times New Roman" w:cs="Times New Roman"/>
          <w:sz w:val="24"/>
          <w:szCs w:val="24"/>
        </w:rPr>
        <w:t xml:space="preserve"> </w:t>
      </w:r>
      <w:r w:rsidR="00C34463">
        <w:rPr>
          <w:rFonts w:ascii="Times New Roman" w:hAnsi="Times New Roman" w:cs="Times New Roman"/>
          <w:sz w:val="24"/>
          <w:szCs w:val="24"/>
        </w:rPr>
        <w:t>[</w:t>
      </w:r>
      <w:r w:rsidR="00284BC2" w:rsidRPr="001839B7">
        <w:rPr>
          <w:rFonts w:ascii="Times New Roman" w:hAnsi="Times New Roman" w:cs="Times New Roman"/>
          <w:sz w:val="24"/>
          <w:szCs w:val="24"/>
        </w:rPr>
        <w:t xml:space="preserve">Amalinei </w:t>
      </w:r>
      <w:r w:rsidR="00ED128B" w:rsidRPr="00C34463">
        <w:rPr>
          <w:rFonts w:ascii="Times New Roman" w:hAnsi="Times New Roman" w:cs="Times New Roman"/>
          <w:iCs/>
          <w:sz w:val="24"/>
          <w:szCs w:val="24"/>
        </w:rPr>
        <w:t>et al.,</w:t>
      </w:r>
      <w:r w:rsidR="00ED128B">
        <w:rPr>
          <w:rFonts w:ascii="Times New Roman" w:hAnsi="Times New Roman" w:cs="Times New Roman"/>
          <w:i/>
          <w:sz w:val="24"/>
          <w:szCs w:val="24"/>
        </w:rPr>
        <w:t xml:space="preserve"> </w:t>
      </w:r>
      <w:r w:rsidR="00284BC2" w:rsidRPr="001839B7">
        <w:rPr>
          <w:rFonts w:ascii="Times New Roman" w:hAnsi="Times New Roman" w:cs="Times New Roman"/>
          <w:sz w:val="24"/>
          <w:szCs w:val="24"/>
        </w:rPr>
        <w:t>2011</w:t>
      </w:r>
      <w:r w:rsidR="00C34463">
        <w:rPr>
          <w:rFonts w:ascii="Times New Roman" w:hAnsi="Times New Roman" w:cs="Times New Roman"/>
          <w:sz w:val="24"/>
          <w:szCs w:val="24"/>
        </w:rPr>
        <w:t>]</w:t>
      </w:r>
      <w:r w:rsidR="00284BC2" w:rsidRPr="001839B7">
        <w:rPr>
          <w:rFonts w:ascii="Times New Roman" w:hAnsi="Times New Roman" w:cs="Times New Roman"/>
          <w:sz w:val="24"/>
          <w:szCs w:val="24"/>
        </w:rPr>
        <w:t>.</w:t>
      </w:r>
    </w:p>
    <w:p w14:paraId="3CDBB90D"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Cell cycle gene</w:t>
      </w:r>
    </w:p>
    <w:p w14:paraId="54570874"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Cyclin D1</w:t>
      </w:r>
    </w:p>
    <w:p w14:paraId="29EC3717" w14:textId="5C276FDB" w:rsidR="00284BC2" w:rsidRPr="001839B7" w:rsidRDefault="00BE45DA"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BE45DA">
        <w:rPr>
          <w:rFonts w:ascii="Times New Roman" w:hAnsi="Times New Roman" w:cs="Times New Roman"/>
          <w:sz w:val="24"/>
          <w:szCs w:val="24"/>
        </w:rPr>
        <w:t>Cyclins are essential elements in the control of the cell cycle from the G1 to the S phase. By activating their cdk partners, which phosphorylate and transition the cell cycle from G1 to S phase, D cyclin regulates the progression of the cell cycle with specificity. Cyclin D1 overexpression in endometrial cancer is caused by hyperesterogenesis and hyperplasia. One of the typical features of tumor growth is the deregulation of the gene cyclin D1, which is involved in the control of the cell cycle</w:t>
      </w:r>
      <w:r w:rsidR="00284BC2" w:rsidRPr="001839B7">
        <w:rPr>
          <w:rFonts w:ascii="Times New Roman" w:hAnsi="Times New Roman" w:cs="Times New Roman"/>
          <w:sz w:val="24"/>
          <w:szCs w:val="24"/>
        </w:rPr>
        <w:t xml:space="preserve"> </w:t>
      </w:r>
      <w:r w:rsidR="00C34463">
        <w:rPr>
          <w:rFonts w:ascii="Times New Roman" w:hAnsi="Times New Roman" w:cs="Times New Roman"/>
          <w:sz w:val="24"/>
          <w:szCs w:val="24"/>
        </w:rPr>
        <w:t>[</w:t>
      </w:r>
      <w:r w:rsidR="00284BC2" w:rsidRPr="001839B7">
        <w:rPr>
          <w:rFonts w:ascii="Times New Roman" w:eastAsia="UB-Times" w:hAnsi="Times New Roman" w:cs="Times New Roman"/>
          <w:sz w:val="24"/>
          <w:szCs w:val="24"/>
        </w:rPr>
        <w:t xml:space="preserve">Nishimura </w:t>
      </w:r>
      <w:r w:rsidR="00ED128B" w:rsidRPr="00C34463">
        <w:rPr>
          <w:rFonts w:ascii="Times New Roman" w:eastAsia="UB-Times" w:hAnsi="Times New Roman" w:cs="Times New Roman"/>
          <w:iCs/>
          <w:sz w:val="24"/>
          <w:szCs w:val="24"/>
        </w:rPr>
        <w:t>et al.,</w:t>
      </w:r>
      <w:r w:rsidR="00ED128B">
        <w:rPr>
          <w:rFonts w:ascii="Times New Roman" w:eastAsia="UB-Times" w:hAnsi="Times New Roman" w:cs="Times New Roman"/>
          <w:i/>
          <w:sz w:val="24"/>
          <w:szCs w:val="24"/>
        </w:rPr>
        <w:t xml:space="preserve"> </w:t>
      </w:r>
      <w:r w:rsidR="00284BC2" w:rsidRPr="001839B7">
        <w:rPr>
          <w:rFonts w:ascii="Times New Roman" w:eastAsia="UB-Times" w:hAnsi="Times New Roman" w:cs="Times New Roman"/>
          <w:sz w:val="24"/>
          <w:szCs w:val="24"/>
        </w:rPr>
        <w:t>2004</w:t>
      </w:r>
      <w:r w:rsidR="00C34463">
        <w:rPr>
          <w:rFonts w:ascii="Times New Roman" w:eastAsia="UB-Times" w:hAnsi="Times New Roman" w:cs="Times New Roman"/>
          <w:sz w:val="24"/>
          <w:szCs w:val="24"/>
        </w:rPr>
        <w:t>]</w:t>
      </w:r>
      <w:r w:rsidR="00284BC2" w:rsidRPr="001839B7">
        <w:rPr>
          <w:rFonts w:ascii="Times New Roman" w:hAnsi="Times New Roman" w:cs="Times New Roman"/>
          <w:sz w:val="24"/>
          <w:szCs w:val="24"/>
        </w:rPr>
        <w:t xml:space="preserve">. </w:t>
      </w:r>
    </w:p>
    <w:p w14:paraId="660A24E0"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Signalling pathways</w:t>
      </w:r>
    </w:p>
    <w:p w14:paraId="2E359612"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Wnt/β-catenin</w:t>
      </w:r>
    </w:p>
    <w:p w14:paraId="58CAEB35" w14:textId="53F32DA4" w:rsidR="00284BC2" w:rsidRPr="001839B7" w:rsidRDefault="00214291"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214291">
        <w:rPr>
          <w:rFonts w:ascii="Times New Roman" w:hAnsi="Times New Roman" w:cs="Times New Roman"/>
          <w:sz w:val="24"/>
          <w:szCs w:val="24"/>
        </w:rPr>
        <w:t xml:space="preserve">The wnt signaling pathway is a collection of pathways that includes proteins engaged in signal transduction via cell surface receptor. During embryogenesis and tissue homeostasis, it is one of the main techniques for promoting cell proliferation, cell polarity, and cell fate determination </w:t>
      </w:r>
      <w:r w:rsidR="00414C84">
        <w:rPr>
          <w:rFonts w:ascii="Times New Roman" w:hAnsi="Times New Roman" w:cs="Times New Roman"/>
          <w:sz w:val="24"/>
          <w:szCs w:val="24"/>
        </w:rPr>
        <w:t>[</w:t>
      </w:r>
      <w:r w:rsidRPr="00214291">
        <w:rPr>
          <w:rFonts w:ascii="Times New Roman" w:hAnsi="Times New Roman" w:cs="Times New Roman"/>
          <w:sz w:val="24"/>
          <w:szCs w:val="24"/>
        </w:rPr>
        <w:t>Logan and Nusse, 2004</w:t>
      </w:r>
      <w:r w:rsidR="00414C84">
        <w:rPr>
          <w:rFonts w:ascii="Times New Roman" w:hAnsi="Times New Roman" w:cs="Times New Roman"/>
          <w:sz w:val="24"/>
          <w:szCs w:val="24"/>
        </w:rPr>
        <w:t>]</w:t>
      </w:r>
      <w:r w:rsidRPr="00214291">
        <w:rPr>
          <w:rFonts w:ascii="Times New Roman" w:hAnsi="Times New Roman" w:cs="Times New Roman"/>
          <w:sz w:val="24"/>
          <w:szCs w:val="24"/>
        </w:rPr>
        <w:t>. The main focus of Wnt pathway research is canonical Wnt signaling, which regulates the transcriptional co-activator -catenin, which regulates important developmental gene expression programs. The accumulation and translocation of -catenin to the nucleus, where it binds with T-cell factor/lymphoid enhancer factor, allows the activation of gene mutation in ovarian cancer</w:t>
      </w:r>
      <w:r>
        <w:rPr>
          <w:rFonts w:ascii="Times New Roman" w:hAnsi="Times New Roman" w:cs="Times New Roman"/>
          <w:sz w:val="24"/>
          <w:szCs w:val="24"/>
        </w:rPr>
        <w:t xml:space="preserve"> </w:t>
      </w:r>
      <w:r w:rsidR="00414C84">
        <w:rPr>
          <w:rFonts w:ascii="Times New Roman" w:hAnsi="Times New Roman" w:cs="Times New Roman"/>
          <w:sz w:val="24"/>
          <w:szCs w:val="24"/>
        </w:rPr>
        <w:t>[</w:t>
      </w:r>
      <w:r w:rsidR="00284BC2" w:rsidRPr="001839B7">
        <w:rPr>
          <w:rFonts w:ascii="Times New Roman" w:hAnsi="Times New Roman" w:cs="Times New Roman"/>
          <w:sz w:val="24"/>
          <w:szCs w:val="24"/>
        </w:rPr>
        <w:t>Shi and Massague, 2003</w:t>
      </w:r>
      <w:r w:rsidR="00414C84">
        <w:rPr>
          <w:rFonts w:ascii="Times New Roman" w:hAnsi="Times New Roman" w:cs="Times New Roman"/>
          <w:sz w:val="24"/>
          <w:szCs w:val="24"/>
        </w:rPr>
        <w:t>]</w:t>
      </w:r>
      <w:r w:rsidR="00284BC2" w:rsidRPr="001839B7">
        <w:rPr>
          <w:rFonts w:ascii="Times New Roman" w:hAnsi="Times New Roman" w:cs="Times New Roman"/>
          <w:sz w:val="24"/>
          <w:szCs w:val="24"/>
        </w:rPr>
        <w:t xml:space="preserve">. </w:t>
      </w:r>
      <w:r w:rsidR="001A0915" w:rsidRPr="001A0915">
        <w:rPr>
          <w:rFonts w:ascii="Times New Roman" w:hAnsi="Times New Roman" w:cs="Times New Roman"/>
          <w:sz w:val="24"/>
          <w:szCs w:val="24"/>
        </w:rPr>
        <w:t xml:space="preserve">The canonical Wnt pathway is organized by the multifunctional protein -catenin, which is also a crucial structural element of cadherin-based adhesion junctions </w:t>
      </w:r>
      <w:r w:rsidR="00414C84">
        <w:rPr>
          <w:rFonts w:ascii="Times New Roman" w:hAnsi="Times New Roman" w:cs="Times New Roman"/>
          <w:sz w:val="24"/>
          <w:szCs w:val="24"/>
        </w:rPr>
        <w:t>[</w:t>
      </w:r>
      <w:r w:rsidR="001A0915" w:rsidRPr="001A0915">
        <w:rPr>
          <w:rFonts w:ascii="Times New Roman" w:hAnsi="Times New Roman" w:cs="Times New Roman"/>
          <w:sz w:val="24"/>
          <w:szCs w:val="24"/>
        </w:rPr>
        <w:t xml:space="preserve">Valenta </w:t>
      </w:r>
      <w:r w:rsidR="00ED128B">
        <w:rPr>
          <w:rFonts w:ascii="Times New Roman" w:hAnsi="Times New Roman" w:cs="Times New Roman"/>
          <w:sz w:val="24"/>
          <w:szCs w:val="24"/>
        </w:rPr>
        <w:t xml:space="preserve">et al., </w:t>
      </w:r>
      <w:r w:rsidR="001A0915" w:rsidRPr="001A0915">
        <w:rPr>
          <w:rFonts w:ascii="Times New Roman" w:hAnsi="Times New Roman" w:cs="Times New Roman"/>
          <w:sz w:val="24"/>
          <w:szCs w:val="24"/>
        </w:rPr>
        <w:t>2012</w:t>
      </w:r>
      <w:r w:rsidR="00414C84">
        <w:rPr>
          <w:rFonts w:ascii="Times New Roman" w:hAnsi="Times New Roman" w:cs="Times New Roman"/>
          <w:sz w:val="24"/>
          <w:szCs w:val="24"/>
        </w:rPr>
        <w:t>]</w:t>
      </w:r>
      <w:r w:rsidR="001A0915" w:rsidRPr="001A0915">
        <w:rPr>
          <w:rFonts w:ascii="Times New Roman" w:hAnsi="Times New Roman" w:cs="Times New Roman"/>
          <w:sz w:val="24"/>
          <w:szCs w:val="24"/>
        </w:rPr>
        <w:t>. Numerous subcellular localizations of -catenin exist; at the cell membrane, it maintains cell-to-cell adhesion between E-cadherin, inside the cytoplasm at tightly regulated levels through phosphorylation through protein complexes, and in the free unphosphorylated form within the nucleus that binds to transcription factors inducing target genes transcription</w:t>
      </w:r>
      <w:r w:rsidR="00284BC2" w:rsidRPr="001839B7">
        <w:rPr>
          <w:rFonts w:ascii="Times New Roman" w:hAnsi="Times New Roman" w:cs="Times New Roman"/>
          <w:sz w:val="24"/>
          <w:szCs w:val="24"/>
        </w:rPr>
        <w:t xml:space="preserve"> </w:t>
      </w:r>
      <w:r w:rsidR="00414C84">
        <w:rPr>
          <w:rFonts w:ascii="Times New Roman" w:hAnsi="Times New Roman" w:cs="Times New Roman"/>
          <w:sz w:val="24"/>
          <w:szCs w:val="24"/>
        </w:rPr>
        <w:t>[</w:t>
      </w:r>
      <w:r w:rsidR="00284BC2" w:rsidRPr="001839B7">
        <w:rPr>
          <w:rFonts w:ascii="Times New Roman" w:hAnsi="Times New Roman" w:cs="Times New Roman"/>
          <w:sz w:val="24"/>
          <w:szCs w:val="24"/>
        </w:rPr>
        <w:t>Kim</w:t>
      </w:r>
      <w:r w:rsidR="00284BC2" w:rsidRPr="00414C84">
        <w:rPr>
          <w:rFonts w:ascii="Times New Roman" w:hAnsi="Times New Roman" w:cs="Times New Roman"/>
          <w:iCs/>
          <w:sz w:val="24"/>
          <w:szCs w:val="24"/>
        </w:rPr>
        <w:t xml:space="preserve"> </w:t>
      </w:r>
      <w:r w:rsidR="00ED128B" w:rsidRPr="00414C84">
        <w:rPr>
          <w:rFonts w:ascii="Times New Roman" w:hAnsi="Times New Roman" w:cs="Times New Roman"/>
          <w:iCs/>
          <w:sz w:val="24"/>
          <w:szCs w:val="24"/>
        </w:rPr>
        <w:t xml:space="preserve">et al., </w:t>
      </w:r>
      <w:r w:rsidR="00284BC2" w:rsidRPr="001839B7">
        <w:rPr>
          <w:rFonts w:ascii="Times New Roman" w:hAnsi="Times New Roman" w:cs="Times New Roman"/>
          <w:sz w:val="24"/>
          <w:szCs w:val="24"/>
        </w:rPr>
        <w:t>2013</w:t>
      </w:r>
      <w:r w:rsidR="00414C84">
        <w:rPr>
          <w:rFonts w:ascii="Times New Roman" w:hAnsi="Times New Roman" w:cs="Times New Roman"/>
          <w:sz w:val="24"/>
          <w:szCs w:val="24"/>
        </w:rPr>
        <w:t>]</w:t>
      </w:r>
      <w:r w:rsidR="00284BC2" w:rsidRPr="001839B7">
        <w:rPr>
          <w:rFonts w:ascii="Times New Roman" w:hAnsi="Times New Roman" w:cs="Times New Roman"/>
          <w:sz w:val="24"/>
          <w:szCs w:val="24"/>
        </w:rPr>
        <w:t xml:space="preserve">. </w:t>
      </w:r>
    </w:p>
    <w:p w14:paraId="7BAE32B5"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E-cadherin</w:t>
      </w:r>
    </w:p>
    <w:p w14:paraId="64DC3D84" w14:textId="601020CA" w:rsidR="00284BC2" w:rsidRPr="001839B7" w:rsidRDefault="00DC7EE8"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DC7EE8">
        <w:rPr>
          <w:rFonts w:ascii="Times New Roman" w:hAnsi="Times New Roman" w:cs="Times New Roman"/>
          <w:sz w:val="24"/>
          <w:szCs w:val="24"/>
        </w:rPr>
        <w:t xml:space="preserve">E-cadherin is a transmembrane protein that controls cell-cell adhesion and is essential for the structure of epithelial tissue organization and maintenance. Reduced expression of E-cadherin, </w:t>
      </w:r>
      <w:r w:rsidRPr="00DC7EE8">
        <w:rPr>
          <w:rFonts w:ascii="Times New Roman" w:hAnsi="Times New Roman" w:cs="Times New Roman"/>
          <w:sz w:val="24"/>
          <w:szCs w:val="24"/>
        </w:rPr>
        <w:lastRenderedPageBreak/>
        <w:t>a gene that plays an invasive cancer suppressor role, is thought to be largely responsible for decreased cell-to-cell adhesion in epithelial cells. In endometrial and other carcinomas, loss of E-cadherin expression may be linked to decreased cell-to-cell adhesion and increased invasive and metastatic potential</w:t>
      </w:r>
      <w:r>
        <w:rPr>
          <w:rFonts w:ascii="Times New Roman" w:hAnsi="Times New Roman" w:cs="Times New Roman"/>
          <w:sz w:val="24"/>
          <w:szCs w:val="24"/>
        </w:rPr>
        <w:t xml:space="preserve"> </w:t>
      </w:r>
      <w:r w:rsidR="00EE27FF">
        <w:rPr>
          <w:rFonts w:ascii="Times New Roman" w:hAnsi="Times New Roman" w:cs="Times New Roman"/>
          <w:sz w:val="24"/>
          <w:szCs w:val="24"/>
        </w:rPr>
        <w:t>[</w:t>
      </w:r>
      <w:r w:rsidR="00284BC2" w:rsidRPr="001839B7">
        <w:rPr>
          <w:rFonts w:ascii="Times New Roman" w:hAnsi="Times New Roman" w:cs="Times New Roman"/>
          <w:sz w:val="24"/>
          <w:szCs w:val="24"/>
        </w:rPr>
        <w:t xml:space="preserve">Yalta </w:t>
      </w:r>
      <w:r w:rsidR="00ED128B" w:rsidRPr="00EE27FF">
        <w:rPr>
          <w:rFonts w:ascii="Times New Roman" w:hAnsi="Times New Roman" w:cs="Times New Roman"/>
          <w:iCs/>
          <w:sz w:val="24"/>
          <w:szCs w:val="24"/>
        </w:rPr>
        <w:t xml:space="preserve">et al., </w:t>
      </w:r>
      <w:r w:rsidR="00284BC2" w:rsidRPr="00EE27FF">
        <w:rPr>
          <w:rFonts w:ascii="Times New Roman" w:hAnsi="Times New Roman" w:cs="Times New Roman"/>
          <w:iCs/>
          <w:sz w:val="24"/>
          <w:szCs w:val="24"/>
        </w:rPr>
        <w:t>2</w:t>
      </w:r>
      <w:r w:rsidR="00284BC2" w:rsidRPr="001839B7">
        <w:rPr>
          <w:rFonts w:ascii="Times New Roman" w:hAnsi="Times New Roman" w:cs="Times New Roman"/>
          <w:sz w:val="24"/>
          <w:szCs w:val="24"/>
        </w:rPr>
        <w:t>009</w:t>
      </w:r>
      <w:r w:rsidR="00EE27FF">
        <w:rPr>
          <w:rFonts w:ascii="Times New Roman" w:hAnsi="Times New Roman" w:cs="Times New Roman"/>
          <w:sz w:val="24"/>
          <w:szCs w:val="24"/>
        </w:rPr>
        <w:t>]</w:t>
      </w:r>
      <w:r w:rsidR="00284BC2" w:rsidRPr="001839B7">
        <w:rPr>
          <w:rFonts w:ascii="Times New Roman" w:hAnsi="Times New Roman" w:cs="Times New Roman"/>
          <w:sz w:val="24"/>
          <w:szCs w:val="24"/>
        </w:rPr>
        <w:t>.</w:t>
      </w:r>
    </w:p>
    <w:p w14:paraId="7030E337"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Epithelial cell adhesion molecule (EpCAM)</w:t>
      </w:r>
    </w:p>
    <w:p w14:paraId="1E89B543" w14:textId="22673C91" w:rsidR="00284BC2" w:rsidRPr="001839B7" w:rsidRDefault="008D2842"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8D2842">
        <w:rPr>
          <w:rFonts w:ascii="Times New Roman" w:hAnsi="Times New Roman" w:cs="Times New Roman"/>
          <w:sz w:val="24"/>
          <w:szCs w:val="24"/>
        </w:rPr>
        <w:t xml:space="preserve">A glycoprotein labelled EpCAM can be found on chromosome </w:t>
      </w:r>
      <w:r>
        <w:rPr>
          <w:rFonts w:ascii="Times New Roman" w:hAnsi="Times New Roman" w:cs="Times New Roman"/>
          <w:sz w:val="24"/>
          <w:szCs w:val="24"/>
        </w:rPr>
        <w:t>two</w:t>
      </w:r>
      <w:r w:rsidRPr="008D2842">
        <w:rPr>
          <w:rFonts w:ascii="Times New Roman" w:hAnsi="Times New Roman" w:cs="Times New Roman"/>
          <w:sz w:val="24"/>
          <w:szCs w:val="24"/>
        </w:rPr>
        <w:t xml:space="preserve">. According to Trebak </w:t>
      </w:r>
      <w:r w:rsidR="00156FF0">
        <w:rPr>
          <w:rFonts w:ascii="Times New Roman" w:hAnsi="Times New Roman" w:cs="Times New Roman"/>
          <w:sz w:val="24"/>
          <w:szCs w:val="24"/>
        </w:rPr>
        <w:t>et al.,</w:t>
      </w:r>
      <w:r w:rsidRPr="008D2842">
        <w:rPr>
          <w:rFonts w:ascii="Times New Roman" w:hAnsi="Times New Roman" w:cs="Times New Roman"/>
          <w:sz w:val="24"/>
          <w:szCs w:val="24"/>
        </w:rPr>
        <w:t xml:space="preserve"> (2001), the molecule is associated with signal transduction-dependent epithelial morphogenesis, homotypic intercellular adhesion of epithelial cells, and the potential metastasis of epithelial neoplasias. EpCAM is a diagnostic marker for many cancers because it has been linked to poor prognosis and overexpression in carcinomas </w:t>
      </w:r>
      <w:r w:rsidR="00637D0C">
        <w:rPr>
          <w:rFonts w:ascii="Times New Roman" w:hAnsi="Times New Roman" w:cs="Times New Roman"/>
          <w:sz w:val="24"/>
          <w:szCs w:val="24"/>
        </w:rPr>
        <w:t>[</w:t>
      </w:r>
      <w:r w:rsidRPr="008D2842">
        <w:rPr>
          <w:rFonts w:ascii="Times New Roman" w:hAnsi="Times New Roman" w:cs="Times New Roman"/>
          <w:sz w:val="24"/>
          <w:szCs w:val="24"/>
        </w:rPr>
        <w:t xml:space="preserve">Calabrese </w:t>
      </w:r>
      <w:r w:rsidR="00ED128B">
        <w:rPr>
          <w:rFonts w:ascii="Times New Roman" w:hAnsi="Times New Roman" w:cs="Times New Roman"/>
          <w:sz w:val="24"/>
          <w:szCs w:val="24"/>
        </w:rPr>
        <w:t xml:space="preserve">et al., </w:t>
      </w:r>
      <w:r w:rsidRPr="008D2842">
        <w:rPr>
          <w:rFonts w:ascii="Times New Roman" w:hAnsi="Times New Roman" w:cs="Times New Roman"/>
          <w:sz w:val="24"/>
          <w:szCs w:val="24"/>
        </w:rPr>
        <w:t>2001</w:t>
      </w:r>
      <w:r w:rsidR="00637D0C">
        <w:rPr>
          <w:rFonts w:ascii="Times New Roman" w:hAnsi="Times New Roman" w:cs="Times New Roman"/>
          <w:sz w:val="24"/>
          <w:szCs w:val="24"/>
        </w:rPr>
        <w:t>]</w:t>
      </w:r>
      <w:r w:rsidRPr="008D2842">
        <w:rPr>
          <w:rFonts w:ascii="Times New Roman" w:hAnsi="Times New Roman" w:cs="Times New Roman"/>
          <w:sz w:val="24"/>
          <w:szCs w:val="24"/>
        </w:rPr>
        <w:t>. EpCAM antibodies and broad-expression EpCAM have been used to treat patients with metastatic carcinomas</w:t>
      </w:r>
      <w:r>
        <w:rPr>
          <w:rFonts w:ascii="Times New Roman" w:hAnsi="Times New Roman" w:cs="Times New Roman"/>
          <w:sz w:val="24"/>
          <w:szCs w:val="24"/>
        </w:rPr>
        <w:t xml:space="preserve"> </w:t>
      </w:r>
      <w:r w:rsidR="00637D0C">
        <w:rPr>
          <w:rFonts w:ascii="Times New Roman" w:hAnsi="Times New Roman" w:cs="Times New Roman"/>
          <w:sz w:val="24"/>
          <w:szCs w:val="24"/>
        </w:rPr>
        <w:t>[</w:t>
      </w:r>
      <w:r w:rsidR="00284BC2" w:rsidRPr="00637D0C">
        <w:rPr>
          <w:rFonts w:ascii="Times New Roman" w:hAnsi="Times New Roman" w:cs="Times New Roman"/>
          <w:sz w:val="24"/>
          <w:szCs w:val="24"/>
        </w:rPr>
        <w:t xml:space="preserve">Seligson </w:t>
      </w:r>
      <w:r w:rsidR="00ED128B" w:rsidRPr="00637D0C">
        <w:rPr>
          <w:rFonts w:ascii="Times New Roman" w:hAnsi="Times New Roman" w:cs="Times New Roman"/>
          <w:sz w:val="24"/>
          <w:szCs w:val="24"/>
        </w:rPr>
        <w:t>et al.,</w:t>
      </w:r>
      <w:r w:rsidR="00ED128B">
        <w:rPr>
          <w:rFonts w:ascii="Times New Roman" w:hAnsi="Times New Roman" w:cs="Times New Roman"/>
          <w:i/>
          <w:sz w:val="24"/>
          <w:szCs w:val="24"/>
        </w:rPr>
        <w:t xml:space="preserve"> </w:t>
      </w:r>
      <w:r w:rsidR="00284BC2" w:rsidRPr="001839B7">
        <w:rPr>
          <w:rFonts w:ascii="Times New Roman" w:hAnsi="Times New Roman" w:cs="Times New Roman"/>
          <w:sz w:val="24"/>
          <w:szCs w:val="24"/>
        </w:rPr>
        <w:t>2004</w:t>
      </w:r>
      <w:r w:rsidR="00637D0C">
        <w:rPr>
          <w:rFonts w:ascii="Times New Roman" w:hAnsi="Times New Roman" w:cs="Times New Roman"/>
          <w:sz w:val="24"/>
          <w:szCs w:val="24"/>
        </w:rPr>
        <w:t>]</w:t>
      </w:r>
      <w:r w:rsidR="00284BC2" w:rsidRPr="001839B7">
        <w:rPr>
          <w:rFonts w:ascii="Times New Roman" w:hAnsi="Times New Roman" w:cs="Times New Roman"/>
          <w:sz w:val="24"/>
          <w:szCs w:val="24"/>
        </w:rPr>
        <w:t>.</w:t>
      </w:r>
    </w:p>
    <w:p w14:paraId="5184DB9D" w14:textId="77777777" w:rsidR="00D35C44" w:rsidRDefault="00D35C44"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
    <w:p w14:paraId="23FB7D9E" w14:textId="18B0CBBD"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Hormone receptors</w:t>
      </w:r>
    </w:p>
    <w:p w14:paraId="020EEBAC"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Progesterone receptor (PR)</w:t>
      </w:r>
    </w:p>
    <w:p w14:paraId="1173CDB9" w14:textId="5609F114" w:rsidR="00284BC2" w:rsidRPr="001839B7" w:rsidRDefault="00427C2D"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27C2D">
        <w:rPr>
          <w:rFonts w:ascii="Times New Roman" w:hAnsi="Times New Roman" w:cs="Times New Roman"/>
          <w:sz w:val="24"/>
          <w:szCs w:val="24"/>
        </w:rPr>
        <w:t>(Steroid hormone) is crucial for coordinating the physiology of female reproduction in normal mammals. Through PR-dependent transcriptional activity, progesterone controls a number of signaling pathways. It is expressed in a number of human organs, including the ovary, uterus, and mammary gland. In EC, oncogenes and the Smad pathway act to suppress PR expression, which results in gene mutation</w:t>
      </w:r>
      <w:r w:rsidR="00284BC2" w:rsidRPr="001839B7">
        <w:rPr>
          <w:rFonts w:ascii="Times New Roman" w:hAnsi="Times New Roman" w:cs="Times New Roman"/>
          <w:sz w:val="24"/>
          <w:szCs w:val="24"/>
        </w:rPr>
        <w:t xml:space="preserve"> </w:t>
      </w:r>
      <w:r w:rsidR="003A1EA7">
        <w:rPr>
          <w:rFonts w:ascii="Times New Roman" w:hAnsi="Times New Roman" w:cs="Times New Roman"/>
          <w:sz w:val="24"/>
          <w:szCs w:val="24"/>
        </w:rPr>
        <w:t>[</w:t>
      </w:r>
      <w:r w:rsidR="00284BC2" w:rsidRPr="001839B7">
        <w:rPr>
          <w:rFonts w:ascii="Times New Roman" w:hAnsi="Times New Roman" w:cs="Times New Roman"/>
          <w:sz w:val="24"/>
          <w:szCs w:val="24"/>
        </w:rPr>
        <w:t xml:space="preserve">Lee </w:t>
      </w:r>
      <w:r w:rsidR="00ED128B" w:rsidRPr="003A1EA7">
        <w:rPr>
          <w:rFonts w:ascii="Times New Roman" w:hAnsi="Times New Roman" w:cs="Times New Roman"/>
          <w:iCs/>
          <w:sz w:val="24"/>
          <w:szCs w:val="24"/>
        </w:rPr>
        <w:t>et al.,</w:t>
      </w:r>
      <w:r w:rsidR="00ED128B">
        <w:rPr>
          <w:rFonts w:ascii="Times New Roman" w:hAnsi="Times New Roman" w:cs="Times New Roman"/>
          <w:i/>
          <w:sz w:val="24"/>
          <w:szCs w:val="24"/>
        </w:rPr>
        <w:t xml:space="preserve"> </w:t>
      </w:r>
      <w:r w:rsidR="00284BC2" w:rsidRPr="001839B7">
        <w:rPr>
          <w:rFonts w:ascii="Times New Roman" w:hAnsi="Times New Roman" w:cs="Times New Roman"/>
          <w:sz w:val="24"/>
          <w:szCs w:val="24"/>
        </w:rPr>
        <w:t>2006</w:t>
      </w:r>
      <w:r w:rsidR="003A1EA7">
        <w:rPr>
          <w:rFonts w:ascii="Times New Roman" w:hAnsi="Times New Roman" w:cs="Times New Roman"/>
          <w:sz w:val="24"/>
          <w:szCs w:val="24"/>
        </w:rPr>
        <w:t>]</w:t>
      </w:r>
      <w:r w:rsidR="00284BC2" w:rsidRPr="001839B7">
        <w:rPr>
          <w:rFonts w:ascii="Times New Roman" w:hAnsi="Times New Roman" w:cs="Times New Roman"/>
          <w:sz w:val="24"/>
          <w:szCs w:val="24"/>
        </w:rPr>
        <w:t>.</w:t>
      </w:r>
    </w:p>
    <w:p w14:paraId="22A7FA71"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Estrogen receptor (ER-α)</w:t>
      </w:r>
    </w:p>
    <w:p w14:paraId="213F8F6E" w14:textId="4236BAFE" w:rsidR="00284BC2" w:rsidRPr="001839B7" w:rsidRDefault="00CF6F66"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CF6F66">
        <w:rPr>
          <w:rFonts w:ascii="Times New Roman" w:hAnsi="Times New Roman" w:cs="Times New Roman"/>
          <w:sz w:val="24"/>
          <w:szCs w:val="24"/>
        </w:rPr>
        <w:t xml:space="preserve">The sex steroid hormones progesterone and estrogen play a major role in regulating the female reproductive system's operation. The nuclear receptor superfamily includes estrogen receptors (ER), which are crucial in controlling a variety of reproductive processes </w:t>
      </w:r>
      <w:r w:rsidR="003A1EA7">
        <w:rPr>
          <w:rFonts w:ascii="Times New Roman" w:hAnsi="Times New Roman" w:cs="Times New Roman"/>
          <w:sz w:val="24"/>
          <w:szCs w:val="24"/>
        </w:rPr>
        <w:t>[</w:t>
      </w:r>
      <w:r w:rsidRPr="00CF6F66">
        <w:rPr>
          <w:rFonts w:ascii="Times New Roman" w:hAnsi="Times New Roman" w:cs="Times New Roman"/>
          <w:sz w:val="24"/>
          <w:szCs w:val="24"/>
        </w:rPr>
        <w:t xml:space="preserve">Mangelsdorf </w:t>
      </w:r>
      <w:r w:rsidR="00ED128B">
        <w:rPr>
          <w:rFonts w:ascii="Times New Roman" w:hAnsi="Times New Roman" w:cs="Times New Roman"/>
          <w:sz w:val="24"/>
          <w:szCs w:val="24"/>
        </w:rPr>
        <w:t xml:space="preserve">et al., </w:t>
      </w:r>
      <w:r w:rsidRPr="00CF6F66">
        <w:rPr>
          <w:rFonts w:ascii="Times New Roman" w:hAnsi="Times New Roman" w:cs="Times New Roman"/>
          <w:sz w:val="24"/>
          <w:szCs w:val="24"/>
        </w:rPr>
        <w:t>1995</w:t>
      </w:r>
      <w:r w:rsidR="003A1EA7">
        <w:rPr>
          <w:rFonts w:ascii="Times New Roman" w:hAnsi="Times New Roman" w:cs="Times New Roman"/>
          <w:sz w:val="24"/>
          <w:szCs w:val="24"/>
        </w:rPr>
        <w:t>]</w:t>
      </w:r>
      <w:r w:rsidRPr="00CF6F66">
        <w:rPr>
          <w:rFonts w:ascii="Times New Roman" w:hAnsi="Times New Roman" w:cs="Times New Roman"/>
          <w:sz w:val="24"/>
          <w:szCs w:val="24"/>
        </w:rPr>
        <w:t xml:space="preserve">. As soon as the ligand is activated, the ER forms a dimer and binds to particular DNA sequences called estrogen-responsive elements, which are found in the promoters of target genes </w:t>
      </w:r>
      <w:r w:rsidR="003A1EA7">
        <w:rPr>
          <w:rFonts w:ascii="Times New Roman" w:hAnsi="Times New Roman" w:cs="Times New Roman"/>
          <w:sz w:val="24"/>
          <w:szCs w:val="24"/>
        </w:rPr>
        <w:t>[</w:t>
      </w:r>
      <w:r w:rsidRPr="00CF6F66">
        <w:rPr>
          <w:rFonts w:ascii="Times New Roman" w:hAnsi="Times New Roman" w:cs="Times New Roman"/>
          <w:sz w:val="24"/>
          <w:szCs w:val="24"/>
        </w:rPr>
        <w:t xml:space="preserve">Kenneth </w:t>
      </w:r>
      <w:r w:rsidR="00ED128B">
        <w:rPr>
          <w:rFonts w:ascii="Times New Roman" w:hAnsi="Times New Roman" w:cs="Times New Roman"/>
          <w:sz w:val="24"/>
          <w:szCs w:val="24"/>
        </w:rPr>
        <w:t xml:space="preserve">et al., </w:t>
      </w:r>
      <w:r w:rsidRPr="00CF6F66">
        <w:rPr>
          <w:rFonts w:ascii="Times New Roman" w:hAnsi="Times New Roman" w:cs="Times New Roman"/>
          <w:sz w:val="24"/>
          <w:szCs w:val="24"/>
        </w:rPr>
        <w:t>2000</w:t>
      </w:r>
      <w:r w:rsidR="003A1EA7">
        <w:rPr>
          <w:rFonts w:ascii="Times New Roman" w:hAnsi="Times New Roman" w:cs="Times New Roman"/>
          <w:sz w:val="24"/>
          <w:szCs w:val="24"/>
        </w:rPr>
        <w:t>]</w:t>
      </w:r>
      <w:r w:rsidRPr="00CF6F66">
        <w:rPr>
          <w:rFonts w:ascii="Times New Roman" w:hAnsi="Times New Roman" w:cs="Times New Roman"/>
          <w:sz w:val="24"/>
          <w:szCs w:val="24"/>
        </w:rPr>
        <w:t>. Both the male and female reproductive tracts, breast, and brain express the two ER isoforms, ER- and ER-. In EC cells, ER- predominates and frequently influences genes that promote growth. The prostate epithelial cells exhibit the highest levels of ER- expression</w:t>
      </w:r>
      <w:r>
        <w:rPr>
          <w:rFonts w:ascii="Times New Roman" w:hAnsi="Times New Roman" w:cs="Times New Roman"/>
          <w:sz w:val="24"/>
          <w:szCs w:val="24"/>
        </w:rPr>
        <w:t xml:space="preserve"> </w:t>
      </w:r>
      <w:r w:rsidR="003A1EA7">
        <w:rPr>
          <w:rFonts w:ascii="Times New Roman" w:hAnsi="Times New Roman" w:cs="Times New Roman"/>
          <w:sz w:val="24"/>
          <w:szCs w:val="24"/>
        </w:rPr>
        <w:t>[</w:t>
      </w:r>
      <w:r w:rsidR="00284BC2" w:rsidRPr="001839B7">
        <w:rPr>
          <w:rFonts w:ascii="Times New Roman" w:hAnsi="Times New Roman" w:cs="Times New Roman"/>
          <w:bCs/>
          <w:sz w:val="24"/>
          <w:szCs w:val="24"/>
        </w:rPr>
        <w:t xml:space="preserve">David </w:t>
      </w:r>
      <w:r w:rsidR="00ED128B" w:rsidRPr="003A1EA7">
        <w:rPr>
          <w:rFonts w:ascii="Times New Roman" w:hAnsi="Times New Roman" w:cs="Times New Roman"/>
          <w:bCs/>
          <w:iCs/>
          <w:sz w:val="24"/>
          <w:szCs w:val="24"/>
        </w:rPr>
        <w:t>et al.,</w:t>
      </w:r>
      <w:r w:rsidR="00ED128B">
        <w:rPr>
          <w:rFonts w:ascii="Times New Roman" w:hAnsi="Times New Roman" w:cs="Times New Roman"/>
          <w:bCs/>
          <w:i/>
          <w:sz w:val="24"/>
          <w:szCs w:val="24"/>
        </w:rPr>
        <w:t xml:space="preserve"> </w:t>
      </w:r>
      <w:r w:rsidR="00284BC2" w:rsidRPr="001839B7">
        <w:rPr>
          <w:rFonts w:ascii="Times New Roman" w:hAnsi="Times New Roman" w:cs="Times New Roman"/>
          <w:bCs/>
          <w:sz w:val="24"/>
          <w:szCs w:val="24"/>
        </w:rPr>
        <w:t>2011</w:t>
      </w:r>
      <w:r w:rsidR="003A1EA7">
        <w:rPr>
          <w:rFonts w:ascii="Times New Roman" w:hAnsi="Times New Roman" w:cs="Times New Roman"/>
          <w:bCs/>
          <w:sz w:val="24"/>
          <w:szCs w:val="24"/>
        </w:rPr>
        <w:t>]</w:t>
      </w:r>
      <w:r w:rsidR="00284BC2" w:rsidRPr="001839B7">
        <w:rPr>
          <w:rFonts w:ascii="Times New Roman" w:hAnsi="Times New Roman" w:cs="Times New Roman"/>
          <w:sz w:val="24"/>
          <w:szCs w:val="24"/>
        </w:rPr>
        <w:t>.</w:t>
      </w:r>
    </w:p>
    <w:p w14:paraId="1E6E224A"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Inflammatory marker</w:t>
      </w:r>
    </w:p>
    <w:p w14:paraId="0226349F"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lastRenderedPageBreak/>
        <w:t>TNF-α</w:t>
      </w:r>
    </w:p>
    <w:p w14:paraId="0EBD7309" w14:textId="2D41B819" w:rsidR="00284BC2" w:rsidRPr="001839B7" w:rsidRDefault="00CF6F66"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CF6F66">
        <w:rPr>
          <w:rFonts w:ascii="Times New Roman" w:hAnsi="Times New Roman" w:cs="Times New Roman"/>
          <w:sz w:val="24"/>
          <w:szCs w:val="24"/>
        </w:rPr>
        <w:t xml:space="preserve">A potent pro-inflammatory cytokine called tumor necrosis factor (TNF) is typically produced by activated macrophages and other cells in response to tissue damage or persistent inflammation </w:t>
      </w:r>
      <w:r w:rsidR="00ED128B">
        <w:rPr>
          <w:rFonts w:ascii="Times New Roman" w:hAnsi="Times New Roman" w:cs="Times New Roman"/>
          <w:sz w:val="24"/>
          <w:szCs w:val="24"/>
        </w:rPr>
        <w:t>[</w:t>
      </w:r>
      <w:r w:rsidRPr="00CF6F66">
        <w:rPr>
          <w:rFonts w:ascii="Times New Roman" w:hAnsi="Times New Roman" w:cs="Times New Roman"/>
          <w:sz w:val="24"/>
          <w:szCs w:val="24"/>
        </w:rPr>
        <w:t xml:space="preserve">Diez </w:t>
      </w:r>
      <w:r w:rsidR="00ED128B">
        <w:rPr>
          <w:rFonts w:ascii="Times New Roman" w:hAnsi="Times New Roman" w:cs="Times New Roman"/>
          <w:sz w:val="24"/>
          <w:szCs w:val="24"/>
        </w:rPr>
        <w:t xml:space="preserve">et al., </w:t>
      </w:r>
      <w:r w:rsidRPr="00CF6F66">
        <w:rPr>
          <w:rFonts w:ascii="Times New Roman" w:hAnsi="Times New Roman" w:cs="Times New Roman"/>
          <w:sz w:val="24"/>
          <w:szCs w:val="24"/>
        </w:rPr>
        <w:t>1995</w:t>
      </w:r>
      <w:r w:rsidR="00ED128B">
        <w:rPr>
          <w:rFonts w:ascii="Times New Roman" w:hAnsi="Times New Roman" w:cs="Times New Roman"/>
          <w:sz w:val="24"/>
          <w:szCs w:val="24"/>
        </w:rPr>
        <w:t>]</w:t>
      </w:r>
      <w:r w:rsidRPr="00CF6F66">
        <w:rPr>
          <w:rFonts w:ascii="Times New Roman" w:hAnsi="Times New Roman" w:cs="Times New Roman"/>
          <w:sz w:val="24"/>
          <w:szCs w:val="24"/>
        </w:rPr>
        <w:t xml:space="preserve">. TNF- has the potential to play a role in cancer and metastasis through its pro-inflammatory actions because it triggers ROS, which can damage DNA and prevent DNA repair </w:t>
      </w:r>
      <w:r w:rsidR="003A1EA7">
        <w:rPr>
          <w:rFonts w:ascii="Times New Roman" w:hAnsi="Times New Roman" w:cs="Times New Roman"/>
          <w:sz w:val="24"/>
          <w:szCs w:val="24"/>
        </w:rPr>
        <w:t>[</w:t>
      </w:r>
      <w:r w:rsidRPr="00CF6F66">
        <w:rPr>
          <w:rFonts w:ascii="Times New Roman" w:hAnsi="Times New Roman" w:cs="Times New Roman"/>
          <w:sz w:val="24"/>
          <w:szCs w:val="24"/>
        </w:rPr>
        <w:t>Balkwill, 2002</w:t>
      </w:r>
      <w:r w:rsidR="003A1EA7">
        <w:rPr>
          <w:rFonts w:ascii="Times New Roman" w:hAnsi="Times New Roman" w:cs="Times New Roman"/>
          <w:sz w:val="24"/>
          <w:szCs w:val="24"/>
        </w:rPr>
        <w:t>]</w:t>
      </w:r>
      <w:r w:rsidRPr="00CF6F66">
        <w:rPr>
          <w:rFonts w:ascii="Times New Roman" w:hAnsi="Times New Roman" w:cs="Times New Roman"/>
          <w:sz w:val="24"/>
          <w:szCs w:val="24"/>
        </w:rPr>
        <w:t xml:space="preserve">. TNF- has been linked to the cyclic shedding and regeneration of endometrium </w:t>
      </w:r>
      <w:r w:rsidR="00ED128B">
        <w:rPr>
          <w:rFonts w:ascii="Times New Roman" w:hAnsi="Times New Roman" w:cs="Times New Roman"/>
          <w:sz w:val="24"/>
          <w:szCs w:val="24"/>
        </w:rPr>
        <w:t>[</w:t>
      </w:r>
      <w:r w:rsidRPr="00CF6F66">
        <w:rPr>
          <w:rFonts w:ascii="Times New Roman" w:hAnsi="Times New Roman" w:cs="Times New Roman"/>
          <w:sz w:val="24"/>
          <w:szCs w:val="24"/>
        </w:rPr>
        <w:t>Haider and Knofler, 2009</w:t>
      </w:r>
      <w:r w:rsidR="00ED128B">
        <w:rPr>
          <w:rFonts w:ascii="Times New Roman" w:hAnsi="Times New Roman" w:cs="Times New Roman"/>
          <w:sz w:val="24"/>
          <w:szCs w:val="24"/>
        </w:rPr>
        <w:t>]</w:t>
      </w:r>
      <w:r w:rsidRPr="00CF6F66">
        <w:rPr>
          <w:rFonts w:ascii="Times New Roman" w:hAnsi="Times New Roman" w:cs="Times New Roman"/>
          <w:sz w:val="24"/>
          <w:szCs w:val="24"/>
        </w:rPr>
        <w:t>, and patients with endometrial carcinoma have been found to have elevated TNF- serum concentrations</w:t>
      </w:r>
      <w:r>
        <w:rPr>
          <w:rFonts w:ascii="Times New Roman" w:hAnsi="Times New Roman" w:cs="Times New Roman"/>
          <w:sz w:val="24"/>
          <w:szCs w:val="24"/>
        </w:rPr>
        <w:t xml:space="preserve"> </w:t>
      </w:r>
      <w:r w:rsidR="00ED128B">
        <w:rPr>
          <w:rFonts w:ascii="Times New Roman" w:hAnsi="Times New Roman" w:cs="Times New Roman"/>
          <w:sz w:val="24"/>
          <w:szCs w:val="24"/>
        </w:rPr>
        <w:t>[</w:t>
      </w:r>
      <w:r w:rsidR="00284BC2" w:rsidRPr="001839B7">
        <w:rPr>
          <w:rFonts w:ascii="Times New Roman" w:hAnsi="Times New Roman" w:cs="Times New Roman"/>
          <w:sz w:val="24"/>
          <w:szCs w:val="24"/>
        </w:rPr>
        <w:t xml:space="preserve">Chopra </w:t>
      </w:r>
      <w:r w:rsidR="00ED128B" w:rsidRPr="00ED128B">
        <w:rPr>
          <w:rFonts w:ascii="Times New Roman" w:hAnsi="Times New Roman" w:cs="Times New Roman"/>
          <w:iCs/>
          <w:sz w:val="24"/>
          <w:szCs w:val="24"/>
        </w:rPr>
        <w:t>et al.,</w:t>
      </w:r>
      <w:r w:rsidR="00ED128B">
        <w:rPr>
          <w:rFonts w:ascii="Times New Roman" w:hAnsi="Times New Roman" w:cs="Times New Roman"/>
          <w:i/>
          <w:sz w:val="24"/>
          <w:szCs w:val="24"/>
        </w:rPr>
        <w:t xml:space="preserve"> </w:t>
      </w:r>
      <w:r w:rsidR="00284BC2" w:rsidRPr="001839B7">
        <w:rPr>
          <w:rFonts w:ascii="Times New Roman" w:hAnsi="Times New Roman" w:cs="Times New Roman"/>
          <w:sz w:val="24"/>
          <w:szCs w:val="24"/>
        </w:rPr>
        <w:t>1997</w:t>
      </w:r>
      <w:r w:rsidR="00ED128B">
        <w:rPr>
          <w:rFonts w:ascii="Times New Roman" w:hAnsi="Times New Roman" w:cs="Times New Roman"/>
          <w:sz w:val="24"/>
          <w:szCs w:val="24"/>
        </w:rPr>
        <w:t>]</w:t>
      </w:r>
      <w:r w:rsidR="00284BC2" w:rsidRPr="001839B7">
        <w:rPr>
          <w:rFonts w:ascii="Times New Roman" w:hAnsi="Times New Roman" w:cs="Times New Roman"/>
          <w:sz w:val="24"/>
          <w:szCs w:val="24"/>
        </w:rPr>
        <w:t>.</w:t>
      </w:r>
    </w:p>
    <w:p w14:paraId="14F2C763"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COX-2</w:t>
      </w:r>
    </w:p>
    <w:p w14:paraId="40D7E467" w14:textId="651D683C" w:rsidR="00284BC2" w:rsidRPr="00ED128B" w:rsidRDefault="00CF6F66" w:rsidP="001839B7">
      <w:pPr>
        <w:pStyle w:val="Default"/>
        <w:tabs>
          <w:tab w:val="left" w:pos="90"/>
        </w:tabs>
        <w:spacing w:before="120" w:after="120" w:line="360" w:lineRule="auto"/>
        <w:jc w:val="both"/>
        <w:rPr>
          <w:rFonts w:ascii="Times New Roman" w:hAnsi="Times New Roman" w:cs="Times New Roman"/>
          <w:iCs/>
        </w:rPr>
      </w:pPr>
      <w:r w:rsidRPr="00CF6F66">
        <w:rPr>
          <w:rFonts w:ascii="Times New Roman" w:hAnsi="Times New Roman" w:cs="Times New Roman"/>
          <w:color w:val="auto"/>
        </w:rPr>
        <w:t xml:space="preserve">The enzyme cyclooxygenase, which is stimulated by many factors including mitogens and tumor promoters, is the rate-limiting step in the conversion of arachidonic acid to prostaglandin synthesis. Numerous human epithelial cancer cells, as well as eutopic and ectopic endometrial tissue, have been found to have aberrant COX-2 expression, according to some earlier studies </w:t>
      </w:r>
      <w:r w:rsidR="00ED128B">
        <w:rPr>
          <w:rFonts w:ascii="Times New Roman" w:hAnsi="Times New Roman" w:cs="Times New Roman"/>
          <w:color w:val="auto"/>
        </w:rPr>
        <w:t>[</w:t>
      </w:r>
      <w:r w:rsidRPr="00CF6F66">
        <w:rPr>
          <w:rFonts w:ascii="Times New Roman" w:hAnsi="Times New Roman" w:cs="Times New Roman"/>
          <w:color w:val="auto"/>
        </w:rPr>
        <w:t xml:space="preserve">Fagotti </w:t>
      </w:r>
      <w:r w:rsidR="00ED128B">
        <w:rPr>
          <w:rFonts w:ascii="Times New Roman" w:hAnsi="Times New Roman" w:cs="Times New Roman"/>
          <w:color w:val="auto"/>
        </w:rPr>
        <w:t xml:space="preserve">et al., </w:t>
      </w:r>
      <w:r w:rsidRPr="00CF6F66">
        <w:rPr>
          <w:rFonts w:ascii="Times New Roman" w:hAnsi="Times New Roman" w:cs="Times New Roman"/>
          <w:color w:val="auto"/>
        </w:rPr>
        <w:t>2004</w:t>
      </w:r>
      <w:r w:rsidR="00ED128B">
        <w:rPr>
          <w:rFonts w:ascii="Times New Roman" w:hAnsi="Times New Roman" w:cs="Times New Roman"/>
          <w:color w:val="auto"/>
        </w:rPr>
        <w:t>]</w:t>
      </w:r>
      <w:r w:rsidRPr="00CF6F66">
        <w:rPr>
          <w:rFonts w:ascii="Times New Roman" w:hAnsi="Times New Roman" w:cs="Times New Roman"/>
          <w:color w:val="auto"/>
        </w:rPr>
        <w:t xml:space="preserve">. According to Ferrandina </w:t>
      </w:r>
      <w:r w:rsidR="00156FF0">
        <w:rPr>
          <w:rFonts w:ascii="Times New Roman" w:hAnsi="Times New Roman" w:cs="Times New Roman"/>
          <w:color w:val="auto"/>
        </w:rPr>
        <w:t>et al.,</w:t>
      </w:r>
      <w:r w:rsidR="00ED128B">
        <w:rPr>
          <w:rFonts w:ascii="Times New Roman" w:hAnsi="Times New Roman" w:cs="Times New Roman"/>
          <w:color w:val="auto"/>
        </w:rPr>
        <w:t xml:space="preserve"> </w:t>
      </w:r>
      <w:r w:rsidRPr="00CF6F66">
        <w:rPr>
          <w:rFonts w:ascii="Times New Roman" w:hAnsi="Times New Roman" w:cs="Times New Roman"/>
          <w:color w:val="auto"/>
        </w:rPr>
        <w:t>(2002), COX-2 overexpression is an unfavorable outcome for cervical carcinoma patients and a key indicator of how well chemotherapy is working. Compared to the expression in the normal endometrium, COX-2 is highly expressed in endometrial hyperplasia and carcinoma</w:t>
      </w:r>
      <w:r>
        <w:rPr>
          <w:rFonts w:ascii="Times New Roman" w:hAnsi="Times New Roman" w:cs="Times New Roman"/>
          <w:color w:val="auto"/>
        </w:rPr>
        <w:t xml:space="preserve"> </w:t>
      </w:r>
      <w:r w:rsidR="00ED128B">
        <w:rPr>
          <w:rFonts w:ascii="Times New Roman" w:hAnsi="Times New Roman" w:cs="Times New Roman"/>
        </w:rPr>
        <w:t>[</w:t>
      </w:r>
      <w:r w:rsidR="00284BC2" w:rsidRPr="001839B7">
        <w:rPr>
          <w:rFonts w:ascii="Times New Roman" w:hAnsi="Times New Roman" w:cs="Times New Roman"/>
        </w:rPr>
        <w:t xml:space="preserve">Comerci </w:t>
      </w:r>
      <w:r w:rsidR="00156FF0" w:rsidRPr="00ED128B">
        <w:rPr>
          <w:rFonts w:ascii="Times New Roman" w:hAnsi="Times New Roman" w:cs="Times New Roman"/>
          <w:iCs/>
        </w:rPr>
        <w:t>et al</w:t>
      </w:r>
      <w:r w:rsidR="00284BC2" w:rsidRPr="00ED128B">
        <w:rPr>
          <w:rFonts w:ascii="Times New Roman" w:hAnsi="Times New Roman" w:cs="Times New Roman"/>
          <w:iCs/>
        </w:rPr>
        <w:t xml:space="preserve">., 2000; Tong </w:t>
      </w:r>
      <w:r w:rsidR="00156FF0" w:rsidRPr="00ED128B">
        <w:rPr>
          <w:rFonts w:ascii="Times New Roman" w:hAnsi="Times New Roman" w:cs="Times New Roman"/>
          <w:iCs/>
        </w:rPr>
        <w:t>et al</w:t>
      </w:r>
      <w:r w:rsidR="00ED128B">
        <w:rPr>
          <w:rFonts w:ascii="Times New Roman" w:hAnsi="Times New Roman" w:cs="Times New Roman"/>
          <w:iCs/>
        </w:rPr>
        <w:t>.</w:t>
      </w:r>
      <w:r w:rsidR="00284BC2" w:rsidRPr="00ED128B">
        <w:rPr>
          <w:rFonts w:ascii="Times New Roman" w:hAnsi="Times New Roman" w:cs="Times New Roman"/>
          <w:iCs/>
        </w:rPr>
        <w:t>, 2000</w:t>
      </w:r>
      <w:r w:rsidR="00ED128B">
        <w:rPr>
          <w:rFonts w:ascii="Times New Roman" w:hAnsi="Times New Roman" w:cs="Times New Roman"/>
          <w:iCs/>
        </w:rPr>
        <w:t>]</w:t>
      </w:r>
      <w:r w:rsidR="00284BC2" w:rsidRPr="00ED128B">
        <w:rPr>
          <w:rFonts w:ascii="Times New Roman" w:hAnsi="Times New Roman" w:cs="Times New Roman"/>
          <w:iCs/>
          <w:color w:val="auto"/>
        </w:rPr>
        <w:t>.</w:t>
      </w:r>
      <w:r w:rsidR="00284BC2" w:rsidRPr="00ED128B">
        <w:rPr>
          <w:rFonts w:ascii="Times New Roman" w:hAnsi="Times New Roman" w:cs="Times New Roman"/>
          <w:iCs/>
        </w:rPr>
        <w:t xml:space="preserve"> </w:t>
      </w:r>
    </w:p>
    <w:p w14:paraId="3562092D" w14:textId="77777777" w:rsidR="00284BC2" w:rsidRPr="001839B7" w:rsidRDefault="00284BC2" w:rsidP="001839B7">
      <w:pPr>
        <w:pStyle w:val="Default"/>
        <w:tabs>
          <w:tab w:val="left" w:pos="90"/>
        </w:tabs>
        <w:spacing w:before="120" w:after="120" w:line="360" w:lineRule="auto"/>
        <w:jc w:val="both"/>
        <w:rPr>
          <w:rFonts w:ascii="Times New Roman" w:hAnsi="Times New Roman" w:cs="Times New Roman"/>
          <w:b/>
          <w:bCs/>
          <w:color w:val="auto"/>
        </w:rPr>
      </w:pPr>
      <w:r w:rsidRPr="001839B7">
        <w:rPr>
          <w:rFonts w:ascii="Times New Roman" w:hAnsi="Times New Roman" w:cs="Times New Roman"/>
          <w:b/>
          <w:bCs/>
          <w:color w:val="auto"/>
        </w:rPr>
        <w:t>Circulating Plasma/Serum-Nucleic acids</w:t>
      </w:r>
    </w:p>
    <w:p w14:paraId="0D06E150" w14:textId="0F2CC88C" w:rsidR="00284BC2" w:rsidRPr="001839B7" w:rsidRDefault="00284BC2" w:rsidP="001839B7">
      <w:pPr>
        <w:pStyle w:val="Default"/>
        <w:tabs>
          <w:tab w:val="left" w:pos="90"/>
        </w:tabs>
        <w:spacing w:before="120" w:after="120" w:line="360" w:lineRule="auto"/>
        <w:jc w:val="both"/>
        <w:rPr>
          <w:rFonts w:ascii="Times New Roman" w:hAnsi="Times New Roman" w:cs="Times New Roman"/>
          <w:color w:val="auto"/>
        </w:rPr>
      </w:pPr>
      <w:r w:rsidRPr="001839B7">
        <w:rPr>
          <w:rFonts w:ascii="Times New Roman" w:hAnsi="Times New Roman" w:cs="Times New Roman"/>
          <w:color w:val="auto"/>
        </w:rPr>
        <w:t>Human blood contains Circulating free DNA in a variety of forms, including naked (unbound) DNA, DNA linked to histones (mononucleosomes and oligonucleosomes), DNA bound to plasma proteins, and DNA encapsulated in apoptotic bodies. Typically, circulating nucleosomes are quantified using ELISAs, or enzyme-linked immunosorbent assays. Elevated levels of circulating nucleosomes have been seen in the blood, regardless of the histological cancer type [</w:t>
      </w:r>
      <w:r w:rsidR="00312C02" w:rsidRPr="00312C02">
        <w:rPr>
          <w:rFonts w:ascii="Times New Roman" w:hAnsi="Times New Roman" w:cs="Times New Roman"/>
          <w:color w:val="auto"/>
        </w:rPr>
        <w:t xml:space="preserve">Holdenrieder </w:t>
      </w:r>
      <w:r w:rsidR="00156FF0">
        <w:rPr>
          <w:rFonts w:ascii="Times New Roman" w:hAnsi="Times New Roman" w:cs="Times New Roman"/>
          <w:color w:val="auto"/>
        </w:rPr>
        <w:t xml:space="preserve">et al., </w:t>
      </w:r>
      <w:r w:rsidR="00312C02" w:rsidRPr="00312C02">
        <w:rPr>
          <w:rFonts w:ascii="Times New Roman" w:hAnsi="Times New Roman" w:cs="Times New Roman"/>
          <w:color w:val="auto"/>
        </w:rPr>
        <w:t>2008</w:t>
      </w:r>
      <w:r w:rsidRPr="001839B7">
        <w:rPr>
          <w:rFonts w:ascii="Times New Roman" w:hAnsi="Times New Roman" w:cs="Times New Roman"/>
          <w:color w:val="auto"/>
        </w:rPr>
        <w:t>]. Since they cannot distinguish between benign and malignant breast lesions and uterus lesions, this increase in breast tumors does not appear to be cancer-specific [</w:t>
      </w:r>
      <w:r w:rsidR="00312C02" w:rsidRPr="00312C02">
        <w:rPr>
          <w:rFonts w:ascii="Times New Roman" w:hAnsi="Times New Roman" w:cs="Times New Roman"/>
          <w:color w:val="auto"/>
        </w:rPr>
        <w:t xml:space="preserve">Roth </w:t>
      </w:r>
      <w:r w:rsidR="00156FF0">
        <w:rPr>
          <w:rFonts w:ascii="Times New Roman" w:hAnsi="Times New Roman" w:cs="Times New Roman"/>
          <w:color w:val="auto"/>
        </w:rPr>
        <w:t>et al.,</w:t>
      </w:r>
      <w:r w:rsidR="00312C02" w:rsidRPr="00312C02">
        <w:rPr>
          <w:rFonts w:ascii="Times New Roman" w:hAnsi="Times New Roman" w:cs="Times New Roman"/>
          <w:color w:val="auto"/>
        </w:rPr>
        <w:t xml:space="preserve"> 2010</w:t>
      </w:r>
      <w:r w:rsidRPr="001839B7">
        <w:rPr>
          <w:rFonts w:ascii="Times New Roman" w:hAnsi="Times New Roman" w:cs="Times New Roman"/>
          <w:color w:val="auto"/>
        </w:rPr>
        <w:t>]. On the basis of the correlation between the concentrations of circulating nucleosomes and the activities of serum caspases-3 and -7, which are involved in the apoptotic pathway, circulating nucleosomes can be used as a sensitive marker for apoptotic cell death. According to research conducted in my lab, the progression of cancer may be related to changes in the apoptosis-related deregulation of proteolytic activities and elevated serum nucleosome levels [</w:t>
      </w:r>
      <w:r w:rsidR="00312C02" w:rsidRPr="00312C02">
        <w:rPr>
          <w:rFonts w:ascii="Times New Roman" w:hAnsi="Times New Roman" w:cs="Times New Roman"/>
          <w:color w:val="auto"/>
        </w:rPr>
        <w:t xml:space="preserve">Roth </w:t>
      </w:r>
      <w:r w:rsidR="00156FF0">
        <w:rPr>
          <w:rFonts w:ascii="Times New Roman" w:hAnsi="Times New Roman" w:cs="Times New Roman"/>
          <w:color w:val="auto"/>
        </w:rPr>
        <w:t xml:space="preserve">et al., </w:t>
      </w:r>
      <w:r w:rsidR="00312C02" w:rsidRPr="00312C02">
        <w:rPr>
          <w:rFonts w:ascii="Times New Roman" w:hAnsi="Times New Roman" w:cs="Times New Roman"/>
          <w:color w:val="auto"/>
        </w:rPr>
        <w:t>2010</w:t>
      </w:r>
      <w:r w:rsidRPr="001839B7">
        <w:rPr>
          <w:rFonts w:ascii="Times New Roman" w:hAnsi="Times New Roman" w:cs="Times New Roman"/>
          <w:color w:val="auto"/>
        </w:rPr>
        <w:t xml:space="preserve">]. Circulating nucleosome levels dropped in cancer </w:t>
      </w:r>
      <w:r w:rsidRPr="001839B7">
        <w:rPr>
          <w:rFonts w:ascii="Times New Roman" w:hAnsi="Times New Roman" w:cs="Times New Roman"/>
          <w:color w:val="auto"/>
        </w:rPr>
        <w:lastRenderedPageBreak/>
        <w:t>patients after mastectomy and rose in those who experienced recurrence. Significantly, their quantification may be a leukopenia predictor [</w:t>
      </w:r>
      <w:r w:rsidR="00312C02" w:rsidRPr="00312C02">
        <w:rPr>
          <w:rFonts w:ascii="Times New Roman" w:hAnsi="Times New Roman" w:cs="Times New Roman"/>
          <w:color w:val="auto"/>
        </w:rPr>
        <w:t xml:space="preserve">Kuroi </w:t>
      </w:r>
      <w:r w:rsidR="00156FF0">
        <w:rPr>
          <w:rFonts w:ascii="Times New Roman" w:hAnsi="Times New Roman" w:cs="Times New Roman"/>
          <w:color w:val="auto"/>
        </w:rPr>
        <w:t>et al.,</w:t>
      </w:r>
      <w:r w:rsidR="00312C02" w:rsidRPr="00312C02">
        <w:rPr>
          <w:rFonts w:ascii="Times New Roman" w:hAnsi="Times New Roman" w:cs="Times New Roman"/>
          <w:color w:val="auto"/>
        </w:rPr>
        <w:t xml:space="preserve"> 2001</w:t>
      </w:r>
      <w:r w:rsidRPr="001839B7">
        <w:rPr>
          <w:rFonts w:ascii="Times New Roman" w:hAnsi="Times New Roman" w:cs="Times New Roman"/>
          <w:color w:val="auto"/>
        </w:rPr>
        <w:t>].</w:t>
      </w:r>
    </w:p>
    <w:p w14:paraId="5BFE64FF"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Apoptosis</w:t>
      </w:r>
    </w:p>
    <w:p w14:paraId="5EA134F0" w14:textId="77777777" w:rsidR="00B0781C" w:rsidRDefault="00B0781C"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B0781C">
        <w:rPr>
          <w:rFonts w:ascii="Times New Roman" w:hAnsi="Times New Roman" w:cs="Times New Roman"/>
          <w:sz w:val="24"/>
          <w:szCs w:val="24"/>
        </w:rPr>
        <w:t xml:space="preserve">Apoptosis (programmed cell death) has been linked to the regulation of several physiological processes, including immune system control, normal cell turnover, embryonic development, and hormone-dependent tissue atrophy. </w:t>
      </w:r>
    </w:p>
    <w:p w14:paraId="381248B1" w14:textId="2BF4850E"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Extrinsic pathway</w:t>
      </w:r>
    </w:p>
    <w:p w14:paraId="307B782E" w14:textId="2B364B50" w:rsidR="00284BC2" w:rsidRPr="001839B7" w:rsidRDefault="00B0781C"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B0781C">
        <w:rPr>
          <w:rFonts w:ascii="Times New Roman" w:hAnsi="Times New Roman" w:cs="Times New Roman"/>
          <w:sz w:val="24"/>
          <w:szCs w:val="24"/>
        </w:rPr>
        <w:t>The extrinsic pathway is activated by the ligation of transmembrane death receptors (CD95, TNF receptor, and TRAIL receptor) to cause membrane-proximal (activator) caspases (caspase-8 and 10), which in turn cause (effector) caspases like caspase-3 and 7 to cleave and become active. When a ligand binds to these receptors, the receptors oligomerize and FADD and/or TRADD, two adaptor proteins with death domains, are recruited. As a result, Pro-Caspase-8 and Pro-Caspase-10 are recruited by FADD during its death effector domain. Pro-Caspase-8 and Pro-Caspase-10 are cleaved as a result of the death-inducing signaling complex (DISC) being formed in the cytosol close to a death receptor</w:t>
      </w:r>
      <w:r>
        <w:rPr>
          <w:rFonts w:ascii="Times New Roman" w:hAnsi="Times New Roman" w:cs="Times New Roman"/>
          <w:sz w:val="24"/>
          <w:szCs w:val="24"/>
        </w:rPr>
        <w:t xml:space="preserve"> </w:t>
      </w:r>
      <w:r w:rsidR="000F0A41">
        <w:rPr>
          <w:rFonts w:ascii="Times New Roman" w:hAnsi="Times New Roman" w:cs="Times New Roman"/>
          <w:sz w:val="24"/>
          <w:szCs w:val="24"/>
        </w:rPr>
        <w:t>[</w:t>
      </w:r>
      <w:r w:rsidR="00284BC2" w:rsidRPr="001839B7">
        <w:rPr>
          <w:rFonts w:ascii="Times New Roman" w:hAnsi="Times New Roman" w:cs="Times New Roman"/>
          <w:sz w:val="24"/>
          <w:szCs w:val="24"/>
        </w:rPr>
        <w:t xml:space="preserve">Zimmerman </w:t>
      </w:r>
      <w:r w:rsidR="00156FF0" w:rsidRPr="000F0A41">
        <w:rPr>
          <w:rFonts w:ascii="Times New Roman" w:hAnsi="Times New Roman" w:cs="Times New Roman"/>
          <w:iCs/>
          <w:sz w:val="24"/>
          <w:szCs w:val="24"/>
        </w:rPr>
        <w:t>et al</w:t>
      </w:r>
      <w:r w:rsidR="000F0A41">
        <w:rPr>
          <w:rFonts w:ascii="Times New Roman" w:hAnsi="Times New Roman" w:cs="Times New Roman"/>
          <w:iCs/>
          <w:sz w:val="24"/>
          <w:szCs w:val="24"/>
        </w:rPr>
        <w:t>.,</w:t>
      </w:r>
      <w:r w:rsidR="00284BC2" w:rsidRPr="001839B7">
        <w:rPr>
          <w:rFonts w:ascii="Times New Roman" w:hAnsi="Times New Roman" w:cs="Times New Roman"/>
          <w:i/>
          <w:sz w:val="24"/>
          <w:szCs w:val="24"/>
        </w:rPr>
        <w:t xml:space="preserve"> </w:t>
      </w:r>
      <w:r w:rsidR="00284BC2" w:rsidRPr="001839B7">
        <w:rPr>
          <w:rFonts w:ascii="Times New Roman" w:hAnsi="Times New Roman" w:cs="Times New Roman"/>
          <w:sz w:val="24"/>
          <w:szCs w:val="24"/>
        </w:rPr>
        <w:t>2002</w:t>
      </w:r>
      <w:r w:rsidR="000F0A41">
        <w:rPr>
          <w:rFonts w:ascii="Times New Roman" w:hAnsi="Times New Roman" w:cs="Times New Roman"/>
          <w:sz w:val="24"/>
          <w:szCs w:val="24"/>
        </w:rPr>
        <w:t>]</w:t>
      </w:r>
      <w:r w:rsidR="00284BC2" w:rsidRPr="001839B7">
        <w:rPr>
          <w:rFonts w:ascii="Times New Roman" w:hAnsi="Times New Roman" w:cs="Times New Roman"/>
          <w:sz w:val="24"/>
          <w:szCs w:val="24"/>
        </w:rPr>
        <w:t>.</w:t>
      </w:r>
    </w:p>
    <w:p w14:paraId="0BBE5A4D"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Intrinsic pathway</w:t>
      </w:r>
    </w:p>
    <w:p w14:paraId="383EB873" w14:textId="77777777" w:rsidR="00FA357D" w:rsidRDefault="00FA357D"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FA357D">
        <w:rPr>
          <w:rFonts w:ascii="Times New Roman" w:hAnsi="Times New Roman" w:cs="Times New Roman"/>
          <w:sz w:val="24"/>
          <w:szCs w:val="24"/>
        </w:rPr>
        <w:t xml:space="preserve">The intrinsic pathways involve rupturing the mitochondrial membrane and releasing mitochondrial proteins, such as Smac/DIABLO and cytochrome c, which cooperate with Apaf-1 to cause caspase-9 activation. The opposite behaviors of the pro- and anti-apoptotic Bcl-2 family members are coordinated with the permeabilization of the mitochondrial membrane. Bak and Bax are two examples of multi-domain proapoptotic Bcl-2 proteins that can interact with the BH3-only Bcl-2 protein Bid later. </w:t>
      </w:r>
    </w:p>
    <w:p w14:paraId="7220491C" w14:textId="0D420176"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Caspases 3 and 9</w:t>
      </w:r>
    </w:p>
    <w:p w14:paraId="5BA1BE7E" w14:textId="7F96CB9E" w:rsidR="00284BC2" w:rsidRPr="00E247FE" w:rsidRDefault="00FA357D"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FA357D">
        <w:rPr>
          <w:rFonts w:ascii="Times New Roman" w:hAnsi="Times New Roman" w:cs="Times New Roman"/>
          <w:sz w:val="24"/>
          <w:szCs w:val="24"/>
        </w:rPr>
        <w:t>The large family of cysteine proteases known as caspases is primarily responsible for apoptosis's execution. In mammals, it is primarily divided into caspases-3, -6, -7, and 9, which are further divided into initiator (caspases-8 and -9) and executioner (caspases-3, -6, and -7). The inactive procaspase-3 form of caspase-3, a crucial apoptotic marker, is found in the cytosol of cells. It cleaves an inhibitor of caspase activated DNAse in order to enter the nucleus and fragment nuclear DNA. The functionally necessary starter of the apoptotic cascade is caspase-9. To cause apoptosis, caspase-9 initiates a caspase signaling cascade. Caspase 3 and 9 levels were found to be declining in EC</w:t>
      </w:r>
      <w:r>
        <w:rPr>
          <w:rFonts w:ascii="Times New Roman" w:hAnsi="Times New Roman" w:cs="Times New Roman"/>
          <w:sz w:val="24"/>
          <w:szCs w:val="24"/>
        </w:rPr>
        <w:t xml:space="preserve"> </w:t>
      </w:r>
      <w:r w:rsidR="000F0A41">
        <w:rPr>
          <w:rFonts w:ascii="Times New Roman" w:hAnsi="Times New Roman" w:cs="Times New Roman"/>
          <w:sz w:val="24"/>
          <w:szCs w:val="24"/>
        </w:rPr>
        <w:t>[</w:t>
      </w:r>
      <w:r w:rsidR="00284BC2" w:rsidRPr="00E247FE">
        <w:rPr>
          <w:rFonts w:ascii="Times New Roman" w:hAnsi="Times New Roman" w:cs="Times New Roman"/>
          <w:sz w:val="24"/>
          <w:szCs w:val="24"/>
        </w:rPr>
        <w:t xml:space="preserve">Zhao </w:t>
      </w:r>
      <w:r w:rsidR="00156FF0" w:rsidRPr="00E247FE">
        <w:rPr>
          <w:rFonts w:ascii="Times New Roman" w:hAnsi="Times New Roman" w:cs="Times New Roman"/>
          <w:sz w:val="24"/>
          <w:szCs w:val="24"/>
        </w:rPr>
        <w:t>et al</w:t>
      </w:r>
      <w:r w:rsidR="00E247FE">
        <w:rPr>
          <w:rFonts w:ascii="Times New Roman" w:hAnsi="Times New Roman" w:cs="Times New Roman"/>
          <w:sz w:val="24"/>
          <w:szCs w:val="24"/>
        </w:rPr>
        <w:t>.,</w:t>
      </w:r>
      <w:r w:rsidR="00284BC2" w:rsidRPr="00E247FE">
        <w:rPr>
          <w:rFonts w:ascii="Times New Roman" w:hAnsi="Times New Roman" w:cs="Times New Roman"/>
          <w:sz w:val="24"/>
          <w:szCs w:val="24"/>
        </w:rPr>
        <w:t xml:space="preserve"> 2006</w:t>
      </w:r>
      <w:r w:rsidR="000F0A41">
        <w:rPr>
          <w:rFonts w:ascii="Times New Roman" w:hAnsi="Times New Roman" w:cs="Times New Roman"/>
          <w:sz w:val="24"/>
          <w:szCs w:val="24"/>
        </w:rPr>
        <w:t>]</w:t>
      </w:r>
      <w:r w:rsidR="00284BC2" w:rsidRPr="00E247FE">
        <w:rPr>
          <w:rFonts w:ascii="Times New Roman" w:hAnsi="Times New Roman" w:cs="Times New Roman"/>
          <w:sz w:val="24"/>
          <w:szCs w:val="24"/>
        </w:rPr>
        <w:t>.</w:t>
      </w:r>
    </w:p>
    <w:p w14:paraId="6715C369"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lastRenderedPageBreak/>
        <w:t>Bax and Bcl-2 proteins</w:t>
      </w:r>
    </w:p>
    <w:p w14:paraId="48F6729A" w14:textId="25672D77" w:rsidR="00284BC2" w:rsidRPr="001839B7" w:rsidRDefault="00875E86" w:rsidP="001839B7">
      <w:pPr>
        <w:pStyle w:val="ListParagraph"/>
        <w:tabs>
          <w:tab w:val="left" w:pos="90"/>
        </w:tabs>
        <w:autoSpaceDE w:val="0"/>
        <w:autoSpaceDN w:val="0"/>
        <w:adjustRightInd w:val="0"/>
        <w:spacing w:before="120" w:after="120" w:line="360" w:lineRule="auto"/>
        <w:ind w:left="0"/>
        <w:jc w:val="both"/>
        <w:rPr>
          <w:rFonts w:ascii="Times New Roman" w:hAnsi="Times New Roman" w:cs="Times New Roman"/>
          <w:sz w:val="24"/>
          <w:szCs w:val="24"/>
        </w:rPr>
      </w:pPr>
      <w:r w:rsidRPr="00875E86">
        <w:rPr>
          <w:rFonts w:ascii="Times New Roman" w:hAnsi="Times New Roman" w:cs="Times New Roman"/>
          <w:sz w:val="24"/>
          <w:szCs w:val="24"/>
        </w:rPr>
        <w:t>The homodimerization of the pro-apoptotic protein Bax, which promotes cell death, is necessary. It induces apoptosis in response to genotoxic stress and safeguards cells from developing into cancerous tumors. Bax also forms heterodimers with Bcl-2 and inhibits Bcl-2's ability to prevent apoptosis. Few malignancies (colorectal, endometrial, and hemopoietic maligancies) that lack the expression of Bax led to the insertion or deletion of a single residue. This mutation could result in the loss of the immunodetctable Bax protein and a proximal frameshift</w:t>
      </w:r>
      <w:r>
        <w:rPr>
          <w:rFonts w:ascii="Times New Roman" w:hAnsi="Times New Roman" w:cs="Times New Roman"/>
          <w:sz w:val="24"/>
          <w:szCs w:val="24"/>
        </w:rPr>
        <w:t xml:space="preserve"> </w:t>
      </w:r>
      <w:r w:rsidR="00E247FE">
        <w:rPr>
          <w:rFonts w:ascii="Times New Roman" w:hAnsi="Times New Roman" w:cs="Times New Roman"/>
          <w:sz w:val="24"/>
          <w:szCs w:val="24"/>
        </w:rPr>
        <w:t>[</w:t>
      </w:r>
      <w:r w:rsidR="00284BC2" w:rsidRPr="001839B7">
        <w:rPr>
          <w:rFonts w:ascii="Times New Roman" w:hAnsi="Times New Roman" w:cs="Times New Roman"/>
          <w:sz w:val="24"/>
          <w:szCs w:val="24"/>
        </w:rPr>
        <w:t xml:space="preserve">Noriaki </w:t>
      </w:r>
      <w:r w:rsidR="00156FF0" w:rsidRPr="00975B6A">
        <w:rPr>
          <w:rFonts w:ascii="Times New Roman" w:hAnsi="Times New Roman" w:cs="Times New Roman"/>
          <w:iCs/>
          <w:sz w:val="24"/>
          <w:szCs w:val="24"/>
        </w:rPr>
        <w:t>et al</w:t>
      </w:r>
      <w:r w:rsidR="00975B6A">
        <w:rPr>
          <w:rFonts w:ascii="Times New Roman" w:hAnsi="Times New Roman" w:cs="Times New Roman"/>
          <w:iCs/>
          <w:sz w:val="24"/>
          <w:szCs w:val="24"/>
        </w:rPr>
        <w:t>.,</w:t>
      </w:r>
      <w:r w:rsidR="00284BC2" w:rsidRPr="00975B6A">
        <w:rPr>
          <w:rFonts w:ascii="Times New Roman" w:hAnsi="Times New Roman" w:cs="Times New Roman"/>
          <w:iCs/>
          <w:sz w:val="24"/>
          <w:szCs w:val="24"/>
        </w:rPr>
        <w:t xml:space="preserve"> 2002</w:t>
      </w:r>
      <w:r w:rsidR="00E247FE">
        <w:rPr>
          <w:rFonts w:ascii="Times New Roman" w:hAnsi="Times New Roman" w:cs="Times New Roman"/>
          <w:iCs/>
          <w:sz w:val="24"/>
          <w:szCs w:val="24"/>
        </w:rPr>
        <w:t>]</w:t>
      </w:r>
      <w:r w:rsidR="00284BC2" w:rsidRPr="001839B7">
        <w:rPr>
          <w:rFonts w:ascii="Times New Roman" w:hAnsi="Times New Roman" w:cs="Times New Roman"/>
          <w:sz w:val="24"/>
          <w:szCs w:val="24"/>
        </w:rPr>
        <w:t xml:space="preserve">. </w:t>
      </w:r>
    </w:p>
    <w:p w14:paraId="31976785" w14:textId="77777777" w:rsidR="00284BC2" w:rsidRPr="001839B7"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1839B7">
        <w:rPr>
          <w:rFonts w:ascii="Times New Roman" w:hAnsi="Times New Roman" w:cs="Times New Roman"/>
          <w:b/>
          <w:sz w:val="24"/>
          <w:szCs w:val="24"/>
        </w:rPr>
        <w:t>Bcl-2</w:t>
      </w:r>
    </w:p>
    <w:p w14:paraId="186B3089" w14:textId="0FD8295F" w:rsidR="00284BC2" w:rsidRPr="001839B7" w:rsidRDefault="00875E86"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875E86">
        <w:rPr>
          <w:rFonts w:ascii="Times New Roman" w:hAnsi="Times New Roman" w:cs="Times New Roman"/>
          <w:sz w:val="24"/>
          <w:szCs w:val="24"/>
        </w:rPr>
        <w:t>An oncogene termed Bcl-2 is found on chromosome 18. Bcl-2 is only found in the endoplasmic reticulum membrane and the outer mitochondrial nuclear envelop. Typically, endometrial epithelial cells express Bcl-2. The patterns of expression change throughout the menstrual cycle, indicating that hormones only slightly control expression. Since endometrial hyperplasia is characterized by increased Bcl-2 expression, it has been hypothesized that this increased expression may help endometrial carcinoma develop. Endometrial carcinogenesis may be associated with sustained Bcl-2 expression and decreased Bax expression that result in an increase in the Bcl-2/Bax ratio, which may inhibit apoptosis</w:t>
      </w:r>
      <w:r>
        <w:rPr>
          <w:rFonts w:ascii="Times New Roman" w:hAnsi="Times New Roman" w:cs="Times New Roman"/>
          <w:sz w:val="24"/>
          <w:szCs w:val="24"/>
        </w:rPr>
        <w:t xml:space="preserve"> </w:t>
      </w:r>
      <w:r w:rsidR="00E247FE">
        <w:rPr>
          <w:rFonts w:ascii="Times New Roman" w:hAnsi="Times New Roman" w:cs="Times New Roman"/>
          <w:sz w:val="24"/>
          <w:szCs w:val="24"/>
        </w:rPr>
        <w:t>[</w:t>
      </w:r>
      <w:r w:rsidR="00284BC2" w:rsidRPr="001839B7">
        <w:rPr>
          <w:rFonts w:ascii="Times New Roman" w:hAnsi="Times New Roman" w:cs="Times New Roman"/>
          <w:sz w:val="24"/>
          <w:szCs w:val="24"/>
        </w:rPr>
        <w:t xml:space="preserve">Noriaki </w:t>
      </w:r>
      <w:r w:rsidR="00156FF0" w:rsidRPr="000F61AD">
        <w:rPr>
          <w:rFonts w:ascii="Times New Roman" w:hAnsi="Times New Roman" w:cs="Times New Roman"/>
          <w:iCs/>
          <w:sz w:val="24"/>
          <w:szCs w:val="24"/>
        </w:rPr>
        <w:t xml:space="preserve">et al., </w:t>
      </w:r>
      <w:r w:rsidR="00284BC2" w:rsidRPr="000F61AD">
        <w:rPr>
          <w:rFonts w:ascii="Times New Roman" w:hAnsi="Times New Roman" w:cs="Times New Roman"/>
          <w:iCs/>
          <w:sz w:val="24"/>
          <w:szCs w:val="24"/>
        </w:rPr>
        <w:t>2002</w:t>
      </w:r>
      <w:r w:rsidR="00E247FE">
        <w:rPr>
          <w:rFonts w:ascii="Times New Roman" w:hAnsi="Times New Roman" w:cs="Times New Roman"/>
          <w:sz w:val="24"/>
          <w:szCs w:val="24"/>
        </w:rPr>
        <w:t>]</w:t>
      </w:r>
      <w:r w:rsidR="00284BC2" w:rsidRPr="001839B7">
        <w:rPr>
          <w:rFonts w:ascii="Times New Roman" w:hAnsi="Times New Roman" w:cs="Times New Roman"/>
          <w:sz w:val="24"/>
          <w:szCs w:val="24"/>
        </w:rPr>
        <w:t>.</w:t>
      </w:r>
    </w:p>
    <w:p w14:paraId="6331BBBA" w14:textId="77777777" w:rsidR="00284BC2" w:rsidRPr="001839B7" w:rsidRDefault="00284BC2" w:rsidP="00F833E2">
      <w:pPr>
        <w:pStyle w:val="ListParagraph"/>
        <w:tabs>
          <w:tab w:val="left" w:pos="90"/>
        </w:tabs>
        <w:autoSpaceDE w:val="0"/>
        <w:autoSpaceDN w:val="0"/>
        <w:adjustRightInd w:val="0"/>
        <w:spacing w:before="120" w:after="120" w:line="360" w:lineRule="auto"/>
        <w:jc w:val="center"/>
        <w:rPr>
          <w:rFonts w:ascii="Times New Roman" w:hAnsi="Times New Roman" w:cs="Times New Roman"/>
          <w:sz w:val="24"/>
          <w:szCs w:val="24"/>
        </w:rPr>
      </w:pPr>
      <w:r w:rsidRPr="001839B7">
        <w:rPr>
          <w:rFonts w:ascii="Times New Roman" w:hAnsi="Times New Roman" w:cs="Times New Roman"/>
          <w:noProof/>
          <w:sz w:val="24"/>
          <w:szCs w:val="24"/>
        </w:rPr>
        <w:drawing>
          <wp:inline distT="0" distB="0" distL="0" distR="0" wp14:anchorId="1AC66A15" wp14:editId="48E060A6">
            <wp:extent cx="4234684" cy="3236329"/>
            <wp:effectExtent l="19050" t="0" r="0" b="0"/>
            <wp:docPr id="10" name="Picture 10" descr="E:\muthu\articl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thu\articles\Figur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315" cy="3239104"/>
                    </a:xfrm>
                    <a:prstGeom prst="rect">
                      <a:avLst/>
                    </a:prstGeom>
                    <a:noFill/>
                    <a:ln>
                      <a:noFill/>
                    </a:ln>
                  </pic:spPr>
                </pic:pic>
              </a:graphicData>
            </a:graphic>
          </wp:inline>
        </w:drawing>
      </w:r>
    </w:p>
    <w:p w14:paraId="05FBC51C" w14:textId="77777777" w:rsidR="00284BC2" w:rsidRPr="001839B7" w:rsidRDefault="00284BC2" w:rsidP="00F833E2">
      <w:pPr>
        <w:pStyle w:val="ListParagraph"/>
        <w:tabs>
          <w:tab w:val="left" w:pos="90"/>
        </w:tabs>
        <w:autoSpaceDE w:val="0"/>
        <w:autoSpaceDN w:val="0"/>
        <w:adjustRightInd w:val="0"/>
        <w:spacing w:before="120" w:after="120" w:line="360" w:lineRule="auto"/>
        <w:jc w:val="center"/>
        <w:rPr>
          <w:rFonts w:ascii="Times New Roman" w:hAnsi="Times New Roman" w:cs="Times New Roman"/>
          <w:b/>
          <w:sz w:val="24"/>
          <w:szCs w:val="24"/>
        </w:rPr>
      </w:pPr>
      <w:r w:rsidRPr="001839B7">
        <w:rPr>
          <w:rFonts w:ascii="Times New Roman" w:hAnsi="Times New Roman" w:cs="Times New Roman"/>
          <w:b/>
          <w:sz w:val="24"/>
          <w:szCs w:val="24"/>
        </w:rPr>
        <w:t>Mitochondrial intrinsic and extrinsic apoptotic pathway</w:t>
      </w:r>
    </w:p>
    <w:p w14:paraId="39608B50" w14:textId="77777777" w:rsidR="00284BC2" w:rsidRPr="001839B7" w:rsidRDefault="00284BC2" w:rsidP="001839B7">
      <w:pPr>
        <w:pStyle w:val="va-top"/>
        <w:shd w:val="clear" w:color="auto" w:fill="FFFFFF"/>
        <w:tabs>
          <w:tab w:val="left" w:pos="90"/>
        </w:tabs>
        <w:spacing w:before="0" w:beforeAutospacing="0" w:after="0" w:afterAutospacing="0" w:line="360" w:lineRule="auto"/>
        <w:jc w:val="both"/>
        <w:textAlignment w:val="top"/>
        <w:rPr>
          <w:b/>
          <w:bCs/>
        </w:rPr>
      </w:pPr>
      <w:r w:rsidRPr="001839B7">
        <w:rPr>
          <w:b/>
          <w:bCs/>
        </w:rPr>
        <w:t>Circulating tumor cells</w:t>
      </w:r>
    </w:p>
    <w:p w14:paraId="47CD41BF"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1839B7">
        <w:rPr>
          <w:color w:val="1B1B1B"/>
        </w:rPr>
        <w:lastRenderedPageBreak/>
        <w:tab/>
      </w:r>
      <w:r w:rsidRPr="001839B7">
        <w:rPr>
          <w:color w:val="1B1B1B"/>
        </w:rPr>
        <w:tab/>
        <w:t xml:space="preserve">Circulating tumor cells (CTCs) are reliable indicators of the development of metastasis and potential prognostic biomarkers of cancer. Since the nineteenth century, it has been known that the development of distant metastasis requires the presence of CTCs. CTC counts have been employed in clinical trials as biomarkers for prognostic stratification and assessment of disease response to treatment. The quantity of CTCs may be helpful for early disease prognosis, for identifying patients who need adjuvant therapy, or for follow-up to look for relapses. The molecular and genetic characterization of CTCs is the foundation for additional clinical applications. In numerous lung cancer and breast cancer clinical trials, these applications have proven to be helpful.  </w:t>
      </w:r>
    </w:p>
    <w:p w14:paraId="5E206998" w14:textId="77777777" w:rsidR="00674FB4" w:rsidRPr="001839B7" w:rsidRDefault="00674FB4" w:rsidP="001839B7">
      <w:pPr>
        <w:pStyle w:val="va-top"/>
        <w:shd w:val="clear" w:color="auto" w:fill="FFFFFF"/>
        <w:tabs>
          <w:tab w:val="left" w:pos="90"/>
        </w:tabs>
        <w:spacing w:before="0" w:beforeAutospacing="0" w:after="0" w:afterAutospacing="0" w:line="360" w:lineRule="auto"/>
        <w:jc w:val="both"/>
        <w:textAlignment w:val="top"/>
        <w:rPr>
          <w:b/>
          <w:bCs/>
          <w:color w:val="000000" w:themeColor="text1"/>
        </w:rPr>
      </w:pPr>
      <w:r w:rsidRPr="001839B7">
        <w:rPr>
          <w:b/>
          <w:bCs/>
          <w:color w:val="000000" w:themeColor="text1"/>
        </w:rPr>
        <w:t>CA-125</w:t>
      </w:r>
    </w:p>
    <w:p w14:paraId="1C7FDE1D" w14:textId="673C6664" w:rsidR="00674FB4" w:rsidRPr="001839B7" w:rsidRDefault="00ED4A30" w:rsidP="001839B7">
      <w:pPr>
        <w:pStyle w:val="NormalWeb"/>
        <w:shd w:val="clear" w:color="auto" w:fill="FFFFFF"/>
        <w:tabs>
          <w:tab w:val="left" w:pos="90"/>
        </w:tabs>
        <w:spacing w:before="0" w:beforeAutospacing="0" w:after="0" w:afterAutospacing="0" w:line="360" w:lineRule="auto"/>
        <w:jc w:val="both"/>
      </w:pPr>
      <w:r w:rsidRPr="001839B7">
        <w:t xml:space="preserve">The second most fatal gynecological cancer is ovarian cancer. For the past four decades, the predominant ovarian cancer marker has been the tumor biomarker CA125. There has been extensive research done on ovarian cancer screening, diagnosis, and progression using the biomarker CA125. The MUC16 molecule's CA125 epitope serves a variety of physiological purposes. With 22,152 core amino acids and a molecular weight of about 2.5 MDa, MUC16 is a large glycoprotein. With a theoretical mass of around 20 MDa, MUC16 has a sizeable fraction that is O- and N-linked glycosylated. It has several different domains, including the transmembrane domain, a cytoplasmic tail of 32 amino acids rich in tyrosine, threonine, and serine residues used for potential phosphorylation, and 60 tandem repetitions of 156 amino acids at the amino-terminus [Hattrup </w:t>
      </w:r>
      <w:r w:rsidR="00156FF0">
        <w:t>et al.,</w:t>
      </w:r>
      <w:r w:rsidRPr="001839B7">
        <w:t xml:space="preserve"> 2008]. The CA125 antigen can often be detected throughout the body. According to Hattrup., </w:t>
      </w:r>
      <w:r w:rsidR="00156FF0">
        <w:t xml:space="preserve">et al., </w:t>
      </w:r>
      <w:r w:rsidRPr="001839B7">
        <w:t xml:space="preserve">(1986), CA125 is created and secreted by endocervical cells and is found in the cervical mucus of healthy women. The growing fetus's amniotic fluid and chorionic membrane contain large amounts of CA125 as well [O'Brien et. al., 1986]. In addition, it is found in human milk, airway epithelial cells, respiratory glands, and bronchial mucus (Hanisch </w:t>
      </w:r>
      <w:r w:rsidR="00156FF0">
        <w:t xml:space="preserve">et al., </w:t>
      </w:r>
      <w:r w:rsidRPr="001839B7">
        <w:t xml:space="preserve">1985; Matsuoka, 1990). The OC125 monoclonal antibody was investigated for reactivity with various fetal and adult tissues by Kabawat </w:t>
      </w:r>
      <w:r w:rsidR="00156FF0">
        <w:t>et al.</w:t>
      </w:r>
      <w:r w:rsidRPr="001839B7">
        <w:t xml:space="preserve"> Coelomic epithelium, fetal amniotic, and adult tissues derived from coelomic and Mullerian epithelia all expressed CA125. So, in addition to these tissues, CA125 is also expressed in the endocervix, endometrium, pleura, pericardium, peritoneum, secretory mammary glands, apocrine sweat glands, intestines, lungs, and kidneys. Adenocarcinomas of the endocervix, endometrium, mesotheliomas, and fallopian tubes also reacted to OC125. In the embryonic development of the ovaries, CA125 is present; however, it disappears during development and is later re expressed in ovarian neoplasms [Kabawat </w:t>
      </w:r>
      <w:r w:rsidR="00156FF0">
        <w:t>et al.,</w:t>
      </w:r>
      <w:r w:rsidRPr="001839B7">
        <w:t xml:space="preserve"> 1983]. Elevations may be observed in the peritoneal and pleural epithelial and ascites fluids because CA125 is produced by tissues </w:t>
      </w:r>
      <w:r w:rsidRPr="001839B7">
        <w:lastRenderedPageBreak/>
        <w:t>descended from coelomic epithelium [Buamah, 2000]. More significantly, ovarian cancer cells break and shed the extracellular component of this glycoprotein, which makes it detectable in bodily fluids such serum and peritoneal fluid [Szubert</w:t>
      </w:r>
      <w:r w:rsidR="009A739D">
        <w:t xml:space="preserve"> </w:t>
      </w:r>
      <w:r w:rsidR="00156FF0">
        <w:t>et al.,</w:t>
      </w:r>
      <w:r w:rsidRPr="001839B7">
        <w:t xml:space="preserve"> 2012] and amniotic fluid [Seong</w:t>
      </w:r>
      <w:r w:rsidR="009A739D">
        <w:t>,</w:t>
      </w:r>
      <w:r w:rsidRPr="001839B7">
        <w:t xml:space="preserve"> 2016]. Given the sensitivity of this CA-125 biomarker, ovarian cancer treatment can be determined.</w:t>
      </w:r>
    </w:p>
    <w:p w14:paraId="32694147" w14:textId="77777777" w:rsidR="00284BC2" w:rsidRPr="001839B7" w:rsidRDefault="00284BC2" w:rsidP="001839B7">
      <w:pPr>
        <w:pStyle w:val="NormalWeb"/>
        <w:shd w:val="clear" w:color="auto" w:fill="FFFFFF"/>
        <w:tabs>
          <w:tab w:val="left" w:pos="90"/>
        </w:tabs>
        <w:spacing w:before="0" w:beforeAutospacing="0" w:after="0" w:afterAutospacing="0" w:line="360" w:lineRule="auto"/>
        <w:jc w:val="both"/>
        <w:rPr>
          <w:b/>
          <w:bCs/>
        </w:rPr>
      </w:pPr>
      <w:r w:rsidRPr="001839B7">
        <w:rPr>
          <w:b/>
          <w:bCs/>
        </w:rPr>
        <w:t>LDH</w:t>
      </w:r>
    </w:p>
    <w:p w14:paraId="7E9C2F6A" w14:textId="471A65C2" w:rsidR="00910528" w:rsidRDefault="00875E86" w:rsidP="001839B7">
      <w:pPr>
        <w:pStyle w:val="NormalWeb"/>
        <w:shd w:val="clear" w:color="auto" w:fill="FFFFFF"/>
        <w:tabs>
          <w:tab w:val="left" w:pos="90"/>
        </w:tabs>
        <w:spacing w:before="0" w:beforeAutospacing="0" w:after="0" w:afterAutospacing="0" w:line="360" w:lineRule="auto"/>
        <w:jc w:val="both"/>
      </w:pPr>
      <w:r w:rsidRPr="00875E86">
        <w:t xml:space="preserve">Unlike non-transformed cells, cancer cells have a unique metabolism that produces enough biomaterials and energy for endless proliferation. Furthermore, metastasis, cell death resistance, and other malignant characteristics are all influenced by reprogrammed metabolism. According to Warburg's 1956 report, an essential component of cancer metabolism is accelerated glycolysis </w:t>
      </w:r>
      <w:r w:rsidR="00910528">
        <w:t>[Warburg, 1956].</w:t>
      </w:r>
      <w:r w:rsidRPr="00875E86">
        <w:t xml:space="preserve"> High glycolytic activity provides biomolecule precursors for cellular processes and structure. In addition to replenishing NAD+ for glycolysis, lowering pH for invasion, and inducing immune escape, lactate production in glycolysis plays a significant role in the progression of malignancies. Pyruvate is converted to lactate by the enzyme lactate dehydrogenase A (LDHA), whose aberrant expression and activation have been linked to a number of cancers</w:t>
      </w:r>
      <w:r>
        <w:t xml:space="preserve"> </w:t>
      </w:r>
      <w:r w:rsidR="00910528">
        <w:t xml:space="preserve">[Sheng </w:t>
      </w:r>
      <w:r w:rsidR="00156FF0">
        <w:t xml:space="preserve">et al., </w:t>
      </w:r>
      <w:r w:rsidR="00910528">
        <w:t xml:space="preserve">2012; Le </w:t>
      </w:r>
      <w:r w:rsidR="00156FF0">
        <w:t>et al</w:t>
      </w:r>
      <w:r w:rsidR="00910528">
        <w:t xml:space="preserve">., 2010; Fantin </w:t>
      </w:r>
      <w:r w:rsidR="00156FF0">
        <w:t xml:space="preserve">et al., </w:t>
      </w:r>
      <w:r w:rsidR="00910528">
        <w:t>2006]</w:t>
      </w:r>
      <w:r>
        <w:t>.</w:t>
      </w:r>
      <w:r w:rsidR="00284BC2" w:rsidRPr="001839B7">
        <w:t xml:space="preserve"> </w:t>
      </w:r>
      <w:r w:rsidR="00C76E90" w:rsidRPr="00C76E90">
        <w:t xml:space="preserve">So, it has been thought that LDHA represents a promising target for the prevention and treatment of cancer. The high expression profile and activated status of LDHA in many cancers are attributed to various mechanisms involving almost every stage of gene expression regulation. </w:t>
      </w:r>
    </w:p>
    <w:p w14:paraId="072FB150" w14:textId="0CD02102" w:rsidR="00910528" w:rsidRDefault="00910528" w:rsidP="00910528">
      <w:pPr>
        <w:pStyle w:val="NormalWeb"/>
        <w:shd w:val="clear" w:color="auto" w:fill="FFFFFF"/>
        <w:tabs>
          <w:tab w:val="left" w:pos="90"/>
        </w:tabs>
        <w:spacing w:before="0" w:beforeAutospacing="0" w:after="0" w:afterAutospacing="0" w:line="360" w:lineRule="auto"/>
        <w:jc w:val="center"/>
      </w:pPr>
      <w:r w:rsidRPr="00910528">
        <w:rPr>
          <w:noProof/>
        </w:rPr>
        <w:drawing>
          <wp:inline distT="0" distB="0" distL="0" distR="0" wp14:anchorId="278F0C57" wp14:editId="4F5AE2B0">
            <wp:extent cx="5731510" cy="3265805"/>
            <wp:effectExtent l="0" t="0" r="2540" b="0"/>
            <wp:docPr id="193723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2102" name=""/>
                    <pic:cNvPicPr/>
                  </pic:nvPicPr>
                  <pic:blipFill>
                    <a:blip r:embed="rId16"/>
                    <a:stretch>
                      <a:fillRect/>
                    </a:stretch>
                  </pic:blipFill>
                  <pic:spPr>
                    <a:xfrm>
                      <a:off x="0" y="0"/>
                      <a:ext cx="5731510" cy="3265805"/>
                    </a:xfrm>
                    <a:prstGeom prst="rect">
                      <a:avLst/>
                    </a:prstGeom>
                  </pic:spPr>
                </pic:pic>
              </a:graphicData>
            </a:graphic>
          </wp:inline>
        </w:drawing>
      </w:r>
    </w:p>
    <w:p w14:paraId="668F30B6" w14:textId="77777777" w:rsidR="00910528" w:rsidRDefault="00910528" w:rsidP="001839B7">
      <w:pPr>
        <w:pStyle w:val="NormalWeb"/>
        <w:shd w:val="clear" w:color="auto" w:fill="FFFFFF"/>
        <w:tabs>
          <w:tab w:val="left" w:pos="90"/>
        </w:tabs>
        <w:spacing w:before="0" w:beforeAutospacing="0" w:after="0" w:afterAutospacing="0" w:line="360" w:lineRule="auto"/>
        <w:jc w:val="both"/>
      </w:pPr>
    </w:p>
    <w:p w14:paraId="302404DD" w14:textId="7D2DFCCF" w:rsidR="00C57113" w:rsidRDefault="00C76E90" w:rsidP="001839B7">
      <w:pPr>
        <w:pStyle w:val="NormalWeb"/>
        <w:shd w:val="clear" w:color="auto" w:fill="FFFFFF"/>
        <w:tabs>
          <w:tab w:val="left" w:pos="90"/>
        </w:tabs>
        <w:spacing w:before="0" w:beforeAutospacing="0" w:after="0" w:afterAutospacing="0" w:line="360" w:lineRule="auto"/>
        <w:jc w:val="both"/>
      </w:pPr>
      <w:r w:rsidRPr="00C76E90">
        <w:lastRenderedPageBreak/>
        <w:t>The shorter arm of chromosome 11, which is a methylation hotspot, contains the LDHA gene. Numerous studies have demonstrated that LDHA expression was inhibited by DNA methylation in the promoter. When compared to IDH wild type, gliomas with mutant isocitrate dehydrogenase (IDH) had lower levels of LDHA, and the molecular basis for this finding may be that mutant IDH causes higher levels of methylation in the LDHA promoter</w:t>
      </w:r>
      <w:r w:rsidR="00D90FB8">
        <w:t>.</w:t>
      </w:r>
      <w:r w:rsidRPr="00C76E90">
        <w:t xml:space="preserve"> Additionally, according to Maekawa the retinoblastoma cell line NCC-RbC-51 hardly expresses LDHA, which is however restored by the demethylating agent 5aza-2′-deoxycytidine</w:t>
      </w:r>
      <w:r w:rsidR="00284BC2" w:rsidRPr="001839B7">
        <w:t xml:space="preserve">. </w:t>
      </w:r>
      <w:r w:rsidR="00C57113" w:rsidRPr="00C57113">
        <w:t xml:space="preserve">All of these point to the crucial role that methylation modification plays in the mechanisms that activate LDHA. Because the promoter region of LDHA contains numerous elements for different transcription factors to bind to, a wide variety of transcription factors may regulate LDHA. Enhancing LDHA promotes a variety of malignant bio characteristics in cancers. </w:t>
      </w:r>
    </w:p>
    <w:p w14:paraId="37836E89" w14:textId="46532C4E" w:rsidR="00284BC2" w:rsidRPr="001839B7" w:rsidRDefault="00284BC2" w:rsidP="001839B7">
      <w:pPr>
        <w:pStyle w:val="NormalWeb"/>
        <w:shd w:val="clear" w:color="auto" w:fill="FFFFFF"/>
        <w:tabs>
          <w:tab w:val="left" w:pos="90"/>
        </w:tabs>
        <w:spacing w:before="0" w:beforeAutospacing="0" w:after="0" w:afterAutospacing="0" w:line="360" w:lineRule="auto"/>
        <w:jc w:val="both"/>
        <w:rPr>
          <w:b/>
          <w:bCs/>
        </w:rPr>
      </w:pPr>
      <w:r w:rsidRPr="001839B7">
        <w:rPr>
          <w:b/>
          <w:bCs/>
          <w:color w:val="1B1B1B"/>
        </w:rPr>
        <w:t>Exosomes or microvesicles role in cancer Biomarker:</w:t>
      </w:r>
    </w:p>
    <w:p w14:paraId="48343D75" w14:textId="285E45F4" w:rsidR="00284BC2" w:rsidRDefault="00284BC2"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ab/>
      </w:r>
      <w:r w:rsidRPr="001839B7">
        <w:rPr>
          <w:rFonts w:ascii="Times New Roman" w:hAnsi="Times New Roman" w:cs="Times New Roman"/>
          <w:sz w:val="24"/>
          <w:szCs w:val="24"/>
        </w:rPr>
        <w:tab/>
        <w:t>Exosomal markers are emerging as intriguing targets for cancer detection because it has been suggested that exosome secretion is increased in cancer patients [</w:t>
      </w:r>
      <w:r w:rsidR="008C1C8C" w:rsidRPr="00A847FC">
        <w:rPr>
          <w:rFonts w:ascii="Times New Roman" w:hAnsi="Times New Roman" w:cs="Times New Roman"/>
          <w:sz w:val="24"/>
          <w:szCs w:val="24"/>
        </w:rPr>
        <w:t xml:space="preserve">Shah </w:t>
      </w:r>
      <w:r w:rsidR="00ED128B">
        <w:rPr>
          <w:rFonts w:ascii="Times New Roman" w:hAnsi="Times New Roman" w:cs="Times New Roman"/>
          <w:sz w:val="24"/>
          <w:szCs w:val="24"/>
        </w:rPr>
        <w:t>et al.,</w:t>
      </w:r>
      <w:r w:rsidR="00433DA6">
        <w:rPr>
          <w:rFonts w:ascii="Times New Roman" w:hAnsi="Times New Roman" w:cs="Times New Roman"/>
          <w:sz w:val="24"/>
          <w:szCs w:val="24"/>
        </w:rPr>
        <w:t xml:space="preserve"> </w:t>
      </w:r>
      <w:r w:rsidR="008C1C8C" w:rsidRPr="00A847FC">
        <w:rPr>
          <w:rFonts w:ascii="Times New Roman" w:hAnsi="Times New Roman" w:cs="Times New Roman"/>
          <w:sz w:val="24"/>
          <w:szCs w:val="24"/>
        </w:rPr>
        <w:t xml:space="preserve">2018; Caivano </w:t>
      </w:r>
      <w:r w:rsidR="00ED128B">
        <w:rPr>
          <w:rFonts w:ascii="Times New Roman" w:hAnsi="Times New Roman" w:cs="Times New Roman"/>
          <w:sz w:val="24"/>
          <w:szCs w:val="24"/>
        </w:rPr>
        <w:t xml:space="preserve">et al., </w:t>
      </w:r>
      <w:r w:rsidR="008C1C8C" w:rsidRPr="00A847FC">
        <w:rPr>
          <w:rFonts w:ascii="Times New Roman" w:hAnsi="Times New Roman" w:cs="Times New Roman"/>
          <w:sz w:val="24"/>
          <w:szCs w:val="24"/>
        </w:rPr>
        <w:t xml:space="preserve">2015; Cappello </w:t>
      </w:r>
      <w:r w:rsidR="00ED128B">
        <w:rPr>
          <w:rFonts w:ascii="Times New Roman" w:hAnsi="Times New Roman" w:cs="Times New Roman"/>
          <w:sz w:val="24"/>
          <w:szCs w:val="24"/>
        </w:rPr>
        <w:t xml:space="preserve">et al., </w:t>
      </w:r>
      <w:r w:rsidR="008C1C8C" w:rsidRPr="00A847FC">
        <w:rPr>
          <w:rFonts w:ascii="Times New Roman" w:hAnsi="Times New Roman" w:cs="Times New Roman"/>
          <w:sz w:val="24"/>
          <w:szCs w:val="24"/>
        </w:rPr>
        <w:t>2017</w:t>
      </w:r>
      <w:r w:rsidRPr="001839B7">
        <w:rPr>
          <w:rFonts w:ascii="Times New Roman" w:hAnsi="Times New Roman" w:cs="Times New Roman"/>
          <w:sz w:val="24"/>
          <w:szCs w:val="24"/>
        </w:rPr>
        <w:t>]. To achieve this, studies have examined the connection between plasma exosome levels and tumor burden [</w:t>
      </w:r>
      <w:r w:rsidR="00A847FC" w:rsidRPr="00A847FC">
        <w:rPr>
          <w:rFonts w:ascii="Times New Roman" w:hAnsi="Times New Roman" w:cs="Times New Roman"/>
          <w:sz w:val="24"/>
          <w:szCs w:val="24"/>
        </w:rPr>
        <w:t xml:space="preserve">Theodorak </w:t>
      </w:r>
      <w:r w:rsidR="00ED128B">
        <w:rPr>
          <w:rFonts w:ascii="Times New Roman" w:hAnsi="Times New Roman" w:cs="Times New Roman"/>
          <w:sz w:val="24"/>
          <w:szCs w:val="24"/>
        </w:rPr>
        <w:t xml:space="preserve">et al., </w:t>
      </w:r>
      <w:r w:rsidR="00A847FC" w:rsidRPr="00A847FC">
        <w:rPr>
          <w:rFonts w:ascii="Times New Roman" w:hAnsi="Times New Roman" w:cs="Times New Roman"/>
          <w:sz w:val="24"/>
          <w:szCs w:val="24"/>
        </w:rPr>
        <w:t xml:space="preserve">2019; Osti </w:t>
      </w:r>
      <w:r w:rsidR="00ED128B">
        <w:rPr>
          <w:rFonts w:ascii="Times New Roman" w:hAnsi="Times New Roman" w:cs="Times New Roman"/>
          <w:sz w:val="24"/>
          <w:szCs w:val="24"/>
        </w:rPr>
        <w:t xml:space="preserve">et al., </w:t>
      </w:r>
      <w:r w:rsidR="00A847FC" w:rsidRPr="00A847FC">
        <w:rPr>
          <w:rFonts w:ascii="Times New Roman" w:hAnsi="Times New Roman" w:cs="Times New Roman"/>
          <w:sz w:val="24"/>
          <w:szCs w:val="24"/>
        </w:rPr>
        <w:t xml:space="preserve">2019; Logozzi </w:t>
      </w:r>
      <w:r w:rsidR="00ED128B">
        <w:rPr>
          <w:rFonts w:ascii="Times New Roman" w:hAnsi="Times New Roman" w:cs="Times New Roman"/>
          <w:sz w:val="24"/>
          <w:szCs w:val="24"/>
        </w:rPr>
        <w:t xml:space="preserve">et al., </w:t>
      </w:r>
      <w:r w:rsidR="00A847FC" w:rsidRPr="00A847FC">
        <w:rPr>
          <w:rFonts w:ascii="Times New Roman" w:hAnsi="Times New Roman" w:cs="Times New Roman"/>
          <w:sz w:val="24"/>
          <w:szCs w:val="24"/>
        </w:rPr>
        <w:t xml:space="preserve">2019; Giampieri </w:t>
      </w:r>
      <w:r w:rsidR="00ED128B">
        <w:rPr>
          <w:rFonts w:ascii="Times New Roman" w:hAnsi="Times New Roman" w:cs="Times New Roman"/>
          <w:sz w:val="24"/>
          <w:szCs w:val="24"/>
        </w:rPr>
        <w:t>et al.,</w:t>
      </w:r>
      <w:r w:rsidR="00A847FC" w:rsidRPr="00A847FC">
        <w:rPr>
          <w:rFonts w:ascii="Times New Roman" w:hAnsi="Times New Roman" w:cs="Times New Roman"/>
          <w:sz w:val="24"/>
          <w:szCs w:val="24"/>
        </w:rPr>
        <w:t xml:space="preserve"> 2019</w:t>
      </w:r>
      <w:r w:rsidRPr="001839B7">
        <w:rPr>
          <w:rFonts w:ascii="Times New Roman" w:hAnsi="Times New Roman" w:cs="Times New Roman"/>
          <w:sz w:val="24"/>
          <w:szCs w:val="24"/>
        </w:rPr>
        <w:t>]. The levels of CD63-positive and caveolin 1 (CAV1)-positive exosomes were upregulated in patients and associated with a worse prognosis, according to a study on stage IV oral SCC patients [</w:t>
      </w:r>
      <w:r w:rsidR="00A847FC" w:rsidRPr="00A847FC">
        <w:rPr>
          <w:rFonts w:ascii="Times New Roman" w:hAnsi="Times New Roman" w:cs="Times New Roman"/>
          <w:sz w:val="24"/>
          <w:szCs w:val="24"/>
        </w:rPr>
        <w:t xml:space="preserve">Rodríguez </w:t>
      </w:r>
      <w:r w:rsidR="00ED128B">
        <w:rPr>
          <w:rFonts w:ascii="Times New Roman" w:hAnsi="Times New Roman" w:cs="Times New Roman"/>
          <w:sz w:val="24"/>
          <w:szCs w:val="24"/>
        </w:rPr>
        <w:t>et al.,</w:t>
      </w:r>
      <w:r w:rsidR="00A847FC" w:rsidRPr="00A847FC">
        <w:rPr>
          <w:rFonts w:ascii="Times New Roman" w:hAnsi="Times New Roman" w:cs="Times New Roman"/>
          <w:sz w:val="24"/>
          <w:szCs w:val="24"/>
        </w:rPr>
        <w:t xml:space="preserve"> 2019</w:t>
      </w:r>
      <w:r w:rsidRPr="001839B7">
        <w:rPr>
          <w:rFonts w:ascii="Times New Roman" w:hAnsi="Times New Roman" w:cs="Times New Roman"/>
          <w:sz w:val="24"/>
          <w:szCs w:val="24"/>
        </w:rPr>
        <w:t>]. Higher levels of exosomal CD81 and prostate-specific antigen were found in prostate cancer, which could be used to separate prostate cancer patients from those with benign prostatic hyperplasia and healthy individuals [</w:t>
      </w:r>
      <w:r w:rsidR="00A847FC" w:rsidRPr="008858E8">
        <w:rPr>
          <w:rFonts w:ascii="Times New Roman" w:hAnsi="Times New Roman" w:cs="Times New Roman"/>
          <w:sz w:val="24"/>
          <w:szCs w:val="24"/>
        </w:rPr>
        <w:t xml:space="preserve">Logozzi </w:t>
      </w:r>
      <w:r w:rsidR="00ED128B">
        <w:rPr>
          <w:rFonts w:ascii="Times New Roman" w:hAnsi="Times New Roman" w:cs="Times New Roman"/>
          <w:sz w:val="24"/>
          <w:szCs w:val="24"/>
        </w:rPr>
        <w:t xml:space="preserve">et al., </w:t>
      </w:r>
      <w:r w:rsidR="00A847FC" w:rsidRPr="008858E8">
        <w:rPr>
          <w:rFonts w:ascii="Times New Roman" w:hAnsi="Times New Roman" w:cs="Times New Roman"/>
          <w:sz w:val="24"/>
          <w:szCs w:val="24"/>
        </w:rPr>
        <w:t>2019</w:t>
      </w:r>
      <w:r w:rsidRPr="001839B7">
        <w:rPr>
          <w:rFonts w:ascii="Times New Roman" w:hAnsi="Times New Roman" w:cs="Times New Roman"/>
          <w:sz w:val="24"/>
          <w:szCs w:val="24"/>
        </w:rPr>
        <w:t>].</w:t>
      </w:r>
    </w:p>
    <w:p w14:paraId="527A03E6" w14:textId="5EE7EE3A" w:rsidR="00422E18" w:rsidRDefault="00422E18" w:rsidP="001839B7">
      <w:pPr>
        <w:tabs>
          <w:tab w:val="left" w:pos="90"/>
        </w:tabs>
        <w:spacing w:after="0" w:line="360" w:lineRule="auto"/>
        <w:jc w:val="both"/>
        <w:rPr>
          <w:rFonts w:ascii="Times New Roman" w:hAnsi="Times New Roman" w:cs="Times New Roman"/>
          <w:sz w:val="24"/>
          <w:szCs w:val="24"/>
        </w:rPr>
      </w:pPr>
      <w:r w:rsidRPr="00422E18">
        <w:rPr>
          <w:rFonts w:ascii="Times New Roman" w:hAnsi="Times New Roman" w:cs="Times New Roman"/>
          <w:noProof/>
          <w:sz w:val="24"/>
          <w:szCs w:val="24"/>
        </w:rPr>
        <w:drawing>
          <wp:inline distT="0" distB="0" distL="0" distR="0" wp14:anchorId="02AB0064" wp14:editId="1D7F1AFC">
            <wp:extent cx="5731510" cy="2842260"/>
            <wp:effectExtent l="0" t="0" r="2540" b="0"/>
            <wp:docPr id="4932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5980" name=""/>
                    <pic:cNvPicPr/>
                  </pic:nvPicPr>
                  <pic:blipFill rotWithShape="1">
                    <a:blip r:embed="rId17"/>
                    <a:srcRect b="19172"/>
                    <a:stretch/>
                  </pic:blipFill>
                  <pic:spPr bwMode="auto">
                    <a:xfrm>
                      <a:off x="0" y="0"/>
                      <a:ext cx="5731510" cy="2842260"/>
                    </a:xfrm>
                    <a:prstGeom prst="rect">
                      <a:avLst/>
                    </a:prstGeom>
                    <a:ln>
                      <a:noFill/>
                    </a:ln>
                    <a:extLst>
                      <a:ext uri="{53640926-AAD7-44D8-BBD7-CCE9431645EC}">
                        <a14:shadowObscured xmlns:a14="http://schemas.microsoft.com/office/drawing/2010/main"/>
                      </a:ext>
                    </a:extLst>
                  </pic:spPr>
                </pic:pic>
              </a:graphicData>
            </a:graphic>
          </wp:inline>
        </w:drawing>
      </w:r>
    </w:p>
    <w:p w14:paraId="0FF832A0" w14:textId="1A93B8D0" w:rsidR="00CE0561" w:rsidRPr="00CE0561" w:rsidRDefault="00CE0561" w:rsidP="001839B7">
      <w:pPr>
        <w:tabs>
          <w:tab w:val="left" w:pos="90"/>
        </w:tabs>
        <w:spacing w:after="0" w:line="360" w:lineRule="auto"/>
        <w:jc w:val="both"/>
        <w:rPr>
          <w:rFonts w:ascii="Times New Roman" w:hAnsi="Times New Roman" w:cs="Times New Roman"/>
          <w:sz w:val="24"/>
          <w:szCs w:val="24"/>
        </w:rPr>
      </w:pPr>
      <w:r w:rsidRPr="00CE0561">
        <w:rPr>
          <w:rFonts w:ascii="Times New Roman" w:hAnsi="Times New Roman" w:cs="Times New Roman"/>
          <w:sz w:val="24"/>
          <w:szCs w:val="24"/>
        </w:rPr>
        <w:lastRenderedPageBreak/>
        <w:t>Intercellular communication via extracellular vesicles (EVs) in tumor microenvironment. (A) Tumor-derived EVs (TDEs) release promotes tumor growth/metastasis/progression. (B) TDEs release inhibits T-cell activation via alpha/beta integrin receptors. (C) PD-L1 expressed on TDEs leads to macrophage suppression through TLR4 signaling. (D) Release of EVs from macrophage promotes tumor growth via miRNA signaling.</w:t>
      </w:r>
    </w:p>
    <w:p w14:paraId="17269A7B" w14:textId="696FEB78" w:rsidR="00284BC2" w:rsidRPr="001839B7" w:rsidRDefault="00284BC2" w:rsidP="001839B7">
      <w:pPr>
        <w:tabs>
          <w:tab w:val="left" w:pos="90"/>
        </w:tabs>
        <w:spacing w:after="0" w:line="360" w:lineRule="auto"/>
        <w:jc w:val="both"/>
        <w:rPr>
          <w:rFonts w:ascii="Times New Roman" w:hAnsi="Times New Roman" w:cs="Times New Roman"/>
          <w:sz w:val="24"/>
          <w:szCs w:val="24"/>
        </w:rPr>
      </w:pPr>
      <w:r w:rsidRPr="001839B7">
        <w:rPr>
          <w:rFonts w:ascii="Times New Roman" w:hAnsi="Times New Roman" w:cs="Times New Roman"/>
          <w:sz w:val="24"/>
          <w:szCs w:val="24"/>
        </w:rPr>
        <w:tab/>
      </w:r>
      <w:r w:rsidRPr="001839B7">
        <w:rPr>
          <w:rFonts w:ascii="Times New Roman" w:hAnsi="Times New Roman" w:cs="Times New Roman"/>
          <w:sz w:val="24"/>
          <w:szCs w:val="24"/>
        </w:rPr>
        <w:tab/>
        <w:t>The development of cancer and immune responses have been reported to depend on tumor-derived exosome proteins both functionally and prognostically [</w:t>
      </w:r>
      <w:r w:rsidR="008C1C8C" w:rsidRPr="008C1C8C">
        <w:rPr>
          <w:rFonts w:ascii="Times New Roman" w:hAnsi="Times New Roman" w:cs="Times New Roman"/>
          <w:sz w:val="24"/>
          <w:szCs w:val="24"/>
        </w:rPr>
        <w:t xml:space="preserve">Costa-Silva </w:t>
      </w:r>
      <w:r w:rsidR="00ED128B">
        <w:rPr>
          <w:rFonts w:ascii="Times New Roman" w:hAnsi="Times New Roman" w:cs="Times New Roman"/>
          <w:sz w:val="24"/>
          <w:szCs w:val="24"/>
        </w:rPr>
        <w:t xml:space="preserve">et al., </w:t>
      </w:r>
      <w:r w:rsidR="008C1C8C">
        <w:rPr>
          <w:rFonts w:ascii="Times New Roman" w:hAnsi="Times New Roman" w:cs="Times New Roman"/>
          <w:sz w:val="24"/>
          <w:szCs w:val="24"/>
        </w:rPr>
        <w:t>2015;</w:t>
      </w:r>
      <w:r w:rsidRPr="001839B7">
        <w:rPr>
          <w:rFonts w:ascii="Times New Roman" w:hAnsi="Times New Roman" w:cs="Times New Roman"/>
          <w:sz w:val="24"/>
          <w:szCs w:val="24"/>
        </w:rPr>
        <w:t xml:space="preserve"> </w:t>
      </w:r>
      <w:r w:rsidR="008C1C8C" w:rsidRPr="008C1C8C">
        <w:rPr>
          <w:rFonts w:ascii="Times New Roman" w:hAnsi="Times New Roman" w:cs="Times New Roman"/>
          <w:sz w:val="24"/>
          <w:szCs w:val="24"/>
        </w:rPr>
        <w:t xml:space="preserve">Peinado </w:t>
      </w:r>
      <w:r w:rsidR="00ED128B">
        <w:rPr>
          <w:rFonts w:ascii="Times New Roman" w:hAnsi="Times New Roman" w:cs="Times New Roman"/>
          <w:sz w:val="24"/>
          <w:szCs w:val="24"/>
        </w:rPr>
        <w:t xml:space="preserve">et al., </w:t>
      </w:r>
      <w:r w:rsidR="008C1C8C">
        <w:rPr>
          <w:rFonts w:ascii="Times New Roman" w:hAnsi="Times New Roman" w:cs="Times New Roman"/>
          <w:sz w:val="24"/>
          <w:szCs w:val="24"/>
        </w:rPr>
        <w:t xml:space="preserve">2012; </w:t>
      </w:r>
      <w:r w:rsidR="008C1C8C" w:rsidRPr="008C1C8C">
        <w:rPr>
          <w:rFonts w:ascii="Times New Roman" w:hAnsi="Times New Roman" w:cs="Times New Roman"/>
          <w:sz w:val="24"/>
          <w:szCs w:val="24"/>
        </w:rPr>
        <w:t xml:space="preserve">Li </w:t>
      </w:r>
      <w:r w:rsidR="00ED128B">
        <w:rPr>
          <w:rFonts w:ascii="Times New Roman" w:hAnsi="Times New Roman" w:cs="Times New Roman"/>
          <w:sz w:val="24"/>
          <w:szCs w:val="24"/>
        </w:rPr>
        <w:t xml:space="preserve">et al., </w:t>
      </w:r>
      <w:r w:rsidR="008C1C8C" w:rsidRPr="008C1C8C">
        <w:rPr>
          <w:rFonts w:ascii="Times New Roman" w:hAnsi="Times New Roman" w:cs="Times New Roman"/>
          <w:sz w:val="24"/>
          <w:szCs w:val="24"/>
        </w:rPr>
        <w:t>2017</w:t>
      </w:r>
      <w:r w:rsidRPr="001839B7">
        <w:rPr>
          <w:rFonts w:ascii="Times New Roman" w:hAnsi="Times New Roman" w:cs="Times New Roman"/>
          <w:sz w:val="24"/>
          <w:szCs w:val="24"/>
        </w:rPr>
        <w:t>]. The majority of mass spectrometry analyses are used to identify various proteins in blood exosomes obtained from cancer patients and healthy individuals. Multiple distinct biomarker candidates were discovered after research on the surface proteins of exosomes from pancreatic ductal adenocarcinoma (CLDN4, EPCAM, CD151, LGALS3BP, HIST2H2BE, and HIST2H2BF) [</w:t>
      </w:r>
      <w:r w:rsidR="008C1C8C" w:rsidRPr="008C1C8C">
        <w:rPr>
          <w:rFonts w:ascii="Times New Roman" w:hAnsi="Times New Roman" w:cs="Times New Roman"/>
          <w:sz w:val="24"/>
          <w:szCs w:val="24"/>
        </w:rPr>
        <w:t xml:space="preserve">Castillo </w:t>
      </w:r>
      <w:r w:rsidR="00ED128B">
        <w:rPr>
          <w:rFonts w:ascii="Times New Roman" w:hAnsi="Times New Roman" w:cs="Times New Roman"/>
          <w:sz w:val="24"/>
          <w:szCs w:val="24"/>
        </w:rPr>
        <w:t xml:space="preserve">et al., </w:t>
      </w:r>
      <w:r w:rsidR="008C1C8C" w:rsidRPr="008C1C8C">
        <w:rPr>
          <w:rFonts w:ascii="Times New Roman" w:hAnsi="Times New Roman" w:cs="Times New Roman"/>
          <w:sz w:val="24"/>
          <w:szCs w:val="24"/>
        </w:rPr>
        <w:t>2018</w:t>
      </w:r>
      <w:r w:rsidRPr="001839B7">
        <w:rPr>
          <w:rFonts w:ascii="Times New Roman" w:hAnsi="Times New Roman" w:cs="Times New Roman"/>
          <w:sz w:val="24"/>
          <w:szCs w:val="24"/>
        </w:rPr>
        <w:t>]. One of the most extensively studied surface markers of exosomes derived from colon and pancreatic cancer is glipican 1 (GPC1) [</w:t>
      </w:r>
      <w:r w:rsidR="008C1C8C" w:rsidRPr="008C1C8C">
        <w:rPr>
          <w:rFonts w:ascii="Times New Roman" w:hAnsi="Times New Roman" w:cs="Times New Roman"/>
          <w:sz w:val="24"/>
          <w:szCs w:val="24"/>
        </w:rPr>
        <w:t xml:space="preserve">Melo </w:t>
      </w:r>
      <w:r w:rsidR="00ED128B">
        <w:rPr>
          <w:rFonts w:ascii="Times New Roman" w:hAnsi="Times New Roman" w:cs="Times New Roman"/>
          <w:sz w:val="24"/>
          <w:szCs w:val="24"/>
        </w:rPr>
        <w:t xml:space="preserve">et al., </w:t>
      </w:r>
      <w:r w:rsidR="008C1C8C" w:rsidRPr="008C1C8C">
        <w:rPr>
          <w:rFonts w:ascii="Times New Roman" w:hAnsi="Times New Roman" w:cs="Times New Roman"/>
          <w:sz w:val="24"/>
          <w:szCs w:val="24"/>
        </w:rPr>
        <w:t>2015</w:t>
      </w:r>
      <w:r w:rsidR="008C1C8C">
        <w:rPr>
          <w:rFonts w:ascii="Times New Roman" w:hAnsi="Times New Roman" w:cs="Times New Roman"/>
          <w:sz w:val="24"/>
          <w:szCs w:val="24"/>
        </w:rPr>
        <w:t>;</w:t>
      </w:r>
      <w:r w:rsidRPr="001839B7">
        <w:rPr>
          <w:rFonts w:ascii="Times New Roman" w:hAnsi="Times New Roman" w:cs="Times New Roman"/>
          <w:sz w:val="24"/>
          <w:szCs w:val="24"/>
        </w:rPr>
        <w:t xml:space="preserve"> </w:t>
      </w:r>
      <w:r w:rsidR="008C1C8C" w:rsidRPr="008C1C8C">
        <w:rPr>
          <w:rFonts w:ascii="Times New Roman" w:hAnsi="Times New Roman" w:cs="Times New Roman"/>
          <w:sz w:val="24"/>
          <w:szCs w:val="24"/>
        </w:rPr>
        <w:t xml:space="preserve">Li </w:t>
      </w:r>
      <w:r w:rsidR="00ED128B">
        <w:rPr>
          <w:rFonts w:ascii="Times New Roman" w:hAnsi="Times New Roman" w:cs="Times New Roman"/>
          <w:sz w:val="24"/>
          <w:szCs w:val="24"/>
        </w:rPr>
        <w:t xml:space="preserve">et al., </w:t>
      </w:r>
      <w:r w:rsidR="008C1C8C" w:rsidRPr="008C1C8C">
        <w:rPr>
          <w:rFonts w:ascii="Times New Roman" w:hAnsi="Times New Roman" w:cs="Times New Roman"/>
          <w:sz w:val="24"/>
          <w:szCs w:val="24"/>
        </w:rPr>
        <w:t>2017</w:t>
      </w:r>
      <w:r w:rsidRPr="001839B7">
        <w:rPr>
          <w:rFonts w:ascii="Times New Roman" w:hAnsi="Times New Roman" w:cs="Times New Roman"/>
          <w:sz w:val="24"/>
          <w:szCs w:val="24"/>
        </w:rPr>
        <w:t>]. It has been demonstrated that patients with early- and latest-stage pancreatic cancer can be distinguished from healthy individuals and patients with benign pancreatic disease by the amount of GPC1+ circulating exosomes. The levels of GPC1+ exosomes are related to the tumor burden and post-operative patient survival, making it possible to detect pancreatic cancer and possibly assess treatment response [</w:t>
      </w:r>
      <w:r w:rsidR="008C1C8C" w:rsidRPr="008C1C8C">
        <w:rPr>
          <w:rFonts w:ascii="Times New Roman" w:hAnsi="Times New Roman" w:cs="Times New Roman"/>
          <w:sz w:val="24"/>
          <w:szCs w:val="24"/>
        </w:rPr>
        <w:t xml:space="preserve">Melo </w:t>
      </w:r>
      <w:r w:rsidR="00ED128B">
        <w:rPr>
          <w:rFonts w:ascii="Times New Roman" w:hAnsi="Times New Roman" w:cs="Times New Roman"/>
          <w:sz w:val="24"/>
          <w:szCs w:val="24"/>
        </w:rPr>
        <w:t xml:space="preserve">et al., </w:t>
      </w:r>
      <w:r w:rsidR="008C1C8C" w:rsidRPr="008C1C8C">
        <w:rPr>
          <w:rFonts w:ascii="Times New Roman" w:hAnsi="Times New Roman" w:cs="Times New Roman"/>
          <w:sz w:val="24"/>
          <w:szCs w:val="24"/>
        </w:rPr>
        <w:t>2015</w:t>
      </w:r>
      <w:r w:rsidRPr="001839B7">
        <w:rPr>
          <w:rFonts w:ascii="Times New Roman" w:hAnsi="Times New Roman" w:cs="Times New Roman"/>
          <w:sz w:val="24"/>
          <w:szCs w:val="24"/>
        </w:rPr>
        <w:t>]. According to some studies, serum CA19-9 and GPC1+ exosomes may work as a diagnostic marker for pancreatic cancer [</w:t>
      </w:r>
      <w:r w:rsidR="008C1C8C" w:rsidRPr="008C1C8C">
        <w:rPr>
          <w:rFonts w:ascii="Times New Roman" w:hAnsi="Times New Roman" w:cs="Times New Roman"/>
          <w:sz w:val="24"/>
          <w:szCs w:val="24"/>
        </w:rPr>
        <w:t xml:space="preserve">Buscail </w:t>
      </w:r>
      <w:r w:rsidR="00ED128B">
        <w:rPr>
          <w:rFonts w:ascii="Times New Roman" w:hAnsi="Times New Roman" w:cs="Times New Roman"/>
          <w:sz w:val="24"/>
          <w:szCs w:val="24"/>
        </w:rPr>
        <w:t xml:space="preserve">et al., </w:t>
      </w:r>
      <w:r w:rsidR="008C1C8C" w:rsidRPr="008C1C8C">
        <w:rPr>
          <w:rFonts w:ascii="Times New Roman" w:hAnsi="Times New Roman" w:cs="Times New Roman"/>
          <w:sz w:val="24"/>
          <w:szCs w:val="24"/>
        </w:rPr>
        <w:t xml:space="preserve">2019; Xiao </w:t>
      </w:r>
      <w:r w:rsidR="00ED128B">
        <w:rPr>
          <w:rFonts w:ascii="Times New Roman" w:hAnsi="Times New Roman" w:cs="Times New Roman"/>
          <w:sz w:val="24"/>
          <w:szCs w:val="24"/>
        </w:rPr>
        <w:t xml:space="preserve">et al., </w:t>
      </w:r>
      <w:r w:rsidR="008C1C8C" w:rsidRPr="008C1C8C">
        <w:rPr>
          <w:rFonts w:ascii="Times New Roman" w:hAnsi="Times New Roman" w:cs="Times New Roman"/>
          <w:sz w:val="24"/>
          <w:szCs w:val="24"/>
        </w:rPr>
        <w:t>2020</w:t>
      </w:r>
      <w:r w:rsidRPr="001839B7">
        <w:rPr>
          <w:rFonts w:ascii="Times New Roman" w:hAnsi="Times New Roman" w:cs="Times New Roman"/>
          <w:sz w:val="24"/>
          <w:szCs w:val="24"/>
        </w:rPr>
        <w:t>].</w:t>
      </w:r>
    </w:p>
    <w:p w14:paraId="3F012684" w14:textId="4766911F" w:rsidR="00284BC2" w:rsidRDefault="00CF6603" w:rsidP="001839B7">
      <w:pPr>
        <w:tabs>
          <w:tab w:val="left" w:pos="9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w:t>
      </w:r>
    </w:p>
    <w:p w14:paraId="7ED54A64" w14:textId="54FFDBE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Akbay A, Cinar K, Uzunalimoglu O, et al. Serum cytotoxin and oxidant stress markers in N-</w:t>
      </w:r>
      <w:r>
        <w:rPr>
          <w:rFonts w:ascii="Times New Roman" w:hAnsi="Times New Roman"/>
          <w:sz w:val="24"/>
          <w:szCs w:val="24"/>
        </w:rPr>
        <w:tab/>
      </w:r>
      <w:r w:rsidRPr="00636E88">
        <w:rPr>
          <w:rFonts w:ascii="Times New Roman" w:hAnsi="Times New Roman"/>
          <w:sz w:val="24"/>
          <w:szCs w:val="24"/>
        </w:rPr>
        <w:t xml:space="preserve">acetylcysteine treated thioacetamide hepatotoxicity of rats. Hum Exp Toxicol. </w:t>
      </w:r>
      <w:r>
        <w:rPr>
          <w:rFonts w:ascii="Times New Roman" w:hAnsi="Times New Roman"/>
          <w:sz w:val="24"/>
          <w:szCs w:val="24"/>
        </w:rPr>
        <w:tab/>
      </w:r>
      <w:r w:rsidRPr="00636E88">
        <w:rPr>
          <w:rFonts w:ascii="Times New Roman" w:hAnsi="Times New Roman"/>
          <w:sz w:val="24"/>
          <w:szCs w:val="24"/>
        </w:rPr>
        <w:t>1999;18(11):669–676.</w:t>
      </w:r>
      <w:r w:rsidRPr="00636E88">
        <w:rPr>
          <w:rFonts w:ascii="Times New Roman" w:hAnsi="Times New Roman"/>
          <w:sz w:val="24"/>
          <w:szCs w:val="24"/>
        </w:rPr>
        <w:cr/>
        <w:t xml:space="preserve">Almkvist O Neuropsychological features of early Alzheimer’s disease: preclinical and clinical </w:t>
      </w:r>
      <w:r>
        <w:rPr>
          <w:rFonts w:ascii="Times New Roman" w:hAnsi="Times New Roman"/>
          <w:sz w:val="24"/>
          <w:szCs w:val="24"/>
        </w:rPr>
        <w:tab/>
      </w:r>
      <w:r w:rsidRPr="00636E88">
        <w:rPr>
          <w:rFonts w:ascii="Times New Roman" w:hAnsi="Times New Roman"/>
          <w:sz w:val="24"/>
          <w:szCs w:val="24"/>
        </w:rPr>
        <w:t xml:space="preserve">stages. ActaNeurolScandSuppl. 1996; 165:63-71. </w:t>
      </w:r>
    </w:p>
    <w:p w14:paraId="5793EAF8"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Alzheimer’s Association. 2010.</w:t>
      </w:r>
    </w:p>
    <w:p w14:paraId="60AA03AF"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Amacher DE, Adler R, Herath A, Townsend RR. Use of proteomic methods to identify serum </w:t>
      </w:r>
      <w:r>
        <w:rPr>
          <w:rFonts w:ascii="Times New Roman" w:hAnsi="Times New Roman"/>
          <w:sz w:val="24"/>
          <w:szCs w:val="24"/>
        </w:rPr>
        <w:tab/>
      </w:r>
      <w:r w:rsidRPr="00636E88">
        <w:rPr>
          <w:rFonts w:ascii="Times New Roman" w:hAnsi="Times New Roman"/>
          <w:sz w:val="24"/>
          <w:szCs w:val="24"/>
        </w:rPr>
        <w:t xml:space="preserve">biomarkers associated with rat liver toxicity or hypertrophy. Clin Chem. </w:t>
      </w:r>
      <w:r>
        <w:rPr>
          <w:rFonts w:ascii="Times New Roman" w:hAnsi="Times New Roman"/>
          <w:sz w:val="24"/>
          <w:szCs w:val="24"/>
        </w:rPr>
        <w:tab/>
      </w:r>
      <w:r w:rsidRPr="00636E88">
        <w:rPr>
          <w:rFonts w:ascii="Times New Roman" w:hAnsi="Times New Roman"/>
          <w:sz w:val="24"/>
          <w:szCs w:val="24"/>
        </w:rPr>
        <w:t>2005;51(10):1796–1803.</w:t>
      </w:r>
    </w:p>
    <w:p w14:paraId="755C375F" w14:textId="01AFEC1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Amacher DE. The discovery and development of proteomic safety biomarkers for the detection</w:t>
      </w:r>
      <w:r w:rsidR="00B463AA">
        <w:rPr>
          <w:rFonts w:ascii="Times New Roman" w:hAnsi="Times New Roman"/>
          <w:sz w:val="24"/>
          <w:szCs w:val="24"/>
        </w:rPr>
        <w:tab/>
      </w:r>
      <w:r w:rsidRPr="00636E88">
        <w:rPr>
          <w:rFonts w:ascii="Times New Roman" w:hAnsi="Times New Roman"/>
          <w:sz w:val="24"/>
          <w:szCs w:val="24"/>
        </w:rPr>
        <w:t>of drug-induced liver toxicity. Toxicol Appl Pharmacol. 2010;245(1):134–142.</w:t>
      </w:r>
    </w:p>
    <w:p w14:paraId="6DC53FCE" w14:textId="053155C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Amalinei C, Cianga C, Balan R, Cianga P, Giusca S, Caruntu ID. Immunohistochemical </w:t>
      </w:r>
      <w:r w:rsidR="00B463AA">
        <w:rPr>
          <w:rFonts w:ascii="Times New Roman" w:hAnsi="Times New Roman"/>
          <w:sz w:val="24"/>
          <w:szCs w:val="24"/>
        </w:rPr>
        <w:tab/>
      </w:r>
      <w:r w:rsidRPr="00636E88">
        <w:rPr>
          <w:rFonts w:ascii="Times New Roman" w:hAnsi="Times New Roman"/>
          <w:sz w:val="24"/>
          <w:szCs w:val="24"/>
        </w:rPr>
        <w:t>analysis of steroid receptors, proliferation markers, apoptosis related molecules, and</w:t>
      </w:r>
      <w:r w:rsidR="00B463AA">
        <w:rPr>
          <w:rFonts w:ascii="Times New Roman" w:hAnsi="Times New Roman"/>
          <w:sz w:val="24"/>
          <w:szCs w:val="24"/>
        </w:rPr>
        <w:tab/>
      </w:r>
      <w:r w:rsidRPr="00636E88">
        <w:rPr>
          <w:rFonts w:ascii="Times New Roman" w:hAnsi="Times New Roman"/>
          <w:sz w:val="24"/>
          <w:szCs w:val="24"/>
        </w:rPr>
        <w:t xml:space="preserve">gelatinases in </w:t>
      </w:r>
      <w:r>
        <w:rPr>
          <w:rFonts w:ascii="Times New Roman" w:hAnsi="Times New Roman"/>
          <w:sz w:val="24"/>
          <w:szCs w:val="24"/>
        </w:rPr>
        <w:tab/>
      </w:r>
      <w:r w:rsidRPr="00636E88">
        <w:rPr>
          <w:rFonts w:ascii="Times New Roman" w:hAnsi="Times New Roman"/>
          <w:sz w:val="24"/>
          <w:szCs w:val="24"/>
        </w:rPr>
        <w:t>non-neoplastic and neoplastic endometrium. Annals of Anatomy. 2011;</w:t>
      </w:r>
      <w:r w:rsidR="00B463AA">
        <w:rPr>
          <w:rFonts w:ascii="Times New Roman" w:hAnsi="Times New Roman"/>
          <w:sz w:val="24"/>
          <w:szCs w:val="24"/>
        </w:rPr>
        <w:tab/>
      </w:r>
      <w:r w:rsidRPr="00636E88">
        <w:rPr>
          <w:rFonts w:ascii="Times New Roman" w:hAnsi="Times New Roman"/>
          <w:sz w:val="24"/>
          <w:szCs w:val="24"/>
        </w:rPr>
        <w:t>193 (1):43–55.</w:t>
      </w:r>
    </w:p>
    <w:p w14:paraId="432DAB43" w14:textId="6B2981A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Amalinei C, Cianga C, Balan R, Cianga P, Giusca S, Caruntu ID. Immunohistochemical </w:t>
      </w:r>
      <w:r w:rsidR="00B463AA">
        <w:rPr>
          <w:rFonts w:ascii="Times New Roman" w:hAnsi="Times New Roman"/>
          <w:sz w:val="24"/>
          <w:szCs w:val="24"/>
        </w:rPr>
        <w:tab/>
      </w:r>
      <w:r w:rsidRPr="00636E88">
        <w:rPr>
          <w:rFonts w:ascii="Times New Roman" w:hAnsi="Times New Roman"/>
          <w:sz w:val="24"/>
          <w:szCs w:val="24"/>
        </w:rPr>
        <w:t>analysis</w:t>
      </w:r>
      <w:r w:rsidR="00B463AA">
        <w:rPr>
          <w:rFonts w:ascii="Times New Roman" w:hAnsi="Times New Roman"/>
          <w:sz w:val="24"/>
          <w:szCs w:val="24"/>
        </w:rPr>
        <w:t xml:space="preserve"> </w:t>
      </w:r>
      <w:r w:rsidRPr="00636E88">
        <w:rPr>
          <w:rFonts w:ascii="Times New Roman" w:hAnsi="Times New Roman"/>
          <w:sz w:val="24"/>
          <w:szCs w:val="24"/>
        </w:rPr>
        <w:t>of steroid receptors, proliferation markers, apoptosis related molecules, and</w:t>
      </w:r>
      <w:r w:rsidR="00B463AA">
        <w:rPr>
          <w:rFonts w:ascii="Times New Roman" w:hAnsi="Times New Roman"/>
          <w:sz w:val="24"/>
          <w:szCs w:val="24"/>
        </w:rPr>
        <w:tab/>
      </w:r>
      <w:r w:rsidRPr="00636E88">
        <w:rPr>
          <w:rFonts w:ascii="Times New Roman" w:hAnsi="Times New Roman"/>
          <w:sz w:val="24"/>
          <w:szCs w:val="24"/>
        </w:rPr>
        <w:t xml:space="preserve">gelatinases in </w:t>
      </w:r>
      <w:r>
        <w:rPr>
          <w:rFonts w:ascii="Times New Roman" w:hAnsi="Times New Roman"/>
          <w:sz w:val="24"/>
          <w:szCs w:val="24"/>
        </w:rPr>
        <w:tab/>
      </w:r>
      <w:r w:rsidRPr="00636E88">
        <w:rPr>
          <w:rFonts w:ascii="Times New Roman" w:hAnsi="Times New Roman"/>
          <w:sz w:val="24"/>
          <w:szCs w:val="24"/>
        </w:rPr>
        <w:t>non-neoplastic and neoplastic endometrium. Annals of Anatomy. 2011;</w:t>
      </w:r>
      <w:r w:rsidR="00B463AA">
        <w:rPr>
          <w:rFonts w:ascii="Times New Roman" w:hAnsi="Times New Roman"/>
          <w:sz w:val="24"/>
          <w:szCs w:val="24"/>
        </w:rPr>
        <w:tab/>
      </w:r>
      <w:r w:rsidRPr="00636E88">
        <w:rPr>
          <w:rFonts w:ascii="Times New Roman" w:hAnsi="Times New Roman"/>
          <w:sz w:val="24"/>
          <w:szCs w:val="24"/>
        </w:rPr>
        <w:t>193 (1):43–55.</w:t>
      </w:r>
    </w:p>
    <w:p w14:paraId="4A0FF2B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Andres D, Sanchez-Reus I, Bautista M, Cascales M. Depletion of Kupffer cell function by </w:t>
      </w:r>
      <w:r>
        <w:rPr>
          <w:rFonts w:ascii="Times New Roman" w:hAnsi="Times New Roman"/>
          <w:sz w:val="24"/>
          <w:szCs w:val="24"/>
        </w:rPr>
        <w:tab/>
      </w:r>
      <w:r w:rsidRPr="00636E88">
        <w:rPr>
          <w:rFonts w:ascii="Times New Roman" w:hAnsi="Times New Roman"/>
          <w:sz w:val="24"/>
          <w:szCs w:val="24"/>
        </w:rPr>
        <w:t xml:space="preserve">gadolinium chloride attenuates thioacetamide induced hepatotoxicity. Expression of </w:t>
      </w:r>
      <w:r>
        <w:rPr>
          <w:rFonts w:ascii="Times New Roman" w:hAnsi="Times New Roman"/>
          <w:sz w:val="24"/>
          <w:szCs w:val="24"/>
        </w:rPr>
        <w:tab/>
      </w:r>
      <w:r w:rsidRPr="00636E88">
        <w:rPr>
          <w:rFonts w:ascii="Times New Roman" w:hAnsi="Times New Roman"/>
          <w:sz w:val="24"/>
          <w:szCs w:val="24"/>
        </w:rPr>
        <w:t>metallothionein and HSP70. Biochem Pharmacol. 2003;66(6):917–926.</w:t>
      </w:r>
    </w:p>
    <w:p w14:paraId="60DE69D5" w14:textId="53A9A0C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Aronson D, Rayfield EJ. Diabetes and obesity. In: Fuster V, Ross R, Topol EJ, eds.</w:t>
      </w:r>
      <w:r w:rsidR="00B463AA">
        <w:rPr>
          <w:rFonts w:ascii="Times New Roman" w:hAnsi="Times New Roman"/>
          <w:sz w:val="24"/>
          <w:szCs w:val="24"/>
        </w:rPr>
        <w:tab/>
      </w:r>
      <w:r w:rsidRPr="00636E88">
        <w:rPr>
          <w:rFonts w:ascii="Times New Roman" w:hAnsi="Times New Roman"/>
          <w:sz w:val="24"/>
          <w:szCs w:val="24"/>
        </w:rPr>
        <w:t>Atherosclerosis and Coronary Artery Disease. Philadelphia, Pa: Lippincott-Raven;</w:t>
      </w:r>
      <w:r w:rsidR="00B463AA">
        <w:rPr>
          <w:rFonts w:ascii="Times New Roman" w:hAnsi="Times New Roman"/>
          <w:sz w:val="24"/>
          <w:szCs w:val="24"/>
        </w:rPr>
        <w:tab/>
      </w:r>
      <w:r w:rsidRPr="00636E88">
        <w:rPr>
          <w:rFonts w:ascii="Times New Roman" w:hAnsi="Times New Roman"/>
          <w:sz w:val="24"/>
          <w:szCs w:val="24"/>
        </w:rPr>
        <w:t>1996:327–359.</w:t>
      </w:r>
    </w:p>
    <w:p w14:paraId="4F8F020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Ashamiss F, Wierzbicki Z, Chrzanowska A, et al. Clinical significance of arginase after liver </w:t>
      </w:r>
      <w:r>
        <w:rPr>
          <w:rFonts w:ascii="Times New Roman" w:hAnsi="Times New Roman"/>
          <w:sz w:val="24"/>
          <w:szCs w:val="24"/>
        </w:rPr>
        <w:tab/>
      </w:r>
      <w:r w:rsidRPr="00636E88">
        <w:rPr>
          <w:rFonts w:ascii="Times New Roman" w:hAnsi="Times New Roman"/>
          <w:sz w:val="24"/>
          <w:szCs w:val="24"/>
        </w:rPr>
        <w:t>transplantation. Ann Transplant. 2004; 9(3):58–60.</w:t>
      </w:r>
    </w:p>
    <w:p w14:paraId="3C4E4EE4"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Atkinson MA, Eisenbarth GS: Type 1 diabetes: new perspectives on disease pathogenesis and </w:t>
      </w:r>
      <w:r>
        <w:rPr>
          <w:rFonts w:ascii="Times New Roman" w:hAnsi="Times New Roman"/>
          <w:sz w:val="24"/>
          <w:szCs w:val="24"/>
        </w:rPr>
        <w:tab/>
      </w:r>
      <w:r w:rsidRPr="00636E88">
        <w:rPr>
          <w:rFonts w:ascii="Times New Roman" w:hAnsi="Times New Roman"/>
          <w:sz w:val="24"/>
          <w:szCs w:val="24"/>
        </w:rPr>
        <w:t>treatment. Lancet 358:221–229, 2001</w:t>
      </w:r>
      <w:r>
        <w:rPr>
          <w:rFonts w:ascii="Times New Roman" w:hAnsi="Times New Roman"/>
          <w:sz w:val="24"/>
          <w:szCs w:val="24"/>
        </w:rPr>
        <w:t>.</w:t>
      </w:r>
    </w:p>
    <w:p w14:paraId="23355413"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Balkwill F. Tumor necrosis factor or tumor promoting factor? Cytokine Growth Factor Review. </w:t>
      </w:r>
      <w:r>
        <w:rPr>
          <w:rFonts w:ascii="Times New Roman" w:hAnsi="Times New Roman"/>
          <w:sz w:val="24"/>
          <w:szCs w:val="24"/>
        </w:rPr>
        <w:tab/>
      </w:r>
      <w:r w:rsidRPr="00636E88">
        <w:rPr>
          <w:rFonts w:ascii="Times New Roman" w:hAnsi="Times New Roman"/>
          <w:sz w:val="24"/>
          <w:szCs w:val="24"/>
        </w:rPr>
        <w:t>2002;13:135–41.</w:t>
      </w:r>
    </w:p>
    <w:p w14:paraId="4FE72F2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Balkwill FR, Burke F. The cytokine network. Immunol Today. 1989;10(9):299–304.</w:t>
      </w:r>
    </w:p>
    <w:p w14:paraId="730995C1" w14:textId="35B8692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Bastard JP, Maachi M, Lagathu C, Kim MJ, Caron M, Vidal H, Capeau J, Feve B. Recent </w:t>
      </w:r>
      <w:r w:rsidR="00B463AA">
        <w:rPr>
          <w:rFonts w:ascii="Times New Roman" w:hAnsi="Times New Roman"/>
          <w:sz w:val="24"/>
          <w:szCs w:val="24"/>
        </w:rPr>
        <w:tab/>
      </w:r>
      <w:r w:rsidRPr="00636E88">
        <w:rPr>
          <w:rFonts w:ascii="Times New Roman" w:hAnsi="Times New Roman"/>
          <w:sz w:val="24"/>
          <w:szCs w:val="24"/>
        </w:rPr>
        <w:t xml:space="preserve">advances in the relationship between obesity, inflammation and insulin resistance. Eur </w:t>
      </w:r>
      <w:r w:rsidR="00B463AA">
        <w:rPr>
          <w:rFonts w:ascii="Times New Roman" w:hAnsi="Times New Roman"/>
          <w:sz w:val="24"/>
          <w:szCs w:val="24"/>
        </w:rPr>
        <w:tab/>
      </w:r>
      <w:r w:rsidRPr="00636E88">
        <w:rPr>
          <w:rFonts w:ascii="Times New Roman" w:hAnsi="Times New Roman"/>
          <w:sz w:val="24"/>
          <w:szCs w:val="24"/>
        </w:rPr>
        <w:t>Cytokine Netw 2006; 17(1): 4-12.</w:t>
      </w:r>
    </w:p>
    <w:p w14:paraId="51C30719"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Bates S. The role of gene expression profiling in drug discovery. Curr Opin Pharmacol. </w:t>
      </w:r>
      <w:r>
        <w:rPr>
          <w:rFonts w:ascii="Times New Roman" w:hAnsi="Times New Roman"/>
          <w:sz w:val="24"/>
          <w:szCs w:val="24"/>
        </w:rPr>
        <w:tab/>
      </w:r>
      <w:r w:rsidRPr="00636E88">
        <w:rPr>
          <w:rFonts w:ascii="Times New Roman" w:hAnsi="Times New Roman"/>
          <w:sz w:val="24"/>
          <w:szCs w:val="24"/>
        </w:rPr>
        <w:t>2011;11(5):549–556.</w:t>
      </w:r>
    </w:p>
    <w:p w14:paraId="41F418D5" w14:textId="2F82814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Beckman JA, Creager MA, Libby P. Diabetes and atherosclerosis: epidemiology, </w:t>
      </w:r>
      <w:r w:rsidR="00B463AA">
        <w:rPr>
          <w:rFonts w:ascii="Times New Roman" w:hAnsi="Times New Roman"/>
          <w:sz w:val="24"/>
          <w:szCs w:val="24"/>
        </w:rPr>
        <w:tab/>
      </w:r>
      <w:r w:rsidRPr="00636E88">
        <w:rPr>
          <w:rFonts w:ascii="Times New Roman" w:hAnsi="Times New Roman"/>
          <w:sz w:val="24"/>
          <w:szCs w:val="24"/>
        </w:rPr>
        <w:t>pathophysiology, and management. JAMA. 2002;</w:t>
      </w:r>
      <w:r w:rsidR="00B463AA">
        <w:rPr>
          <w:rFonts w:ascii="Times New Roman" w:hAnsi="Times New Roman"/>
          <w:sz w:val="24"/>
          <w:szCs w:val="24"/>
        </w:rPr>
        <w:t xml:space="preserve"> </w:t>
      </w:r>
      <w:r w:rsidRPr="00636E88">
        <w:rPr>
          <w:rFonts w:ascii="Times New Roman" w:hAnsi="Times New Roman"/>
          <w:sz w:val="24"/>
          <w:szCs w:val="24"/>
        </w:rPr>
        <w:t>287:2570–2581.</w:t>
      </w:r>
    </w:p>
    <w:p w14:paraId="4C69798C" w14:textId="578E569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Bennermo M, Held C, Stemme S, Ericsson CG, Silveira A, Green F, Tornvall P: Genetic </w:t>
      </w:r>
      <w:r>
        <w:rPr>
          <w:rFonts w:ascii="Times New Roman" w:hAnsi="Times New Roman"/>
          <w:sz w:val="24"/>
          <w:szCs w:val="24"/>
        </w:rPr>
        <w:tab/>
      </w:r>
      <w:r w:rsidRPr="00636E88">
        <w:rPr>
          <w:rFonts w:ascii="Times New Roman" w:hAnsi="Times New Roman"/>
          <w:sz w:val="24"/>
          <w:szCs w:val="24"/>
        </w:rPr>
        <w:t>predisposition of the interleukin-6 response to inflammation:</w:t>
      </w:r>
      <w:r w:rsidR="00B463AA">
        <w:rPr>
          <w:rFonts w:ascii="Times New Roman" w:hAnsi="Times New Roman"/>
          <w:sz w:val="24"/>
          <w:szCs w:val="24"/>
        </w:rPr>
        <w:t xml:space="preserve"> </w:t>
      </w:r>
      <w:r w:rsidRPr="00636E88">
        <w:rPr>
          <w:rFonts w:ascii="Times New Roman" w:hAnsi="Times New Roman"/>
          <w:sz w:val="24"/>
          <w:szCs w:val="24"/>
        </w:rPr>
        <w:t xml:space="preserve">implications for a variety </w:t>
      </w:r>
      <w:r w:rsidR="00B463AA">
        <w:rPr>
          <w:rFonts w:ascii="Times New Roman" w:hAnsi="Times New Roman"/>
          <w:sz w:val="24"/>
          <w:szCs w:val="24"/>
        </w:rPr>
        <w:tab/>
      </w:r>
      <w:r w:rsidRPr="00636E88">
        <w:rPr>
          <w:rFonts w:ascii="Times New Roman" w:hAnsi="Times New Roman"/>
          <w:sz w:val="24"/>
          <w:szCs w:val="24"/>
        </w:rPr>
        <w:t>of major diseases? Clin Chem 50:2136 –2140,2004</w:t>
      </w:r>
    </w:p>
    <w:p w14:paraId="0568C55B" w14:textId="3CA765C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Bergers G, Benjamin LE. Tumorigenesis and the angiogenicswitch. Nature Review Cancer. </w:t>
      </w:r>
      <w:r w:rsidR="00B463AA">
        <w:rPr>
          <w:rFonts w:ascii="Times New Roman" w:hAnsi="Times New Roman"/>
          <w:sz w:val="24"/>
          <w:szCs w:val="24"/>
        </w:rPr>
        <w:tab/>
      </w:r>
      <w:r w:rsidRPr="00636E88">
        <w:rPr>
          <w:rFonts w:ascii="Times New Roman" w:hAnsi="Times New Roman"/>
          <w:sz w:val="24"/>
          <w:szCs w:val="24"/>
        </w:rPr>
        <w:t>2003; 3: 401-10.</w:t>
      </w:r>
    </w:p>
    <w:p w14:paraId="1F67F134"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Beyenhof and Lauren. How a CT Scan Works. Helium - Where Knowledge Rules. Web. 2010.</w:t>
      </w:r>
    </w:p>
    <w:p w14:paraId="719D13C1" w14:textId="29A07CA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Biasucci L, et al; Elevated Levels of Interleukin-6 in Unstable Angina. Circulation.</w:t>
      </w:r>
      <w:r w:rsidR="00B463AA">
        <w:rPr>
          <w:rFonts w:ascii="Times New Roman" w:hAnsi="Times New Roman"/>
          <w:sz w:val="24"/>
          <w:szCs w:val="24"/>
        </w:rPr>
        <w:tab/>
      </w:r>
      <w:r w:rsidRPr="00636E88">
        <w:rPr>
          <w:rFonts w:ascii="Times New Roman" w:hAnsi="Times New Roman"/>
          <w:sz w:val="24"/>
          <w:szCs w:val="24"/>
        </w:rPr>
        <w:t>1996;94:874-</w:t>
      </w:r>
      <w:r>
        <w:rPr>
          <w:rFonts w:ascii="Times New Roman" w:hAnsi="Times New Roman"/>
          <w:sz w:val="24"/>
          <w:szCs w:val="24"/>
        </w:rPr>
        <w:tab/>
      </w:r>
      <w:r w:rsidRPr="00636E88">
        <w:rPr>
          <w:rFonts w:ascii="Times New Roman" w:hAnsi="Times New Roman"/>
          <w:sz w:val="24"/>
          <w:szCs w:val="24"/>
        </w:rPr>
        <w:t>877</w:t>
      </w:r>
    </w:p>
    <w:p w14:paraId="320BD856"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Biondi-Zoccai GG, Abbate A, Liuzzo G, Biasucci LM. Atherothrombosis, inflammation, and </w:t>
      </w:r>
      <w:r>
        <w:rPr>
          <w:rFonts w:ascii="Times New Roman" w:hAnsi="Times New Roman"/>
          <w:sz w:val="24"/>
          <w:szCs w:val="24"/>
        </w:rPr>
        <w:tab/>
      </w:r>
      <w:r w:rsidRPr="00636E88">
        <w:rPr>
          <w:rFonts w:ascii="Times New Roman" w:hAnsi="Times New Roman"/>
          <w:sz w:val="24"/>
          <w:szCs w:val="24"/>
        </w:rPr>
        <w:t>diabetes. J Am Coll Cardiol. 2003;41:1071–1077.</w:t>
      </w:r>
    </w:p>
    <w:p w14:paraId="0B773396"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Blennow K, de Leon MJ and Zetterberg H. Alzheimer’s disease. Lancet. 2006; 29: 387-403.</w:t>
      </w:r>
    </w:p>
    <w:p w14:paraId="7702BAE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Boulanger MJ, Chow DC, Brevnova EE, Garcia KC: Hexameric structure and assembly of the </w:t>
      </w:r>
      <w:r>
        <w:rPr>
          <w:rFonts w:ascii="Times New Roman" w:hAnsi="Times New Roman"/>
          <w:sz w:val="24"/>
          <w:szCs w:val="24"/>
        </w:rPr>
        <w:tab/>
      </w:r>
      <w:r w:rsidRPr="00636E88">
        <w:rPr>
          <w:rFonts w:ascii="Times New Roman" w:hAnsi="Times New Roman"/>
          <w:sz w:val="24"/>
          <w:szCs w:val="24"/>
        </w:rPr>
        <w:t>interleukin-6/IL-6 alpha-receptor/gp130 complex. Science 300:2101–2104, 2003</w:t>
      </w:r>
      <w:r>
        <w:rPr>
          <w:rFonts w:ascii="Times New Roman" w:hAnsi="Times New Roman"/>
          <w:sz w:val="24"/>
          <w:szCs w:val="24"/>
        </w:rPr>
        <w:t>.</w:t>
      </w:r>
    </w:p>
    <w:p w14:paraId="3EC8758D"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Brownlee M. Biochemistry and molecular cell biology of diabetic complications. Nature 2001; </w:t>
      </w:r>
      <w:r>
        <w:rPr>
          <w:rFonts w:ascii="Times New Roman" w:hAnsi="Times New Roman"/>
          <w:sz w:val="24"/>
          <w:szCs w:val="24"/>
        </w:rPr>
        <w:tab/>
      </w:r>
      <w:r w:rsidRPr="00636E88">
        <w:rPr>
          <w:rFonts w:ascii="Times New Roman" w:hAnsi="Times New Roman"/>
          <w:sz w:val="24"/>
          <w:szCs w:val="24"/>
        </w:rPr>
        <w:t>414(6865): 813-20.</w:t>
      </w:r>
    </w:p>
    <w:p w14:paraId="2B526908"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 </w:t>
      </w:r>
      <w:bookmarkStart w:id="1" w:name="_Hlk142395694"/>
      <w:r w:rsidRPr="00636E88">
        <w:rPr>
          <w:rFonts w:ascii="Times New Roman" w:hAnsi="Times New Roman"/>
          <w:sz w:val="24"/>
          <w:szCs w:val="24"/>
        </w:rPr>
        <w:t>Buamah, P</w:t>
      </w:r>
      <w:bookmarkEnd w:id="1"/>
      <w:r w:rsidRPr="00636E88">
        <w:rPr>
          <w:rFonts w:ascii="Times New Roman" w:hAnsi="Times New Roman"/>
          <w:sz w:val="24"/>
          <w:szCs w:val="24"/>
        </w:rPr>
        <w:t xml:space="preserve">. Benign conditions associated with raised serum, CA-125 concentration. J. Surg. </w:t>
      </w:r>
      <w:r>
        <w:rPr>
          <w:rFonts w:ascii="Times New Roman" w:hAnsi="Times New Roman"/>
          <w:sz w:val="24"/>
          <w:szCs w:val="24"/>
        </w:rPr>
        <w:tab/>
      </w:r>
      <w:r w:rsidRPr="00636E88">
        <w:rPr>
          <w:rFonts w:ascii="Times New Roman" w:hAnsi="Times New Roman"/>
          <w:sz w:val="24"/>
          <w:szCs w:val="24"/>
        </w:rPr>
        <w:t>Oncol. 2000, 75, 264–265. [CrossRef]</w:t>
      </w:r>
    </w:p>
    <w:p w14:paraId="13942456" w14:textId="2BB4C55C"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Burzotta F, Iacoviello L, Di Castelnuovo A, Glieca F, Luciani N, Zamparelli R, Schiavello R, </w:t>
      </w:r>
      <w:r>
        <w:rPr>
          <w:rFonts w:ascii="Times New Roman" w:hAnsi="Times New Roman"/>
          <w:sz w:val="24"/>
          <w:szCs w:val="24"/>
        </w:rPr>
        <w:tab/>
      </w:r>
      <w:r w:rsidRPr="00636E88">
        <w:rPr>
          <w:rFonts w:ascii="Times New Roman" w:hAnsi="Times New Roman"/>
          <w:sz w:val="24"/>
          <w:szCs w:val="24"/>
        </w:rPr>
        <w:t>Donati MB, Maseri A, Possati G, Andreotti F: Relation of the 174 G/C polymorphism</w:t>
      </w:r>
      <w:r w:rsidR="00B463AA">
        <w:rPr>
          <w:rFonts w:ascii="Times New Roman" w:hAnsi="Times New Roman"/>
          <w:sz w:val="24"/>
          <w:szCs w:val="24"/>
        </w:rPr>
        <w:tab/>
      </w:r>
      <w:r w:rsidRPr="00636E88">
        <w:rPr>
          <w:rFonts w:ascii="Times New Roman" w:hAnsi="Times New Roman"/>
          <w:sz w:val="24"/>
          <w:szCs w:val="24"/>
        </w:rPr>
        <w:t xml:space="preserve"> of interleukin-6 to interleukin-6 plasma levels and to length of hospitalization after </w:t>
      </w:r>
      <w:r w:rsidR="00B463AA">
        <w:rPr>
          <w:rFonts w:ascii="Times New Roman" w:hAnsi="Times New Roman"/>
          <w:sz w:val="24"/>
          <w:szCs w:val="24"/>
        </w:rPr>
        <w:tab/>
      </w:r>
      <w:r w:rsidRPr="00636E88">
        <w:rPr>
          <w:rFonts w:ascii="Times New Roman" w:hAnsi="Times New Roman"/>
          <w:sz w:val="24"/>
          <w:szCs w:val="24"/>
        </w:rPr>
        <w:t>surgical coronary revascularization.Am J Cardiol 88:1125–1128, 2001</w:t>
      </w:r>
    </w:p>
    <w:p w14:paraId="3542B535" w14:textId="43796AC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Buscail E, Chauvet A, Quincy P, Degrandi O, Buscail C, Lamrissi I, et al. CD63- GPC1-</w:t>
      </w:r>
      <w:r w:rsidR="00B463AA">
        <w:rPr>
          <w:rFonts w:ascii="Times New Roman" w:hAnsi="Times New Roman"/>
          <w:sz w:val="24"/>
          <w:szCs w:val="24"/>
        </w:rPr>
        <w:tab/>
      </w:r>
      <w:r w:rsidRPr="00636E88">
        <w:rPr>
          <w:rFonts w:ascii="Times New Roman" w:hAnsi="Times New Roman"/>
          <w:sz w:val="24"/>
          <w:szCs w:val="24"/>
        </w:rPr>
        <w:t xml:space="preserve">Positive Exosomes Coupled with CA19-9 Offer Good Diagnostic Potential for </w:t>
      </w:r>
      <w:r w:rsidR="00B463AA">
        <w:rPr>
          <w:rFonts w:ascii="Times New Roman" w:hAnsi="Times New Roman"/>
          <w:sz w:val="24"/>
          <w:szCs w:val="24"/>
        </w:rPr>
        <w:tab/>
      </w:r>
      <w:r w:rsidRPr="00636E88">
        <w:rPr>
          <w:rFonts w:ascii="Times New Roman" w:hAnsi="Times New Roman"/>
          <w:sz w:val="24"/>
          <w:szCs w:val="24"/>
        </w:rPr>
        <w:t>Resectable Pancreatic Ductal Adenocarcinoma. Transl Oncol. 2019;12:1395–403.</w:t>
      </w:r>
    </w:p>
    <w:p w14:paraId="5B2E9469"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Bushel PR, Heinloth AN, Li J, et al. Blood gene expression signatures predict exposure levels. </w:t>
      </w:r>
      <w:r>
        <w:rPr>
          <w:rFonts w:ascii="Times New Roman" w:hAnsi="Times New Roman"/>
          <w:sz w:val="24"/>
          <w:szCs w:val="24"/>
        </w:rPr>
        <w:tab/>
      </w:r>
      <w:r w:rsidRPr="00636E88">
        <w:rPr>
          <w:rFonts w:ascii="Times New Roman" w:hAnsi="Times New Roman"/>
          <w:sz w:val="24"/>
          <w:szCs w:val="24"/>
        </w:rPr>
        <w:t>Proc Natl Acad Sci U S A. 2007;104(46): 18211–18216.</w:t>
      </w:r>
    </w:p>
    <w:p w14:paraId="2500580A" w14:textId="6186BD3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Caivano A, Laurenzana I, De Luca L, La Rocca F, Simeon V, Trino S, et al. High serum levels </w:t>
      </w:r>
      <w:r w:rsidR="00B463AA">
        <w:rPr>
          <w:rFonts w:ascii="Times New Roman" w:hAnsi="Times New Roman"/>
          <w:sz w:val="24"/>
          <w:szCs w:val="24"/>
        </w:rPr>
        <w:tab/>
      </w:r>
      <w:r w:rsidRPr="00636E88">
        <w:rPr>
          <w:rFonts w:ascii="Times New Roman" w:hAnsi="Times New Roman"/>
          <w:sz w:val="24"/>
          <w:szCs w:val="24"/>
        </w:rPr>
        <w:t xml:space="preserve">of extracellular vesicles expressing malignancy-related markers are released in patients </w:t>
      </w:r>
      <w:r w:rsidR="00B463AA">
        <w:rPr>
          <w:rFonts w:ascii="Times New Roman" w:hAnsi="Times New Roman"/>
          <w:sz w:val="24"/>
          <w:szCs w:val="24"/>
        </w:rPr>
        <w:lastRenderedPageBreak/>
        <w:tab/>
      </w:r>
      <w:r w:rsidRPr="00636E88">
        <w:rPr>
          <w:rFonts w:ascii="Times New Roman" w:hAnsi="Times New Roman"/>
          <w:sz w:val="24"/>
          <w:szCs w:val="24"/>
        </w:rPr>
        <w:t>with various types of hematological neoplastic disorders. Tumour Biol. 2015;</w:t>
      </w:r>
      <w:r w:rsidR="00B463AA">
        <w:rPr>
          <w:rFonts w:ascii="Times New Roman" w:hAnsi="Times New Roman"/>
          <w:sz w:val="24"/>
          <w:szCs w:val="24"/>
        </w:rPr>
        <w:t xml:space="preserve"> </w:t>
      </w:r>
      <w:r w:rsidRPr="00636E88">
        <w:rPr>
          <w:rFonts w:ascii="Times New Roman" w:hAnsi="Times New Roman"/>
          <w:sz w:val="24"/>
          <w:szCs w:val="24"/>
        </w:rPr>
        <w:t>36:</w:t>
      </w:r>
      <w:r w:rsidR="00B463AA">
        <w:rPr>
          <w:rFonts w:ascii="Times New Roman" w:hAnsi="Times New Roman"/>
          <w:sz w:val="24"/>
          <w:szCs w:val="24"/>
        </w:rPr>
        <w:t xml:space="preserve"> </w:t>
      </w:r>
      <w:r w:rsidRPr="00636E88">
        <w:rPr>
          <w:rFonts w:ascii="Times New Roman" w:hAnsi="Times New Roman"/>
          <w:sz w:val="24"/>
          <w:szCs w:val="24"/>
        </w:rPr>
        <w:t>9739–</w:t>
      </w:r>
      <w:r w:rsidR="00B463AA">
        <w:rPr>
          <w:rFonts w:ascii="Times New Roman" w:hAnsi="Times New Roman"/>
          <w:sz w:val="24"/>
          <w:szCs w:val="24"/>
        </w:rPr>
        <w:tab/>
      </w:r>
      <w:r w:rsidRPr="00636E88">
        <w:rPr>
          <w:rFonts w:ascii="Times New Roman" w:hAnsi="Times New Roman"/>
          <w:sz w:val="24"/>
          <w:szCs w:val="24"/>
        </w:rPr>
        <w:t>52.</w:t>
      </w:r>
    </w:p>
    <w:p w14:paraId="193E2D95" w14:textId="7E12C70C"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Calabrese G, Crescenzi C, Morizio E, Palka G, Guerra E and Alberti S: Assignment of </w:t>
      </w:r>
      <w:r w:rsidR="00B463AA">
        <w:rPr>
          <w:rFonts w:ascii="Times New Roman" w:hAnsi="Times New Roman"/>
          <w:sz w:val="24"/>
          <w:szCs w:val="24"/>
        </w:rPr>
        <w:tab/>
      </w:r>
      <w:r w:rsidRPr="00636E88">
        <w:rPr>
          <w:rFonts w:ascii="Times New Roman" w:hAnsi="Times New Roman"/>
          <w:sz w:val="24"/>
          <w:szCs w:val="24"/>
        </w:rPr>
        <w:t>TACSTD1(alias TROP1, M4S1) to human chromosome 2p21 and refinement of</w:t>
      </w:r>
      <w:r w:rsidR="00B463AA">
        <w:rPr>
          <w:rFonts w:ascii="Times New Roman" w:hAnsi="Times New Roman"/>
          <w:sz w:val="24"/>
          <w:szCs w:val="24"/>
        </w:rPr>
        <w:tab/>
      </w:r>
      <w:r w:rsidRPr="00636E88">
        <w:rPr>
          <w:rFonts w:ascii="Times New Roman" w:hAnsi="Times New Roman"/>
          <w:sz w:val="24"/>
          <w:szCs w:val="24"/>
        </w:rPr>
        <w:t>mapping of TACSTD2 (alias TROP2, Ml SI) to human chromosome lp32 by in situ</w:t>
      </w:r>
      <w:r w:rsidR="00B463AA">
        <w:rPr>
          <w:rFonts w:ascii="Times New Roman" w:hAnsi="Times New Roman"/>
          <w:sz w:val="24"/>
          <w:szCs w:val="24"/>
        </w:rPr>
        <w:tab/>
      </w:r>
      <w:r w:rsidRPr="00636E88">
        <w:rPr>
          <w:rFonts w:ascii="Times New Roman" w:hAnsi="Times New Roman"/>
          <w:sz w:val="24"/>
          <w:szCs w:val="24"/>
        </w:rPr>
        <w:t xml:space="preserve"> hybridization. Cytogenetics and Cell Genetics. 2001; 92: 164-165.</w:t>
      </w:r>
    </w:p>
    <w:p w14:paraId="01677E95" w14:textId="08AA4D7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Cameron MJ, Kelvin DJ. Cytokines and chemokines – their receptors and their genes: an </w:t>
      </w:r>
      <w:r w:rsidR="00B463AA">
        <w:rPr>
          <w:rFonts w:ascii="Times New Roman" w:hAnsi="Times New Roman"/>
          <w:sz w:val="24"/>
          <w:szCs w:val="24"/>
        </w:rPr>
        <w:tab/>
      </w:r>
      <w:r w:rsidRPr="00636E88">
        <w:rPr>
          <w:rFonts w:ascii="Times New Roman" w:hAnsi="Times New Roman"/>
          <w:sz w:val="24"/>
          <w:szCs w:val="24"/>
        </w:rPr>
        <w:t>overview. Adv Exp Med Biol. 2003;520:8–32.</w:t>
      </w:r>
    </w:p>
    <w:p w14:paraId="7A6FB83F" w14:textId="46D8A065"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Cappello F, Logozzi M, Campanella C, Bavisotto CC, Marcilla A, Properzi F, et al. Exosome</w:t>
      </w:r>
      <w:r>
        <w:rPr>
          <w:rFonts w:ascii="Times New Roman" w:hAnsi="Times New Roman"/>
          <w:sz w:val="24"/>
          <w:szCs w:val="24"/>
        </w:rPr>
        <w:tab/>
      </w:r>
      <w:r w:rsidRPr="00636E88">
        <w:rPr>
          <w:rFonts w:ascii="Times New Roman" w:hAnsi="Times New Roman"/>
          <w:sz w:val="24"/>
          <w:szCs w:val="24"/>
        </w:rPr>
        <w:t>levels in human body fluids: A tumor marker by themselves? Eur J Pharm Sci.</w:t>
      </w:r>
      <w:r>
        <w:rPr>
          <w:rFonts w:ascii="Times New Roman" w:hAnsi="Times New Roman"/>
          <w:sz w:val="24"/>
          <w:szCs w:val="24"/>
        </w:rPr>
        <w:tab/>
      </w:r>
      <w:r w:rsidRPr="00636E88">
        <w:rPr>
          <w:rFonts w:ascii="Times New Roman" w:hAnsi="Times New Roman"/>
          <w:sz w:val="24"/>
          <w:szCs w:val="24"/>
        </w:rPr>
        <w:t>2017;</w:t>
      </w:r>
      <w:r w:rsidR="00B463AA">
        <w:rPr>
          <w:rFonts w:ascii="Times New Roman" w:hAnsi="Times New Roman"/>
          <w:sz w:val="24"/>
          <w:szCs w:val="24"/>
        </w:rPr>
        <w:t xml:space="preserve"> </w:t>
      </w:r>
      <w:r w:rsidRPr="00636E88">
        <w:rPr>
          <w:rFonts w:ascii="Times New Roman" w:hAnsi="Times New Roman"/>
          <w:sz w:val="24"/>
          <w:szCs w:val="24"/>
        </w:rPr>
        <w:t>96:93–98.</w:t>
      </w:r>
    </w:p>
    <w:p w14:paraId="2AFC49D7" w14:textId="3C8A262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Castillo J, Bernard V, San Lucas FA, Allenson K, Capello M, Kim DU, et al. Surfaceome </w:t>
      </w:r>
      <w:r w:rsidR="00B463AA">
        <w:rPr>
          <w:rFonts w:ascii="Times New Roman" w:hAnsi="Times New Roman"/>
          <w:sz w:val="24"/>
          <w:szCs w:val="24"/>
        </w:rPr>
        <w:tab/>
      </w:r>
      <w:r w:rsidRPr="00636E88">
        <w:rPr>
          <w:rFonts w:ascii="Times New Roman" w:hAnsi="Times New Roman"/>
          <w:sz w:val="24"/>
          <w:szCs w:val="24"/>
        </w:rPr>
        <w:t>profiling enables isolation of cancer-specific exosomal cargo in liquid biopsies from</w:t>
      </w:r>
      <w:r w:rsidR="00B463AA">
        <w:rPr>
          <w:rFonts w:ascii="Times New Roman" w:hAnsi="Times New Roman"/>
          <w:sz w:val="24"/>
          <w:szCs w:val="24"/>
        </w:rPr>
        <w:tab/>
      </w:r>
      <w:r w:rsidRPr="00636E88">
        <w:rPr>
          <w:rFonts w:ascii="Times New Roman" w:hAnsi="Times New Roman"/>
          <w:sz w:val="24"/>
          <w:szCs w:val="24"/>
        </w:rPr>
        <w:t xml:space="preserve"> pancreatic</w:t>
      </w:r>
      <w:r w:rsidR="00B463AA">
        <w:rPr>
          <w:rFonts w:ascii="Times New Roman" w:hAnsi="Times New Roman"/>
          <w:sz w:val="24"/>
          <w:szCs w:val="24"/>
        </w:rPr>
        <w:t xml:space="preserve"> </w:t>
      </w:r>
      <w:r w:rsidRPr="00636E88">
        <w:rPr>
          <w:rFonts w:ascii="Times New Roman" w:hAnsi="Times New Roman"/>
          <w:sz w:val="24"/>
          <w:szCs w:val="24"/>
        </w:rPr>
        <w:t>cancer patients. Ann Oncol. 2018;</w:t>
      </w:r>
      <w:r w:rsidR="00B463AA">
        <w:rPr>
          <w:rFonts w:ascii="Times New Roman" w:hAnsi="Times New Roman"/>
          <w:sz w:val="24"/>
          <w:szCs w:val="24"/>
        </w:rPr>
        <w:t xml:space="preserve"> </w:t>
      </w:r>
      <w:r w:rsidRPr="00636E88">
        <w:rPr>
          <w:rFonts w:ascii="Times New Roman" w:hAnsi="Times New Roman"/>
          <w:sz w:val="24"/>
          <w:szCs w:val="24"/>
        </w:rPr>
        <w:t>29:</w:t>
      </w:r>
      <w:r w:rsidR="00B463AA">
        <w:rPr>
          <w:rFonts w:ascii="Times New Roman" w:hAnsi="Times New Roman"/>
          <w:sz w:val="24"/>
          <w:szCs w:val="24"/>
        </w:rPr>
        <w:t xml:space="preserve"> </w:t>
      </w:r>
      <w:r w:rsidRPr="00636E88">
        <w:rPr>
          <w:rFonts w:ascii="Times New Roman" w:hAnsi="Times New Roman"/>
          <w:sz w:val="24"/>
          <w:szCs w:val="24"/>
        </w:rPr>
        <w:t>223–9.</w:t>
      </w:r>
    </w:p>
    <w:p w14:paraId="2BA99359" w14:textId="7FA99A3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Cermak J, Key N, Bach R et al. C-reactive protein induces human peripheral factors. Blood </w:t>
      </w:r>
      <w:r w:rsidR="00B463AA">
        <w:rPr>
          <w:rFonts w:ascii="Times New Roman" w:hAnsi="Times New Roman"/>
          <w:sz w:val="24"/>
          <w:szCs w:val="24"/>
        </w:rPr>
        <w:tab/>
      </w:r>
      <w:r w:rsidRPr="00636E88">
        <w:rPr>
          <w:rFonts w:ascii="Times New Roman" w:hAnsi="Times New Roman"/>
          <w:sz w:val="24"/>
          <w:szCs w:val="24"/>
        </w:rPr>
        <w:t>1993; 82: 513-20.</w:t>
      </w:r>
    </w:p>
    <w:p w14:paraId="238699CC" w14:textId="7134DD5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Cheung LWT, Hennessy BT, Li J, Yu S, Myers AP, Djordjevic B, Lu Y, Stemke-Hale K, Dyer </w:t>
      </w:r>
      <w:r>
        <w:rPr>
          <w:rFonts w:ascii="Times New Roman" w:hAnsi="Times New Roman"/>
          <w:sz w:val="24"/>
          <w:szCs w:val="24"/>
        </w:rPr>
        <w:tab/>
      </w:r>
      <w:r w:rsidRPr="00636E88">
        <w:rPr>
          <w:rFonts w:ascii="Times New Roman" w:hAnsi="Times New Roman"/>
          <w:sz w:val="24"/>
          <w:szCs w:val="24"/>
        </w:rPr>
        <w:t xml:space="preserve">MD. High Frequency of PIK3R1 and PIK3R2 Mutations in Endometrial Cancer </w:t>
      </w:r>
      <w:r w:rsidR="00B463AA">
        <w:rPr>
          <w:rFonts w:ascii="Times New Roman" w:hAnsi="Times New Roman"/>
          <w:sz w:val="24"/>
          <w:szCs w:val="24"/>
        </w:rPr>
        <w:tab/>
      </w:r>
      <w:r w:rsidRPr="00636E88">
        <w:rPr>
          <w:rFonts w:ascii="Times New Roman" w:hAnsi="Times New Roman"/>
          <w:sz w:val="24"/>
          <w:szCs w:val="24"/>
        </w:rPr>
        <w:t xml:space="preserve">Elucidates a Novel Mechanism for Regulation of PTEN Protein Stability. Cancer </w:t>
      </w:r>
      <w:r w:rsidR="00B463AA">
        <w:rPr>
          <w:rFonts w:ascii="Times New Roman" w:hAnsi="Times New Roman"/>
          <w:sz w:val="24"/>
          <w:szCs w:val="24"/>
        </w:rPr>
        <w:tab/>
      </w:r>
      <w:r w:rsidRPr="00636E88">
        <w:rPr>
          <w:rFonts w:ascii="Times New Roman" w:hAnsi="Times New Roman"/>
          <w:sz w:val="24"/>
          <w:szCs w:val="24"/>
        </w:rPr>
        <w:t>Discovery. 2011; 1:170-185.</w:t>
      </w:r>
    </w:p>
    <w:p w14:paraId="7DC6E020"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Chiang K, Koo EH. Emerging therapeutics for Alzheimer’s disease. Annual Review of </w:t>
      </w:r>
      <w:r>
        <w:rPr>
          <w:rFonts w:ascii="Times New Roman" w:hAnsi="Times New Roman"/>
          <w:sz w:val="24"/>
          <w:szCs w:val="24"/>
        </w:rPr>
        <w:tab/>
      </w:r>
      <w:r w:rsidRPr="00636E88">
        <w:rPr>
          <w:rFonts w:ascii="Times New Roman" w:hAnsi="Times New Roman"/>
          <w:sz w:val="24"/>
          <w:szCs w:val="24"/>
        </w:rPr>
        <w:t>Pharmacology and Toxicology. 2014; 54: 381-405.</w:t>
      </w:r>
    </w:p>
    <w:p w14:paraId="51913498" w14:textId="0A226AA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Chopra V, Dinh TV, Hannigan EV. Serum levels of interleukins, growth factors and angiogenin </w:t>
      </w:r>
      <w:r>
        <w:rPr>
          <w:rFonts w:ascii="Times New Roman" w:hAnsi="Times New Roman"/>
          <w:sz w:val="24"/>
          <w:szCs w:val="24"/>
        </w:rPr>
        <w:tab/>
      </w:r>
      <w:r w:rsidRPr="00636E88">
        <w:rPr>
          <w:rFonts w:ascii="Times New Roman" w:hAnsi="Times New Roman"/>
          <w:sz w:val="24"/>
          <w:szCs w:val="24"/>
        </w:rPr>
        <w:t>in patients with endometrial cancer. Journal of Cancer Research Clinical Oncology.</w:t>
      </w:r>
      <w:r w:rsidR="00B463AA">
        <w:rPr>
          <w:rFonts w:ascii="Times New Roman" w:hAnsi="Times New Roman"/>
          <w:sz w:val="24"/>
          <w:szCs w:val="24"/>
        </w:rPr>
        <w:tab/>
      </w:r>
      <w:r w:rsidRPr="00636E88">
        <w:rPr>
          <w:rFonts w:ascii="Times New Roman" w:hAnsi="Times New Roman"/>
          <w:sz w:val="24"/>
          <w:szCs w:val="24"/>
        </w:rPr>
        <w:t>1997; 123:167–72.</w:t>
      </w:r>
    </w:p>
    <w:p w14:paraId="4A9B868E" w14:textId="7732F09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Chou E Alzheimer’s Diseas: Current and Future Treatments. A Review. International Journal </w:t>
      </w:r>
      <w:r w:rsidR="00B463AA">
        <w:rPr>
          <w:rFonts w:ascii="Times New Roman" w:hAnsi="Times New Roman"/>
          <w:sz w:val="24"/>
          <w:szCs w:val="24"/>
        </w:rPr>
        <w:tab/>
      </w:r>
      <w:r w:rsidRPr="00636E88">
        <w:rPr>
          <w:rFonts w:ascii="Times New Roman" w:hAnsi="Times New Roman"/>
          <w:sz w:val="24"/>
          <w:szCs w:val="24"/>
        </w:rPr>
        <w:t>of Medical Students. 2014; 2: 56-63.</w:t>
      </w:r>
    </w:p>
    <w:p w14:paraId="4B85DF89" w14:textId="5B22E76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Chung HW, Lee JY, Moon HS, Hur SE, Park MH, Wen Y, Polan ML. Matrix metalloproteinase-</w:t>
      </w:r>
      <w:r>
        <w:rPr>
          <w:rFonts w:ascii="Times New Roman" w:hAnsi="Times New Roman"/>
          <w:sz w:val="24"/>
          <w:szCs w:val="24"/>
        </w:rPr>
        <w:tab/>
      </w:r>
      <w:r w:rsidRPr="00636E88">
        <w:rPr>
          <w:rFonts w:ascii="Times New Roman" w:hAnsi="Times New Roman"/>
          <w:sz w:val="24"/>
          <w:szCs w:val="24"/>
        </w:rPr>
        <w:t xml:space="preserve">2:membranous type 1 matrix metalloproteinase, and tissue inhibitor of </w:t>
      </w:r>
      <w:r w:rsidR="00B463AA">
        <w:rPr>
          <w:rFonts w:ascii="Times New Roman" w:hAnsi="Times New Roman"/>
          <w:sz w:val="24"/>
          <w:szCs w:val="24"/>
        </w:rPr>
        <w:lastRenderedPageBreak/>
        <w:tab/>
      </w:r>
      <w:r w:rsidRPr="00636E88">
        <w:rPr>
          <w:rFonts w:ascii="Times New Roman" w:hAnsi="Times New Roman"/>
          <w:sz w:val="24"/>
          <w:szCs w:val="24"/>
        </w:rPr>
        <w:t>metalloproteinase-2</w:t>
      </w:r>
      <w:r w:rsidR="00B463AA">
        <w:rPr>
          <w:rFonts w:ascii="Times New Roman" w:hAnsi="Times New Roman"/>
          <w:sz w:val="24"/>
          <w:szCs w:val="24"/>
        </w:rPr>
        <w:t xml:space="preserve"> </w:t>
      </w:r>
      <w:r w:rsidRPr="00636E88">
        <w:rPr>
          <w:rFonts w:ascii="Times New Roman" w:hAnsi="Times New Roman"/>
          <w:sz w:val="24"/>
          <w:szCs w:val="24"/>
        </w:rPr>
        <w:t>expression in ectopic and eutopic endometrium. Fertility Sterility.</w:t>
      </w:r>
      <w:r w:rsidR="00B463AA">
        <w:rPr>
          <w:rFonts w:ascii="Times New Roman" w:hAnsi="Times New Roman"/>
          <w:sz w:val="24"/>
          <w:szCs w:val="24"/>
        </w:rPr>
        <w:tab/>
      </w:r>
      <w:r w:rsidRPr="00636E88">
        <w:rPr>
          <w:rFonts w:ascii="Times New Roman" w:hAnsi="Times New Roman"/>
          <w:sz w:val="24"/>
          <w:szCs w:val="24"/>
        </w:rPr>
        <w:t>2002; 78(4):787–95.</w:t>
      </w:r>
    </w:p>
    <w:p w14:paraId="69DD5E76" w14:textId="7F871AD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Comerci JT, Sloan C, Edwards RP, Makhia SK, Krohn M, Haten F. Cyclooxygenase-2 </w:t>
      </w:r>
      <w:r w:rsidR="00B463AA">
        <w:rPr>
          <w:rFonts w:ascii="Times New Roman" w:hAnsi="Times New Roman"/>
          <w:sz w:val="24"/>
          <w:szCs w:val="24"/>
        </w:rPr>
        <w:tab/>
      </w:r>
      <w:r w:rsidRPr="00636E88">
        <w:rPr>
          <w:rFonts w:ascii="Times New Roman" w:hAnsi="Times New Roman"/>
          <w:sz w:val="24"/>
          <w:szCs w:val="24"/>
        </w:rPr>
        <w:t>expression in normal endometrium, endometrial hyperplasia, and carcinoma.</w:t>
      </w:r>
      <w:r w:rsidR="00B463AA">
        <w:rPr>
          <w:rFonts w:ascii="Times New Roman" w:hAnsi="Times New Roman"/>
          <w:sz w:val="24"/>
          <w:szCs w:val="24"/>
        </w:rPr>
        <w:tab/>
      </w:r>
      <w:r w:rsidRPr="00636E88">
        <w:rPr>
          <w:rFonts w:ascii="Times New Roman" w:hAnsi="Times New Roman"/>
          <w:sz w:val="24"/>
          <w:szCs w:val="24"/>
        </w:rPr>
        <w:t>Proceedings of the 32nd Annual Meeting of the Society of Gynecologic Oncology,</w:t>
      </w:r>
      <w:r w:rsidR="00B463AA">
        <w:rPr>
          <w:rFonts w:ascii="Times New Roman" w:hAnsi="Times New Roman"/>
          <w:sz w:val="24"/>
          <w:szCs w:val="24"/>
        </w:rPr>
        <w:tab/>
      </w:r>
      <w:r w:rsidRPr="00636E88">
        <w:rPr>
          <w:rFonts w:ascii="Times New Roman" w:hAnsi="Times New Roman"/>
          <w:sz w:val="24"/>
          <w:szCs w:val="24"/>
        </w:rPr>
        <w:t>Nashville, Tennessee. 2000; 108:</w:t>
      </w:r>
      <w:r w:rsidR="00B463AA">
        <w:rPr>
          <w:rFonts w:ascii="Times New Roman" w:hAnsi="Times New Roman"/>
          <w:sz w:val="24"/>
          <w:szCs w:val="24"/>
        </w:rPr>
        <w:t xml:space="preserve"> </w:t>
      </w:r>
      <w:r w:rsidRPr="00636E88">
        <w:rPr>
          <w:rFonts w:ascii="Times New Roman" w:hAnsi="Times New Roman"/>
          <w:sz w:val="24"/>
          <w:szCs w:val="24"/>
        </w:rPr>
        <w:t>3–7.</w:t>
      </w:r>
    </w:p>
    <w:p w14:paraId="6C7DD0F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Corbett A, Williams G and Ballart C. Drug repositioning: an opportunity to develop novel </w:t>
      </w:r>
      <w:r>
        <w:rPr>
          <w:rFonts w:ascii="Times New Roman" w:hAnsi="Times New Roman"/>
          <w:sz w:val="24"/>
          <w:szCs w:val="24"/>
        </w:rPr>
        <w:tab/>
      </w:r>
      <w:r w:rsidRPr="00636E88">
        <w:rPr>
          <w:rFonts w:ascii="Times New Roman" w:hAnsi="Times New Roman"/>
          <w:sz w:val="24"/>
          <w:szCs w:val="24"/>
        </w:rPr>
        <w:t>treatments for Alzheimer’s disease. Pharmaceuticals. 2013; 6: 1304-1321.</w:t>
      </w:r>
    </w:p>
    <w:p w14:paraId="31C5CC53" w14:textId="4F4F5E9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Costa-Silva B, Aiello NM, Ocean AJ, Singh S, Zhang H, Thakur BK, et al. Pancreatic cancer </w:t>
      </w:r>
      <w:r>
        <w:rPr>
          <w:rFonts w:ascii="Times New Roman" w:hAnsi="Times New Roman"/>
          <w:sz w:val="24"/>
          <w:szCs w:val="24"/>
        </w:rPr>
        <w:tab/>
      </w:r>
      <w:r w:rsidRPr="00636E88">
        <w:rPr>
          <w:rFonts w:ascii="Times New Roman" w:hAnsi="Times New Roman"/>
          <w:sz w:val="24"/>
          <w:szCs w:val="24"/>
        </w:rPr>
        <w:t xml:space="preserve">exosomes initiate pre-metastatic niche formation in the liver. Nat Cell Biol. </w:t>
      </w:r>
      <w:r w:rsidR="00B463AA">
        <w:rPr>
          <w:rFonts w:ascii="Times New Roman" w:hAnsi="Times New Roman"/>
          <w:sz w:val="24"/>
          <w:szCs w:val="24"/>
        </w:rPr>
        <w:tab/>
      </w:r>
      <w:r w:rsidRPr="00636E88">
        <w:rPr>
          <w:rFonts w:ascii="Times New Roman" w:hAnsi="Times New Roman"/>
          <w:sz w:val="24"/>
          <w:szCs w:val="24"/>
        </w:rPr>
        <w:t>2015;17:816–</w:t>
      </w:r>
      <w:r>
        <w:rPr>
          <w:rFonts w:ascii="Times New Roman" w:hAnsi="Times New Roman"/>
          <w:sz w:val="24"/>
          <w:szCs w:val="24"/>
        </w:rPr>
        <w:tab/>
      </w:r>
      <w:r w:rsidRPr="00636E88">
        <w:rPr>
          <w:rFonts w:ascii="Times New Roman" w:hAnsi="Times New Roman"/>
          <w:sz w:val="24"/>
          <w:szCs w:val="24"/>
        </w:rPr>
        <w:t>26.</w:t>
      </w:r>
    </w:p>
    <w:p w14:paraId="0C3C6219"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Cummings J, Ward TH, Greystoke A, Ranson M, Dive C. Biomarker method validation in </w:t>
      </w:r>
      <w:r>
        <w:rPr>
          <w:rFonts w:ascii="Times New Roman" w:hAnsi="Times New Roman"/>
          <w:sz w:val="24"/>
          <w:szCs w:val="24"/>
        </w:rPr>
        <w:tab/>
      </w:r>
      <w:r w:rsidRPr="00636E88">
        <w:rPr>
          <w:rFonts w:ascii="Times New Roman" w:hAnsi="Times New Roman"/>
          <w:sz w:val="24"/>
          <w:szCs w:val="24"/>
        </w:rPr>
        <w:t>anticancer drug development. Br J Pharmacol. 2008;153(4):646–656.</w:t>
      </w:r>
    </w:p>
    <w:p w14:paraId="038C19AD" w14:textId="77777777" w:rsidR="00CF6603" w:rsidRDefault="00CF6603" w:rsidP="00CF6603">
      <w:pPr>
        <w:spacing w:line="360" w:lineRule="auto"/>
        <w:jc w:val="both"/>
        <w:rPr>
          <w:rFonts w:ascii="Times New Roman" w:hAnsi="Times New Roman"/>
          <w:sz w:val="24"/>
          <w:szCs w:val="24"/>
        </w:rPr>
      </w:pPr>
      <w:bookmarkStart w:id="2" w:name="_Hlk142396651"/>
      <w:r w:rsidRPr="00636E88">
        <w:rPr>
          <w:rFonts w:ascii="Times New Roman" w:hAnsi="Times New Roman"/>
          <w:sz w:val="24"/>
          <w:szCs w:val="24"/>
        </w:rPr>
        <w:t>Dai E, Han L</w:t>
      </w:r>
      <w:bookmarkEnd w:id="2"/>
      <w:r w:rsidRPr="00636E88">
        <w:rPr>
          <w:rFonts w:ascii="Times New Roman" w:hAnsi="Times New Roman"/>
          <w:sz w:val="24"/>
          <w:szCs w:val="24"/>
        </w:rPr>
        <w:t xml:space="preserve">, Liu J, Xie Y, Kroemer G, Klionsky DJ, et al. Autophagy-dependent ferroptosis </w:t>
      </w:r>
      <w:r>
        <w:rPr>
          <w:rFonts w:ascii="Times New Roman" w:hAnsi="Times New Roman"/>
          <w:sz w:val="24"/>
          <w:szCs w:val="24"/>
        </w:rPr>
        <w:tab/>
      </w:r>
      <w:r w:rsidRPr="00636E88">
        <w:rPr>
          <w:rFonts w:ascii="Times New Roman" w:hAnsi="Times New Roman"/>
          <w:sz w:val="24"/>
          <w:szCs w:val="24"/>
        </w:rPr>
        <w:t xml:space="preserve">drives tumor-associated macrophage polarization via release and uptake of oncogenic </w:t>
      </w:r>
      <w:r>
        <w:rPr>
          <w:rFonts w:ascii="Times New Roman" w:hAnsi="Times New Roman"/>
          <w:sz w:val="24"/>
          <w:szCs w:val="24"/>
        </w:rPr>
        <w:tab/>
      </w:r>
      <w:r w:rsidRPr="00636E88">
        <w:rPr>
          <w:rFonts w:ascii="Times New Roman" w:hAnsi="Times New Roman"/>
          <w:sz w:val="24"/>
          <w:szCs w:val="24"/>
        </w:rPr>
        <w:t>KRAS protein. Autophagy. 2020;16(11):2069–83.</w:t>
      </w:r>
    </w:p>
    <w:p w14:paraId="30C1A4FE"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Dandona P, Aljada A, Bandyopadhyay A. Inflammation: the link between insulin resistance, </w:t>
      </w:r>
      <w:r>
        <w:rPr>
          <w:rFonts w:ascii="Times New Roman" w:hAnsi="Times New Roman"/>
          <w:sz w:val="24"/>
          <w:szCs w:val="24"/>
        </w:rPr>
        <w:tab/>
      </w:r>
      <w:r w:rsidRPr="00636E88">
        <w:rPr>
          <w:rFonts w:ascii="Times New Roman" w:hAnsi="Times New Roman"/>
          <w:sz w:val="24"/>
          <w:szCs w:val="24"/>
        </w:rPr>
        <w:t>obesity and diabetes. Trends Immunol 2004; 25(1): 4-7.</w:t>
      </w:r>
    </w:p>
    <w:p w14:paraId="0FE35F05" w14:textId="08DAA4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Danesh J, Whincup P, Walker M, Lennon L, Thompson A, Appleby P et al. </w:t>
      </w:r>
      <w:r w:rsidR="00112AAB" w:rsidRPr="00636E88">
        <w:rPr>
          <w:rFonts w:ascii="Times New Roman" w:hAnsi="Times New Roman"/>
          <w:sz w:val="24"/>
          <w:szCs w:val="24"/>
        </w:rPr>
        <w:t>Low-grade</w:t>
      </w:r>
      <w:r w:rsidRPr="00636E88">
        <w:rPr>
          <w:rFonts w:ascii="Times New Roman" w:hAnsi="Times New Roman"/>
          <w:sz w:val="24"/>
          <w:szCs w:val="24"/>
        </w:rPr>
        <w:t xml:space="preserve"> </w:t>
      </w:r>
      <w:r>
        <w:rPr>
          <w:rFonts w:ascii="Times New Roman" w:hAnsi="Times New Roman"/>
          <w:sz w:val="24"/>
          <w:szCs w:val="24"/>
        </w:rPr>
        <w:tab/>
      </w:r>
      <w:r w:rsidRPr="00636E88">
        <w:rPr>
          <w:rFonts w:ascii="Times New Roman" w:hAnsi="Times New Roman"/>
          <w:sz w:val="24"/>
          <w:szCs w:val="24"/>
        </w:rPr>
        <w:t xml:space="preserve">inflammation and coronary heart disease: prospective study and updated </w:t>
      </w:r>
      <w:r w:rsidR="00112AAB" w:rsidRPr="00636E88">
        <w:rPr>
          <w:rFonts w:ascii="Times New Roman" w:hAnsi="Times New Roman"/>
          <w:sz w:val="24"/>
          <w:szCs w:val="24"/>
        </w:rPr>
        <w:t>meta-analysis</w:t>
      </w:r>
      <w:r w:rsidRPr="00636E88">
        <w:rPr>
          <w:rFonts w:ascii="Times New Roman" w:hAnsi="Times New Roman"/>
          <w:sz w:val="24"/>
          <w:szCs w:val="24"/>
        </w:rPr>
        <w:t xml:space="preserve">. </w:t>
      </w:r>
      <w:r>
        <w:rPr>
          <w:rFonts w:ascii="Times New Roman" w:hAnsi="Times New Roman"/>
          <w:sz w:val="24"/>
          <w:szCs w:val="24"/>
        </w:rPr>
        <w:tab/>
      </w:r>
      <w:r w:rsidRPr="00636E88">
        <w:rPr>
          <w:rFonts w:ascii="Times New Roman" w:hAnsi="Times New Roman"/>
          <w:sz w:val="24"/>
          <w:szCs w:val="24"/>
        </w:rPr>
        <w:t>BMJ 2002; 321: 199-204.</w:t>
      </w:r>
    </w:p>
    <w:p w14:paraId="20C105E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David B, Thomas B and Kimberly KL. Hormones and Receptors in Endometrial Cancer. </w:t>
      </w:r>
      <w:r>
        <w:rPr>
          <w:rFonts w:ascii="Times New Roman" w:hAnsi="Times New Roman"/>
          <w:sz w:val="24"/>
          <w:szCs w:val="24"/>
        </w:rPr>
        <w:tab/>
      </w:r>
      <w:r w:rsidRPr="00636E88">
        <w:rPr>
          <w:rFonts w:ascii="Times New Roman" w:hAnsi="Times New Roman"/>
          <w:sz w:val="24"/>
          <w:szCs w:val="24"/>
        </w:rPr>
        <w:t>Proceedings in Obstetrics and Gynecology. 2011; 2(1):1.</w:t>
      </w:r>
    </w:p>
    <w:p w14:paraId="280B5205" w14:textId="0A6B2FC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De Bruijn, H.W.A.; van Beeck Calkoen-Carpay, T.; Jager, S.; Duk, J.M.; Aalders, J.G.; Fleuren, </w:t>
      </w:r>
      <w:r>
        <w:rPr>
          <w:rFonts w:ascii="Times New Roman" w:hAnsi="Times New Roman"/>
          <w:sz w:val="24"/>
          <w:szCs w:val="24"/>
        </w:rPr>
        <w:tab/>
      </w:r>
      <w:r w:rsidRPr="00636E88">
        <w:rPr>
          <w:rFonts w:ascii="Times New Roman" w:hAnsi="Times New Roman"/>
          <w:sz w:val="24"/>
          <w:szCs w:val="24"/>
        </w:rPr>
        <w:t>G.J. The tumor marker CA 125 is a common constituent of normal cervical mucus. Am.</w:t>
      </w:r>
      <w:r w:rsidR="00112AAB">
        <w:rPr>
          <w:rFonts w:ascii="Times New Roman" w:hAnsi="Times New Roman"/>
          <w:sz w:val="24"/>
          <w:szCs w:val="24"/>
        </w:rPr>
        <w:tab/>
      </w:r>
      <w:r w:rsidRPr="00636E88">
        <w:rPr>
          <w:rFonts w:ascii="Times New Roman" w:hAnsi="Times New Roman"/>
          <w:sz w:val="24"/>
          <w:szCs w:val="24"/>
        </w:rPr>
        <w:t xml:space="preserve">J. Obs. Gynecol. 1986, 154, 1088–1091. [CrossRef] </w:t>
      </w:r>
    </w:p>
    <w:p w14:paraId="55565604" w14:textId="40CEA1A6"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Deepa R, Arvind K, Mohan V. Diabetes and risk factors for coronary artery diseases. CurrSci </w:t>
      </w:r>
      <w:r w:rsidR="00112AAB">
        <w:rPr>
          <w:rFonts w:ascii="Times New Roman" w:hAnsi="Times New Roman"/>
          <w:sz w:val="24"/>
          <w:szCs w:val="24"/>
        </w:rPr>
        <w:tab/>
      </w:r>
      <w:r w:rsidRPr="00636E88">
        <w:rPr>
          <w:rFonts w:ascii="Times New Roman" w:hAnsi="Times New Roman"/>
          <w:sz w:val="24"/>
          <w:szCs w:val="24"/>
        </w:rPr>
        <w:t xml:space="preserve">2002; </w:t>
      </w:r>
      <w:r>
        <w:rPr>
          <w:rFonts w:ascii="Times New Roman" w:hAnsi="Times New Roman"/>
          <w:sz w:val="24"/>
          <w:szCs w:val="24"/>
        </w:rPr>
        <w:tab/>
      </w:r>
      <w:r w:rsidRPr="00636E88">
        <w:rPr>
          <w:rFonts w:ascii="Times New Roman" w:hAnsi="Times New Roman"/>
          <w:sz w:val="24"/>
          <w:szCs w:val="24"/>
        </w:rPr>
        <w:t>12: 1497-1505.</w:t>
      </w:r>
    </w:p>
    <w:p w14:paraId="6C2ECD3D" w14:textId="33FB0A8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DeFronzo, R. A. Banting lecture. From the triumvirate to the ominous octet: a new paradigm </w:t>
      </w:r>
      <w:r w:rsidR="00112AAB">
        <w:rPr>
          <w:rFonts w:ascii="Times New Roman" w:hAnsi="Times New Roman"/>
          <w:sz w:val="24"/>
          <w:szCs w:val="24"/>
        </w:rPr>
        <w:tab/>
      </w:r>
      <w:r w:rsidRPr="00636E88">
        <w:rPr>
          <w:rFonts w:ascii="Times New Roman" w:hAnsi="Times New Roman"/>
          <w:sz w:val="24"/>
          <w:szCs w:val="24"/>
        </w:rPr>
        <w:t>for the treatment of type 2 diabetes mellitus. Diabetes 58, 773–795 (2009).</w:t>
      </w:r>
      <w:r w:rsidRPr="00636E88">
        <w:rPr>
          <w:rFonts w:ascii="Times New Roman" w:hAnsi="Times New Roman"/>
          <w:b/>
          <w:bCs/>
          <w:sz w:val="24"/>
          <w:szCs w:val="24"/>
        </w:rPr>
        <w:t xml:space="preserve"> </w:t>
      </w:r>
      <w:r w:rsidRPr="00636E88">
        <w:rPr>
          <w:rFonts w:ascii="Times New Roman" w:hAnsi="Times New Roman"/>
          <w:sz w:val="24"/>
          <w:szCs w:val="24"/>
        </w:rPr>
        <w:t>A classic</w:t>
      </w:r>
      <w:r w:rsidR="00112AAB">
        <w:rPr>
          <w:rFonts w:ascii="Times New Roman" w:hAnsi="Times New Roman"/>
          <w:sz w:val="24"/>
          <w:szCs w:val="24"/>
        </w:rPr>
        <w:tab/>
      </w:r>
      <w:r w:rsidRPr="00636E88">
        <w:rPr>
          <w:rFonts w:ascii="Times New Roman" w:hAnsi="Times New Roman"/>
          <w:sz w:val="24"/>
          <w:szCs w:val="24"/>
        </w:rPr>
        <w:t xml:space="preserve"> review of the aetiology of T2DM, with a therapeutic approach based on its</w:t>
      </w:r>
      <w:r w:rsidR="00112AAB">
        <w:rPr>
          <w:rFonts w:ascii="Times New Roman" w:hAnsi="Times New Roman"/>
          <w:sz w:val="24"/>
          <w:szCs w:val="24"/>
        </w:rPr>
        <w:tab/>
      </w:r>
      <w:r w:rsidRPr="00636E88">
        <w:rPr>
          <w:rFonts w:ascii="Times New Roman" w:hAnsi="Times New Roman"/>
          <w:sz w:val="24"/>
          <w:szCs w:val="24"/>
        </w:rPr>
        <w:t>pathophysiology.</w:t>
      </w:r>
    </w:p>
    <w:p w14:paraId="5A848BAE"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Derynck R, Zhang YE. Smad-dependent and Smad-independent pathways in TGF-beta family </w:t>
      </w:r>
      <w:r>
        <w:rPr>
          <w:rFonts w:ascii="Times New Roman" w:hAnsi="Times New Roman"/>
          <w:sz w:val="24"/>
          <w:szCs w:val="24"/>
        </w:rPr>
        <w:tab/>
      </w:r>
      <w:r w:rsidRPr="00636E88">
        <w:rPr>
          <w:rFonts w:ascii="Times New Roman" w:hAnsi="Times New Roman"/>
          <w:sz w:val="24"/>
          <w:szCs w:val="24"/>
        </w:rPr>
        <w:t>signalling. Nature. 2003; 425(6958): 577–584.</w:t>
      </w:r>
    </w:p>
    <w:p w14:paraId="29EF690E" w14:textId="12E1EF9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Diez-Ruiz A, Tilz GP, Zangerle R, Baier- Bitterlich G, Wachter H, Fuchs D. Soluble receptors </w:t>
      </w:r>
      <w:r w:rsidR="00112AAB">
        <w:rPr>
          <w:rFonts w:ascii="Times New Roman" w:hAnsi="Times New Roman"/>
          <w:sz w:val="24"/>
          <w:szCs w:val="24"/>
        </w:rPr>
        <w:tab/>
      </w:r>
      <w:r w:rsidRPr="00636E88">
        <w:rPr>
          <w:rFonts w:ascii="Times New Roman" w:hAnsi="Times New Roman"/>
          <w:sz w:val="24"/>
          <w:szCs w:val="24"/>
        </w:rPr>
        <w:t>for</w:t>
      </w:r>
      <w:r w:rsidR="00112AAB">
        <w:rPr>
          <w:rFonts w:ascii="Times New Roman" w:hAnsi="Times New Roman"/>
          <w:sz w:val="24"/>
          <w:szCs w:val="24"/>
        </w:rPr>
        <w:t xml:space="preserve"> </w:t>
      </w:r>
      <w:r w:rsidRPr="00636E88">
        <w:rPr>
          <w:rFonts w:ascii="Times New Roman" w:hAnsi="Times New Roman"/>
          <w:sz w:val="24"/>
          <w:szCs w:val="24"/>
        </w:rPr>
        <w:t xml:space="preserve">tumour necrosis factor in clinical laboratory diagnosis. Journal of European </w:t>
      </w:r>
      <w:r w:rsidR="00112AAB">
        <w:rPr>
          <w:rFonts w:ascii="Times New Roman" w:hAnsi="Times New Roman"/>
          <w:sz w:val="24"/>
          <w:szCs w:val="24"/>
        </w:rPr>
        <w:tab/>
      </w:r>
      <w:r w:rsidRPr="00636E88">
        <w:rPr>
          <w:rFonts w:ascii="Times New Roman" w:hAnsi="Times New Roman"/>
          <w:sz w:val="24"/>
          <w:szCs w:val="24"/>
        </w:rPr>
        <w:t xml:space="preserve">Haematology. </w:t>
      </w:r>
      <w:r>
        <w:rPr>
          <w:rFonts w:ascii="Times New Roman" w:hAnsi="Times New Roman"/>
          <w:sz w:val="24"/>
          <w:szCs w:val="24"/>
        </w:rPr>
        <w:tab/>
      </w:r>
      <w:r w:rsidRPr="00636E88">
        <w:rPr>
          <w:rFonts w:ascii="Times New Roman" w:hAnsi="Times New Roman"/>
          <w:sz w:val="24"/>
          <w:szCs w:val="24"/>
        </w:rPr>
        <w:t>1995;</w:t>
      </w:r>
      <w:r w:rsidR="00112AAB">
        <w:rPr>
          <w:rFonts w:ascii="Times New Roman" w:hAnsi="Times New Roman"/>
          <w:sz w:val="24"/>
          <w:szCs w:val="24"/>
        </w:rPr>
        <w:t xml:space="preserve"> </w:t>
      </w:r>
      <w:r w:rsidRPr="00636E88">
        <w:rPr>
          <w:rFonts w:ascii="Times New Roman" w:hAnsi="Times New Roman"/>
          <w:sz w:val="24"/>
          <w:szCs w:val="24"/>
        </w:rPr>
        <w:t>54:1–8.</w:t>
      </w:r>
    </w:p>
    <w:p w14:paraId="609E0591" w14:textId="4379D12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Ding H, Huang JA, Tong J, Yu X, Yu JP. Influence of Kupffer cells on hepatic signal </w:t>
      </w:r>
      <w:r w:rsidR="00112AAB">
        <w:rPr>
          <w:rFonts w:ascii="Times New Roman" w:hAnsi="Times New Roman"/>
          <w:sz w:val="24"/>
          <w:szCs w:val="24"/>
        </w:rPr>
        <w:tab/>
      </w:r>
      <w:r w:rsidRPr="00636E88">
        <w:rPr>
          <w:rFonts w:ascii="Times New Roman" w:hAnsi="Times New Roman"/>
          <w:sz w:val="24"/>
          <w:szCs w:val="24"/>
        </w:rPr>
        <w:t xml:space="preserve">transduction </w:t>
      </w:r>
      <w:r>
        <w:rPr>
          <w:rFonts w:ascii="Times New Roman" w:hAnsi="Times New Roman"/>
          <w:sz w:val="24"/>
          <w:szCs w:val="24"/>
        </w:rPr>
        <w:tab/>
      </w:r>
      <w:r w:rsidRPr="00636E88">
        <w:rPr>
          <w:rFonts w:ascii="Times New Roman" w:hAnsi="Times New Roman"/>
          <w:sz w:val="24"/>
          <w:szCs w:val="24"/>
        </w:rPr>
        <w:t>as demonstrated by second messengers and nuclear transcription factors.</w:t>
      </w:r>
      <w:r w:rsidR="00112AAB">
        <w:rPr>
          <w:rFonts w:ascii="Times New Roman" w:hAnsi="Times New Roman"/>
          <w:sz w:val="24"/>
          <w:szCs w:val="24"/>
        </w:rPr>
        <w:tab/>
      </w:r>
      <w:r w:rsidRPr="00636E88">
        <w:rPr>
          <w:rFonts w:ascii="Times New Roman" w:hAnsi="Times New Roman"/>
          <w:sz w:val="24"/>
          <w:szCs w:val="24"/>
        </w:rPr>
        <w:t>World J Gastroenterol. 2003;9(11): 2519–2522.</w:t>
      </w:r>
    </w:p>
    <w:p w14:paraId="29487075"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Ding H, Peng R, Reed E, Li QQ. Effects of Kupffer cell inhibition on liver function and </w:t>
      </w:r>
      <w:r>
        <w:rPr>
          <w:rFonts w:ascii="Times New Roman" w:hAnsi="Times New Roman"/>
          <w:sz w:val="24"/>
          <w:szCs w:val="24"/>
        </w:rPr>
        <w:tab/>
      </w:r>
      <w:r w:rsidRPr="00636E88">
        <w:rPr>
          <w:rFonts w:ascii="Times New Roman" w:hAnsi="Times New Roman"/>
          <w:sz w:val="24"/>
          <w:szCs w:val="24"/>
        </w:rPr>
        <w:t>hepatocellular activity in mice. Int J Mol Med. 2003;12(4):549 -579</w:t>
      </w:r>
    </w:p>
    <w:p w14:paraId="5B0EF7BE" w14:textId="5E83811A"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Donahue RP, Abbott RD, Reed DM, Yano K. Post challenge glucose concentration and </w:t>
      </w:r>
      <w:r w:rsidR="00112AAB">
        <w:rPr>
          <w:rFonts w:ascii="Times New Roman" w:hAnsi="Times New Roman"/>
          <w:sz w:val="24"/>
          <w:szCs w:val="24"/>
        </w:rPr>
        <w:tab/>
      </w:r>
      <w:r w:rsidRPr="00636E88">
        <w:rPr>
          <w:rFonts w:ascii="Times New Roman" w:hAnsi="Times New Roman"/>
          <w:sz w:val="24"/>
          <w:szCs w:val="24"/>
        </w:rPr>
        <w:t>coronary heart disease in men of Japanese ancestry. Honolulu Heart Program. Diabetes.</w:t>
      </w:r>
      <w:r w:rsidR="00112AAB">
        <w:rPr>
          <w:rFonts w:ascii="Times New Roman" w:hAnsi="Times New Roman"/>
          <w:sz w:val="24"/>
          <w:szCs w:val="24"/>
        </w:rPr>
        <w:tab/>
      </w:r>
      <w:r w:rsidRPr="00636E88">
        <w:rPr>
          <w:rFonts w:ascii="Times New Roman" w:hAnsi="Times New Roman"/>
          <w:sz w:val="24"/>
          <w:szCs w:val="24"/>
        </w:rPr>
        <w:t>1987; 36(6):</w:t>
      </w:r>
      <w:r w:rsidR="00112AAB">
        <w:rPr>
          <w:rFonts w:ascii="Times New Roman" w:hAnsi="Times New Roman"/>
          <w:sz w:val="24"/>
          <w:szCs w:val="24"/>
        </w:rPr>
        <w:t xml:space="preserve"> </w:t>
      </w:r>
      <w:r w:rsidRPr="00636E88">
        <w:rPr>
          <w:rFonts w:ascii="Times New Roman" w:hAnsi="Times New Roman"/>
          <w:sz w:val="24"/>
          <w:szCs w:val="24"/>
        </w:rPr>
        <w:t>689-92.</w:t>
      </w:r>
    </w:p>
    <w:p w14:paraId="6843198D" w14:textId="4F77A43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Duarte ER, Pellanda LC E Portal VL. Perfil Inflamatório, Metabólico e Lipídico na Síndrome </w:t>
      </w:r>
      <w:r>
        <w:rPr>
          <w:rFonts w:ascii="Times New Roman" w:hAnsi="Times New Roman"/>
          <w:sz w:val="24"/>
          <w:szCs w:val="24"/>
        </w:rPr>
        <w:tab/>
      </w:r>
      <w:r w:rsidRPr="00636E88">
        <w:rPr>
          <w:rFonts w:ascii="Times New Roman" w:hAnsi="Times New Roman"/>
          <w:sz w:val="24"/>
          <w:szCs w:val="24"/>
        </w:rPr>
        <w:t>Isquêmica Aguda: Relação com Eventos Intra e Pós-Hospitalares. Arq Brás Cardiol</w:t>
      </w:r>
      <w:r w:rsidR="00112AAB">
        <w:rPr>
          <w:rFonts w:ascii="Times New Roman" w:hAnsi="Times New Roman"/>
          <w:sz w:val="24"/>
          <w:szCs w:val="24"/>
        </w:rPr>
        <w:tab/>
      </w:r>
      <w:r w:rsidRPr="00636E88">
        <w:rPr>
          <w:rFonts w:ascii="Times New Roman" w:hAnsi="Times New Roman"/>
          <w:sz w:val="24"/>
          <w:szCs w:val="24"/>
        </w:rPr>
        <w:t xml:space="preserve"> 2005; 84: 122-9.</w:t>
      </w:r>
    </w:p>
    <w:p w14:paraId="713814C8" w14:textId="24B260C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Dunn WB, Bailey NJ, Johnson HE. Measuring the metabolome: current analytical </w:t>
      </w:r>
      <w:r w:rsidR="00112AAB">
        <w:rPr>
          <w:rFonts w:ascii="Times New Roman" w:hAnsi="Times New Roman"/>
          <w:sz w:val="24"/>
          <w:szCs w:val="24"/>
        </w:rPr>
        <w:tab/>
      </w:r>
      <w:r w:rsidRPr="00636E88">
        <w:rPr>
          <w:rFonts w:ascii="Times New Roman" w:hAnsi="Times New Roman"/>
          <w:sz w:val="24"/>
          <w:szCs w:val="24"/>
        </w:rPr>
        <w:t>technologies. Analyst. 2005;130(5):606–625.</w:t>
      </w:r>
    </w:p>
    <w:p w14:paraId="0F821F57" w14:textId="0F466FE6"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Dunn WB, Broadhurst DI, Atherton HJ, Goodacre R, Griffin JL. Systems level studies of </w:t>
      </w:r>
      <w:r>
        <w:rPr>
          <w:rFonts w:ascii="Times New Roman" w:hAnsi="Times New Roman"/>
          <w:sz w:val="24"/>
          <w:szCs w:val="24"/>
        </w:rPr>
        <w:tab/>
      </w:r>
      <w:r w:rsidRPr="00636E88">
        <w:rPr>
          <w:rFonts w:ascii="Times New Roman" w:hAnsi="Times New Roman"/>
          <w:sz w:val="24"/>
          <w:szCs w:val="24"/>
        </w:rPr>
        <w:t>mammalian metabolomes: the roles of mass spectrometry and nuclear magnetic</w:t>
      </w:r>
      <w:r w:rsidR="00DE18CF">
        <w:rPr>
          <w:rFonts w:ascii="Times New Roman" w:hAnsi="Times New Roman"/>
          <w:sz w:val="24"/>
          <w:szCs w:val="24"/>
        </w:rPr>
        <w:tab/>
      </w:r>
      <w:r w:rsidRPr="00636E88">
        <w:rPr>
          <w:rFonts w:ascii="Times New Roman" w:hAnsi="Times New Roman"/>
          <w:sz w:val="24"/>
          <w:szCs w:val="24"/>
        </w:rPr>
        <w:t>resonance spectroscopy. Chem Soc Rev. 2011;40(1):387–426.</w:t>
      </w:r>
    </w:p>
    <w:p w14:paraId="0DF908A0" w14:textId="6222F85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Dutor A. Mechanism of glucose toxicity. New hope for prevention of diabetic complication. </w:t>
      </w:r>
      <w:r w:rsidR="00DE18CF">
        <w:rPr>
          <w:rFonts w:ascii="Times New Roman" w:hAnsi="Times New Roman"/>
          <w:sz w:val="24"/>
          <w:szCs w:val="24"/>
        </w:rPr>
        <w:tab/>
      </w:r>
      <w:r w:rsidRPr="00636E88">
        <w:rPr>
          <w:rFonts w:ascii="Times New Roman" w:hAnsi="Times New Roman"/>
          <w:sz w:val="24"/>
          <w:szCs w:val="24"/>
        </w:rPr>
        <w:t>Eur J Endocrinol 1997; 136(1): 39-40.</w:t>
      </w:r>
    </w:p>
    <w:p w14:paraId="25CCA88F" w14:textId="4889E8E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Edson MA, Nalam RL, Clementi C, Franco HL, Demayo FJ, Lyons KM, Pangas SA, Matzuk </w:t>
      </w:r>
      <w:r w:rsidR="00DE18CF">
        <w:rPr>
          <w:rFonts w:ascii="Times New Roman" w:hAnsi="Times New Roman"/>
          <w:sz w:val="24"/>
          <w:szCs w:val="24"/>
        </w:rPr>
        <w:tab/>
      </w:r>
      <w:r w:rsidRPr="00636E88">
        <w:rPr>
          <w:rFonts w:ascii="Times New Roman" w:hAnsi="Times New Roman"/>
          <w:sz w:val="24"/>
          <w:szCs w:val="24"/>
        </w:rPr>
        <w:t xml:space="preserve">MM: Granulosa cell-expressed BMPR1A and BMPR1B have unique functions in </w:t>
      </w:r>
      <w:r w:rsidR="00DE18CF">
        <w:rPr>
          <w:rFonts w:ascii="Times New Roman" w:hAnsi="Times New Roman"/>
          <w:sz w:val="24"/>
          <w:szCs w:val="24"/>
        </w:rPr>
        <w:lastRenderedPageBreak/>
        <w:tab/>
      </w:r>
      <w:r w:rsidRPr="00636E88">
        <w:rPr>
          <w:rFonts w:ascii="Times New Roman" w:hAnsi="Times New Roman"/>
          <w:sz w:val="24"/>
          <w:szCs w:val="24"/>
        </w:rPr>
        <w:t xml:space="preserve">regulating </w:t>
      </w:r>
      <w:r w:rsidR="00DE18CF">
        <w:rPr>
          <w:rFonts w:ascii="Times New Roman" w:hAnsi="Times New Roman"/>
          <w:sz w:val="24"/>
          <w:szCs w:val="24"/>
        </w:rPr>
        <w:tab/>
      </w:r>
      <w:r w:rsidRPr="00636E88">
        <w:rPr>
          <w:rFonts w:ascii="Times New Roman" w:hAnsi="Times New Roman"/>
          <w:sz w:val="24"/>
          <w:szCs w:val="24"/>
        </w:rPr>
        <w:t xml:space="preserve">fertility but act redundantly to suppress ovarian tumor development. </w:t>
      </w:r>
      <w:r w:rsidR="00DE18CF">
        <w:rPr>
          <w:rFonts w:ascii="Times New Roman" w:hAnsi="Times New Roman"/>
          <w:sz w:val="24"/>
          <w:szCs w:val="24"/>
        </w:rPr>
        <w:tab/>
      </w:r>
      <w:r w:rsidRPr="00636E88">
        <w:rPr>
          <w:rFonts w:ascii="Times New Roman" w:hAnsi="Times New Roman"/>
          <w:sz w:val="24"/>
          <w:szCs w:val="24"/>
        </w:rPr>
        <w:t>Molecular Endocrinology. 2010; 24:1251–1266.</w:t>
      </w:r>
    </w:p>
    <w:p w14:paraId="376B45E6" w14:textId="4E95A3C5"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Eerligh P, Koeleman BPC, Dudbridge F, Bruining GJ, Roep BO, Giphart MJ: Functional </w:t>
      </w:r>
      <w:r w:rsidR="00DE18CF">
        <w:rPr>
          <w:rFonts w:ascii="Times New Roman" w:hAnsi="Times New Roman"/>
          <w:sz w:val="24"/>
          <w:szCs w:val="24"/>
        </w:rPr>
        <w:tab/>
      </w:r>
      <w:r w:rsidRPr="00636E88">
        <w:rPr>
          <w:rFonts w:ascii="Times New Roman" w:hAnsi="Times New Roman"/>
          <w:sz w:val="24"/>
          <w:szCs w:val="24"/>
        </w:rPr>
        <w:t xml:space="preserve">genetic polymorphisms in cytokines and metabolic genes as additional genetic markers </w:t>
      </w:r>
      <w:r w:rsidR="00DE18CF">
        <w:rPr>
          <w:rFonts w:ascii="Times New Roman" w:hAnsi="Times New Roman"/>
          <w:sz w:val="24"/>
          <w:szCs w:val="24"/>
        </w:rPr>
        <w:tab/>
      </w:r>
      <w:r w:rsidRPr="00636E88">
        <w:rPr>
          <w:rFonts w:ascii="Times New Roman" w:hAnsi="Times New Roman"/>
          <w:sz w:val="24"/>
          <w:szCs w:val="24"/>
        </w:rPr>
        <w:t>for susceptibility to develop type 1 diabetes. Genes Immune 5:36 – 40, 2004</w:t>
      </w:r>
      <w:r>
        <w:rPr>
          <w:rFonts w:ascii="Times New Roman" w:hAnsi="Times New Roman"/>
          <w:sz w:val="24"/>
          <w:szCs w:val="24"/>
        </w:rPr>
        <w:t>.</w:t>
      </w:r>
    </w:p>
    <w:p w14:paraId="29655B21" w14:textId="65579B26"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Eizirik DL, Mandrup-Poulsen T: A choice of death: the signal-transductionof immune-</w:t>
      </w:r>
      <w:r w:rsidR="00DE18CF">
        <w:rPr>
          <w:rFonts w:ascii="Times New Roman" w:hAnsi="Times New Roman"/>
          <w:sz w:val="24"/>
          <w:szCs w:val="24"/>
        </w:rPr>
        <w:tab/>
      </w:r>
      <w:r w:rsidRPr="00636E88">
        <w:rPr>
          <w:rFonts w:ascii="Times New Roman" w:hAnsi="Times New Roman"/>
          <w:sz w:val="24"/>
          <w:szCs w:val="24"/>
        </w:rPr>
        <w:t>mediated beta-cell apoptosis. Diabetologia 44:2115–2133, 2001</w:t>
      </w:r>
      <w:r>
        <w:rPr>
          <w:rFonts w:ascii="Times New Roman" w:hAnsi="Times New Roman"/>
          <w:sz w:val="24"/>
          <w:szCs w:val="24"/>
        </w:rPr>
        <w:t>.</w:t>
      </w:r>
    </w:p>
    <w:p w14:paraId="3065BAE9"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Emilien and Grard, et al. Alzheimer Disease: Neuropsychology and Pharmacology. Basel: </w:t>
      </w:r>
      <w:r>
        <w:rPr>
          <w:rFonts w:ascii="Times New Roman" w:hAnsi="Times New Roman"/>
          <w:sz w:val="24"/>
          <w:szCs w:val="24"/>
        </w:rPr>
        <w:tab/>
      </w:r>
      <w:r w:rsidRPr="00636E88">
        <w:rPr>
          <w:rFonts w:ascii="Times New Roman" w:hAnsi="Times New Roman"/>
          <w:sz w:val="24"/>
          <w:szCs w:val="24"/>
        </w:rPr>
        <w:t>Birkhauser. 2004.</w:t>
      </w:r>
    </w:p>
    <w:p w14:paraId="49C03FC8" w14:textId="190A488A"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Escobar-Morreale HF, Villuendas G, Botella-Carretero JI, Sancho J, San Milla´n JL. Obesity,</w:t>
      </w:r>
      <w:r w:rsidR="00DE18CF">
        <w:rPr>
          <w:rFonts w:ascii="Times New Roman" w:hAnsi="Times New Roman"/>
          <w:sz w:val="24"/>
          <w:szCs w:val="24"/>
        </w:rPr>
        <w:tab/>
      </w:r>
      <w:r w:rsidRPr="00636E88">
        <w:rPr>
          <w:rFonts w:ascii="Times New Roman" w:hAnsi="Times New Roman"/>
          <w:sz w:val="24"/>
          <w:szCs w:val="24"/>
        </w:rPr>
        <w:t xml:space="preserve"> and not insulin resistance, is the major determinant of serum inflammatory </w:t>
      </w:r>
      <w:r w:rsidR="00DE18CF">
        <w:rPr>
          <w:rFonts w:ascii="Times New Roman" w:hAnsi="Times New Roman"/>
          <w:sz w:val="24"/>
          <w:szCs w:val="24"/>
        </w:rPr>
        <w:tab/>
      </w:r>
      <w:r w:rsidRPr="00636E88">
        <w:rPr>
          <w:rFonts w:ascii="Times New Roman" w:hAnsi="Times New Roman"/>
          <w:sz w:val="24"/>
          <w:szCs w:val="24"/>
        </w:rPr>
        <w:t xml:space="preserve">cardiovascular risk markers in premenopausal women. Diabetologia. 2003;46:625– </w:t>
      </w:r>
      <w:r w:rsidR="00DE18CF">
        <w:rPr>
          <w:rFonts w:ascii="Times New Roman" w:hAnsi="Times New Roman"/>
          <w:sz w:val="24"/>
          <w:szCs w:val="24"/>
        </w:rPr>
        <w:tab/>
      </w:r>
      <w:r w:rsidRPr="00636E88">
        <w:rPr>
          <w:rFonts w:ascii="Times New Roman" w:hAnsi="Times New Roman"/>
          <w:sz w:val="24"/>
          <w:szCs w:val="24"/>
        </w:rPr>
        <w:t>633.</w:t>
      </w:r>
    </w:p>
    <w:p w14:paraId="6F5BABE7" w14:textId="22054EE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Expert Panel on Detection, Evaluation and Treatment of High Blood Cholesterol in Adults. </w:t>
      </w:r>
      <w:r>
        <w:rPr>
          <w:rFonts w:ascii="Times New Roman" w:hAnsi="Times New Roman"/>
          <w:sz w:val="24"/>
          <w:szCs w:val="24"/>
        </w:rPr>
        <w:tab/>
      </w:r>
      <w:r w:rsidRPr="00636E88">
        <w:rPr>
          <w:rFonts w:ascii="Times New Roman" w:hAnsi="Times New Roman"/>
          <w:sz w:val="24"/>
          <w:szCs w:val="24"/>
        </w:rPr>
        <w:t xml:space="preserve">Executive Summary of the Third Report of the National Cholesterol Education Program </w:t>
      </w:r>
      <w:r>
        <w:rPr>
          <w:rFonts w:ascii="Times New Roman" w:hAnsi="Times New Roman"/>
          <w:sz w:val="24"/>
          <w:szCs w:val="24"/>
        </w:rPr>
        <w:tab/>
      </w:r>
      <w:r w:rsidRPr="00636E88">
        <w:rPr>
          <w:rFonts w:ascii="Times New Roman" w:hAnsi="Times New Roman"/>
          <w:sz w:val="24"/>
          <w:szCs w:val="24"/>
        </w:rPr>
        <w:t>(NCEP) Expert Panel on Detection, Evaluation, and Treatment of High Blood</w:t>
      </w:r>
      <w:r w:rsidR="00DE18CF">
        <w:rPr>
          <w:rFonts w:ascii="Times New Roman" w:hAnsi="Times New Roman"/>
          <w:sz w:val="24"/>
          <w:szCs w:val="24"/>
        </w:rPr>
        <w:tab/>
      </w:r>
      <w:r w:rsidRPr="00636E88">
        <w:rPr>
          <w:rFonts w:ascii="Times New Roman" w:hAnsi="Times New Roman"/>
          <w:sz w:val="24"/>
          <w:szCs w:val="24"/>
        </w:rPr>
        <w:t>Cholesterol in Adults (Adult Treatment Panel III). J Am Med Assoc. 2001;285:2486 –</w:t>
      </w:r>
      <w:r w:rsidR="00DE18CF">
        <w:rPr>
          <w:rFonts w:ascii="Times New Roman" w:hAnsi="Times New Roman"/>
          <w:sz w:val="24"/>
          <w:szCs w:val="24"/>
        </w:rPr>
        <w:tab/>
      </w:r>
      <w:r w:rsidRPr="00636E88">
        <w:rPr>
          <w:rFonts w:ascii="Times New Roman" w:hAnsi="Times New Roman"/>
          <w:sz w:val="24"/>
          <w:szCs w:val="24"/>
        </w:rPr>
        <w:t>2497.</w:t>
      </w:r>
    </w:p>
    <w:p w14:paraId="2ADEAB5D" w14:textId="7AE0D64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Fagotti A, Ferrandina G, Fanfani F, Legge F, Lauriola L, Gessi M. Analysis of cyclooxygenase-</w:t>
      </w:r>
      <w:r w:rsidR="00DE18CF">
        <w:rPr>
          <w:rFonts w:ascii="Times New Roman" w:hAnsi="Times New Roman"/>
          <w:sz w:val="24"/>
          <w:szCs w:val="24"/>
        </w:rPr>
        <w:tab/>
      </w:r>
      <w:r w:rsidRPr="00636E88">
        <w:rPr>
          <w:rFonts w:ascii="Times New Roman" w:hAnsi="Times New Roman"/>
          <w:sz w:val="24"/>
          <w:szCs w:val="24"/>
        </w:rPr>
        <w:t>2</w:t>
      </w:r>
      <w:r w:rsidR="00DE18CF">
        <w:rPr>
          <w:rFonts w:ascii="Times New Roman" w:hAnsi="Times New Roman"/>
          <w:sz w:val="24"/>
          <w:szCs w:val="24"/>
        </w:rPr>
        <w:t xml:space="preserve"> </w:t>
      </w:r>
      <w:r w:rsidRPr="00636E88">
        <w:rPr>
          <w:rFonts w:ascii="Times New Roman" w:hAnsi="Times New Roman"/>
          <w:sz w:val="24"/>
          <w:szCs w:val="24"/>
        </w:rPr>
        <w:t xml:space="preserve">(COX-2) expression in different sites of endometriosis and correlation with clinic </w:t>
      </w:r>
      <w:r>
        <w:rPr>
          <w:rFonts w:ascii="Times New Roman" w:hAnsi="Times New Roman"/>
          <w:sz w:val="24"/>
          <w:szCs w:val="24"/>
        </w:rPr>
        <w:tab/>
      </w:r>
      <w:r w:rsidRPr="00636E88">
        <w:rPr>
          <w:rFonts w:ascii="Times New Roman" w:hAnsi="Times New Roman"/>
          <w:sz w:val="24"/>
          <w:szCs w:val="24"/>
        </w:rPr>
        <w:t>pathological parameters. Human Reproduction. 2004; 19: 393–7.</w:t>
      </w:r>
    </w:p>
    <w:p w14:paraId="3B60DEB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Fannin RD, Russo M, O’Connell TM, et al. Acetaminophen dosing of humans results in blood </w:t>
      </w:r>
      <w:r>
        <w:rPr>
          <w:rFonts w:ascii="Times New Roman" w:hAnsi="Times New Roman"/>
          <w:sz w:val="24"/>
          <w:szCs w:val="24"/>
        </w:rPr>
        <w:tab/>
      </w:r>
      <w:r w:rsidRPr="00636E88">
        <w:rPr>
          <w:rFonts w:ascii="Times New Roman" w:hAnsi="Times New Roman"/>
          <w:sz w:val="24"/>
          <w:szCs w:val="24"/>
        </w:rPr>
        <w:t xml:space="preserve">transcriptome and metabolome changes consistent with impaired oxidative </w:t>
      </w:r>
      <w:r>
        <w:rPr>
          <w:rFonts w:ascii="Times New Roman" w:hAnsi="Times New Roman"/>
          <w:sz w:val="24"/>
          <w:szCs w:val="24"/>
        </w:rPr>
        <w:tab/>
      </w:r>
      <w:r w:rsidRPr="00636E88">
        <w:rPr>
          <w:rFonts w:ascii="Times New Roman" w:hAnsi="Times New Roman"/>
          <w:sz w:val="24"/>
          <w:szCs w:val="24"/>
        </w:rPr>
        <w:t>phosphorylation. Hepatology. 2010;51(1):227–236.</w:t>
      </w:r>
    </w:p>
    <w:p w14:paraId="0E4DA4DF"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Fantin VR, St‐Pierre J, Leder P. Attenuation of LDH‐A expression uncovers a link between </w:t>
      </w:r>
      <w:r>
        <w:rPr>
          <w:rFonts w:ascii="Times New Roman" w:hAnsi="Times New Roman"/>
          <w:sz w:val="24"/>
          <w:szCs w:val="24"/>
        </w:rPr>
        <w:tab/>
      </w:r>
      <w:r w:rsidRPr="00636E88">
        <w:rPr>
          <w:rFonts w:ascii="Times New Roman" w:hAnsi="Times New Roman"/>
          <w:sz w:val="24"/>
          <w:szCs w:val="24"/>
        </w:rPr>
        <w:t xml:space="preserve">glycolysis, mitochondrial physiology, and tumor maintenance. Cancer Cell. </w:t>
      </w:r>
      <w:r>
        <w:rPr>
          <w:rFonts w:ascii="Times New Roman" w:hAnsi="Times New Roman"/>
          <w:sz w:val="24"/>
          <w:szCs w:val="24"/>
        </w:rPr>
        <w:tab/>
      </w:r>
      <w:r w:rsidRPr="00636E88">
        <w:rPr>
          <w:rFonts w:ascii="Times New Roman" w:hAnsi="Times New Roman"/>
          <w:sz w:val="24"/>
          <w:szCs w:val="24"/>
        </w:rPr>
        <w:t>2006;9(6):425‐43</w:t>
      </w:r>
    </w:p>
    <w:p w14:paraId="53BAB8EE"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Fantuzzi G, Reed DA, Dinarello CA. IL-12-induced IFN-gamma is dependent on caspase-1 </w:t>
      </w:r>
      <w:r>
        <w:rPr>
          <w:rFonts w:ascii="Times New Roman" w:hAnsi="Times New Roman"/>
          <w:sz w:val="24"/>
          <w:szCs w:val="24"/>
        </w:rPr>
        <w:tab/>
      </w:r>
      <w:r w:rsidRPr="00636E88">
        <w:rPr>
          <w:rFonts w:ascii="Times New Roman" w:hAnsi="Times New Roman"/>
          <w:sz w:val="24"/>
          <w:szCs w:val="24"/>
        </w:rPr>
        <w:t>processing of the IL-18 precursor. J Clin Invest. 1999; 104: 761–767.</w:t>
      </w:r>
    </w:p>
    <w:p w14:paraId="3D556BF6" w14:textId="04061B0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FDA-NIH Biomarker Working Group. BEST (Biomarkers, EndpointS, and other Tools) </w:t>
      </w:r>
      <w:r w:rsidR="00DE18CF">
        <w:rPr>
          <w:rFonts w:ascii="Times New Roman" w:hAnsi="Times New Roman"/>
          <w:sz w:val="24"/>
          <w:szCs w:val="24"/>
        </w:rPr>
        <w:tab/>
      </w:r>
      <w:r w:rsidRPr="00636E88">
        <w:rPr>
          <w:rFonts w:ascii="Times New Roman" w:hAnsi="Times New Roman"/>
          <w:sz w:val="24"/>
          <w:szCs w:val="24"/>
        </w:rPr>
        <w:t xml:space="preserve">Resource. Silver Spring (MD): Food and Drug Administration (US); Bethesda (MD): </w:t>
      </w:r>
      <w:r w:rsidR="00DE18CF">
        <w:rPr>
          <w:rFonts w:ascii="Times New Roman" w:hAnsi="Times New Roman"/>
          <w:sz w:val="24"/>
          <w:szCs w:val="24"/>
        </w:rPr>
        <w:tab/>
      </w:r>
      <w:r w:rsidRPr="00636E88">
        <w:rPr>
          <w:rFonts w:ascii="Times New Roman" w:hAnsi="Times New Roman"/>
          <w:sz w:val="24"/>
          <w:szCs w:val="24"/>
        </w:rPr>
        <w:t>National</w:t>
      </w:r>
      <w:r w:rsidR="00DE18CF">
        <w:rPr>
          <w:rFonts w:ascii="Times New Roman" w:hAnsi="Times New Roman"/>
          <w:sz w:val="24"/>
          <w:szCs w:val="24"/>
        </w:rPr>
        <w:t xml:space="preserve"> </w:t>
      </w:r>
      <w:r w:rsidRPr="00636E88">
        <w:rPr>
          <w:rFonts w:ascii="Times New Roman" w:hAnsi="Times New Roman"/>
          <w:sz w:val="24"/>
          <w:szCs w:val="24"/>
        </w:rPr>
        <w:t>Institutes of Health (US), www.ncbi.nlm.nih.gov/books/NBK326791/ (2016,</w:t>
      </w:r>
      <w:r w:rsidR="00DE18CF">
        <w:rPr>
          <w:rFonts w:ascii="Times New Roman" w:hAnsi="Times New Roman"/>
          <w:sz w:val="24"/>
          <w:szCs w:val="24"/>
        </w:rPr>
        <w:tab/>
      </w:r>
      <w:r w:rsidRPr="00636E88">
        <w:rPr>
          <w:rFonts w:ascii="Times New Roman" w:hAnsi="Times New Roman"/>
          <w:sz w:val="24"/>
          <w:szCs w:val="24"/>
        </w:rPr>
        <w:t>accessed 22</w:t>
      </w:r>
      <w:r w:rsidR="00DE18CF">
        <w:rPr>
          <w:rFonts w:ascii="Times New Roman" w:hAnsi="Times New Roman"/>
          <w:sz w:val="24"/>
          <w:szCs w:val="24"/>
        </w:rPr>
        <w:t xml:space="preserve"> </w:t>
      </w:r>
      <w:r w:rsidRPr="00636E88">
        <w:rPr>
          <w:rFonts w:ascii="Times New Roman" w:hAnsi="Times New Roman"/>
          <w:sz w:val="24"/>
          <w:szCs w:val="24"/>
        </w:rPr>
        <w:t>September 2017)</w:t>
      </w:r>
    </w:p>
    <w:p w14:paraId="111B8C9E" w14:textId="358D2EC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Fella K, Gluckmann M, Hellmann J, Karas M, Kramer PJ, Kroger M.Use of two-dimensional</w:t>
      </w:r>
      <w:r w:rsidR="00DE18CF">
        <w:rPr>
          <w:rFonts w:ascii="Times New Roman" w:hAnsi="Times New Roman"/>
          <w:sz w:val="24"/>
          <w:szCs w:val="24"/>
        </w:rPr>
        <w:tab/>
      </w:r>
      <w:r w:rsidRPr="00636E88">
        <w:rPr>
          <w:rFonts w:ascii="Times New Roman" w:hAnsi="Times New Roman"/>
          <w:sz w:val="24"/>
          <w:szCs w:val="24"/>
        </w:rPr>
        <w:t>gel</w:t>
      </w:r>
      <w:r w:rsidR="00DE18CF">
        <w:rPr>
          <w:rFonts w:ascii="Times New Roman" w:hAnsi="Times New Roman"/>
          <w:sz w:val="24"/>
          <w:szCs w:val="24"/>
        </w:rPr>
        <w:t xml:space="preserve"> </w:t>
      </w:r>
      <w:r w:rsidRPr="00636E88">
        <w:rPr>
          <w:rFonts w:ascii="Times New Roman" w:hAnsi="Times New Roman"/>
          <w:sz w:val="24"/>
          <w:szCs w:val="24"/>
        </w:rPr>
        <w:t xml:space="preserve">electrophoresis in predictive toxicology: identification of potential early protein </w:t>
      </w:r>
      <w:r>
        <w:rPr>
          <w:rFonts w:ascii="Times New Roman" w:hAnsi="Times New Roman"/>
          <w:sz w:val="24"/>
          <w:szCs w:val="24"/>
        </w:rPr>
        <w:tab/>
      </w:r>
      <w:r w:rsidRPr="00636E88">
        <w:rPr>
          <w:rFonts w:ascii="Times New Roman" w:hAnsi="Times New Roman"/>
          <w:sz w:val="24"/>
          <w:szCs w:val="24"/>
        </w:rPr>
        <w:t>biomarkers in</w:t>
      </w:r>
      <w:r>
        <w:rPr>
          <w:rFonts w:ascii="Times New Roman" w:hAnsi="Times New Roman"/>
          <w:sz w:val="24"/>
          <w:szCs w:val="24"/>
        </w:rPr>
        <w:t xml:space="preserve"> </w:t>
      </w:r>
      <w:r w:rsidRPr="00636E88">
        <w:rPr>
          <w:rFonts w:ascii="Times New Roman" w:hAnsi="Times New Roman"/>
          <w:sz w:val="24"/>
          <w:szCs w:val="24"/>
        </w:rPr>
        <w:t>chemically induced hepatocarcinogenesis. Proteomics. 2005;5(7):1914–</w:t>
      </w:r>
      <w:r>
        <w:rPr>
          <w:rFonts w:ascii="Times New Roman" w:hAnsi="Times New Roman"/>
          <w:sz w:val="24"/>
          <w:szCs w:val="24"/>
        </w:rPr>
        <w:tab/>
      </w:r>
      <w:r w:rsidRPr="00636E88">
        <w:rPr>
          <w:rFonts w:ascii="Times New Roman" w:hAnsi="Times New Roman"/>
          <w:sz w:val="24"/>
          <w:szCs w:val="24"/>
        </w:rPr>
        <w:t>1927.</w:t>
      </w:r>
    </w:p>
    <w:p w14:paraId="68EE517A" w14:textId="62841DD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Fernandez-Real JM&gt; Insulin Resistance, Inflammation in an evolutionary perspective: the </w:t>
      </w:r>
      <w:r>
        <w:rPr>
          <w:rFonts w:ascii="Times New Roman" w:hAnsi="Times New Roman"/>
          <w:sz w:val="24"/>
          <w:szCs w:val="24"/>
        </w:rPr>
        <w:tab/>
      </w:r>
      <w:r w:rsidRPr="00636E88">
        <w:rPr>
          <w:rFonts w:ascii="Times New Roman" w:hAnsi="Times New Roman"/>
          <w:sz w:val="24"/>
          <w:szCs w:val="24"/>
        </w:rPr>
        <w:t xml:space="preserve">contribution of cytokine genotype/phenotype to thriftiness. Diabetologia.1999; 42: </w:t>
      </w:r>
      <w:r w:rsidR="00DE18CF">
        <w:rPr>
          <w:rFonts w:ascii="Times New Roman" w:hAnsi="Times New Roman"/>
          <w:sz w:val="24"/>
          <w:szCs w:val="24"/>
        </w:rPr>
        <w:tab/>
      </w:r>
      <w:r w:rsidRPr="00636E88">
        <w:rPr>
          <w:rFonts w:ascii="Times New Roman" w:hAnsi="Times New Roman"/>
          <w:sz w:val="24"/>
          <w:szCs w:val="24"/>
        </w:rPr>
        <w:t>1367-</w:t>
      </w:r>
      <w:r w:rsidR="00DE18CF">
        <w:rPr>
          <w:rFonts w:ascii="Times New Roman" w:hAnsi="Times New Roman"/>
          <w:sz w:val="24"/>
          <w:szCs w:val="24"/>
        </w:rPr>
        <w:tab/>
      </w:r>
      <w:r w:rsidRPr="00636E88">
        <w:rPr>
          <w:rFonts w:ascii="Times New Roman" w:hAnsi="Times New Roman"/>
          <w:sz w:val="24"/>
          <w:szCs w:val="24"/>
        </w:rPr>
        <w:t>74.</w:t>
      </w:r>
    </w:p>
    <w:p w14:paraId="19B8AB7C" w14:textId="266A37D4" w:rsidR="00CF6603"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Ferrandina G, Lauriola L, Distefano MG, et al. Increased cyclooxygenase-2 (COX-2) </w:t>
      </w:r>
      <w:r w:rsidR="00DE18CF">
        <w:rPr>
          <w:rFonts w:ascii="Times New Roman" w:hAnsi="Times New Roman"/>
          <w:sz w:val="24"/>
          <w:szCs w:val="24"/>
        </w:rPr>
        <w:tab/>
      </w:r>
      <w:r w:rsidRPr="00636E88">
        <w:rPr>
          <w:rFonts w:ascii="Times New Roman" w:hAnsi="Times New Roman"/>
          <w:sz w:val="24"/>
          <w:szCs w:val="24"/>
        </w:rPr>
        <w:t xml:space="preserve">expression is associated with chemotherapy resistance and poor survival in cervical </w:t>
      </w:r>
      <w:r w:rsidR="00DE18CF">
        <w:rPr>
          <w:rFonts w:ascii="Times New Roman" w:hAnsi="Times New Roman"/>
          <w:sz w:val="24"/>
          <w:szCs w:val="24"/>
        </w:rPr>
        <w:tab/>
      </w:r>
      <w:r w:rsidRPr="00636E88">
        <w:rPr>
          <w:rFonts w:ascii="Times New Roman" w:hAnsi="Times New Roman"/>
          <w:sz w:val="24"/>
          <w:szCs w:val="24"/>
        </w:rPr>
        <w:t>cancer patients. Journal of Clinical Oncology. 2002; 15(4):973-81.</w:t>
      </w:r>
    </w:p>
    <w:p w14:paraId="5C9778AE" w14:textId="2DD5B35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Ferre N, Camps J, Prats E, et al. Serum paraoxonase activity: a new additional test for the </w:t>
      </w:r>
      <w:r w:rsidR="00DE18CF">
        <w:rPr>
          <w:rFonts w:ascii="Times New Roman" w:hAnsi="Times New Roman"/>
          <w:sz w:val="24"/>
          <w:szCs w:val="24"/>
        </w:rPr>
        <w:tab/>
      </w:r>
      <w:r w:rsidRPr="00636E88">
        <w:rPr>
          <w:rFonts w:ascii="Times New Roman" w:hAnsi="Times New Roman"/>
          <w:sz w:val="24"/>
          <w:szCs w:val="24"/>
        </w:rPr>
        <w:t>improved evaluation of chronic liver damage. Clin Chem. 2002;48(2):261–268.</w:t>
      </w:r>
    </w:p>
    <w:p w14:paraId="39FD93BD"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Festa A, Agostino RD, Howard G, Mykkanen L, Tracy RP, Haffner SM. Chronic sub-clinical </w:t>
      </w:r>
      <w:r>
        <w:rPr>
          <w:rFonts w:ascii="Times New Roman" w:hAnsi="Times New Roman"/>
          <w:sz w:val="24"/>
          <w:szCs w:val="24"/>
        </w:rPr>
        <w:tab/>
      </w:r>
      <w:r w:rsidRPr="00636E88">
        <w:rPr>
          <w:rFonts w:ascii="Times New Roman" w:hAnsi="Times New Roman"/>
          <w:sz w:val="24"/>
          <w:szCs w:val="24"/>
        </w:rPr>
        <w:t>inflammation as part of the insulin resistance syndrome. Circulation 2000; 102: 42-47.</w:t>
      </w:r>
    </w:p>
    <w:p w14:paraId="50197C0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Festa A, D’Agostino R Jr, Howard G, Mykkanen L, Tracy RP, Haffner SM. Chronic subclinical </w:t>
      </w:r>
      <w:r>
        <w:rPr>
          <w:rFonts w:ascii="Times New Roman" w:hAnsi="Times New Roman"/>
          <w:sz w:val="24"/>
          <w:szCs w:val="24"/>
        </w:rPr>
        <w:tab/>
      </w:r>
      <w:r w:rsidRPr="00636E88">
        <w:rPr>
          <w:rFonts w:ascii="Times New Roman" w:hAnsi="Times New Roman"/>
          <w:sz w:val="24"/>
          <w:szCs w:val="24"/>
        </w:rPr>
        <w:t xml:space="preserve">inflammation as part of the insulin resistance syndrome: the Insulin Resistance </w:t>
      </w:r>
      <w:r>
        <w:rPr>
          <w:rFonts w:ascii="Times New Roman" w:hAnsi="Times New Roman"/>
          <w:sz w:val="24"/>
          <w:szCs w:val="24"/>
        </w:rPr>
        <w:tab/>
      </w:r>
      <w:r w:rsidRPr="00636E88">
        <w:rPr>
          <w:rFonts w:ascii="Times New Roman" w:hAnsi="Times New Roman"/>
          <w:sz w:val="24"/>
          <w:szCs w:val="24"/>
        </w:rPr>
        <w:t xml:space="preserve">Atherosclerosis Study (IRAS). Circulation. 2000;102:42– 47.           </w:t>
      </w:r>
    </w:p>
    <w:p w14:paraId="7CB8AFA6"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Festa A, et al. Inflammation and microalbuminuria in nondiabetic and type 2 diabetic subjects: </w:t>
      </w:r>
      <w:r>
        <w:rPr>
          <w:rFonts w:ascii="Times New Roman" w:hAnsi="Times New Roman"/>
          <w:sz w:val="24"/>
          <w:szCs w:val="24"/>
        </w:rPr>
        <w:tab/>
      </w:r>
      <w:r w:rsidRPr="00636E88">
        <w:rPr>
          <w:rFonts w:ascii="Times New Roman" w:hAnsi="Times New Roman"/>
          <w:sz w:val="24"/>
          <w:szCs w:val="24"/>
        </w:rPr>
        <w:t>The Insulin Resistance Atherosclerosis Study. Kidney Int. 2000 Oct;58(4):1703-10.</w:t>
      </w:r>
    </w:p>
    <w:p w14:paraId="54376498" w14:textId="29253A5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Fishman D, Faulds G, Jeffery R, Mohamed-Ali V, Yudkin JS, Humphries S,Woo P: The effect </w:t>
      </w:r>
      <w:r w:rsidR="00DE18CF">
        <w:rPr>
          <w:rFonts w:ascii="Times New Roman" w:hAnsi="Times New Roman"/>
          <w:sz w:val="24"/>
          <w:szCs w:val="24"/>
        </w:rPr>
        <w:tab/>
      </w:r>
      <w:r w:rsidRPr="00636E88">
        <w:rPr>
          <w:rFonts w:ascii="Times New Roman" w:hAnsi="Times New Roman"/>
          <w:sz w:val="24"/>
          <w:szCs w:val="24"/>
        </w:rPr>
        <w:t xml:space="preserve">of novel polymorphisms in the interleukin-6 (IL-6) geneon IL-6 transcription and </w:t>
      </w:r>
      <w:r w:rsidR="00DE18CF">
        <w:rPr>
          <w:rFonts w:ascii="Times New Roman" w:hAnsi="Times New Roman"/>
          <w:sz w:val="24"/>
          <w:szCs w:val="24"/>
        </w:rPr>
        <w:tab/>
      </w:r>
      <w:r w:rsidRPr="00636E88">
        <w:rPr>
          <w:rFonts w:ascii="Times New Roman" w:hAnsi="Times New Roman"/>
          <w:sz w:val="24"/>
          <w:szCs w:val="24"/>
        </w:rPr>
        <w:t xml:space="preserve">plasma IL-6 levels, and an association with systemic-onset juvenile chronic arthritis. J </w:t>
      </w:r>
      <w:r w:rsidR="00DE18CF">
        <w:rPr>
          <w:rFonts w:ascii="Times New Roman" w:hAnsi="Times New Roman"/>
          <w:sz w:val="24"/>
          <w:szCs w:val="24"/>
        </w:rPr>
        <w:tab/>
      </w:r>
      <w:r w:rsidRPr="00636E88">
        <w:rPr>
          <w:rFonts w:ascii="Times New Roman" w:hAnsi="Times New Roman"/>
          <w:sz w:val="24"/>
          <w:szCs w:val="24"/>
        </w:rPr>
        <w:t>Clin Invest 102:1369 –1376,1998</w:t>
      </w:r>
      <w:r>
        <w:rPr>
          <w:rFonts w:ascii="Times New Roman" w:hAnsi="Times New Roman"/>
          <w:sz w:val="24"/>
          <w:szCs w:val="24"/>
        </w:rPr>
        <w:t>.</w:t>
      </w:r>
    </w:p>
    <w:p w14:paraId="6C1B0DA2" w14:textId="25B5DB8C"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Förstl H and Kurz A Clinical features of Alzheimer’s disease. EEur Arch Psychiatry Clin </w:t>
      </w:r>
      <w:r w:rsidR="00DE18CF">
        <w:rPr>
          <w:rFonts w:ascii="Times New Roman" w:hAnsi="Times New Roman"/>
          <w:sz w:val="24"/>
          <w:szCs w:val="24"/>
        </w:rPr>
        <w:tab/>
      </w:r>
      <w:r w:rsidRPr="00636E88">
        <w:rPr>
          <w:rFonts w:ascii="Times New Roman" w:hAnsi="Times New Roman"/>
          <w:sz w:val="24"/>
          <w:szCs w:val="24"/>
        </w:rPr>
        <w:t>Neurosis. 1999; 249: 288-290.</w:t>
      </w:r>
    </w:p>
    <w:p w14:paraId="64E6E7B3"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Foster GR, Goldin RD, Oliveira DB. Serum F protein: a new sensitive and specific test of </w:t>
      </w:r>
      <w:r>
        <w:rPr>
          <w:rFonts w:ascii="Times New Roman" w:hAnsi="Times New Roman"/>
          <w:sz w:val="24"/>
          <w:szCs w:val="24"/>
        </w:rPr>
        <w:tab/>
      </w:r>
      <w:r w:rsidRPr="00636E88">
        <w:rPr>
          <w:rFonts w:ascii="Times New Roman" w:hAnsi="Times New Roman"/>
          <w:sz w:val="24"/>
          <w:szCs w:val="24"/>
        </w:rPr>
        <w:t>hepatocellular damage. Clin Chim Acta. 1989;184(1):85–92.</w:t>
      </w:r>
    </w:p>
    <w:p w14:paraId="0953B4F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Francis PT, Palmer AM, Snape M et al. The cholinergic hypothesis of Alzheimer’s disease: a </w:t>
      </w:r>
      <w:r>
        <w:rPr>
          <w:rFonts w:ascii="Times New Roman" w:hAnsi="Times New Roman"/>
          <w:sz w:val="24"/>
          <w:szCs w:val="24"/>
        </w:rPr>
        <w:tab/>
      </w:r>
      <w:r w:rsidRPr="00636E88">
        <w:rPr>
          <w:rFonts w:ascii="Times New Roman" w:hAnsi="Times New Roman"/>
          <w:sz w:val="24"/>
          <w:szCs w:val="24"/>
        </w:rPr>
        <w:t xml:space="preserve">review of progress. J NeurolNeurosurg Psychiatry. 1999; 66: 137-147. </w:t>
      </w:r>
    </w:p>
    <w:p w14:paraId="6B513F24" w14:textId="326EFDC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Frohlich M, Imhof A, Berg G, Hutchinson WL, Pepys MB, Boeing H, Muche R, Brenner H, </w:t>
      </w:r>
      <w:r>
        <w:rPr>
          <w:rFonts w:ascii="Times New Roman" w:hAnsi="Times New Roman"/>
          <w:sz w:val="24"/>
          <w:szCs w:val="24"/>
        </w:rPr>
        <w:tab/>
      </w:r>
      <w:r w:rsidRPr="00636E88">
        <w:rPr>
          <w:rFonts w:ascii="Times New Roman" w:hAnsi="Times New Roman"/>
          <w:sz w:val="24"/>
          <w:szCs w:val="24"/>
        </w:rPr>
        <w:t xml:space="preserve">Koenig W. Association between C-reactive protein and features of the metabolic </w:t>
      </w:r>
      <w:r w:rsidR="00DE18CF">
        <w:rPr>
          <w:rFonts w:ascii="Times New Roman" w:hAnsi="Times New Roman"/>
          <w:sz w:val="24"/>
          <w:szCs w:val="24"/>
        </w:rPr>
        <w:tab/>
      </w:r>
      <w:r w:rsidRPr="00636E88">
        <w:rPr>
          <w:rFonts w:ascii="Times New Roman" w:hAnsi="Times New Roman"/>
          <w:sz w:val="24"/>
          <w:szCs w:val="24"/>
        </w:rPr>
        <w:t>syndrome: a population-based study. Diabetes Care. 2000;23:1835–1839.</w:t>
      </w:r>
    </w:p>
    <w:p w14:paraId="26F02DC2" w14:textId="4B4F1F5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Galasko D An integrated approach to the management of Alzheimer’s disease: assessing </w:t>
      </w:r>
      <w:r w:rsidR="00DE18CF">
        <w:rPr>
          <w:rFonts w:ascii="Times New Roman" w:hAnsi="Times New Roman"/>
          <w:sz w:val="24"/>
          <w:szCs w:val="24"/>
        </w:rPr>
        <w:tab/>
      </w:r>
      <w:r w:rsidRPr="00636E88">
        <w:rPr>
          <w:rFonts w:ascii="Times New Roman" w:hAnsi="Times New Roman"/>
          <w:sz w:val="24"/>
          <w:szCs w:val="24"/>
        </w:rPr>
        <w:t>cognition, function and behavior. Eur J Neurol. 1998; 5: S9-S17.</w:t>
      </w:r>
    </w:p>
    <w:p w14:paraId="671831AF" w14:textId="11074BE6"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Garcia MJ, McNamara PM, Gordon T, Kannel WB et al. Morbidity and mortality in type 2 DM </w:t>
      </w:r>
      <w:r w:rsidR="00DE18CF">
        <w:rPr>
          <w:rFonts w:ascii="Times New Roman" w:hAnsi="Times New Roman"/>
          <w:sz w:val="24"/>
          <w:szCs w:val="24"/>
        </w:rPr>
        <w:tab/>
      </w:r>
      <w:r w:rsidRPr="00636E88">
        <w:rPr>
          <w:rFonts w:ascii="Times New Roman" w:hAnsi="Times New Roman"/>
          <w:sz w:val="24"/>
          <w:szCs w:val="24"/>
        </w:rPr>
        <w:t>in the Framingham population. Diabetes 1974; 23: 103-16.</w:t>
      </w:r>
    </w:p>
    <w:p w14:paraId="2636E7F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George LM, Ming-Chieh L, Jeffrey TF, Jennifer BK, Jan PAB, Jacqueline AL, Liang-Ping W, </w:t>
      </w:r>
      <w:r>
        <w:rPr>
          <w:rFonts w:ascii="Times New Roman" w:hAnsi="Times New Roman"/>
          <w:sz w:val="24"/>
          <w:szCs w:val="24"/>
        </w:rPr>
        <w:tab/>
      </w:r>
      <w:r w:rsidRPr="00636E88">
        <w:rPr>
          <w:rFonts w:ascii="Times New Roman" w:hAnsi="Times New Roman"/>
          <w:sz w:val="24"/>
          <w:szCs w:val="24"/>
        </w:rPr>
        <w:t xml:space="preserve">Charis E. Altered PTEN Expression as a Diagnostic Marker for the Earliest Endometrial </w:t>
      </w:r>
      <w:r>
        <w:rPr>
          <w:rFonts w:ascii="Times New Roman" w:hAnsi="Times New Roman"/>
          <w:sz w:val="24"/>
          <w:szCs w:val="24"/>
        </w:rPr>
        <w:tab/>
      </w:r>
      <w:r w:rsidRPr="00636E88">
        <w:rPr>
          <w:rFonts w:ascii="Times New Roman" w:hAnsi="Times New Roman"/>
          <w:sz w:val="24"/>
          <w:szCs w:val="24"/>
        </w:rPr>
        <w:t>Precancers. Journal of the National Cancer Institute. 2000; 92 (11): 7.</w:t>
      </w:r>
    </w:p>
    <w:p w14:paraId="236E671F" w14:textId="18F56C3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Giampieri R, Piva F, Occhipinti G, Bittoni A, Righetti A, Pagliaretta S, et al. Clinical impact </w:t>
      </w:r>
      <w:r w:rsidR="00DE18CF">
        <w:rPr>
          <w:rFonts w:ascii="Times New Roman" w:hAnsi="Times New Roman"/>
          <w:sz w:val="24"/>
          <w:szCs w:val="24"/>
        </w:rPr>
        <w:tab/>
      </w:r>
      <w:r w:rsidRPr="00636E88">
        <w:rPr>
          <w:rFonts w:ascii="Times New Roman" w:hAnsi="Times New Roman"/>
          <w:sz w:val="24"/>
          <w:szCs w:val="24"/>
        </w:rPr>
        <w:t xml:space="preserve">of different exosomes’ protein expression in pancreatic ductal carcinoma patients </w:t>
      </w:r>
      <w:r w:rsidR="00DE18CF">
        <w:rPr>
          <w:rFonts w:ascii="Times New Roman" w:hAnsi="Times New Roman"/>
          <w:sz w:val="24"/>
          <w:szCs w:val="24"/>
        </w:rPr>
        <w:tab/>
      </w:r>
      <w:r w:rsidRPr="00636E88">
        <w:rPr>
          <w:rFonts w:ascii="Times New Roman" w:hAnsi="Times New Roman"/>
          <w:sz w:val="24"/>
          <w:szCs w:val="24"/>
        </w:rPr>
        <w:t>treated with standard first line palliative chemotherapy. PLoS One. 2019;14:e0215990.</w:t>
      </w:r>
    </w:p>
    <w:p w14:paraId="5D76C90E"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Giannini EG, Testa R, Savarino V. Liver enzyme alteration: a guide for clinicians. CMAJ. </w:t>
      </w:r>
      <w:r>
        <w:rPr>
          <w:rFonts w:ascii="Times New Roman" w:hAnsi="Times New Roman"/>
          <w:sz w:val="24"/>
          <w:szCs w:val="24"/>
        </w:rPr>
        <w:tab/>
      </w:r>
      <w:r w:rsidRPr="00636E88">
        <w:rPr>
          <w:rFonts w:ascii="Times New Roman" w:hAnsi="Times New Roman"/>
          <w:sz w:val="24"/>
          <w:szCs w:val="24"/>
        </w:rPr>
        <w:t>2005;172(3):367–379.</w:t>
      </w:r>
    </w:p>
    <w:p w14:paraId="310C1227"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Gillespie KM, Nolsøe RL, Betin VM, Kristiansen OP, Bingley P, Mandrup-Poulsen T, Gale EAM: </w:t>
      </w:r>
      <w:r>
        <w:rPr>
          <w:rFonts w:ascii="Times New Roman" w:hAnsi="Times New Roman"/>
          <w:sz w:val="24"/>
          <w:szCs w:val="24"/>
        </w:rPr>
        <w:tab/>
      </w:r>
      <w:r w:rsidRPr="00636E88">
        <w:rPr>
          <w:rFonts w:ascii="Times New Roman" w:hAnsi="Times New Roman"/>
          <w:sz w:val="24"/>
          <w:szCs w:val="24"/>
        </w:rPr>
        <w:t xml:space="preserve">Is puberty an accelerator of type 1 diabetes in interleukin 6 -174CC females. Diabetes </w:t>
      </w:r>
      <w:r>
        <w:rPr>
          <w:rFonts w:ascii="Times New Roman" w:hAnsi="Times New Roman"/>
          <w:sz w:val="24"/>
          <w:szCs w:val="24"/>
        </w:rPr>
        <w:tab/>
      </w:r>
      <w:r w:rsidRPr="00636E88">
        <w:rPr>
          <w:rFonts w:ascii="Times New Roman" w:hAnsi="Times New Roman"/>
          <w:sz w:val="24"/>
          <w:szCs w:val="24"/>
        </w:rPr>
        <w:t>54:1245–1248, 2005</w:t>
      </w:r>
      <w:r>
        <w:rPr>
          <w:rFonts w:ascii="Times New Roman" w:hAnsi="Times New Roman"/>
          <w:sz w:val="24"/>
          <w:szCs w:val="24"/>
        </w:rPr>
        <w:t>.</w:t>
      </w:r>
    </w:p>
    <w:p w14:paraId="3721238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Gluckmann M, Fella K, Waidelich D, et al. Prevalidation of potential protein biomarkers in </w:t>
      </w:r>
      <w:r>
        <w:rPr>
          <w:rFonts w:ascii="Times New Roman" w:hAnsi="Times New Roman"/>
          <w:sz w:val="24"/>
          <w:szCs w:val="24"/>
        </w:rPr>
        <w:tab/>
      </w:r>
      <w:r w:rsidRPr="00636E88">
        <w:rPr>
          <w:rFonts w:ascii="Times New Roman" w:hAnsi="Times New Roman"/>
          <w:sz w:val="24"/>
          <w:szCs w:val="24"/>
        </w:rPr>
        <w:t>toxicology using iTRAQ reagent technology. Proteomics. 2007;7(10):1564–1574.</w:t>
      </w:r>
    </w:p>
    <w:p w14:paraId="0D5BF4B1" w14:textId="50018D5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Gosche KM. et al. Hippocampal Volume as an Index of Alzheimer Neuropathology: Findings</w:t>
      </w:r>
      <w:r w:rsidR="00DE18CF">
        <w:rPr>
          <w:rFonts w:ascii="Times New Roman" w:hAnsi="Times New Roman"/>
          <w:sz w:val="24"/>
          <w:szCs w:val="24"/>
        </w:rPr>
        <w:tab/>
      </w:r>
      <w:r w:rsidRPr="00636E88">
        <w:rPr>
          <w:rFonts w:ascii="Times New Roman" w:hAnsi="Times New Roman"/>
          <w:sz w:val="24"/>
          <w:szCs w:val="24"/>
        </w:rPr>
        <w:t xml:space="preserve">from </w:t>
      </w:r>
      <w:r>
        <w:rPr>
          <w:rFonts w:ascii="Times New Roman" w:hAnsi="Times New Roman"/>
          <w:sz w:val="24"/>
          <w:szCs w:val="24"/>
        </w:rPr>
        <w:tab/>
      </w:r>
      <w:r w:rsidRPr="00636E88">
        <w:rPr>
          <w:rFonts w:ascii="Times New Roman" w:hAnsi="Times New Roman"/>
          <w:sz w:val="24"/>
          <w:szCs w:val="24"/>
        </w:rPr>
        <w:t>the Nun Study. Neurology. 2012; 58: 1476-1482.</w:t>
      </w:r>
    </w:p>
    <w:p w14:paraId="1BC6E233"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Gracie JA, Robertson SE, McInnes IB. Interleukin-18. J Leukoc Biol.2003;73:213–224.</w:t>
      </w:r>
    </w:p>
    <w:p w14:paraId="37E08556" w14:textId="2B7A851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Graesslin O, Cortez A, Fauvet R, Lorenzato M, Birembaut P, Darai E. Metalloproteinase-2 -7 </w:t>
      </w:r>
      <w:r w:rsidR="00DE18CF">
        <w:rPr>
          <w:rFonts w:ascii="Times New Roman" w:hAnsi="Times New Roman"/>
          <w:sz w:val="24"/>
          <w:szCs w:val="24"/>
        </w:rPr>
        <w:tab/>
      </w:r>
      <w:r w:rsidRPr="00636E88">
        <w:rPr>
          <w:rFonts w:ascii="Times New Roman" w:hAnsi="Times New Roman"/>
          <w:sz w:val="24"/>
          <w:szCs w:val="24"/>
        </w:rPr>
        <w:t>and -9 and tissue inhibitor of metalloproteinase-1 and -2expression in normal,</w:t>
      </w:r>
      <w:r w:rsidR="00DE18CF">
        <w:rPr>
          <w:rFonts w:ascii="Times New Roman" w:hAnsi="Times New Roman"/>
          <w:sz w:val="24"/>
          <w:szCs w:val="24"/>
        </w:rPr>
        <w:lastRenderedPageBreak/>
        <w:tab/>
      </w:r>
      <w:r w:rsidRPr="00636E88">
        <w:rPr>
          <w:rFonts w:ascii="Times New Roman" w:hAnsi="Times New Roman"/>
          <w:sz w:val="24"/>
          <w:szCs w:val="24"/>
        </w:rPr>
        <w:t xml:space="preserve">hyperplastic and neoplastic endometrium: a clinicalpathological correlation study. </w:t>
      </w:r>
      <w:r w:rsidR="00DE18CF">
        <w:rPr>
          <w:rFonts w:ascii="Times New Roman" w:hAnsi="Times New Roman"/>
          <w:sz w:val="24"/>
          <w:szCs w:val="24"/>
        </w:rPr>
        <w:tab/>
      </w:r>
      <w:r w:rsidRPr="00636E88">
        <w:rPr>
          <w:rFonts w:ascii="Times New Roman" w:hAnsi="Times New Roman"/>
          <w:sz w:val="24"/>
          <w:szCs w:val="24"/>
        </w:rPr>
        <w:t xml:space="preserve">Annals of Oncology. </w:t>
      </w:r>
      <w:r>
        <w:rPr>
          <w:rFonts w:ascii="Times New Roman" w:hAnsi="Times New Roman"/>
          <w:sz w:val="24"/>
          <w:szCs w:val="24"/>
        </w:rPr>
        <w:tab/>
      </w:r>
      <w:r w:rsidRPr="00636E88">
        <w:rPr>
          <w:rFonts w:ascii="Times New Roman" w:hAnsi="Times New Roman"/>
          <w:sz w:val="24"/>
          <w:szCs w:val="24"/>
        </w:rPr>
        <w:t>2006;17: 637–45.</w:t>
      </w:r>
    </w:p>
    <w:p w14:paraId="3B6800AB" w14:textId="765EF88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Grundy SM, Brewer HB Jr, Cleeman JI, Smith SC Jr, Lenfant C; American Heart Association; </w:t>
      </w:r>
      <w:r>
        <w:rPr>
          <w:rFonts w:ascii="Times New Roman" w:hAnsi="Times New Roman"/>
          <w:sz w:val="24"/>
          <w:szCs w:val="24"/>
        </w:rPr>
        <w:tab/>
      </w:r>
      <w:r w:rsidRPr="00636E88">
        <w:rPr>
          <w:rFonts w:ascii="Times New Roman" w:hAnsi="Times New Roman"/>
          <w:sz w:val="24"/>
          <w:szCs w:val="24"/>
        </w:rPr>
        <w:t xml:space="preserve">National Heart, Lung, and Blood Institute. Definition of metabolic syndrome: report of </w:t>
      </w:r>
      <w:r w:rsidR="000B019A">
        <w:rPr>
          <w:rFonts w:ascii="Times New Roman" w:hAnsi="Times New Roman"/>
          <w:sz w:val="24"/>
          <w:szCs w:val="24"/>
        </w:rPr>
        <w:tab/>
      </w:r>
      <w:r w:rsidRPr="00636E88">
        <w:rPr>
          <w:rFonts w:ascii="Times New Roman" w:hAnsi="Times New Roman"/>
          <w:sz w:val="24"/>
          <w:szCs w:val="24"/>
        </w:rPr>
        <w:t xml:space="preserve">the National Heart, Lung, and Blood Institute/American Heart Association conference </w:t>
      </w:r>
      <w:r w:rsidR="000B019A">
        <w:rPr>
          <w:rFonts w:ascii="Times New Roman" w:hAnsi="Times New Roman"/>
          <w:sz w:val="24"/>
          <w:szCs w:val="24"/>
        </w:rPr>
        <w:tab/>
      </w:r>
      <w:r w:rsidRPr="00636E88">
        <w:rPr>
          <w:rFonts w:ascii="Times New Roman" w:hAnsi="Times New Roman"/>
          <w:sz w:val="24"/>
          <w:szCs w:val="24"/>
        </w:rPr>
        <w:t>on scientific issues related to definition. Circulation. 2004;109:433– 438.</w:t>
      </w:r>
    </w:p>
    <w:p w14:paraId="1FEE8474" w14:textId="0EDAD9D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Gupta S, Ramjaun AR, Haiko P, Wang Y, Warne PH, Nicke B. Binding of ras to </w:t>
      </w:r>
      <w:r w:rsidR="000B019A">
        <w:rPr>
          <w:rFonts w:ascii="Times New Roman" w:hAnsi="Times New Roman"/>
          <w:sz w:val="24"/>
          <w:szCs w:val="24"/>
        </w:rPr>
        <w:tab/>
      </w:r>
      <w:r w:rsidRPr="00636E88">
        <w:rPr>
          <w:rFonts w:ascii="Times New Roman" w:hAnsi="Times New Roman"/>
          <w:sz w:val="24"/>
          <w:szCs w:val="24"/>
        </w:rPr>
        <w:t xml:space="preserve">phosphoinositide 3-kinase p110alpha is required for ras-driven tumorigenesis in mice. </w:t>
      </w:r>
      <w:r w:rsidR="000B019A">
        <w:rPr>
          <w:rFonts w:ascii="Times New Roman" w:hAnsi="Times New Roman"/>
          <w:sz w:val="24"/>
          <w:szCs w:val="24"/>
        </w:rPr>
        <w:tab/>
      </w:r>
      <w:r w:rsidRPr="00636E88">
        <w:rPr>
          <w:rFonts w:ascii="Times New Roman" w:hAnsi="Times New Roman"/>
          <w:sz w:val="24"/>
          <w:szCs w:val="24"/>
        </w:rPr>
        <w:t>Cell. 2007; 129:957–</w:t>
      </w:r>
      <w:r>
        <w:rPr>
          <w:rFonts w:ascii="Times New Roman" w:hAnsi="Times New Roman"/>
          <w:sz w:val="24"/>
          <w:szCs w:val="24"/>
        </w:rPr>
        <w:tab/>
      </w:r>
      <w:r w:rsidRPr="00636E88">
        <w:rPr>
          <w:rFonts w:ascii="Times New Roman" w:hAnsi="Times New Roman"/>
          <w:sz w:val="24"/>
          <w:szCs w:val="24"/>
        </w:rPr>
        <w:t>68.</w:t>
      </w:r>
    </w:p>
    <w:p w14:paraId="1C5C11F0"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Haffner S, Taegtmeyer H. Epidemic obesity and the metabolic syndrome. Circulation. </w:t>
      </w:r>
      <w:r>
        <w:rPr>
          <w:rFonts w:ascii="Times New Roman" w:hAnsi="Times New Roman"/>
          <w:sz w:val="24"/>
          <w:szCs w:val="24"/>
        </w:rPr>
        <w:tab/>
      </w:r>
      <w:r w:rsidRPr="00636E88">
        <w:rPr>
          <w:rFonts w:ascii="Times New Roman" w:hAnsi="Times New Roman"/>
          <w:sz w:val="24"/>
          <w:szCs w:val="24"/>
        </w:rPr>
        <w:t>2003;108:1541–1545.</w:t>
      </w:r>
    </w:p>
    <w:p w14:paraId="1328D5B8" w14:textId="7F0AA9D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Haffner SM. The metabolic syndrome: inflammation, diabetes mellitus and cardiovascular </w:t>
      </w:r>
      <w:r w:rsidR="000B019A">
        <w:rPr>
          <w:rFonts w:ascii="Times New Roman" w:hAnsi="Times New Roman"/>
          <w:sz w:val="24"/>
          <w:szCs w:val="24"/>
        </w:rPr>
        <w:tab/>
      </w:r>
      <w:r w:rsidRPr="00636E88">
        <w:rPr>
          <w:rFonts w:ascii="Times New Roman" w:hAnsi="Times New Roman"/>
          <w:sz w:val="24"/>
          <w:szCs w:val="24"/>
        </w:rPr>
        <w:t>disease. Am J Cardiol 2006; 16: 3A-11A.</w:t>
      </w:r>
    </w:p>
    <w:p w14:paraId="209BA9C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Haider S, Knofler M. Human tumour necrosis factor: physiological and pathological roles in </w:t>
      </w:r>
      <w:r>
        <w:rPr>
          <w:rFonts w:ascii="Times New Roman" w:hAnsi="Times New Roman"/>
          <w:sz w:val="24"/>
          <w:szCs w:val="24"/>
        </w:rPr>
        <w:tab/>
      </w:r>
      <w:r w:rsidRPr="00636E88">
        <w:rPr>
          <w:rFonts w:ascii="Times New Roman" w:hAnsi="Times New Roman"/>
          <w:sz w:val="24"/>
          <w:szCs w:val="24"/>
        </w:rPr>
        <w:t>placenta and endometrium. Placenta. 2009; 30:111–23.</w:t>
      </w:r>
    </w:p>
    <w:p w14:paraId="0ECDA232" w14:textId="0FC2758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Hak AE, Pols HA, Stehouwer CD, Meijer J, Kiliaan AJ, Hofman A,Breteler MM, Witteman</w:t>
      </w:r>
      <w:r w:rsidR="000B019A">
        <w:rPr>
          <w:rFonts w:ascii="Times New Roman" w:hAnsi="Times New Roman"/>
          <w:sz w:val="24"/>
          <w:szCs w:val="24"/>
        </w:rPr>
        <w:tab/>
      </w:r>
      <w:r w:rsidRPr="00636E88">
        <w:rPr>
          <w:rFonts w:ascii="Times New Roman" w:hAnsi="Times New Roman"/>
          <w:sz w:val="24"/>
          <w:szCs w:val="24"/>
        </w:rPr>
        <w:t xml:space="preserve"> JC. Markers of inflammation and cellular adhesion molecules in relation to insulin </w:t>
      </w:r>
      <w:r w:rsidR="000B019A">
        <w:rPr>
          <w:rFonts w:ascii="Times New Roman" w:hAnsi="Times New Roman"/>
          <w:sz w:val="24"/>
          <w:szCs w:val="24"/>
        </w:rPr>
        <w:tab/>
      </w:r>
      <w:r w:rsidRPr="00636E88">
        <w:rPr>
          <w:rFonts w:ascii="Times New Roman" w:hAnsi="Times New Roman"/>
          <w:sz w:val="24"/>
          <w:szCs w:val="24"/>
        </w:rPr>
        <w:t xml:space="preserve">resistance in nondiabetic elderly:the Rotterdam study. J Clin Endocrinol Metabol. </w:t>
      </w:r>
      <w:r w:rsidR="000B019A">
        <w:rPr>
          <w:rFonts w:ascii="Times New Roman" w:hAnsi="Times New Roman"/>
          <w:sz w:val="24"/>
          <w:szCs w:val="24"/>
        </w:rPr>
        <w:tab/>
      </w:r>
      <w:r w:rsidRPr="00636E88">
        <w:rPr>
          <w:rFonts w:ascii="Times New Roman" w:hAnsi="Times New Roman"/>
          <w:sz w:val="24"/>
          <w:szCs w:val="24"/>
        </w:rPr>
        <w:t>2001;86:4398 – 4405.</w:t>
      </w:r>
    </w:p>
    <w:p w14:paraId="01D41CA7" w14:textId="44F2D515"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Hamid YH, Urhammer SA, Jensen DP, Glumer C, Borch-Johnsen K,Jorgensen T, Hansen T, </w:t>
      </w:r>
      <w:r>
        <w:rPr>
          <w:rFonts w:ascii="Times New Roman" w:hAnsi="Times New Roman"/>
          <w:sz w:val="24"/>
          <w:szCs w:val="24"/>
        </w:rPr>
        <w:tab/>
      </w:r>
      <w:r w:rsidRPr="00636E88">
        <w:rPr>
          <w:rFonts w:ascii="Times New Roman" w:hAnsi="Times New Roman"/>
          <w:sz w:val="24"/>
          <w:szCs w:val="24"/>
        </w:rPr>
        <w:t xml:space="preserve">Pedersen O: Variation in the interleukin-6 receptor gene associates with type 2 diabetes </w:t>
      </w:r>
      <w:r w:rsidR="000B019A">
        <w:rPr>
          <w:rFonts w:ascii="Times New Roman" w:hAnsi="Times New Roman"/>
          <w:sz w:val="24"/>
          <w:szCs w:val="24"/>
        </w:rPr>
        <w:tab/>
      </w:r>
      <w:r w:rsidRPr="00636E88">
        <w:rPr>
          <w:rFonts w:ascii="Times New Roman" w:hAnsi="Times New Roman"/>
          <w:sz w:val="24"/>
          <w:szCs w:val="24"/>
        </w:rPr>
        <w:t>in Danish whites. Diabetes 53:3342–3345, 2004</w:t>
      </w:r>
      <w:r>
        <w:rPr>
          <w:rFonts w:ascii="Times New Roman" w:hAnsi="Times New Roman"/>
          <w:sz w:val="24"/>
          <w:szCs w:val="24"/>
        </w:rPr>
        <w:t>.</w:t>
      </w:r>
    </w:p>
    <w:p w14:paraId="415BE6E5" w14:textId="306D2A42" w:rsidR="00CF6603" w:rsidRPr="00636E88" w:rsidRDefault="00CF6603" w:rsidP="00CF6603">
      <w:pPr>
        <w:spacing w:line="360" w:lineRule="auto"/>
        <w:jc w:val="both"/>
        <w:rPr>
          <w:rFonts w:ascii="Times New Roman" w:hAnsi="Times New Roman"/>
          <w:sz w:val="24"/>
          <w:szCs w:val="24"/>
        </w:rPr>
      </w:pPr>
      <w:bookmarkStart w:id="3" w:name="_Hlk142395449"/>
      <w:r w:rsidRPr="00636E88">
        <w:rPr>
          <w:rFonts w:ascii="Times New Roman" w:hAnsi="Times New Roman"/>
          <w:sz w:val="24"/>
          <w:szCs w:val="24"/>
        </w:rPr>
        <w:t xml:space="preserve">Hanisch, F.G.; Uhlenbruck, G.; </w:t>
      </w:r>
      <w:bookmarkEnd w:id="3"/>
      <w:r w:rsidRPr="00636E88">
        <w:rPr>
          <w:rFonts w:ascii="Times New Roman" w:hAnsi="Times New Roman"/>
          <w:sz w:val="24"/>
          <w:szCs w:val="24"/>
        </w:rPr>
        <w:t xml:space="preserve">Dienst, C.; Stottrop, M.; Hippauf, E. Ca 125 and Ca 19-9: Two </w:t>
      </w:r>
      <w:r>
        <w:rPr>
          <w:rFonts w:ascii="Times New Roman" w:hAnsi="Times New Roman"/>
          <w:sz w:val="24"/>
          <w:szCs w:val="24"/>
        </w:rPr>
        <w:tab/>
      </w:r>
      <w:r w:rsidRPr="00636E88">
        <w:rPr>
          <w:rFonts w:ascii="Times New Roman" w:hAnsi="Times New Roman"/>
          <w:sz w:val="24"/>
          <w:szCs w:val="24"/>
        </w:rPr>
        <w:t xml:space="preserve">cancer-associated sialylsaccharide antigens on a mucus glycoprotein from human milk. </w:t>
      </w:r>
      <w:r w:rsidR="000B019A">
        <w:rPr>
          <w:rFonts w:ascii="Times New Roman" w:hAnsi="Times New Roman"/>
          <w:sz w:val="24"/>
          <w:szCs w:val="24"/>
        </w:rPr>
        <w:tab/>
      </w:r>
      <w:r w:rsidRPr="00636E88">
        <w:rPr>
          <w:rFonts w:ascii="Times New Roman" w:hAnsi="Times New Roman"/>
          <w:sz w:val="24"/>
          <w:szCs w:val="24"/>
        </w:rPr>
        <w:t>Eur. J. Biochem. 1985, 149, 323–330. [CrossRef]</w:t>
      </w:r>
    </w:p>
    <w:p w14:paraId="7DB5A9D2" w14:textId="45E57E2E" w:rsidR="00CF6603" w:rsidRPr="00636E88" w:rsidRDefault="00CF6603" w:rsidP="00CF6603">
      <w:pPr>
        <w:spacing w:line="360" w:lineRule="auto"/>
        <w:jc w:val="both"/>
        <w:rPr>
          <w:rFonts w:ascii="Times New Roman" w:hAnsi="Times New Roman"/>
          <w:sz w:val="24"/>
          <w:szCs w:val="24"/>
        </w:rPr>
      </w:pPr>
      <w:bookmarkStart w:id="4" w:name="_Hlk142395229"/>
      <w:r w:rsidRPr="00636E88">
        <w:rPr>
          <w:rFonts w:ascii="Times New Roman" w:hAnsi="Times New Roman"/>
          <w:sz w:val="24"/>
          <w:szCs w:val="24"/>
        </w:rPr>
        <w:t>Hattrup, C.L.; Gendler, S.J.</w:t>
      </w:r>
      <w:bookmarkEnd w:id="4"/>
      <w:r w:rsidRPr="00636E88">
        <w:rPr>
          <w:rFonts w:ascii="Times New Roman" w:hAnsi="Times New Roman"/>
          <w:sz w:val="24"/>
          <w:szCs w:val="24"/>
        </w:rPr>
        <w:t xml:space="preserve"> Structure and Function of the Cell Surface (Tethered) Mucins. </w:t>
      </w:r>
      <w:r w:rsidR="000B019A">
        <w:rPr>
          <w:rFonts w:ascii="Times New Roman" w:hAnsi="Times New Roman"/>
          <w:sz w:val="24"/>
          <w:szCs w:val="24"/>
        </w:rPr>
        <w:tab/>
      </w:r>
      <w:r w:rsidRPr="00636E88">
        <w:rPr>
          <w:rFonts w:ascii="Times New Roman" w:hAnsi="Times New Roman"/>
          <w:sz w:val="24"/>
          <w:szCs w:val="24"/>
        </w:rPr>
        <w:t xml:space="preserve">Annu. </w:t>
      </w:r>
      <w:r>
        <w:rPr>
          <w:rFonts w:ascii="Times New Roman" w:hAnsi="Times New Roman"/>
          <w:sz w:val="24"/>
          <w:szCs w:val="24"/>
        </w:rPr>
        <w:tab/>
      </w:r>
      <w:r w:rsidRPr="00636E88">
        <w:rPr>
          <w:rFonts w:ascii="Times New Roman" w:hAnsi="Times New Roman"/>
          <w:sz w:val="24"/>
          <w:szCs w:val="24"/>
        </w:rPr>
        <w:t xml:space="preserve">Rev. Physiol. 2008, 70, 431–457. [CrossRef] [PubMed] </w:t>
      </w:r>
    </w:p>
    <w:p w14:paraId="3D40CAD6" w14:textId="13447FB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Hennessy BT, Smith DL, Ram PT, Lu Y, Mills GB. Exploiting the PI3K/AKT pathway for </w:t>
      </w:r>
      <w:r w:rsidR="000B019A">
        <w:rPr>
          <w:rFonts w:ascii="Times New Roman" w:hAnsi="Times New Roman"/>
          <w:sz w:val="24"/>
          <w:szCs w:val="24"/>
        </w:rPr>
        <w:tab/>
      </w:r>
      <w:r w:rsidRPr="00636E88">
        <w:rPr>
          <w:rFonts w:ascii="Times New Roman" w:hAnsi="Times New Roman"/>
          <w:sz w:val="24"/>
          <w:szCs w:val="24"/>
        </w:rPr>
        <w:t>cancer</w:t>
      </w:r>
      <w:r>
        <w:rPr>
          <w:rFonts w:ascii="Times New Roman" w:hAnsi="Times New Roman"/>
          <w:sz w:val="24"/>
          <w:szCs w:val="24"/>
        </w:rPr>
        <w:tab/>
      </w:r>
      <w:r w:rsidRPr="00636E88">
        <w:rPr>
          <w:rFonts w:ascii="Times New Roman" w:hAnsi="Times New Roman"/>
          <w:sz w:val="24"/>
          <w:szCs w:val="24"/>
        </w:rPr>
        <w:t xml:space="preserve"> drug discovery. Nature Review Drug Discovery. 2005; 4:988–1004.</w:t>
      </w:r>
    </w:p>
    <w:p w14:paraId="79B23CCB" w14:textId="77777777" w:rsidR="00CF6603" w:rsidRPr="00636E88" w:rsidRDefault="00CF6603" w:rsidP="00CF6603">
      <w:pPr>
        <w:spacing w:line="360" w:lineRule="auto"/>
        <w:jc w:val="both"/>
        <w:rPr>
          <w:rFonts w:ascii="Times New Roman" w:hAnsi="Times New Roman"/>
          <w:sz w:val="24"/>
          <w:szCs w:val="24"/>
        </w:rPr>
      </w:pPr>
      <w:bookmarkStart w:id="5" w:name="_Hlk142396478"/>
      <w:r w:rsidRPr="00636E88">
        <w:rPr>
          <w:rFonts w:ascii="Times New Roman" w:hAnsi="Times New Roman"/>
          <w:sz w:val="24"/>
          <w:szCs w:val="24"/>
        </w:rPr>
        <w:lastRenderedPageBreak/>
        <w:t>Hofmann MH, Gerlach D</w:t>
      </w:r>
      <w:bookmarkEnd w:id="5"/>
      <w:r w:rsidRPr="00636E88">
        <w:rPr>
          <w:rFonts w:ascii="Times New Roman" w:hAnsi="Times New Roman"/>
          <w:sz w:val="24"/>
          <w:szCs w:val="24"/>
        </w:rPr>
        <w:t xml:space="preserve">, Misale S, Petronczki M, Kraut N. Expanding the reach of precision </w:t>
      </w:r>
      <w:r>
        <w:rPr>
          <w:rFonts w:ascii="Times New Roman" w:hAnsi="Times New Roman"/>
          <w:sz w:val="24"/>
          <w:szCs w:val="24"/>
        </w:rPr>
        <w:tab/>
      </w:r>
      <w:r w:rsidRPr="00636E88">
        <w:rPr>
          <w:rFonts w:ascii="Times New Roman" w:hAnsi="Times New Roman"/>
          <w:sz w:val="24"/>
          <w:szCs w:val="24"/>
        </w:rPr>
        <w:t xml:space="preserve">oncology by drugging all KRAS mutants. Cancer Discov. 2022;12(4):924–37. </w:t>
      </w:r>
    </w:p>
    <w:p w14:paraId="45D33BC5"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Holdenrieder S, Nagel D, Schalhorn A, Heinemann V, Wilkowski R, von Pawel J,Raith H, </w:t>
      </w:r>
      <w:r>
        <w:rPr>
          <w:rFonts w:ascii="Times New Roman" w:hAnsi="Times New Roman"/>
          <w:sz w:val="24"/>
          <w:szCs w:val="24"/>
        </w:rPr>
        <w:tab/>
      </w:r>
      <w:r w:rsidRPr="00636E88">
        <w:rPr>
          <w:rFonts w:ascii="Times New Roman" w:hAnsi="Times New Roman"/>
          <w:sz w:val="24"/>
          <w:szCs w:val="24"/>
        </w:rPr>
        <w:t xml:space="preserve">Feldmann K, Kremer AE, Müller S, Geiger S, Hamann GF, Seidel D, Stieber P: Clinical </w:t>
      </w:r>
      <w:r>
        <w:rPr>
          <w:rFonts w:ascii="Times New Roman" w:hAnsi="Times New Roman"/>
          <w:sz w:val="24"/>
          <w:szCs w:val="24"/>
        </w:rPr>
        <w:tab/>
      </w:r>
      <w:r w:rsidRPr="00636E88">
        <w:rPr>
          <w:rFonts w:ascii="Times New Roman" w:hAnsi="Times New Roman"/>
          <w:sz w:val="24"/>
          <w:szCs w:val="24"/>
        </w:rPr>
        <w:t>relevance of circulating nucleosomes in cancer. Ann N Y Acad Sci 2008, 1137:180-189.</w:t>
      </w:r>
    </w:p>
    <w:p w14:paraId="53A8D08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Hongbo S, Takayuki E, Masami F, Hiroko W, Kiyoshi Y, Keiichiro O, Takafumi N and Yuji M. </w:t>
      </w:r>
      <w:r>
        <w:rPr>
          <w:rFonts w:ascii="Times New Roman" w:hAnsi="Times New Roman"/>
          <w:sz w:val="24"/>
          <w:szCs w:val="24"/>
        </w:rPr>
        <w:tab/>
      </w:r>
      <w:r w:rsidRPr="00636E88">
        <w:rPr>
          <w:rFonts w:ascii="Times New Roman" w:hAnsi="Times New Roman"/>
          <w:sz w:val="24"/>
          <w:szCs w:val="24"/>
        </w:rPr>
        <w:t xml:space="preserve">Mutational Analysis of the PTEN Gene in Endometrial Carcinoma and Hyperplasia. </w:t>
      </w:r>
      <w:r>
        <w:rPr>
          <w:rFonts w:ascii="Times New Roman" w:hAnsi="Times New Roman"/>
          <w:sz w:val="24"/>
          <w:szCs w:val="24"/>
        </w:rPr>
        <w:tab/>
      </w:r>
      <w:r w:rsidRPr="00636E88">
        <w:rPr>
          <w:rFonts w:ascii="Times New Roman" w:hAnsi="Times New Roman"/>
          <w:sz w:val="24"/>
          <w:szCs w:val="24"/>
        </w:rPr>
        <w:t>American Journal of Clinical Pathology. 2001; 115: 32-38.</w:t>
      </w:r>
    </w:p>
    <w:p w14:paraId="0E53B9D6" w14:textId="048C3E7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Huang J, Shi W, Zhang J, et al. Genomic indicators in the blood predict drug-induced liver </w:t>
      </w:r>
      <w:r w:rsidR="000B019A">
        <w:rPr>
          <w:rFonts w:ascii="Times New Roman" w:hAnsi="Times New Roman"/>
          <w:sz w:val="24"/>
          <w:szCs w:val="24"/>
        </w:rPr>
        <w:tab/>
      </w:r>
      <w:r w:rsidRPr="00636E88">
        <w:rPr>
          <w:rFonts w:ascii="Times New Roman" w:hAnsi="Times New Roman"/>
          <w:sz w:val="24"/>
          <w:szCs w:val="24"/>
        </w:rPr>
        <w:t xml:space="preserve">injury. </w:t>
      </w:r>
      <w:r>
        <w:rPr>
          <w:rFonts w:ascii="Times New Roman" w:hAnsi="Times New Roman"/>
          <w:sz w:val="24"/>
          <w:szCs w:val="24"/>
        </w:rPr>
        <w:tab/>
      </w:r>
      <w:r w:rsidRPr="00636E88">
        <w:rPr>
          <w:rFonts w:ascii="Times New Roman" w:hAnsi="Times New Roman"/>
          <w:sz w:val="24"/>
          <w:szCs w:val="24"/>
        </w:rPr>
        <w:t>Pharmacogenomics J. 2010;10(4): 267–277.</w:t>
      </w:r>
    </w:p>
    <w:p w14:paraId="35CB494F" w14:textId="51CB6FC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Hunt CM, Papay JI, Edwards RI, et al. Monitoring liver safety in drug development: the GSK </w:t>
      </w:r>
      <w:r>
        <w:rPr>
          <w:rFonts w:ascii="Times New Roman" w:hAnsi="Times New Roman"/>
          <w:sz w:val="24"/>
          <w:szCs w:val="24"/>
        </w:rPr>
        <w:tab/>
      </w:r>
      <w:r w:rsidRPr="00636E88">
        <w:rPr>
          <w:rFonts w:ascii="Times New Roman" w:hAnsi="Times New Roman"/>
          <w:sz w:val="24"/>
          <w:szCs w:val="24"/>
        </w:rPr>
        <w:t>experience. Regul Toxicol Pharmacol. 2007;49(2):90–100.</w:t>
      </w:r>
      <w:r w:rsidRPr="00636E88">
        <w:rPr>
          <w:rFonts w:ascii="Times New Roman" w:hAnsi="Times New Roman"/>
          <w:sz w:val="24"/>
          <w:szCs w:val="24"/>
        </w:rPr>
        <w:cr/>
        <w:t xml:space="preserve">Illig T, Bongardt F, Schopfer A, Muller-Scholze S, Rathmann W, Koenig W,Thorand B, </w:t>
      </w:r>
      <w:r w:rsidR="000B019A">
        <w:rPr>
          <w:rFonts w:ascii="Times New Roman" w:hAnsi="Times New Roman"/>
          <w:sz w:val="24"/>
          <w:szCs w:val="24"/>
        </w:rPr>
        <w:tab/>
      </w:r>
      <w:r w:rsidRPr="00636E88">
        <w:rPr>
          <w:rFonts w:ascii="Times New Roman" w:hAnsi="Times New Roman"/>
          <w:sz w:val="24"/>
          <w:szCs w:val="24"/>
        </w:rPr>
        <w:t xml:space="preserve">Vollmert C, Holle R, Kolb H, Herder C: Significant association of the interleukin-6 </w:t>
      </w:r>
      <w:r w:rsidR="000B019A">
        <w:rPr>
          <w:rFonts w:ascii="Times New Roman" w:hAnsi="Times New Roman"/>
          <w:sz w:val="24"/>
          <w:szCs w:val="24"/>
        </w:rPr>
        <w:tab/>
      </w:r>
      <w:r w:rsidRPr="00636E88">
        <w:rPr>
          <w:rFonts w:ascii="Times New Roman" w:hAnsi="Times New Roman"/>
          <w:sz w:val="24"/>
          <w:szCs w:val="24"/>
        </w:rPr>
        <w:t xml:space="preserve">gene polymorphisms C-174G and A-598G with type 2 diabetes. J Clin Endocrinol </w:t>
      </w:r>
      <w:r w:rsidR="000B019A">
        <w:rPr>
          <w:rFonts w:ascii="Times New Roman" w:hAnsi="Times New Roman"/>
          <w:sz w:val="24"/>
          <w:szCs w:val="24"/>
        </w:rPr>
        <w:tab/>
      </w:r>
      <w:r w:rsidRPr="00636E88">
        <w:rPr>
          <w:rFonts w:ascii="Times New Roman" w:hAnsi="Times New Roman"/>
          <w:sz w:val="24"/>
          <w:szCs w:val="24"/>
        </w:rPr>
        <w:t xml:space="preserve">Metab </w:t>
      </w:r>
      <w:r>
        <w:rPr>
          <w:rFonts w:ascii="Times New Roman" w:hAnsi="Times New Roman"/>
          <w:sz w:val="24"/>
          <w:szCs w:val="24"/>
        </w:rPr>
        <w:tab/>
      </w:r>
      <w:r w:rsidRPr="00636E88">
        <w:rPr>
          <w:rFonts w:ascii="Times New Roman" w:hAnsi="Times New Roman"/>
          <w:sz w:val="24"/>
          <w:szCs w:val="24"/>
        </w:rPr>
        <w:t>89:5053–5058, 2004</w:t>
      </w:r>
    </w:p>
    <w:p w14:paraId="52C837EF" w14:textId="5A11B49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Ivaylo Stoimenov and Thomas Helleday. PCNA on the crossroad of cancer. Biochemical </w:t>
      </w:r>
      <w:r w:rsidR="000B019A">
        <w:rPr>
          <w:rFonts w:ascii="Times New Roman" w:hAnsi="Times New Roman"/>
          <w:sz w:val="24"/>
          <w:szCs w:val="24"/>
        </w:rPr>
        <w:tab/>
      </w:r>
      <w:r w:rsidRPr="00636E88">
        <w:rPr>
          <w:rFonts w:ascii="Times New Roman" w:hAnsi="Times New Roman"/>
          <w:sz w:val="24"/>
          <w:szCs w:val="24"/>
        </w:rPr>
        <w:t>Society Transactions. 2009; 37: 605–613.</w:t>
      </w:r>
    </w:p>
    <w:p w14:paraId="6616BCAA"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Jahromi MM, Millward BA, Demaine AG: A polymorphism in the promoter region of the gene </w:t>
      </w:r>
      <w:r>
        <w:rPr>
          <w:rFonts w:ascii="Times New Roman" w:hAnsi="Times New Roman"/>
          <w:sz w:val="24"/>
          <w:szCs w:val="24"/>
        </w:rPr>
        <w:tab/>
      </w:r>
      <w:r w:rsidRPr="00636E88">
        <w:rPr>
          <w:rFonts w:ascii="Times New Roman" w:hAnsi="Times New Roman"/>
          <w:sz w:val="24"/>
          <w:szCs w:val="24"/>
        </w:rPr>
        <w:t xml:space="preserve">for interleukin-6 is associated with susceptibility to type 1 diabetes mellitus. J Interferon </w:t>
      </w:r>
      <w:r>
        <w:rPr>
          <w:rFonts w:ascii="Times New Roman" w:hAnsi="Times New Roman"/>
          <w:sz w:val="24"/>
          <w:szCs w:val="24"/>
        </w:rPr>
        <w:tab/>
      </w:r>
      <w:r w:rsidRPr="00636E88">
        <w:rPr>
          <w:rFonts w:ascii="Times New Roman" w:hAnsi="Times New Roman"/>
          <w:sz w:val="24"/>
          <w:szCs w:val="24"/>
        </w:rPr>
        <w:t>Cytokine Res 20:885– 888, 2000</w:t>
      </w:r>
      <w:r>
        <w:rPr>
          <w:rFonts w:ascii="Times New Roman" w:hAnsi="Times New Roman"/>
          <w:sz w:val="24"/>
          <w:szCs w:val="24"/>
        </w:rPr>
        <w:t>.</w:t>
      </w:r>
    </w:p>
    <w:p w14:paraId="1150B4BB" w14:textId="77777777" w:rsidR="00CF6603" w:rsidRPr="00636E88" w:rsidRDefault="00CF6603" w:rsidP="00CF6603">
      <w:pPr>
        <w:spacing w:line="360" w:lineRule="auto"/>
        <w:jc w:val="both"/>
        <w:rPr>
          <w:rFonts w:ascii="Times New Roman" w:hAnsi="Times New Roman"/>
          <w:sz w:val="24"/>
          <w:szCs w:val="24"/>
        </w:rPr>
      </w:pPr>
      <w:bookmarkStart w:id="6" w:name="_Hlk142396410"/>
      <w:r w:rsidRPr="00636E88">
        <w:rPr>
          <w:rFonts w:ascii="Times New Roman" w:hAnsi="Times New Roman"/>
          <w:sz w:val="24"/>
          <w:szCs w:val="24"/>
        </w:rPr>
        <w:t>Janes MR, Zhang J</w:t>
      </w:r>
      <w:bookmarkEnd w:id="6"/>
      <w:r w:rsidRPr="00636E88">
        <w:rPr>
          <w:rFonts w:ascii="Times New Roman" w:hAnsi="Times New Roman"/>
          <w:sz w:val="24"/>
          <w:szCs w:val="24"/>
        </w:rPr>
        <w:t xml:space="preserve">, Li L-S, Hansen R, Peters U, Guo X, et al. Targeting KRAS mutant cancers </w:t>
      </w:r>
      <w:r>
        <w:rPr>
          <w:rFonts w:ascii="Times New Roman" w:hAnsi="Times New Roman"/>
          <w:sz w:val="24"/>
          <w:szCs w:val="24"/>
        </w:rPr>
        <w:tab/>
      </w:r>
      <w:r w:rsidRPr="00636E88">
        <w:rPr>
          <w:rFonts w:ascii="Times New Roman" w:hAnsi="Times New Roman"/>
          <w:sz w:val="24"/>
          <w:szCs w:val="24"/>
        </w:rPr>
        <w:t xml:space="preserve">with a covalent G12C-specifc inhibitor. Cell. 2018;172(3):578–89. </w:t>
      </w:r>
    </w:p>
    <w:p w14:paraId="60321DC8" w14:textId="014DF42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Jarrett RJ, McCartney PM, Keen H. The Bedford Survey: ten year mortality rates in newly </w:t>
      </w:r>
      <w:r>
        <w:rPr>
          <w:rFonts w:ascii="Times New Roman" w:hAnsi="Times New Roman"/>
          <w:sz w:val="24"/>
          <w:szCs w:val="24"/>
        </w:rPr>
        <w:tab/>
      </w:r>
      <w:r w:rsidRPr="00636E88">
        <w:rPr>
          <w:rFonts w:ascii="Times New Roman" w:hAnsi="Times New Roman"/>
          <w:sz w:val="24"/>
          <w:szCs w:val="24"/>
        </w:rPr>
        <w:t xml:space="preserve">diagnosed diabetics, borderline diabetics and normoglycemic controls and risk indices </w:t>
      </w:r>
      <w:r w:rsidR="000B019A">
        <w:rPr>
          <w:rFonts w:ascii="Times New Roman" w:hAnsi="Times New Roman"/>
          <w:sz w:val="24"/>
          <w:szCs w:val="24"/>
        </w:rPr>
        <w:tab/>
      </w:r>
      <w:r w:rsidRPr="00636E88">
        <w:rPr>
          <w:rFonts w:ascii="Times New Roman" w:hAnsi="Times New Roman"/>
          <w:sz w:val="24"/>
          <w:szCs w:val="24"/>
        </w:rPr>
        <w:t>for coronary heart disease in borderline diabetics. Diabetologia 1982; 22: 79-84.</w:t>
      </w:r>
    </w:p>
    <w:p w14:paraId="7DAD762B" w14:textId="41DA1D66" w:rsidR="00CF6603" w:rsidRPr="00636E88" w:rsidRDefault="00CF6603" w:rsidP="00CF6603">
      <w:pPr>
        <w:spacing w:line="360" w:lineRule="auto"/>
        <w:jc w:val="both"/>
        <w:rPr>
          <w:rFonts w:ascii="Times New Roman" w:hAnsi="Times New Roman"/>
          <w:sz w:val="24"/>
          <w:szCs w:val="24"/>
        </w:rPr>
      </w:pPr>
      <w:r>
        <w:rPr>
          <w:rFonts w:ascii="Times New Roman" w:hAnsi="Times New Roman"/>
          <w:sz w:val="24"/>
          <w:szCs w:val="24"/>
        </w:rPr>
        <w:t>J</w:t>
      </w:r>
      <w:r w:rsidRPr="00636E88">
        <w:rPr>
          <w:rFonts w:ascii="Times New Roman" w:hAnsi="Times New Roman"/>
          <w:sz w:val="24"/>
          <w:szCs w:val="24"/>
        </w:rPr>
        <w:t>ohoim A, Nyström T. Endothelial inflammation in insulin resistance. Lancet 2005; 365: 610-</w:t>
      </w:r>
      <w:r w:rsidR="000B019A">
        <w:rPr>
          <w:rFonts w:ascii="Times New Roman" w:hAnsi="Times New Roman"/>
          <w:sz w:val="24"/>
          <w:szCs w:val="24"/>
        </w:rPr>
        <w:tab/>
      </w:r>
      <w:r w:rsidRPr="00636E88">
        <w:rPr>
          <w:rFonts w:ascii="Times New Roman" w:hAnsi="Times New Roman"/>
          <w:sz w:val="24"/>
          <w:szCs w:val="24"/>
        </w:rPr>
        <w:t>2.</w:t>
      </w:r>
    </w:p>
    <w:p w14:paraId="029B3AC6"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Jones SA, Horiuchi S, Topley N, Yamamoto N, Fuller GM: The soluble interleukin 6 receptor:  </w:t>
      </w:r>
      <w:r>
        <w:rPr>
          <w:rFonts w:ascii="Times New Roman" w:hAnsi="Times New Roman"/>
          <w:sz w:val="24"/>
          <w:szCs w:val="24"/>
        </w:rPr>
        <w:tab/>
      </w:r>
      <w:r w:rsidRPr="00636E88">
        <w:rPr>
          <w:rFonts w:ascii="Times New Roman" w:hAnsi="Times New Roman"/>
          <w:sz w:val="24"/>
          <w:szCs w:val="24"/>
        </w:rPr>
        <w:t>mechanisms of production and implications in disease. FASEB J 15:43–58, 2001</w:t>
      </w:r>
      <w:r>
        <w:rPr>
          <w:rFonts w:ascii="Times New Roman" w:hAnsi="Times New Roman"/>
          <w:sz w:val="24"/>
          <w:szCs w:val="24"/>
        </w:rPr>
        <w:t>.</w:t>
      </w:r>
    </w:p>
    <w:p w14:paraId="182A67D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 </w:t>
      </w:r>
      <w:bookmarkStart w:id="7" w:name="_Hlk142395584"/>
      <w:r w:rsidRPr="00636E88">
        <w:rPr>
          <w:rFonts w:ascii="Times New Roman" w:hAnsi="Times New Roman"/>
          <w:sz w:val="24"/>
          <w:szCs w:val="24"/>
        </w:rPr>
        <w:t>Kabawat, S.E.; Bast</w:t>
      </w:r>
      <w:bookmarkEnd w:id="7"/>
      <w:r w:rsidRPr="00636E88">
        <w:rPr>
          <w:rFonts w:ascii="Times New Roman" w:hAnsi="Times New Roman"/>
          <w:sz w:val="24"/>
          <w:szCs w:val="24"/>
        </w:rPr>
        <w:t xml:space="preserve">, R.C.; Bhan, A.K.; Welch, W.R.; Knapp, R.C.; Colvin, R.B. Tissue </w:t>
      </w:r>
      <w:r>
        <w:rPr>
          <w:rFonts w:ascii="Times New Roman" w:hAnsi="Times New Roman"/>
          <w:sz w:val="24"/>
          <w:szCs w:val="24"/>
        </w:rPr>
        <w:tab/>
      </w:r>
      <w:r w:rsidRPr="00636E88">
        <w:rPr>
          <w:rFonts w:ascii="Times New Roman" w:hAnsi="Times New Roman"/>
          <w:sz w:val="24"/>
          <w:szCs w:val="24"/>
        </w:rPr>
        <w:t xml:space="preserve">distribution of a coelomicepithelium-related antigen recognized by the monoclonal </w:t>
      </w:r>
      <w:r>
        <w:rPr>
          <w:rFonts w:ascii="Times New Roman" w:hAnsi="Times New Roman"/>
          <w:sz w:val="24"/>
          <w:szCs w:val="24"/>
        </w:rPr>
        <w:tab/>
      </w:r>
      <w:r w:rsidRPr="00636E88">
        <w:rPr>
          <w:rFonts w:ascii="Times New Roman" w:hAnsi="Times New Roman"/>
          <w:sz w:val="24"/>
          <w:szCs w:val="24"/>
        </w:rPr>
        <w:t>antibody OC125. Int. J. Gynecol. Pathol. 1983, 2, 275–285. [CrossRef] [PubMed]</w:t>
      </w:r>
    </w:p>
    <w:p w14:paraId="2DDD8503" w14:textId="1BAC739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Kamimura D, Ishihara K, Hirano T: IL-6 signal transduction and its physiological roles: the </w:t>
      </w:r>
      <w:r w:rsidR="000B019A">
        <w:rPr>
          <w:rFonts w:ascii="Times New Roman" w:hAnsi="Times New Roman"/>
          <w:sz w:val="24"/>
          <w:szCs w:val="24"/>
        </w:rPr>
        <w:tab/>
      </w:r>
      <w:r w:rsidRPr="00636E88">
        <w:rPr>
          <w:rFonts w:ascii="Times New Roman" w:hAnsi="Times New Roman"/>
          <w:sz w:val="24"/>
          <w:szCs w:val="24"/>
        </w:rPr>
        <w:t xml:space="preserve">signal </w:t>
      </w:r>
      <w:r>
        <w:rPr>
          <w:rFonts w:ascii="Times New Roman" w:hAnsi="Times New Roman"/>
          <w:sz w:val="24"/>
          <w:szCs w:val="24"/>
        </w:rPr>
        <w:tab/>
      </w:r>
      <w:r w:rsidRPr="00636E88">
        <w:rPr>
          <w:rFonts w:ascii="Times New Roman" w:hAnsi="Times New Roman"/>
          <w:sz w:val="24"/>
          <w:szCs w:val="24"/>
        </w:rPr>
        <w:t>orchestration model. Rev Physiol Biochem Pharmacol 149:1–38, 2003</w:t>
      </w:r>
      <w:r>
        <w:rPr>
          <w:rFonts w:ascii="Times New Roman" w:hAnsi="Times New Roman"/>
          <w:sz w:val="24"/>
          <w:szCs w:val="24"/>
        </w:rPr>
        <w:t>.</w:t>
      </w:r>
    </w:p>
    <w:p w14:paraId="26448488" w14:textId="64F810E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Kanemaki T et al, Interleukin 1beta and interleukin 6, but not tumor necrosis factor alpha,</w:t>
      </w:r>
      <w:r w:rsidR="000B019A">
        <w:rPr>
          <w:rFonts w:ascii="Times New Roman" w:hAnsi="Times New Roman"/>
          <w:sz w:val="24"/>
          <w:szCs w:val="24"/>
        </w:rPr>
        <w:tab/>
      </w:r>
      <w:r w:rsidRPr="00636E88">
        <w:rPr>
          <w:rFonts w:ascii="Times New Roman" w:hAnsi="Times New Roman"/>
          <w:sz w:val="24"/>
          <w:szCs w:val="24"/>
        </w:rPr>
        <w:t xml:space="preserve">inhibit </w:t>
      </w:r>
      <w:r>
        <w:rPr>
          <w:rFonts w:ascii="Times New Roman" w:hAnsi="Times New Roman"/>
          <w:sz w:val="24"/>
          <w:szCs w:val="24"/>
        </w:rPr>
        <w:tab/>
      </w:r>
      <w:r w:rsidRPr="00636E88">
        <w:rPr>
          <w:rFonts w:ascii="Times New Roman" w:hAnsi="Times New Roman"/>
          <w:sz w:val="24"/>
          <w:szCs w:val="24"/>
        </w:rPr>
        <w:t xml:space="preserve">insulin-stimulated glycogen synthesis in rat hepatocytes. Hepatology. 1998 </w:t>
      </w:r>
      <w:r>
        <w:rPr>
          <w:rFonts w:ascii="Times New Roman" w:hAnsi="Times New Roman"/>
          <w:sz w:val="24"/>
          <w:szCs w:val="24"/>
        </w:rPr>
        <w:tab/>
      </w:r>
      <w:r w:rsidRPr="00636E88">
        <w:rPr>
          <w:rFonts w:ascii="Times New Roman" w:hAnsi="Times New Roman"/>
          <w:sz w:val="24"/>
          <w:szCs w:val="24"/>
        </w:rPr>
        <w:t>May;27(5):1296-303</w:t>
      </w:r>
    </w:p>
    <w:p w14:paraId="2D9D10FA" w14:textId="362F95E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Kannel WB, McGee DI. Diabetes and glucose tolerance as risk factors for CVDs the </w:t>
      </w:r>
      <w:r w:rsidR="000B019A">
        <w:rPr>
          <w:rFonts w:ascii="Times New Roman" w:hAnsi="Times New Roman"/>
          <w:sz w:val="24"/>
          <w:szCs w:val="24"/>
        </w:rPr>
        <w:tab/>
      </w:r>
      <w:r w:rsidRPr="00636E88">
        <w:rPr>
          <w:rFonts w:ascii="Times New Roman" w:hAnsi="Times New Roman"/>
          <w:sz w:val="24"/>
          <w:szCs w:val="24"/>
        </w:rPr>
        <w:t xml:space="preserve">Framingham </w:t>
      </w:r>
      <w:r>
        <w:rPr>
          <w:rFonts w:ascii="Times New Roman" w:hAnsi="Times New Roman"/>
          <w:sz w:val="24"/>
          <w:szCs w:val="24"/>
        </w:rPr>
        <w:tab/>
      </w:r>
      <w:r w:rsidRPr="00636E88">
        <w:rPr>
          <w:rFonts w:ascii="Times New Roman" w:hAnsi="Times New Roman"/>
          <w:sz w:val="24"/>
          <w:szCs w:val="24"/>
        </w:rPr>
        <w:t>heart study. Diabetes Care 1979; 2: 120-3.</w:t>
      </w:r>
    </w:p>
    <w:p w14:paraId="7DA109CE"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Katherine E, et al. Inflammatory Cytokine Concentrations Are Acutely Increased by </w:t>
      </w:r>
      <w:r>
        <w:rPr>
          <w:rFonts w:ascii="Times New Roman" w:hAnsi="Times New Roman"/>
          <w:sz w:val="24"/>
          <w:szCs w:val="24"/>
        </w:rPr>
        <w:tab/>
      </w:r>
      <w:r w:rsidRPr="00636E88">
        <w:rPr>
          <w:rFonts w:ascii="Times New Roman" w:hAnsi="Times New Roman"/>
          <w:sz w:val="24"/>
          <w:szCs w:val="24"/>
        </w:rPr>
        <w:t>Hyperglycemia in Humans. Circulation. 2002;106:2067-2072</w:t>
      </w:r>
    </w:p>
    <w:p w14:paraId="26020C83" w14:textId="58DD205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Kenneth PN, Shahla R, Myint H, Amrita A, Simon DW, Xinghua L, Salman MH and Robert </w:t>
      </w:r>
      <w:r w:rsidR="000B019A">
        <w:rPr>
          <w:rFonts w:ascii="Times New Roman" w:hAnsi="Times New Roman"/>
          <w:sz w:val="24"/>
          <w:szCs w:val="24"/>
        </w:rPr>
        <w:tab/>
      </w:r>
      <w:r w:rsidRPr="00636E88">
        <w:rPr>
          <w:rFonts w:ascii="Times New Roman" w:hAnsi="Times New Roman"/>
          <w:sz w:val="24"/>
          <w:szCs w:val="24"/>
        </w:rPr>
        <w:t xml:space="preserve">MB. Expression of Estrogen Receptor Coactivators in the Rat Uterus. Biology of </w:t>
      </w:r>
      <w:r w:rsidR="000B019A">
        <w:rPr>
          <w:rFonts w:ascii="Times New Roman" w:hAnsi="Times New Roman"/>
          <w:sz w:val="24"/>
          <w:szCs w:val="24"/>
        </w:rPr>
        <w:tab/>
      </w:r>
      <w:r w:rsidRPr="00636E88">
        <w:rPr>
          <w:rFonts w:ascii="Times New Roman" w:hAnsi="Times New Roman"/>
          <w:sz w:val="24"/>
          <w:szCs w:val="24"/>
        </w:rPr>
        <w:t xml:space="preserve">Reproduction. </w:t>
      </w:r>
      <w:r>
        <w:rPr>
          <w:rFonts w:ascii="Times New Roman" w:hAnsi="Times New Roman"/>
          <w:sz w:val="24"/>
          <w:szCs w:val="24"/>
        </w:rPr>
        <w:tab/>
      </w:r>
      <w:r w:rsidRPr="00636E88">
        <w:rPr>
          <w:rFonts w:ascii="Times New Roman" w:hAnsi="Times New Roman"/>
          <w:sz w:val="24"/>
          <w:szCs w:val="24"/>
        </w:rPr>
        <w:t>2000; 63: 361–367.</w:t>
      </w:r>
    </w:p>
    <w:p w14:paraId="37A6CDFD"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Kessler D, Gmachl M, Mantoulidis A, Martin LJ, Zoephel A, Mayer M, et al. Drugging an </w:t>
      </w:r>
      <w:r>
        <w:rPr>
          <w:rFonts w:ascii="Times New Roman" w:hAnsi="Times New Roman"/>
          <w:sz w:val="24"/>
          <w:szCs w:val="24"/>
        </w:rPr>
        <w:tab/>
      </w:r>
      <w:r w:rsidRPr="00636E88">
        <w:rPr>
          <w:rFonts w:ascii="Times New Roman" w:hAnsi="Times New Roman"/>
          <w:sz w:val="24"/>
          <w:szCs w:val="24"/>
        </w:rPr>
        <w:t>undruggable pocket on KRAS. Proc Natl Acad Sci U S A. 2019;116(32):15823–9.</w:t>
      </w:r>
    </w:p>
    <w:p w14:paraId="153938EE" w14:textId="16BCFF9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Khachaturian, Zaven S, and Teresa SR. Alzheimer’s Disease: Cause(s), Diagnosis, Treatment, </w:t>
      </w:r>
      <w:r w:rsidR="000B019A">
        <w:rPr>
          <w:rFonts w:ascii="Times New Roman" w:hAnsi="Times New Roman"/>
          <w:sz w:val="24"/>
          <w:szCs w:val="24"/>
        </w:rPr>
        <w:tab/>
      </w:r>
      <w:r w:rsidRPr="00636E88">
        <w:rPr>
          <w:rFonts w:ascii="Times New Roman" w:hAnsi="Times New Roman"/>
          <w:sz w:val="24"/>
          <w:szCs w:val="24"/>
        </w:rPr>
        <w:t>and Care. Boca Raton: CRC.1996.. Gould, Todd A, and Molly Edmonds Discovery</w:t>
      </w:r>
      <w:r w:rsidR="000B019A">
        <w:rPr>
          <w:rFonts w:ascii="Times New Roman" w:hAnsi="Times New Roman"/>
          <w:sz w:val="24"/>
          <w:szCs w:val="24"/>
        </w:rPr>
        <w:tab/>
      </w:r>
      <w:r w:rsidRPr="00636E88">
        <w:rPr>
          <w:rFonts w:ascii="Times New Roman" w:hAnsi="Times New Roman"/>
          <w:sz w:val="24"/>
          <w:szCs w:val="24"/>
        </w:rPr>
        <w:t xml:space="preserve"> Health “MRI Mag</w:t>
      </w:r>
    </w:p>
    <w:p w14:paraId="4F49CA04"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Kilic SS, Aydin S, Kilic N, Erman F, Celik I. Serum arylesterase and paraoxonase activity in </w:t>
      </w:r>
      <w:r>
        <w:rPr>
          <w:rFonts w:ascii="Times New Roman" w:hAnsi="Times New Roman"/>
          <w:sz w:val="24"/>
          <w:szCs w:val="24"/>
        </w:rPr>
        <w:tab/>
      </w:r>
      <w:r w:rsidRPr="00636E88">
        <w:rPr>
          <w:rFonts w:ascii="Times New Roman" w:hAnsi="Times New Roman"/>
          <w:sz w:val="24"/>
          <w:szCs w:val="24"/>
        </w:rPr>
        <w:t>patients with chronic hepatitis. World J Gastroenterol. 2005;11(46):7351–7354.</w:t>
      </w:r>
    </w:p>
    <w:p w14:paraId="5CD7E733" w14:textId="7198ED4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Kim HO, Yang KM, Kang IS, Lee CR, Kim BJ, Lee S, Park HH, Kim SJ, So I, Kim TW, Jeon</w:t>
      </w:r>
      <w:r w:rsidR="000B019A">
        <w:rPr>
          <w:rFonts w:ascii="Times New Roman" w:hAnsi="Times New Roman"/>
          <w:sz w:val="24"/>
          <w:szCs w:val="24"/>
        </w:rPr>
        <w:tab/>
      </w:r>
      <w:r w:rsidRPr="00636E88">
        <w:rPr>
          <w:rFonts w:ascii="Times New Roman" w:hAnsi="Times New Roman"/>
          <w:sz w:val="24"/>
          <w:szCs w:val="24"/>
        </w:rPr>
        <w:t xml:space="preserve"> JH.</w:t>
      </w:r>
      <w:r w:rsidR="000B019A">
        <w:rPr>
          <w:rFonts w:ascii="Times New Roman" w:hAnsi="Times New Roman"/>
          <w:sz w:val="24"/>
          <w:szCs w:val="24"/>
        </w:rPr>
        <w:t xml:space="preserve"> </w:t>
      </w:r>
      <w:r w:rsidRPr="00636E88">
        <w:rPr>
          <w:rFonts w:ascii="Times New Roman" w:hAnsi="Times New Roman"/>
          <w:sz w:val="24"/>
          <w:szCs w:val="24"/>
        </w:rPr>
        <w:t xml:space="preserve">Expression of CD44s: vascular endothelial growth factor, matrix </w:t>
      </w:r>
      <w:r w:rsidR="000B019A">
        <w:rPr>
          <w:rFonts w:ascii="Times New Roman" w:hAnsi="Times New Roman"/>
          <w:sz w:val="24"/>
          <w:szCs w:val="24"/>
        </w:rPr>
        <w:tab/>
      </w:r>
      <w:r w:rsidRPr="00636E88">
        <w:rPr>
          <w:rFonts w:ascii="Times New Roman" w:hAnsi="Times New Roman"/>
          <w:sz w:val="24"/>
          <w:szCs w:val="24"/>
        </w:rPr>
        <w:t xml:space="preserve">metalloproteinases-2 and Ki-67 in peritoneal, recto-vaginal and ovarian endometriosis. </w:t>
      </w:r>
      <w:r w:rsidR="000B019A">
        <w:rPr>
          <w:rFonts w:ascii="Times New Roman" w:hAnsi="Times New Roman"/>
          <w:sz w:val="24"/>
          <w:szCs w:val="24"/>
        </w:rPr>
        <w:tab/>
      </w:r>
      <w:r w:rsidRPr="00636E88">
        <w:rPr>
          <w:rFonts w:ascii="Times New Roman" w:hAnsi="Times New Roman"/>
          <w:sz w:val="24"/>
          <w:szCs w:val="24"/>
        </w:rPr>
        <w:t>Journal of Reproductive Medicine. 2007; 52(3):207–13.</w:t>
      </w:r>
    </w:p>
    <w:p w14:paraId="61CD7102" w14:textId="565E36A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King H, Aubert RE; Herman WH. Global burden of diabetes, 1995-2025; prevalence,</w:t>
      </w:r>
      <w:r w:rsidR="000B019A">
        <w:rPr>
          <w:rFonts w:ascii="Times New Roman" w:hAnsi="Times New Roman"/>
          <w:sz w:val="24"/>
          <w:szCs w:val="24"/>
        </w:rPr>
        <w:tab/>
      </w:r>
      <w:r w:rsidRPr="00636E88">
        <w:rPr>
          <w:rFonts w:ascii="Times New Roman" w:hAnsi="Times New Roman"/>
          <w:sz w:val="24"/>
          <w:szCs w:val="24"/>
        </w:rPr>
        <w:t>numerical estimates, and projection. Diabetes Care 1998; 21(9): 1414-31.</w:t>
      </w:r>
    </w:p>
    <w:p w14:paraId="21753FA2" w14:textId="3D8E64D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Kolb H, Mandrup-Poulsen T: An immune origin of type 2 diabetes. Diabetologia 48:1038 –</w:t>
      </w:r>
      <w:r w:rsidR="000B019A">
        <w:rPr>
          <w:rFonts w:ascii="Times New Roman" w:hAnsi="Times New Roman"/>
          <w:sz w:val="24"/>
          <w:szCs w:val="24"/>
        </w:rPr>
        <w:tab/>
      </w:r>
      <w:r w:rsidRPr="00636E88">
        <w:rPr>
          <w:rFonts w:ascii="Times New Roman" w:hAnsi="Times New Roman"/>
          <w:sz w:val="24"/>
          <w:szCs w:val="24"/>
        </w:rPr>
        <w:t xml:space="preserve">1050, </w:t>
      </w:r>
      <w:r>
        <w:rPr>
          <w:rFonts w:ascii="Times New Roman" w:hAnsi="Times New Roman"/>
          <w:sz w:val="24"/>
          <w:szCs w:val="24"/>
        </w:rPr>
        <w:tab/>
      </w:r>
      <w:r w:rsidRPr="00636E88">
        <w:rPr>
          <w:rFonts w:ascii="Times New Roman" w:hAnsi="Times New Roman"/>
          <w:sz w:val="24"/>
          <w:szCs w:val="24"/>
        </w:rPr>
        <w:t>2005</w:t>
      </w:r>
      <w:r>
        <w:rPr>
          <w:rFonts w:ascii="Times New Roman" w:hAnsi="Times New Roman"/>
          <w:sz w:val="24"/>
          <w:szCs w:val="24"/>
        </w:rPr>
        <w:t>.</w:t>
      </w:r>
    </w:p>
    <w:p w14:paraId="2A16DE87" w14:textId="3126EE3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Korsrud GO, Grice HG, Goodman TK, Knipfel JE, McLaughlan JM. Sensitivity of several </w:t>
      </w:r>
      <w:r w:rsidR="000B019A">
        <w:rPr>
          <w:rFonts w:ascii="Times New Roman" w:hAnsi="Times New Roman"/>
          <w:sz w:val="24"/>
          <w:szCs w:val="24"/>
        </w:rPr>
        <w:tab/>
      </w:r>
      <w:r w:rsidRPr="00636E88">
        <w:rPr>
          <w:rFonts w:ascii="Times New Roman" w:hAnsi="Times New Roman"/>
          <w:sz w:val="24"/>
          <w:szCs w:val="24"/>
        </w:rPr>
        <w:t xml:space="preserve">serum </w:t>
      </w:r>
      <w:r>
        <w:rPr>
          <w:rFonts w:ascii="Times New Roman" w:hAnsi="Times New Roman"/>
          <w:sz w:val="24"/>
          <w:szCs w:val="24"/>
        </w:rPr>
        <w:tab/>
      </w:r>
      <w:r w:rsidRPr="00636E88">
        <w:rPr>
          <w:rFonts w:ascii="Times New Roman" w:hAnsi="Times New Roman"/>
          <w:sz w:val="24"/>
          <w:szCs w:val="24"/>
        </w:rPr>
        <w:t>enzymes for the detection of thioacetamide,</w:t>
      </w:r>
      <w:r w:rsidR="000B019A">
        <w:rPr>
          <w:rFonts w:ascii="Times New Roman" w:hAnsi="Times New Roman"/>
          <w:sz w:val="24"/>
          <w:szCs w:val="24"/>
        </w:rPr>
        <w:t xml:space="preserve"> </w:t>
      </w:r>
      <w:r w:rsidRPr="00636E88">
        <w:rPr>
          <w:rFonts w:ascii="Times New Roman" w:hAnsi="Times New Roman"/>
          <w:sz w:val="24"/>
          <w:szCs w:val="24"/>
        </w:rPr>
        <w:t xml:space="preserve">dimethylnitrosamine- and </w:t>
      </w:r>
      <w:r w:rsidR="000B019A">
        <w:rPr>
          <w:rFonts w:ascii="Times New Roman" w:hAnsi="Times New Roman"/>
          <w:sz w:val="24"/>
          <w:szCs w:val="24"/>
        </w:rPr>
        <w:tab/>
      </w:r>
      <w:r w:rsidRPr="00636E88">
        <w:rPr>
          <w:rFonts w:ascii="Times New Roman" w:hAnsi="Times New Roman"/>
          <w:sz w:val="24"/>
          <w:szCs w:val="24"/>
        </w:rPr>
        <w:t>diethanolamine-induced liver damage in rats. Toxicol Appl Pharmacol.</w:t>
      </w:r>
      <w:r w:rsidR="000B019A">
        <w:rPr>
          <w:rFonts w:ascii="Times New Roman" w:hAnsi="Times New Roman"/>
          <w:sz w:val="24"/>
          <w:szCs w:val="24"/>
        </w:rPr>
        <w:tab/>
      </w:r>
      <w:r w:rsidRPr="00636E88">
        <w:rPr>
          <w:rFonts w:ascii="Times New Roman" w:hAnsi="Times New Roman"/>
          <w:sz w:val="24"/>
          <w:szCs w:val="24"/>
        </w:rPr>
        <w:t>1973;26(2):299–313.</w:t>
      </w:r>
    </w:p>
    <w:p w14:paraId="4A63AF1E" w14:textId="27C683D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Kristiansen OP, Nolsøe RL, Larsen L, Gjesing AMP, Johannesen J, LarsenZM, Lykkesfeldt</w:t>
      </w:r>
      <w:r w:rsidR="000B019A">
        <w:rPr>
          <w:rFonts w:ascii="Times New Roman" w:hAnsi="Times New Roman"/>
          <w:sz w:val="24"/>
          <w:szCs w:val="24"/>
        </w:rPr>
        <w:tab/>
      </w:r>
      <w:r w:rsidRPr="00636E88">
        <w:rPr>
          <w:rFonts w:ascii="Times New Roman" w:hAnsi="Times New Roman"/>
          <w:sz w:val="24"/>
          <w:szCs w:val="24"/>
        </w:rPr>
        <w:t xml:space="preserve"> AE, Karlsen AE, Pociot F, Mandrup-Poulsen T, DIEGG,DSGD: Association of a </w:t>
      </w:r>
      <w:r w:rsidR="000B019A">
        <w:rPr>
          <w:rFonts w:ascii="Times New Roman" w:hAnsi="Times New Roman"/>
          <w:sz w:val="24"/>
          <w:szCs w:val="24"/>
        </w:rPr>
        <w:tab/>
      </w:r>
      <w:r w:rsidRPr="00636E88">
        <w:rPr>
          <w:rFonts w:ascii="Times New Roman" w:hAnsi="Times New Roman"/>
          <w:sz w:val="24"/>
          <w:szCs w:val="24"/>
        </w:rPr>
        <w:t xml:space="preserve">functional </w:t>
      </w:r>
      <w:r w:rsidR="000B019A">
        <w:rPr>
          <w:rFonts w:ascii="Times New Roman" w:hAnsi="Times New Roman"/>
          <w:sz w:val="24"/>
          <w:szCs w:val="24"/>
        </w:rPr>
        <w:t>1</w:t>
      </w:r>
      <w:r w:rsidRPr="00636E88">
        <w:rPr>
          <w:rFonts w:ascii="Times New Roman" w:hAnsi="Times New Roman"/>
          <w:sz w:val="24"/>
          <w:szCs w:val="24"/>
        </w:rPr>
        <w:t>7beta-estradiol sensitive IL6-174G/Cpromoter polymorphism with early</w:t>
      </w:r>
      <w:r w:rsidR="000B019A">
        <w:rPr>
          <w:rFonts w:ascii="Times New Roman" w:hAnsi="Times New Roman"/>
          <w:sz w:val="24"/>
          <w:szCs w:val="24"/>
        </w:rPr>
        <w:tab/>
      </w:r>
      <w:r w:rsidRPr="00636E88">
        <w:rPr>
          <w:rFonts w:ascii="Times New Roman" w:hAnsi="Times New Roman"/>
          <w:sz w:val="24"/>
          <w:szCs w:val="24"/>
        </w:rPr>
        <w:t xml:space="preserve"> onset type 1 diabetes in females. Hum Mol Genet 12:1101–1110, 2003</w:t>
      </w:r>
      <w:r>
        <w:rPr>
          <w:rFonts w:ascii="Times New Roman" w:hAnsi="Times New Roman"/>
          <w:sz w:val="24"/>
          <w:szCs w:val="24"/>
        </w:rPr>
        <w:t>.</w:t>
      </w:r>
    </w:p>
    <w:p w14:paraId="6D41F613" w14:textId="763B37F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Kuroi K, Tanaka C, Toi M: Clinical signifi cance of plasma nucleosome levels in cancer</w:t>
      </w:r>
      <w:r w:rsidR="000B019A">
        <w:rPr>
          <w:rFonts w:ascii="Times New Roman" w:hAnsi="Times New Roman"/>
          <w:sz w:val="24"/>
          <w:szCs w:val="24"/>
        </w:rPr>
        <w:tab/>
      </w:r>
      <w:r w:rsidRPr="00636E88">
        <w:rPr>
          <w:rFonts w:ascii="Times New Roman" w:hAnsi="Times New Roman"/>
          <w:sz w:val="24"/>
          <w:szCs w:val="24"/>
        </w:rPr>
        <w:t>patients. Int J Oncol 2001, 19:143-148.</w:t>
      </w:r>
    </w:p>
    <w:p w14:paraId="168A317D" w14:textId="190BEB7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Laaksonen DE, Lakka HM, Niskanen LK, Kaplan GA, Salonen JT, Lakka TA. Metabolic </w:t>
      </w:r>
      <w:r>
        <w:rPr>
          <w:rFonts w:ascii="Times New Roman" w:hAnsi="Times New Roman"/>
          <w:sz w:val="24"/>
          <w:szCs w:val="24"/>
        </w:rPr>
        <w:tab/>
      </w:r>
      <w:r w:rsidRPr="00636E88">
        <w:rPr>
          <w:rFonts w:ascii="Times New Roman" w:hAnsi="Times New Roman"/>
          <w:sz w:val="24"/>
          <w:szCs w:val="24"/>
        </w:rPr>
        <w:t xml:space="preserve">syndrome and development of diabetes mellitus: application and validation of recently </w:t>
      </w:r>
      <w:r>
        <w:rPr>
          <w:rFonts w:ascii="Times New Roman" w:hAnsi="Times New Roman"/>
          <w:sz w:val="24"/>
          <w:szCs w:val="24"/>
        </w:rPr>
        <w:tab/>
      </w:r>
      <w:r w:rsidRPr="00636E88">
        <w:rPr>
          <w:rFonts w:ascii="Times New Roman" w:hAnsi="Times New Roman"/>
          <w:sz w:val="24"/>
          <w:szCs w:val="24"/>
        </w:rPr>
        <w:t xml:space="preserve">suggested definitions of the metabolic syndrome in a prospective cohort study. Am J </w:t>
      </w:r>
      <w:r>
        <w:rPr>
          <w:rFonts w:ascii="Times New Roman" w:hAnsi="Times New Roman"/>
          <w:sz w:val="24"/>
          <w:szCs w:val="24"/>
        </w:rPr>
        <w:tab/>
      </w:r>
      <w:r w:rsidRPr="00636E88">
        <w:rPr>
          <w:rFonts w:ascii="Times New Roman" w:hAnsi="Times New Roman"/>
          <w:sz w:val="24"/>
          <w:szCs w:val="24"/>
        </w:rPr>
        <w:t>Epidemiol. 2002;</w:t>
      </w:r>
      <w:r w:rsidR="000B019A">
        <w:rPr>
          <w:rFonts w:ascii="Times New Roman" w:hAnsi="Times New Roman"/>
          <w:sz w:val="24"/>
          <w:szCs w:val="24"/>
        </w:rPr>
        <w:t xml:space="preserve"> </w:t>
      </w:r>
      <w:r w:rsidRPr="00636E88">
        <w:rPr>
          <w:rFonts w:ascii="Times New Roman" w:hAnsi="Times New Roman"/>
          <w:sz w:val="24"/>
          <w:szCs w:val="24"/>
        </w:rPr>
        <w:t>156:</w:t>
      </w:r>
      <w:r w:rsidR="000B019A">
        <w:rPr>
          <w:rFonts w:ascii="Times New Roman" w:hAnsi="Times New Roman"/>
          <w:sz w:val="24"/>
          <w:szCs w:val="24"/>
        </w:rPr>
        <w:t xml:space="preserve"> </w:t>
      </w:r>
      <w:r w:rsidRPr="00636E88">
        <w:rPr>
          <w:rFonts w:ascii="Times New Roman" w:hAnsi="Times New Roman"/>
          <w:sz w:val="24"/>
          <w:szCs w:val="24"/>
        </w:rPr>
        <w:t>1070 –1077.</w:t>
      </w:r>
    </w:p>
    <w:p w14:paraId="4E99422E" w14:textId="67EF376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Lacour S, Gautier JC, Pallardy M, Roberts R. Cytokines as potential biomarkers of liver </w:t>
      </w:r>
      <w:r w:rsidR="000B019A">
        <w:rPr>
          <w:rFonts w:ascii="Times New Roman" w:hAnsi="Times New Roman"/>
          <w:sz w:val="24"/>
          <w:szCs w:val="24"/>
        </w:rPr>
        <w:tab/>
      </w:r>
      <w:r w:rsidRPr="00636E88">
        <w:rPr>
          <w:rFonts w:ascii="Times New Roman" w:hAnsi="Times New Roman"/>
          <w:sz w:val="24"/>
          <w:szCs w:val="24"/>
        </w:rPr>
        <w:t>toxicity. Cancer Biomark. 2005;1(1):29–39.</w:t>
      </w:r>
    </w:p>
    <w:p w14:paraId="688CBA45" w14:textId="0E86E44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Lakka H-M, Laaksonen DE, Lakka TA, Niskanen LK, Kumpusalo E, Tuomilehto J, Salonen </w:t>
      </w:r>
      <w:r w:rsidR="000B019A">
        <w:rPr>
          <w:rFonts w:ascii="Times New Roman" w:hAnsi="Times New Roman"/>
          <w:sz w:val="24"/>
          <w:szCs w:val="24"/>
        </w:rPr>
        <w:tab/>
      </w:r>
      <w:r w:rsidRPr="00636E88">
        <w:rPr>
          <w:rFonts w:ascii="Times New Roman" w:hAnsi="Times New Roman"/>
          <w:sz w:val="24"/>
          <w:szCs w:val="24"/>
        </w:rPr>
        <w:t>JT. The metabolic syndrome and total and cardio-vascular disease mortality in middle-</w:t>
      </w:r>
      <w:r w:rsidR="000B019A">
        <w:rPr>
          <w:rFonts w:ascii="Times New Roman" w:hAnsi="Times New Roman"/>
          <w:sz w:val="24"/>
          <w:szCs w:val="24"/>
        </w:rPr>
        <w:tab/>
      </w:r>
      <w:r w:rsidRPr="00636E88">
        <w:rPr>
          <w:rFonts w:ascii="Times New Roman" w:hAnsi="Times New Roman"/>
          <w:sz w:val="24"/>
          <w:szCs w:val="24"/>
        </w:rPr>
        <w:t>aged men. J Am Med Assoc. 2002;</w:t>
      </w:r>
      <w:r w:rsidR="000B019A">
        <w:rPr>
          <w:rFonts w:ascii="Times New Roman" w:hAnsi="Times New Roman"/>
          <w:sz w:val="24"/>
          <w:szCs w:val="24"/>
        </w:rPr>
        <w:t xml:space="preserve"> </w:t>
      </w:r>
      <w:r w:rsidRPr="00636E88">
        <w:rPr>
          <w:rFonts w:ascii="Times New Roman" w:hAnsi="Times New Roman"/>
          <w:sz w:val="24"/>
          <w:szCs w:val="24"/>
        </w:rPr>
        <w:t>288:</w:t>
      </w:r>
      <w:r w:rsidR="000B019A">
        <w:rPr>
          <w:rFonts w:ascii="Times New Roman" w:hAnsi="Times New Roman"/>
          <w:sz w:val="24"/>
          <w:szCs w:val="24"/>
        </w:rPr>
        <w:t xml:space="preserve"> </w:t>
      </w:r>
      <w:r w:rsidRPr="00636E88">
        <w:rPr>
          <w:rFonts w:ascii="Times New Roman" w:hAnsi="Times New Roman"/>
          <w:sz w:val="24"/>
          <w:szCs w:val="24"/>
        </w:rPr>
        <w:t>2709 –2716.</w:t>
      </w:r>
    </w:p>
    <w:p w14:paraId="79D2E7E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Le A, Cooper CR, Gouw AM, et al. Inhibition of lactate dehydrogenase A induces oxidative stress </w:t>
      </w:r>
      <w:r>
        <w:rPr>
          <w:rFonts w:ascii="Times New Roman" w:hAnsi="Times New Roman"/>
          <w:sz w:val="24"/>
          <w:szCs w:val="24"/>
        </w:rPr>
        <w:tab/>
      </w:r>
      <w:r w:rsidRPr="00636E88">
        <w:rPr>
          <w:rFonts w:ascii="Times New Roman" w:hAnsi="Times New Roman"/>
          <w:sz w:val="24"/>
          <w:szCs w:val="24"/>
        </w:rPr>
        <w:t>and inhibits tumor progression. Proc Natl Acad Sci USA. 2010;107(5):2037‐2042.</w:t>
      </w:r>
    </w:p>
    <w:p w14:paraId="2B181011" w14:textId="202A0B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Lee K, Jeong J, Tsai MJ, Tsai S, Lydon JP, De Mayo FJ. Molecular mechanisms involved in </w:t>
      </w:r>
      <w:r>
        <w:rPr>
          <w:rFonts w:ascii="Times New Roman" w:hAnsi="Times New Roman"/>
          <w:sz w:val="24"/>
          <w:szCs w:val="24"/>
        </w:rPr>
        <w:tab/>
      </w:r>
      <w:r w:rsidRPr="00636E88">
        <w:rPr>
          <w:rFonts w:ascii="Times New Roman" w:hAnsi="Times New Roman"/>
          <w:sz w:val="24"/>
          <w:szCs w:val="24"/>
        </w:rPr>
        <w:t>progesterone receptor regulation of uterine function. Journal of Steroid</w:t>
      </w:r>
      <w:r w:rsidR="000B019A">
        <w:rPr>
          <w:rFonts w:ascii="Times New Roman" w:hAnsi="Times New Roman"/>
          <w:sz w:val="24"/>
          <w:szCs w:val="24"/>
        </w:rPr>
        <w:t xml:space="preserve"> </w:t>
      </w:r>
      <w:r w:rsidRPr="00636E88">
        <w:rPr>
          <w:rFonts w:ascii="Times New Roman" w:hAnsi="Times New Roman"/>
          <w:sz w:val="24"/>
          <w:szCs w:val="24"/>
        </w:rPr>
        <w:t xml:space="preserve">Biochemistry </w:t>
      </w:r>
      <w:r w:rsidR="000B019A">
        <w:rPr>
          <w:rFonts w:ascii="Times New Roman" w:hAnsi="Times New Roman"/>
          <w:sz w:val="24"/>
          <w:szCs w:val="24"/>
        </w:rPr>
        <w:tab/>
      </w:r>
      <w:r w:rsidRPr="00636E88">
        <w:rPr>
          <w:rFonts w:ascii="Times New Roman" w:hAnsi="Times New Roman"/>
          <w:sz w:val="24"/>
          <w:szCs w:val="24"/>
        </w:rPr>
        <w:t>and Molecular Biology. 2006; 102:41–50.</w:t>
      </w:r>
    </w:p>
    <w:p w14:paraId="552D3304" w14:textId="03B632C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Leipold H, Word C, Gruber CJ. Gestational diabetes mellitus is associated with increased C-</w:t>
      </w:r>
      <w:r>
        <w:rPr>
          <w:rFonts w:ascii="Times New Roman" w:hAnsi="Times New Roman"/>
          <w:sz w:val="24"/>
          <w:szCs w:val="24"/>
        </w:rPr>
        <w:tab/>
      </w:r>
      <w:r w:rsidRPr="00636E88">
        <w:rPr>
          <w:rFonts w:ascii="Times New Roman" w:hAnsi="Times New Roman"/>
          <w:sz w:val="24"/>
          <w:szCs w:val="24"/>
        </w:rPr>
        <w:t xml:space="preserve">reactive protein concentrations in the third but not second trimester. EurClin Invest </w:t>
      </w:r>
      <w:r w:rsidR="00F54DFC">
        <w:rPr>
          <w:rFonts w:ascii="Times New Roman" w:hAnsi="Times New Roman"/>
          <w:sz w:val="24"/>
          <w:szCs w:val="24"/>
        </w:rPr>
        <w:tab/>
      </w:r>
      <w:r w:rsidRPr="00636E88">
        <w:rPr>
          <w:rFonts w:ascii="Times New Roman" w:hAnsi="Times New Roman"/>
          <w:sz w:val="24"/>
          <w:szCs w:val="24"/>
        </w:rPr>
        <w:t>2005; 35: 752-757.</w:t>
      </w:r>
    </w:p>
    <w:p w14:paraId="420B0E4C" w14:textId="11375E4A"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Li J, Chen Y, Guo X, Zhou L, Jia Z, Peng Z, et al. GPC1 exosome and its regulatory miRNAs</w:t>
      </w:r>
      <w:r w:rsidR="00F54DFC">
        <w:rPr>
          <w:rFonts w:ascii="Times New Roman" w:hAnsi="Times New Roman"/>
          <w:sz w:val="24"/>
          <w:szCs w:val="24"/>
        </w:rPr>
        <w:tab/>
      </w:r>
      <w:r w:rsidRPr="00636E88">
        <w:rPr>
          <w:rFonts w:ascii="Times New Roman" w:hAnsi="Times New Roman"/>
          <w:sz w:val="24"/>
          <w:szCs w:val="24"/>
        </w:rPr>
        <w:t>are specific markers for the detection and target therapy of colorectal cancer. J Cell Mol</w:t>
      </w:r>
      <w:r w:rsidR="00F54DFC">
        <w:rPr>
          <w:rFonts w:ascii="Times New Roman" w:hAnsi="Times New Roman"/>
          <w:sz w:val="24"/>
          <w:szCs w:val="24"/>
        </w:rPr>
        <w:tab/>
      </w:r>
      <w:r w:rsidRPr="00636E88">
        <w:rPr>
          <w:rFonts w:ascii="Times New Roman" w:hAnsi="Times New Roman"/>
          <w:sz w:val="24"/>
          <w:szCs w:val="24"/>
        </w:rPr>
        <w:t>Med. 2017;21:838–47.</w:t>
      </w:r>
    </w:p>
    <w:p w14:paraId="3D305E63" w14:textId="1C08BBE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Li W, Li C, Zhou T, Liu X, Liu X, Li X, et al. Role of exosomal proteins in cancer diagnosis.</w:t>
      </w:r>
      <w:r w:rsidR="00F54DFC">
        <w:rPr>
          <w:rFonts w:ascii="Times New Roman" w:hAnsi="Times New Roman"/>
          <w:sz w:val="24"/>
          <w:szCs w:val="24"/>
        </w:rPr>
        <w:tab/>
      </w:r>
      <w:r w:rsidRPr="00636E88">
        <w:rPr>
          <w:rFonts w:ascii="Times New Roman" w:hAnsi="Times New Roman"/>
          <w:sz w:val="24"/>
          <w:szCs w:val="24"/>
        </w:rPr>
        <w:t xml:space="preserve"> Mol Cancer. 2017;16:145.</w:t>
      </w:r>
    </w:p>
    <w:p w14:paraId="03A1E19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Libby P; Molecular bases of the acute coronary syndromes. Circulation, 1995: 91:2844-2850.</w:t>
      </w:r>
    </w:p>
    <w:p w14:paraId="74575D33" w14:textId="286E33E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Liguori MJ, Anderson MG, Bukofzer S, et al. Microarray analysis in human hepatocytes</w:t>
      </w:r>
      <w:r w:rsidR="00F54DFC">
        <w:rPr>
          <w:rFonts w:ascii="Times New Roman" w:hAnsi="Times New Roman"/>
          <w:sz w:val="24"/>
          <w:szCs w:val="24"/>
        </w:rPr>
        <w:tab/>
      </w:r>
      <w:r w:rsidRPr="00636E88">
        <w:rPr>
          <w:rFonts w:ascii="Times New Roman" w:hAnsi="Times New Roman"/>
          <w:sz w:val="24"/>
          <w:szCs w:val="24"/>
        </w:rPr>
        <w:t>suggest</w:t>
      </w:r>
      <w:r w:rsidR="00F54DFC">
        <w:rPr>
          <w:rFonts w:ascii="Times New Roman" w:hAnsi="Times New Roman"/>
          <w:sz w:val="24"/>
          <w:szCs w:val="24"/>
        </w:rPr>
        <w:t xml:space="preserve"> </w:t>
      </w:r>
      <w:r w:rsidRPr="00636E88">
        <w:rPr>
          <w:rFonts w:ascii="Times New Roman" w:hAnsi="Times New Roman"/>
          <w:sz w:val="24"/>
          <w:szCs w:val="24"/>
        </w:rPr>
        <w:t>a mechanism for hepatotoxicity induced by trovafloxacin. Hepatology.</w:t>
      </w:r>
      <w:r w:rsidR="00F54DFC">
        <w:rPr>
          <w:rFonts w:ascii="Times New Roman" w:hAnsi="Times New Roman"/>
          <w:sz w:val="24"/>
          <w:szCs w:val="24"/>
        </w:rPr>
        <w:tab/>
      </w:r>
      <w:r w:rsidRPr="00636E88">
        <w:rPr>
          <w:rFonts w:ascii="Times New Roman" w:hAnsi="Times New Roman"/>
          <w:sz w:val="24"/>
          <w:szCs w:val="24"/>
        </w:rPr>
        <w:t>2005;41(1):177–186.</w:t>
      </w:r>
    </w:p>
    <w:p w14:paraId="569F7273" w14:textId="2964AD1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Lindblom P, Rafter I, Copley C, et al. Isoforms of alanine aminotransferases in human tissues </w:t>
      </w:r>
      <w:r w:rsidR="00F54DFC">
        <w:rPr>
          <w:rFonts w:ascii="Times New Roman" w:hAnsi="Times New Roman"/>
          <w:sz w:val="24"/>
          <w:szCs w:val="24"/>
        </w:rPr>
        <w:tab/>
      </w:r>
      <w:r w:rsidRPr="00636E88">
        <w:rPr>
          <w:rFonts w:ascii="Times New Roman" w:hAnsi="Times New Roman"/>
          <w:sz w:val="24"/>
          <w:szCs w:val="24"/>
        </w:rPr>
        <w:t xml:space="preserve">and serum – differential tissue expression using novel antibodies. Arch Biochem </w:t>
      </w:r>
      <w:r w:rsidR="00F54DFC">
        <w:rPr>
          <w:rFonts w:ascii="Times New Roman" w:hAnsi="Times New Roman"/>
          <w:sz w:val="24"/>
          <w:szCs w:val="24"/>
        </w:rPr>
        <w:tab/>
      </w:r>
      <w:r w:rsidRPr="00636E88">
        <w:rPr>
          <w:rFonts w:ascii="Times New Roman" w:hAnsi="Times New Roman"/>
          <w:sz w:val="24"/>
          <w:szCs w:val="24"/>
        </w:rPr>
        <w:t>Biophys. 2007; 466(1):66–77.</w:t>
      </w:r>
    </w:p>
    <w:p w14:paraId="3DF6889C" w14:textId="46CE2F1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Lobenhofer EK, Auman JT, Blackshear PE, et al. Gene expression response in target organ and </w:t>
      </w:r>
      <w:r>
        <w:rPr>
          <w:rFonts w:ascii="Times New Roman" w:hAnsi="Times New Roman"/>
          <w:sz w:val="24"/>
          <w:szCs w:val="24"/>
        </w:rPr>
        <w:tab/>
      </w:r>
      <w:r w:rsidRPr="00636E88">
        <w:rPr>
          <w:rFonts w:ascii="Times New Roman" w:hAnsi="Times New Roman"/>
          <w:sz w:val="24"/>
          <w:szCs w:val="24"/>
        </w:rPr>
        <w:t xml:space="preserve">whole blood varies as a function of target organ injury phenotype. Genome Biol. </w:t>
      </w:r>
      <w:r>
        <w:rPr>
          <w:rFonts w:ascii="Times New Roman" w:hAnsi="Times New Roman"/>
          <w:sz w:val="24"/>
          <w:szCs w:val="24"/>
        </w:rPr>
        <w:tab/>
      </w:r>
      <w:r w:rsidRPr="00636E88">
        <w:rPr>
          <w:rFonts w:ascii="Times New Roman" w:hAnsi="Times New Roman"/>
          <w:sz w:val="24"/>
          <w:szCs w:val="24"/>
        </w:rPr>
        <w:t>2008;9(6):R100.</w:t>
      </w:r>
    </w:p>
    <w:p w14:paraId="35E3928D" w14:textId="7009E61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Logan CY and Nusse R. The Wnt signaling pathway in development and disease. Annual</w:t>
      </w:r>
      <w:r w:rsidR="00F54DFC">
        <w:rPr>
          <w:rFonts w:ascii="Times New Roman" w:hAnsi="Times New Roman"/>
          <w:sz w:val="24"/>
          <w:szCs w:val="24"/>
        </w:rPr>
        <w:tab/>
      </w:r>
      <w:r w:rsidRPr="00636E88">
        <w:rPr>
          <w:rFonts w:ascii="Times New Roman" w:hAnsi="Times New Roman"/>
          <w:sz w:val="24"/>
          <w:szCs w:val="24"/>
        </w:rPr>
        <w:t>Review of Cell and Devlopment Biology. 2004; 20: 781-810.</w:t>
      </w:r>
    </w:p>
    <w:p w14:paraId="767A08CE" w14:textId="254F3E0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Logozzi M, Angelini DF. Increased Plasmatic Levels of PSA-Expressing Exosomes </w:t>
      </w:r>
      <w:r w:rsidR="00F54DFC">
        <w:rPr>
          <w:rFonts w:ascii="Times New Roman" w:hAnsi="Times New Roman"/>
          <w:sz w:val="24"/>
          <w:szCs w:val="24"/>
        </w:rPr>
        <w:tab/>
      </w:r>
      <w:r w:rsidRPr="00636E88">
        <w:rPr>
          <w:rFonts w:ascii="Times New Roman" w:hAnsi="Times New Roman"/>
          <w:sz w:val="24"/>
          <w:szCs w:val="24"/>
        </w:rPr>
        <w:t xml:space="preserve">Distinguish </w:t>
      </w:r>
      <w:r>
        <w:rPr>
          <w:rFonts w:ascii="Times New Roman" w:hAnsi="Times New Roman"/>
          <w:sz w:val="24"/>
          <w:szCs w:val="24"/>
        </w:rPr>
        <w:tab/>
      </w:r>
      <w:r w:rsidRPr="00636E88">
        <w:rPr>
          <w:rFonts w:ascii="Times New Roman" w:hAnsi="Times New Roman"/>
          <w:sz w:val="24"/>
          <w:szCs w:val="24"/>
        </w:rPr>
        <w:t xml:space="preserve">Prostate Cancer Patients from Benign Prostatic Hyperplasia: A </w:t>
      </w:r>
      <w:r w:rsidR="00F54DFC">
        <w:rPr>
          <w:rFonts w:ascii="Times New Roman" w:hAnsi="Times New Roman"/>
          <w:sz w:val="24"/>
          <w:szCs w:val="24"/>
        </w:rPr>
        <w:tab/>
      </w:r>
      <w:r w:rsidRPr="00636E88">
        <w:rPr>
          <w:rFonts w:ascii="Times New Roman" w:hAnsi="Times New Roman"/>
          <w:sz w:val="24"/>
          <w:szCs w:val="24"/>
        </w:rPr>
        <w:t>Prospective Study. Cancers (Basel). 2019;11:1449.</w:t>
      </w:r>
    </w:p>
    <w:p w14:paraId="42B0C205"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Logozzi M, Spugnini E, Mizzoni D, Di Raimo R, Fais S. Extracellular acidity and increased </w:t>
      </w:r>
      <w:r>
        <w:rPr>
          <w:rFonts w:ascii="Times New Roman" w:hAnsi="Times New Roman"/>
          <w:sz w:val="24"/>
          <w:szCs w:val="24"/>
        </w:rPr>
        <w:tab/>
      </w:r>
      <w:r w:rsidRPr="00636E88">
        <w:rPr>
          <w:rFonts w:ascii="Times New Roman" w:hAnsi="Times New Roman"/>
          <w:sz w:val="24"/>
          <w:szCs w:val="24"/>
        </w:rPr>
        <w:t xml:space="preserve">exosome release as key phenotypes of malignant tumors. Cancer Metastasis Rev. </w:t>
      </w:r>
      <w:r>
        <w:rPr>
          <w:rFonts w:ascii="Times New Roman" w:hAnsi="Times New Roman"/>
          <w:sz w:val="24"/>
          <w:szCs w:val="24"/>
        </w:rPr>
        <w:tab/>
      </w:r>
      <w:r w:rsidRPr="00636E88">
        <w:rPr>
          <w:rFonts w:ascii="Times New Roman" w:hAnsi="Times New Roman"/>
          <w:sz w:val="24"/>
          <w:szCs w:val="24"/>
        </w:rPr>
        <w:t>2019;38:93–101.</w:t>
      </w:r>
    </w:p>
    <w:p w14:paraId="121004F9"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Lukiw WJ. Amyloid beta (Aß) peptide modulators and other current treatment strategies for </w:t>
      </w:r>
      <w:r>
        <w:rPr>
          <w:rFonts w:ascii="Times New Roman" w:hAnsi="Times New Roman"/>
          <w:sz w:val="24"/>
          <w:szCs w:val="24"/>
        </w:rPr>
        <w:tab/>
      </w:r>
      <w:r w:rsidRPr="00636E88">
        <w:rPr>
          <w:rFonts w:ascii="Times New Roman" w:hAnsi="Times New Roman"/>
          <w:sz w:val="24"/>
          <w:szCs w:val="24"/>
        </w:rPr>
        <w:t>Alzheimer’s disease (AD). Expert OpinEmerg Drugs. 2012.</w:t>
      </w:r>
    </w:p>
    <w:p w14:paraId="0B9B7F0E"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Ly L, Wasinger VC. Protein and peptide fractionation, enrichment and depletion: tools for the </w:t>
      </w:r>
      <w:r>
        <w:rPr>
          <w:rFonts w:ascii="Times New Roman" w:hAnsi="Times New Roman"/>
          <w:sz w:val="24"/>
          <w:szCs w:val="24"/>
        </w:rPr>
        <w:tab/>
      </w:r>
      <w:r w:rsidRPr="00636E88">
        <w:rPr>
          <w:rFonts w:ascii="Times New Roman" w:hAnsi="Times New Roman"/>
          <w:sz w:val="24"/>
          <w:szCs w:val="24"/>
        </w:rPr>
        <w:t>complex proteome. Proteomics. 2011; 11(4):513–534.</w:t>
      </w:r>
    </w:p>
    <w:p w14:paraId="6765F135" w14:textId="681556C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Lyer MU, Desai P. Assesment of C-reactive protein and fibrinogen level in type 2 diabetes </w:t>
      </w:r>
      <w:r w:rsidR="00F54DFC">
        <w:rPr>
          <w:rFonts w:ascii="Times New Roman" w:hAnsi="Times New Roman"/>
          <w:sz w:val="24"/>
          <w:szCs w:val="24"/>
        </w:rPr>
        <w:tab/>
      </w:r>
      <w:r w:rsidRPr="00636E88">
        <w:rPr>
          <w:rFonts w:ascii="Times New Roman" w:hAnsi="Times New Roman"/>
          <w:sz w:val="24"/>
          <w:szCs w:val="24"/>
        </w:rPr>
        <w:t>mellitus. Biomed Res 2010; 21: 208-2013.</w:t>
      </w:r>
    </w:p>
    <w:p w14:paraId="4CE37624" w14:textId="5E8D289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Malik S, Pio J, Wong ND, Fairchild C, Franklin S, Chen R. Cardiovascular disease in U.S.</w:t>
      </w:r>
      <w:r w:rsidR="00F54DFC">
        <w:rPr>
          <w:rFonts w:ascii="Times New Roman" w:hAnsi="Times New Roman"/>
          <w:sz w:val="24"/>
          <w:szCs w:val="24"/>
        </w:rPr>
        <w:tab/>
      </w:r>
      <w:r w:rsidRPr="00636E88">
        <w:rPr>
          <w:rFonts w:ascii="Times New Roman" w:hAnsi="Times New Roman"/>
          <w:sz w:val="24"/>
          <w:szCs w:val="24"/>
        </w:rPr>
        <w:t xml:space="preserve"> patients with metabolic syndrome, diabetes and elevated C-reactive protein. Diabetes </w:t>
      </w:r>
      <w:r w:rsidR="00F54DFC">
        <w:rPr>
          <w:rFonts w:ascii="Times New Roman" w:hAnsi="Times New Roman"/>
          <w:sz w:val="24"/>
          <w:szCs w:val="24"/>
        </w:rPr>
        <w:tab/>
      </w:r>
      <w:r w:rsidRPr="00636E88">
        <w:rPr>
          <w:rFonts w:ascii="Times New Roman" w:hAnsi="Times New Roman"/>
          <w:sz w:val="24"/>
          <w:szCs w:val="24"/>
        </w:rPr>
        <w:t>Care 2005; 28: 690-3.</w:t>
      </w:r>
    </w:p>
    <w:p w14:paraId="4D380E88" w14:textId="3B7F7B1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Mangelsdorf DJ, Thummel C, Beato M, Herrlich P, Schutz G, Umesono K, Blumberg B, </w:t>
      </w:r>
      <w:r w:rsidR="00F54DFC">
        <w:rPr>
          <w:rFonts w:ascii="Times New Roman" w:hAnsi="Times New Roman"/>
          <w:sz w:val="24"/>
          <w:szCs w:val="24"/>
        </w:rPr>
        <w:tab/>
      </w:r>
      <w:r w:rsidRPr="00636E88">
        <w:rPr>
          <w:rFonts w:ascii="Times New Roman" w:hAnsi="Times New Roman"/>
          <w:sz w:val="24"/>
          <w:szCs w:val="24"/>
        </w:rPr>
        <w:t xml:space="preserve">Kastner P, Mark M, Chambon P, Evans RM. The nuclear receptor superfamily: the </w:t>
      </w:r>
      <w:r w:rsidR="00F54DFC">
        <w:rPr>
          <w:rFonts w:ascii="Times New Roman" w:hAnsi="Times New Roman"/>
          <w:sz w:val="24"/>
          <w:szCs w:val="24"/>
        </w:rPr>
        <w:tab/>
      </w:r>
      <w:r w:rsidRPr="00636E88">
        <w:rPr>
          <w:rFonts w:ascii="Times New Roman" w:hAnsi="Times New Roman"/>
          <w:sz w:val="24"/>
          <w:szCs w:val="24"/>
        </w:rPr>
        <w:t>second decade.</w:t>
      </w:r>
      <w:r w:rsidR="00F54DFC">
        <w:rPr>
          <w:rFonts w:ascii="Times New Roman" w:hAnsi="Times New Roman"/>
          <w:sz w:val="24"/>
          <w:szCs w:val="24"/>
        </w:rPr>
        <w:t xml:space="preserve"> </w:t>
      </w:r>
      <w:r w:rsidRPr="00636E88">
        <w:rPr>
          <w:rFonts w:ascii="Times New Roman" w:hAnsi="Times New Roman"/>
          <w:sz w:val="24"/>
          <w:szCs w:val="24"/>
        </w:rPr>
        <w:t>Cell. 1995; 83: 835–839.</w:t>
      </w:r>
    </w:p>
    <w:p w14:paraId="7A924DDF" w14:textId="4C70444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Marion TW, Julia K, Christian S, Antonia W, Ibrahim A, Walter J, Nicolai M, Christoph M. </w:t>
      </w:r>
      <w:r>
        <w:rPr>
          <w:rFonts w:ascii="Times New Roman" w:hAnsi="Times New Roman"/>
          <w:sz w:val="24"/>
          <w:szCs w:val="24"/>
        </w:rPr>
        <w:tab/>
      </w:r>
      <w:r w:rsidRPr="00636E88">
        <w:rPr>
          <w:rFonts w:ascii="Times New Roman" w:hAnsi="Times New Roman"/>
          <w:sz w:val="24"/>
          <w:szCs w:val="24"/>
        </w:rPr>
        <w:t xml:space="preserve">Differential expression of MMP-2, MMP-9 and PCNA in endometriosis and </w:t>
      </w:r>
      <w:r w:rsidR="00F54DFC">
        <w:rPr>
          <w:rFonts w:ascii="Times New Roman" w:hAnsi="Times New Roman"/>
          <w:sz w:val="24"/>
          <w:szCs w:val="24"/>
        </w:rPr>
        <w:tab/>
      </w:r>
      <w:r w:rsidRPr="00636E88">
        <w:rPr>
          <w:rFonts w:ascii="Times New Roman" w:hAnsi="Times New Roman"/>
          <w:sz w:val="24"/>
          <w:szCs w:val="24"/>
        </w:rPr>
        <w:t xml:space="preserve">endometrial </w:t>
      </w:r>
      <w:r>
        <w:rPr>
          <w:rFonts w:ascii="Times New Roman" w:hAnsi="Times New Roman"/>
          <w:sz w:val="24"/>
          <w:szCs w:val="24"/>
        </w:rPr>
        <w:tab/>
      </w:r>
      <w:r w:rsidRPr="00636E88">
        <w:rPr>
          <w:rFonts w:ascii="Times New Roman" w:hAnsi="Times New Roman"/>
          <w:sz w:val="24"/>
          <w:szCs w:val="24"/>
        </w:rPr>
        <w:t>carcinoma. European Journal of Obstetrics &amp; Gynecology and</w:t>
      </w:r>
      <w:r w:rsidR="00F54DFC">
        <w:rPr>
          <w:rFonts w:ascii="Times New Roman" w:hAnsi="Times New Roman"/>
          <w:sz w:val="24"/>
          <w:szCs w:val="24"/>
        </w:rPr>
        <w:tab/>
      </w:r>
      <w:r w:rsidRPr="00636E88">
        <w:rPr>
          <w:rFonts w:ascii="Times New Roman" w:hAnsi="Times New Roman"/>
          <w:sz w:val="24"/>
          <w:szCs w:val="24"/>
        </w:rPr>
        <w:t>Reproductive Biology. 2012; 160: 74–78.</w:t>
      </w:r>
    </w:p>
    <w:p w14:paraId="59C2556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Martinez A Emerging drugs and targets for Alzheimer’s disease; Volume 1: Beta-Amyloid, Tau </w:t>
      </w:r>
      <w:r>
        <w:rPr>
          <w:rFonts w:ascii="Times New Roman" w:hAnsi="Times New Roman"/>
          <w:sz w:val="24"/>
          <w:szCs w:val="24"/>
        </w:rPr>
        <w:tab/>
      </w:r>
      <w:r w:rsidRPr="00636E88">
        <w:rPr>
          <w:rFonts w:ascii="Times New Roman" w:hAnsi="Times New Roman"/>
          <w:sz w:val="24"/>
          <w:szCs w:val="24"/>
        </w:rPr>
        <w:t>protein and glucose metabolism. Cambridge: The Royal Society of Chemistry. 2010.</w:t>
      </w:r>
    </w:p>
    <w:p w14:paraId="0F523D56" w14:textId="098CB51D" w:rsidR="00CF6603" w:rsidRPr="00636E88" w:rsidRDefault="00CF6603" w:rsidP="00CF6603">
      <w:pPr>
        <w:spacing w:line="360" w:lineRule="auto"/>
        <w:jc w:val="both"/>
        <w:rPr>
          <w:rFonts w:ascii="Times New Roman" w:hAnsi="Times New Roman"/>
          <w:sz w:val="24"/>
          <w:szCs w:val="24"/>
        </w:rPr>
      </w:pPr>
      <w:bookmarkStart w:id="8" w:name="_Hlk142395523"/>
      <w:r w:rsidRPr="00636E88">
        <w:rPr>
          <w:rFonts w:ascii="Times New Roman" w:hAnsi="Times New Roman"/>
          <w:sz w:val="24"/>
          <w:szCs w:val="24"/>
        </w:rPr>
        <w:t xml:space="preserve">Matsuoka, Y.; Endo, </w:t>
      </w:r>
      <w:bookmarkEnd w:id="8"/>
      <w:r w:rsidRPr="00636E88">
        <w:rPr>
          <w:rFonts w:ascii="Times New Roman" w:hAnsi="Times New Roman"/>
          <w:sz w:val="24"/>
          <w:szCs w:val="24"/>
        </w:rPr>
        <w:t xml:space="preserve">K.; Kawamura, Y.; Yoshida, T.; Saga, T.; Watanabe, Y.; Koizumi, M.; </w:t>
      </w:r>
      <w:r>
        <w:rPr>
          <w:rFonts w:ascii="Times New Roman" w:hAnsi="Times New Roman"/>
          <w:sz w:val="24"/>
          <w:szCs w:val="24"/>
        </w:rPr>
        <w:tab/>
      </w:r>
      <w:r w:rsidRPr="00636E88">
        <w:rPr>
          <w:rFonts w:ascii="Times New Roman" w:hAnsi="Times New Roman"/>
          <w:sz w:val="24"/>
          <w:szCs w:val="24"/>
        </w:rPr>
        <w:t xml:space="preserve">Nakashima, T.; Konishi, J.; Yamaguchi, N.; et al. Normal bronchial mucus contains </w:t>
      </w:r>
      <w:r w:rsidR="00F54DFC">
        <w:rPr>
          <w:rFonts w:ascii="Times New Roman" w:hAnsi="Times New Roman"/>
          <w:sz w:val="24"/>
          <w:szCs w:val="24"/>
        </w:rPr>
        <w:tab/>
      </w:r>
      <w:r w:rsidRPr="00636E88">
        <w:rPr>
          <w:rFonts w:ascii="Times New Roman" w:hAnsi="Times New Roman"/>
          <w:sz w:val="24"/>
          <w:szCs w:val="24"/>
        </w:rPr>
        <w:t>high levels of cancer-associated antigens, CA125, CA19-9, and carcinoembryonic</w:t>
      </w:r>
      <w:r w:rsidR="00F54DFC">
        <w:rPr>
          <w:rFonts w:ascii="Times New Roman" w:hAnsi="Times New Roman"/>
          <w:sz w:val="24"/>
          <w:szCs w:val="24"/>
        </w:rPr>
        <w:tab/>
      </w:r>
      <w:r w:rsidRPr="00636E88">
        <w:rPr>
          <w:rFonts w:ascii="Times New Roman" w:hAnsi="Times New Roman"/>
          <w:sz w:val="24"/>
          <w:szCs w:val="24"/>
        </w:rPr>
        <w:t xml:space="preserve">antigen. Cancer 1990, 65, 506–510. [CrossRef] </w:t>
      </w:r>
    </w:p>
    <w:p w14:paraId="6107D093"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McLaughlin T, Abbasi F, Lamendola C, Liang L, Reaven G, Schaaf P,Reaven P. Differentiation </w:t>
      </w:r>
      <w:r>
        <w:rPr>
          <w:rFonts w:ascii="Times New Roman" w:hAnsi="Times New Roman"/>
          <w:sz w:val="24"/>
          <w:szCs w:val="24"/>
        </w:rPr>
        <w:tab/>
      </w:r>
      <w:r w:rsidRPr="00636E88">
        <w:rPr>
          <w:rFonts w:ascii="Times New Roman" w:hAnsi="Times New Roman"/>
          <w:sz w:val="24"/>
          <w:szCs w:val="24"/>
        </w:rPr>
        <w:t xml:space="preserve">between obesity and insulin resistance in the association with C-reactive protein. </w:t>
      </w:r>
      <w:r>
        <w:rPr>
          <w:rFonts w:ascii="Times New Roman" w:hAnsi="Times New Roman"/>
          <w:sz w:val="24"/>
          <w:szCs w:val="24"/>
        </w:rPr>
        <w:tab/>
      </w:r>
      <w:r w:rsidRPr="00636E88">
        <w:rPr>
          <w:rFonts w:ascii="Times New Roman" w:hAnsi="Times New Roman"/>
          <w:sz w:val="24"/>
          <w:szCs w:val="24"/>
        </w:rPr>
        <w:t>Circulation. 2002;106:2908 –2912.</w:t>
      </w:r>
    </w:p>
    <w:p w14:paraId="03D98A6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Mellon EA, Pilkinton DT, Clark CM et al. Sodium MR Imaging Detection of Mild Alzheimer’s </w:t>
      </w:r>
      <w:r>
        <w:rPr>
          <w:rFonts w:ascii="Times New Roman" w:hAnsi="Times New Roman"/>
          <w:sz w:val="24"/>
          <w:szCs w:val="24"/>
        </w:rPr>
        <w:tab/>
      </w:r>
      <w:r w:rsidRPr="00636E88">
        <w:rPr>
          <w:rFonts w:ascii="Times New Roman" w:hAnsi="Times New Roman"/>
          <w:sz w:val="24"/>
          <w:szCs w:val="24"/>
        </w:rPr>
        <w:t>Disease: Preliminary Study. American Journal of Neuroradiology. 2009; 30: 978-984.</w:t>
      </w:r>
    </w:p>
    <w:p w14:paraId="4B9FFDBE" w14:textId="5848B36F"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Melo SA, Luecke LB, Kahlert C, Fernandez AF, Gammon ST, Kaye J, et al. Glypican-1 </w:t>
      </w:r>
      <w:r w:rsidR="00F54DFC">
        <w:rPr>
          <w:rFonts w:ascii="Times New Roman" w:hAnsi="Times New Roman"/>
          <w:sz w:val="24"/>
          <w:szCs w:val="24"/>
        </w:rPr>
        <w:tab/>
      </w:r>
      <w:r w:rsidRPr="00636E88">
        <w:rPr>
          <w:rFonts w:ascii="Times New Roman" w:hAnsi="Times New Roman"/>
          <w:sz w:val="24"/>
          <w:szCs w:val="24"/>
        </w:rPr>
        <w:t>identifies cancer exosomes and detects early pancreatic cancer.Nature. 2015;523:177–</w:t>
      </w:r>
      <w:r w:rsidR="00F54DFC">
        <w:rPr>
          <w:rFonts w:ascii="Times New Roman" w:hAnsi="Times New Roman"/>
          <w:sz w:val="24"/>
          <w:szCs w:val="24"/>
        </w:rPr>
        <w:tab/>
      </w:r>
      <w:r w:rsidRPr="00636E88">
        <w:rPr>
          <w:rFonts w:ascii="Times New Roman" w:hAnsi="Times New Roman"/>
          <w:sz w:val="24"/>
          <w:szCs w:val="24"/>
        </w:rPr>
        <w:t>82.</w:t>
      </w:r>
    </w:p>
    <w:p w14:paraId="53D637D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Mendrick DL, Schnackenberg L. Genomic and metabolomic advances in the identification of </w:t>
      </w:r>
      <w:r>
        <w:rPr>
          <w:rFonts w:ascii="Times New Roman" w:hAnsi="Times New Roman"/>
          <w:sz w:val="24"/>
          <w:szCs w:val="24"/>
        </w:rPr>
        <w:tab/>
      </w:r>
      <w:r w:rsidRPr="00636E88">
        <w:rPr>
          <w:rFonts w:ascii="Times New Roman" w:hAnsi="Times New Roman"/>
          <w:sz w:val="24"/>
          <w:szCs w:val="24"/>
        </w:rPr>
        <w:t>disease and adverse event biomarkers. Biomark Med. 2009;3(5):605–615.</w:t>
      </w:r>
    </w:p>
    <w:p w14:paraId="5C2825F0" w14:textId="075218F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Mochida S, Arai M, Ohno A, et al. Deranged blood coagulation equilibrium as a factor of </w:t>
      </w:r>
      <w:r w:rsidR="00F54DFC">
        <w:rPr>
          <w:rFonts w:ascii="Times New Roman" w:hAnsi="Times New Roman"/>
          <w:sz w:val="24"/>
          <w:szCs w:val="24"/>
        </w:rPr>
        <w:tab/>
      </w:r>
      <w:r w:rsidRPr="00636E88">
        <w:rPr>
          <w:rFonts w:ascii="Times New Roman" w:hAnsi="Times New Roman"/>
          <w:sz w:val="24"/>
          <w:szCs w:val="24"/>
        </w:rPr>
        <w:t xml:space="preserve">massive liver necrosis following endotoxin administration in partially hepatectomized </w:t>
      </w:r>
      <w:r w:rsidR="00F54DFC">
        <w:rPr>
          <w:rFonts w:ascii="Times New Roman" w:hAnsi="Times New Roman"/>
          <w:sz w:val="24"/>
          <w:szCs w:val="24"/>
        </w:rPr>
        <w:tab/>
      </w:r>
      <w:r w:rsidRPr="00636E88">
        <w:rPr>
          <w:rFonts w:ascii="Times New Roman" w:hAnsi="Times New Roman"/>
          <w:sz w:val="24"/>
          <w:szCs w:val="24"/>
        </w:rPr>
        <w:t>rats. Hepatology. 1999; 29(5):1532–1540.</w:t>
      </w:r>
    </w:p>
    <w:p w14:paraId="0B44604D"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Mohan V, Deepa R, Velmurugan K, Premalatha G. Association of C-reactive protein with body </w:t>
      </w:r>
      <w:r>
        <w:rPr>
          <w:rFonts w:ascii="Times New Roman" w:hAnsi="Times New Roman"/>
          <w:sz w:val="24"/>
          <w:szCs w:val="24"/>
        </w:rPr>
        <w:tab/>
      </w:r>
      <w:r w:rsidRPr="00636E88">
        <w:rPr>
          <w:rFonts w:ascii="Times New Roman" w:hAnsi="Times New Roman"/>
          <w:sz w:val="24"/>
          <w:szCs w:val="24"/>
        </w:rPr>
        <w:t xml:space="preserve">fats, diabetes and coronary artery disease in Asian Indians: the Chennai Urban Rural </w:t>
      </w:r>
      <w:r>
        <w:rPr>
          <w:rFonts w:ascii="Times New Roman" w:hAnsi="Times New Roman"/>
          <w:sz w:val="24"/>
          <w:szCs w:val="24"/>
        </w:rPr>
        <w:tab/>
      </w:r>
      <w:r w:rsidRPr="00636E88">
        <w:rPr>
          <w:rFonts w:ascii="Times New Roman" w:hAnsi="Times New Roman"/>
          <w:sz w:val="24"/>
          <w:szCs w:val="24"/>
        </w:rPr>
        <w:t>Epidemiology Study (CURES-6). Diabet Med 2005; 22(7): 863-70.</w:t>
      </w:r>
    </w:p>
    <w:p w14:paraId="592F23F7"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Mohan V, Venkatraman JV, Pradeepa R. Epidemiology of cardiovascular disease in type 2 </w:t>
      </w:r>
      <w:r>
        <w:rPr>
          <w:rFonts w:ascii="Times New Roman" w:hAnsi="Times New Roman"/>
          <w:sz w:val="24"/>
          <w:szCs w:val="24"/>
        </w:rPr>
        <w:tab/>
      </w:r>
      <w:r w:rsidRPr="00636E88">
        <w:rPr>
          <w:rFonts w:ascii="Times New Roman" w:hAnsi="Times New Roman"/>
          <w:sz w:val="24"/>
          <w:szCs w:val="24"/>
        </w:rPr>
        <w:t>diabetes: the Indian scenario. J Diabetes SciTechnol 2010; 4(1): 158-170.</w:t>
      </w:r>
    </w:p>
    <w:p w14:paraId="0083AB34"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Mohan V, Venkatraman JV, Pradeepa R. Epidemiology of cardiovascular disease in type 2 </w:t>
      </w:r>
      <w:r>
        <w:rPr>
          <w:rFonts w:ascii="Times New Roman" w:hAnsi="Times New Roman"/>
          <w:sz w:val="24"/>
          <w:szCs w:val="24"/>
        </w:rPr>
        <w:tab/>
      </w:r>
      <w:r w:rsidRPr="00636E88">
        <w:rPr>
          <w:rFonts w:ascii="Times New Roman" w:hAnsi="Times New Roman"/>
          <w:sz w:val="24"/>
          <w:szCs w:val="24"/>
        </w:rPr>
        <w:t>diabetes: the Indian scenario. J Diabetes SciTechnol 2010; 4(1): 158-170.</w:t>
      </w:r>
    </w:p>
    <w:p w14:paraId="564B8FA7" w14:textId="7574BA2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Moreno PR, et al;Coronary Composition and Macrophage Infiltration in Atherectomy</w:t>
      </w:r>
      <w:r w:rsidR="00F54DFC">
        <w:rPr>
          <w:rFonts w:ascii="Times New Roman" w:hAnsi="Times New Roman"/>
          <w:sz w:val="24"/>
          <w:szCs w:val="24"/>
        </w:rPr>
        <w:tab/>
      </w:r>
      <w:r w:rsidRPr="00636E88">
        <w:rPr>
          <w:rFonts w:ascii="Times New Roman" w:hAnsi="Times New Roman"/>
          <w:sz w:val="24"/>
          <w:szCs w:val="24"/>
        </w:rPr>
        <w:t>Specimens From Patients With Diabetes Mellitus. Circulation,2000; 102:2180</w:t>
      </w:r>
    </w:p>
    <w:p w14:paraId="2BD2E87D" w14:textId="4BCF849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Murayama H, Ikemoto M, Fukuda Y, Tsunekawa S, Nagata A. Advantage of serum type-I </w:t>
      </w:r>
      <w:r w:rsidR="00F54DFC">
        <w:rPr>
          <w:rFonts w:ascii="Times New Roman" w:hAnsi="Times New Roman"/>
          <w:sz w:val="24"/>
          <w:szCs w:val="24"/>
        </w:rPr>
        <w:tab/>
      </w:r>
      <w:r w:rsidRPr="00636E88">
        <w:rPr>
          <w:rFonts w:ascii="Times New Roman" w:hAnsi="Times New Roman"/>
          <w:sz w:val="24"/>
          <w:szCs w:val="24"/>
        </w:rPr>
        <w:t xml:space="preserve">arginase and ornithine carbamoyltransferase in the evaluation of acute and chronic liver </w:t>
      </w:r>
      <w:r w:rsidR="00F54DFC">
        <w:rPr>
          <w:rFonts w:ascii="Times New Roman" w:hAnsi="Times New Roman"/>
          <w:sz w:val="24"/>
          <w:szCs w:val="24"/>
        </w:rPr>
        <w:tab/>
      </w:r>
      <w:r w:rsidRPr="00636E88">
        <w:rPr>
          <w:rFonts w:ascii="Times New Roman" w:hAnsi="Times New Roman"/>
          <w:sz w:val="24"/>
          <w:szCs w:val="24"/>
        </w:rPr>
        <w:t>damage induced by thioacetamide in rats. Clin Chim Acta. 2007;375(1–2):63–68.</w:t>
      </w:r>
    </w:p>
    <w:p w14:paraId="563BEF2F" w14:textId="5EC3E01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Natsoulis G, Pearson CI, Gollub J, et al. The liver pharmacological and xenobiotic gene </w:t>
      </w:r>
      <w:r w:rsidR="00F54DFC">
        <w:rPr>
          <w:rFonts w:ascii="Times New Roman" w:hAnsi="Times New Roman"/>
          <w:sz w:val="24"/>
          <w:szCs w:val="24"/>
        </w:rPr>
        <w:tab/>
      </w:r>
      <w:r w:rsidRPr="00636E88">
        <w:rPr>
          <w:rFonts w:ascii="Times New Roman" w:hAnsi="Times New Roman"/>
          <w:sz w:val="24"/>
          <w:szCs w:val="24"/>
        </w:rPr>
        <w:t>response repertoire. Mol Syst Biol. 2008;4:175.</w:t>
      </w:r>
      <w:r w:rsidRPr="00636E88">
        <w:rPr>
          <w:rFonts w:ascii="Times New Roman" w:hAnsi="Times New Roman"/>
          <w:sz w:val="24"/>
          <w:szCs w:val="24"/>
        </w:rPr>
        <w:cr/>
        <w:t>Navarro VJ, Senior JR. Drug-related hepatotoxicity. N Engl J Med. 2006;354(7):731–739.</w:t>
      </w:r>
      <w:r w:rsidRPr="00636E88">
        <w:rPr>
          <w:rFonts w:ascii="Times New Roman" w:hAnsi="Times New Roman"/>
          <w:sz w:val="24"/>
          <w:szCs w:val="24"/>
        </w:rPr>
        <w:cr/>
        <w:t xml:space="preserve">Nerup J, Platz P, Andersen OO, Christy M, Lyngsoe J, Poulsen JE, RyderLP, Nielsen LS, </w:t>
      </w:r>
      <w:r w:rsidR="00F54DFC">
        <w:rPr>
          <w:rFonts w:ascii="Times New Roman" w:hAnsi="Times New Roman"/>
          <w:sz w:val="24"/>
          <w:szCs w:val="24"/>
        </w:rPr>
        <w:tab/>
      </w:r>
      <w:r w:rsidRPr="00636E88">
        <w:rPr>
          <w:rFonts w:ascii="Times New Roman" w:hAnsi="Times New Roman"/>
          <w:sz w:val="24"/>
          <w:szCs w:val="24"/>
        </w:rPr>
        <w:t xml:space="preserve">Thomsen M, Svejgaard A: HL-A antigens and diabetes mellitus. Lancet 2:864 – 866, </w:t>
      </w:r>
      <w:r w:rsidR="00F54DFC">
        <w:rPr>
          <w:rFonts w:ascii="Times New Roman" w:hAnsi="Times New Roman"/>
          <w:sz w:val="24"/>
          <w:szCs w:val="24"/>
        </w:rPr>
        <w:tab/>
      </w:r>
      <w:r w:rsidRPr="00636E88">
        <w:rPr>
          <w:rFonts w:ascii="Times New Roman" w:hAnsi="Times New Roman"/>
          <w:sz w:val="24"/>
          <w:szCs w:val="24"/>
        </w:rPr>
        <w:t>1974</w:t>
      </w:r>
      <w:r>
        <w:rPr>
          <w:rFonts w:ascii="Times New Roman" w:hAnsi="Times New Roman"/>
          <w:sz w:val="24"/>
          <w:szCs w:val="24"/>
        </w:rPr>
        <w:t>.</w:t>
      </w:r>
    </w:p>
    <w:p w14:paraId="5453C82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Nicholson JK, Holmes E, Lindon JC, Wilson ID. The challenges of modeling mammalian </w:t>
      </w:r>
      <w:r>
        <w:rPr>
          <w:rFonts w:ascii="Times New Roman" w:hAnsi="Times New Roman"/>
          <w:sz w:val="24"/>
          <w:szCs w:val="24"/>
        </w:rPr>
        <w:tab/>
      </w:r>
      <w:r w:rsidRPr="00636E88">
        <w:rPr>
          <w:rFonts w:ascii="Times New Roman" w:hAnsi="Times New Roman"/>
          <w:sz w:val="24"/>
          <w:szCs w:val="24"/>
        </w:rPr>
        <w:t>biocomplexity. Nat Biotechnol. 2004;22(10): 1268–1274.</w:t>
      </w:r>
    </w:p>
    <w:p w14:paraId="2D33219E" w14:textId="58FF78D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Nishimura Y, Watanabe J, Jobo T, Kato N, Fujisawa T, Kamata T, Kuramoto H. Cyclin D1 </w:t>
      </w:r>
      <w:r>
        <w:rPr>
          <w:rFonts w:ascii="Times New Roman" w:hAnsi="Times New Roman"/>
          <w:sz w:val="24"/>
          <w:szCs w:val="24"/>
        </w:rPr>
        <w:tab/>
      </w:r>
      <w:r w:rsidRPr="00636E88">
        <w:rPr>
          <w:rFonts w:ascii="Times New Roman" w:hAnsi="Times New Roman"/>
          <w:sz w:val="24"/>
          <w:szCs w:val="24"/>
        </w:rPr>
        <w:t xml:space="preserve">Expression in Endometrioid-type Endometrial Adenocarcinoma is Correlated with </w:t>
      </w:r>
      <w:r>
        <w:rPr>
          <w:rFonts w:ascii="Times New Roman" w:hAnsi="Times New Roman"/>
          <w:sz w:val="24"/>
          <w:szCs w:val="24"/>
        </w:rPr>
        <w:tab/>
      </w:r>
      <w:r w:rsidRPr="00636E88">
        <w:rPr>
          <w:rFonts w:ascii="Times New Roman" w:hAnsi="Times New Roman"/>
          <w:sz w:val="24"/>
          <w:szCs w:val="24"/>
        </w:rPr>
        <w:t xml:space="preserve">Histological Grade and Proliferative Activity, but not with Prognosis. Anticancer </w:t>
      </w:r>
      <w:r w:rsidR="00F54DFC">
        <w:rPr>
          <w:rFonts w:ascii="Times New Roman" w:hAnsi="Times New Roman"/>
          <w:sz w:val="24"/>
          <w:szCs w:val="24"/>
        </w:rPr>
        <w:tab/>
      </w:r>
      <w:r w:rsidRPr="00636E88">
        <w:rPr>
          <w:rFonts w:ascii="Times New Roman" w:hAnsi="Times New Roman"/>
          <w:sz w:val="24"/>
          <w:szCs w:val="24"/>
        </w:rPr>
        <w:t>Research.</w:t>
      </w:r>
      <w:r w:rsidR="00F54DFC">
        <w:rPr>
          <w:rFonts w:ascii="Times New Roman" w:hAnsi="Times New Roman"/>
          <w:sz w:val="24"/>
          <w:szCs w:val="24"/>
        </w:rPr>
        <w:t xml:space="preserve"> </w:t>
      </w:r>
      <w:r w:rsidRPr="00636E88">
        <w:rPr>
          <w:rFonts w:ascii="Times New Roman" w:hAnsi="Times New Roman"/>
          <w:sz w:val="24"/>
          <w:szCs w:val="24"/>
        </w:rPr>
        <w:t>2004; 24: 2185-2192.</w:t>
      </w:r>
    </w:p>
    <w:p w14:paraId="1D9D77E0" w14:textId="5231CFB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Noriaki S, Alaa-eldin S, Hidemichi W, Tomoo I, Shoichi I, Tetsuya M and Seiichiro F. Bax, </w:t>
      </w:r>
      <w:r w:rsidR="00F54DFC">
        <w:rPr>
          <w:rFonts w:ascii="Times New Roman" w:hAnsi="Times New Roman"/>
          <w:sz w:val="24"/>
          <w:szCs w:val="24"/>
        </w:rPr>
        <w:tab/>
      </w:r>
      <w:r w:rsidRPr="00636E88">
        <w:rPr>
          <w:rFonts w:ascii="Times New Roman" w:hAnsi="Times New Roman"/>
          <w:sz w:val="24"/>
          <w:szCs w:val="24"/>
        </w:rPr>
        <w:t xml:space="preserve">Bcl-2, and p53 Expression in Endometrial Cancer. Gynecologic Oncology. 2002; 86: </w:t>
      </w:r>
      <w:r w:rsidR="00F54DFC">
        <w:rPr>
          <w:rFonts w:ascii="Times New Roman" w:hAnsi="Times New Roman"/>
          <w:sz w:val="24"/>
          <w:szCs w:val="24"/>
        </w:rPr>
        <w:tab/>
      </w:r>
      <w:r w:rsidRPr="00636E88">
        <w:rPr>
          <w:rFonts w:ascii="Times New Roman" w:hAnsi="Times New Roman"/>
          <w:sz w:val="24"/>
          <w:szCs w:val="24"/>
        </w:rPr>
        <w:t>288–296.</w:t>
      </w:r>
    </w:p>
    <w:p w14:paraId="3D0C9F2C" w14:textId="64DD7F72" w:rsidR="00CF6603" w:rsidRPr="00636E88" w:rsidRDefault="00CF6603" w:rsidP="00CF6603">
      <w:pPr>
        <w:spacing w:line="360" w:lineRule="auto"/>
        <w:jc w:val="both"/>
        <w:rPr>
          <w:rFonts w:ascii="Times New Roman" w:hAnsi="Times New Roman"/>
          <w:sz w:val="24"/>
          <w:szCs w:val="24"/>
        </w:rPr>
      </w:pPr>
      <w:bookmarkStart w:id="9" w:name="_Hlk142395384"/>
      <w:r w:rsidRPr="00636E88">
        <w:rPr>
          <w:rFonts w:ascii="Times New Roman" w:hAnsi="Times New Roman"/>
          <w:sz w:val="24"/>
          <w:szCs w:val="24"/>
        </w:rPr>
        <w:t>O’Brien, T.J.; Hardin</w:t>
      </w:r>
      <w:bookmarkEnd w:id="9"/>
      <w:r w:rsidRPr="00636E88">
        <w:rPr>
          <w:rFonts w:ascii="Times New Roman" w:hAnsi="Times New Roman"/>
          <w:sz w:val="24"/>
          <w:szCs w:val="24"/>
        </w:rPr>
        <w:t xml:space="preserve">, J.W.; Bannon, G.A.; Norris, J.S.; Quirk, G. CA 125 antigen in human </w:t>
      </w:r>
      <w:r>
        <w:rPr>
          <w:rFonts w:ascii="Times New Roman" w:hAnsi="Times New Roman"/>
          <w:sz w:val="24"/>
          <w:szCs w:val="24"/>
        </w:rPr>
        <w:tab/>
      </w:r>
      <w:r w:rsidRPr="00636E88">
        <w:rPr>
          <w:rFonts w:ascii="Times New Roman" w:hAnsi="Times New Roman"/>
          <w:sz w:val="24"/>
          <w:szCs w:val="24"/>
        </w:rPr>
        <w:t xml:space="preserve">amniotic fluid and fetal membranes. Am. J. Obs. Gynecol. 1986, 155, 50–55. </w:t>
      </w:r>
      <w:r w:rsidR="00F54DFC">
        <w:rPr>
          <w:rFonts w:ascii="Times New Roman" w:hAnsi="Times New Roman"/>
          <w:sz w:val="24"/>
          <w:szCs w:val="24"/>
        </w:rPr>
        <w:tab/>
      </w:r>
      <w:r w:rsidRPr="00636E88">
        <w:rPr>
          <w:rFonts w:ascii="Times New Roman" w:hAnsi="Times New Roman"/>
          <w:sz w:val="24"/>
          <w:szCs w:val="24"/>
        </w:rPr>
        <w:t>[CrossRef]</w:t>
      </w:r>
    </w:p>
    <w:p w14:paraId="284329D0" w14:textId="1B74A4A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Ohuchi T, Tada K, Akamatsu K. Endogenous ET-1 contributes to liver injury induced by </w:t>
      </w:r>
      <w:r>
        <w:rPr>
          <w:rFonts w:ascii="Times New Roman" w:hAnsi="Times New Roman"/>
          <w:sz w:val="24"/>
          <w:szCs w:val="24"/>
        </w:rPr>
        <w:tab/>
      </w:r>
      <w:r w:rsidRPr="00636E88">
        <w:rPr>
          <w:rFonts w:ascii="Times New Roman" w:hAnsi="Times New Roman"/>
          <w:sz w:val="24"/>
          <w:szCs w:val="24"/>
        </w:rPr>
        <w:t xml:space="preserve">galactosamine and endotoxin in isolated perfused rat liver. Am J Physiol. 1995;268(6 </w:t>
      </w:r>
      <w:r w:rsidR="00F54DFC">
        <w:rPr>
          <w:rFonts w:ascii="Times New Roman" w:hAnsi="Times New Roman"/>
          <w:sz w:val="24"/>
          <w:szCs w:val="24"/>
        </w:rPr>
        <w:tab/>
      </w:r>
      <w:r w:rsidRPr="00636E88">
        <w:rPr>
          <w:rFonts w:ascii="Times New Roman" w:hAnsi="Times New Roman"/>
          <w:sz w:val="24"/>
          <w:szCs w:val="24"/>
        </w:rPr>
        <w:t>Pt 1):G997–G1003.</w:t>
      </w:r>
    </w:p>
    <w:p w14:paraId="33A7C756" w14:textId="46DA051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Okamura H, Tsutsui H, Kashiwamura S, et al. Interleukin-18: a novel cytokine that augments </w:t>
      </w:r>
      <w:r w:rsidR="00F54DFC">
        <w:rPr>
          <w:rFonts w:ascii="Times New Roman" w:hAnsi="Times New Roman"/>
          <w:sz w:val="24"/>
          <w:szCs w:val="24"/>
        </w:rPr>
        <w:tab/>
      </w:r>
      <w:r w:rsidRPr="00636E88">
        <w:rPr>
          <w:rFonts w:ascii="Times New Roman" w:hAnsi="Times New Roman"/>
          <w:sz w:val="24"/>
          <w:szCs w:val="24"/>
        </w:rPr>
        <w:t>both innate and acquired immunity. Adv Immunol. . 1998; 70: 281–312.</w:t>
      </w:r>
    </w:p>
    <w:p w14:paraId="4696FF9D" w14:textId="0C664CB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Okamura H, Tsutsui H, Kashiwamura S, Yoshimoto T, Nakanishi K.Interleukin-18: a novel </w:t>
      </w:r>
      <w:r>
        <w:rPr>
          <w:rFonts w:ascii="Times New Roman" w:hAnsi="Times New Roman"/>
          <w:sz w:val="24"/>
          <w:szCs w:val="24"/>
        </w:rPr>
        <w:tab/>
      </w:r>
      <w:r w:rsidRPr="00636E88">
        <w:rPr>
          <w:rFonts w:ascii="Times New Roman" w:hAnsi="Times New Roman"/>
          <w:sz w:val="24"/>
          <w:szCs w:val="24"/>
        </w:rPr>
        <w:t xml:space="preserve">cytokine that augments both acquired and innate immunity. Adv Immunol. </w:t>
      </w:r>
      <w:r w:rsidR="00F54DFC">
        <w:rPr>
          <w:rFonts w:ascii="Times New Roman" w:hAnsi="Times New Roman"/>
          <w:sz w:val="24"/>
          <w:szCs w:val="24"/>
        </w:rPr>
        <w:tab/>
      </w:r>
      <w:r w:rsidRPr="00636E88">
        <w:rPr>
          <w:rFonts w:ascii="Times New Roman" w:hAnsi="Times New Roman"/>
          <w:sz w:val="24"/>
          <w:szCs w:val="24"/>
        </w:rPr>
        <w:t>1998;70:281–</w:t>
      </w:r>
      <w:r>
        <w:rPr>
          <w:rFonts w:ascii="Times New Roman" w:hAnsi="Times New Roman"/>
          <w:sz w:val="24"/>
          <w:szCs w:val="24"/>
        </w:rPr>
        <w:tab/>
      </w:r>
      <w:r w:rsidRPr="00636E88">
        <w:rPr>
          <w:rFonts w:ascii="Times New Roman" w:hAnsi="Times New Roman"/>
          <w:sz w:val="24"/>
          <w:szCs w:val="24"/>
        </w:rPr>
        <w:t>312.</w:t>
      </w:r>
    </w:p>
    <w:p w14:paraId="29D90DE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Ostapowicz G, Fontana RJ, Schiodt FV, et al. Results of a prospective study of acute liver failure </w:t>
      </w:r>
      <w:r>
        <w:rPr>
          <w:rFonts w:ascii="Times New Roman" w:hAnsi="Times New Roman"/>
          <w:sz w:val="24"/>
          <w:szCs w:val="24"/>
        </w:rPr>
        <w:tab/>
      </w:r>
      <w:r w:rsidRPr="00636E88">
        <w:rPr>
          <w:rFonts w:ascii="Times New Roman" w:hAnsi="Times New Roman"/>
          <w:sz w:val="24"/>
          <w:szCs w:val="24"/>
        </w:rPr>
        <w:t>at 17 tertiary care centers in the United States. Ann Intern Med. 2002;137(12):947–954.</w:t>
      </w:r>
    </w:p>
    <w:p w14:paraId="06F7A8B9" w14:textId="5243C195"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Osti D, Del Bene M, Rappa G, Santos M, Matafora V, Richichi C, et al. Clinical Significance of</w:t>
      </w:r>
      <w:r w:rsidR="00F54DFC">
        <w:rPr>
          <w:rFonts w:ascii="Times New Roman" w:hAnsi="Times New Roman"/>
          <w:sz w:val="24"/>
          <w:szCs w:val="24"/>
        </w:rPr>
        <w:t xml:space="preserve"> </w:t>
      </w:r>
      <w:r w:rsidRPr="00636E88">
        <w:rPr>
          <w:rFonts w:ascii="Times New Roman" w:hAnsi="Times New Roman"/>
          <w:sz w:val="24"/>
          <w:szCs w:val="24"/>
        </w:rPr>
        <w:t xml:space="preserve">Extracellular Vesicles in Plasma from Glioblastoma Patients. Clin Cancer Res. </w:t>
      </w:r>
      <w:r>
        <w:rPr>
          <w:rFonts w:ascii="Times New Roman" w:hAnsi="Times New Roman"/>
          <w:sz w:val="24"/>
          <w:szCs w:val="24"/>
        </w:rPr>
        <w:tab/>
      </w:r>
      <w:r w:rsidRPr="00636E88">
        <w:rPr>
          <w:rFonts w:ascii="Times New Roman" w:hAnsi="Times New Roman"/>
          <w:sz w:val="24"/>
          <w:szCs w:val="24"/>
        </w:rPr>
        <w:t>2019;25:266-76.</w:t>
      </w:r>
    </w:p>
    <w:p w14:paraId="66106518" w14:textId="209D909A"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Ostrem JML, Shokat KM. Direct small-molecule inhibitors of KRAS: from structural insights </w:t>
      </w:r>
      <w:r w:rsidR="00F54DFC">
        <w:rPr>
          <w:rFonts w:ascii="Times New Roman" w:hAnsi="Times New Roman"/>
          <w:sz w:val="24"/>
          <w:szCs w:val="24"/>
        </w:rPr>
        <w:tab/>
      </w:r>
      <w:r w:rsidRPr="00636E88">
        <w:rPr>
          <w:rFonts w:ascii="Times New Roman" w:hAnsi="Times New Roman"/>
          <w:sz w:val="24"/>
          <w:szCs w:val="24"/>
        </w:rPr>
        <w:t>to mechanism-based design. Nat Rev Drug Discov. 2016;15(11):771–85</w:t>
      </w:r>
    </w:p>
    <w:p w14:paraId="1E034A26"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Ozer J, Ratner M, Shaw M, Bailey W, Schomaker S. The current state of serum biomarkers of </w:t>
      </w:r>
      <w:r>
        <w:rPr>
          <w:rFonts w:ascii="Times New Roman" w:hAnsi="Times New Roman"/>
          <w:sz w:val="24"/>
          <w:szCs w:val="24"/>
        </w:rPr>
        <w:tab/>
      </w:r>
      <w:r w:rsidRPr="00636E88">
        <w:rPr>
          <w:rFonts w:ascii="Times New Roman" w:hAnsi="Times New Roman"/>
          <w:sz w:val="24"/>
          <w:szCs w:val="24"/>
        </w:rPr>
        <w:t>hepatotoxicity. Toxicology. 2008; 245(3):194–205.</w:t>
      </w:r>
    </w:p>
    <w:p w14:paraId="7F405404" w14:textId="422C36C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Pai KJ, Pischon T, Jing MA, Manson JE, Susan EH, Joshipura K, Curhan CG, Rifai N, </w:t>
      </w:r>
      <w:r w:rsidR="00F54DFC">
        <w:rPr>
          <w:rFonts w:ascii="Times New Roman" w:hAnsi="Times New Roman"/>
          <w:sz w:val="24"/>
          <w:szCs w:val="24"/>
        </w:rPr>
        <w:tab/>
      </w:r>
      <w:r w:rsidRPr="00636E88">
        <w:rPr>
          <w:rFonts w:ascii="Times New Roman" w:hAnsi="Times New Roman"/>
          <w:sz w:val="24"/>
          <w:szCs w:val="24"/>
        </w:rPr>
        <w:t xml:space="preserve">Cannuscio CC, Stampfer MJ, Rimm EB. Inflammatory markers and the risk of coronary </w:t>
      </w:r>
      <w:r w:rsidR="00F54DFC">
        <w:rPr>
          <w:rFonts w:ascii="Times New Roman" w:hAnsi="Times New Roman"/>
          <w:sz w:val="24"/>
          <w:szCs w:val="24"/>
        </w:rPr>
        <w:tab/>
      </w:r>
      <w:r w:rsidRPr="00636E88">
        <w:rPr>
          <w:rFonts w:ascii="Times New Roman" w:hAnsi="Times New Roman"/>
          <w:sz w:val="24"/>
          <w:szCs w:val="24"/>
        </w:rPr>
        <w:t>heart disease in men and women. N Engl Med 2004; 351: 2599-610.</w:t>
      </w:r>
    </w:p>
    <w:p w14:paraId="61E410D7" w14:textId="67C7977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Peinado H, Aleckovic M, Lavotshkin S, Matei I, Costa-Silva B, Moreno-Bueno G, et al. </w:t>
      </w:r>
      <w:r w:rsidR="00F54DFC">
        <w:rPr>
          <w:rFonts w:ascii="Times New Roman" w:hAnsi="Times New Roman"/>
          <w:sz w:val="24"/>
          <w:szCs w:val="24"/>
        </w:rPr>
        <w:tab/>
      </w:r>
      <w:r w:rsidRPr="00636E88">
        <w:rPr>
          <w:rFonts w:ascii="Times New Roman" w:hAnsi="Times New Roman"/>
          <w:sz w:val="24"/>
          <w:szCs w:val="24"/>
        </w:rPr>
        <w:t>Melanoma exosomes educate bone marrow progenitor cells toward a prometastatic</w:t>
      </w:r>
      <w:r w:rsidR="00F54DFC">
        <w:rPr>
          <w:rFonts w:ascii="Times New Roman" w:hAnsi="Times New Roman"/>
          <w:sz w:val="24"/>
          <w:szCs w:val="24"/>
        </w:rPr>
        <w:tab/>
      </w:r>
      <w:r w:rsidRPr="00636E88">
        <w:rPr>
          <w:rFonts w:ascii="Times New Roman" w:hAnsi="Times New Roman"/>
          <w:sz w:val="24"/>
          <w:szCs w:val="24"/>
        </w:rPr>
        <w:t xml:space="preserve"> phenotype through MET. Nat Med. 2012;18:883–91.</w:t>
      </w:r>
    </w:p>
    <w:p w14:paraId="0566FDD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Pepys MB, Hirschfield GM. C-reactive protein: a critical update. J Clin Invest 2003; 111: 1805-</w:t>
      </w:r>
      <w:r>
        <w:rPr>
          <w:rFonts w:ascii="Times New Roman" w:hAnsi="Times New Roman"/>
          <w:sz w:val="24"/>
          <w:szCs w:val="24"/>
        </w:rPr>
        <w:tab/>
      </w:r>
      <w:r w:rsidRPr="00636E88">
        <w:rPr>
          <w:rFonts w:ascii="Times New Roman" w:hAnsi="Times New Roman"/>
          <w:sz w:val="24"/>
          <w:szCs w:val="24"/>
        </w:rPr>
        <w:t>12.</w:t>
      </w:r>
    </w:p>
    <w:p w14:paraId="5B24227A"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Pfeffer K. Biological functions of tumor necrosis factor cytokines and their receptors. Cytokine </w:t>
      </w:r>
      <w:r>
        <w:rPr>
          <w:rFonts w:ascii="Times New Roman" w:hAnsi="Times New Roman"/>
          <w:sz w:val="24"/>
          <w:szCs w:val="24"/>
        </w:rPr>
        <w:tab/>
      </w:r>
      <w:r w:rsidRPr="00636E88">
        <w:rPr>
          <w:rFonts w:ascii="Times New Roman" w:hAnsi="Times New Roman"/>
          <w:sz w:val="24"/>
          <w:szCs w:val="24"/>
        </w:rPr>
        <w:t>Growth Factor Rev. 2003;14(3–4): 185–191.</w:t>
      </w:r>
    </w:p>
    <w:p w14:paraId="144B7D36" w14:textId="0F80560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Pickup JC, Mattock MB, Chusney GD, Burt D. NIDDM as a disease of the innate immune </w:t>
      </w:r>
      <w:r w:rsidR="00F54DFC">
        <w:rPr>
          <w:rFonts w:ascii="Times New Roman" w:hAnsi="Times New Roman"/>
          <w:sz w:val="24"/>
          <w:szCs w:val="24"/>
        </w:rPr>
        <w:tab/>
      </w:r>
      <w:r w:rsidRPr="00636E88">
        <w:rPr>
          <w:rFonts w:ascii="Times New Roman" w:hAnsi="Times New Roman"/>
          <w:sz w:val="24"/>
          <w:szCs w:val="24"/>
        </w:rPr>
        <w:t>system:</w:t>
      </w:r>
      <w:r w:rsidR="00F54DFC">
        <w:rPr>
          <w:rFonts w:ascii="Times New Roman" w:hAnsi="Times New Roman"/>
          <w:sz w:val="24"/>
          <w:szCs w:val="24"/>
        </w:rPr>
        <w:t xml:space="preserve"> </w:t>
      </w:r>
      <w:r w:rsidRPr="00636E88">
        <w:rPr>
          <w:rFonts w:ascii="Times New Roman" w:hAnsi="Times New Roman"/>
          <w:sz w:val="24"/>
          <w:szCs w:val="24"/>
        </w:rPr>
        <w:t xml:space="preserve">association of acute-phase reactants and IL-6 with metabolic syndrome X. </w:t>
      </w:r>
      <w:r w:rsidR="00F54DFC">
        <w:rPr>
          <w:rFonts w:ascii="Times New Roman" w:hAnsi="Times New Roman"/>
          <w:sz w:val="24"/>
          <w:szCs w:val="24"/>
        </w:rPr>
        <w:tab/>
      </w:r>
      <w:r w:rsidRPr="00636E88">
        <w:rPr>
          <w:rFonts w:ascii="Times New Roman" w:hAnsi="Times New Roman"/>
          <w:sz w:val="24"/>
          <w:szCs w:val="24"/>
        </w:rPr>
        <w:t xml:space="preserve">Diabetologia. </w:t>
      </w:r>
      <w:r>
        <w:rPr>
          <w:rFonts w:ascii="Times New Roman" w:hAnsi="Times New Roman"/>
          <w:sz w:val="24"/>
          <w:szCs w:val="24"/>
        </w:rPr>
        <w:tab/>
      </w:r>
      <w:r w:rsidRPr="00636E88">
        <w:rPr>
          <w:rFonts w:ascii="Times New Roman" w:hAnsi="Times New Roman"/>
          <w:sz w:val="24"/>
          <w:szCs w:val="24"/>
        </w:rPr>
        <w:t>1997;40:1286 –1292.</w:t>
      </w:r>
    </w:p>
    <w:p w14:paraId="2F0F40C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Pickup JC. Inflammation and activated innate immunity in the pathogenesis of type 2 diabetes. </w:t>
      </w:r>
      <w:r>
        <w:rPr>
          <w:rFonts w:ascii="Times New Roman" w:hAnsi="Times New Roman"/>
          <w:sz w:val="24"/>
          <w:szCs w:val="24"/>
        </w:rPr>
        <w:tab/>
      </w:r>
      <w:r w:rsidRPr="00636E88">
        <w:rPr>
          <w:rFonts w:ascii="Times New Roman" w:hAnsi="Times New Roman"/>
          <w:sz w:val="24"/>
          <w:szCs w:val="24"/>
        </w:rPr>
        <w:t>Diabetes Care. 2004;27:813– 823.</w:t>
      </w:r>
    </w:p>
    <w:p w14:paraId="77341888"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Pickup JC: Inflammation and activated innate immunity in the pathogen-esis of type 2 diabetes. </w:t>
      </w:r>
      <w:r>
        <w:rPr>
          <w:rFonts w:ascii="Times New Roman" w:hAnsi="Times New Roman"/>
          <w:sz w:val="24"/>
          <w:szCs w:val="24"/>
        </w:rPr>
        <w:tab/>
      </w:r>
      <w:r w:rsidRPr="00636E88">
        <w:rPr>
          <w:rFonts w:ascii="Times New Roman" w:hAnsi="Times New Roman"/>
          <w:sz w:val="24"/>
          <w:szCs w:val="24"/>
        </w:rPr>
        <w:t>Diabetes Care 27:813– 823, 2004</w:t>
      </w:r>
      <w:r>
        <w:rPr>
          <w:rFonts w:ascii="Times New Roman" w:hAnsi="Times New Roman"/>
          <w:sz w:val="24"/>
          <w:szCs w:val="24"/>
        </w:rPr>
        <w:t>.</w:t>
      </w:r>
    </w:p>
    <w:p w14:paraId="249E133E" w14:textId="761287C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Povova J, Ambroz P, Bar M, Pavukova V, et al. Epidemiological of and risk factors for </w:t>
      </w:r>
      <w:r>
        <w:rPr>
          <w:rFonts w:ascii="Times New Roman" w:hAnsi="Times New Roman"/>
          <w:sz w:val="24"/>
          <w:szCs w:val="24"/>
        </w:rPr>
        <w:tab/>
      </w:r>
      <w:r w:rsidRPr="00636E88">
        <w:rPr>
          <w:rFonts w:ascii="Times New Roman" w:hAnsi="Times New Roman"/>
          <w:sz w:val="24"/>
          <w:szCs w:val="24"/>
        </w:rPr>
        <w:t xml:space="preserve">Alzheimer’s disease: A review. Biomed Pap Med FacUnivPalacky Olomouc Czech </w:t>
      </w:r>
      <w:r w:rsidR="00F54DFC">
        <w:rPr>
          <w:rFonts w:ascii="Times New Roman" w:hAnsi="Times New Roman"/>
          <w:sz w:val="24"/>
          <w:szCs w:val="24"/>
        </w:rPr>
        <w:tab/>
      </w:r>
      <w:r w:rsidRPr="00636E88">
        <w:rPr>
          <w:rFonts w:ascii="Times New Roman" w:hAnsi="Times New Roman"/>
          <w:sz w:val="24"/>
          <w:szCs w:val="24"/>
        </w:rPr>
        <w:t>Repub. 2012; 156:108</w:t>
      </w:r>
    </w:p>
    <w:p w14:paraId="5F54F27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Pradhan AD, Cook NR, Buring JE, Manson JE, Ridker PM. C-reactive protein is independently </w:t>
      </w:r>
      <w:r>
        <w:rPr>
          <w:rFonts w:ascii="Times New Roman" w:hAnsi="Times New Roman"/>
          <w:sz w:val="24"/>
          <w:szCs w:val="24"/>
        </w:rPr>
        <w:tab/>
      </w:r>
      <w:r w:rsidRPr="00636E88">
        <w:rPr>
          <w:rFonts w:ascii="Times New Roman" w:hAnsi="Times New Roman"/>
          <w:sz w:val="24"/>
          <w:szCs w:val="24"/>
        </w:rPr>
        <w:t xml:space="preserve">associated with fasting insulin in nondiabetic women. Arterioscler Thromb Vasc Biol. </w:t>
      </w:r>
      <w:r>
        <w:rPr>
          <w:rFonts w:ascii="Times New Roman" w:hAnsi="Times New Roman"/>
          <w:sz w:val="24"/>
          <w:szCs w:val="24"/>
        </w:rPr>
        <w:tab/>
      </w:r>
      <w:r w:rsidRPr="00636E88">
        <w:rPr>
          <w:rFonts w:ascii="Times New Roman" w:hAnsi="Times New Roman"/>
          <w:sz w:val="24"/>
          <w:szCs w:val="24"/>
        </w:rPr>
        <w:t>2003;23:650 – 655.</w:t>
      </w:r>
    </w:p>
    <w:p w14:paraId="58E76B64"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Pradhan AD, Cook NR, Buring JE, Manson JE, Ridker PM. C-reactive protein is independently </w:t>
      </w:r>
      <w:r>
        <w:rPr>
          <w:rFonts w:ascii="Times New Roman" w:hAnsi="Times New Roman"/>
          <w:sz w:val="24"/>
          <w:szCs w:val="24"/>
        </w:rPr>
        <w:tab/>
      </w:r>
      <w:r w:rsidRPr="00636E88">
        <w:rPr>
          <w:rFonts w:ascii="Times New Roman" w:hAnsi="Times New Roman"/>
          <w:sz w:val="24"/>
          <w:szCs w:val="24"/>
        </w:rPr>
        <w:t>associated with fasting insulin. Biol 2003; 23(4): 650-5.</w:t>
      </w:r>
    </w:p>
    <w:p w14:paraId="410FCE3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Pradhan AD, Manson JE, Rifai N, Buring JE, Ridker PM. C-reactive protein, interleukin-6 and </w:t>
      </w:r>
      <w:r>
        <w:rPr>
          <w:rFonts w:ascii="Times New Roman" w:hAnsi="Times New Roman"/>
          <w:sz w:val="24"/>
          <w:szCs w:val="24"/>
        </w:rPr>
        <w:tab/>
      </w:r>
      <w:r w:rsidRPr="00636E88">
        <w:rPr>
          <w:rFonts w:ascii="Times New Roman" w:hAnsi="Times New Roman"/>
          <w:sz w:val="24"/>
          <w:szCs w:val="24"/>
        </w:rPr>
        <w:t>risk of developing type 2 diabetes mellitus. JAMA 2001; 28: 327.</w:t>
      </w:r>
    </w:p>
    <w:p w14:paraId="1666191A" w14:textId="003BAD3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Rafique G, Azam, SI, White F. Diabetes knowledge, beliefs and practices among people with </w:t>
      </w:r>
      <w:r>
        <w:rPr>
          <w:rFonts w:ascii="Times New Roman" w:hAnsi="Times New Roman"/>
          <w:sz w:val="24"/>
          <w:szCs w:val="24"/>
        </w:rPr>
        <w:tab/>
      </w:r>
      <w:r w:rsidRPr="00636E88">
        <w:rPr>
          <w:rFonts w:ascii="Times New Roman" w:hAnsi="Times New Roman"/>
          <w:sz w:val="24"/>
          <w:szCs w:val="24"/>
        </w:rPr>
        <w:t>diabetes attending a university hospital in Karachi, Pakistan. East Mediterr Health J</w:t>
      </w:r>
      <w:r w:rsidR="00F54DFC">
        <w:rPr>
          <w:rFonts w:ascii="Times New Roman" w:hAnsi="Times New Roman"/>
          <w:sz w:val="24"/>
          <w:szCs w:val="24"/>
        </w:rPr>
        <w:tab/>
      </w:r>
      <w:r w:rsidRPr="00636E88">
        <w:rPr>
          <w:rFonts w:ascii="Times New Roman" w:hAnsi="Times New Roman"/>
          <w:sz w:val="24"/>
          <w:szCs w:val="24"/>
        </w:rPr>
        <w:t xml:space="preserve"> 2006; </w:t>
      </w:r>
      <w:r w:rsidR="00F54DFC">
        <w:rPr>
          <w:rFonts w:ascii="Times New Roman" w:hAnsi="Times New Roman"/>
          <w:sz w:val="24"/>
          <w:szCs w:val="24"/>
        </w:rPr>
        <w:t>1</w:t>
      </w:r>
      <w:r w:rsidRPr="00636E88">
        <w:rPr>
          <w:rFonts w:ascii="Times New Roman" w:hAnsi="Times New Roman"/>
          <w:sz w:val="24"/>
          <w:szCs w:val="24"/>
        </w:rPr>
        <w:t>2: 590-7.</w:t>
      </w:r>
    </w:p>
    <w:p w14:paraId="65DDB21D"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Reaven GM. Role of insulin resistance in human disease. Diabetes.1988;37:1595–1606.</w:t>
      </w:r>
    </w:p>
    <w:p w14:paraId="0507012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Reaven GM: Role of insulin resistance in human disease. Diabetes 37:1595–1607, 1988</w:t>
      </w:r>
      <w:r>
        <w:rPr>
          <w:rFonts w:ascii="Times New Roman" w:hAnsi="Times New Roman"/>
          <w:sz w:val="24"/>
          <w:szCs w:val="24"/>
        </w:rPr>
        <w:t>.</w:t>
      </w:r>
    </w:p>
    <w:p w14:paraId="78C4810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Ridker PM, et al; C-Reactive Protein and Other markers of Inflammation in the Prediction of </w:t>
      </w:r>
      <w:r>
        <w:rPr>
          <w:rFonts w:ascii="Times New Roman" w:hAnsi="Times New Roman"/>
          <w:sz w:val="24"/>
          <w:szCs w:val="24"/>
        </w:rPr>
        <w:tab/>
      </w:r>
      <w:r w:rsidRPr="00636E88">
        <w:rPr>
          <w:rFonts w:ascii="Times New Roman" w:hAnsi="Times New Roman"/>
          <w:sz w:val="24"/>
          <w:szCs w:val="24"/>
        </w:rPr>
        <w:t>Cardiovascular Disease in Women. N Engl J Med, 2000; 342:836-43.</w:t>
      </w:r>
    </w:p>
    <w:p w14:paraId="25978C91" w14:textId="5451954A"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Ridker PM, Rifai N, Rose L, Buring JE, Cook NR. Comparison of C-reactive protein and low</w:t>
      </w:r>
      <w:r w:rsidR="00F54DFC">
        <w:rPr>
          <w:rFonts w:ascii="Times New Roman" w:hAnsi="Times New Roman"/>
          <w:sz w:val="24"/>
          <w:szCs w:val="24"/>
        </w:rPr>
        <w:tab/>
      </w:r>
      <w:r w:rsidRPr="00636E88">
        <w:rPr>
          <w:rFonts w:ascii="Times New Roman" w:hAnsi="Times New Roman"/>
          <w:sz w:val="24"/>
          <w:szCs w:val="24"/>
        </w:rPr>
        <w:t xml:space="preserve"> density lipoproteins cholesterol levels in the prediction of first cardiovascular events. </w:t>
      </w:r>
      <w:r w:rsidR="00F54DFC">
        <w:rPr>
          <w:rFonts w:ascii="Times New Roman" w:hAnsi="Times New Roman"/>
          <w:sz w:val="24"/>
          <w:szCs w:val="24"/>
        </w:rPr>
        <w:tab/>
      </w:r>
      <w:r w:rsidRPr="00636E88">
        <w:rPr>
          <w:rFonts w:ascii="Times New Roman" w:hAnsi="Times New Roman"/>
          <w:sz w:val="24"/>
          <w:szCs w:val="24"/>
        </w:rPr>
        <w:t>N Eng J Med 2002; 347: 1557-65.</w:t>
      </w:r>
    </w:p>
    <w:p w14:paraId="41F85D09" w14:textId="559D336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Roberto T, Dodesini AR, Lepore G. Lipid and renal disease. J Am SocNephrol 2006; 17: 145-</w:t>
      </w:r>
      <w:r w:rsidR="00390379">
        <w:rPr>
          <w:rFonts w:ascii="Times New Roman" w:hAnsi="Times New Roman"/>
          <w:sz w:val="24"/>
          <w:szCs w:val="24"/>
        </w:rPr>
        <w:tab/>
      </w:r>
      <w:r w:rsidRPr="00636E88">
        <w:rPr>
          <w:rFonts w:ascii="Times New Roman" w:hAnsi="Times New Roman"/>
          <w:sz w:val="24"/>
          <w:szCs w:val="24"/>
        </w:rPr>
        <w:t>7.</w:t>
      </w:r>
    </w:p>
    <w:p w14:paraId="7015EB3F" w14:textId="1A193F46"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Rodríguez Zorrilla S, Pérez-Sayans M. A Pilot Clinical Study on the Prognostic Relevance of </w:t>
      </w:r>
      <w:r>
        <w:rPr>
          <w:rFonts w:ascii="Times New Roman" w:hAnsi="Times New Roman"/>
          <w:sz w:val="24"/>
          <w:szCs w:val="24"/>
        </w:rPr>
        <w:tab/>
      </w:r>
      <w:r w:rsidRPr="00636E88">
        <w:rPr>
          <w:rFonts w:ascii="Times New Roman" w:hAnsi="Times New Roman"/>
          <w:sz w:val="24"/>
          <w:szCs w:val="24"/>
        </w:rPr>
        <w:t xml:space="preserve">Plasmatic Exosomes Levels in Oral Squamous Cell Carcinoma Patients. Cancers </w:t>
      </w:r>
      <w:r w:rsidR="00390379">
        <w:rPr>
          <w:rFonts w:ascii="Times New Roman" w:hAnsi="Times New Roman"/>
          <w:sz w:val="24"/>
          <w:szCs w:val="24"/>
        </w:rPr>
        <w:tab/>
      </w:r>
      <w:r w:rsidRPr="00636E88">
        <w:rPr>
          <w:rFonts w:ascii="Times New Roman" w:hAnsi="Times New Roman"/>
          <w:sz w:val="24"/>
          <w:szCs w:val="24"/>
        </w:rPr>
        <w:t>(Basel).</w:t>
      </w:r>
      <w:r w:rsidR="00390379">
        <w:rPr>
          <w:rFonts w:ascii="Times New Roman" w:hAnsi="Times New Roman"/>
          <w:sz w:val="24"/>
          <w:szCs w:val="24"/>
        </w:rPr>
        <w:t xml:space="preserve"> </w:t>
      </w:r>
      <w:r w:rsidRPr="00636E88">
        <w:rPr>
          <w:rFonts w:ascii="Times New Roman" w:hAnsi="Times New Roman"/>
          <w:sz w:val="24"/>
          <w:szCs w:val="24"/>
        </w:rPr>
        <w:t>2019;</w:t>
      </w:r>
      <w:r w:rsidR="00390379">
        <w:rPr>
          <w:rFonts w:ascii="Times New Roman" w:hAnsi="Times New Roman"/>
          <w:sz w:val="24"/>
          <w:szCs w:val="24"/>
        </w:rPr>
        <w:t xml:space="preserve"> </w:t>
      </w:r>
      <w:r w:rsidRPr="00636E88">
        <w:rPr>
          <w:rFonts w:ascii="Times New Roman" w:hAnsi="Times New Roman"/>
          <w:sz w:val="24"/>
          <w:szCs w:val="24"/>
        </w:rPr>
        <w:t>11:</w:t>
      </w:r>
      <w:r w:rsidR="00390379">
        <w:rPr>
          <w:rFonts w:ascii="Times New Roman" w:hAnsi="Times New Roman"/>
          <w:sz w:val="24"/>
          <w:szCs w:val="24"/>
        </w:rPr>
        <w:t xml:space="preserve"> </w:t>
      </w:r>
      <w:r w:rsidRPr="00636E88">
        <w:rPr>
          <w:rFonts w:ascii="Times New Roman" w:hAnsi="Times New Roman"/>
          <w:sz w:val="24"/>
          <w:szCs w:val="24"/>
        </w:rPr>
        <w:t>429.</w:t>
      </w:r>
    </w:p>
    <w:p w14:paraId="13EECCF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Rogawski MA and Wenk GL. The neuropharmacological basis for the use of Memantine in the </w:t>
      </w:r>
      <w:r>
        <w:rPr>
          <w:rFonts w:ascii="Times New Roman" w:hAnsi="Times New Roman"/>
          <w:sz w:val="24"/>
          <w:szCs w:val="24"/>
        </w:rPr>
        <w:tab/>
      </w:r>
      <w:r w:rsidRPr="00636E88">
        <w:rPr>
          <w:rFonts w:ascii="Times New Roman" w:hAnsi="Times New Roman"/>
          <w:sz w:val="24"/>
          <w:szCs w:val="24"/>
        </w:rPr>
        <w:t>treatment of Alzheimer’s disease. CNS Drug Rev. 2003; 9: 275-308.</w:t>
      </w:r>
    </w:p>
    <w:p w14:paraId="4B391989"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ROSS R; Atherosclerosis: an inflammatory disease. N Engl J Med, 1999; 340:115-126.</w:t>
      </w:r>
    </w:p>
    <w:p w14:paraId="68956A65" w14:textId="14C9533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Roth C, Pantel K, Müller V, Rack B, Janni W, Schwarzenbach H: Apoptosis related</w:t>
      </w:r>
      <w:r w:rsidR="00390379">
        <w:rPr>
          <w:rFonts w:ascii="Times New Roman" w:hAnsi="Times New Roman"/>
          <w:sz w:val="24"/>
          <w:szCs w:val="24"/>
        </w:rPr>
        <w:tab/>
      </w:r>
      <w:r w:rsidRPr="00636E88">
        <w:rPr>
          <w:rFonts w:ascii="Times New Roman" w:hAnsi="Times New Roman"/>
          <w:sz w:val="24"/>
          <w:szCs w:val="24"/>
        </w:rPr>
        <w:t xml:space="preserve">deregulation </w:t>
      </w:r>
      <w:r>
        <w:rPr>
          <w:rFonts w:ascii="Times New Roman" w:hAnsi="Times New Roman"/>
          <w:sz w:val="24"/>
          <w:szCs w:val="24"/>
        </w:rPr>
        <w:tab/>
      </w:r>
      <w:r w:rsidRPr="00636E88">
        <w:rPr>
          <w:rFonts w:ascii="Times New Roman" w:hAnsi="Times New Roman"/>
          <w:sz w:val="24"/>
          <w:szCs w:val="24"/>
        </w:rPr>
        <w:t xml:space="preserve">of proteolytic activities and high serum levels of circulating </w:t>
      </w:r>
      <w:r w:rsidR="00390379">
        <w:rPr>
          <w:rFonts w:ascii="Times New Roman" w:hAnsi="Times New Roman"/>
          <w:sz w:val="24"/>
          <w:szCs w:val="24"/>
        </w:rPr>
        <w:tab/>
      </w:r>
      <w:r w:rsidRPr="00636E88">
        <w:rPr>
          <w:rFonts w:ascii="Times New Roman" w:hAnsi="Times New Roman"/>
          <w:sz w:val="24"/>
          <w:szCs w:val="24"/>
        </w:rPr>
        <w:t xml:space="preserve">nucleosomes and DNA in blood correlate with breast cancer progression. BMC Cancer </w:t>
      </w:r>
      <w:r w:rsidR="00390379">
        <w:rPr>
          <w:rFonts w:ascii="Times New Roman" w:hAnsi="Times New Roman"/>
          <w:sz w:val="24"/>
          <w:szCs w:val="24"/>
        </w:rPr>
        <w:tab/>
      </w:r>
      <w:r w:rsidRPr="00636E88">
        <w:rPr>
          <w:rFonts w:ascii="Times New Roman" w:hAnsi="Times New Roman"/>
          <w:sz w:val="24"/>
          <w:szCs w:val="24"/>
        </w:rPr>
        <w:t>2010, 11:4.</w:t>
      </w:r>
    </w:p>
    <w:p w14:paraId="471F856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Rowley JW, Oler AJ, Tolley ND, et al. Genome-wide RNA-seq analysis of human and mouse </w:t>
      </w:r>
      <w:r>
        <w:rPr>
          <w:rFonts w:ascii="Times New Roman" w:hAnsi="Times New Roman"/>
          <w:sz w:val="24"/>
          <w:szCs w:val="24"/>
        </w:rPr>
        <w:tab/>
      </w:r>
      <w:r w:rsidRPr="00636E88">
        <w:rPr>
          <w:rFonts w:ascii="Times New Roman" w:hAnsi="Times New Roman"/>
          <w:sz w:val="24"/>
          <w:szCs w:val="24"/>
        </w:rPr>
        <w:t>platelet transcriptomes. Blood. 2011;118(14): e101–e111.</w:t>
      </w:r>
    </w:p>
    <w:p w14:paraId="1F4E6D2F"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Sakkinen P, Abbott RD, Curb JD, et al. C-reactive protein and myocardial infarction. J Clin </w:t>
      </w:r>
      <w:r>
        <w:rPr>
          <w:rFonts w:ascii="Times New Roman" w:hAnsi="Times New Roman"/>
          <w:sz w:val="24"/>
          <w:szCs w:val="24"/>
        </w:rPr>
        <w:tab/>
      </w:r>
      <w:r w:rsidRPr="00636E88">
        <w:rPr>
          <w:rFonts w:ascii="Times New Roman" w:hAnsi="Times New Roman"/>
          <w:sz w:val="24"/>
          <w:szCs w:val="24"/>
        </w:rPr>
        <w:t>Epidemiol. 2002; 55: 445–451</w:t>
      </w:r>
    </w:p>
    <w:p w14:paraId="1EBF5B99"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Sakkinen PA, Wahl P, Cushman M, Lewis MR, Tracy RP. Clustering of pro coagulation, </w:t>
      </w:r>
      <w:r>
        <w:rPr>
          <w:rFonts w:ascii="Times New Roman" w:hAnsi="Times New Roman"/>
          <w:sz w:val="24"/>
          <w:szCs w:val="24"/>
        </w:rPr>
        <w:tab/>
      </w:r>
      <w:r w:rsidRPr="00636E88">
        <w:rPr>
          <w:rFonts w:ascii="Times New Roman" w:hAnsi="Times New Roman"/>
          <w:sz w:val="24"/>
          <w:szCs w:val="24"/>
        </w:rPr>
        <w:t xml:space="preserve">inflammation, and fibrinolysis variables with metabolic factors in insulin resistance </w:t>
      </w:r>
      <w:r>
        <w:rPr>
          <w:rFonts w:ascii="Times New Roman" w:hAnsi="Times New Roman"/>
          <w:sz w:val="24"/>
          <w:szCs w:val="24"/>
        </w:rPr>
        <w:tab/>
      </w:r>
      <w:r w:rsidRPr="00636E88">
        <w:rPr>
          <w:rFonts w:ascii="Times New Roman" w:hAnsi="Times New Roman"/>
          <w:sz w:val="24"/>
          <w:szCs w:val="24"/>
        </w:rPr>
        <w:t>syndrome. Am J Epidemiol.  2000;152:897–907.</w:t>
      </w:r>
    </w:p>
    <w:p w14:paraId="2E29C6EA"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Salminen WF, Yang X, Shi Q, Mendrick DL. Using microRNA as biomarkers of drug-induced </w:t>
      </w:r>
      <w:r>
        <w:rPr>
          <w:rFonts w:ascii="Times New Roman" w:hAnsi="Times New Roman"/>
          <w:sz w:val="24"/>
          <w:szCs w:val="24"/>
        </w:rPr>
        <w:tab/>
      </w:r>
      <w:r w:rsidRPr="00636E88">
        <w:rPr>
          <w:rFonts w:ascii="Times New Roman" w:hAnsi="Times New Roman"/>
          <w:sz w:val="24"/>
          <w:szCs w:val="24"/>
        </w:rPr>
        <w:t>liver injury. J Mol Biomark Diagn. 2011;2(5):119.</w:t>
      </w:r>
    </w:p>
    <w:p w14:paraId="13C0B9AE" w14:textId="2CE71CAA"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Santana I, Farinha F, Freitas S, et al. The epidemiology of dementia and Alzheimer’s disease</w:t>
      </w:r>
      <w:r w:rsidR="00390379">
        <w:rPr>
          <w:rFonts w:ascii="Times New Roman" w:hAnsi="Times New Roman"/>
          <w:sz w:val="24"/>
          <w:szCs w:val="24"/>
        </w:rPr>
        <w:tab/>
      </w:r>
      <w:r w:rsidRPr="00636E88">
        <w:rPr>
          <w:rFonts w:ascii="Times New Roman" w:hAnsi="Times New Roman"/>
          <w:sz w:val="24"/>
          <w:szCs w:val="24"/>
        </w:rPr>
        <w:t xml:space="preserve"> in Portugal: estimations of prevalence and treatment costs. ActaMédica Portuguesa.</w:t>
      </w:r>
      <w:r w:rsidR="00390379">
        <w:rPr>
          <w:rFonts w:ascii="Times New Roman" w:hAnsi="Times New Roman"/>
          <w:sz w:val="24"/>
          <w:szCs w:val="24"/>
        </w:rPr>
        <w:tab/>
      </w:r>
      <w:r w:rsidRPr="00636E88">
        <w:rPr>
          <w:rFonts w:ascii="Times New Roman" w:hAnsi="Times New Roman"/>
          <w:sz w:val="24"/>
          <w:szCs w:val="24"/>
        </w:rPr>
        <w:t xml:space="preserve"> 2015; 28: 182-188.</w:t>
      </w:r>
    </w:p>
    <w:p w14:paraId="63A0044D"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Santos WB, Mesquita ET, Vieira RM, Olej B, et al. Proteína-C-reativa e doença cardiovascular </w:t>
      </w:r>
      <w:r>
        <w:rPr>
          <w:rFonts w:ascii="Times New Roman" w:hAnsi="Times New Roman"/>
          <w:sz w:val="24"/>
          <w:szCs w:val="24"/>
        </w:rPr>
        <w:tab/>
      </w:r>
      <w:r w:rsidRPr="00636E88">
        <w:rPr>
          <w:rFonts w:ascii="Times New Roman" w:hAnsi="Times New Roman"/>
          <w:sz w:val="24"/>
          <w:szCs w:val="24"/>
        </w:rPr>
        <w:t>Arq Bras Cardiol 2003; 80: 452-6.</w:t>
      </w:r>
    </w:p>
    <w:p w14:paraId="0CD1F1BE"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Sattar N, Gaw A, Scherbakova O, Ford I, O’Reilly DS, Haffner SM, Isles C, Macfarlane PW, </w:t>
      </w:r>
      <w:r>
        <w:rPr>
          <w:rFonts w:ascii="Times New Roman" w:hAnsi="Times New Roman"/>
          <w:sz w:val="24"/>
          <w:szCs w:val="24"/>
        </w:rPr>
        <w:tab/>
      </w:r>
      <w:r w:rsidRPr="00636E88">
        <w:rPr>
          <w:rFonts w:ascii="Times New Roman" w:hAnsi="Times New Roman"/>
          <w:sz w:val="24"/>
          <w:szCs w:val="24"/>
        </w:rPr>
        <w:t xml:space="preserve">Packard CJ, Cobbe SM, Shepherd J. Metabolic syndrome with and without C-reactive </w:t>
      </w:r>
      <w:r>
        <w:rPr>
          <w:rFonts w:ascii="Times New Roman" w:hAnsi="Times New Roman"/>
          <w:sz w:val="24"/>
          <w:szCs w:val="24"/>
        </w:rPr>
        <w:tab/>
      </w:r>
      <w:r w:rsidRPr="00636E88">
        <w:rPr>
          <w:rFonts w:ascii="Times New Roman" w:hAnsi="Times New Roman"/>
          <w:sz w:val="24"/>
          <w:szCs w:val="24"/>
        </w:rPr>
        <w:t xml:space="preserve">protein as a predictor of coronary heart disease and diabetes in the West of Scotland </w:t>
      </w:r>
      <w:r>
        <w:rPr>
          <w:rFonts w:ascii="Times New Roman" w:hAnsi="Times New Roman"/>
          <w:sz w:val="24"/>
          <w:szCs w:val="24"/>
        </w:rPr>
        <w:tab/>
      </w:r>
      <w:r w:rsidRPr="00636E88">
        <w:rPr>
          <w:rFonts w:ascii="Times New Roman" w:hAnsi="Times New Roman"/>
          <w:sz w:val="24"/>
          <w:szCs w:val="24"/>
        </w:rPr>
        <w:t>Coronary Prevention Study. Circulation. 2003;108:414 – 419.</w:t>
      </w:r>
    </w:p>
    <w:p w14:paraId="6D33AB7C" w14:textId="2B71223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Scaffidi P, Misteli T, Bianchi ME. Release of chromatin protein HMGB1 by necrotic cells </w:t>
      </w:r>
      <w:r w:rsidR="00390379">
        <w:rPr>
          <w:rFonts w:ascii="Times New Roman" w:hAnsi="Times New Roman"/>
          <w:sz w:val="24"/>
          <w:szCs w:val="24"/>
        </w:rPr>
        <w:tab/>
      </w:r>
      <w:r w:rsidRPr="00636E88">
        <w:rPr>
          <w:rFonts w:ascii="Times New Roman" w:hAnsi="Times New Roman"/>
          <w:sz w:val="24"/>
          <w:szCs w:val="24"/>
        </w:rPr>
        <w:t>triggers inflammation. Nature. 2002;418(6894):191–195.</w:t>
      </w:r>
    </w:p>
    <w:p w14:paraId="7246AD5A" w14:textId="2E260C7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Schönbeck U., Libby P. Inflammation, Immunity, and HMG-CoA Reductase Inhibitors: Statins </w:t>
      </w:r>
      <w:r>
        <w:rPr>
          <w:rFonts w:ascii="Times New Roman" w:hAnsi="Times New Roman"/>
          <w:sz w:val="24"/>
          <w:szCs w:val="24"/>
        </w:rPr>
        <w:tab/>
      </w:r>
      <w:r w:rsidRPr="00636E88">
        <w:rPr>
          <w:rFonts w:ascii="Times New Roman" w:hAnsi="Times New Roman"/>
          <w:sz w:val="24"/>
          <w:szCs w:val="24"/>
        </w:rPr>
        <w:t>as Anti inflammatory Agents? Circulation, Jun 2004; 109: II-18 – II-26.</w:t>
      </w:r>
    </w:p>
    <w:p w14:paraId="1C7558E6" w14:textId="717EF265"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Seligson DB, Pantuck AJ, Liu X. Epithelial cell adhesion molecule (KSA) expression: </w:t>
      </w:r>
      <w:r>
        <w:rPr>
          <w:rFonts w:ascii="Times New Roman" w:hAnsi="Times New Roman"/>
          <w:sz w:val="24"/>
          <w:szCs w:val="24"/>
        </w:rPr>
        <w:tab/>
      </w:r>
      <w:r w:rsidRPr="00636E88">
        <w:rPr>
          <w:rFonts w:ascii="Times New Roman" w:hAnsi="Times New Roman"/>
          <w:sz w:val="24"/>
          <w:szCs w:val="24"/>
        </w:rPr>
        <w:t xml:space="preserve">pathobiology and its role as an independent predictor of survival in renal cell </w:t>
      </w:r>
      <w:r w:rsidR="00390379">
        <w:rPr>
          <w:rFonts w:ascii="Times New Roman" w:hAnsi="Times New Roman"/>
          <w:sz w:val="24"/>
          <w:szCs w:val="24"/>
        </w:rPr>
        <w:tab/>
      </w:r>
      <w:r w:rsidRPr="00636E88">
        <w:rPr>
          <w:rFonts w:ascii="Times New Roman" w:hAnsi="Times New Roman"/>
          <w:sz w:val="24"/>
          <w:szCs w:val="24"/>
        </w:rPr>
        <w:t>carcinoma. Clinical Cancer Research. 2004; 10: 2659-2669.</w:t>
      </w:r>
    </w:p>
    <w:p w14:paraId="5CE02521" w14:textId="54AEDA2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 </w:t>
      </w:r>
      <w:bookmarkStart w:id="10" w:name="_Hlk142395766"/>
      <w:r w:rsidRPr="00636E88">
        <w:rPr>
          <w:rFonts w:ascii="Times New Roman" w:hAnsi="Times New Roman"/>
          <w:sz w:val="24"/>
          <w:szCs w:val="24"/>
        </w:rPr>
        <w:t>Seong, W.J</w:t>
      </w:r>
      <w:bookmarkEnd w:id="10"/>
      <w:r w:rsidRPr="00636E88">
        <w:rPr>
          <w:rFonts w:ascii="Times New Roman" w:hAnsi="Times New Roman"/>
          <w:sz w:val="24"/>
          <w:szCs w:val="24"/>
        </w:rPr>
        <w:t xml:space="preserve">. Amniotic fluid CA-125 as a marker of intra-amniotic inflammation associated </w:t>
      </w:r>
      <w:r w:rsidR="00390379">
        <w:rPr>
          <w:rFonts w:ascii="Times New Roman" w:hAnsi="Times New Roman"/>
          <w:sz w:val="24"/>
          <w:szCs w:val="24"/>
        </w:rPr>
        <w:tab/>
      </w:r>
      <w:r w:rsidRPr="00636E88">
        <w:rPr>
          <w:rFonts w:ascii="Times New Roman" w:hAnsi="Times New Roman"/>
          <w:sz w:val="24"/>
          <w:szCs w:val="24"/>
        </w:rPr>
        <w:t xml:space="preserve">with preterm delivery: A preliminary single center study. Arch. Gynecol. Obs. 2016, </w:t>
      </w:r>
      <w:r w:rsidR="00390379">
        <w:rPr>
          <w:rFonts w:ascii="Times New Roman" w:hAnsi="Times New Roman"/>
          <w:sz w:val="24"/>
          <w:szCs w:val="24"/>
        </w:rPr>
        <w:tab/>
      </w:r>
      <w:r w:rsidRPr="00636E88">
        <w:rPr>
          <w:rFonts w:ascii="Times New Roman" w:hAnsi="Times New Roman"/>
          <w:sz w:val="24"/>
          <w:szCs w:val="24"/>
        </w:rPr>
        <w:t>293, 55–59. [CrossRef] [PubMed]</w:t>
      </w:r>
    </w:p>
    <w:p w14:paraId="1DFD37F6" w14:textId="51AD14B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Shah R, Patel T, Freedman JE. Circulating Extracellular Vesicles in Human Disease. N. Engl J </w:t>
      </w:r>
      <w:r>
        <w:rPr>
          <w:rFonts w:ascii="Times New Roman" w:hAnsi="Times New Roman"/>
          <w:sz w:val="24"/>
          <w:szCs w:val="24"/>
        </w:rPr>
        <w:tab/>
      </w:r>
      <w:r w:rsidRPr="00636E88">
        <w:rPr>
          <w:rFonts w:ascii="Times New Roman" w:hAnsi="Times New Roman"/>
          <w:sz w:val="24"/>
          <w:szCs w:val="24"/>
        </w:rPr>
        <w:t>Med. 2018;</w:t>
      </w:r>
      <w:r w:rsidR="00390379">
        <w:rPr>
          <w:rFonts w:ascii="Times New Roman" w:hAnsi="Times New Roman"/>
          <w:sz w:val="24"/>
          <w:szCs w:val="24"/>
        </w:rPr>
        <w:t xml:space="preserve">  </w:t>
      </w:r>
      <w:r w:rsidRPr="00636E88">
        <w:rPr>
          <w:rFonts w:ascii="Times New Roman" w:hAnsi="Times New Roman"/>
          <w:sz w:val="24"/>
          <w:szCs w:val="24"/>
        </w:rPr>
        <w:t>379:</w:t>
      </w:r>
      <w:r w:rsidR="00390379">
        <w:rPr>
          <w:rFonts w:ascii="Times New Roman" w:hAnsi="Times New Roman"/>
          <w:sz w:val="24"/>
          <w:szCs w:val="24"/>
        </w:rPr>
        <w:t xml:space="preserve"> </w:t>
      </w:r>
      <w:r w:rsidRPr="00636E88">
        <w:rPr>
          <w:rFonts w:ascii="Times New Roman" w:hAnsi="Times New Roman"/>
          <w:sz w:val="24"/>
          <w:szCs w:val="24"/>
        </w:rPr>
        <w:t>958–66.</w:t>
      </w:r>
    </w:p>
    <w:p w14:paraId="16588B19" w14:textId="5A7AA5E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Sheng SL, Liu JJ, Dai YH, Sun XG, Xiong XP, Huang G. Knockdown of lactate dehydrogenase</w:t>
      </w:r>
      <w:r>
        <w:rPr>
          <w:rFonts w:ascii="Times New Roman" w:hAnsi="Times New Roman"/>
          <w:sz w:val="24"/>
          <w:szCs w:val="24"/>
        </w:rPr>
        <w:tab/>
      </w:r>
      <w:r w:rsidRPr="00636E88">
        <w:rPr>
          <w:rFonts w:ascii="Times New Roman" w:hAnsi="Times New Roman"/>
          <w:sz w:val="24"/>
          <w:szCs w:val="24"/>
        </w:rPr>
        <w:t xml:space="preserve">A suppresses tumor growth and metastasis of human hepatocellular carcinoma. FEBS </w:t>
      </w:r>
      <w:r w:rsidR="00390379">
        <w:rPr>
          <w:rFonts w:ascii="Times New Roman" w:hAnsi="Times New Roman"/>
          <w:sz w:val="24"/>
          <w:szCs w:val="24"/>
        </w:rPr>
        <w:tab/>
      </w:r>
      <w:r w:rsidRPr="00636E88">
        <w:rPr>
          <w:rFonts w:ascii="Times New Roman" w:hAnsi="Times New Roman"/>
          <w:sz w:val="24"/>
          <w:szCs w:val="24"/>
        </w:rPr>
        <w:t>J.</w:t>
      </w:r>
      <w:r w:rsidR="00390379">
        <w:rPr>
          <w:rFonts w:ascii="Times New Roman" w:hAnsi="Times New Roman"/>
          <w:sz w:val="24"/>
          <w:szCs w:val="24"/>
        </w:rPr>
        <w:t xml:space="preserve"> </w:t>
      </w:r>
      <w:r w:rsidRPr="00636E88">
        <w:rPr>
          <w:rFonts w:ascii="Times New Roman" w:hAnsi="Times New Roman"/>
          <w:sz w:val="24"/>
          <w:szCs w:val="24"/>
        </w:rPr>
        <w:t>2012;279(20):3898‐3910.</w:t>
      </w:r>
    </w:p>
    <w:p w14:paraId="5DDCF06F"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Shi Q, Hong H, Senior J, Tong W. Biomarkers for drug-induced liver injury. Expert Rev </w:t>
      </w:r>
      <w:r>
        <w:rPr>
          <w:rFonts w:ascii="Times New Roman" w:hAnsi="Times New Roman"/>
          <w:sz w:val="24"/>
          <w:szCs w:val="24"/>
        </w:rPr>
        <w:tab/>
      </w:r>
      <w:r w:rsidRPr="00636E88">
        <w:rPr>
          <w:rFonts w:ascii="Times New Roman" w:hAnsi="Times New Roman"/>
          <w:sz w:val="24"/>
          <w:szCs w:val="24"/>
        </w:rPr>
        <w:t>Gastroenterol Hepatol. 2010;4(2):225–234.</w:t>
      </w:r>
    </w:p>
    <w:p w14:paraId="0000AE9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Shi Y and Massague J. Mechanisms of TGF-beta signaling from cell membrane to the nucleus. </w:t>
      </w:r>
      <w:r>
        <w:rPr>
          <w:rFonts w:ascii="Times New Roman" w:hAnsi="Times New Roman"/>
          <w:sz w:val="24"/>
          <w:szCs w:val="24"/>
        </w:rPr>
        <w:tab/>
      </w:r>
      <w:r w:rsidRPr="00636E88">
        <w:rPr>
          <w:rFonts w:ascii="Times New Roman" w:hAnsi="Times New Roman"/>
          <w:sz w:val="24"/>
          <w:szCs w:val="24"/>
        </w:rPr>
        <w:t>Cell. 2003; 113: 685-700.</w:t>
      </w:r>
    </w:p>
    <w:p w14:paraId="353594C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Shoelson SE, Lee J, Goldfine AB. Inflammation and insulin resistance. J Clin Invest 2006; 116: </w:t>
      </w:r>
      <w:r>
        <w:rPr>
          <w:rFonts w:ascii="Times New Roman" w:hAnsi="Times New Roman"/>
          <w:sz w:val="24"/>
          <w:szCs w:val="24"/>
        </w:rPr>
        <w:tab/>
      </w:r>
      <w:r w:rsidRPr="00636E88">
        <w:rPr>
          <w:rFonts w:ascii="Times New Roman" w:hAnsi="Times New Roman"/>
          <w:sz w:val="24"/>
          <w:szCs w:val="24"/>
        </w:rPr>
        <w:t>1793-1801.</w:t>
      </w:r>
    </w:p>
    <w:p w14:paraId="6399F85A"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Simmons SO, Fan CY, Ramabhadran R. Cellular stress response pathway system as a sentinel </w:t>
      </w:r>
      <w:r>
        <w:rPr>
          <w:rFonts w:ascii="Times New Roman" w:hAnsi="Times New Roman"/>
          <w:sz w:val="24"/>
          <w:szCs w:val="24"/>
        </w:rPr>
        <w:tab/>
      </w:r>
      <w:r w:rsidRPr="00636E88">
        <w:rPr>
          <w:rFonts w:ascii="Times New Roman" w:hAnsi="Times New Roman"/>
          <w:sz w:val="24"/>
          <w:szCs w:val="24"/>
        </w:rPr>
        <w:t>ensemble in toxicological screening. Toxicol Sci. 2009;111(2):202–225.</w:t>
      </w:r>
    </w:p>
    <w:p w14:paraId="24D97CB3" w14:textId="670B6F7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Sivridis E, Giatromanolaki A, Anastasiadis P, Georgiou L. Angiogenic co-operation of VEGF </w:t>
      </w:r>
      <w:r w:rsidR="00390379">
        <w:rPr>
          <w:rFonts w:ascii="Times New Roman" w:hAnsi="Times New Roman"/>
          <w:sz w:val="24"/>
          <w:szCs w:val="24"/>
        </w:rPr>
        <w:tab/>
      </w:r>
      <w:r w:rsidRPr="00636E88">
        <w:rPr>
          <w:rFonts w:ascii="Times New Roman" w:hAnsi="Times New Roman"/>
          <w:sz w:val="24"/>
          <w:szCs w:val="24"/>
        </w:rPr>
        <w:t xml:space="preserve">and stromal cellTP in endometrial carcinomas. Journal of Pathology. 2002; 196: 416- </w:t>
      </w:r>
      <w:r w:rsidR="00390379">
        <w:rPr>
          <w:rFonts w:ascii="Times New Roman" w:hAnsi="Times New Roman"/>
          <w:sz w:val="24"/>
          <w:szCs w:val="24"/>
        </w:rPr>
        <w:tab/>
      </w:r>
      <w:r w:rsidRPr="00636E88">
        <w:rPr>
          <w:rFonts w:ascii="Times New Roman" w:hAnsi="Times New Roman"/>
          <w:sz w:val="24"/>
          <w:szCs w:val="24"/>
        </w:rPr>
        <w:t>422.</w:t>
      </w:r>
    </w:p>
    <w:p w14:paraId="46919700" w14:textId="1E8D003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Sjohoim A, Nyström T. Endothelial inflammation in insulin resistance. Lancet 2005; 365: 610-</w:t>
      </w:r>
      <w:r w:rsidR="00390379">
        <w:rPr>
          <w:rFonts w:ascii="Times New Roman" w:hAnsi="Times New Roman"/>
          <w:sz w:val="24"/>
          <w:szCs w:val="24"/>
        </w:rPr>
        <w:tab/>
      </w:r>
      <w:r w:rsidRPr="00636E88">
        <w:rPr>
          <w:rFonts w:ascii="Times New Roman" w:hAnsi="Times New Roman"/>
          <w:sz w:val="24"/>
          <w:szCs w:val="24"/>
        </w:rPr>
        <w:t>12.</w:t>
      </w:r>
    </w:p>
    <w:p w14:paraId="5A5AA8C6"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Small GW Neuroimaging and Genetic Assessment for Early Diagnosis of Alzheimer’s disease. </w:t>
      </w:r>
      <w:r>
        <w:rPr>
          <w:rFonts w:ascii="Times New Roman" w:hAnsi="Times New Roman"/>
          <w:sz w:val="24"/>
          <w:szCs w:val="24"/>
        </w:rPr>
        <w:tab/>
      </w:r>
      <w:r w:rsidRPr="00636E88">
        <w:rPr>
          <w:rFonts w:ascii="Times New Roman" w:hAnsi="Times New Roman"/>
          <w:sz w:val="24"/>
          <w:szCs w:val="24"/>
        </w:rPr>
        <w:t>Journal of Clinical Psychiatry. 1996; 57: 9-13.</w:t>
      </w:r>
    </w:p>
    <w:p w14:paraId="6309A299" w14:textId="115FAD6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Su Z, Li Z, Chen T, et al. Comparing next-generation sequencing and microarray technologies </w:t>
      </w:r>
      <w:r w:rsidR="00390379">
        <w:rPr>
          <w:rFonts w:ascii="Times New Roman" w:hAnsi="Times New Roman"/>
          <w:sz w:val="24"/>
          <w:szCs w:val="24"/>
        </w:rPr>
        <w:tab/>
      </w:r>
      <w:r w:rsidRPr="00636E88">
        <w:rPr>
          <w:rFonts w:ascii="Times New Roman" w:hAnsi="Times New Roman"/>
          <w:sz w:val="24"/>
          <w:szCs w:val="24"/>
        </w:rPr>
        <w:t>in a toxicological study of the effects of aristolochic acid on rat kidneys. Chem Res</w:t>
      </w:r>
      <w:r w:rsidR="00390379">
        <w:rPr>
          <w:rFonts w:ascii="Times New Roman" w:hAnsi="Times New Roman"/>
          <w:sz w:val="24"/>
          <w:szCs w:val="24"/>
        </w:rPr>
        <w:tab/>
      </w:r>
      <w:r w:rsidRPr="00636E88">
        <w:rPr>
          <w:rFonts w:ascii="Times New Roman" w:hAnsi="Times New Roman"/>
          <w:sz w:val="24"/>
          <w:szCs w:val="24"/>
        </w:rPr>
        <w:t>Toxicol. 2011;24(9): 1486-1493.</w:t>
      </w:r>
    </w:p>
    <w:p w14:paraId="03AFAC4A"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Su Z, Ning B, Fang H, et al. Next-generation sequencing and its applications in molecular </w:t>
      </w:r>
      <w:r>
        <w:rPr>
          <w:rFonts w:ascii="Times New Roman" w:hAnsi="Times New Roman"/>
          <w:sz w:val="24"/>
          <w:szCs w:val="24"/>
        </w:rPr>
        <w:tab/>
      </w:r>
      <w:r w:rsidRPr="00636E88">
        <w:rPr>
          <w:rFonts w:ascii="Times New Roman" w:hAnsi="Times New Roman"/>
          <w:sz w:val="24"/>
          <w:szCs w:val="24"/>
        </w:rPr>
        <w:t>diagnostics. Expert Rev Mol Diagn. 2011;11(3): 333–343.</w:t>
      </w:r>
    </w:p>
    <w:p w14:paraId="05714B28" w14:textId="25161A41"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 </w:t>
      </w:r>
      <w:bookmarkStart w:id="11" w:name="_Hlk142395734"/>
      <w:r w:rsidRPr="00636E88">
        <w:rPr>
          <w:rFonts w:ascii="Times New Roman" w:hAnsi="Times New Roman"/>
          <w:sz w:val="24"/>
          <w:szCs w:val="24"/>
        </w:rPr>
        <w:t>Szubert, M.; Suzin, J</w:t>
      </w:r>
      <w:bookmarkEnd w:id="11"/>
      <w:r w:rsidRPr="00636E88">
        <w:rPr>
          <w:rFonts w:ascii="Times New Roman" w:hAnsi="Times New Roman"/>
          <w:sz w:val="24"/>
          <w:szCs w:val="24"/>
        </w:rPr>
        <w:t>.; Wierzbowski, T.; Kowalczyk-Amico, K. CA-125 concentration in</w:t>
      </w:r>
      <w:r w:rsidR="00390379">
        <w:rPr>
          <w:rFonts w:ascii="Times New Roman" w:hAnsi="Times New Roman"/>
          <w:sz w:val="24"/>
          <w:szCs w:val="24"/>
        </w:rPr>
        <w:tab/>
      </w:r>
      <w:r w:rsidRPr="00636E88">
        <w:rPr>
          <w:rFonts w:ascii="Times New Roman" w:hAnsi="Times New Roman"/>
          <w:sz w:val="24"/>
          <w:szCs w:val="24"/>
        </w:rPr>
        <w:t xml:space="preserve">serum </w:t>
      </w:r>
      <w:r>
        <w:rPr>
          <w:rFonts w:ascii="Times New Roman" w:hAnsi="Times New Roman"/>
          <w:sz w:val="24"/>
          <w:szCs w:val="24"/>
        </w:rPr>
        <w:tab/>
      </w:r>
      <w:r w:rsidRPr="00636E88">
        <w:rPr>
          <w:rFonts w:ascii="Times New Roman" w:hAnsi="Times New Roman"/>
          <w:sz w:val="24"/>
          <w:szCs w:val="24"/>
        </w:rPr>
        <w:t>and peritoneal fluid in patients with endometriosis—Preliminary results. Arch.</w:t>
      </w:r>
      <w:r w:rsidR="00390379">
        <w:rPr>
          <w:rFonts w:ascii="Times New Roman" w:hAnsi="Times New Roman"/>
          <w:sz w:val="24"/>
          <w:szCs w:val="24"/>
        </w:rPr>
        <w:tab/>
      </w:r>
      <w:r w:rsidRPr="00636E88">
        <w:rPr>
          <w:rFonts w:ascii="Times New Roman" w:hAnsi="Times New Roman"/>
          <w:sz w:val="24"/>
          <w:szCs w:val="24"/>
        </w:rPr>
        <w:t xml:space="preserve"> Med. Sci. 2012, 8, 504–508. [CrossRef] [PubMed]</w:t>
      </w:r>
    </w:p>
    <w:p w14:paraId="665D00D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Talvensaari-Mattila A, Soini Y, Santala M. VEGF andits receptors (flt-1and KDR/flk-1) as </w:t>
      </w:r>
      <w:r>
        <w:rPr>
          <w:rFonts w:ascii="Times New Roman" w:hAnsi="Times New Roman"/>
          <w:sz w:val="24"/>
          <w:szCs w:val="24"/>
        </w:rPr>
        <w:tab/>
      </w:r>
      <w:r w:rsidRPr="00636E88">
        <w:rPr>
          <w:rFonts w:ascii="Times New Roman" w:hAnsi="Times New Roman"/>
          <w:sz w:val="24"/>
          <w:szCs w:val="24"/>
        </w:rPr>
        <w:t>prognostic indicatorsin endometrial carcinoma. Tumour Biology. 2005; 26: 81-7.</w:t>
      </w:r>
    </w:p>
    <w:p w14:paraId="18F5301D" w14:textId="573552CC"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Terry CF, Loukaci V, Green FR: Cooperative influence of genetic polymor-phisms on</w:t>
      </w:r>
      <w:r w:rsidR="00390379">
        <w:rPr>
          <w:rFonts w:ascii="Times New Roman" w:hAnsi="Times New Roman"/>
          <w:sz w:val="24"/>
          <w:szCs w:val="24"/>
        </w:rPr>
        <w:tab/>
      </w:r>
      <w:r w:rsidRPr="00636E88">
        <w:rPr>
          <w:rFonts w:ascii="Times New Roman" w:hAnsi="Times New Roman"/>
          <w:sz w:val="24"/>
          <w:szCs w:val="24"/>
        </w:rPr>
        <w:t>interleukin 6 transcriptional regulation. J Biol Chem 275:18138 –18144, 2000</w:t>
      </w:r>
      <w:r>
        <w:rPr>
          <w:rFonts w:ascii="Times New Roman" w:hAnsi="Times New Roman"/>
          <w:sz w:val="24"/>
          <w:szCs w:val="24"/>
        </w:rPr>
        <w:t>.</w:t>
      </w:r>
    </w:p>
    <w:p w14:paraId="11438861" w14:textId="3BC6D310"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The expert committee on the diagnosis and classification of diabetes mellitus. Diabetes Care </w:t>
      </w:r>
      <w:r w:rsidR="00390379">
        <w:rPr>
          <w:rFonts w:ascii="Times New Roman" w:hAnsi="Times New Roman"/>
          <w:sz w:val="24"/>
          <w:szCs w:val="24"/>
        </w:rPr>
        <w:tab/>
      </w:r>
      <w:r w:rsidRPr="00636E88">
        <w:rPr>
          <w:rFonts w:ascii="Times New Roman" w:hAnsi="Times New Roman"/>
          <w:sz w:val="24"/>
          <w:szCs w:val="24"/>
        </w:rPr>
        <w:t xml:space="preserve">2004; </w:t>
      </w:r>
      <w:r>
        <w:rPr>
          <w:rFonts w:ascii="Times New Roman" w:hAnsi="Times New Roman"/>
          <w:sz w:val="24"/>
          <w:szCs w:val="24"/>
        </w:rPr>
        <w:tab/>
      </w:r>
      <w:r w:rsidRPr="00636E88">
        <w:rPr>
          <w:rFonts w:ascii="Times New Roman" w:hAnsi="Times New Roman"/>
          <w:sz w:val="24"/>
          <w:szCs w:val="24"/>
        </w:rPr>
        <w:t>31: 55-60.</w:t>
      </w:r>
    </w:p>
    <w:p w14:paraId="66D39B6C" w14:textId="47204368"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Theodoraki MN, Yerneni S, Gooding WE, Ohr J, Clump DA, Bauman JE, et al. Circulating </w:t>
      </w:r>
      <w:r>
        <w:rPr>
          <w:rFonts w:ascii="Times New Roman" w:hAnsi="Times New Roman"/>
          <w:sz w:val="24"/>
          <w:szCs w:val="24"/>
        </w:rPr>
        <w:tab/>
      </w:r>
      <w:r w:rsidRPr="00636E88">
        <w:rPr>
          <w:rFonts w:ascii="Times New Roman" w:hAnsi="Times New Roman"/>
          <w:sz w:val="24"/>
          <w:szCs w:val="24"/>
        </w:rPr>
        <w:t>exosomes measure responses to therapy in head and neck cancer patients treated with</w:t>
      </w:r>
      <w:r>
        <w:rPr>
          <w:rFonts w:ascii="Times New Roman" w:hAnsi="Times New Roman"/>
          <w:sz w:val="24"/>
          <w:szCs w:val="24"/>
        </w:rPr>
        <w:tab/>
      </w:r>
      <w:r w:rsidRPr="00636E88">
        <w:rPr>
          <w:rFonts w:ascii="Times New Roman" w:hAnsi="Times New Roman"/>
          <w:sz w:val="24"/>
          <w:szCs w:val="24"/>
        </w:rPr>
        <w:t>cetuximab, ipilimumab, and IMRT. Oncoimmunology 2019;</w:t>
      </w:r>
      <w:r w:rsidR="00390379">
        <w:rPr>
          <w:rFonts w:ascii="Times New Roman" w:hAnsi="Times New Roman"/>
          <w:sz w:val="24"/>
          <w:szCs w:val="24"/>
        </w:rPr>
        <w:t xml:space="preserve"> </w:t>
      </w:r>
      <w:r w:rsidRPr="00636E88">
        <w:rPr>
          <w:rFonts w:ascii="Times New Roman" w:hAnsi="Times New Roman"/>
          <w:sz w:val="24"/>
          <w:szCs w:val="24"/>
        </w:rPr>
        <w:t>8:</w:t>
      </w:r>
      <w:r w:rsidR="00390379">
        <w:rPr>
          <w:rFonts w:ascii="Times New Roman" w:hAnsi="Times New Roman"/>
          <w:sz w:val="24"/>
          <w:szCs w:val="24"/>
        </w:rPr>
        <w:t xml:space="preserve"> </w:t>
      </w:r>
      <w:r w:rsidRPr="00636E88">
        <w:rPr>
          <w:rFonts w:ascii="Times New Roman" w:hAnsi="Times New Roman"/>
          <w:sz w:val="24"/>
          <w:szCs w:val="24"/>
        </w:rPr>
        <w:t>1593805.</w:t>
      </w:r>
    </w:p>
    <w:p w14:paraId="5EFE6230" w14:textId="4CC7E1C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Thies W and Bleiler L Alzheimer’s disease facts and figures. Alzheimer Dement.2013; 9: 208-</w:t>
      </w:r>
      <w:r w:rsidR="00390379">
        <w:rPr>
          <w:rFonts w:ascii="Times New Roman" w:hAnsi="Times New Roman"/>
          <w:sz w:val="24"/>
          <w:szCs w:val="24"/>
        </w:rPr>
        <w:tab/>
      </w:r>
      <w:r w:rsidRPr="00636E88">
        <w:rPr>
          <w:rFonts w:ascii="Times New Roman" w:hAnsi="Times New Roman"/>
          <w:sz w:val="24"/>
          <w:szCs w:val="24"/>
        </w:rPr>
        <w:t>245.</w:t>
      </w:r>
    </w:p>
    <w:p w14:paraId="6009B11D" w14:textId="17A9164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Trebak M, Begg GE, Chong JM, Kanazireva EV, Herlyn D and Speicher DW: Oligomeric state </w:t>
      </w:r>
      <w:r w:rsidR="00390379">
        <w:rPr>
          <w:rFonts w:ascii="Times New Roman" w:hAnsi="Times New Roman"/>
          <w:sz w:val="24"/>
          <w:szCs w:val="24"/>
        </w:rPr>
        <w:tab/>
      </w:r>
      <w:r w:rsidRPr="00636E88">
        <w:rPr>
          <w:rFonts w:ascii="Times New Roman" w:hAnsi="Times New Roman"/>
          <w:sz w:val="24"/>
          <w:szCs w:val="24"/>
        </w:rPr>
        <w:t xml:space="preserve">of the colon carcinoma associated glycoprotein GA733-2 (Ep-CAM/EGP40) and its </w:t>
      </w:r>
      <w:r w:rsidR="00390379">
        <w:rPr>
          <w:rFonts w:ascii="Times New Roman" w:hAnsi="Times New Roman"/>
          <w:sz w:val="24"/>
          <w:szCs w:val="24"/>
        </w:rPr>
        <w:tab/>
      </w:r>
      <w:r w:rsidRPr="00636E88">
        <w:rPr>
          <w:rFonts w:ascii="Times New Roman" w:hAnsi="Times New Roman"/>
          <w:sz w:val="24"/>
          <w:szCs w:val="24"/>
        </w:rPr>
        <w:t xml:space="preserve">role in </w:t>
      </w:r>
      <w:r>
        <w:rPr>
          <w:rFonts w:ascii="Times New Roman" w:hAnsi="Times New Roman"/>
          <w:sz w:val="24"/>
          <w:szCs w:val="24"/>
        </w:rPr>
        <w:tab/>
      </w:r>
      <w:r w:rsidRPr="00636E88">
        <w:rPr>
          <w:rFonts w:ascii="Times New Roman" w:hAnsi="Times New Roman"/>
          <w:sz w:val="24"/>
          <w:szCs w:val="24"/>
        </w:rPr>
        <w:t xml:space="preserve">GA733-mediated homotypic cell-cell adhesion. Journal of Biological </w:t>
      </w:r>
      <w:r w:rsidR="00390379">
        <w:rPr>
          <w:rFonts w:ascii="Times New Roman" w:hAnsi="Times New Roman"/>
          <w:sz w:val="24"/>
          <w:szCs w:val="24"/>
        </w:rPr>
        <w:tab/>
      </w:r>
      <w:r w:rsidRPr="00636E88">
        <w:rPr>
          <w:rFonts w:ascii="Times New Roman" w:hAnsi="Times New Roman"/>
          <w:sz w:val="24"/>
          <w:szCs w:val="24"/>
        </w:rPr>
        <w:t>Chemistry. 2001; 276: 2299-2309.</w:t>
      </w:r>
    </w:p>
    <w:p w14:paraId="6EDC9207" w14:textId="392F84E5" w:rsidR="00CF6603" w:rsidRPr="00636E88" w:rsidRDefault="00CF6603" w:rsidP="00CF6603">
      <w:pPr>
        <w:spacing w:line="360" w:lineRule="auto"/>
        <w:jc w:val="both"/>
        <w:rPr>
          <w:rFonts w:ascii="Times New Roman" w:hAnsi="Times New Roman"/>
          <w:sz w:val="24"/>
          <w:szCs w:val="24"/>
        </w:rPr>
      </w:pPr>
      <w:bookmarkStart w:id="12" w:name="_Hlk142396604"/>
      <w:r w:rsidRPr="00636E88">
        <w:rPr>
          <w:rFonts w:ascii="Times New Roman" w:hAnsi="Times New Roman"/>
          <w:sz w:val="24"/>
          <w:szCs w:val="24"/>
        </w:rPr>
        <w:t>Uprety D, Adjei AA</w:t>
      </w:r>
      <w:bookmarkEnd w:id="12"/>
      <w:r w:rsidRPr="00636E88">
        <w:rPr>
          <w:rFonts w:ascii="Times New Roman" w:hAnsi="Times New Roman"/>
          <w:sz w:val="24"/>
          <w:szCs w:val="24"/>
        </w:rPr>
        <w:t xml:space="preserve">. KRAS: from undruggable to a druggable Cancer target. Cancer Treat Rev. </w:t>
      </w:r>
      <w:r>
        <w:rPr>
          <w:rFonts w:ascii="Times New Roman" w:hAnsi="Times New Roman"/>
          <w:sz w:val="24"/>
          <w:szCs w:val="24"/>
        </w:rPr>
        <w:tab/>
      </w:r>
      <w:r w:rsidRPr="00636E88">
        <w:rPr>
          <w:rFonts w:ascii="Times New Roman" w:hAnsi="Times New Roman"/>
          <w:sz w:val="24"/>
          <w:szCs w:val="24"/>
        </w:rPr>
        <w:t>2020;</w:t>
      </w:r>
      <w:r>
        <w:rPr>
          <w:rFonts w:ascii="Times New Roman" w:hAnsi="Times New Roman"/>
          <w:sz w:val="24"/>
          <w:szCs w:val="24"/>
        </w:rPr>
        <w:t xml:space="preserve"> </w:t>
      </w:r>
      <w:r w:rsidRPr="00636E88">
        <w:rPr>
          <w:rFonts w:ascii="Times New Roman" w:hAnsi="Times New Roman"/>
          <w:sz w:val="24"/>
          <w:szCs w:val="24"/>
        </w:rPr>
        <w:t>89:</w:t>
      </w:r>
      <w:r>
        <w:rPr>
          <w:rFonts w:ascii="Times New Roman" w:hAnsi="Times New Roman"/>
          <w:sz w:val="24"/>
          <w:szCs w:val="24"/>
        </w:rPr>
        <w:t xml:space="preserve"> </w:t>
      </w:r>
      <w:r w:rsidRPr="00636E88">
        <w:rPr>
          <w:rFonts w:ascii="Times New Roman" w:hAnsi="Times New Roman"/>
          <w:sz w:val="24"/>
          <w:szCs w:val="24"/>
        </w:rPr>
        <w:t xml:space="preserve">102070. </w:t>
      </w:r>
    </w:p>
    <w:p w14:paraId="1EDB1759" w14:textId="42FAA51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Urick ME, Rudd ML, Godwin AK, Sgroi D, Merino M and Bell DW. PIK3R1 (p85α) Is </w:t>
      </w:r>
      <w:r>
        <w:rPr>
          <w:rFonts w:ascii="Times New Roman" w:hAnsi="Times New Roman"/>
          <w:sz w:val="24"/>
          <w:szCs w:val="24"/>
        </w:rPr>
        <w:tab/>
      </w:r>
      <w:r w:rsidRPr="00636E88">
        <w:rPr>
          <w:rFonts w:ascii="Times New Roman" w:hAnsi="Times New Roman"/>
          <w:sz w:val="24"/>
          <w:szCs w:val="24"/>
        </w:rPr>
        <w:t xml:space="preserve">Somatically Mutated at High Frequency in Primary Endometrial Cancer. Cancer </w:t>
      </w:r>
      <w:r>
        <w:rPr>
          <w:rFonts w:ascii="Times New Roman" w:hAnsi="Times New Roman"/>
          <w:sz w:val="24"/>
          <w:szCs w:val="24"/>
        </w:rPr>
        <w:tab/>
      </w:r>
      <w:r w:rsidRPr="00636E88">
        <w:rPr>
          <w:rFonts w:ascii="Times New Roman" w:hAnsi="Times New Roman"/>
          <w:sz w:val="24"/>
          <w:szCs w:val="24"/>
        </w:rPr>
        <w:t>Research. 2011; 71:4061-4067.</w:t>
      </w:r>
    </w:p>
    <w:p w14:paraId="561B6E19" w14:textId="45CF7B56"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Valenta T, Hausmann G, Basler K. The many faces and functions of beta-catenin. Journal of</w:t>
      </w:r>
      <w:r>
        <w:rPr>
          <w:rFonts w:ascii="Times New Roman" w:hAnsi="Times New Roman"/>
          <w:sz w:val="24"/>
          <w:szCs w:val="24"/>
        </w:rPr>
        <w:tab/>
      </w:r>
      <w:r>
        <w:rPr>
          <w:rFonts w:ascii="Times New Roman" w:hAnsi="Times New Roman"/>
          <w:sz w:val="24"/>
          <w:szCs w:val="24"/>
        </w:rPr>
        <w:tab/>
      </w:r>
      <w:r w:rsidRPr="00636E88">
        <w:rPr>
          <w:rFonts w:ascii="Times New Roman" w:hAnsi="Times New Roman"/>
          <w:sz w:val="24"/>
          <w:szCs w:val="24"/>
        </w:rPr>
        <w:t xml:space="preserve"> European Molecular Biology Organization. 2012; 31: 2714-2736.</w:t>
      </w:r>
      <w:r>
        <w:rPr>
          <w:rFonts w:ascii="Times New Roman" w:hAnsi="Times New Roman"/>
          <w:sz w:val="24"/>
          <w:szCs w:val="24"/>
        </w:rPr>
        <w:tab/>
      </w:r>
    </w:p>
    <w:p w14:paraId="755B9AD5" w14:textId="2E9A08E5"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Van Summeren A, Renes J, van Delft JH, Kleinjans JC, Mariman EC. Proteomics in the search </w:t>
      </w:r>
      <w:r>
        <w:rPr>
          <w:rFonts w:ascii="Times New Roman" w:hAnsi="Times New Roman"/>
          <w:sz w:val="24"/>
          <w:szCs w:val="24"/>
        </w:rPr>
        <w:tab/>
      </w:r>
      <w:r w:rsidRPr="00636E88">
        <w:rPr>
          <w:rFonts w:ascii="Times New Roman" w:hAnsi="Times New Roman"/>
          <w:sz w:val="24"/>
          <w:szCs w:val="24"/>
        </w:rPr>
        <w:t>for</w:t>
      </w:r>
      <w:r>
        <w:rPr>
          <w:rFonts w:ascii="Times New Roman" w:hAnsi="Times New Roman"/>
          <w:sz w:val="24"/>
          <w:szCs w:val="24"/>
        </w:rPr>
        <w:t xml:space="preserve"> </w:t>
      </w:r>
      <w:r w:rsidRPr="00636E88">
        <w:rPr>
          <w:rFonts w:ascii="Times New Roman" w:hAnsi="Times New Roman"/>
          <w:sz w:val="24"/>
          <w:szCs w:val="24"/>
        </w:rPr>
        <w:t>mechanisms and biomarkers of drug induced hepatotoxicity. Toxicol In Vitro.</w:t>
      </w:r>
      <w:r>
        <w:rPr>
          <w:rFonts w:ascii="Times New Roman" w:hAnsi="Times New Roman"/>
          <w:sz w:val="24"/>
          <w:szCs w:val="24"/>
        </w:rPr>
        <w:tab/>
      </w:r>
      <w:r w:rsidRPr="00636E88">
        <w:rPr>
          <w:rFonts w:ascii="Times New Roman" w:hAnsi="Times New Roman"/>
          <w:sz w:val="24"/>
          <w:szCs w:val="24"/>
        </w:rPr>
        <w:t>2012;26(3):373–385.</w:t>
      </w:r>
    </w:p>
    <w:p w14:paraId="564FD0D8" w14:textId="77777777" w:rsidR="00CF6603" w:rsidRPr="00636E88" w:rsidRDefault="00CF6603" w:rsidP="00CF6603">
      <w:pPr>
        <w:spacing w:line="360" w:lineRule="auto"/>
        <w:jc w:val="both"/>
        <w:rPr>
          <w:rFonts w:ascii="Times New Roman" w:hAnsi="Times New Roman"/>
          <w:sz w:val="24"/>
          <w:szCs w:val="24"/>
        </w:rPr>
      </w:pPr>
      <w:bookmarkStart w:id="13" w:name="_Hlk142396319"/>
      <w:r w:rsidRPr="00636E88">
        <w:rPr>
          <w:rFonts w:ascii="Times New Roman" w:hAnsi="Times New Roman"/>
          <w:sz w:val="24"/>
          <w:szCs w:val="24"/>
        </w:rPr>
        <w:t>Vasan N, Boyer JL</w:t>
      </w:r>
      <w:bookmarkEnd w:id="13"/>
      <w:r w:rsidRPr="00636E88">
        <w:rPr>
          <w:rFonts w:ascii="Times New Roman" w:hAnsi="Times New Roman"/>
          <w:sz w:val="24"/>
          <w:szCs w:val="24"/>
        </w:rPr>
        <w:t>, Herbst RS. A RAS renaissance: emerging targeted therapies for KRAS-</w:t>
      </w:r>
      <w:r>
        <w:rPr>
          <w:rFonts w:ascii="Times New Roman" w:hAnsi="Times New Roman"/>
          <w:sz w:val="24"/>
          <w:szCs w:val="24"/>
        </w:rPr>
        <w:tab/>
      </w:r>
      <w:r w:rsidRPr="00636E88">
        <w:rPr>
          <w:rFonts w:ascii="Times New Roman" w:hAnsi="Times New Roman"/>
          <w:sz w:val="24"/>
          <w:szCs w:val="24"/>
        </w:rPr>
        <w:t xml:space="preserve">mutated non-small cell lung cancer. Clin Cancer Res. 2014;20(15):3921–30. </w:t>
      </w:r>
    </w:p>
    <w:p w14:paraId="4F0BC4DC" w14:textId="3578F909"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Verma S, Kuliszewski MA, Mickle DAG, et al; C-reative protein attenuates endothelial </w:t>
      </w:r>
      <w:r>
        <w:rPr>
          <w:rFonts w:ascii="Times New Roman" w:hAnsi="Times New Roman"/>
          <w:sz w:val="24"/>
          <w:szCs w:val="24"/>
        </w:rPr>
        <w:tab/>
      </w:r>
      <w:r w:rsidRPr="00636E88">
        <w:rPr>
          <w:rFonts w:ascii="Times New Roman" w:hAnsi="Times New Roman"/>
          <w:sz w:val="24"/>
          <w:szCs w:val="24"/>
        </w:rPr>
        <w:t>progenitor cell survival and differentiation. Can J Cardiol. 2002;</w:t>
      </w:r>
      <w:r>
        <w:rPr>
          <w:rFonts w:ascii="Times New Roman" w:hAnsi="Times New Roman"/>
          <w:sz w:val="24"/>
          <w:szCs w:val="24"/>
        </w:rPr>
        <w:t xml:space="preserve"> </w:t>
      </w:r>
      <w:r w:rsidRPr="00636E88">
        <w:rPr>
          <w:rFonts w:ascii="Times New Roman" w:hAnsi="Times New Roman"/>
          <w:sz w:val="24"/>
          <w:szCs w:val="24"/>
        </w:rPr>
        <w:t>18:</w:t>
      </w:r>
      <w:r>
        <w:rPr>
          <w:rFonts w:ascii="Times New Roman" w:hAnsi="Times New Roman"/>
          <w:sz w:val="24"/>
          <w:szCs w:val="24"/>
        </w:rPr>
        <w:t xml:space="preserve"> </w:t>
      </w:r>
      <w:r w:rsidRPr="00636E88">
        <w:rPr>
          <w:rFonts w:ascii="Times New Roman" w:hAnsi="Times New Roman"/>
          <w:sz w:val="24"/>
          <w:szCs w:val="24"/>
        </w:rPr>
        <w:t>325</w:t>
      </w:r>
    </w:p>
    <w:p w14:paraId="118C1653"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Verma S, Li S, Badiwala MV, Weisel RD, et al. Endothelin Antagonism and Interleukin-6 </w:t>
      </w:r>
      <w:r>
        <w:rPr>
          <w:rFonts w:ascii="Times New Roman" w:hAnsi="Times New Roman"/>
          <w:sz w:val="24"/>
          <w:szCs w:val="24"/>
        </w:rPr>
        <w:tab/>
      </w:r>
      <w:r w:rsidRPr="00636E88">
        <w:rPr>
          <w:rFonts w:ascii="Times New Roman" w:hAnsi="Times New Roman"/>
          <w:sz w:val="24"/>
          <w:szCs w:val="24"/>
        </w:rPr>
        <w:t xml:space="preserve">Inhibition Attenuate the Proatherogenic Effects of C-Reactive Protein. Circulation 105: </w:t>
      </w:r>
      <w:r>
        <w:rPr>
          <w:rFonts w:ascii="Times New Roman" w:hAnsi="Times New Roman"/>
          <w:sz w:val="24"/>
          <w:szCs w:val="24"/>
        </w:rPr>
        <w:tab/>
      </w:r>
      <w:r w:rsidRPr="00636E88">
        <w:rPr>
          <w:rFonts w:ascii="Times New Roman" w:hAnsi="Times New Roman"/>
          <w:sz w:val="24"/>
          <w:szCs w:val="24"/>
        </w:rPr>
        <w:t>1890-1896 2003.</w:t>
      </w:r>
    </w:p>
    <w:p w14:paraId="46411EEE" w14:textId="14C838B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Visser M, Bouter LM, McQuillan GM, Wener MH, Harris TB. Elevated C-reactive protein </w:t>
      </w:r>
      <w:r>
        <w:rPr>
          <w:rFonts w:ascii="Times New Roman" w:hAnsi="Times New Roman"/>
          <w:sz w:val="24"/>
          <w:szCs w:val="24"/>
        </w:rPr>
        <w:tab/>
      </w:r>
      <w:r w:rsidRPr="00636E88">
        <w:rPr>
          <w:rFonts w:ascii="Times New Roman" w:hAnsi="Times New Roman"/>
          <w:sz w:val="24"/>
          <w:szCs w:val="24"/>
        </w:rPr>
        <w:t xml:space="preserve">levels </w:t>
      </w:r>
      <w:r>
        <w:rPr>
          <w:rFonts w:ascii="Times New Roman" w:hAnsi="Times New Roman"/>
          <w:sz w:val="24"/>
          <w:szCs w:val="24"/>
        </w:rPr>
        <w:tab/>
      </w:r>
      <w:r w:rsidRPr="00636E88">
        <w:rPr>
          <w:rFonts w:ascii="Times New Roman" w:hAnsi="Times New Roman"/>
          <w:sz w:val="24"/>
          <w:szCs w:val="24"/>
        </w:rPr>
        <w:t>in overweight and obese adults. J Am Med Assoc. 1999;</w:t>
      </w:r>
      <w:r>
        <w:rPr>
          <w:rFonts w:ascii="Times New Roman" w:hAnsi="Times New Roman"/>
          <w:sz w:val="24"/>
          <w:szCs w:val="24"/>
        </w:rPr>
        <w:t xml:space="preserve"> </w:t>
      </w:r>
      <w:r w:rsidRPr="00636E88">
        <w:rPr>
          <w:rFonts w:ascii="Times New Roman" w:hAnsi="Times New Roman"/>
          <w:sz w:val="24"/>
          <w:szCs w:val="24"/>
        </w:rPr>
        <w:t>282:2131–2135.</w:t>
      </w:r>
    </w:p>
    <w:p w14:paraId="4B4C73D1" w14:textId="708AB82B"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Wang H, Zhang Z, Chu W, Cooper JJ, Elbein SC: Molecular screening and association analyses </w:t>
      </w:r>
      <w:r>
        <w:rPr>
          <w:rFonts w:ascii="Times New Roman" w:hAnsi="Times New Roman"/>
          <w:sz w:val="24"/>
          <w:szCs w:val="24"/>
        </w:rPr>
        <w:tab/>
      </w:r>
      <w:r w:rsidRPr="00636E88">
        <w:rPr>
          <w:rFonts w:ascii="Times New Roman" w:hAnsi="Times New Roman"/>
          <w:sz w:val="24"/>
          <w:szCs w:val="24"/>
        </w:rPr>
        <w:t xml:space="preserve">of the interleukin 6 receptor gene variants with type2 diabetes, diabetic nephropathy, </w:t>
      </w:r>
      <w:r>
        <w:rPr>
          <w:rFonts w:ascii="Times New Roman" w:hAnsi="Times New Roman"/>
          <w:sz w:val="24"/>
          <w:szCs w:val="24"/>
        </w:rPr>
        <w:tab/>
      </w:r>
      <w:r w:rsidRPr="00636E88">
        <w:rPr>
          <w:rFonts w:ascii="Times New Roman" w:hAnsi="Times New Roman"/>
          <w:sz w:val="24"/>
          <w:szCs w:val="24"/>
        </w:rPr>
        <w:t>and insulin sensitivity. J Clin Endocrinol Metab 90:1123–1129, 2005</w:t>
      </w:r>
      <w:r>
        <w:rPr>
          <w:rFonts w:ascii="Times New Roman" w:hAnsi="Times New Roman"/>
          <w:sz w:val="24"/>
          <w:szCs w:val="24"/>
        </w:rPr>
        <w:t>.</w:t>
      </w:r>
    </w:p>
    <w:p w14:paraId="4F03ED38" w14:textId="7CF5A2B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 Wang X, Allen S, Blake JF, Bowcut V, Briere DM, Calinisan A, et al. Identifcation of </w:t>
      </w:r>
      <w:r>
        <w:rPr>
          <w:rFonts w:ascii="Times New Roman" w:hAnsi="Times New Roman"/>
          <w:sz w:val="24"/>
          <w:szCs w:val="24"/>
        </w:rPr>
        <w:tab/>
      </w:r>
      <w:r w:rsidRPr="00636E88">
        <w:rPr>
          <w:rFonts w:ascii="Times New Roman" w:hAnsi="Times New Roman"/>
          <w:sz w:val="24"/>
          <w:szCs w:val="24"/>
        </w:rPr>
        <w:t xml:space="preserve">MRTX1133, </w:t>
      </w:r>
      <w:r>
        <w:rPr>
          <w:rFonts w:ascii="Times New Roman" w:hAnsi="Times New Roman"/>
          <w:sz w:val="24"/>
          <w:szCs w:val="24"/>
        </w:rPr>
        <w:tab/>
      </w:r>
      <w:r w:rsidRPr="00636E88">
        <w:rPr>
          <w:rFonts w:ascii="Times New Roman" w:hAnsi="Times New Roman"/>
          <w:sz w:val="24"/>
          <w:szCs w:val="24"/>
        </w:rPr>
        <w:t xml:space="preserve">a noncovalent, potent, and selective KRAS inhibitor. J Med Chem. </w:t>
      </w:r>
      <w:r>
        <w:rPr>
          <w:rFonts w:ascii="Times New Roman" w:hAnsi="Times New Roman"/>
          <w:sz w:val="24"/>
          <w:szCs w:val="24"/>
        </w:rPr>
        <w:tab/>
      </w:r>
      <w:r w:rsidRPr="00636E88">
        <w:rPr>
          <w:rFonts w:ascii="Times New Roman" w:hAnsi="Times New Roman"/>
          <w:sz w:val="24"/>
          <w:szCs w:val="24"/>
        </w:rPr>
        <w:t>2022;</w:t>
      </w:r>
      <w:r>
        <w:rPr>
          <w:rFonts w:ascii="Times New Roman" w:hAnsi="Times New Roman"/>
          <w:sz w:val="24"/>
          <w:szCs w:val="24"/>
        </w:rPr>
        <w:t xml:space="preserve"> </w:t>
      </w:r>
      <w:r w:rsidRPr="00636E88">
        <w:rPr>
          <w:rFonts w:ascii="Times New Roman" w:hAnsi="Times New Roman"/>
          <w:sz w:val="24"/>
          <w:szCs w:val="24"/>
        </w:rPr>
        <w:t>65(4):</w:t>
      </w:r>
      <w:r>
        <w:rPr>
          <w:rFonts w:ascii="Times New Roman" w:hAnsi="Times New Roman"/>
          <w:sz w:val="24"/>
          <w:szCs w:val="24"/>
        </w:rPr>
        <w:t xml:space="preserve"> </w:t>
      </w:r>
      <w:r w:rsidRPr="00636E88">
        <w:rPr>
          <w:rFonts w:ascii="Times New Roman" w:hAnsi="Times New Roman"/>
          <w:sz w:val="24"/>
          <w:szCs w:val="24"/>
        </w:rPr>
        <w:t xml:space="preserve">3123–33. </w:t>
      </w:r>
    </w:p>
    <w:p w14:paraId="64B06471"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Wang, X. et al. Inflammatory markers and risk of type 2 diabetes: a systematic review and meta-</w:t>
      </w:r>
      <w:r>
        <w:rPr>
          <w:rFonts w:ascii="Times New Roman" w:hAnsi="Times New Roman"/>
          <w:sz w:val="24"/>
          <w:szCs w:val="24"/>
        </w:rPr>
        <w:tab/>
      </w:r>
      <w:r w:rsidRPr="00636E88">
        <w:rPr>
          <w:rFonts w:ascii="Times New Roman" w:hAnsi="Times New Roman"/>
          <w:sz w:val="24"/>
          <w:szCs w:val="24"/>
        </w:rPr>
        <w:t>analysis. Diabetes Care 36, 166–175 (2013).</w:t>
      </w:r>
    </w:p>
    <w:p w14:paraId="5E0A40DB"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Warburg O. On the origin of cancer cells. Science.  1956;123(3191):309‐314.</w:t>
      </w:r>
    </w:p>
    <w:p w14:paraId="4A66EA6C"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Watkins PB. Idiosyncratic liver injury: challenges and approaches. Toxicol Pathol. 2005;</w:t>
      </w:r>
      <w:r>
        <w:rPr>
          <w:rFonts w:ascii="Times New Roman" w:hAnsi="Times New Roman"/>
          <w:sz w:val="24"/>
          <w:szCs w:val="24"/>
        </w:rPr>
        <w:t xml:space="preserve"> </w:t>
      </w:r>
      <w:r w:rsidRPr="00636E88">
        <w:rPr>
          <w:rFonts w:ascii="Times New Roman" w:hAnsi="Times New Roman"/>
          <w:sz w:val="24"/>
          <w:szCs w:val="24"/>
        </w:rPr>
        <w:t>33(1):</w:t>
      </w:r>
      <w:r>
        <w:rPr>
          <w:rFonts w:ascii="Times New Roman" w:hAnsi="Times New Roman"/>
          <w:sz w:val="24"/>
          <w:szCs w:val="24"/>
        </w:rPr>
        <w:t xml:space="preserve"> </w:t>
      </w:r>
      <w:r>
        <w:rPr>
          <w:rFonts w:ascii="Times New Roman" w:hAnsi="Times New Roman"/>
          <w:sz w:val="24"/>
          <w:szCs w:val="24"/>
        </w:rPr>
        <w:tab/>
      </w:r>
      <w:r w:rsidRPr="00636E88">
        <w:rPr>
          <w:rFonts w:ascii="Times New Roman" w:hAnsi="Times New Roman"/>
          <w:sz w:val="24"/>
          <w:szCs w:val="24"/>
        </w:rPr>
        <w:t>1</w:t>
      </w:r>
      <w:r>
        <w:rPr>
          <w:rFonts w:ascii="Times New Roman" w:hAnsi="Times New Roman"/>
          <w:sz w:val="24"/>
          <w:szCs w:val="24"/>
        </w:rPr>
        <w:t>-5</w:t>
      </w:r>
      <w:r w:rsidRPr="00636E88">
        <w:rPr>
          <w:rFonts w:ascii="Times New Roman" w:hAnsi="Times New Roman"/>
          <w:sz w:val="24"/>
          <w:szCs w:val="24"/>
        </w:rPr>
        <w:t>.</w:t>
      </w:r>
    </w:p>
    <w:p w14:paraId="693C1B68" w14:textId="20FF4182"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Weinberg F, Hamanaka R, Wheaton WW, Weinberg S, Joseph J, Lopez M, et al. Mitochondrial </w:t>
      </w:r>
      <w:r>
        <w:rPr>
          <w:rFonts w:ascii="Times New Roman" w:hAnsi="Times New Roman"/>
          <w:sz w:val="24"/>
          <w:szCs w:val="24"/>
        </w:rPr>
        <w:tab/>
      </w:r>
      <w:r w:rsidRPr="00636E88">
        <w:rPr>
          <w:rFonts w:ascii="Times New Roman" w:hAnsi="Times New Roman"/>
          <w:sz w:val="24"/>
          <w:szCs w:val="24"/>
        </w:rPr>
        <w:t xml:space="preserve">metabolism and ROS generation are essential for Kras-mediated tumorigenicity. Proc </w:t>
      </w:r>
      <w:r>
        <w:rPr>
          <w:rFonts w:ascii="Times New Roman" w:hAnsi="Times New Roman"/>
          <w:sz w:val="24"/>
          <w:szCs w:val="24"/>
        </w:rPr>
        <w:tab/>
      </w:r>
      <w:r w:rsidRPr="00636E88">
        <w:rPr>
          <w:rFonts w:ascii="Times New Roman" w:hAnsi="Times New Roman"/>
          <w:sz w:val="24"/>
          <w:szCs w:val="24"/>
        </w:rPr>
        <w:t xml:space="preserve">Natl Acad Sci U S A. 2010;107(19):8788–93. </w:t>
      </w:r>
    </w:p>
    <w:p w14:paraId="41F44D6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What Is A PET Scan? How Does A PET Scan Work? Medical News Today: Health News. 2009.</w:t>
      </w:r>
    </w:p>
    <w:p w14:paraId="544971F5"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Wilhelm BT, Marguerat S, Goodhead I, Bahler J. Defining transcribed regions using RNA-seq. </w:t>
      </w:r>
      <w:r>
        <w:rPr>
          <w:rFonts w:ascii="Times New Roman" w:hAnsi="Times New Roman"/>
          <w:sz w:val="24"/>
          <w:szCs w:val="24"/>
        </w:rPr>
        <w:tab/>
      </w:r>
      <w:r w:rsidRPr="00636E88">
        <w:rPr>
          <w:rFonts w:ascii="Times New Roman" w:hAnsi="Times New Roman"/>
          <w:sz w:val="24"/>
          <w:szCs w:val="24"/>
        </w:rPr>
        <w:t>Nat Protoc. 2010;5(2):255–266.</w:t>
      </w:r>
    </w:p>
    <w:p w14:paraId="20A5972D" w14:textId="7D0E2944"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William J Marshall, Stephen K, Bangert. Clinical Chemistry. Mosby Elsevier, Philadelphia,</w:t>
      </w:r>
      <w:r>
        <w:rPr>
          <w:rFonts w:ascii="Times New Roman" w:hAnsi="Times New Roman"/>
          <w:sz w:val="24"/>
          <w:szCs w:val="24"/>
        </w:rPr>
        <w:tab/>
      </w:r>
      <w:r w:rsidRPr="00636E88">
        <w:rPr>
          <w:rFonts w:ascii="Times New Roman" w:hAnsi="Times New Roman"/>
          <w:sz w:val="24"/>
          <w:szCs w:val="24"/>
        </w:rPr>
        <w:t xml:space="preserve"> 2008: </w:t>
      </w:r>
      <w:r>
        <w:rPr>
          <w:rFonts w:ascii="Times New Roman" w:hAnsi="Times New Roman"/>
          <w:sz w:val="24"/>
          <w:szCs w:val="24"/>
        </w:rPr>
        <w:tab/>
      </w:r>
      <w:r w:rsidRPr="00636E88">
        <w:rPr>
          <w:rFonts w:ascii="Times New Roman" w:hAnsi="Times New Roman"/>
          <w:sz w:val="24"/>
          <w:szCs w:val="24"/>
        </w:rPr>
        <w:t>209-23.</w:t>
      </w:r>
    </w:p>
    <w:p w14:paraId="0BA564A7"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Wolbink GJ. CRP mediated activation of component in vivo. J Immunol 1996; 157: 473-9.</w:t>
      </w:r>
    </w:p>
    <w:p w14:paraId="63132332"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Wu H, Goel V and Haluska FG. PTEN signaling pathways in melanoma. Oncogene. 2003; 22: </w:t>
      </w:r>
      <w:r>
        <w:rPr>
          <w:rFonts w:ascii="Times New Roman" w:hAnsi="Times New Roman"/>
          <w:sz w:val="24"/>
          <w:szCs w:val="24"/>
        </w:rPr>
        <w:tab/>
      </w:r>
      <w:r w:rsidRPr="00636E88">
        <w:rPr>
          <w:rFonts w:ascii="Times New Roman" w:hAnsi="Times New Roman"/>
          <w:sz w:val="24"/>
          <w:szCs w:val="24"/>
        </w:rPr>
        <w:t>3113-3122.</w:t>
      </w:r>
    </w:p>
    <w:p w14:paraId="703A2EC5" w14:textId="4FB8BBEC"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Wu T, Dorn JP, Donahue RP, Sempos</w:t>
      </w:r>
      <w:r>
        <w:rPr>
          <w:rFonts w:ascii="Times New Roman" w:hAnsi="Times New Roman"/>
          <w:sz w:val="24"/>
          <w:szCs w:val="24"/>
        </w:rPr>
        <w:t xml:space="preserve"> </w:t>
      </w:r>
      <w:r w:rsidRPr="00636E88">
        <w:rPr>
          <w:rFonts w:ascii="Times New Roman" w:hAnsi="Times New Roman"/>
          <w:sz w:val="24"/>
          <w:szCs w:val="24"/>
        </w:rPr>
        <w:t>CT,</w:t>
      </w:r>
      <w:r>
        <w:rPr>
          <w:rFonts w:ascii="Times New Roman" w:hAnsi="Times New Roman"/>
          <w:sz w:val="24"/>
          <w:szCs w:val="24"/>
        </w:rPr>
        <w:t xml:space="preserve"> </w:t>
      </w:r>
      <w:r w:rsidRPr="00636E88">
        <w:rPr>
          <w:rFonts w:ascii="Times New Roman" w:hAnsi="Times New Roman"/>
          <w:sz w:val="24"/>
          <w:szCs w:val="24"/>
        </w:rPr>
        <w:t xml:space="preserve">Trevisan M. Association of serum C-reactive protein </w:t>
      </w:r>
      <w:r>
        <w:rPr>
          <w:rFonts w:ascii="Times New Roman" w:hAnsi="Times New Roman"/>
          <w:sz w:val="24"/>
          <w:szCs w:val="24"/>
        </w:rPr>
        <w:tab/>
      </w:r>
      <w:r w:rsidRPr="00636E88">
        <w:rPr>
          <w:rFonts w:ascii="Times New Roman" w:hAnsi="Times New Roman"/>
          <w:sz w:val="24"/>
          <w:szCs w:val="24"/>
        </w:rPr>
        <w:t xml:space="preserve">with fasting insulin, glucose and glycosylated hemoglobin. Am J Epidemiol 2002; 155: </w:t>
      </w:r>
      <w:r>
        <w:rPr>
          <w:rFonts w:ascii="Times New Roman" w:hAnsi="Times New Roman"/>
          <w:sz w:val="24"/>
          <w:szCs w:val="24"/>
        </w:rPr>
        <w:tab/>
      </w:r>
      <w:r w:rsidRPr="00636E88">
        <w:rPr>
          <w:rFonts w:ascii="Times New Roman" w:hAnsi="Times New Roman"/>
          <w:sz w:val="24"/>
          <w:szCs w:val="24"/>
        </w:rPr>
        <w:t>65-71.</w:t>
      </w:r>
    </w:p>
    <w:p w14:paraId="03213434" w14:textId="45B7D7E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Xiao D, Dong Z, Zhen L, Xia G, Huang X, Wang T, et al. Combined Exosomal GPC1, CD82,</w:t>
      </w:r>
      <w:r>
        <w:rPr>
          <w:rFonts w:ascii="Times New Roman" w:hAnsi="Times New Roman"/>
          <w:sz w:val="24"/>
          <w:szCs w:val="24"/>
        </w:rPr>
        <w:tab/>
        <w:t xml:space="preserve"> </w:t>
      </w:r>
      <w:r w:rsidRPr="00636E88">
        <w:rPr>
          <w:rFonts w:ascii="Times New Roman" w:hAnsi="Times New Roman"/>
          <w:sz w:val="24"/>
          <w:szCs w:val="24"/>
        </w:rPr>
        <w:t>and Serum CA19-9 as Multiplex Targets: A Specific, Sensitive, and Reproducible</w:t>
      </w:r>
      <w:r>
        <w:rPr>
          <w:rFonts w:ascii="Times New Roman" w:hAnsi="Times New Roman"/>
          <w:sz w:val="24"/>
          <w:szCs w:val="24"/>
        </w:rPr>
        <w:tab/>
      </w:r>
      <w:r w:rsidRPr="00636E88">
        <w:rPr>
          <w:rFonts w:ascii="Times New Roman" w:hAnsi="Times New Roman"/>
          <w:sz w:val="24"/>
          <w:szCs w:val="24"/>
        </w:rPr>
        <w:t>Detection Panel for the Diagnosis of Pancreatic Cancer. Mol Cancer Res. 2020;</w:t>
      </w:r>
      <w:r>
        <w:rPr>
          <w:rFonts w:ascii="Times New Roman" w:hAnsi="Times New Roman"/>
          <w:sz w:val="24"/>
          <w:szCs w:val="24"/>
        </w:rPr>
        <w:t xml:space="preserve"> </w:t>
      </w:r>
      <w:r w:rsidRPr="00636E88">
        <w:rPr>
          <w:rFonts w:ascii="Times New Roman" w:hAnsi="Times New Roman"/>
          <w:sz w:val="24"/>
          <w:szCs w:val="24"/>
        </w:rPr>
        <w:t>18:300–</w:t>
      </w:r>
      <w:r>
        <w:rPr>
          <w:rFonts w:ascii="Times New Roman" w:hAnsi="Times New Roman"/>
          <w:sz w:val="24"/>
          <w:szCs w:val="24"/>
        </w:rPr>
        <w:tab/>
      </w:r>
      <w:r w:rsidRPr="00636E88">
        <w:rPr>
          <w:rFonts w:ascii="Times New Roman" w:hAnsi="Times New Roman"/>
          <w:sz w:val="24"/>
          <w:szCs w:val="24"/>
        </w:rPr>
        <w:t>10.</w:t>
      </w:r>
    </w:p>
    <w:p w14:paraId="2BDC7374" w14:textId="15A7B303" w:rsidR="00CF6603" w:rsidRPr="00636E88" w:rsidRDefault="00CF6603" w:rsidP="00CF6603">
      <w:pPr>
        <w:spacing w:line="360" w:lineRule="auto"/>
        <w:jc w:val="both"/>
        <w:rPr>
          <w:rFonts w:ascii="Times New Roman" w:hAnsi="Times New Roman"/>
          <w:sz w:val="24"/>
          <w:szCs w:val="24"/>
        </w:rPr>
      </w:pPr>
      <w:bookmarkStart w:id="14" w:name="_Hlk142396527"/>
      <w:r w:rsidRPr="00636E88">
        <w:rPr>
          <w:rFonts w:ascii="Times New Roman" w:hAnsi="Times New Roman"/>
          <w:sz w:val="24"/>
          <w:szCs w:val="24"/>
        </w:rPr>
        <w:t>Xue JY, Zhao Y</w:t>
      </w:r>
      <w:bookmarkEnd w:id="14"/>
      <w:r w:rsidRPr="00636E88">
        <w:rPr>
          <w:rFonts w:ascii="Times New Roman" w:hAnsi="Times New Roman"/>
          <w:sz w:val="24"/>
          <w:szCs w:val="24"/>
        </w:rPr>
        <w:t xml:space="preserve">, Aronowitz J, Mai TT, Vides A, Qeriqi B, et al. Rapid non-uniform adaptation </w:t>
      </w:r>
      <w:r>
        <w:rPr>
          <w:rFonts w:ascii="Times New Roman" w:hAnsi="Times New Roman"/>
          <w:sz w:val="24"/>
          <w:szCs w:val="24"/>
        </w:rPr>
        <w:tab/>
      </w:r>
      <w:r w:rsidRPr="00636E88">
        <w:rPr>
          <w:rFonts w:ascii="Times New Roman" w:hAnsi="Times New Roman"/>
          <w:sz w:val="24"/>
          <w:szCs w:val="24"/>
        </w:rPr>
        <w:t>to conformation-specifc KRAS(G12C) inhibition. Nature. 2020;577(7790):421–5.</w:t>
      </w:r>
    </w:p>
    <w:p w14:paraId="4345E456" w14:textId="2D0447B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Yalta T, Atay L, Atalay F, Caydere M, Gonultas M and Ustun H. E-Cadherin Expression in </w:t>
      </w:r>
      <w:r>
        <w:rPr>
          <w:rFonts w:ascii="Times New Roman" w:hAnsi="Times New Roman"/>
          <w:sz w:val="24"/>
          <w:szCs w:val="24"/>
        </w:rPr>
        <w:tab/>
      </w:r>
      <w:r w:rsidRPr="00636E88">
        <w:rPr>
          <w:rFonts w:ascii="Times New Roman" w:hAnsi="Times New Roman"/>
          <w:sz w:val="24"/>
          <w:szCs w:val="24"/>
        </w:rPr>
        <w:t>Endometrial Malignancies: Comparison between Endometrioid and Non-endometrioid</w:t>
      </w:r>
      <w:r>
        <w:rPr>
          <w:rFonts w:ascii="Times New Roman" w:hAnsi="Times New Roman"/>
          <w:sz w:val="24"/>
          <w:szCs w:val="24"/>
        </w:rPr>
        <w:tab/>
      </w:r>
      <w:r w:rsidRPr="00636E88">
        <w:rPr>
          <w:rFonts w:ascii="Times New Roman" w:hAnsi="Times New Roman"/>
          <w:sz w:val="24"/>
          <w:szCs w:val="24"/>
        </w:rPr>
        <w:t>Carcinomas. The Journal of International Medical Research. 2009; 37: 163 – 168.</w:t>
      </w:r>
    </w:p>
    <w:p w14:paraId="6B5594C0"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Yudkin JS et al, High levels of circulating proinflammatory cytokines and leptin in urban, but not </w:t>
      </w:r>
      <w:r>
        <w:rPr>
          <w:rFonts w:ascii="Times New Roman" w:hAnsi="Times New Roman"/>
          <w:sz w:val="24"/>
          <w:szCs w:val="24"/>
        </w:rPr>
        <w:tab/>
      </w:r>
      <w:r w:rsidRPr="00636E88">
        <w:rPr>
          <w:rFonts w:ascii="Times New Roman" w:hAnsi="Times New Roman"/>
          <w:sz w:val="24"/>
          <w:szCs w:val="24"/>
        </w:rPr>
        <w:t xml:space="preserve">rural, Indians. A potential explanation for increased risk of diabetes and coronary heart </w:t>
      </w:r>
      <w:r>
        <w:rPr>
          <w:rFonts w:ascii="Times New Roman" w:hAnsi="Times New Roman"/>
          <w:sz w:val="24"/>
          <w:szCs w:val="24"/>
        </w:rPr>
        <w:tab/>
      </w:r>
      <w:r w:rsidRPr="00636E88">
        <w:rPr>
          <w:rFonts w:ascii="Times New Roman" w:hAnsi="Times New Roman"/>
          <w:sz w:val="24"/>
          <w:szCs w:val="24"/>
        </w:rPr>
        <w:t>disease. Diabetes Care. 1999 Feb;22(2):363-4.</w:t>
      </w:r>
    </w:p>
    <w:p w14:paraId="4D387DF7" w14:textId="7777777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Zhang, H.; Yang, Y.; Wang, Y.; Gao, X.; Wang, W.; Liu, H.; He, H.; Liang, Y.; Pan, K.; Wu, H.; </w:t>
      </w:r>
      <w:r>
        <w:rPr>
          <w:rFonts w:ascii="Times New Roman" w:hAnsi="Times New Roman"/>
          <w:sz w:val="24"/>
          <w:szCs w:val="24"/>
        </w:rPr>
        <w:tab/>
      </w:r>
      <w:r w:rsidRPr="00636E88">
        <w:rPr>
          <w:rFonts w:ascii="Times New Roman" w:hAnsi="Times New Roman"/>
          <w:sz w:val="24"/>
          <w:szCs w:val="24"/>
        </w:rPr>
        <w:t xml:space="preserve">et al. Relationship of tumor marker CA125 and ovarian tumor stem cells: Preliminary </w:t>
      </w:r>
      <w:r>
        <w:rPr>
          <w:rFonts w:ascii="Times New Roman" w:hAnsi="Times New Roman"/>
          <w:sz w:val="24"/>
          <w:szCs w:val="24"/>
        </w:rPr>
        <w:tab/>
      </w:r>
      <w:r w:rsidRPr="00636E88">
        <w:rPr>
          <w:rFonts w:ascii="Times New Roman" w:hAnsi="Times New Roman"/>
          <w:sz w:val="24"/>
          <w:szCs w:val="24"/>
        </w:rPr>
        <w:t>identification. J. Ovarian Res. 2015, 8, 1–9. [CrossRef] [PubMed]</w:t>
      </w:r>
    </w:p>
    <w:p w14:paraId="0B453C15" w14:textId="3D1C74A7"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lastRenderedPageBreak/>
        <w:t xml:space="preserve">Zhao X, Wang D, Zhao Z, Xiao Y, Sengupta S, Xiao Y, Zhang R, Lauber K, Wesselborg S, Feng </w:t>
      </w:r>
      <w:r>
        <w:rPr>
          <w:rFonts w:ascii="Times New Roman" w:hAnsi="Times New Roman"/>
          <w:sz w:val="24"/>
          <w:szCs w:val="24"/>
        </w:rPr>
        <w:tab/>
      </w:r>
      <w:r w:rsidRPr="00636E88">
        <w:rPr>
          <w:rFonts w:ascii="Times New Roman" w:hAnsi="Times New Roman"/>
          <w:sz w:val="24"/>
          <w:szCs w:val="24"/>
        </w:rPr>
        <w:t>L, Rose TM, Shen Y, Zhang J, Prestwich G, Xu Y. Caspase-3-dependent activation of</w:t>
      </w:r>
      <w:r>
        <w:rPr>
          <w:rFonts w:ascii="Times New Roman" w:hAnsi="Times New Roman"/>
          <w:sz w:val="24"/>
          <w:szCs w:val="24"/>
        </w:rPr>
        <w:tab/>
      </w:r>
      <w:r w:rsidRPr="00636E88">
        <w:rPr>
          <w:rFonts w:ascii="Times New Roman" w:hAnsi="Times New Roman"/>
          <w:sz w:val="24"/>
          <w:szCs w:val="24"/>
        </w:rPr>
        <w:t>calcium-independent phospholipase A2 enhances cell migration</w:t>
      </w:r>
      <w:r>
        <w:rPr>
          <w:rFonts w:ascii="Times New Roman" w:hAnsi="Times New Roman"/>
          <w:sz w:val="24"/>
          <w:szCs w:val="24"/>
        </w:rPr>
        <w:t xml:space="preserve"> </w:t>
      </w:r>
      <w:r w:rsidRPr="00636E88">
        <w:rPr>
          <w:rFonts w:ascii="Times New Roman" w:hAnsi="Times New Roman"/>
          <w:sz w:val="24"/>
          <w:szCs w:val="24"/>
        </w:rPr>
        <w:t>in</w:t>
      </w:r>
      <w:r>
        <w:rPr>
          <w:rFonts w:ascii="Times New Roman" w:hAnsi="Times New Roman"/>
          <w:sz w:val="24"/>
          <w:szCs w:val="24"/>
        </w:rPr>
        <w:tab/>
      </w:r>
      <w:r w:rsidRPr="00636E88">
        <w:rPr>
          <w:rFonts w:ascii="Times New Roman" w:hAnsi="Times New Roman"/>
          <w:sz w:val="24"/>
          <w:szCs w:val="24"/>
        </w:rPr>
        <w:t xml:space="preserve">nonapoptotic </w:t>
      </w:r>
      <w:r>
        <w:rPr>
          <w:rFonts w:ascii="Times New Roman" w:hAnsi="Times New Roman"/>
          <w:sz w:val="24"/>
          <w:szCs w:val="24"/>
        </w:rPr>
        <w:tab/>
      </w:r>
      <w:r w:rsidRPr="00636E88">
        <w:rPr>
          <w:rFonts w:ascii="Times New Roman" w:hAnsi="Times New Roman"/>
          <w:sz w:val="24"/>
          <w:szCs w:val="24"/>
        </w:rPr>
        <w:t>ovarian cancer cells. Journal of Biology Chemistry. 2006; 281: 29357-9368.</w:t>
      </w:r>
    </w:p>
    <w:p w14:paraId="7A1EB2D0" w14:textId="526036E3"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Zieve L, Anderson WR, Dozeman R, Draves K, Lyftogt C. Acetaminophen liver injury: </w:t>
      </w:r>
      <w:r>
        <w:rPr>
          <w:rFonts w:ascii="Times New Roman" w:hAnsi="Times New Roman"/>
          <w:sz w:val="24"/>
          <w:szCs w:val="24"/>
        </w:rPr>
        <w:tab/>
      </w:r>
      <w:r w:rsidRPr="00636E88">
        <w:rPr>
          <w:rFonts w:ascii="Times New Roman" w:hAnsi="Times New Roman"/>
          <w:sz w:val="24"/>
          <w:szCs w:val="24"/>
        </w:rPr>
        <w:t xml:space="preserve">sequential changes in two biochemical indices of regeneration and their relationship to </w:t>
      </w:r>
      <w:r>
        <w:rPr>
          <w:rFonts w:ascii="Times New Roman" w:hAnsi="Times New Roman"/>
          <w:sz w:val="24"/>
          <w:szCs w:val="24"/>
        </w:rPr>
        <w:tab/>
      </w:r>
      <w:r w:rsidRPr="00636E88">
        <w:rPr>
          <w:rFonts w:ascii="Times New Roman" w:hAnsi="Times New Roman"/>
          <w:sz w:val="24"/>
          <w:szCs w:val="24"/>
        </w:rPr>
        <w:t>histologic alterations. J Lab Clin Med. 1985;105(5):619–624.</w:t>
      </w:r>
    </w:p>
    <w:p w14:paraId="06BED6D1" w14:textId="1E40965E"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Zimmerman KC, Bonzon C, Green DR. The machinery of programmed cell death. </w:t>
      </w:r>
      <w:r>
        <w:rPr>
          <w:rFonts w:ascii="Times New Roman" w:hAnsi="Times New Roman"/>
          <w:sz w:val="24"/>
          <w:szCs w:val="24"/>
        </w:rPr>
        <w:tab/>
      </w:r>
      <w:r w:rsidRPr="00636E88">
        <w:rPr>
          <w:rFonts w:ascii="Times New Roman" w:hAnsi="Times New Roman"/>
          <w:sz w:val="24"/>
          <w:szCs w:val="24"/>
        </w:rPr>
        <w:t>Pharmacology Therapeutics. 2002; 92: 57- 70.</w:t>
      </w:r>
    </w:p>
    <w:p w14:paraId="6243D023" w14:textId="50267F4D" w:rsidR="00CF6603" w:rsidRPr="00636E88" w:rsidRDefault="00CF6603" w:rsidP="00CF6603">
      <w:pPr>
        <w:spacing w:line="360" w:lineRule="auto"/>
        <w:jc w:val="both"/>
        <w:rPr>
          <w:rFonts w:ascii="Times New Roman" w:hAnsi="Times New Roman"/>
          <w:sz w:val="24"/>
          <w:szCs w:val="24"/>
        </w:rPr>
      </w:pPr>
      <w:r w:rsidRPr="00636E88">
        <w:rPr>
          <w:rFonts w:ascii="Times New Roman" w:hAnsi="Times New Roman"/>
          <w:sz w:val="24"/>
          <w:szCs w:val="24"/>
        </w:rPr>
        <w:t xml:space="preserve">Zimmet P, Alberti KG, Shaw J. Global and societal implication of diabetes epidemic. Nature </w:t>
      </w:r>
      <w:r>
        <w:rPr>
          <w:rFonts w:ascii="Times New Roman" w:hAnsi="Times New Roman"/>
          <w:sz w:val="24"/>
          <w:szCs w:val="24"/>
        </w:rPr>
        <w:tab/>
      </w:r>
      <w:r w:rsidRPr="00636E88">
        <w:rPr>
          <w:rFonts w:ascii="Times New Roman" w:hAnsi="Times New Roman"/>
          <w:sz w:val="24"/>
          <w:szCs w:val="24"/>
        </w:rPr>
        <w:t xml:space="preserve">2001; </w:t>
      </w:r>
      <w:r>
        <w:rPr>
          <w:rFonts w:ascii="Times New Roman" w:hAnsi="Times New Roman"/>
          <w:sz w:val="24"/>
          <w:szCs w:val="24"/>
        </w:rPr>
        <w:tab/>
      </w:r>
      <w:r w:rsidRPr="00636E88">
        <w:rPr>
          <w:rFonts w:ascii="Times New Roman" w:hAnsi="Times New Roman"/>
          <w:sz w:val="24"/>
          <w:szCs w:val="24"/>
        </w:rPr>
        <w:t>414: 782-7.</w:t>
      </w:r>
    </w:p>
    <w:p w14:paraId="3737B7C5" w14:textId="77777777" w:rsidR="00CF6603" w:rsidRPr="00CF6603" w:rsidRDefault="00CF6603" w:rsidP="001839B7">
      <w:pPr>
        <w:tabs>
          <w:tab w:val="left" w:pos="90"/>
        </w:tabs>
        <w:spacing w:after="0" w:line="360" w:lineRule="auto"/>
        <w:jc w:val="both"/>
        <w:rPr>
          <w:rFonts w:ascii="Times New Roman" w:hAnsi="Times New Roman" w:cs="Times New Roman"/>
          <w:b/>
          <w:bCs/>
          <w:sz w:val="24"/>
          <w:szCs w:val="24"/>
        </w:rPr>
      </w:pPr>
    </w:p>
    <w:p w14:paraId="7C528087" w14:textId="77777777" w:rsidR="00284BC2" w:rsidRPr="001839B7" w:rsidRDefault="00284BC2" w:rsidP="00CF6603">
      <w:pPr>
        <w:tabs>
          <w:tab w:val="left" w:pos="90"/>
        </w:tabs>
        <w:autoSpaceDE w:val="0"/>
        <w:autoSpaceDN w:val="0"/>
        <w:adjustRightInd w:val="0"/>
        <w:spacing w:before="120" w:after="120" w:line="360" w:lineRule="auto"/>
        <w:jc w:val="both"/>
        <w:rPr>
          <w:rFonts w:ascii="Times New Roman" w:hAnsi="Times New Roman" w:cs="Times New Roman"/>
          <w:sz w:val="24"/>
          <w:szCs w:val="24"/>
        </w:rPr>
      </w:pPr>
    </w:p>
    <w:p w14:paraId="19F28C48" w14:textId="77777777" w:rsidR="00284BC2" w:rsidRPr="001839B7" w:rsidRDefault="00284BC2"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p>
    <w:p w14:paraId="67150F7C" w14:textId="77777777" w:rsidR="00284BC2" w:rsidRPr="001839B7" w:rsidRDefault="00284BC2" w:rsidP="001839B7">
      <w:pPr>
        <w:tabs>
          <w:tab w:val="left" w:pos="90"/>
        </w:tabs>
        <w:spacing w:after="0" w:line="360" w:lineRule="auto"/>
        <w:jc w:val="both"/>
        <w:rPr>
          <w:rFonts w:ascii="Times New Roman" w:hAnsi="Times New Roman" w:cs="Times New Roman"/>
          <w:sz w:val="24"/>
          <w:szCs w:val="24"/>
        </w:rPr>
      </w:pPr>
    </w:p>
    <w:p w14:paraId="6C0A6C63"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p>
    <w:p w14:paraId="091E5435"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p>
    <w:p w14:paraId="6C63929D"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p>
    <w:p w14:paraId="7F3E65DC"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p>
    <w:p w14:paraId="38754A6F" w14:textId="17D693D9" w:rsidR="00AC132D" w:rsidRPr="001839B7" w:rsidRDefault="00AC132D" w:rsidP="001839B7">
      <w:pPr>
        <w:tabs>
          <w:tab w:val="left" w:pos="90"/>
        </w:tabs>
        <w:spacing w:after="0" w:line="360" w:lineRule="auto"/>
        <w:jc w:val="both"/>
        <w:rPr>
          <w:rFonts w:ascii="Times New Roman" w:hAnsi="Times New Roman" w:cs="Times New Roman"/>
          <w:sz w:val="24"/>
          <w:szCs w:val="24"/>
        </w:rPr>
      </w:pPr>
    </w:p>
    <w:p w14:paraId="45887C15" w14:textId="6008A66B" w:rsidR="00AC132D" w:rsidRPr="001839B7" w:rsidRDefault="00AC132D" w:rsidP="001839B7">
      <w:pPr>
        <w:spacing w:after="0" w:line="360" w:lineRule="auto"/>
        <w:jc w:val="both"/>
        <w:rPr>
          <w:rFonts w:ascii="Times New Roman" w:hAnsi="Times New Roman" w:cs="Times New Roman"/>
          <w:sz w:val="24"/>
          <w:szCs w:val="24"/>
        </w:rPr>
      </w:pPr>
    </w:p>
    <w:p w14:paraId="045A4B6E" w14:textId="77777777" w:rsidR="00AC132D" w:rsidRPr="001839B7" w:rsidRDefault="00AC132D" w:rsidP="001839B7">
      <w:pPr>
        <w:spacing w:after="0" w:line="360" w:lineRule="auto"/>
        <w:jc w:val="both"/>
        <w:rPr>
          <w:rFonts w:ascii="Times New Roman" w:hAnsi="Times New Roman" w:cs="Times New Roman"/>
          <w:sz w:val="24"/>
          <w:szCs w:val="24"/>
        </w:rPr>
      </w:pPr>
    </w:p>
    <w:p w14:paraId="170C696B" w14:textId="77777777" w:rsidR="00AC132D" w:rsidRPr="001839B7" w:rsidRDefault="00AC132D" w:rsidP="001839B7">
      <w:pPr>
        <w:tabs>
          <w:tab w:val="left" w:pos="90"/>
        </w:tabs>
        <w:spacing w:after="0" w:line="360" w:lineRule="auto"/>
        <w:jc w:val="both"/>
        <w:rPr>
          <w:rFonts w:ascii="Times New Roman" w:eastAsia="MyriadPro-Light" w:hAnsi="Times New Roman" w:cs="Times New Roman"/>
          <w:b/>
          <w:bCs/>
          <w:kern w:val="0"/>
          <w:sz w:val="24"/>
          <w:szCs w:val="24"/>
        </w:rPr>
      </w:pPr>
    </w:p>
    <w:p w14:paraId="5234F906" w14:textId="77777777" w:rsidR="00AC132D" w:rsidRPr="001839B7" w:rsidRDefault="00AC132D" w:rsidP="001839B7">
      <w:pPr>
        <w:tabs>
          <w:tab w:val="left" w:pos="90"/>
        </w:tabs>
        <w:spacing w:after="0" w:line="360" w:lineRule="auto"/>
        <w:jc w:val="both"/>
        <w:rPr>
          <w:rFonts w:ascii="Times New Roman" w:hAnsi="Times New Roman" w:cs="Times New Roman"/>
          <w:sz w:val="24"/>
          <w:szCs w:val="24"/>
        </w:rPr>
      </w:pPr>
    </w:p>
    <w:p w14:paraId="632F26F7" w14:textId="77777777" w:rsidR="00AC132D" w:rsidRPr="001839B7" w:rsidRDefault="00AC132D" w:rsidP="001839B7">
      <w:pPr>
        <w:spacing w:after="0" w:line="360" w:lineRule="auto"/>
        <w:jc w:val="both"/>
        <w:rPr>
          <w:rFonts w:ascii="Times New Roman" w:hAnsi="Times New Roman" w:cs="Times New Roman"/>
          <w:sz w:val="24"/>
          <w:szCs w:val="24"/>
        </w:rPr>
      </w:pPr>
    </w:p>
    <w:p w14:paraId="001A2ECB" w14:textId="2F04EF24" w:rsidR="002C38FB" w:rsidRPr="001839B7" w:rsidRDefault="002C38FB" w:rsidP="001839B7">
      <w:pPr>
        <w:spacing w:line="360" w:lineRule="auto"/>
        <w:jc w:val="both"/>
        <w:rPr>
          <w:rFonts w:ascii="Times New Roman" w:hAnsi="Times New Roman" w:cs="Times New Roman"/>
          <w:sz w:val="24"/>
          <w:szCs w:val="24"/>
        </w:rPr>
      </w:pPr>
    </w:p>
    <w:sectPr w:rsidR="002C38FB" w:rsidRPr="001839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43" w:usb2="00000009" w:usb3="00000000" w:csb0="000001FF" w:csb1="00000000"/>
  </w:font>
  <w:font w:name="MyriadPro-Light">
    <w:altName w:val="Yu Gothic"/>
    <w:panose1 w:val="00000000000000000000"/>
    <w:charset w:val="80"/>
    <w:family w:val="auto"/>
    <w:notTrueType/>
    <w:pitch w:val="default"/>
    <w:sig w:usb0="00000000" w:usb1="08070000" w:usb2="00000010" w:usb3="00000000" w:csb0="00020000" w:csb1="00000000"/>
  </w:font>
  <w:font w:name="Open Sans">
    <w:altName w:val="Segoe UI"/>
    <w:charset w:val="00"/>
    <w:family w:val="swiss"/>
    <w:pitch w:val="variable"/>
    <w:sig w:usb0="E00002EF" w:usb1="4000205B" w:usb2="00000028" w:usb3="00000000" w:csb0="0000019F" w:csb1="00000000"/>
  </w:font>
  <w:font w:name="AdvP4DF60E">
    <w:altName w:val="Arial Unicode MS"/>
    <w:panose1 w:val="00000000000000000000"/>
    <w:charset w:val="81"/>
    <w:family w:val="auto"/>
    <w:notTrueType/>
    <w:pitch w:val="default"/>
    <w:sig w:usb0="00000001" w:usb1="09060000" w:usb2="00000010" w:usb3="00000000" w:csb0="00080000" w:csb1="00000000"/>
  </w:font>
  <w:font w:name="UB-Time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34E"/>
    <w:multiLevelType w:val="multilevel"/>
    <w:tmpl w:val="48EC0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7333E"/>
    <w:multiLevelType w:val="hybridMultilevel"/>
    <w:tmpl w:val="0384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04D0E"/>
    <w:multiLevelType w:val="multilevel"/>
    <w:tmpl w:val="8A846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B374A"/>
    <w:multiLevelType w:val="multilevel"/>
    <w:tmpl w:val="AA900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A75B76"/>
    <w:multiLevelType w:val="hybridMultilevel"/>
    <w:tmpl w:val="E19CA0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515656252">
    <w:abstractNumId w:val="2"/>
  </w:num>
  <w:num w:numId="2" w16cid:durableId="31464424">
    <w:abstractNumId w:val="0"/>
  </w:num>
  <w:num w:numId="3" w16cid:durableId="868764453">
    <w:abstractNumId w:val="3"/>
  </w:num>
  <w:num w:numId="4" w16cid:durableId="166864697">
    <w:abstractNumId w:val="4"/>
  </w:num>
  <w:num w:numId="5" w16cid:durableId="1584490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B2"/>
    <w:rsid w:val="000014CB"/>
    <w:rsid w:val="0000200A"/>
    <w:rsid w:val="00011CA3"/>
    <w:rsid w:val="000144BF"/>
    <w:rsid w:val="0002206D"/>
    <w:rsid w:val="0002270F"/>
    <w:rsid w:val="00025F43"/>
    <w:rsid w:val="000337CD"/>
    <w:rsid w:val="000405E2"/>
    <w:rsid w:val="00050026"/>
    <w:rsid w:val="000506BE"/>
    <w:rsid w:val="000525B7"/>
    <w:rsid w:val="000528AA"/>
    <w:rsid w:val="0005390F"/>
    <w:rsid w:val="00065B94"/>
    <w:rsid w:val="00065DEB"/>
    <w:rsid w:val="0007102B"/>
    <w:rsid w:val="000711E7"/>
    <w:rsid w:val="00082195"/>
    <w:rsid w:val="00084358"/>
    <w:rsid w:val="000845D6"/>
    <w:rsid w:val="00090BC0"/>
    <w:rsid w:val="000927F1"/>
    <w:rsid w:val="00094958"/>
    <w:rsid w:val="000B019A"/>
    <w:rsid w:val="000B35DB"/>
    <w:rsid w:val="000C62CC"/>
    <w:rsid w:val="000C6536"/>
    <w:rsid w:val="000C739C"/>
    <w:rsid w:val="000D0020"/>
    <w:rsid w:val="000D63EF"/>
    <w:rsid w:val="000E7657"/>
    <w:rsid w:val="000E7759"/>
    <w:rsid w:val="000F0A41"/>
    <w:rsid w:val="000F0DAA"/>
    <w:rsid w:val="000F5748"/>
    <w:rsid w:val="000F61AD"/>
    <w:rsid w:val="0010369F"/>
    <w:rsid w:val="00105E63"/>
    <w:rsid w:val="00112AAB"/>
    <w:rsid w:val="001225B3"/>
    <w:rsid w:val="00142ED0"/>
    <w:rsid w:val="001474B6"/>
    <w:rsid w:val="00150CBF"/>
    <w:rsid w:val="0015197D"/>
    <w:rsid w:val="00156FF0"/>
    <w:rsid w:val="001642C2"/>
    <w:rsid w:val="00170ED6"/>
    <w:rsid w:val="00180CD8"/>
    <w:rsid w:val="001839B7"/>
    <w:rsid w:val="00187386"/>
    <w:rsid w:val="00196800"/>
    <w:rsid w:val="001A0915"/>
    <w:rsid w:val="001A5558"/>
    <w:rsid w:val="001A560E"/>
    <w:rsid w:val="001A7232"/>
    <w:rsid w:val="001B3172"/>
    <w:rsid w:val="001B5A17"/>
    <w:rsid w:val="001B5B5F"/>
    <w:rsid w:val="001C435D"/>
    <w:rsid w:val="001D7073"/>
    <w:rsid w:val="001E316B"/>
    <w:rsid w:val="001F311F"/>
    <w:rsid w:val="00200899"/>
    <w:rsid w:val="00203D96"/>
    <w:rsid w:val="002051D7"/>
    <w:rsid w:val="00206CEE"/>
    <w:rsid w:val="00214291"/>
    <w:rsid w:val="0021721E"/>
    <w:rsid w:val="00217B2C"/>
    <w:rsid w:val="0022288E"/>
    <w:rsid w:val="00222D51"/>
    <w:rsid w:val="0023261C"/>
    <w:rsid w:val="00234CB7"/>
    <w:rsid w:val="00235007"/>
    <w:rsid w:val="002356AB"/>
    <w:rsid w:val="002363E4"/>
    <w:rsid w:val="002547CD"/>
    <w:rsid w:val="00284B30"/>
    <w:rsid w:val="00284B74"/>
    <w:rsid w:val="00284BC2"/>
    <w:rsid w:val="00291A8E"/>
    <w:rsid w:val="0029235C"/>
    <w:rsid w:val="0029416F"/>
    <w:rsid w:val="002950D2"/>
    <w:rsid w:val="00297B76"/>
    <w:rsid w:val="002A225E"/>
    <w:rsid w:val="002B0D95"/>
    <w:rsid w:val="002B4EF7"/>
    <w:rsid w:val="002B5367"/>
    <w:rsid w:val="002C2070"/>
    <w:rsid w:val="002C38FB"/>
    <w:rsid w:val="002C61D0"/>
    <w:rsid w:val="002C6C1C"/>
    <w:rsid w:val="002D5CF7"/>
    <w:rsid w:val="002D6A7F"/>
    <w:rsid w:val="002D6E2D"/>
    <w:rsid w:val="002E1CBA"/>
    <w:rsid w:val="002F047A"/>
    <w:rsid w:val="00303955"/>
    <w:rsid w:val="00304905"/>
    <w:rsid w:val="00312C02"/>
    <w:rsid w:val="0031394A"/>
    <w:rsid w:val="00315637"/>
    <w:rsid w:val="0031688B"/>
    <w:rsid w:val="003235FE"/>
    <w:rsid w:val="00326521"/>
    <w:rsid w:val="00341473"/>
    <w:rsid w:val="00343CF9"/>
    <w:rsid w:val="00346366"/>
    <w:rsid w:val="00350A47"/>
    <w:rsid w:val="00350DAD"/>
    <w:rsid w:val="00366749"/>
    <w:rsid w:val="00370ED6"/>
    <w:rsid w:val="003713EC"/>
    <w:rsid w:val="00375260"/>
    <w:rsid w:val="003831A3"/>
    <w:rsid w:val="003831D4"/>
    <w:rsid w:val="00385EA6"/>
    <w:rsid w:val="00385F62"/>
    <w:rsid w:val="00386E3A"/>
    <w:rsid w:val="00390379"/>
    <w:rsid w:val="00391636"/>
    <w:rsid w:val="003917E0"/>
    <w:rsid w:val="0039425D"/>
    <w:rsid w:val="003A076A"/>
    <w:rsid w:val="003A1EA7"/>
    <w:rsid w:val="003B2815"/>
    <w:rsid w:val="003B3D5B"/>
    <w:rsid w:val="003B3E58"/>
    <w:rsid w:val="003B4895"/>
    <w:rsid w:val="003B6273"/>
    <w:rsid w:val="003B767D"/>
    <w:rsid w:val="003C00E6"/>
    <w:rsid w:val="003D10E8"/>
    <w:rsid w:val="003F01A3"/>
    <w:rsid w:val="003F0AFF"/>
    <w:rsid w:val="003F22C1"/>
    <w:rsid w:val="003F5B6B"/>
    <w:rsid w:val="00401E49"/>
    <w:rsid w:val="004042D2"/>
    <w:rsid w:val="004049BE"/>
    <w:rsid w:val="00410D40"/>
    <w:rsid w:val="00414C84"/>
    <w:rsid w:val="004210CE"/>
    <w:rsid w:val="00422E18"/>
    <w:rsid w:val="00423052"/>
    <w:rsid w:val="00426429"/>
    <w:rsid w:val="00427C2D"/>
    <w:rsid w:val="004317D6"/>
    <w:rsid w:val="00433DA6"/>
    <w:rsid w:val="00435A1D"/>
    <w:rsid w:val="004413C5"/>
    <w:rsid w:val="00442568"/>
    <w:rsid w:val="00445C34"/>
    <w:rsid w:val="00447570"/>
    <w:rsid w:val="004564D5"/>
    <w:rsid w:val="00461142"/>
    <w:rsid w:val="00462035"/>
    <w:rsid w:val="004663EB"/>
    <w:rsid w:val="00472492"/>
    <w:rsid w:val="0047671E"/>
    <w:rsid w:val="00486AA9"/>
    <w:rsid w:val="00497E63"/>
    <w:rsid w:val="004B0A5A"/>
    <w:rsid w:val="004B481D"/>
    <w:rsid w:val="004B4E59"/>
    <w:rsid w:val="004D11F5"/>
    <w:rsid w:val="004D14F5"/>
    <w:rsid w:val="004D1783"/>
    <w:rsid w:val="004E1B08"/>
    <w:rsid w:val="004F0744"/>
    <w:rsid w:val="004F4B13"/>
    <w:rsid w:val="004F7275"/>
    <w:rsid w:val="005035A9"/>
    <w:rsid w:val="00505004"/>
    <w:rsid w:val="005051C5"/>
    <w:rsid w:val="00514D62"/>
    <w:rsid w:val="00522549"/>
    <w:rsid w:val="00535AAB"/>
    <w:rsid w:val="005412DF"/>
    <w:rsid w:val="005430ED"/>
    <w:rsid w:val="00544D62"/>
    <w:rsid w:val="0055192E"/>
    <w:rsid w:val="00551DBE"/>
    <w:rsid w:val="0055455F"/>
    <w:rsid w:val="00554A43"/>
    <w:rsid w:val="005553E8"/>
    <w:rsid w:val="00555514"/>
    <w:rsid w:val="00556340"/>
    <w:rsid w:val="00556E0B"/>
    <w:rsid w:val="00561886"/>
    <w:rsid w:val="00572B42"/>
    <w:rsid w:val="005760F1"/>
    <w:rsid w:val="0059509B"/>
    <w:rsid w:val="00596EC3"/>
    <w:rsid w:val="005A1131"/>
    <w:rsid w:val="005A4FD9"/>
    <w:rsid w:val="005D2C40"/>
    <w:rsid w:val="005E74FB"/>
    <w:rsid w:val="005F0041"/>
    <w:rsid w:val="005F11F4"/>
    <w:rsid w:val="005F2CD0"/>
    <w:rsid w:val="005F3778"/>
    <w:rsid w:val="00601C18"/>
    <w:rsid w:val="00602EC1"/>
    <w:rsid w:val="0062078E"/>
    <w:rsid w:val="00624528"/>
    <w:rsid w:val="006254D2"/>
    <w:rsid w:val="00632833"/>
    <w:rsid w:val="00637D0C"/>
    <w:rsid w:val="0064164F"/>
    <w:rsid w:val="006428C7"/>
    <w:rsid w:val="00644EAE"/>
    <w:rsid w:val="00650A09"/>
    <w:rsid w:val="00650E05"/>
    <w:rsid w:val="00657DF7"/>
    <w:rsid w:val="00661695"/>
    <w:rsid w:val="00664BF0"/>
    <w:rsid w:val="00670746"/>
    <w:rsid w:val="00673CC9"/>
    <w:rsid w:val="00674FB4"/>
    <w:rsid w:val="00692436"/>
    <w:rsid w:val="00694140"/>
    <w:rsid w:val="00695E95"/>
    <w:rsid w:val="006A1042"/>
    <w:rsid w:val="006B41BC"/>
    <w:rsid w:val="006C0721"/>
    <w:rsid w:val="006D398A"/>
    <w:rsid w:val="006D65ED"/>
    <w:rsid w:val="006D6707"/>
    <w:rsid w:val="006E09B7"/>
    <w:rsid w:val="006E24BC"/>
    <w:rsid w:val="006F2205"/>
    <w:rsid w:val="006F523F"/>
    <w:rsid w:val="006F61E3"/>
    <w:rsid w:val="007020BF"/>
    <w:rsid w:val="007059EB"/>
    <w:rsid w:val="007164FB"/>
    <w:rsid w:val="007313F3"/>
    <w:rsid w:val="007317B5"/>
    <w:rsid w:val="0073507B"/>
    <w:rsid w:val="00743C5D"/>
    <w:rsid w:val="0074419D"/>
    <w:rsid w:val="0074603F"/>
    <w:rsid w:val="0074668D"/>
    <w:rsid w:val="007466BF"/>
    <w:rsid w:val="00747A6C"/>
    <w:rsid w:val="007540BE"/>
    <w:rsid w:val="00756438"/>
    <w:rsid w:val="00762091"/>
    <w:rsid w:val="00771D38"/>
    <w:rsid w:val="00780D79"/>
    <w:rsid w:val="00782E16"/>
    <w:rsid w:val="00797AF1"/>
    <w:rsid w:val="007A171A"/>
    <w:rsid w:val="007A19A5"/>
    <w:rsid w:val="007A19F2"/>
    <w:rsid w:val="007A2BAC"/>
    <w:rsid w:val="007A3C86"/>
    <w:rsid w:val="007A70F1"/>
    <w:rsid w:val="007B64FB"/>
    <w:rsid w:val="007C2169"/>
    <w:rsid w:val="007C35B7"/>
    <w:rsid w:val="007C6C8D"/>
    <w:rsid w:val="007D0DFB"/>
    <w:rsid w:val="007D1415"/>
    <w:rsid w:val="007D2087"/>
    <w:rsid w:val="007E62CC"/>
    <w:rsid w:val="007E6E78"/>
    <w:rsid w:val="007F1409"/>
    <w:rsid w:val="007F75FF"/>
    <w:rsid w:val="008067A9"/>
    <w:rsid w:val="00806FE8"/>
    <w:rsid w:val="008153C1"/>
    <w:rsid w:val="00832A47"/>
    <w:rsid w:val="008448F4"/>
    <w:rsid w:val="00846088"/>
    <w:rsid w:val="0085011E"/>
    <w:rsid w:val="008537AE"/>
    <w:rsid w:val="008649A5"/>
    <w:rsid w:val="008655A7"/>
    <w:rsid w:val="00866C23"/>
    <w:rsid w:val="00867959"/>
    <w:rsid w:val="0087003B"/>
    <w:rsid w:val="008714A9"/>
    <w:rsid w:val="008729F3"/>
    <w:rsid w:val="008748C7"/>
    <w:rsid w:val="00875E86"/>
    <w:rsid w:val="00876664"/>
    <w:rsid w:val="008774BF"/>
    <w:rsid w:val="00881FA5"/>
    <w:rsid w:val="00884A91"/>
    <w:rsid w:val="008858E8"/>
    <w:rsid w:val="0088772D"/>
    <w:rsid w:val="00887D56"/>
    <w:rsid w:val="00894823"/>
    <w:rsid w:val="008A27D0"/>
    <w:rsid w:val="008A3424"/>
    <w:rsid w:val="008A5B6B"/>
    <w:rsid w:val="008A5ED7"/>
    <w:rsid w:val="008B109D"/>
    <w:rsid w:val="008C08B3"/>
    <w:rsid w:val="008C1C8C"/>
    <w:rsid w:val="008D2842"/>
    <w:rsid w:val="008D391A"/>
    <w:rsid w:val="008E1FFC"/>
    <w:rsid w:val="008E41D6"/>
    <w:rsid w:val="008F18F3"/>
    <w:rsid w:val="008F1962"/>
    <w:rsid w:val="008F1B67"/>
    <w:rsid w:val="008F359D"/>
    <w:rsid w:val="00910528"/>
    <w:rsid w:val="00913C05"/>
    <w:rsid w:val="009140C3"/>
    <w:rsid w:val="0092125A"/>
    <w:rsid w:val="00930AB5"/>
    <w:rsid w:val="009359DF"/>
    <w:rsid w:val="00935F14"/>
    <w:rsid w:val="00936463"/>
    <w:rsid w:val="009371F9"/>
    <w:rsid w:val="00943FFD"/>
    <w:rsid w:val="009444A1"/>
    <w:rsid w:val="00946C4E"/>
    <w:rsid w:val="009477FC"/>
    <w:rsid w:val="009554A2"/>
    <w:rsid w:val="00955939"/>
    <w:rsid w:val="00965234"/>
    <w:rsid w:val="00965F87"/>
    <w:rsid w:val="00972CE6"/>
    <w:rsid w:val="00975B6A"/>
    <w:rsid w:val="0098389A"/>
    <w:rsid w:val="00984AED"/>
    <w:rsid w:val="00994CCC"/>
    <w:rsid w:val="009A3EE3"/>
    <w:rsid w:val="009A5A02"/>
    <w:rsid w:val="009A739D"/>
    <w:rsid w:val="009B0E3A"/>
    <w:rsid w:val="009C197D"/>
    <w:rsid w:val="009C44B0"/>
    <w:rsid w:val="009D04D7"/>
    <w:rsid w:val="009D5B3D"/>
    <w:rsid w:val="009F58AA"/>
    <w:rsid w:val="009F60FE"/>
    <w:rsid w:val="00A06FA8"/>
    <w:rsid w:val="00A27CAA"/>
    <w:rsid w:val="00A44617"/>
    <w:rsid w:val="00A46B63"/>
    <w:rsid w:val="00A64CE5"/>
    <w:rsid w:val="00A65FA6"/>
    <w:rsid w:val="00A7017A"/>
    <w:rsid w:val="00A70245"/>
    <w:rsid w:val="00A71D65"/>
    <w:rsid w:val="00A72DB4"/>
    <w:rsid w:val="00A75BF6"/>
    <w:rsid w:val="00A75E51"/>
    <w:rsid w:val="00A81BB5"/>
    <w:rsid w:val="00A847FC"/>
    <w:rsid w:val="00A84AE2"/>
    <w:rsid w:val="00A84C7F"/>
    <w:rsid w:val="00A903A4"/>
    <w:rsid w:val="00A946BE"/>
    <w:rsid w:val="00AA129B"/>
    <w:rsid w:val="00AA3A19"/>
    <w:rsid w:val="00AA4485"/>
    <w:rsid w:val="00AA4C30"/>
    <w:rsid w:val="00AA4D6C"/>
    <w:rsid w:val="00AA617A"/>
    <w:rsid w:val="00AB5D80"/>
    <w:rsid w:val="00AB6570"/>
    <w:rsid w:val="00AB73BE"/>
    <w:rsid w:val="00AC132D"/>
    <w:rsid w:val="00AC256C"/>
    <w:rsid w:val="00AC4773"/>
    <w:rsid w:val="00AC4BE7"/>
    <w:rsid w:val="00AC7E76"/>
    <w:rsid w:val="00AD23A3"/>
    <w:rsid w:val="00AD24A7"/>
    <w:rsid w:val="00AD486F"/>
    <w:rsid w:val="00AD6607"/>
    <w:rsid w:val="00AD701B"/>
    <w:rsid w:val="00AD73E4"/>
    <w:rsid w:val="00AD7C48"/>
    <w:rsid w:val="00AE482A"/>
    <w:rsid w:val="00AE4863"/>
    <w:rsid w:val="00AE747F"/>
    <w:rsid w:val="00AF3F13"/>
    <w:rsid w:val="00B040F1"/>
    <w:rsid w:val="00B049BD"/>
    <w:rsid w:val="00B0781C"/>
    <w:rsid w:val="00B14082"/>
    <w:rsid w:val="00B21CAA"/>
    <w:rsid w:val="00B23F68"/>
    <w:rsid w:val="00B37821"/>
    <w:rsid w:val="00B37823"/>
    <w:rsid w:val="00B4301D"/>
    <w:rsid w:val="00B463AA"/>
    <w:rsid w:val="00B51104"/>
    <w:rsid w:val="00B51366"/>
    <w:rsid w:val="00B554C5"/>
    <w:rsid w:val="00B611A7"/>
    <w:rsid w:val="00B61E4E"/>
    <w:rsid w:val="00B625C6"/>
    <w:rsid w:val="00B643FB"/>
    <w:rsid w:val="00B725D9"/>
    <w:rsid w:val="00B738DA"/>
    <w:rsid w:val="00B76071"/>
    <w:rsid w:val="00B83535"/>
    <w:rsid w:val="00B8489E"/>
    <w:rsid w:val="00B87C1E"/>
    <w:rsid w:val="00B91228"/>
    <w:rsid w:val="00B92129"/>
    <w:rsid w:val="00BA0E20"/>
    <w:rsid w:val="00BA2A79"/>
    <w:rsid w:val="00BA2E9E"/>
    <w:rsid w:val="00BB26F9"/>
    <w:rsid w:val="00BB385E"/>
    <w:rsid w:val="00BB743D"/>
    <w:rsid w:val="00BC1774"/>
    <w:rsid w:val="00BC4620"/>
    <w:rsid w:val="00BC54D5"/>
    <w:rsid w:val="00BD4AA8"/>
    <w:rsid w:val="00BD6230"/>
    <w:rsid w:val="00BE0DB0"/>
    <w:rsid w:val="00BE167B"/>
    <w:rsid w:val="00BE45DA"/>
    <w:rsid w:val="00BF1395"/>
    <w:rsid w:val="00BF16B2"/>
    <w:rsid w:val="00BF49A8"/>
    <w:rsid w:val="00BF72C5"/>
    <w:rsid w:val="00C0086C"/>
    <w:rsid w:val="00C0186C"/>
    <w:rsid w:val="00C12812"/>
    <w:rsid w:val="00C23300"/>
    <w:rsid w:val="00C2521D"/>
    <w:rsid w:val="00C25B28"/>
    <w:rsid w:val="00C26A64"/>
    <w:rsid w:val="00C315EE"/>
    <w:rsid w:val="00C34463"/>
    <w:rsid w:val="00C35D1A"/>
    <w:rsid w:val="00C3753B"/>
    <w:rsid w:val="00C45C24"/>
    <w:rsid w:val="00C548F6"/>
    <w:rsid w:val="00C57113"/>
    <w:rsid w:val="00C603CD"/>
    <w:rsid w:val="00C65BA6"/>
    <w:rsid w:val="00C66743"/>
    <w:rsid w:val="00C67E02"/>
    <w:rsid w:val="00C76E90"/>
    <w:rsid w:val="00C80892"/>
    <w:rsid w:val="00C90784"/>
    <w:rsid w:val="00C90988"/>
    <w:rsid w:val="00C94BD2"/>
    <w:rsid w:val="00C9726C"/>
    <w:rsid w:val="00CA7349"/>
    <w:rsid w:val="00CB0E34"/>
    <w:rsid w:val="00CC2BD9"/>
    <w:rsid w:val="00CD0D59"/>
    <w:rsid w:val="00CD1595"/>
    <w:rsid w:val="00CD69E9"/>
    <w:rsid w:val="00CE0561"/>
    <w:rsid w:val="00CE5174"/>
    <w:rsid w:val="00CE59B2"/>
    <w:rsid w:val="00CF00A7"/>
    <w:rsid w:val="00CF6603"/>
    <w:rsid w:val="00CF6F66"/>
    <w:rsid w:val="00D016A8"/>
    <w:rsid w:val="00D066F2"/>
    <w:rsid w:val="00D10A39"/>
    <w:rsid w:val="00D10DE6"/>
    <w:rsid w:val="00D11EC0"/>
    <w:rsid w:val="00D1267B"/>
    <w:rsid w:val="00D13F76"/>
    <w:rsid w:val="00D148A0"/>
    <w:rsid w:val="00D14CC7"/>
    <w:rsid w:val="00D14E4E"/>
    <w:rsid w:val="00D254F3"/>
    <w:rsid w:val="00D256C5"/>
    <w:rsid w:val="00D35A1E"/>
    <w:rsid w:val="00D35C44"/>
    <w:rsid w:val="00D4017C"/>
    <w:rsid w:val="00D40C5B"/>
    <w:rsid w:val="00D443EE"/>
    <w:rsid w:val="00D54217"/>
    <w:rsid w:val="00D549B5"/>
    <w:rsid w:val="00D551A8"/>
    <w:rsid w:val="00D57174"/>
    <w:rsid w:val="00D615F1"/>
    <w:rsid w:val="00D6262D"/>
    <w:rsid w:val="00D63D10"/>
    <w:rsid w:val="00D714EB"/>
    <w:rsid w:val="00D74252"/>
    <w:rsid w:val="00D81ADD"/>
    <w:rsid w:val="00D909C7"/>
    <w:rsid w:val="00D90FB8"/>
    <w:rsid w:val="00DB3493"/>
    <w:rsid w:val="00DC6FE3"/>
    <w:rsid w:val="00DC73D2"/>
    <w:rsid w:val="00DC7EE8"/>
    <w:rsid w:val="00DD22F2"/>
    <w:rsid w:val="00DD4751"/>
    <w:rsid w:val="00DD561A"/>
    <w:rsid w:val="00DE18CF"/>
    <w:rsid w:val="00DE209B"/>
    <w:rsid w:val="00DE34C4"/>
    <w:rsid w:val="00DE5CC7"/>
    <w:rsid w:val="00DE7F56"/>
    <w:rsid w:val="00DF6FE8"/>
    <w:rsid w:val="00E00A06"/>
    <w:rsid w:val="00E03B80"/>
    <w:rsid w:val="00E11B4B"/>
    <w:rsid w:val="00E143FB"/>
    <w:rsid w:val="00E15AF0"/>
    <w:rsid w:val="00E21E44"/>
    <w:rsid w:val="00E247FE"/>
    <w:rsid w:val="00E257B6"/>
    <w:rsid w:val="00E25FAE"/>
    <w:rsid w:val="00E324CD"/>
    <w:rsid w:val="00E33CB7"/>
    <w:rsid w:val="00E4354A"/>
    <w:rsid w:val="00E44718"/>
    <w:rsid w:val="00E46A70"/>
    <w:rsid w:val="00E561AF"/>
    <w:rsid w:val="00E569E9"/>
    <w:rsid w:val="00E63DD2"/>
    <w:rsid w:val="00E6586B"/>
    <w:rsid w:val="00E82D64"/>
    <w:rsid w:val="00E85361"/>
    <w:rsid w:val="00E909CD"/>
    <w:rsid w:val="00E91341"/>
    <w:rsid w:val="00E91398"/>
    <w:rsid w:val="00E922E7"/>
    <w:rsid w:val="00E92F50"/>
    <w:rsid w:val="00E959AE"/>
    <w:rsid w:val="00E96AF6"/>
    <w:rsid w:val="00E97BED"/>
    <w:rsid w:val="00EA6E8A"/>
    <w:rsid w:val="00EB2926"/>
    <w:rsid w:val="00EB62C3"/>
    <w:rsid w:val="00ED128B"/>
    <w:rsid w:val="00ED4A30"/>
    <w:rsid w:val="00ED5A31"/>
    <w:rsid w:val="00EE1A12"/>
    <w:rsid w:val="00EE27FF"/>
    <w:rsid w:val="00EE7B72"/>
    <w:rsid w:val="00EF574D"/>
    <w:rsid w:val="00F04DF3"/>
    <w:rsid w:val="00F0754A"/>
    <w:rsid w:val="00F10333"/>
    <w:rsid w:val="00F1698A"/>
    <w:rsid w:val="00F235B3"/>
    <w:rsid w:val="00F25D1D"/>
    <w:rsid w:val="00F32258"/>
    <w:rsid w:val="00F368E8"/>
    <w:rsid w:val="00F406DA"/>
    <w:rsid w:val="00F40D02"/>
    <w:rsid w:val="00F54DFC"/>
    <w:rsid w:val="00F56BAF"/>
    <w:rsid w:val="00F57F60"/>
    <w:rsid w:val="00F7085E"/>
    <w:rsid w:val="00F833E2"/>
    <w:rsid w:val="00F96C68"/>
    <w:rsid w:val="00FA056F"/>
    <w:rsid w:val="00FA1CA7"/>
    <w:rsid w:val="00FA34F2"/>
    <w:rsid w:val="00FA357D"/>
    <w:rsid w:val="00FB202C"/>
    <w:rsid w:val="00FB410C"/>
    <w:rsid w:val="00FB793C"/>
    <w:rsid w:val="00FB7B6A"/>
    <w:rsid w:val="00FC138A"/>
    <w:rsid w:val="00FC1C8C"/>
    <w:rsid w:val="00FC2430"/>
    <w:rsid w:val="00FC3198"/>
    <w:rsid w:val="00FC6C49"/>
    <w:rsid w:val="00FE78FA"/>
    <w:rsid w:val="00FF180F"/>
    <w:rsid w:val="00FF51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A05F"/>
  <w15:chartTrackingRefBased/>
  <w15:docId w15:val="{42E3BDC2-FB98-4609-9804-F8FC3A1E2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38F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2C38FB"/>
    <w:pPr>
      <w:ind w:left="720"/>
      <w:contextualSpacing/>
    </w:pPr>
  </w:style>
  <w:style w:type="character" w:styleId="Hyperlink">
    <w:name w:val="Hyperlink"/>
    <w:basedOn w:val="DefaultParagraphFont"/>
    <w:uiPriority w:val="99"/>
    <w:semiHidden/>
    <w:unhideWhenUsed/>
    <w:rsid w:val="00284BC2"/>
    <w:rPr>
      <w:color w:val="0000FF"/>
      <w:u w:val="single"/>
    </w:rPr>
  </w:style>
  <w:style w:type="table" w:styleId="TableGrid">
    <w:name w:val="Table Grid"/>
    <w:basedOn w:val="TableNormal"/>
    <w:uiPriority w:val="59"/>
    <w:rsid w:val="00284BC2"/>
    <w:pPr>
      <w:spacing w:after="0" w:line="240" w:lineRule="auto"/>
    </w:pPr>
    <w:rPr>
      <w:rFonts w:eastAsiaTheme="minorEastAsia"/>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va-top">
    <w:name w:val="va-top"/>
    <w:basedOn w:val="Normal"/>
    <w:rsid w:val="00284BC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Default">
    <w:name w:val="Default"/>
    <w:rsid w:val="00284BC2"/>
    <w:pPr>
      <w:autoSpaceDE w:val="0"/>
      <w:autoSpaceDN w:val="0"/>
      <w:adjustRightInd w:val="0"/>
      <w:spacing w:after="0" w:line="240" w:lineRule="auto"/>
    </w:pPr>
    <w:rPr>
      <w:rFonts w:ascii="Times" w:hAnsi="Times" w:cs="Times"/>
      <w:color w:val="000000"/>
      <w:kern w:val="0"/>
      <w:sz w:val="24"/>
      <w:szCs w:val="24"/>
      <w14:ligatures w14:val="none"/>
    </w:rPr>
  </w:style>
  <w:style w:type="character" w:customStyle="1" w:styleId="author-sup-separator">
    <w:name w:val="author-sup-separator"/>
    <w:basedOn w:val="DefaultParagraphFont"/>
    <w:rsid w:val="00866C23"/>
  </w:style>
  <w:style w:type="character" w:styleId="CommentReference">
    <w:name w:val="annotation reference"/>
    <w:basedOn w:val="DefaultParagraphFont"/>
    <w:uiPriority w:val="99"/>
    <w:semiHidden/>
    <w:unhideWhenUsed/>
    <w:rsid w:val="00BA0E20"/>
    <w:rPr>
      <w:sz w:val="16"/>
      <w:szCs w:val="16"/>
    </w:rPr>
  </w:style>
  <w:style w:type="paragraph" w:styleId="CommentText">
    <w:name w:val="annotation text"/>
    <w:basedOn w:val="Normal"/>
    <w:link w:val="CommentTextChar"/>
    <w:uiPriority w:val="99"/>
    <w:unhideWhenUsed/>
    <w:rsid w:val="00BA0E20"/>
    <w:pPr>
      <w:spacing w:line="240" w:lineRule="auto"/>
    </w:pPr>
    <w:rPr>
      <w:sz w:val="20"/>
      <w:szCs w:val="20"/>
    </w:rPr>
  </w:style>
  <w:style w:type="character" w:customStyle="1" w:styleId="CommentTextChar">
    <w:name w:val="Comment Text Char"/>
    <w:basedOn w:val="DefaultParagraphFont"/>
    <w:link w:val="CommentText"/>
    <w:uiPriority w:val="99"/>
    <w:rsid w:val="00BA0E20"/>
    <w:rPr>
      <w:sz w:val="20"/>
      <w:szCs w:val="20"/>
    </w:rPr>
  </w:style>
  <w:style w:type="paragraph" w:styleId="CommentSubject">
    <w:name w:val="annotation subject"/>
    <w:basedOn w:val="CommentText"/>
    <w:next w:val="CommentText"/>
    <w:link w:val="CommentSubjectChar"/>
    <w:uiPriority w:val="99"/>
    <w:semiHidden/>
    <w:unhideWhenUsed/>
    <w:rsid w:val="00BA0E20"/>
    <w:rPr>
      <w:b/>
      <w:bCs/>
    </w:rPr>
  </w:style>
  <w:style w:type="character" w:customStyle="1" w:styleId="CommentSubjectChar">
    <w:name w:val="Comment Subject Char"/>
    <w:basedOn w:val="CommentTextChar"/>
    <w:link w:val="CommentSubject"/>
    <w:uiPriority w:val="99"/>
    <w:semiHidden/>
    <w:rsid w:val="00BA0E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cer.gov/Common/PopUps/popDefinition.aspx?id=CDR0000045772&amp;version=Patient&amp;language=e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ncer.gov/Common/PopUps/popDefinition.aspx?id=CDR0000046710&amp;version=Patient&amp;language=en" TargetMode="External"/><Relationship Id="rId12" Type="http://schemas.openxmlformats.org/officeDocument/2006/relationships/hyperlink" Target="https://www.cancer.gov/Common/PopUps/popDefinition.aspx?id=CDR0000045618&amp;version=Patient&amp;language=en"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ancer.gov/Common/PopUps/popDefinition.aspx?id=CDR0000045618&amp;version=Patient&amp;language=en"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ncer.gov/Common/PopUps/popDefinition.aspx?id=CDR0000045343&amp;version=Patient&amp;language=en"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63</Pages>
  <Words>21451</Words>
  <Characters>122276</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Ajitha</dc:creator>
  <cp:keywords/>
  <dc:description/>
  <cp:lastModifiedBy>Shanmugapriya sakkaravarthy</cp:lastModifiedBy>
  <cp:revision>283</cp:revision>
  <dcterms:created xsi:type="dcterms:W3CDTF">2023-08-25T06:18:00Z</dcterms:created>
  <dcterms:modified xsi:type="dcterms:W3CDTF">2023-08-31T04:05:00Z</dcterms:modified>
</cp:coreProperties>
</file>