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59F13" w14:textId="7A7EA2E9" w:rsidR="00FF4F6F" w:rsidRPr="004E43E1" w:rsidRDefault="006A0218" w:rsidP="00C746FC">
      <w:pPr>
        <w:jc w:val="center"/>
        <w:rPr>
          <w:rFonts w:eastAsia="TimesNewRomanPSMT"/>
          <w:b/>
          <w:sz w:val="36"/>
          <w:szCs w:val="36"/>
          <w:lang w:eastAsia="zh-CN"/>
        </w:rPr>
      </w:pPr>
      <w:r>
        <w:rPr>
          <w:rFonts w:eastAsia="TimesNewRomanPSMT"/>
          <w:b/>
          <w:sz w:val="36"/>
          <w:szCs w:val="36"/>
          <w:lang w:eastAsia="zh-CN"/>
        </w:rPr>
        <w:t>Future Electric Vehicle Charging: An Evaluation</w:t>
      </w:r>
    </w:p>
    <w:p w14:paraId="39146DE1" w14:textId="6AFEC2AB" w:rsidR="0071133C" w:rsidRDefault="0071133C" w:rsidP="00C746FC">
      <w:pPr>
        <w:jc w:val="center"/>
        <w:rPr>
          <w:rFonts w:eastAsia="TimesNewRomanPSMT"/>
          <w:b/>
          <w:sz w:val="20"/>
          <w:szCs w:val="20"/>
          <w:lang w:eastAsia="zh-CN"/>
        </w:rPr>
      </w:pPr>
    </w:p>
    <w:p w14:paraId="4A7F0DCF" w14:textId="77777777" w:rsidR="00FD392E" w:rsidRPr="00BF6629" w:rsidRDefault="00FD392E" w:rsidP="00C746FC">
      <w:pPr>
        <w:jc w:val="center"/>
        <w:rPr>
          <w:rFonts w:eastAsia="TimesNewRomanPSMT"/>
          <w:b/>
          <w:sz w:val="20"/>
          <w:szCs w:val="20"/>
          <w:lang w:eastAsia="zh-CN"/>
        </w:rPr>
      </w:pPr>
    </w:p>
    <w:p w14:paraId="187771CF" w14:textId="565EF80A" w:rsidR="00FD392E" w:rsidRPr="00FD392E" w:rsidRDefault="00FD392E" w:rsidP="00FD392E">
      <w:pPr>
        <w:spacing w:after="240"/>
        <w:jc w:val="center"/>
        <w:rPr>
          <w:b/>
          <w:bCs/>
          <w:sz w:val="20"/>
          <w:szCs w:val="20"/>
        </w:rPr>
      </w:pPr>
      <w:r w:rsidRPr="00FD392E">
        <w:rPr>
          <w:b/>
          <w:bCs/>
          <w:sz w:val="20"/>
          <w:szCs w:val="20"/>
        </w:rPr>
        <w:t>Archana Pawar</w:t>
      </w:r>
      <w:r w:rsidRPr="00FD392E">
        <w:rPr>
          <w:b/>
          <w:bCs/>
          <w:sz w:val="20"/>
          <w:szCs w:val="20"/>
          <w:vertAlign w:val="superscript"/>
        </w:rPr>
        <w:t>1</w:t>
      </w:r>
      <w:r w:rsidRPr="00FD392E">
        <w:rPr>
          <w:b/>
          <w:bCs/>
          <w:sz w:val="20"/>
          <w:szCs w:val="20"/>
        </w:rPr>
        <w:t>,</w:t>
      </w:r>
      <w:r w:rsidR="000C474A" w:rsidRPr="000C474A">
        <w:rPr>
          <w:b/>
          <w:bCs/>
          <w:sz w:val="20"/>
          <w:szCs w:val="20"/>
        </w:rPr>
        <w:t xml:space="preserve"> </w:t>
      </w:r>
      <w:r w:rsidR="000C474A" w:rsidRPr="00FD392E">
        <w:rPr>
          <w:b/>
          <w:bCs/>
          <w:sz w:val="20"/>
          <w:szCs w:val="20"/>
        </w:rPr>
        <w:t>Mohan Thakre</w:t>
      </w:r>
      <w:proofErr w:type="gramStart"/>
      <w:r w:rsidR="000C474A">
        <w:rPr>
          <w:b/>
          <w:bCs/>
          <w:sz w:val="20"/>
          <w:szCs w:val="20"/>
          <w:vertAlign w:val="superscript"/>
        </w:rPr>
        <w:t>2</w:t>
      </w:r>
      <w:r w:rsidR="000C474A">
        <w:rPr>
          <w:b/>
          <w:bCs/>
          <w:sz w:val="20"/>
          <w:szCs w:val="20"/>
        </w:rPr>
        <w:t>,Pranali</w:t>
      </w:r>
      <w:proofErr w:type="gramEnd"/>
      <w:r w:rsidRPr="00FD392E">
        <w:rPr>
          <w:b/>
          <w:bCs/>
          <w:sz w:val="20"/>
          <w:szCs w:val="20"/>
        </w:rPr>
        <w:t xml:space="preserve"> Thakre</w:t>
      </w:r>
      <w:r w:rsidR="000C474A">
        <w:rPr>
          <w:b/>
          <w:bCs/>
          <w:sz w:val="20"/>
          <w:szCs w:val="20"/>
          <w:vertAlign w:val="superscript"/>
        </w:rPr>
        <w:t>3</w:t>
      </w:r>
    </w:p>
    <w:p w14:paraId="3955D3C3" w14:textId="08676749" w:rsidR="00FD392E" w:rsidRPr="00FD392E" w:rsidRDefault="00FD392E" w:rsidP="00FD392E">
      <w:pPr>
        <w:spacing w:line="276" w:lineRule="auto"/>
        <w:jc w:val="center"/>
        <w:rPr>
          <w:i/>
          <w:iCs/>
          <w:sz w:val="20"/>
          <w:szCs w:val="20"/>
        </w:rPr>
      </w:pPr>
      <w:r w:rsidRPr="00FD392E">
        <w:rPr>
          <w:i/>
          <w:iCs/>
          <w:sz w:val="20"/>
          <w:szCs w:val="20"/>
          <w:vertAlign w:val="superscript"/>
        </w:rPr>
        <w:t>1</w:t>
      </w:r>
      <w:r w:rsidRPr="00FD392E">
        <w:rPr>
          <w:i/>
          <w:iCs/>
          <w:sz w:val="20"/>
          <w:szCs w:val="20"/>
        </w:rPr>
        <w:t>Dept. of Electrical Engineering, KK Wagh Institute of Engineering Education and Research, Nashik</w:t>
      </w:r>
    </w:p>
    <w:p w14:paraId="0D73C985" w14:textId="7F780868" w:rsidR="00FD392E" w:rsidRDefault="000C474A" w:rsidP="00FD392E">
      <w:pPr>
        <w:spacing w:line="276" w:lineRule="auto"/>
        <w:jc w:val="center"/>
        <w:rPr>
          <w:i/>
          <w:iCs/>
          <w:sz w:val="20"/>
          <w:szCs w:val="20"/>
        </w:rPr>
      </w:pPr>
      <w:r>
        <w:rPr>
          <w:i/>
          <w:iCs/>
          <w:sz w:val="20"/>
          <w:szCs w:val="20"/>
          <w:vertAlign w:val="superscript"/>
        </w:rPr>
        <w:t>2</w:t>
      </w:r>
      <w:r w:rsidR="00FD392E" w:rsidRPr="00FD392E">
        <w:rPr>
          <w:i/>
          <w:iCs/>
          <w:sz w:val="20"/>
          <w:szCs w:val="20"/>
        </w:rPr>
        <w:t>Dept. of Electrical Engineering,</w:t>
      </w:r>
      <w:r w:rsidR="00FD392E" w:rsidRPr="00FD392E">
        <w:rPr>
          <w:sz w:val="20"/>
          <w:szCs w:val="20"/>
          <w:vertAlign w:val="superscript"/>
        </w:rPr>
        <w:t xml:space="preserve"> </w:t>
      </w:r>
      <w:r w:rsidR="00FD392E" w:rsidRPr="00FD392E">
        <w:rPr>
          <w:i/>
          <w:iCs/>
          <w:sz w:val="20"/>
          <w:szCs w:val="20"/>
        </w:rPr>
        <w:t xml:space="preserve">SVERI’s College of Engineering, </w:t>
      </w:r>
      <w:proofErr w:type="spellStart"/>
      <w:r w:rsidR="00FD392E" w:rsidRPr="00FD392E">
        <w:rPr>
          <w:i/>
          <w:iCs/>
          <w:sz w:val="20"/>
          <w:szCs w:val="20"/>
        </w:rPr>
        <w:t>Pandharpur</w:t>
      </w:r>
      <w:proofErr w:type="spellEnd"/>
      <w:r w:rsidR="00FD392E" w:rsidRPr="00FD392E">
        <w:rPr>
          <w:i/>
          <w:iCs/>
          <w:sz w:val="20"/>
          <w:szCs w:val="20"/>
        </w:rPr>
        <w:t>, Solapur, M.S. India</w:t>
      </w:r>
    </w:p>
    <w:p w14:paraId="5F1AEFCF" w14:textId="60918787" w:rsidR="000C474A" w:rsidRPr="00FD392E" w:rsidRDefault="000C474A" w:rsidP="00FD392E">
      <w:pPr>
        <w:spacing w:line="276" w:lineRule="auto"/>
        <w:jc w:val="center"/>
        <w:rPr>
          <w:i/>
          <w:iCs/>
          <w:sz w:val="20"/>
          <w:szCs w:val="20"/>
        </w:rPr>
      </w:pPr>
      <w:r>
        <w:rPr>
          <w:i/>
          <w:iCs/>
          <w:sz w:val="20"/>
          <w:szCs w:val="20"/>
          <w:vertAlign w:val="superscript"/>
        </w:rPr>
        <w:t>3</w:t>
      </w:r>
      <w:r w:rsidRPr="00FD392E">
        <w:rPr>
          <w:i/>
          <w:iCs/>
          <w:sz w:val="20"/>
          <w:szCs w:val="20"/>
        </w:rPr>
        <w:t xml:space="preserve">Dept. of </w:t>
      </w:r>
      <w:r>
        <w:rPr>
          <w:i/>
          <w:iCs/>
          <w:sz w:val="20"/>
          <w:szCs w:val="20"/>
        </w:rPr>
        <w:t>MCA</w:t>
      </w:r>
      <w:r w:rsidRPr="00FD392E">
        <w:rPr>
          <w:i/>
          <w:iCs/>
          <w:sz w:val="20"/>
          <w:szCs w:val="20"/>
        </w:rPr>
        <w:t>,</w:t>
      </w:r>
      <w:r w:rsidRPr="00FD392E">
        <w:rPr>
          <w:sz w:val="20"/>
          <w:szCs w:val="20"/>
          <w:vertAlign w:val="superscript"/>
        </w:rPr>
        <w:t xml:space="preserve"> </w:t>
      </w:r>
      <w:r w:rsidRPr="00FD392E">
        <w:rPr>
          <w:i/>
          <w:iCs/>
          <w:sz w:val="20"/>
          <w:szCs w:val="20"/>
        </w:rPr>
        <w:t xml:space="preserve">SVERI’s College of Engineering, </w:t>
      </w:r>
      <w:proofErr w:type="spellStart"/>
      <w:r w:rsidRPr="00FD392E">
        <w:rPr>
          <w:i/>
          <w:iCs/>
          <w:sz w:val="20"/>
          <w:szCs w:val="20"/>
        </w:rPr>
        <w:t>Pandharpur</w:t>
      </w:r>
      <w:proofErr w:type="spellEnd"/>
      <w:r w:rsidRPr="00FD392E">
        <w:rPr>
          <w:i/>
          <w:iCs/>
          <w:sz w:val="20"/>
          <w:szCs w:val="20"/>
        </w:rPr>
        <w:t>, Solapur, M.S. India</w:t>
      </w:r>
    </w:p>
    <w:p w14:paraId="05E63E28" w14:textId="3490B042" w:rsidR="00FD392E" w:rsidRPr="00FD392E" w:rsidRDefault="00FD392E" w:rsidP="00FD392E">
      <w:pPr>
        <w:spacing w:line="276" w:lineRule="auto"/>
        <w:jc w:val="center"/>
        <w:rPr>
          <w:rStyle w:val="Hyperlink"/>
          <w:i/>
          <w:iCs/>
          <w:sz w:val="20"/>
          <w:szCs w:val="20"/>
          <w:vertAlign w:val="superscript"/>
        </w:rPr>
      </w:pPr>
      <w:r w:rsidRPr="00FD392E">
        <w:rPr>
          <w:rStyle w:val="Hyperlink"/>
          <w:i/>
          <w:iCs/>
          <w:sz w:val="20"/>
          <w:szCs w:val="20"/>
        </w:rPr>
        <w:t>archana.pawar126@gmail.com</w:t>
      </w:r>
      <w:r w:rsidRPr="00FD392E">
        <w:rPr>
          <w:rStyle w:val="Hyperlink"/>
          <w:i/>
          <w:iCs/>
          <w:sz w:val="20"/>
          <w:szCs w:val="20"/>
          <w:vertAlign w:val="superscript"/>
        </w:rPr>
        <w:t>1</w:t>
      </w:r>
      <w:r w:rsidRPr="00FD392E">
        <w:rPr>
          <w:i/>
          <w:iCs/>
          <w:sz w:val="20"/>
          <w:szCs w:val="20"/>
        </w:rPr>
        <w:t xml:space="preserve">, </w:t>
      </w:r>
      <w:hyperlink r:id="rId8" w:history="1">
        <w:r w:rsidR="006A0218" w:rsidRPr="00F07B01">
          <w:rPr>
            <w:rStyle w:val="Hyperlink"/>
            <w:i/>
            <w:iCs/>
            <w:sz w:val="20"/>
            <w:szCs w:val="20"/>
          </w:rPr>
          <w:t>mohanthakre@gmail.com</w:t>
        </w:r>
        <w:r w:rsidR="006A0218" w:rsidRPr="00F07B01">
          <w:rPr>
            <w:rStyle w:val="Hyperlink"/>
            <w:i/>
            <w:iCs/>
            <w:sz w:val="20"/>
            <w:szCs w:val="20"/>
            <w:vertAlign w:val="superscript"/>
          </w:rPr>
          <w:t>2</w:t>
        </w:r>
      </w:hyperlink>
    </w:p>
    <w:p w14:paraId="109FFC90" w14:textId="77777777" w:rsidR="00FD392E" w:rsidRPr="00FD392E" w:rsidRDefault="00FD392E" w:rsidP="00FD392E">
      <w:pPr>
        <w:jc w:val="center"/>
        <w:rPr>
          <w:i/>
          <w:iCs/>
          <w:sz w:val="20"/>
          <w:szCs w:val="20"/>
          <w:u w:val="single"/>
        </w:rPr>
      </w:pPr>
    </w:p>
    <w:p w14:paraId="474E0F74" w14:textId="77777777" w:rsidR="00923F1F" w:rsidRPr="00BF6629" w:rsidRDefault="00923F1F" w:rsidP="00C746FC">
      <w:pPr>
        <w:jc w:val="center"/>
        <w:rPr>
          <w:sz w:val="20"/>
          <w:szCs w:val="20"/>
        </w:rPr>
      </w:pPr>
    </w:p>
    <w:p w14:paraId="18B3B953" w14:textId="77777777" w:rsidR="0071133C" w:rsidRPr="004E43E1" w:rsidRDefault="00933117" w:rsidP="00C746FC">
      <w:pPr>
        <w:jc w:val="both"/>
        <w:rPr>
          <w:rFonts w:eastAsia="SimSun"/>
          <w:bCs/>
          <w:i/>
          <w:iCs/>
          <w:sz w:val="18"/>
          <w:szCs w:val="18"/>
          <w:lang w:eastAsia="en-IN"/>
        </w:rPr>
      </w:pPr>
      <w:bookmarkStart w:id="0" w:name="_Hlk126849002"/>
      <w:r w:rsidRPr="00BF6629">
        <w:rPr>
          <w:b/>
          <w:bCs/>
          <w:sz w:val="18"/>
          <w:szCs w:val="18"/>
          <w:lang w:val="en-IN"/>
        </w:rPr>
        <w:t>Abstract</w:t>
      </w:r>
      <w:bookmarkEnd w:id="0"/>
      <w:r w:rsidR="00EA365A" w:rsidRPr="00BF6629">
        <w:rPr>
          <w:b/>
          <w:bCs/>
          <w:sz w:val="18"/>
          <w:szCs w:val="18"/>
          <w:lang w:val="en-IN"/>
        </w:rPr>
        <w:t xml:space="preserve">: </w:t>
      </w:r>
      <w:r w:rsidR="00E64A9D" w:rsidRPr="004E43E1">
        <w:rPr>
          <w:rFonts w:eastAsia="SimSun"/>
          <w:bCs/>
          <w:i/>
          <w:iCs/>
          <w:sz w:val="18"/>
          <w:szCs w:val="18"/>
          <w:lang w:eastAsia="en-IN"/>
        </w:rPr>
        <w:t xml:space="preserve">One factor that will influence as quickly and readily people make the conversion to alternative modes of transport is the availability of charging stations for electric vehicles. In this piece, we'll take a look at five technologies, such as </w:t>
      </w:r>
      <w:proofErr w:type="spellStart"/>
      <w:r w:rsidR="00E64A9D" w:rsidRPr="004E43E1">
        <w:rPr>
          <w:rFonts w:eastAsia="SimSun"/>
          <w:bCs/>
          <w:i/>
          <w:iCs/>
          <w:sz w:val="18"/>
          <w:szCs w:val="18"/>
          <w:lang w:eastAsia="en-IN"/>
        </w:rPr>
        <w:t>as</w:t>
      </w:r>
      <w:proofErr w:type="spellEnd"/>
      <w:r w:rsidR="00E64A9D" w:rsidRPr="004E43E1">
        <w:rPr>
          <w:rFonts w:eastAsia="SimSun"/>
          <w:bCs/>
          <w:i/>
          <w:iCs/>
          <w:sz w:val="18"/>
          <w:szCs w:val="18"/>
          <w:lang w:eastAsia="en-IN"/>
        </w:rPr>
        <w:t xml:space="preserve"> smart charging and vehicle-to-grid communication, that will be crucial in this respect. Vehicle-to-Grid, or the practice of using solar panels to power EV batteries. Wirelessly recharging electric vehicles are becoming increasingly popular. Smart charging for EVs is intended to lower charging costs and enhance the level of service while also allowing for a greater adoption of EVs and clean energy sources. Making use of a grid structure. With the use of bidirectional EV dishes, electric cars are going to be able to participate in energy arbitrage and demand-side management after the technology for V2G is entirely operational.</w:t>
      </w:r>
    </w:p>
    <w:p w14:paraId="41D95302" w14:textId="77777777" w:rsidR="00DD2B99" w:rsidRPr="004E43E1" w:rsidRDefault="00DD2B99" w:rsidP="00C746FC">
      <w:pPr>
        <w:jc w:val="both"/>
        <w:rPr>
          <w:rFonts w:eastAsia="SimSun"/>
          <w:bCs/>
          <w:i/>
          <w:iCs/>
          <w:sz w:val="18"/>
          <w:szCs w:val="18"/>
          <w:lang w:eastAsia="en-IN"/>
        </w:rPr>
      </w:pPr>
      <w:r w:rsidRPr="004E43E1">
        <w:rPr>
          <w:rFonts w:eastAsia="SimSun"/>
          <w:bCs/>
          <w:i/>
          <w:iCs/>
          <w:sz w:val="18"/>
          <w:szCs w:val="18"/>
          <w:lang w:eastAsia="en-IN"/>
        </w:rPr>
        <w:t>Impacts on sustainable mobility and PV storage can be expected from solar charging of electric vehicles. However, this is a static position. The elimination of cords and range anxiety for EVs thanks to contactless charging and inductive charging while driving. problems and clear the road for fully autonomous vehicles. In this study, we take a look at the electromagnetic and power motor architecture behind future highways' contactless power transfer systems.</w:t>
      </w:r>
    </w:p>
    <w:p w14:paraId="495253DC" w14:textId="77777777" w:rsidR="00DC2469" w:rsidRPr="004E43E1" w:rsidRDefault="00DC2469" w:rsidP="00C746FC">
      <w:pPr>
        <w:autoSpaceDE w:val="0"/>
        <w:autoSpaceDN w:val="0"/>
        <w:adjustRightInd w:val="0"/>
        <w:jc w:val="both"/>
        <w:rPr>
          <w:i/>
          <w:iCs/>
          <w:sz w:val="18"/>
          <w:szCs w:val="18"/>
        </w:rPr>
      </w:pPr>
    </w:p>
    <w:p w14:paraId="7667FA7B" w14:textId="265487B7" w:rsidR="00B34228" w:rsidRDefault="0094260A" w:rsidP="0071133C">
      <w:pPr>
        <w:adjustRightInd w:val="0"/>
        <w:jc w:val="both"/>
        <w:rPr>
          <w:sz w:val="16"/>
          <w:szCs w:val="16"/>
        </w:rPr>
      </w:pPr>
      <w:r w:rsidRPr="00BF6629">
        <w:rPr>
          <w:b/>
          <w:bCs/>
          <w:sz w:val="18"/>
          <w:szCs w:val="18"/>
        </w:rPr>
        <w:t>Keywords-</w:t>
      </w:r>
      <w:r w:rsidRPr="00BF6629">
        <w:rPr>
          <w:sz w:val="18"/>
          <w:szCs w:val="18"/>
        </w:rPr>
        <w:t xml:space="preserve"> </w:t>
      </w:r>
      <w:r w:rsidR="00E64A9D" w:rsidRPr="00BF6629">
        <w:rPr>
          <w:rFonts w:eastAsiaTheme="minorHAnsi"/>
          <w:sz w:val="18"/>
          <w:szCs w:val="18"/>
        </w:rPr>
        <w:t>E</w:t>
      </w:r>
      <w:r w:rsidR="00B34228" w:rsidRPr="00BF6629">
        <w:rPr>
          <w:rFonts w:eastAsiaTheme="minorHAnsi"/>
          <w:sz w:val="18"/>
          <w:szCs w:val="18"/>
        </w:rPr>
        <w:t xml:space="preserve">lectric </w:t>
      </w:r>
      <w:r w:rsidR="00E64A9D" w:rsidRPr="00BF6629">
        <w:rPr>
          <w:rFonts w:eastAsiaTheme="minorHAnsi"/>
          <w:sz w:val="18"/>
          <w:szCs w:val="18"/>
        </w:rPr>
        <w:t>V</w:t>
      </w:r>
      <w:r w:rsidR="00B34228" w:rsidRPr="00BF6629">
        <w:rPr>
          <w:rFonts w:eastAsiaTheme="minorHAnsi"/>
          <w:sz w:val="18"/>
          <w:szCs w:val="18"/>
        </w:rPr>
        <w:t>ehicles</w:t>
      </w:r>
      <w:r w:rsidR="00E64A9D" w:rsidRPr="00BF6629">
        <w:rPr>
          <w:rFonts w:eastAsiaTheme="minorHAnsi"/>
          <w:sz w:val="18"/>
          <w:szCs w:val="18"/>
        </w:rPr>
        <w:t xml:space="preserve"> (EV)</w:t>
      </w:r>
      <w:r w:rsidR="00B34228" w:rsidRPr="00BF6629">
        <w:rPr>
          <w:rFonts w:eastAsiaTheme="minorHAnsi"/>
          <w:sz w:val="18"/>
          <w:szCs w:val="18"/>
        </w:rPr>
        <w:t xml:space="preserve">, </w:t>
      </w:r>
      <w:r w:rsidR="00E64A9D" w:rsidRPr="00BF6629">
        <w:rPr>
          <w:rFonts w:eastAsiaTheme="minorHAnsi"/>
          <w:sz w:val="18"/>
          <w:szCs w:val="18"/>
        </w:rPr>
        <w:t xml:space="preserve">Wireless </w:t>
      </w:r>
      <w:proofErr w:type="spellStart"/>
      <w:r w:rsidR="00E64A9D" w:rsidRPr="00BF6629">
        <w:rPr>
          <w:rFonts w:eastAsiaTheme="minorHAnsi"/>
          <w:sz w:val="18"/>
          <w:szCs w:val="18"/>
        </w:rPr>
        <w:t>poer</w:t>
      </w:r>
      <w:proofErr w:type="spellEnd"/>
      <w:r w:rsidR="00E64A9D" w:rsidRPr="00BF6629">
        <w:rPr>
          <w:rFonts w:eastAsiaTheme="minorHAnsi"/>
          <w:sz w:val="18"/>
          <w:szCs w:val="18"/>
        </w:rPr>
        <w:t xml:space="preserve"> transfer, S</w:t>
      </w:r>
      <w:r w:rsidR="00B34228" w:rsidRPr="00BF6629">
        <w:rPr>
          <w:rFonts w:eastAsiaTheme="minorHAnsi"/>
          <w:sz w:val="18"/>
          <w:szCs w:val="18"/>
        </w:rPr>
        <w:t xml:space="preserve">mart charging, </w:t>
      </w:r>
      <w:r w:rsidR="00E64A9D" w:rsidRPr="00BF6629">
        <w:rPr>
          <w:rFonts w:eastAsiaTheme="minorHAnsi"/>
          <w:sz w:val="18"/>
          <w:szCs w:val="18"/>
        </w:rPr>
        <w:t>V</w:t>
      </w:r>
      <w:r w:rsidR="00B34228" w:rsidRPr="00BF6629">
        <w:rPr>
          <w:rFonts w:eastAsiaTheme="minorHAnsi"/>
          <w:sz w:val="18"/>
          <w:szCs w:val="18"/>
        </w:rPr>
        <w:t>ehicle-to-</w:t>
      </w:r>
      <w:r w:rsidR="00E64A9D" w:rsidRPr="00BF6629">
        <w:rPr>
          <w:rFonts w:eastAsiaTheme="minorHAnsi"/>
          <w:sz w:val="18"/>
          <w:szCs w:val="18"/>
        </w:rPr>
        <w:t>G</w:t>
      </w:r>
      <w:r w:rsidR="00B34228" w:rsidRPr="00BF6629">
        <w:rPr>
          <w:rFonts w:eastAsiaTheme="minorHAnsi"/>
          <w:sz w:val="18"/>
          <w:szCs w:val="18"/>
        </w:rPr>
        <w:t>rid</w:t>
      </w:r>
      <w:r w:rsidR="00E64A9D" w:rsidRPr="00BF6629">
        <w:rPr>
          <w:rFonts w:eastAsiaTheme="minorHAnsi"/>
          <w:sz w:val="18"/>
          <w:szCs w:val="18"/>
        </w:rPr>
        <w:t xml:space="preserve"> (V2G), </w:t>
      </w:r>
      <w:r w:rsidR="00E64A9D" w:rsidRPr="00BF6629">
        <w:rPr>
          <w:sz w:val="16"/>
          <w:szCs w:val="16"/>
        </w:rPr>
        <w:t>Inductive Power Transfer (IPT)</w:t>
      </w:r>
    </w:p>
    <w:p w14:paraId="13E7457C" w14:textId="77777777" w:rsidR="004E43E1" w:rsidRPr="00BF6629" w:rsidRDefault="004E43E1" w:rsidP="0071133C">
      <w:pPr>
        <w:adjustRightInd w:val="0"/>
        <w:jc w:val="both"/>
        <w:rPr>
          <w:rFonts w:eastAsiaTheme="minorHAnsi"/>
          <w:sz w:val="18"/>
          <w:szCs w:val="18"/>
        </w:rPr>
      </w:pPr>
    </w:p>
    <w:p w14:paraId="59671B3C" w14:textId="77777777" w:rsidR="004E43E1" w:rsidRDefault="004E43E1" w:rsidP="00C746FC">
      <w:pPr>
        <w:pStyle w:val="ListParagraph"/>
        <w:spacing w:after="0" w:line="240" w:lineRule="auto"/>
        <w:ind w:left="0"/>
        <w:rPr>
          <w:rFonts w:ascii="Times New Roman" w:hAnsi="Times New Roman"/>
          <w:b/>
          <w:bCs/>
          <w:sz w:val="20"/>
        </w:rPr>
        <w:sectPr w:rsidR="004E43E1" w:rsidSect="000A0969">
          <w:footerReference w:type="default" r:id="rId9"/>
          <w:pgSz w:w="11900" w:h="16840"/>
          <w:pgMar w:top="1440" w:right="1080" w:bottom="1440" w:left="1080" w:header="709" w:footer="709" w:gutter="0"/>
          <w:cols w:space="720"/>
          <w:docGrid w:linePitch="326"/>
        </w:sectPr>
      </w:pPr>
    </w:p>
    <w:p w14:paraId="60EF588A" w14:textId="77777777" w:rsidR="00C746FC" w:rsidRPr="004E43E1" w:rsidRDefault="00D769FD" w:rsidP="0071133C">
      <w:pPr>
        <w:spacing w:line="360" w:lineRule="auto"/>
        <w:jc w:val="both"/>
        <w:rPr>
          <w:b/>
          <w:sz w:val="20"/>
          <w:szCs w:val="20"/>
        </w:rPr>
      </w:pPr>
      <w:r w:rsidRPr="004E43E1">
        <w:rPr>
          <w:b/>
          <w:sz w:val="20"/>
          <w:szCs w:val="20"/>
        </w:rPr>
        <w:t>Nomenclature-</w:t>
      </w:r>
    </w:p>
    <w:tbl>
      <w:tblPr>
        <w:tblStyle w:val="TableGrid"/>
        <w:tblW w:w="5000" w:type="pct"/>
        <w:tblLook w:val="04A0" w:firstRow="1" w:lastRow="0" w:firstColumn="1" w:lastColumn="0" w:noHBand="0" w:noVBand="1"/>
      </w:tblPr>
      <w:tblGrid>
        <w:gridCol w:w="1649"/>
        <w:gridCol w:w="2851"/>
      </w:tblGrid>
      <w:tr w:rsidR="004E43E1" w:rsidRPr="004E43E1" w14:paraId="498A8E9D" w14:textId="77777777" w:rsidTr="000A0969">
        <w:tc>
          <w:tcPr>
            <w:tcW w:w="1832" w:type="pct"/>
          </w:tcPr>
          <w:p w14:paraId="592483F1" w14:textId="77777777" w:rsidR="004E43E1" w:rsidRPr="004E43E1" w:rsidRDefault="004E43E1" w:rsidP="00C746FC">
            <w:pPr>
              <w:ind w:left="32" w:right="-18"/>
              <w:jc w:val="both"/>
              <w:rPr>
                <w:b/>
                <w:sz w:val="20"/>
                <w:szCs w:val="20"/>
              </w:rPr>
            </w:pPr>
            <w:r w:rsidRPr="004E43E1">
              <w:rPr>
                <w:b/>
                <w:sz w:val="20"/>
                <w:szCs w:val="20"/>
              </w:rPr>
              <w:t xml:space="preserve">Abbreviation </w:t>
            </w:r>
          </w:p>
        </w:tc>
        <w:tc>
          <w:tcPr>
            <w:tcW w:w="3168" w:type="pct"/>
          </w:tcPr>
          <w:p w14:paraId="68E69E46" w14:textId="77777777" w:rsidR="004E43E1" w:rsidRPr="004E43E1" w:rsidRDefault="004E43E1" w:rsidP="00C746FC">
            <w:pPr>
              <w:ind w:left="32"/>
              <w:jc w:val="both"/>
              <w:rPr>
                <w:b/>
                <w:sz w:val="20"/>
                <w:szCs w:val="20"/>
              </w:rPr>
            </w:pPr>
            <w:r w:rsidRPr="004E43E1">
              <w:rPr>
                <w:b/>
                <w:sz w:val="20"/>
                <w:szCs w:val="20"/>
              </w:rPr>
              <w:t>Definition</w:t>
            </w:r>
          </w:p>
        </w:tc>
      </w:tr>
      <w:tr w:rsidR="004E43E1" w:rsidRPr="004E43E1" w14:paraId="07E818BC" w14:textId="77777777" w:rsidTr="000A0969">
        <w:tc>
          <w:tcPr>
            <w:tcW w:w="1832" w:type="pct"/>
          </w:tcPr>
          <w:p w14:paraId="638E0482" w14:textId="77777777" w:rsidR="004E43E1" w:rsidRPr="004E43E1" w:rsidRDefault="004E43E1" w:rsidP="00C746FC">
            <w:pPr>
              <w:ind w:left="32" w:right="-18"/>
              <w:jc w:val="both"/>
              <w:rPr>
                <w:sz w:val="20"/>
                <w:szCs w:val="20"/>
              </w:rPr>
            </w:pPr>
            <w:r w:rsidRPr="004E43E1">
              <w:rPr>
                <w:sz w:val="20"/>
                <w:szCs w:val="20"/>
              </w:rPr>
              <w:t>EV</w:t>
            </w:r>
          </w:p>
        </w:tc>
        <w:tc>
          <w:tcPr>
            <w:tcW w:w="3168" w:type="pct"/>
          </w:tcPr>
          <w:p w14:paraId="5A4FE982" w14:textId="77777777" w:rsidR="004E43E1" w:rsidRPr="004E43E1" w:rsidRDefault="004E43E1" w:rsidP="00C746FC">
            <w:pPr>
              <w:ind w:left="32"/>
              <w:jc w:val="both"/>
              <w:rPr>
                <w:rFonts w:eastAsia="TimesNewRomanPSMT"/>
                <w:sz w:val="20"/>
                <w:szCs w:val="20"/>
              </w:rPr>
            </w:pPr>
            <w:r w:rsidRPr="004E43E1">
              <w:rPr>
                <w:rFonts w:eastAsia="SimSun"/>
                <w:bCs/>
                <w:sz w:val="20"/>
                <w:szCs w:val="20"/>
                <w:lang w:eastAsia="en-IN"/>
              </w:rPr>
              <w:t>Electric Vehicles</w:t>
            </w:r>
          </w:p>
        </w:tc>
      </w:tr>
      <w:tr w:rsidR="004E43E1" w:rsidRPr="004E43E1" w14:paraId="252EB6D7" w14:textId="77777777" w:rsidTr="000A0969">
        <w:tc>
          <w:tcPr>
            <w:tcW w:w="1832" w:type="pct"/>
          </w:tcPr>
          <w:p w14:paraId="6E099359" w14:textId="77777777" w:rsidR="004E43E1" w:rsidRPr="004E43E1" w:rsidRDefault="004E43E1" w:rsidP="00C746FC">
            <w:pPr>
              <w:ind w:left="32" w:right="-18"/>
              <w:jc w:val="both"/>
              <w:rPr>
                <w:rFonts w:eastAsia="SimSun"/>
                <w:sz w:val="20"/>
                <w:szCs w:val="20"/>
                <w:lang w:eastAsia="en-IN"/>
              </w:rPr>
            </w:pPr>
            <w:r w:rsidRPr="004E43E1">
              <w:rPr>
                <w:rFonts w:eastAsia="SimSun"/>
                <w:sz w:val="20"/>
                <w:szCs w:val="20"/>
                <w:lang w:eastAsia="en-IN"/>
              </w:rPr>
              <w:t>V2G</w:t>
            </w:r>
          </w:p>
        </w:tc>
        <w:tc>
          <w:tcPr>
            <w:tcW w:w="3168" w:type="pct"/>
          </w:tcPr>
          <w:p w14:paraId="0066C03C" w14:textId="77777777" w:rsidR="004E43E1" w:rsidRPr="004E43E1" w:rsidRDefault="004E43E1" w:rsidP="00C746FC">
            <w:pPr>
              <w:ind w:left="32"/>
              <w:jc w:val="both"/>
              <w:rPr>
                <w:sz w:val="20"/>
                <w:szCs w:val="20"/>
              </w:rPr>
            </w:pPr>
            <w:r w:rsidRPr="004E43E1">
              <w:rPr>
                <w:rFonts w:eastAsia="SimSun"/>
                <w:bCs/>
                <w:sz w:val="20"/>
                <w:szCs w:val="20"/>
                <w:lang w:eastAsia="en-IN"/>
              </w:rPr>
              <w:t>Vehicle-To-Grid</w:t>
            </w:r>
          </w:p>
        </w:tc>
      </w:tr>
      <w:tr w:rsidR="004E43E1" w:rsidRPr="004E43E1" w14:paraId="2A7AA467" w14:textId="77777777" w:rsidTr="000A0969">
        <w:trPr>
          <w:trHeight w:val="45"/>
        </w:trPr>
        <w:tc>
          <w:tcPr>
            <w:tcW w:w="1832" w:type="pct"/>
          </w:tcPr>
          <w:p w14:paraId="0C292CBA" w14:textId="77777777" w:rsidR="004E43E1" w:rsidRPr="004E43E1" w:rsidRDefault="004E43E1" w:rsidP="00C746FC">
            <w:pPr>
              <w:ind w:left="32" w:right="-18"/>
              <w:jc w:val="both"/>
              <w:rPr>
                <w:sz w:val="20"/>
                <w:szCs w:val="20"/>
              </w:rPr>
            </w:pPr>
            <w:r w:rsidRPr="004E43E1">
              <w:rPr>
                <w:sz w:val="20"/>
                <w:szCs w:val="20"/>
              </w:rPr>
              <w:t>AC</w:t>
            </w:r>
          </w:p>
        </w:tc>
        <w:tc>
          <w:tcPr>
            <w:tcW w:w="3168" w:type="pct"/>
          </w:tcPr>
          <w:p w14:paraId="22A58E26" w14:textId="77777777" w:rsidR="004E43E1" w:rsidRPr="004E43E1" w:rsidRDefault="004E43E1" w:rsidP="00C746FC">
            <w:pPr>
              <w:tabs>
                <w:tab w:val="left" w:pos="1725"/>
              </w:tabs>
              <w:ind w:left="32"/>
              <w:jc w:val="both"/>
              <w:rPr>
                <w:sz w:val="20"/>
                <w:szCs w:val="20"/>
              </w:rPr>
            </w:pPr>
            <w:r w:rsidRPr="004E43E1">
              <w:rPr>
                <w:sz w:val="20"/>
                <w:szCs w:val="20"/>
              </w:rPr>
              <w:t>Alternating Current</w:t>
            </w:r>
          </w:p>
        </w:tc>
      </w:tr>
      <w:tr w:rsidR="004E43E1" w:rsidRPr="004E43E1" w14:paraId="73AD1565" w14:textId="77777777" w:rsidTr="000A0969">
        <w:tc>
          <w:tcPr>
            <w:tcW w:w="1832" w:type="pct"/>
          </w:tcPr>
          <w:p w14:paraId="3E01D311" w14:textId="77777777" w:rsidR="004E43E1" w:rsidRPr="004E43E1" w:rsidRDefault="004E43E1" w:rsidP="00C746FC">
            <w:pPr>
              <w:ind w:left="32" w:right="-18"/>
              <w:jc w:val="both"/>
              <w:rPr>
                <w:sz w:val="20"/>
                <w:szCs w:val="20"/>
              </w:rPr>
            </w:pPr>
            <w:r w:rsidRPr="004E43E1">
              <w:rPr>
                <w:sz w:val="20"/>
                <w:szCs w:val="20"/>
              </w:rPr>
              <w:t>DC</w:t>
            </w:r>
          </w:p>
        </w:tc>
        <w:tc>
          <w:tcPr>
            <w:tcW w:w="3168" w:type="pct"/>
          </w:tcPr>
          <w:p w14:paraId="670B103C" w14:textId="77777777" w:rsidR="004E43E1" w:rsidRPr="004E43E1" w:rsidRDefault="004E43E1" w:rsidP="00C746FC">
            <w:pPr>
              <w:ind w:left="32"/>
              <w:jc w:val="both"/>
              <w:rPr>
                <w:sz w:val="20"/>
                <w:szCs w:val="20"/>
              </w:rPr>
            </w:pPr>
            <w:r w:rsidRPr="004E43E1">
              <w:rPr>
                <w:sz w:val="20"/>
                <w:szCs w:val="20"/>
              </w:rPr>
              <w:t>Direct Current</w:t>
            </w:r>
          </w:p>
        </w:tc>
      </w:tr>
      <w:tr w:rsidR="004E43E1" w:rsidRPr="004E43E1" w14:paraId="2F908DA7" w14:textId="77777777" w:rsidTr="000A0969">
        <w:tc>
          <w:tcPr>
            <w:tcW w:w="1832" w:type="pct"/>
          </w:tcPr>
          <w:p w14:paraId="521AB7D4" w14:textId="77777777" w:rsidR="004E43E1" w:rsidRPr="004E43E1" w:rsidRDefault="004E43E1" w:rsidP="00C746FC">
            <w:pPr>
              <w:ind w:left="32" w:right="-18"/>
              <w:jc w:val="both"/>
              <w:rPr>
                <w:rFonts w:eastAsia="SimSun"/>
                <w:sz w:val="20"/>
                <w:szCs w:val="20"/>
                <w:lang w:eastAsia="en-IN"/>
              </w:rPr>
            </w:pPr>
            <w:r w:rsidRPr="004E43E1">
              <w:rPr>
                <w:rFonts w:eastAsia="SimSun"/>
                <w:sz w:val="20"/>
                <w:szCs w:val="20"/>
                <w:lang w:eastAsia="en-IN"/>
              </w:rPr>
              <w:t>VSC</w:t>
            </w:r>
          </w:p>
        </w:tc>
        <w:tc>
          <w:tcPr>
            <w:tcW w:w="3168" w:type="pct"/>
          </w:tcPr>
          <w:p w14:paraId="660B2ED5" w14:textId="77777777" w:rsidR="004E43E1" w:rsidRPr="004E43E1" w:rsidRDefault="004E43E1" w:rsidP="00C746FC">
            <w:pPr>
              <w:ind w:left="32"/>
              <w:jc w:val="both"/>
              <w:rPr>
                <w:sz w:val="20"/>
                <w:szCs w:val="20"/>
              </w:rPr>
            </w:pPr>
            <w:r w:rsidRPr="004E43E1">
              <w:rPr>
                <w:sz w:val="20"/>
                <w:szCs w:val="20"/>
              </w:rPr>
              <w:t>Voltage Source Converter</w:t>
            </w:r>
          </w:p>
        </w:tc>
      </w:tr>
      <w:tr w:rsidR="004E43E1" w:rsidRPr="004E43E1" w14:paraId="077983B8" w14:textId="77777777" w:rsidTr="000A0969">
        <w:tc>
          <w:tcPr>
            <w:tcW w:w="1832" w:type="pct"/>
          </w:tcPr>
          <w:p w14:paraId="0E5C2B73" w14:textId="365F11DF" w:rsidR="004E43E1" w:rsidRPr="004E43E1" w:rsidRDefault="004E43E1" w:rsidP="004E43E1">
            <w:pPr>
              <w:ind w:left="32" w:right="-18"/>
              <w:jc w:val="both"/>
              <w:rPr>
                <w:rFonts w:eastAsia="SimSun"/>
                <w:sz w:val="20"/>
                <w:szCs w:val="20"/>
                <w:lang w:eastAsia="en-IN"/>
              </w:rPr>
            </w:pPr>
            <w:r w:rsidRPr="004E43E1">
              <w:rPr>
                <w:sz w:val="20"/>
                <w:szCs w:val="20"/>
              </w:rPr>
              <w:t>PWM</w:t>
            </w:r>
          </w:p>
        </w:tc>
        <w:tc>
          <w:tcPr>
            <w:tcW w:w="3168" w:type="pct"/>
          </w:tcPr>
          <w:p w14:paraId="00FB9334" w14:textId="783D77EB" w:rsidR="004E43E1" w:rsidRPr="004E43E1" w:rsidRDefault="004E43E1" w:rsidP="004E43E1">
            <w:pPr>
              <w:ind w:left="32"/>
              <w:jc w:val="both"/>
              <w:rPr>
                <w:sz w:val="20"/>
                <w:szCs w:val="20"/>
              </w:rPr>
            </w:pPr>
            <w:r w:rsidRPr="004E43E1">
              <w:rPr>
                <w:sz w:val="20"/>
                <w:szCs w:val="20"/>
              </w:rPr>
              <w:t>Pulse Width Modulation</w:t>
            </w:r>
          </w:p>
        </w:tc>
      </w:tr>
      <w:tr w:rsidR="004E43E1" w:rsidRPr="004E43E1" w14:paraId="06A125E5" w14:textId="77777777" w:rsidTr="000A0969">
        <w:tc>
          <w:tcPr>
            <w:tcW w:w="1832" w:type="pct"/>
          </w:tcPr>
          <w:p w14:paraId="203856F3" w14:textId="692E5F64" w:rsidR="004E43E1" w:rsidRPr="004E43E1" w:rsidRDefault="004E43E1" w:rsidP="004E43E1">
            <w:pPr>
              <w:ind w:left="32" w:right="-18"/>
              <w:jc w:val="both"/>
              <w:rPr>
                <w:rFonts w:eastAsia="SimSun"/>
                <w:sz w:val="20"/>
                <w:szCs w:val="20"/>
                <w:lang w:eastAsia="en-IN"/>
              </w:rPr>
            </w:pPr>
            <w:r w:rsidRPr="004E43E1">
              <w:rPr>
                <w:sz w:val="20"/>
                <w:szCs w:val="20"/>
              </w:rPr>
              <w:t>CP</w:t>
            </w:r>
          </w:p>
        </w:tc>
        <w:tc>
          <w:tcPr>
            <w:tcW w:w="3168" w:type="pct"/>
          </w:tcPr>
          <w:p w14:paraId="2C6C6472" w14:textId="330E6442" w:rsidR="004E43E1" w:rsidRPr="004E43E1" w:rsidRDefault="004E43E1" w:rsidP="004E43E1">
            <w:pPr>
              <w:ind w:left="32"/>
              <w:jc w:val="both"/>
              <w:rPr>
                <w:sz w:val="20"/>
                <w:szCs w:val="20"/>
              </w:rPr>
            </w:pPr>
            <w:r w:rsidRPr="004E43E1">
              <w:rPr>
                <w:sz w:val="20"/>
                <w:szCs w:val="20"/>
              </w:rPr>
              <w:t>Control Pilot</w:t>
            </w:r>
          </w:p>
        </w:tc>
      </w:tr>
      <w:tr w:rsidR="004E43E1" w:rsidRPr="004E43E1" w14:paraId="131A8BA9" w14:textId="77777777" w:rsidTr="000A0969">
        <w:tc>
          <w:tcPr>
            <w:tcW w:w="1832" w:type="pct"/>
          </w:tcPr>
          <w:p w14:paraId="0017248C" w14:textId="4A290527" w:rsidR="004E43E1" w:rsidRPr="004E43E1" w:rsidRDefault="004E43E1" w:rsidP="004E43E1">
            <w:pPr>
              <w:ind w:left="32" w:right="-18"/>
              <w:jc w:val="both"/>
              <w:rPr>
                <w:rFonts w:eastAsia="SimSun"/>
                <w:sz w:val="20"/>
                <w:szCs w:val="20"/>
                <w:lang w:eastAsia="en-IN"/>
              </w:rPr>
            </w:pPr>
            <w:r w:rsidRPr="004E43E1">
              <w:rPr>
                <w:sz w:val="20"/>
                <w:szCs w:val="20"/>
              </w:rPr>
              <w:t>IPT</w:t>
            </w:r>
          </w:p>
        </w:tc>
        <w:tc>
          <w:tcPr>
            <w:tcW w:w="3168" w:type="pct"/>
          </w:tcPr>
          <w:p w14:paraId="12E1CF9A" w14:textId="22B78675" w:rsidR="004E43E1" w:rsidRPr="004E43E1" w:rsidRDefault="004E43E1" w:rsidP="004E43E1">
            <w:pPr>
              <w:ind w:left="32"/>
              <w:jc w:val="both"/>
              <w:rPr>
                <w:sz w:val="20"/>
                <w:szCs w:val="20"/>
              </w:rPr>
            </w:pPr>
            <w:r w:rsidRPr="004E43E1">
              <w:rPr>
                <w:sz w:val="20"/>
                <w:szCs w:val="20"/>
              </w:rPr>
              <w:t>Inductive Power Transfer</w:t>
            </w:r>
          </w:p>
        </w:tc>
      </w:tr>
      <w:tr w:rsidR="004E43E1" w:rsidRPr="004E43E1" w14:paraId="6F53EDA6" w14:textId="77777777" w:rsidTr="000A0969">
        <w:tc>
          <w:tcPr>
            <w:tcW w:w="1832" w:type="pct"/>
          </w:tcPr>
          <w:p w14:paraId="44F55D7E" w14:textId="75ADEF72" w:rsidR="004E43E1" w:rsidRPr="004E43E1" w:rsidRDefault="004E43E1" w:rsidP="004E43E1">
            <w:pPr>
              <w:ind w:left="32" w:right="-18"/>
              <w:jc w:val="both"/>
              <w:rPr>
                <w:rFonts w:eastAsia="SimSun"/>
                <w:sz w:val="20"/>
                <w:szCs w:val="20"/>
                <w:lang w:eastAsia="en-IN"/>
              </w:rPr>
            </w:pPr>
            <w:r w:rsidRPr="004E43E1">
              <w:rPr>
                <w:sz w:val="20"/>
                <w:szCs w:val="20"/>
              </w:rPr>
              <w:t>AGVs</w:t>
            </w:r>
          </w:p>
        </w:tc>
        <w:tc>
          <w:tcPr>
            <w:tcW w:w="3168" w:type="pct"/>
          </w:tcPr>
          <w:p w14:paraId="141073FB" w14:textId="2CC7EA6B" w:rsidR="004E43E1" w:rsidRPr="004E43E1" w:rsidRDefault="004E43E1" w:rsidP="004E43E1">
            <w:pPr>
              <w:ind w:left="32"/>
              <w:jc w:val="both"/>
              <w:rPr>
                <w:sz w:val="20"/>
                <w:szCs w:val="20"/>
              </w:rPr>
            </w:pPr>
            <w:r w:rsidRPr="004E43E1">
              <w:rPr>
                <w:sz w:val="20"/>
                <w:szCs w:val="20"/>
              </w:rPr>
              <w:t>Autonomous Guided Vehicles</w:t>
            </w:r>
          </w:p>
        </w:tc>
      </w:tr>
      <w:tr w:rsidR="004E43E1" w:rsidRPr="004E43E1" w14:paraId="572F0143" w14:textId="77777777" w:rsidTr="000A0969">
        <w:tc>
          <w:tcPr>
            <w:tcW w:w="1832" w:type="pct"/>
          </w:tcPr>
          <w:p w14:paraId="2CF04EA6" w14:textId="0C78C40B" w:rsidR="004E43E1" w:rsidRPr="004E43E1" w:rsidRDefault="004E43E1" w:rsidP="004E43E1">
            <w:pPr>
              <w:ind w:left="32" w:right="-18"/>
              <w:jc w:val="both"/>
              <w:rPr>
                <w:rFonts w:eastAsia="SimSun"/>
                <w:sz w:val="20"/>
                <w:szCs w:val="20"/>
                <w:lang w:eastAsia="en-IN"/>
              </w:rPr>
            </w:pPr>
            <w:r w:rsidRPr="004E43E1">
              <w:rPr>
                <w:rFonts w:eastAsia="SimSun"/>
                <w:sz w:val="20"/>
                <w:szCs w:val="20"/>
                <w:lang w:eastAsia="en-IN"/>
              </w:rPr>
              <w:t>CCS</w:t>
            </w:r>
          </w:p>
        </w:tc>
        <w:tc>
          <w:tcPr>
            <w:tcW w:w="3168" w:type="pct"/>
          </w:tcPr>
          <w:p w14:paraId="1A05F16D" w14:textId="1005A42E" w:rsidR="004E43E1" w:rsidRPr="004E43E1" w:rsidRDefault="004E43E1" w:rsidP="004E43E1">
            <w:pPr>
              <w:ind w:left="32"/>
              <w:jc w:val="both"/>
              <w:rPr>
                <w:sz w:val="20"/>
                <w:szCs w:val="20"/>
              </w:rPr>
            </w:pPr>
            <w:r w:rsidRPr="004E43E1">
              <w:rPr>
                <w:sz w:val="20"/>
                <w:szCs w:val="20"/>
              </w:rPr>
              <w:t>Combined Charging System</w:t>
            </w:r>
          </w:p>
        </w:tc>
      </w:tr>
    </w:tbl>
    <w:p w14:paraId="0D990D09" w14:textId="77777777" w:rsidR="004E43E1" w:rsidRPr="00BF6629" w:rsidRDefault="004E43E1" w:rsidP="00923F1F">
      <w:pPr>
        <w:rPr>
          <w:b/>
          <w:bCs/>
          <w:sz w:val="23"/>
          <w:szCs w:val="23"/>
        </w:rPr>
      </w:pPr>
    </w:p>
    <w:p w14:paraId="5A52E68E" w14:textId="7EC319AC" w:rsidR="00EA6B90" w:rsidRPr="00BF6629" w:rsidRDefault="003B74D0" w:rsidP="003B74D0">
      <w:pPr>
        <w:pStyle w:val="ListParagraph"/>
        <w:numPr>
          <w:ilvl w:val="0"/>
          <w:numId w:val="15"/>
        </w:numPr>
        <w:spacing w:after="0" w:line="240" w:lineRule="auto"/>
        <w:ind w:left="567" w:hanging="567"/>
        <w:jc w:val="center"/>
        <w:rPr>
          <w:rFonts w:ascii="Times New Roman" w:hAnsi="Times New Roman"/>
          <w:b/>
          <w:bCs/>
          <w:sz w:val="23"/>
          <w:szCs w:val="23"/>
        </w:rPr>
      </w:pPr>
      <w:r w:rsidRPr="00BF6629">
        <w:rPr>
          <w:rFonts w:ascii="Times New Roman" w:hAnsi="Times New Roman"/>
          <w:b/>
          <w:bCs/>
          <w:sz w:val="23"/>
          <w:szCs w:val="23"/>
        </w:rPr>
        <w:t>INTRODUCTION</w:t>
      </w:r>
    </w:p>
    <w:p w14:paraId="3963A9E2" w14:textId="77777777" w:rsidR="00DD2B99" w:rsidRPr="00BF6629" w:rsidRDefault="00DD2B99" w:rsidP="00BD16D4">
      <w:pPr>
        <w:jc w:val="both"/>
        <w:rPr>
          <w:rFonts w:eastAsia="TimesNewRomanPSMT"/>
          <w:sz w:val="20"/>
        </w:rPr>
      </w:pPr>
    </w:p>
    <w:p w14:paraId="3F7903D7" w14:textId="3A0BD834" w:rsidR="00DD2B99" w:rsidRPr="00BF6629" w:rsidRDefault="00DD2B99" w:rsidP="000A0969">
      <w:pPr>
        <w:ind w:right="-168"/>
        <w:jc w:val="both"/>
        <w:rPr>
          <w:rFonts w:eastAsia="TimesNewRomanPSMT"/>
          <w:sz w:val="20"/>
        </w:rPr>
      </w:pPr>
      <w:r w:rsidRPr="00BF6629">
        <w:rPr>
          <w:rFonts w:eastAsia="TimesNewRomanPSMT"/>
          <w:sz w:val="20"/>
        </w:rPr>
        <w:t xml:space="preserve">By 2030 </w:t>
      </w:r>
      <w:r w:rsidR="00B020E0" w:rsidRPr="00BF6629">
        <w:rPr>
          <w:rFonts w:eastAsia="TimesNewRomanPSMT"/>
          <w:sz w:val="20"/>
        </w:rPr>
        <w:t>[</w:t>
      </w:r>
      <w:r w:rsidRPr="00BF6629">
        <w:rPr>
          <w:rFonts w:eastAsia="TimesNewRomanPSMT"/>
          <w:sz w:val="20"/>
        </w:rPr>
        <w:t>1</w:t>
      </w:r>
      <w:r w:rsidR="00B020E0" w:rsidRPr="00BF6629">
        <w:rPr>
          <w:rFonts w:eastAsia="TimesNewRomanPSMT"/>
          <w:sz w:val="20"/>
        </w:rPr>
        <w:t>]</w:t>
      </w:r>
      <w:r w:rsidRPr="00BF6629">
        <w:rPr>
          <w:rFonts w:eastAsia="TimesNewRomanPSMT"/>
          <w:sz w:val="20"/>
        </w:rPr>
        <w:t>, it is predicted that there will be 500 million EVs on the road. Electric vehicle charging infrastructure and technologies will play a pivotal role in facilitating this mobility shift. Every location, from homes to offices to stores to parks, will require EV charging infrastructure. Roadways. The distribution network must provide the electricity used to charge EVs cheaply and with minimal support. And to the</w:t>
      </w:r>
      <w:r w:rsidR="00F25EAA" w:rsidRPr="00BF6629">
        <w:rPr>
          <w:rFonts w:eastAsia="TimesNewRomanPSMT"/>
          <w:sz w:val="20"/>
        </w:rPr>
        <w:t xml:space="preserve"> fullest extent of confidence. Peak demand on the grid is expected to rise, which could lead to congestion in distribution mechanisms. </w:t>
      </w:r>
      <w:r w:rsidR="00E21001" w:rsidRPr="00BF6629">
        <w:rPr>
          <w:rFonts w:eastAsia="TimesNewRomanPSMT"/>
          <w:b/>
          <w:sz w:val="20"/>
        </w:rPr>
        <w:t>[</w:t>
      </w:r>
      <w:r w:rsidRPr="00BF6629">
        <w:rPr>
          <w:rFonts w:eastAsia="TimesNewRomanPSMT"/>
          <w:b/>
          <w:sz w:val="20"/>
        </w:rPr>
        <w:t>2</w:t>
      </w:r>
      <w:r w:rsidR="00E21001" w:rsidRPr="00BF6629">
        <w:rPr>
          <w:rFonts w:eastAsia="TimesNewRomanPSMT"/>
          <w:b/>
          <w:sz w:val="20"/>
        </w:rPr>
        <w:t>]</w:t>
      </w:r>
      <w:r w:rsidRPr="00BF6629">
        <w:rPr>
          <w:rFonts w:eastAsia="TimesNewRomanPSMT"/>
          <w:b/>
          <w:sz w:val="20"/>
        </w:rPr>
        <w:t xml:space="preserve">, </w:t>
      </w:r>
      <w:r w:rsidR="00E21001" w:rsidRPr="00BF6629">
        <w:rPr>
          <w:rFonts w:eastAsia="TimesNewRomanPSMT"/>
          <w:b/>
          <w:sz w:val="20"/>
        </w:rPr>
        <w:t>[</w:t>
      </w:r>
      <w:r w:rsidRPr="00BF6629">
        <w:rPr>
          <w:rFonts w:eastAsia="TimesNewRomanPSMT"/>
          <w:b/>
          <w:sz w:val="20"/>
        </w:rPr>
        <w:t>3</w:t>
      </w:r>
      <w:r w:rsidR="00E21001" w:rsidRPr="00BF6629">
        <w:rPr>
          <w:rFonts w:eastAsia="TimesNewRomanPSMT"/>
          <w:b/>
          <w:sz w:val="20"/>
        </w:rPr>
        <w:t>]</w:t>
      </w:r>
      <w:r w:rsidRPr="00BF6629">
        <w:rPr>
          <w:rFonts w:eastAsia="TimesNewRomanPSMT"/>
          <w:sz w:val="20"/>
        </w:rPr>
        <w:t xml:space="preserve"> are both conceivable outcomes of widespread EV adoption. Second, our current power grid is</w:t>
      </w:r>
      <w:r w:rsidR="002D4168">
        <w:rPr>
          <w:rFonts w:eastAsia="TimesNewRomanPSMT"/>
          <w:sz w:val="20"/>
        </w:rPr>
        <w:t xml:space="preserve"> </w:t>
      </w:r>
      <w:r w:rsidR="00E21001" w:rsidRPr="00BF6629">
        <w:rPr>
          <w:rFonts w:eastAsia="TimesNewRomanPSMT"/>
          <w:sz w:val="20"/>
        </w:rPr>
        <w:t>fueled</w:t>
      </w:r>
      <w:r w:rsidRPr="00BF6629">
        <w:rPr>
          <w:rFonts w:eastAsia="TimesNewRomanPSMT"/>
          <w:sz w:val="20"/>
        </w:rPr>
        <w:t xml:space="preserve"> mostly by coal, natural gas, and other fossil fuels </w:t>
      </w:r>
      <w:r w:rsidR="00E21001" w:rsidRPr="00BF6629">
        <w:rPr>
          <w:rFonts w:eastAsia="TimesNewRomanPSMT"/>
          <w:b/>
          <w:sz w:val="20"/>
        </w:rPr>
        <w:t>[</w:t>
      </w:r>
      <w:r w:rsidRPr="00BF6629">
        <w:rPr>
          <w:rFonts w:eastAsia="TimesNewRomanPSMT"/>
          <w:b/>
          <w:sz w:val="20"/>
        </w:rPr>
        <w:t>4</w:t>
      </w:r>
      <w:r w:rsidR="00E21001" w:rsidRPr="00BF6629">
        <w:rPr>
          <w:rFonts w:eastAsia="TimesNewRomanPSMT"/>
          <w:b/>
          <w:sz w:val="20"/>
        </w:rPr>
        <w:t>]</w:t>
      </w:r>
      <w:r w:rsidRPr="00BF6629">
        <w:rPr>
          <w:rFonts w:eastAsia="TimesNewRomanPSMT"/>
          <w:b/>
          <w:sz w:val="20"/>
        </w:rPr>
        <w:t>.</w:t>
      </w:r>
      <w:r w:rsidRPr="00BF6629">
        <w:rPr>
          <w:rFonts w:eastAsia="TimesNewRomanPSMT"/>
          <w:sz w:val="20"/>
        </w:rPr>
        <w:t xml:space="preserve"> The emigrants need just be transferred from the van to the energy plant. Because of this, EVs are not as environmentally friendly as they might seem.  Because of this, </w:t>
      </w:r>
      <w:r w:rsidR="00C746FC" w:rsidRPr="00BF6629">
        <w:rPr>
          <w:rFonts w:eastAsia="TimesNewRomanPSMT"/>
          <w:sz w:val="20"/>
        </w:rPr>
        <w:t>EVS must</w:t>
      </w:r>
      <w:r w:rsidRPr="00BF6629">
        <w:rPr>
          <w:rFonts w:eastAsia="TimesNewRomanPSMT"/>
          <w:sz w:val="20"/>
        </w:rPr>
        <w:t xml:space="preserve"> be charged in the future by renewable energy sources like solar and wind power </w:t>
      </w:r>
      <w:r w:rsidR="00E21001" w:rsidRPr="00BF6629">
        <w:rPr>
          <w:rFonts w:eastAsia="TimesNewRomanPSMT"/>
          <w:b/>
          <w:sz w:val="20"/>
        </w:rPr>
        <w:t>[</w:t>
      </w:r>
      <w:r w:rsidRPr="00BF6629">
        <w:rPr>
          <w:rFonts w:eastAsia="TimesNewRomanPSMT"/>
          <w:b/>
          <w:sz w:val="20"/>
        </w:rPr>
        <w:t>5</w:t>
      </w:r>
      <w:r w:rsidR="00E21001" w:rsidRPr="00BF6629">
        <w:rPr>
          <w:rFonts w:eastAsia="TimesNewRomanPSMT"/>
          <w:b/>
          <w:sz w:val="20"/>
        </w:rPr>
        <w:t>]</w:t>
      </w:r>
      <w:r w:rsidR="0071133C" w:rsidRPr="00BF6629">
        <w:rPr>
          <w:rFonts w:eastAsia="TimesNewRomanPSMT"/>
          <w:b/>
          <w:sz w:val="20"/>
        </w:rPr>
        <w:t>-</w:t>
      </w:r>
      <w:r w:rsidR="00E21001" w:rsidRPr="00BF6629">
        <w:rPr>
          <w:rFonts w:eastAsia="TimesNewRomanPSMT"/>
          <w:b/>
          <w:sz w:val="20"/>
        </w:rPr>
        <w:t>[</w:t>
      </w:r>
      <w:r w:rsidRPr="00BF6629">
        <w:rPr>
          <w:rFonts w:eastAsia="TimesNewRomanPSMT"/>
          <w:b/>
          <w:sz w:val="20"/>
        </w:rPr>
        <w:t>8</w:t>
      </w:r>
      <w:r w:rsidR="00E21001" w:rsidRPr="00BF6629">
        <w:rPr>
          <w:rFonts w:eastAsia="TimesNewRomanPSMT"/>
          <w:b/>
          <w:sz w:val="20"/>
        </w:rPr>
        <w:t>]</w:t>
      </w:r>
      <w:r w:rsidRPr="00BF6629">
        <w:rPr>
          <w:rFonts w:eastAsia="TimesNewRomanPSMT"/>
          <w:b/>
          <w:sz w:val="20"/>
        </w:rPr>
        <w:t>.</w:t>
      </w:r>
      <w:r w:rsidRPr="00BF6629">
        <w:rPr>
          <w:rFonts w:eastAsia="TimesNewRomanPSMT"/>
          <w:sz w:val="20"/>
        </w:rPr>
        <w:t xml:space="preserve"> Similarly, EVs have the potential to play a pivotal role. Provide the grid with fast-response storage </w:t>
      </w:r>
      <w:r w:rsidRPr="00BF6629">
        <w:rPr>
          <w:rFonts w:eastAsia="TimesNewRomanPSMT"/>
          <w:sz w:val="20"/>
        </w:rPr>
        <w:t>and regulated cargo.  The charging infrastructure for EVs will be a game changer for the suc</w:t>
      </w:r>
      <w:r w:rsidR="00F25EAA" w:rsidRPr="00BF6629">
        <w:rPr>
          <w:rFonts w:eastAsia="TimesNewRomanPSMT"/>
          <w:sz w:val="20"/>
        </w:rPr>
        <w:t>cess of the mobility revolution</w:t>
      </w:r>
      <w:r w:rsidRPr="00BF6629">
        <w:rPr>
          <w:rFonts w:eastAsia="TimesNewRomanPSMT"/>
          <w:sz w:val="20"/>
        </w:rPr>
        <w:t xml:space="preserve"> will then all play critical roles in the EV charging infrastructure. </w:t>
      </w:r>
      <w:r w:rsidR="00F25EAA" w:rsidRPr="00BF6629">
        <w:rPr>
          <w:rFonts w:eastAsia="TimesNewRomanPSMT"/>
          <w:sz w:val="20"/>
        </w:rPr>
        <w:t xml:space="preserve">The purpose of the article is to evaluate each of these five innovations. </w:t>
      </w:r>
      <w:r w:rsidRPr="00BF6629">
        <w:rPr>
          <w:rFonts w:eastAsia="TimesNewRomanPSMT"/>
          <w:sz w:val="20"/>
        </w:rPr>
        <w:t>Examples of how they were committed and suggestions for moving forward are provided.</w:t>
      </w:r>
    </w:p>
    <w:p w14:paraId="2095268D" w14:textId="77777777" w:rsidR="00C75CCB" w:rsidRPr="00BF6629" w:rsidRDefault="00C75CCB" w:rsidP="00BD16D4">
      <w:pPr>
        <w:jc w:val="both"/>
        <w:rPr>
          <w:rFonts w:eastAsia="TimesNewRomanPSMT"/>
          <w:sz w:val="20"/>
        </w:rPr>
      </w:pPr>
    </w:p>
    <w:p w14:paraId="14F4A1BA" w14:textId="77777777" w:rsidR="00C75CCB" w:rsidRPr="00BF6629" w:rsidRDefault="00C75CCB" w:rsidP="003B74D0">
      <w:pPr>
        <w:pStyle w:val="ListParagraph"/>
        <w:numPr>
          <w:ilvl w:val="0"/>
          <w:numId w:val="15"/>
        </w:numPr>
        <w:spacing w:after="0" w:line="240" w:lineRule="auto"/>
        <w:ind w:left="567" w:hanging="567"/>
        <w:jc w:val="center"/>
        <w:rPr>
          <w:rFonts w:ascii="Times New Roman" w:hAnsi="Times New Roman"/>
          <w:b/>
          <w:bCs/>
          <w:sz w:val="23"/>
          <w:szCs w:val="23"/>
        </w:rPr>
      </w:pPr>
      <w:r w:rsidRPr="00BF6629">
        <w:rPr>
          <w:rFonts w:ascii="Times New Roman" w:hAnsi="Times New Roman"/>
          <w:b/>
          <w:bCs/>
          <w:sz w:val="23"/>
          <w:szCs w:val="23"/>
        </w:rPr>
        <w:t>CONDUCTIVE CHARGING OF EVS – CURRENT STATUS</w:t>
      </w:r>
    </w:p>
    <w:p w14:paraId="07ED2062" w14:textId="77777777" w:rsidR="00C75CCB" w:rsidRPr="00BF6629" w:rsidRDefault="00C75CCB" w:rsidP="00BD16D4">
      <w:pPr>
        <w:contextualSpacing/>
        <w:rPr>
          <w:rFonts w:eastAsia="TimesNewRomanPSMT"/>
          <w:b/>
          <w:sz w:val="19"/>
          <w:szCs w:val="19"/>
        </w:rPr>
      </w:pPr>
    </w:p>
    <w:p w14:paraId="2F0011D7" w14:textId="77777777" w:rsidR="00C746FC" w:rsidRPr="00BF6629" w:rsidRDefault="00EF2D86" w:rsidP="00BD16D4">
      <w:pPr>
        <w:jc w:val="both"/>
        <w:rPr>
          <w:rFonts w:eastAsia="TimesNewRomanPSMT"/>
          <w:sz w:val="20"/>
          <w:szCs w:val="20"/>
        </w:rPr>
      </w:pPr>
      <w:r w:rsidRPr="00BF6629">
        <w:rPr>
          <w:rFonts w:eastAsia="TimesNewRomanPSMT"/>
          <w:sz w:val="20"/>
          <w:szCs w:val="20"/>
        </w:rPr>
        <w:t>EVs</w:t>
      </w:r>
      <w:r w:rsidR="00DD2B99" w:rsidRPr="00BF6629">
        <w:rPr>
          <w:rFonts w:eastAsia="TimesNewRomanPSMT"/>
          <w:sz w:val="20"/>
          <w:szCs w:val="20"/>
        </w:rPr>
        <w:t xml:space="preserve"> can be charged immediately by AC or DC string charging </w:t>
      </w:r>
      <w:r w:rsidR="00E21001" w:rsidRPr="00BF6629">
        <w:rPr>
          <w:rFonts w:eastAsia="TimesNewRomanPSMT"/>
          <w:b/>
          <w:sz w:val="20"/>
          <w:szCs w:val="20"/>
        </w:rPr>
        <w:t>[9]</w:t>
      </w:r>
      <w:r w:rsidR="00DD2B99" w:rsidRPr="00BF6629">
        <w:rPr>
          <w:rFonts w:eastAsia="TimesNewRomanPSMT"/>
          <w:b/>
          <w:sz w:val="20"/>
          <w:szCs w:val="20"/>
        </w:rPr>
        <w:t>.</w:t>
      </w:r>
      <w:r w:rsidR="00DD2B99" w:rsidRPr="00BF6629">
        <w:rPr>
          <w:rFonts w:eastAsia="TimesNewRomanPSMT"/>
          <w:sz w:val="20"/>
          <w:szCs w:val="20"/>
        </w:rPr>
        <w:t xml:space="preserve"> Current AC and DC charging standards, as well as accepted methods of communication, </w:t>
      </w:r>
      <w:r w:rsidR="00E64A9D" w:rsidRPr="00BF6629">
        <w:rPr>
          <w:rFonts w:eastAsia="TimesNewRomanPSMT"/>
          <w:sz w:val="20"/>
          <w:szCs w:val="20"/>
        </w:rPr>
        <w:t>have been provided in</w:t>
      </w:r>
      <w:r w:rsidR="00DD2B99" w:rsidRPr="00BF6629">
        <w:rPr>
          <w:rFonts w:eastAsia="TimesNewRomanPSMT"/>
          <w:sz w:val="20"/>
          <w:szCs w:val="20"/>
        </w:rPr>
        <w:t xml:space="preserve"> </w:t>
      </w:r>
      <w:r w:rsidR="00E64A9D" w:rsidRPr="00BF6629">
        <w:rPr>
          <w:rFonts w:eastAsia="TimesNewRomanPSMT"/>
          <w:sz w:val="20"/>
          <w:szCs w:val="20"/>
        </w:rPr>
        <w:t xml:space="preserve">literature </w:t>
      </w:r>
      <w:r w:rsidR="00E64A9D" w:rsidRPr="00BF6629">
        <w:rPr>
          <w:rFonts w:eastAsia="TimesNewRomanPSMT"/>
          <w:b/>
          <w:sz w:val="20"/>
          <w:szCs w:val="20"/>
        </w:rPr>
        <w:t>[10-13].</w:t>
      </w:r>
      <w:r w:rsidR="00DD2B99" w:rsidRPr="00BF6629">
        <w:rPr>
          <w:rFonts w:eastAsia="TimesNewRomanPSMT"/>
          <w:sz w:val="20"/>
          <w:szCs w:val="20"/>
        </w:rPr>
        <w:t xml:space="preserve"> The fact that there is no universally accepted standard and that charging power situations vary widely is obvious and incontestable. The AC socket in the car is the most convenient place to charge an electric vehicle. At the moment, there. </w:t>
      </w:r>
      <w:r w:rsidR="00F25EAA" w:rsidRPr="00BF6629">
        <w:rPr>
          <w:rFonts w:eastAsia="TimesNewRomanPSMT"/>
          <w:sz w:val="20"/>
          <w:szCs w:val="20"/>
        </w:rPr>
        <w:t xml:space="preserve">In the United States, most individuals use SAE J1772-2009 Type 1 AC charging methods, </w:t>
      </w:r>
      <w:r w:rsidR="00DD2B99" w:rsidRPr="00BF6629">
        <w:rPr>
          <w:rFonts w:eastAsia="TimesNewRomanPSMT"/>
          <w:sz w:val="20"/>
          <w:szCs w:val="20"/>
        </w:rPr>
        <w:t xml:space="preserve">while in Europe they use the </w:t>
      </w:r>
      <w:proofErr w:type="spellStart"/>
      <w:r w:rsidR="00DD2B99" w:rsidRPr="00BF6629">
        <w:rPr>
          <w:rFonts w:eastAsia="TimesNewRomanPSMT"/>
          <w:sz w:val="20"/>
          <w:szCs w:val="20"/>
        </w:rPr>
        <w:t>Mennekes</w:t>
      </w:r>
      <w:proofErr w:type="spellEnd"/>
      <w:r w:rsidR="00DD2B99" w:rsidRPr="00BF6629">
        <w:rPr>
          <w:rFonts w:eastAsia="TimesNewRomanPSMT"/>
          <w:sz w:val="20"/>
          <w:szCs w:val="20"/>
        </w:rPr>
        <w:t xml:space="preserve"> bowl system. Plus, ten and twelve Tesla US bowl</w:t>
      </w:r>
      <w:r w:rsidR="00C746FC" w:rsidRPr="00BF6629">
        <w:rPr>
          <w:rFonts w:eastAsia="TimesNewRomanPSMT"/>
          <w:sz w:val="20"/>
          <w:szCs w:val="20"/>
        </w:rPr>
        <w:t>s</w:t>
      </w:r>
      <w:r w:rsidR="00DD2B99" w:rsidRPr="00BF6629">
        <w:rPr>
          <w:rFonts w:eastAsia="TimesNewRomanPSMT"/>
          <w:sz w:val="20"/>
          <w:szCs w:val="20"/>
        </w:rPr>
        <w:t>. The European Type 2 draw uses a three-phase 400-volt (kW) grid connection, allowing for significantly higher charging powers of over 43kW (up to 63A). Bowl-to-EV communication occurs via the control airman (CP) and the propinquity airman (PP). Nearly every EV maker has moved on from the EV draw alliance's Type 3 EV bowl to Type 2.  The EV has a weight and size limit, so. In most commercially available EVs, the onboard AC bowl can only be used in charg</w:t>
      </w:r>
      <w:r w:rsidR="0071133C" w:rsidRPr="00BF6629">
        <w:rPr>
          <w:rFonts w:eastAsia="TimesNewRomanPSMT"/>
          <w:sz w:val="20"/>
          <w:szCs w:val="20"/>
        </w:rPr>
        <w:t>ing power settings exceeding 20 kW</w:t>
      </w:r>
      <w:r w:rsidR="00DD2B99" w:rsidRPr="00BF6629">
        <w:rPr>
          <w:rFonts w:eastAsia="TimesNewRomanPSMT"/>
          <w:sz w:val="20"/>
          <w:szCs w:val="20"/>
        </w:rPr>
        <w:t>. Drivetrain propulsion power electronics are the sole known exception to this rule. In most cases, their power levels are significantly higher (80-500kW).</w:t>
      </w:r>
    </w:p>
    <w:p w14:paraId="30B92E76" w14:textId="77777777" w:rsidR="00DD2B99" w:rsidRPr="00BF6629" w:rsidRDefault="00DD2B99" w:rsidP="00BD16D4">
      <w:pPr>
        <w:jc w:val="both"/>
        <w:rPr>
          <w:rFonts w:eastAsia="TimesNewRomanPSMT"/>
          <w:sz w:val="20"/>
          <w:szCs w:val="20"/>
        </w:rPr>
      </w:pPr>
      <w:r w:rsidRPr="00BF6629">
        <w:rPr>
          <w:rFonts w:eastAsia="TimesNewRomanPSMT"/>
          <w:sz w:val="20"/>
          <w:szCs w:val="20"/>
        </w:rPr>
        <w:lastRenderedPageBreak/>
        <w:t xml:space="preserve">This energy can also be recycled for purposes such as charging electric vehicles. Dishes like this </w:t>
      </w:r>
      <w:r w:rsidR="00F60156" w:rsidRPr="00BF6629">
        <w:rPr>
          <w:rFonts w:eastAsia="TimesNewRomanPSMT"/>
          <w:b/>
          <w:sz w:val="20"/>
        </w:rPr>
        <w:t>[</w:t>
      </w:r>
      <w:r w:rsidR="0071133C" w:rsidRPr="00BF6629">
        <w:rPr>
          <w:rFonts w:eastAsia="TimesNewRomanPSMT"/>
          <w:b/>
          <w:sz w:val="20"/>
        </w:rPr>
        <w:t>14-</w:t>
      </w:r>
      <w:r w:rsidRPr="00BF6629">
        <w:rPr>
          <w:rFonts w:eastAsia="TimesNewRomanPSMT"/>
          <w:b/>
          <w:sz w:val="20"/>
        </w:rPr>
        <w:t>15</w:t>
      </w:r>
      <w:r w:rsidR="00F60156" w:rsidRPr="00BF6629">
        <w:rPr>
          <w:rFonts w:eastAsia="TimesNewRomanPSMT"/>
          <w:b/>
          <w:sz w:val="20"/>
        </w:rPr>
        <w:t>]</w:t>
      </w:r>
      <w:r w:rsidRPr="00BF6629">
        <w:rPr>
          <w:rFonts w:eastAsia="TimesNewRomanPSMT"/>
          <w:sz w:val="20"/>
          <w:szCs w:val="20"/>
        </w:rPr>
        <w:t xml:space="preserve"> are often referred to be "onboard integrated." To charge electric vehicles, the built-in dishes tap into the drivetrain inverter and the propelling motor's windings. The combined 'Chameleon' bowl in the 43kW Renault Zoe is a good example. High-power EV charging at more than 50 kilowatts. DC charging, which makes use of an external dish, is </w:t>
      </w:r>
      <w:r w:rsidR="00F60156" w:rsidRPr="00BF6629">
        <w:rPr>
          <w:rFonts w:eastAsia="TimesNewRomanPSMT"/>
          <w:sz w:val="20"/>
          <w:szCs w:val="20"/>
        </w:rPr>
        <w:t>favored</w:t>
      </w:r>
      <w:r w:rsidR="00ED201D" w:rsidRPr="00BF6629">
        <w:rPr>
          <w:rFonts w:eastAsia="TimesNewRomanPSMT"/>
          <w:sz w:val="20"/>
          <w:szCs w:val="20"/>
        </w:rPr>
        <w:t xml:space="preserve">. DC charging was created to circumvent the need for a bulky on-board basin [10, 16] and permit rapid recharging of EVs. </w:t>
      </w:r>
      <w:r w:rsidRPr="00BF6629">
        <w:rPr>
          <w:rFonts w:eastAsia="TimesNewRomanPSMT"/>
          <w:sz w:val="20"/>
          <w:szCs w:val="20"/>
        </w:rPr>
        <w:t xml:space="preserve">Type 4 </w:t>
      </w:r>
      <w:proofErr w:type="spellStart"/>
      <w:r w:rsidRPr="00BF6629">
        <w:rPr>
          <w:rFonts w:eastAsia="TimesNewRomanPSMT"/>
          <w:sz w:val="20"/>
          <w:szCs w:val="20"/>
        </w:rPr>
        <w:t>Chademo</w:t>
      </w:r>
      <w:proofErr w:type="spellEnd"/>
      <w:r w:rsidRPr="00BF6629">
        <w:rPr>
          <w:rFonts w:eastAsia="TimesNewRomanPSMT"/>
          <w:sz w:val="20"/>
          <w:szCs w:val="20"/>
        </w:rPr>
        <w:t>, CCS/Quintet and Tesla US</w:t>
      </w:r>
      <w:r w:rsidR="00C746FC" w:rsidRPr="00BF6629">
        <w:rPr>
          <w:rFonts w:eastAsia="TimesNewRomanPSMT"/>
          <w:sz w:val="20"/>
          <w:szCs w:val="20"/>
        </w:rPr>
        <w:t xml:space="preserve"> </w:t>
      </w:r>
      <w:r w:rsidRPr="00BF6629">
        <w:rPr>
          <w:rFonts w:eastAsia="TimesNewRomanPSMT"/>
          <w:sz w:val="20"/>
          <w:szCs w:val="20"/>
        </w:rPr>
        <w:t>and Europe dish are the 3 main direct current chargers in use today.</w:t>
      </w:r>
    </w:p>
    <w:p w14:paraId="4B38380A" w14:textId="77777777" w:rsidR="006724C4" w:rsidRPr="00BF6629" w:rsidRDefault="006724C4" w:rsidP="00BD16D4">
      <w:pPr>
        <w:jc w:val="both"/>
        <w:rPr>
          <w:rFonts w:eastAsia="TimesNewRomanPSMT"/>
          <w:sz w:val="20"/>
          <w:szCs w:val="20"/>
        </w:rPr>
      </w:pPr>
    </w:p>
    <w:p w14:paraId="46CAA2F0" w14:textId="77777777" w:rsidR="006724C4" w:rsidRPr="00BF6629" w:rsidRDefault="006724C4" w:rsidP="00BD16D4">
      <w:pPr>
        <w:pStyle w:val="ListParagraph"/>
        <w:numPr>
          <w:ilvl w:val="0"/>
          <w:numId w:val="15"/>
        </w:numPr>
        <w:spacing w:line="240" w:lineRule="auto"/>
        <w:ind w:left="567" w:hanging="567"/>
        <w:rPr>
          <w:rFonts w:ascii="Times New Roman" w:hAnsi="Times New Roman"/>
          <w:b/>
          <w:bCs/>
          <w:sz w:val="23"/>
          <w:szCs w:val="23"/>
        </w:rPr>
      </w:pPr>
      <w:r w:rsidRPr="00BF6629">
        <w:rPr>
          <w:rFonts w:ascii="Times New Roman" w:hAnsi="Times New Roman"/>
          <w:b/>
          <w:bCs/>
          <w:sz w:val="23"/>
          <w:szCs w:val="23"/>
        </w:rPr>
        <w:t>SMART CHARGING OF EVS</w:t>
      </w:r>
    </w:p>
    <w:p w14:paraId="66D999B7" w14:textId="77777777" w:rsidR="00DD2B99" w:rsidRPr="00BF6629" w:rsidRDefault="00DD2B99" w:rsidP="00DD2B99">
      <w:pPr>
        <w:jc w:val="both"/>
        <w:rPr>
          <w:rFonts w:eastAsia="TimesNewRomanPSMT"/>
          <w:sz w:val="20"/>
          <w:lang w:eastAsia="en-IN"/>
        </w:rPr>
      </w:pPr>
      <w:r w:rsidRPr="00BF6629">
        <w:rPr>
          <w:rFonts w:eastAsia="TimesNewRomanPSMT"/>
          <w:sz w:val="20"/>
          <w:lang w:eastAsia="en-IN"/>
        </w:rPr>
        <w:t xml:space="preserve">Three of </w:t>
      </w:r>
      <w:r w:rsidR="00EF2D86" w:rsidRPr="00BF6629">
        <w:rPr>
          <w:rFonts w:eastAsia="TimesNewRomanPSMT"/>
          <w:sz w:val="20"/>
          <w:lang w:eastAsia="en-IN"/>
        </w:rPr>
        <w:t>EV</w:t>
      </w:r>
      <w:r w:rsidR="0071133C" w:rsidRPr="00BF6629">
        <w:rPr>
          <w:rFonts w:eastAsia="TimesNewRomanPSMT"/>
          <w:sz w:val="20"/>
          <w:lang w:eastAsia="en-IN"/>
        </w:rPr>
        <w:t>s’</w:t>
      </w:r>
      <w:r w:rsidRPr="00BF6629">
        <w:rPr>
          <w:rFonts w:eastAsia="TimesNewRomanPSMT"/>
          <w:sz w:val="20"/>
          <w:lang w:eastAsia="en-IN"/>
        </w:rPr>
        <w:t xml:space="preserve"> distinctive features render them an invaluable asset to the system: the inflexibility to alter charge power, the capacity to swiftly scale up or down the charge, and a low grid impact. Energy and the capacity for recharging and discharging. To this day, however, this contingency is not being exploited</w:t>
      </w:r>
      <w:r w:rsidR="0071133C" w:rsidRPr="00BF6629">
        <w:rPr>
          <w:rFonts w:eastAsia="TimesNewRomanPSMT"/>
          <w:sz w:val="20"/>
          <w:lang w:eastAsia="en-IN"/>
        </w:rPr>
        <w:t>.</w:t>
      </w:r>
    </w:p>
    <w:p w14:paraId="44EAFB17" w14:textId="77777777" w:rsidR="00B979B2" w:rsidRPr="00BF6629" w:rsidRDefault="00DD2B99" w:rsidP="00B979B2">
      <w:pPr>
        <w:jc w:val="both"/>
        <w:rPr>
          <w:rFonts w:eastAsia="TimesNewRomanPSMT"/>
          <w:sz w:val="20"/>
          <w:lang w:eastAsia="en-IN"/>
        </w:rPr>
      </w:pPr>
      <w:r w:rsidRPr="00BF6629">
        <w:rPr>
          <w:rFonts w:eastAsia="TimesNewRomanPSMT"/>
          <w:sz w:val="20"/>
          <w:lang w:eastAsia="en-IN"/>
        </w:rPr>
        <w:t xml:space="preserve">Charging the EV at constant power, as it did when it was connected to a bowl until the battery is full is an unrestrained process. Intelligent charging increases the charging efficiency &amp; power of electric vehicles. Dynamic charging allows for continual control of the direction. Both the EV owner and the charging infrastructure suppliers stand to gain from the adoption of smart charging technology. </w:t>
      </w:r>
    </w:p>
    <w:p w14:paraId="05AF73A1" w14:textId="77777777" w:rsidR="00B979B2" w:rsidRPr="00BF6629" w:rsidRDefault="00B979B2" w:rsidP="00B979B2">
      <w:pPr>
        <w:pStyle w:val="ListParagraph"/>
        <w:numPr>
          <w:ilvl w:val="0"/>
          <w:numId w:val="19"/>
        </w:numPr>
        <w:spacing w:line="240" w:lineRule="auto"/>
        <w:ind w:left="284" w:hanging="284"/>
        <w:jc w:val="both"/>
        <w:rPr>
          <w:rFonts w:ascii="Times New Roman" w:eastAsia="TimesNewRomanPSMT" w:hAnsi="Times New Roman"/>
          <w:sz w:val="20"/>
          <w:lang w:eastAsia="en-IN"/>
        </w:rPr>
      </w:pPr>
      <w:r w:rsidRPr="00BF6629">
        <w:rPr>
          <w:rFonts w:ascii="Times New Roman" w:eastAsia="TimesNewRomanPSMT" w:hAnsi="Times New Roman"/>
          <w:sz w:val="20"/>
          <w:lang w:eastAsia="en-IN"/>
        </w:rPr>
        <w:t xml:space="preserve">Lower the price of charging electric vehicles based on energy costs </w:t>
      </w:r>
      <w:r w:rsidR="00F60156" w:rsidRPr="00BF6629">
        <w:rPr>
          <w:rFonts w:ascii="Times New Roman" w:eastAsia="TimesNewRomanPSMT" w:hAnsi="Times New Roman"/>
          <w:b/>
          <w:sz w:val="20"/>
          <w:lang w:eastAsia="en-IN"/>
        </w:rPr>
        <w:t>[</w:t>
      </w:r>
      <w:r w:rsidRPr="00BF6629">
        <w:rPr>
          <w:rFonts w:ascii="Times New Roman" w:eastAsia="TimesNewRomanPSMT" w:hAnsi="Times New Roman"/>
          <w:b/>
          <w:sz w:val="20"/>
          <w:lang w:eastAsia="en-IN"/>
        </w:rPr>
        <w:t>17</w:t>
      </w:r>
      <w:r w:rsidR="00F60156" w:rsidRPr="00BF6629">
        <w:rPr>
          <w:rFonts w:ascii="Times New Roman" w:eastAsia="TimesNewRomanPSMT" w:hAnsi="Times New Roman"/>
          <w:b/>
          <w:sz w:val="20"/>
          <w:lang w:eastAsia="en-IN"/>
        </w:rPr>
        <w:t>]</w:t>
      </w:r>
      <w:r w:rsidRPr="00BF6629">
        <w:rPr>
          <w:rFonts w:ascii="Times New Roman" w:eastAsia="TimesNewRomanPSMT" w:hAnsi="Times New Roman"/>
          <w:b/>
          <w:sz w:val="20"/>
          <w:lang w:eastAsia="en-IN"/>
        </w:rPr>
        <w:t>.</w:t>
      </w:r>
      <w:r w:rsidRPr="00BF6629">
        <w:rPr>
          <w:rFonts w:ascii="Times New Roman" w:eastAsia="TimesNewRomanPSMT" w:hAnsi="Times New Roman"/>
          <w:sz w:val="20"/>
          <w:lang w:eastAsia="en-IN"/>
        </w:rPr>
        <w:t xml:space="preserve"> </w:t>
      </w:r>
    </w:p>
    <w:p w14:paraId="36F3ABE6" w14:textId="77777777" w:rsidR="00B979B2" w:rsidRPr="00BF6629" w:rsidRDefault="00B979B2" w:rsidP="00B979B2">
      <w:pPr>
        <w:pStyle w:val="ListParagraph"/>
        <w:numPr>
          <w:ilvl w:val="0"/>
          <w:numId w:val="19"/>
        </w:numPr>
        <w:spacing w:line="240" w:lineRule="auto"/>
        <w:ind w:left="284" w:hanging="284"/>
        <w:jc w:val="both"/>
        <w:rPr>
          <w:rFonts w:ascii="Times New Roman" w:eastAsia="TimesNewRomanPSMT" w:hAnsi="Times New Roman"/>
          <w:sz w:val="20"/>
          <w:lang w:eastAsia="en-IN"/>
        </w:rPr>
      </w:pPr>
      <w:r w:rsidRPr="00BF6629">
        <w:rPr>
          <w:rFonts w:ascii="Times New Roman" w:eastAsia="TimesNewRomanPSMT" w:hAnsi="Times New Roman"/>
          <w:sz w:val="20"/>
          <w:lang w:eastAsia="en-IN"/>
        </w:rPr>
        <w:t xml:space="preserve">Open up fresh sources of income, such as vehicle-to-grid </w:t>
      </w:r>
      <w:r w:rsidR="00F60156" w:rsidRPr="00BF6629">
        <w:rPr>
          <w:rFonts w:ascii="Times New Roman" w:eastAsia="TimesNewRomanPSMT" w:hAnsi="Times New Roman"/>
          <w:b/>
          <w:sz w:val="20"/>
          <w:lang w:eastAsia="en-IN"/>
        </w:rPr>
        <w:t>[</w:t>
      </w:r>
      <w:r w:rsidRPr="00BF6629">
        <w:rPr>
          <w:rFonts w:ascii="Times New Roman" w:eastAsia="TimesNewRomanPSMT" w:hAnsi="Times New Roman"/>
          <w:b/>
          <w:sz w:val="20"/>
          <w:lang w:eastAsia="en-IN"/>
        </w:rPr>
        <w:t>18</w:t>
      </w:r>
      <w:r w:rsidR="00F60156" w:rsidRPr="00BF6629">
        <w:rPr>
          <w:rFonts w:ascii="Times New Roman" w:eastAsia="TimesNewRomanPSMT" w:hAnsi="Times New Roman"/>
          <w:b/>
          <w:sz w:val="20"/>
          <w:lang w:eastAsia="en-IN"/>
        </w:rPr>
        <w:t>]</w:t>
      </w:r>
      <w:r w:rsidRPr="00BF6629">
        <w:rPr>
          <w:rFonts w:ascii="Times New Roman" w:eastAsia="TimesNewRomanPSMT" w:hAnsi="Times New Roman"/>
          <w:b/>
          <w:sz w:val="20"/>
          <w:lang w:eastAsia="en-IN"/>
        </w:rPr>
        <w:t>.</w:t>
      </w:r>
      <w:r w:rsidRPr="00BF6629">
        <w:rPr>
          <w:rFonts w:ascii="Times New Roman" w:eastAsia="TimesNewRomanPSMT" w:hAnsi="Times New Roman"/>
          <w:sz w:val="20"/>
          <w:lang w:eastAsia="en-IN"/>
        </w:rPr>
        <w:t xml:space="preserve"> </w:t>
      </w:r>
    </w:p>
    <w:p w14:paraId="3D166A2D" w14:textId="77777777" w:rsidR="00B979B2" w:rsidRPr="00BF6629" w:rsidRDefault="00B979B2" w:rsidP="00B979B2">
      <w:pPr>
        <w:pStyle w:val="ListParagraph"/>
        <w:numPr>
          <w:ilvl w:val="0"/>
          <w:numId w:val="19"/>
        </w:numPr>
        <w:spacing w:line="240" w:lineRule="auto"/>
        <w:ind w:left="284" w:hanging="284"/>
        <w:jc w:val="both"/>
        <w:rPr>
          <w:rFonts w:ascii="Times New Roman" w:eastAsia="TimesNewRomanPSMT" w:hAnsi="Times New Roman"/>
          <w:sz w:val="20"/>
          <w:lang w:eastAsia="en-IN"/>
        </w:rPr>
      </w:pPr>
      <w:r w:rsidRPr="00BF6629">
        <w:rPr>
          <w:rFonts w:ascii="Times New Roman" w:eastAsia="TimesNewRomanPSMT" w:hAnsi="Times New Roman"/>
          <w:sz w:val="20"/>
          <w:lang w:eastAsia="en-IN"/>
        </w:rPr>
        <w:t xml:space="preserve">Maximize daytime solar EV charging and evening wind power consumption </w:t>
      </w:r>
      <w:r w:rsidR="00F60156" w:rsidRPr="00BF6629">
        <w:rPr>
          <w:rFonts w:ascii="Times New Roman" w:eastAsia="TimesNewRomanPSMT" w:hAnsi="Times New Roman"/>
          <w:b/>
          <w:sz w:val="20"/>
          <w:lang w:eastAsia="en-IN"/>
        </w:rPr>
        <w:t>[</w:t>
      </w:r>
      <w:r w:rsidRPr="00BF6629">
        <w:rPr>
          <w:rFonts w:ascii="Times New Roman" w:eastAsia="TimesNewRomanPSMT" w:hAnsi="Times New Roman"/>
          <w:b/>
          <w:sz w:val="20"/>
          <w:lang w:eastAsia="en-IN"/>
        </w:rPr>
        <w:t>19</w:t>
      </w:r>
      <w:r w:rsidR="00F60156" w:rsidRPr="00BF6629">
        <w:rPr>
          <w:rFonts w:ascii="Times New Roman" w:eastAsia="TimesNewRomanPSMT" w:hAnsi="Times New Roman"/>
          <w:b/>
          <w:sz w:val="20"/>
          <w:lang w:eastAsia="en-IN"/>
        </w:rPr>
        <w:t>]</w:t>
      </w:r>
      <w:r w:rsidRPr="00BF6629">
        <w:rPr>
          <w:rFonts w:ascii="Times New Roman" w:eastAsia="TimesNewRomanPSMT" w:hAnsi="Times New Roman"/>
          <w:b/>
          <w:sz w:val="20"/>
          <w:lang w:eastAsia="en-IN"/>
        </w:rPr>
        <w:t>.</w:t>
      </w:r>
      <w:r w:rsidRPr="00BF6629">
        <w:rPr>
          <w:rFonts w:ascii="Times New Roman" w:eastAsia="TimesNewRomanPSMT" w:hAnsi="Times New Roman"/>
          <w:sz w:val="20"/>
          <w:lang w:eastAsia="en-IN"/>
        </w:rPr>
        <w:t xml:space="preserve"> Renewable energy can be stored in EV batteries, eliminating the need for a secondary Storage Facility. </w:t>
      </w:r>
    </w:p>
    <w:p w14:paraId="1FF40F19" w14:textId="77777777" w:rsidR="00B979B2" w:rsidRPr="00BF6629" w:rsidRDefault="00B979B2" w:rsidP="00A63777">
      <w:pPr>
        <w:pStyle w:val="ListParagraph"/>
        <w:numPr>
          <w:ilvl w:val="0"/>
          <w:numId w:val="19"/>
        </w:numPr>
        <w:spacing w:line="240" w:lineRule="auto"/>
        <w:ind w:left="284" w:hanging="284"/>
        <w:jc w:val="both"/>
        <w:rPr>
          <w:rFonts w:ascii="Times New Roman" w:eastAsia="TimesNewRomanPSMT" w:hAnsi="Times New Roman"/>
          <w:sz w:val="20"/>
          <w:lang w:eastAsia="en-IN"/>
        </w:rPr>
      </w:pPr>
      <w:r w:rsidRPr="00BF6629">
        <w:rPr>
          <w:rFonts w:ascii="Times New Roman" w:eastAsia="TimesNewRomanPSMT" w:hAnsi="Times New Roman"/>
          <w:sz w:val="20"/>
          <w:lang w:eastAsia="en-IN"/>
        </w:rPr>
        <w:t xml:space="preserve">Minimize losses in the distribution system </w:t>
      </w:r>
      <w:r w:rsidR="00F60156" w:rsidRPr="00BF6629">
        <w:rPr>
          <w:rFonts w:ascii="Times New Roman" w:eastAsia="TimesNewRomanPSMT" w:hAnsi="Times New Roman"/>
          <w:b/>
          <w:sz w:val="20"/>
          <w:lang w:eastAsia="en-IN"/>
        </w:rPr>
        <w:t>[</w:t>
      </w:r>
      <w:r w:rsidRPr="00BF6629">
        <w:rPr>
          <w:rFonts w:ascii="Times New Roman" w:eastAsia="TimesNewRomanPSMT" w:hAnsi="Times New Roman"/>
          <w:b/>
          <w:sz w:val="20"/>
          <w:lang w:eastAsia="en-IN"/>
        </w:rPr>
        <w:t>20</w:t>
      </w:r>
      <w:r w:rsidR="00F60156" w:rsidRPr="00BF6629">
        <w:rPr>
          <w:rFonts w:ascii="Times New Roman" w:eastAsia="TimesNewRomanPSMT" w:hAnsi="Times New Roman"/>
          <w:b/>
          <w:sz w:val="20"/>
          <w:lang w:eastAsia="en-IN"/>
        </w:rPr>
        <w:t>]</w:t>
      </w:r>
      <w:r w:rsidRPr="00BF6629">
        <w:rPr>
          <w:rFonts w:ascii="Times New Roman" w:eastAsia="TimesNewRomanPSMT" w:hAnsi="Times New Roman"/>
          <w:sz w:val="20"/>
          <w:lang w:eastAsia="en-IN"/>
        </w:rPr>
        <w:t xml:space="preserve"> </w:t>
      </w:r>
    </w:p>
    <w:p w14:paraId="70F4083F" w14:textId="77777777" w:rsidR="00B979B2" w:rsidRPr="00BF6629" w:rsidRDefault="00B979B2" w:rsidP="00B979B2">
      <w:pPr>
        <w:pStyle w:val="ListParagraph"/>
        <w:numPr>
          <w:ilvl w:val="0"/>
          <w:numId w:val="19"/>
        </w:numPr>
        <w:spacing w:line="240" w:lineRule="auto"/>
        <w:ind w:left="284" w:hanging="284"/>
        <w:jc w:val="both"/>
        <w:rPr>
          <w:rFonts w:ascii="Times New Roman" w:eastAsia="TimesNewRomanPSMT" w:hAnsi="Times New Roman"/>
          <w:b/>
          <w:sz w:val="20"/>
          <w:lang w:eastAsia="en-IN"/>
        </w:rPr>
      </w:pPr>
      <w:r w:rsidRPr="00BF6629">
        <w:rPr>
          <w:rFonts w:ascii="Times New Roman" w:eastAsia="TimesNewRomanPSMT" w:hAnsi="Times New Roman"/>
          <w:sz w:val="20"/>
          <w:lang w:eastAsia="en-IN"/>
        </w:rPr>
        <w:t xml:space="preserve">Utilizing demand-side management to lower the grid's peak demand from electric vehicle charging. Because of this, there </w:t>
      </w:r>
      <w:r w:rsidR="00C746FC" w:rsidRPr="00BF6629">
        <w:rPr>
          <w:rFonts w:ascii="Times New Roman" w:eastAsia="TimesNewRomanPSMT" w:hAnsi="Times New Roman"/>
          <w:sz w:val="20"/>
          <w:lang w:eastAsia="en-IN"/>
        </w:rPr>
        <w:t>are</w:t>
      </w:r>
      <w:r w:rsidRPr="00BF6629">
        <w:rPr>
          <w:rFonts w:ascii="Times New Roman" w:eastAsia="TimesNewRomanPSMT" w:hAnsi="Times New Roman"/>
          <w:sz w:val="20"/>
          <w:lang w:eastAsia="en-IN"/>
        </w:rPr>
        <w:t xml:space="preserve"> no longer any Improvements to Distribution Network Structures </w:t>
      </w:r>
      <w:r w:rsidR="00F60156" w:rsidRPr="00BF6629">
        <w:rPr>
          <w:rFonts w:ascii="Times New Roman" w:eastAsia="TimesNewRomanPSMT" w:hAnsi="Times New Roman"/>
          <w:b/>
          <w:sz w:val="20"/>
          <w:lang w:eastAsia="en-IN"/>
        </w:rPr>
        <w:t>[</w:t>
      </w:r>
      <w:r w:rsidRPr="00BF6629">
        <w:rPr>
          <w:rFonts w:ascii="Times New Roman" w:eastAsia="TimesNewRomanPSMT" w:hAnsi="Times New Roman"/>
          <w:b/>
          <w:sz w:val="20"/>
          <w:lang w:eastAsia="en-IN"/>
        </w:rPr>
        <w:t>3</w:t>
      </w:r>
      <w:r w:rsidR="00F60156" w:rsidRPr="00BF6629">
        <w:rPr>
          <w:rFonts w:ascii="Times New Roman" w:eastAsia="TimesNewRomanPSMT" w:hAnsi="Times New Roman"/>
          <w:b/>
          <w:sz w:val="20"/>
          <w:lang w:eastAsia="en-IN"/>
        </w:rPr>
        <w:t>]</w:t>
      </w:r>
      <w:r w:rsidRPr="00BF6629">
        <w:rPr>
          <w:rFonts w:ascii="Times New Roman" w:eastAsia="TimesNewRomanPSMT" w:hAnsi="Times New Roman"/>
          <w:b/>
          <w:sz w:val="20"/>
          <w:lang w:eastAsia="en-IN"/>
        </w:rPr>
        <w:t xml:space="preserve">, </w:t>
      </w:r>
      <w:r w:rsidR="00F60156" w:rsidRPr="00BF6629">
        <w:rPr>
          <w:rFonts w:ascii="Times New Roman" w:eastAsia="TimesNewRomanPSMT" w:hAnsi="Times New Roman"/>
          <w:b/>
          <w:sz w:val="20"/>
          <w:lang w:eastAsia="en-IN"/>
        </w:rPr>
        <w:t>[</w:t>
      </w:r>
      <w:r w:rsidRPr="00BF6629">
        <w:rPr>
          <w:rFonts w:ascii="Times New Roman" w:eastAsia="TimesNewRomanPSMT" w:hAnsi="Times New Roman"/>
          <w:b/>
          <w:sz w:val="20"/>
          <w:lang w:eastAsia="en-IN"/>
        </w:rPr>
        <w:t>21</w:t>
      </w:r>
      <w:r w:rsidR="00F60156" w:rsidRPr="00BF6629">
        <w:rPr>
          <w:rFonts w:ascii="Times New Roman" w:eastAsia="TimesNewRomanPSMT" w:hAnsi="Times New Roman"/>
          <w:b/>
          <w:sz w:val="20"/>
          <w:lang w:eastAsia="en-IN"/>
        </w:rPr>
        <w:t>]</w:t>
      </w:r>
      <w:r w:rsidR="00C746FC" w:rsidRPr="00BF6629">
        <w:rPr>
          <w:rFonts w:ascii="Times New Roman" w:eastAsia="TimesNewRomanPSMT" w:hAnsi="Times New Roman"/>
          <w:b/>
          <w:sz w:val="20"/>
          <w:lang w:eastAsia="en-IN"/>
        </w:rPr>
        <w:t>,</w:t>
      </w:r>
      <w:r w:rsidRPr="00BF6629">
        <w:rPr>
          <w:rFonts w:ascii="Times New Roman" w:eastAsia="TimesNewRomanPSMT" w:hAnsi="Times New Roman"/>
          <w:sz w:val="20"/>
          <w:lang w:eastAsia="en-IN"/>
        </w:rPr>
        <w:t xml:space="preserve"> and </w:t>
      </w:r>
      <w:r w:rsidR="00F60156" w:rsidRPr="00BF6629">
        <w:rPr>
          <w:rFonts w:ascii="Times New Roman" w:eastAsia="TimesNewRomanPSMT" w:hAnsi="Times New Roman"/>
          <w:b/>
          <w:sz w:val="20"/>
          <w:lang w:eastAsia="en-IN"/>
        </w:rPr>
        <w:t>[</w:t>
      </w:r>
      <w:r w:rsidRPr="00BF6629">
        <w:rPr>
          <w:rFonts w:ascii="Times New Roman" w:eastAsia="TimesNewRomanPSMT" w:hAnsi="Times New Roman"/>
          <w:b/>
          <w:sz w:val="20"/>
          <w:lang w:eastAsia="en-IN"/>
        </w:rPr>
        <w:t>22</w:t>
      </w:r>
      <w:r w:rsidR="00F60156" w:rsidRPr="00BF6629">
        <w:rPr>
          <w:rFonts w:ascii="Times New Roman" w:eastAsia="TimesNewRomanPSMT" w:hAnsi="Times New Roman"/>
          <w:b/>
          <w:sz w:val="20"/>
          <w:lang w:eastAsia="en-IN"/>
        </w:rPr>
        <w:t>]</w:t>
      </w:r>
    </w:p>
    <w:p w14:paraId="5CED54BE" w14:textId="77777777" w:rsidR="00B979B2" w:rsidRPr="00BF6629" w:rsidRDefault="00B979B2" w:rsidP="00B979B2">
      <w:pPr>
        <w:pStyle w:val="ListParagraph"/>
        <w:numPr>
          <w:ilvl w:val="0"/>
          <w:numId w:val="19"/>
        </w:numPr>
        <w:spacing w:line="240" w:lineRule="auto"/>
        <w:ind w:left="284" w:hanging="284"/>
        <w:jc w:val="both"/>
        <w:rPr>
          <w:rFonts w:ascii="Times New Roman" w:eastAsia="TimesNewRomanPSMT" w:hAnsi="Times New Roman"/>
          <w:sz w:val="20"/>
          <w:lang w:eastAsia="en-IN"/>
        </w:rPr>
      </w:pPr>
      <w:r w:rsidRPr="00BF6629">
        <w:rPr>
          <w:rFonts w:ascii="Times New Roman" w:eastAsia="TimesNewRomanPSMT" w:hAnsi="Times New Roman"/>
          <w:sz w:val="20"/>
          <w:lang w:eastAsia="en-IN"/>
        </w:rPr>
        <w:t xml:space="preserve">To provide regulatory functions to the grid and additional services such </w:t>
      </w:r>
      <w:r w:rsidR="00C746FC" w:rsidRPr="00BF6629">
        <w:rPr>
          <w:rFonts w:ascii="Times New Roman" w:eastAsia="TimesNewRomanPSMT" w:hAnsi="Times New Roman"/>
          <w:sz w:val="20"/>
          <w:lang w:eastAsia="en-IN"/>
        </w:rPr>
        <w:t xml:space="preserve">as </w:t>
      </w:r>
      <w:r w:rsidRPr="00BF6629">
        <w:rPr>
          <w:rFonts w:ascii="Times New Roman" w:eastAsia="TimesNewRomanPSMT" w:hAnsi="Times New Roman"/>
          <w:sz w:val="20"/>
          <w:lang w:eastAsia="en-IN"/>
        </w:rPr>
        <w:t>load following, use the EV's quick ramp</w:t>
      </w:r>
      <w:r w:rsidR="00C746FC" w:rsidRPr="00BF6629">
        <w:rPr>
          <w:rFonts w:ascii="Times New Roman" w:eastAsia="TimesNewRomanPSMT" w:hAnsi="Times New Roman"/>
          <w:sz w:val="20"/>
          <w:lang w:eastAsia="en-IN"/>
        </w:rPr>
        <w:t>-</w:t>
      </w:r>
      <w:r w:rsidRPr="00BF6629">
        <w:rPr>
          <w:rFonts w:ascii="Times New Roman" w:eastAsia="TimesNewRomanPSMT" w:hAnsi="Times New Roman"/>
          <w:sz w:val="20"/>
          <w:lang w:eastAsia="en-IN"/>
        </w:rPr>
        <w:t xml:space="preserve">up/down capability. </w:t>
      </w:r>
    </w:p>
    <w:p w14:paraId="17D8E09B" w14:textId="77777777" w:rsidR="0071133C" w:rsidRPr="00BF6629" w:rsidRDefault="00B979B2" w:rsidP="0071133C">
      <w:pPr>
        <w:pStyle w:val="ListParagraph"/>
        <w:numPr>
          <w:ilvl w:val="0"/>
          <w:numId w:val="19"/>
        </w:numPr>
        <w:spacing w:line="240" w:lineRule="auto"/>
        <w:ind w:left="284" w:hanging="284"/>
        <w:jc w:val="both"/>
        <w:rPr>
          <w:rFonts w:ascii="Times New Roman" w:eastAsia="TimesNewRomanPSMT" w:hAnsi="Times New Roman"/>
          <w:sz w:val="20"/>
          <w:lang w:eastAsia="en-IN"/>
        </w:rPr>
      </w:pPr>
      <w:r w:rsidRPr="00BF6629">
        <w:rPr>
          <w:rFonts w:ascii="Times New Roman" w:eastAsia="TimesNewRomanPSMT" w:hAnsi="Times New Roman"/>
          <w:sz w:val="20"/>
          <w:lang w:eastAsia="en-IN"/>
        </w:rPr>
        <w:t xml:space="preserve"> Requiring the sharing of EV bowls across numerous electric vehicles. The price of an EV charging infrastructure will drop dramatically as a result </w:t>
      </w:r>
      <w:r w:rsidR="00F60156" w:rsidRPr="00BF6629">
        <w:rPr>
          <w:rFonts w:ascii="Times New Roman" w:eastAsia="TimesNewRomanPSMT" w:hAnsi="Times New Roman"/>
          <w:b/>
          <w:sz w:val="20"/>
          <w:lang w:eastAsia="en-IN"/>
        </w:rPr>
        <w:t>[</w:t>
      </w:r>
      <w:r w:rsidRPr="00BF6629">
        <w:rPr>
          <w:rFonts w:ascii="Times New Roman" w:eastAsia="TimesNewRomanPSMT" w:hAnsi="Times New Roman"/>
          <w:b/>
          <w:sz w:val="20"/>
          <w:lang w:eastAsia="en-IN"/>
        </w:rPr>
        <w:t>17</w:t>
      </w:r>
      <w:r w:rsidR="00F60156" w:rsidRPr="00BF6629">
        <w:rPr>
          <w:rFonts w:ascii="Times New Roman" w:eastAsia="TimesNewRomanPSMT" w:hAnsi="Times New Roman"/>
          <w:b/>
          <w:sz w:val="20"/>
          <w:lang w:eastAsia="en-IN"/>
        </w:rPr>
        <w:t>]</w:t>
      </w:r>
      <w:r w:rsidRPr="00BF6629">
        <w:rPr>
          <w:rFonts w:ascii="Times New Roman" w:eastAsia="TimesNewRomanPSMT" w:hAnsi="Times New Roman"/>
          <w:b/>
          <w:sz w:val="20"/>
          <w:lang w:eastAsia="en-IN"/>
        </w:rPr>
        <w:t xml:space="preserve">. </w:t>
      </w:r>
      <w:r w:rsidR="00F60156" w:rsidRPr="00BF6629">
        <w:rPr>
          <w:rFonts w:ascii="Times New Roman" w:eastAsia="TimesNewRomanPSMT" w:hAnsi="Times New Roman"/>
          <w:b/>
          <w:sz w:val="20"/>
          <w:lang w:eastAsia="en-IN"/>
        </w:rPr>
        <w:t>[</w:t>
      </w:r>
      <w:r w:rsidRPr="00BF6629">
        <w:rPr>
          <w:rFonts w:ascii="Times New Roman" w:eastAsia="TimesNewRomanPSMT" w:hAnsi="Times New Roman"/>
          <w:b/>
          <w:sz w:val="20"/>
          <w:lang w:eastAsia="en-IN"/>
        </w:rPr>
        <w:t>25</w:t>
      </w:r>
      <w:r w:rsidR="00F60156" w:rsidRPr="00BF6629">
        <w:rPr>
          <w:rFonts w:ascii="Times New Roman" w:eastAsia="TimesNewRomanPSMT" w:hAnsi="Times New Roman"/>
          <w:b/>
          <w:sz w:val="20"/>
          <w:lang w:eastAsia="en-IN"/>
        </w:rPr>
        <w:t>]</w:t>
      </w:r>
      <w:r w:rsidRPr="00BF6629">
        <w:rPr>
          <w:rFonts w:ascii="Times New Roman" w:eastAsia="TimesNewRomanPSMT" w:hAnsi="Times New Roman"/>
          <w:sz w:val="20"/>
          <w:lang w:eastAsia="en-IN"/>
        </w:rPr>
        <w:t xml:space="preserve"> </w:t>
      </w:r>
    </w:p>
    <w:p w14:paraId="762D5D24" w14:textId="77777777" w:rsidR="0071133C" w:rsidRPr="00BF6629" w:rsidRDefault="0071133C" w:rsidP="0071133C">
      <w:pPr>
        <w:pStyle w:val="ListParagraph"/>
        <w:spacing w:line="240" w:lineRule="auto"/>
        <w:ind w:left="284"/>
        <w:jc w:val="both"/>
        <w:rPr>
          <w:rFonts w:ascii="Times New Roman" w:eastAsia="TimesNewRomanPSMT" w:hAnsi="Times New Roman"/>
          <w:sz w:val="20"/>
          <w:lang w:eastAsia="en-IN"/>
        </w:rPr>
      </w:pPr>
    </w:p>
    <w:p w14:paraId="455B2F2E" w14:textId="77777777" w:rsidR="004E2C97" w:rsidRPr="00BF6629" w:rsidRDefault="00A449A0" w:rsidP="000A0969">
      <w:pPr>
        <w:pStyle w:val="ListParagraph"/>
        <w:spacing w:line="240" w:lineRule="auto"/>
        <w:ind w:left="0"/>
        <w:rPr>
          <w:rFonts w:ascii="Times New Roman" w:eastAsia="TimesNewRomanPSMT" w:hAnsi="Times New Roman"/>
          <w:sz w:val="20"/>
          <w:lang w:eastAsia="en-IN"/>
        </w:rPr>
      </w:pPr>
      <w:r w:rsidRPr="00BF6629">
        <w:rPr>
          <w:rFonts w:ascii="Times New Roman" w:eastAsia="TimesNewRomanPSMT" w:hAnsi="Times New Roman"/>
          <w:noProof/>
          <w:sz w:val="20"/>
          <w:lang w:bidi="ar-SA"/>
        </w:rPr>
        <w:drawing>
          <wp:inline distT="0" distB="0" distL="0" distR="0" wp14:anchorId="22EDEE42" wp14:editId="55A6FBF9">
            <wp:extent cx="2895600" cy="1897243"/>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2174" r="5073" b="8387"/>
                    <a:stretch/>
                  </pic:blipFill>
                  <pic:spPr bwMode="auto">
                    <a:xfrm>
                      <a:off x="0" y="0"/>
                      <a:ext cx="2909611" cy="1906423"/>
                    </a:xfrm>
                    <a:prstGeom prst="rect">
                      <a:avLst/>
                    </a:prstGeom>
                    <a:ln>
                      <a:noFill/>
                    </a:ln>
                    <a:extLst>
                      <a:ext uri="{53640926-AAD7-44D8-BBD7-CCE9431645EC}">
                        <a14:shadowObscured xmlns:a14="http://schemas.microsoft.com/office/drawing/2010/main"/>
                      </a:ext>
                    </a:extLst>
                  </pic:spPr>
                </pic:pic>
              </a:graphicData>
            </a:graphic>
          </wp:inline>
        </w:drawing>
      </w:r>
    </w:p>
    <w:p w14:paraId="562DD05A" w14:textId="77777777" w:rsidR="00E64A9D" w:rsidRPr="00BF6629" w:rsidRDefault="00E64A9D" w:rsidP="00E64A9D">
      <w:pPr>
        <w:pStyle w:val="ListParagraph"/>
        <w:spacing w:line="240" w:lineRule="auto"/>
        <w:ind w:left="284"/>
        <w:jc w:val="center"/>
        <w:rPr>
          <w:rFonts w:ascii="Times New Roman" w:eastAsia="TimesNewRomanPSMT" w:hAnsi="Times New Roman"/>
          <w:sz w:val="20"/>
          <w:lang w:eastAsia="en-IN"/>
        </w:rPr>
      </w:pPr>
    </w:p>
    <w:p w14:paraId="369EE1F7" w14:textId="77777777" w:rsidR="0071133C" w:rsidRPr="00BF6629" w:rsidRDefault="0071133C" w:rsidP="000A0969">
      <w:pPr>
        <w:pStyle w:val="ListParagraph"/>
        <w:spacing w:after="0" w:line="240" w:lineRule="auto"/>
        <w:ind w:left="284"/>
        <w:jc w:val="center"/>
        <w:rPr>
          <w:rFonts w:ascii="Times New Roman" w:eastAsia="TimesNewRomanPSMT" w:hAnsi="Times New Roman"/>
          <w:sz w:val="20"/>
          <w:lang w:eastAsia="en-IN"/>
        </w:rPr>
      </w:pPr>
      <w:r w:rsidRPr="00BF6629">
        <w:rPr>
          <w:rFonts w:ascii="Times New Roman" w:eastAsia="TimesNewRomanPSMT" w:hAnsi="Times New Roman"/>
          <w:sz w:val="20"/>
          <w:lang w:eastAsia="en-IN"/>
        </w:rPr>
        <w:t xml:space="preserve">Fig. 1. Dynamic charging using AC, </w:t>
      </w:r>
      <w:proofErr w:type="spellStart"/>
      <w:r w:rsidRPr="00BF6629">
        <w:rPr>
          <w:rFonts w:ascii="Times New Roman" w:eastAsia="TimesNewRomanPSMT" w:hAnsi="Times New Roman"/>
          <w:sz w:val="20"/>
          <w:lang w:eastAsia="en-IN"/>
        </w:rPr>
        <w:t>Chademo</w:t>
      </w:r>
      <w:proofErr w:type="spellEnd"/>
      <w:r w:rsidRPr="00BF6629">
        <w:rPr>
          <w:rFonts w:ascii="Times New Roman" w:eastAsia="TimesNewRomanPSMT" w:hAnsi="Times New Roman"/>
          <w:sz w:val="20"/>
          <w:lang w:eastAsia="en-IN"/>
        </w:rPr>
        <w:t xml:space="preserve"> v1.2and CCS/COMBO</w:t>
      </w:r>
    </w:p>
    <w:p w14:paraId="084F8F55" w14:textId="77777777" w:rsidR="00E64A9D" w:rsidRPr="00BF6629" w:rsidRDefault="00E64A9D" w:rsidP="0071133C">
      <w:pPr>
        <w:pStyle w:val="ListParagraph"/>
        <w:spacing w:after="0" w:line="240" w:lineRule="auto"/>
        <w:ind w:left="284"/>
        <w:jc w:val="center"/>
        <w:rPr>
          <w:rFonts w:ascii="Times New Roman" w:eastAsia="TimesNewRomanPSMT" w:hAnsi="Times New Roman"/>
          <w:sz w:val="20"/>
          <w:lang w:eastAsia="en-IN"/>
        </w:rPr>
      </w:pPr>
    </w:p>
    <w:p w14:paraId="6F3A781B" w14:textId="77777777" w:rsidR="00773205" w:rsidRPr="00BF6629" w:rsidRDefault="00B979B2" w:rsidP="00BD16D4">
      <w:pPr>
        <w:jc w:val="both"/>
        <w:rPr>
          <w:rFonts w:eastAsia="TimesNewRomanPSMT"/>
          <w:sz w:val="20"/>
          <w:szCs w:val="20"/>
          <w:lang w:eastAsia="en-IN"/>
        </w:rPr>
      </w:pPr>
      <w:r w:rsidRPr="00BF6629">
        <w:rPr>
          <w:rFonts w:eastAsia="TimesNewRomanPSMT"/>
          <w:sz w:val="20"/>
          <w:szCs w:val="20"/>
          <w:lang w:eastAsia="en-IN"/>
        </w:rPr>
        <w:t>The conventional method of smart charging involves optimi</w:t>
      </w:r>
      <w:r w:rsidR="00C746FC" w:rsidRPr="00BF6629">
        <w:rPr>
          <w:rFonts w:eastAsia="TimesNewRomanPSMT"/>
          <w:sz w:val="20"/>
          <w:szCs w:val="20"/>
          <w:lang w:eastAsia="en-IN"/>
        </w:rPr>
        <w:t>z</w:t>
      </w:r>
      <w:r w:rsidRPr="00BF6629">
        <w:rPr>
          <w:rFonts w:eastAsia="TimesNewRomanPSMT"/>
          <w:sz w:val="20"/>
          <w:szCs w:val="20"/>
          <w:lang w:eastAsia="en-IN"/>
        </w:rPr>
        <w:t xml:space="preserve">ing one or more of these processes for financial gain (either directly or indirectly). Despite its reduced complexity, this method does not take full advantage of the intelligence at its disposal. When you add a price tag on the benefits, they lose their economic appeal. The future of smart charging lies </w:t>
      </w:r>
      <w:r w:rsidR="00C746FC" w:rsidRPr="00BF6629">
        <w:rPr>
          <w:rFonts w:eastAsia="TimesNewRomanPSMT"/>
          <w:sz w:val="20"/>
          <w:szCs w:val="20"/>
          <w:lang w:eastAsia="en-IN"/>
        </w:rPr>
        <w:t>i</w:t>
      </w:r>
      <w:r w:rsidRPr="00BF6629">
        <w:rPr>
          <w:rFonts w:eastAsia="TimesNewRomanPSMT"/>
          <w:sz w:val="20"/>
          <w:szCs w:val="20"/>
          <w:lang w:eastAsia="en-IN"/>
        </w:rPr>
        <w:t xml:space="preserve">n combining many charging operations into a single package. Seductive for large-scale assault </w:t>
      </w:r>
      <w:r w:rsidR="00F60156" w:rsidRPr="00BF6629">
        <w:rPr>
          <w:rFonts w:eastAsia="TimesNewRomanPSMT"/>
          <w:b/>
          <w:sz w:val="20"/>
          <w:szCs w:val="20"/>
          <w:lang w:eastAsia="en-IN"/>
        </w:rPr>
        <w:t>[</w:t>
      </w:r>
      <w:r w:rsidRPr="00BF6629">
        <w:rPr>
          <w:rFonts w:eastAsia="TimesNewRomanPSMT"/>
          <w:b/>
          <w:sz w:val="20"/>
          <w:szCs w:val="20"/>
          <w:lang w:eastAsia="en-IN"/>
        </w:rPr>
        <w:t>17</w:t>
      </w:r>
      <w:r w:rsidR="00F60156" w:rsidRPr="00BF6629">
        <w:rPr>
          <w:rFonts w:eastAsia="TimesNewRomanPSMT"/>
          <w:b/>
          <w:sz w:val="20"/>
          <w:szCs w:val="20"/>
          <w:lang w:eastAsia="en-IN"/>
        </w:rPr>
        <w:t>]</w:t>
      </w:r>
      <w:r w:rsidRPr="00BF6629">
        <w:rPr>
          <w:rFonts w:eastAsia="TimesNewRomanPSMT"/>
          <w:b/>
          <w:sz w:val="20"/>
          <w:szCs w:val="20"/>
          <w:lang w:eastAsia="en-IN"/>
        </w:rPr>
        <w:t>,</w:t>
      </w:r>
      <w:r w:rsidRPr="00BF6629">
        <w:rPr>
          <w:rFonts w:eastAsia="TimesNewRomanPSMT"/>
          <w:sz w:val="20"/>
          <w:szCs w:val="20"/>
          <w:lang w:eastAsia="en-IN"/>
        </w:rPr>
        <w:t xml:space="preserve"> as the advantages will build and the overall gain will be reali</w:t>
      </w:r>
      <w:r w:rsidR="00C746FC" w:rsidRPr="00BF6629">
        <w:rPr>
          <w:rFonts w:eastAsia="TimesNewRomanPSMT"/>
          <w:sz w:val="20"/>
          <w:szCs w:val="20"/>
          <w:lang w:eastAsia="en-IN"/>
        </w:rPr>
        <w:t>z</w:t>
      </w:r>
      <w:r w:rsidRPr="00BF6629">
        <w:rPr>
          <w:rFonts w:eastAsia="TimesNewRomanPSMT"/>
          <w:sz w:val="20"/>
          <w:szCs w:val="20"/>
          <w:lang w:eastAsia="en-IN"/>
        </w:rPr>
        <w:t>ed financially.</w:t>
      </w:r>
    </w:p>
    <w:p w14:paraId="311EA7E9" w14:textId="77777777" w:rsidR="00B979B2" w:rsidRPr="00BF6629" w:rsidRDefault="00B979B2" w:rsidP="00BD16D4">
      <w:pPr>
        <w:jc w:val="both"/>
        <w:rPr>
          <w:rFonts w:eastAsia="TimesNewRomanPSMT"/>
          <w:sz w:val="20"/>
          <w:szCs w:val="20"/>
          <w:lang w:eastAsia="en-IN"/>
        </w:rPr>
      </w:pPr>
    </w:p>
    <w:p w14:paraId="001C521E" w14:textId="77777777" w:rsidR="00773205" w:rsidRPr="00BF6629" w:rsidRDefault="00773205" w:rsidP="00C746FC">
      <w:pPr>
        <w:pStyle w:val="ListParagraph"/>
        <w:numPr>
          <w:ilvl w:val="1"/>
          <w:numId w:val="15"/>
        </w:numPr>
        <w:spacing w:after="0" w:line="240" w:lineRule="auto"/>
        <w:rPr>
          <w:rFonts w:ascii="Times New Roman" w:hAnsi="Times New Roman"/>
          <w:b/>
          <w:bCs/>
          <w:sz w:val="20"/>
        </w:rPr>
      </w:pPr>
      <w:r w:rsidRPr="00BF6629">
        <w:rPr>
          <w:rFonts w:ascii="Times New Roman" w:hAnsi="Times New Roman"/>
          <w:b/>
          <w:bCs/>
          <w:sz w:val="20"/>
        </w:rPr>
        <w:t>AC Smart Charging</w:t>
      </w:r>
    </w:p>
    <w:p w14:paraId="5986EC6A" w14:textId="77777777" w:rsidR="00B979B2" w:rsidRPr="00BF6629" w:rsidRDefault="00B979B2" w:rsidP="00C746FC">
      <w:pPr>
        <w:pStyle w:val="BodyText"/>
        <w:spacing w:after="0"/>
        <w:ind w:firstLine="0"/>
        <w:jc w:val="both"/>
        <w:rPr>
          <w:rFonts w:ascii="Times New Roman" w:eastAsiaTheme="minorHAnsi" w:hAnsi="Times New Roman" w:cs="Times New Roman"/>
        </w:rPr>
      </w:pPr>
      <w:r w:rsidRPr="00BF6629">
        <w:rPr>
          <w:rFonts w:ascii="Times New Roman" w:eastAsiaTheme="minorHAnsi" w:hAnsi="Times New Roman" w:cs="Times New Roman"/>
        </w:rPr>
        <w:t>The electric vehicle &amp; bowl in an AC EV bow</w:t>
      </w:r>
      <w:r w:rsidR="00C746FC" w:rsidRPr="00BF6629">
        <w:rPr>
          <w:rFonts w:ascii="Times New Roman" w:eastAsiaTheme="minorHAnsi" w:hAnsi="Times New Roman" w:cs="Times New Roman"/>
        </w:rPr>
        <w:t>e</w:t>
      </w:r>
      <w:r w:rsidRPr="00BF6629">
        <w:rPr>
          <w:rFonts w:ascii="Times New Roman" w:eastAsiaTheme="minorHAnsi" w:hAnsi="Times New Roman" w:cs="Times New Roman"/>
        </w:rPr>
        <w:t xml:space="preserve">l function as separate entities, "master" and "slave," respectively. The highest possible charging power for an electric vehicle (EV) can be continually adjusted using a </w:t>
      </w:r>
      <w:r w:rsidR="0071133C" w:rsidRPr="00BF6629">
        <w:rPr>
          <w:rFonts w:ascii="Times New Roman" w:eastAsiaTheme="minorHAnsi" w:hAnsi="Times New Roman" w:cs="Times New Roman"/>
        </w:rPr>
        <w:t xml:space="preserve">PWM </w:t>
      </w:r>
      <w:r w:rsidRPr="00BF6629">
        <w:rPr>
          <w:rFonts w:ascii="Times New Roman" w:eastAsiaTheme="minorHAnsi" w:hAnsi="Times New Roman" w:cs="Times New Roman"/>
        </w:rPr>
        <w:t>pulse on the control pilot (CP). The EV (grip) produces the using the PWM limit as a limitation. Fig. 1 shows the actual charging current. The EV bowl's (Master's) job is to provide the needed current. As a result, CP Control allows for the enforcement of variable po</w:t>
      </w:r>
      <w:r w:rsidR="00C746FC" w:rsidRPr="00BF6629">
        <w:rPr>
          <w:rFonts w:ascii="Times New Roman" w:eastAsiaTheme="minorHAnsi" w:hAnsi="Times New Roman" w:cs="Times New Roman"/>
        </w:rPr>
        <w:t xml:space="preserve">wer, dynamic, </w:t>
      </w:r>
      <w:r w:rsidR="0071133C" w:rsidRPr="00BF6629">
        <w:rPr>
          <w:rFonts w:ascii="Times New Roman" w:eastAsiaTheme="minorHAnsi" w:hAnsi="Times New Roman" w:cs="Times New Roman"/>
        </w:rPr>
        <w:t xml:space="preserve">and </w:t>
      </w:r>
      <w:r w:rsidR="00C746FC" w:rsidRPr="00BF6629">
        <w:rPr>
          <w:rFonts w:ascii="Times New Roman" w:eastAsiaTheme="minorHAnsi" w:hAnsi="Times New Roman" w:cs="Times New Roman"/>
        </w:rPr>
        <w:t xml:space="preserve">smart charging. </w:t>
      </w:r>
    </w:p>
    <w:p w14:paraId="28287C19" w14:textId="77777777" w:rsidR="00B979B2" w:rsidRPr="00BF6629" w:rsidRDefault="00B979B2" w:rsidP="00C746FC">
      <w:pPr>
        <w:pStyle w:val="BodyText"/>
        <w:ind w:firstLine="0"/>
        <w:jc w:val="both"/>
        <w:rPr>
          <w:rFonts w:ascii="Times New Roman" w:eastAsiaTheme="minorHAnsi" w:hAnsi="Times New Roman" w:cs="Times New Roman"/>
        </w:rPr>
      </w:pPr>
      <w:r w:rsidRPr="00BF6629">
        <w:rPr>
          <w:rFonts w:ascii="Times New Roman" w:eastAsiaTheme="minorHAnsi" w:hAnsi="Times New Roman" w:cs="Times New Roman"/>
        </w:rPr>
        <w:t xml:space="preserve">As an example of a straightforward crime, consider the act of measuring the. The EV charging can coincide with the PV generation </w:t>
      </w:r>
      <w:r w:rsidR="00F60156" w:rsidRPr="00BF6629">
        <w:rPr>
          <w:rFonts w:ascii="Times New Roman" w:eastAsiaTheme="minorHAnsi" w:hAnsi="Times New Roman" w:cs="Times New Roman"/>
          <w:b/>
        </w:rPr>
        <w:t>[</w:t>
      </w:r>
      <w:r w:rsidRPr="00BF6629">
        <w:rPr>
          <w:rFonts w:ascii="Times New Roman" w:eastAsiaTheme="minorHAnsi" w:hAnsi="Times New Roman" w:cs="Times New Roman"/>
          <w:b/>
        </w:rPr>
        <w:t>19</w:t>
      </w:r>
      <w:r w:rsidR="00F60156" w:rsidRPr="00BF6629">
        <w:rPr>
          <w:rFonts w:ascii="Times New Roman" w:eastAsiaTheme="minorHAnsi" w:hAnsi="Times New Roman" w:cs="Times New Roman"/>
          <w:b/>
        </w:rPr>
        <w:t>]</w:t>
      </w:r>
      <w:r w:rsidRPr="00BF6629">
        <w:rPr>
          <w:rFonts w:ascii="Times New Roman" w:eastAsiaTheme="minorHAnsi" w:hAnsi="Times New Roman" w:cs="Times New Roman"/>
        </w:rPr>
        <w:t xml:space="preserve"> if the CP is also acclimated to the PV system. CP EV charging has the potential to facilitate demand-side management. Acclimated Based on the hauling capacity of the distribution system. The peak demand and related demand fees may be lowered as a result.</w:t>
      </w:r>
    </w:p>
    <w:p w14:paraId="342D87ED" w14:textId="77777777" w:rsidR="00E40CB9" w:rsidRPr="00BF6629" w:rsidRDefault="005B431D" w:rsidP="00C746FC">
      <w:pPr>
        <w:pStyle w:val="ListParagraph"/>
        <w:numPr>
          <w:ilvl w:val="1"/>
          <w:numId w:val="15"/>
        </w:numPr>
        <w:spacing w:after="0" w:line="240" w:lineRule="auto"/>
        <w:rPr>
          <w:rFonts w:ascii="Times New Roman" w:hAnsi="Times New Roman"/>
          <w:b/>
          <w:bCs/>
          <w:sz w:val="20"/>
        </w:rPr>
      </w:pPr>
      <w:r w:rsidRPr="00BF6629">
        <w:rPr>
          <w:rFonts w:ascii="Times New Roman" w:hAnsi="Times New Roman"/>
          <w:b/>
          <w:bCs/>
          <w:sz w:val="20"/>
        </w:rPr>
        <w:t xml:space="preserve"> </w:t>
      </w:r>
      <w:r w:rsidR="00E40CB9" w:rsidRPr="00BF6629">
        <w:rPr>
          <w:rFonts w:ascii="Times New Roman" w:hAnsi="Times New Roman"/>
          <w:b/>
          <w:bCs/>
          <w:sz w:val="20"/>
        </w:rPr>
        <w:t xml:space="preserve">DC smart charging </w:t>
      </w:r>
    </w:p>
    <w:p w14:paraId="51C45574" w14:textId="77777777" w:rsidR="0071133C" w:rsidRPr="00BF6629" w:rsidRDefault="00E40CB9" w:rsidP="00BD16D4">
      <w:pPr>
        <w:jc w:val="both"/>
        <w:rPr>
          <w:rFonts w:eastAsiaTheme="minorHAnsi"/>
          <w:sz w:val="20"/>
          <w:szCs w:val="20"/>
        </w:rPr>
      </w:pPr>
      <w:proofErr w:type="spellStart"/>
      <w:r w:rsidRPr="00BF6629">
        <w:rPr>
          <w:rFonts w:eastAsiaTheme="minorHAnsi"/>
          <w:sz w:val="20"/>
          <w:szCs w:val="20"/>
        </w:rPr>
        <w:t>Chademo</w:t>
      </w:r>
      <w:proofErr w:type="spellEnd"/>
      <w:r w:rsidRPr="00BF6629">
        <w:rPr>
          <w:rFonts w:eastAsiaTheme="minorHAnsi"/>
          <w:sz w:val="20"/>
          <w:szCs w:val="20"/>
        </w:rPr>
        <w:t xml:space="preserve"> and </w:t>
      </w:r>
      <w:r w:rsidR="00ED201D" w:rsidRPr="00BF6629">
        <w:rPr>
          <w:rFonts w:eastAsiaTheme="minorHAnsi"/>
          <w:sz w:val="20"/>
          <w:szCs w:val="20"/>
        </w:rPr>
        <w:t>CCS</w:t>
      </w:r>
      <w:r w:rsidRPr="00BF6629">
        <w:rPr>
          <w:rFonts w:eastAsiaTheme="minorHAnsi"/>
          <w:sz w:val="20"/>
          <w:szCs w:val="20"/>
        </w:rPr>
        <w:t>/</w:t>
      </w:r>
      <w:r w:rsidR="00ED201D" w:rsidRPr="00BF6629">
        <w:rPr>
          <w:rFonts w:eastAsiaTheme="minorHAnsi"/>
          <w:sz w:val="20"/>
          <w:szCs w:val="20"/>
        </w:rPr>
        <w:t>C</w:t>
      </w:r>
      <w:r w:rsidRPr="00BF6629">
        <w:rPr>
          <w:rFonts w:eastAsiaTheme="minorHAnsi"/>
          <w:sz w:val="20"/>
          <w:szCs w:val="20"/>
        </w:rPr>
        <w:t>ombo dc charging requirements in their</w:t>
      </w:r>
      <w:r w:rsidR="0071133C" w:rsidRPr="00BF6629">
        <w:rPr>
          <w:rFonts w:eastAsiaTheme="minorHAnsi"/>
          <w:sz w:val="20"/>
          <w:szCs w:val="20"/>
        </w:rPr>
        <w:t xml:space="preserve"> Wireless charging and V2G connectivity are now possible with newer versions. The green dotted strains in </w:t>
      </w:r>
      <w:r w:rsidR="00ED201D" w:rsidRPr="00BF6629">
        <w:rPr>
          <w:rFonts w:eastAsiaTheme="minorHAnsi"/>
          <w:sz w:val="20"/>
          <w:szCs w:val="20"/>
        </w:rPr>
        <w:t xml:space="preserve">as shown in Fig. 1, in </w:t>
      </w:r>
      <w:proofErr w:type="spellStart"/>
      <w:r w:rsidR="00ED201D" w:rsidRPr="00BF6629">
        <w:rPr>
          <w:rFonts w:eastAsiaTheme="minorHAnsi"/>
          <w:sz w:val="20"/>
          <w:szCs w:val="20"/>
        </w:rPr>
        <w:t>Chademo</w:t>
      </w:r>
      <w:proofErr w:type="spellEnd"/>
      <w:r w:rsidR="00ED201D" w:rsidRPr="00BF6629">
        <w:rPr>
          <w:rFonts w:eastAsiaTheme="minorHAnsi"/>
          <w:sz w:val="20"/>
          <w:szCs w:val="20"/>
        </w:rPr>
        <w:t xml:space="preserve"> v1.2, the EV checks the BMS every 200ms to determine the new Highest current threshold for the processes of charging and discharging V2G.</w:t>
      </w:r>
    </w:p>
    <w:p w14:paraId="740F327B" w14:textId="77777777" w:rsidR="0071133C" w:rsidRPr="00BF6629" w:rsidRDefault="0071133C" w:rsidP="00BD16D4">
      <w:pPr>
        <w:jc w:val="both"/>
        <w:rPr>
          <w:rFonts w:eastAsiaTheme="minorHAnsi"/>
          <w:sz w:val="20"/>
          <w:szCs w:val="20"/>
        </w:rPr>
      </w:pPr>
    </w:p>
    <w:p w14:paraId="061095BE" w14:textId="3B95A32B" w:rsidR="00FF4F6F" w:rsidRPr="00BF6629" w:rsidRDefault="000A0969" w:rsidP="000A0969">
      <w:pPr>
        <w:spacing w:after="240"/>
        <w:rPr>
          <w:rFonts w:eastAsiaTheme="minorHAnsi"/>
          <w:b/>
          <w:i/>
          <w:sz w:val="20"/>
          <w:szCs w:val="20"/>
        </w:rPr>
      </w:pPr>
      <w:r w:rsidRPr="00BF6629">
        <w:object w:dxaOrig="11234" w:dyaOrig="8342" w14:anchorId="761777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4pt;height:147.6pt" o:ole="">
            <v:imagedata r:id="rId11" o:title=""/>
          </v:shape>
          <o:OLEObject Type="Embed" ProgID="Visio.Drawing.11" ShapeID="_x0000_i1025" DrawAspect="Content" ObjectID="_1754769677" r:id="rId12"/>
        </w:object>
      </w:r>
    </w:p>
    <w:p w14:paraId="454D53A5" w14:textId="77777777" w:rsidR="00593E8A" w:rsidRPr="00BF6629" w:rsidRDefault="00593E8A" w:rsidP="000A0969">
      <w:pPr>
        <w:spacing w:after="240"/>
        <w:jc w:val="center"/>
        <w:rPr>
          <w:rFonts w:eastAsiaTheme="minorHAnsi"/>
          <w:sz w:val="20"/>
          <w:szCs w:val="20"/>
        </w:rPr>
      </w:pPr>
      <w:r w:rsidRPr="00BF6629">
        <w:rPr>
          <w:rFonts w:eastAsiaTheme="minorHAnsi"/>
          <w:sz w:val="20"/>
          <w:szCs w:val="20"/>
        </w:rPr>
        <w:t xml:space="preserve">Fig.2. </w:t>
      </w:r>
      <w:r w:rsidR="00B979B2" w:rsidRPr="00BF6629">
        <w:rPr>
          <w:rFonts w:eastAsiaTheme="minorHAnsi"/>
          <w:sz w:val="20"/>
          <w:szCs w:val="20"/>
        </w:rPr>
        <w:t xml:space="preserve">The setup used for </w:t>
      </w:r>
      <w:r w:rsidR="0071133C" w:rsidRPr="00BF6629">
        <w:rPr>
          <w:rFonts w:eastAsiaTheme="minorHAnsi"/>
          <w:sz w:val="20"/>
          <w:szCs w:val="20"/>
        </w:rPr>
        <w:t>V2G</w:t>
      </w:r>
      <w:r w:rsidR="00B979B2" w:rsidRPr="00BF6629">
        <w:rPr>
          <w:rFonts w:eastAsiaTheme="minorHAnsi"/>
          <w:sz w:val="20"/>
          <w:szCs w:val="20"/>
        </w:rPr>
        <w:t xml:space="preserve"> and dynamically charging with </w:t>
      </w:r>
      <w:proofErr w:type="spellStart"/>
      <w:r w:rsidR="00B979B2" w:rsidRPr="00BF6629">
        <w:rPr>
          <w:rFonts w:eastAsiaTheme="minorHAnsi"/>
          <w:sz w:val="20"/>
          <w:szCs w:val="20"/>
        </w:rPr>
        <w:t>chademo</w:t>
      </w:r>
      <w:proofErr w:type="spellEnd"/>
      <w:r w:rsidR="00B979B2" w:rsidRPr="00BF6629">
        <w:rPr>
          <w:rFonts w:eastAsiaTheme="minorHAnsi"/>
          <w:sz w:val="20"/>
          <w:szCs w:val="20"/>
        </w:rPr>
        <w:t xml:space="preserve"> v1.2 (a) and EV current </w:t>
      </w:r>
      <w:r w:rsidR="0071133C" w:rsidRPr="00BF6629">
        <w:rPr>
          <w:rFonts w:eastAsiaTheme="minorHAnsi"/>
          <w:sz w:val="20"/>
          <w:szCs w:val="20"/>
        </w:rPr>
        <w:t>&amp; its</w:t>
      </w:r>
      <w:r w:rsidR="00B979B2" w:rsidRPr="00BF6629">
        <w:rPr>
          <w:rFonts w:eastAsiaTheme="minorHAnsi"/>
          <w:sz w:val="20"/>
          <w:szCs w:val="20"/>
        </w:rPr>
        <w:t xml:space="preserve"> voltage waves (b) are shown in Fig</w:t>
      </w:r>
      <w:r w:rsidR="0071133C" w:rsidRPr="00BF6629">
        <w:rPr>
          <w:rFonts w:eastAsiaTheme="minorHAnsi"/>
          <w:sz w:val="20"/>
          <w:szCs w:val="20"/>
        </w:rPr>
        <w:t>.</w:t>
      </w:r>
      <w:r w:rsidR="00B979B2" w:rsidRPr="00BF6629">
        <w:rPr>
          <w:rFonts w:eastAsiaTheme="minorHAnsi"/>
          <w:sz w:val="20"/>
          <w:szCs w:val="20"/>
        </w:rPr>
        <w:t xml:space="preserve"> 2. </w:t>
      </w:r>
      <w:proofErr w:type="spellStart"/>
      <w:r w:rsidR="00B979B2" w:rsidRPr="00BF6629">
        <w:rPr>
          <w:rFonts w:eastAsiaTheme="minorHAnsi"/>
          <w:sz w:val="20"/>
          <w:szCs w:val="20"/>
        </w:rPr>
        <w:t>Chademo's</w:t>
      </w:r>
      <w:proofErr w:type="spellEnd"/>
      <w:r w:rsidR="00B979B2" w:rsidRPr="00BF6629">
        <w:rPr>
          <w:rFonts w:eastAsiaTheme="minorHAnsi"/>
          <w:sz w:val="20"/>
          <w:szCs w:val="20"/>
        </w:rPr>
        <w:t xml:space="preserve"> charger &amp; EV are linked via </w:t>
      </w:r>
      <w:r w:rsidR="00C746FC" w:rsidRPr="00BF6629">
        <w:rPr>
          <w:rFonts w:eastAsiaTheme="minorHAnsi"/>
          <w:sz w:val="20"/>
          <w:szCs w:val="20"/>
        </w:rPr>
        <w:t xml:space="preserve">a </w:t>
      </w:r>
      <w:r w:rsidR="00B979B2" w:rsidRPr="00BF6629">
        <w:rPr>
          <w:rFonts w:eastAsiaTheme="minorHAnsi"/>
          <w:sz w:val="20"/>
          <w:szCs w:val="20"/>
        </w:rPr>
        <w:t>CAN bus connection.</w:t>
      </w:r>
    </w:p>
    <w:p w14:paraId="428EAE91" w14:textId="77777777" w:rsidR="00DE2AB0" w:rsidRPr="00BF6629" w:rsidRDefault="00DE2AB0" w:rsidP="00FF4F6F">
      <w:pPr>
        <w:jc w:val="center"/>
        <w:rPr>
          <w:rFonts w:eastAsiaTheme="minorHAnsi"/>
          <w:b/>
          <w:i/>
          <w:sz w:val="20"/>
          <w:szCs w:val="20"/>
        </w:rPr>
      </w:pPr>
    </w:p>
    <w:p w14:paraId="54CF905B" w14:textId="77777777" w:rsidR="000A0969" w:rsidRPr="000A0969" w:rsidRDefault="000A0969" w:rsidP="000A0969">
      <w:pPr>
        <w:rPr>
          <w:sz w:val="20"/>
          <w:szCs w:val="20"/>
        </w:rPr>
      </w:pPr>
      <w:r w:rsidRPr="00BF6629">
        <w:object w:dxaOrig="11716" w:dyaOrig="4346" w14:anchorId="7D592D20">
          <v:shape id="_x0000_i1026" type="#_x0000_t75" style="width:235.2pt;height:87.6pt" o:ole="">
            <v:imagedata r:id="rId13" o:title=""/>
          </v:shape>
          <o:OLEObject Type="Embed" ProgID="Visio.Drawing.11" ShapeID="_x0000_i1026" DrawAspect="Content" ObjectID="_1754769678" r:id="rId14"/>
        </w:object>
      </w:r>
    </w:p>
    <w:p w14:paraId="042D6FBB" w14:textId="14BDEA3B" w:rsidR="003F5AEA" w:rsidRPr="00BF6629" w:rsidRDefault="003F5AEA" w:rsidP="000A0969">
      <w:pPr>
        <w:jc w:val="center"/>
        <w:rPr>
          <w:sz w:val="20"/>
          <w:szCs w:val="20"/>
        </w:rPr>
      </w:pPr>
      <w:r w:rsidRPr="00BF6629">
        <w:rPr>
          <w:sz w:val="20"/>
          <w:szCs w:val="20"/>
        </w:rPr>
        <w:t>Fig</w:t>
      </w:r>
      <w:r w:rsidR="00A25775" w:rsidRPr="00BF6629">
        <w:rPr>
          <w:sz w:val="20"/>
          <w:szCs w:val="20"/>
        </w:rPr>
        <w:t xml:space="preserve"> 3</w:t>
      </w:r>
      <w:r w:rsidRPr="00BF6629">
        <w:rPr>
          <w:sz w:val="20"/>
          <w:szCs w:val="20"/>
        </w:rPr>
        <w:t xml:space="preserve">. </w:t>
      </w:r>
      <w:r w:rsidR="00ED201D" w:rsidRPr="00BF6629">
        <w:rPr>
          <w:sz w:val="20"/>
          <w:szCs w:val="20"/>
        </w:rPr>
        <w:t>Concurrent DC fast charging for plenty EV</w:t>
      </w:r>
    </w:p>
    <w:p w14:paraId="5E24109B" w14:textId="77777777" w:rsidR="00DE2AB0" w:rsidRPr="00BF6629" w:rsidRDefault="00DE2AB0" w:rsidP="00BD16D4">
      <w:pPr>
        <w:jc w:val="both"/>
        <w:rPr>
          <w:rFonts w:eastAsiaTheme="minorHAnsi"/>
          <w:b/>
          <w:i/>
          <w:sz w:val="20"/>
          <w:szCs w:val="20"/>
        </w:rPr>
      </w:pPr>
    </w:p>
    <w:p w14:paraId="289DE293" w14:textId="77777777" w:rsidR="00B979B2" w:rsidRPr="00BF6629" w:rsidRDefault="0071133C" w:rsidP="00B979B2">
      <w:pPr>
        <w:jc w:val="both"/>
        <w:rPr>
          <w:rFonts w:eastAsiaTheme="minorHAnsi"/>
          <w:sz w:val="20"/>
          <w:szCs w:val="20"/>
        </w:rPr>
      </w:pPr>
      <w:r w:rsidRPr="00BF6629">
        <w:rPr>
          <w:rFonts w:eastAsiaTheme="minorHAnsi"/>
          <w:sz w:val="20"/>
          <w:szCs w:val="20"/>
        </w:rPr>
        <w:t xml:space="preserve">Any current between the charging and discharging limits can be supplied by the </w:t>
      </w:r>
      <w:proofErr w:type="spellStart"/>
      <w:r w:rsidRPr="00BF6629">
        <w:rPr>
          <w:rFonts w:eastAsiaTheme="minorHAnsi"/>
          <w:sz w:val="20"/>
          <w:szCs w:val="20"/>
        </w:rPr>
        <w:t>chademo</w:t>
      </w:r>
      <w:proofErr w:type="spellEnd"/>
      <w:r w:rsidRPr="00BF6629">
        <w:rPr>
          <w:rFonts w:eastAsiaTheme="minorHAnsi"/>
          <w:sz w:val="20"/>
          <w:szCs w:val="20"/>
        </w:rPr>
        <w:t xml:space="preserve"> charger as soon as the EV's discharge current limit is set to zero, V2G becomes impossible. Overall, CCS/blend is a master (EV)-slave (charger) system. Smart charging via PLC on CP uses the higher-order communication standards of ISO 15118. </w:t>
      </w:r>
      <w:r w:rsidR="00ED201D" w:rsidRPr="00BF6629">
        <w:rPr>
          <w:rFonts w:eastAsiaTheme="minorHAnsi"/>
          <w:sz w:val="20"/>
          <w:szCs w:val="20"/>
        </w:rPr>
        <w:t xml:space="preserve">For voltage-to-current syncing or dynamic charging, the battery charger may make an attempt to change the charging current (from I1 to I2) and/or direction. </w:t>
      </w:r>
      <w:r w:rsidR="00B979B2" w:rsidRPr="00BF6629">
        <w:rPr>
          <w:rFonts w:eastAsiaTheme="minorHAnsi"/>
          <w:sz w:val="20"/>
          <w:szCs w:val="20"/>
        </w:rPr>
        <w:t xml:space="preserve">The charging rate for the Contemporary can be determined by </w:t>
      </w:r>
      <w:proofErr w:type="spellStart"/>
      <w:r w:rsidR="00B979B2" w:rsidRPr="00BF6629">
        <w:rPr>
          <w:rFonts w:eastAsiaTheme="minorHAnsi"/>
          <w:sz w:val="20"/>
          <w:szCs w:val="20"/>
        </w:rPr>
        <w:t>Ev</w:t>
      </w:r>
      <w:proofErr w:type="spellEnd"/>
      <w:r w:rsidR="00B979B2" w:rsidRPr="00BF6629">
        <w:rPr>
          <w:rFonts w:eastAsiaTheme="minorHAnsi"/>
          <w:sz w:val="20"/>
          <w:szCs w:val="20"/>
        </w:rPr>
        <w:t>, who has absolute power over this matter. Fig</w:t>
      </w:r>
      <w:r w:rsidRPr="00BF6629">
        <w:rPr>
          <w:rFonts w:eastAsiaTheme="minorHAnsi"/>
          <w:sz w:val="20"/>
          <w:szCs w:val="20"/>
        </w:rPr>
        <w:t>.</w:t>
      </w:r>
      <w:r w:rsidR="00B979B2" w:rsidRPr="00BF6629">
        <w:rPr>
          <w:rFonts w:eastAsiaTheme="minorHAnsi"/>
          <w:sz w:val="20"/>
          <w:szCs w:val="20"/>
        </w:rPr>
        <w:t xml:space="preserve"> 1 shows the charging modernity that the EV charger (slave) must provide. T</w:t>
      </w:r>
      <w:r w:rsidR="00C746FC" w:rsidRPr="00BF6629">
        <w:rPr>
          <w:rFonts w:eastAsiaTheme="minorHAnsi"/>
          <w:sz w:val="20"/>
          <w:szCs w:val="20"/>
        </w:rPr>
        <w:t>he t</w:t>
      </w:r>
      <w:r w:rsidR="00B979B2" w:rsidRPr="00BF6629">
        <w:rPr>
          <w:rFonts w:eastAsiaTheme="minorHAnsi"/>
          <w:sz w:val="20"/>
          <w:szCs w:val="20"/>
        </w:rPr>
        <w:t xml:space="preserve">ime lag between the EV charger making a request and the EV responding is crucial. A buffer capacity </w:t>
      </w:r>
      <w:proofErr w:type="spellStart"/>
      <w:r w:rsidR="00B979B2" w:rsidRPr="00BF6629">
        <w:rPr>
          <w:rFonts w:eastAsiaTheme="minorHAnsi"/>
          <w:sz w:val="20"/>
          <w:szCs w:val="20"/>
        </w:rPr>
        <w:t>E</w:t>
      </w:r>
      <w:r w:rsidR="00B979B2" w:rsidRPr="00BF6629">
        <w:rPr>
          <w:rFonts w:eastAsiaTheme="minorHAnsi"/>
          <w:sz w:val="20"/>
          <w:szCs w:val="20"/>
          <w:vertAlign w:val="subscript"/>
        </w:rPr>
        <w:t>buff</w:t>
      </w:r>
      <w:proofErr w:type="spellEnd"/>
      <w:r w:rsidR="00B979B2" w:rsidRPr="00BF6629">
        <w:rPr>
          <w:rFonts w:eastAsiaTheme="minorHAnsi"/>
          <w:sz w:val="20"/>
          <w:szCs w:val="20"/>
          <w:vertAlign w:val="subscript"/>
        </w:rPr>
        <w:t xml:space="preserve"> </w:t>
      </w:r>
      <w:r w:rsidR="00B979B2" w:rsidRPr="00BF6629">
        <w:rPr>
          <w:rFonts w:eastAsiaTheme="minorHAnsi"/>
          <w:sz w:val="20"/>
          <w:szCs w:val="20"/>
        </w:rPr>
        <w:t>is needed for the time (t1+ t</w:t>
      </w:r>
      <w:r w:rsidR="00B979B2" w:rsidRPr="00BF6629">
        <w:rPr>
          <w:rFonts w:eastAsiaTheme="minorHAnsi"/>
          <w:sz w:val="20"/>
          <w:szCs w:val="20"/>
          <w:vertAlign w:val="subscript"/>
        </w:rPr>
        <w:t>2</w:t>
      </w:r>
      <w:r w:rsidR="00B979B2" w:rsidRPr="00BF6629">
        <w:rPr>
          <w:rFonts w:eastAsiaTheme="minorHAnsi"/>
          <w:sz w:val="20"/>
          <w:szCs w:val="20"/>
        </w:rPr>
        <w:t>) if the EV needs time t</w:t>
      </w:r>
      <w:r w:rsidR="00B979B2" w:rsidRPr="00BF6629">
        <w:rPr>
          <w:rFonts w:eastAsiaTheme="minorHAnsi"/>
          <w:sz w:val="20"/>
          <w:szCs w:val="20"/>
          <w:vertAlign w:val="subscript"/>
        </w:rPr>
        <w:t>1</w:t>
      </w:r>
      <w:r w:rsidR="00B979B2" w:rsidRPr="00BF6629">
        <w:rPr>
          <w:rFonts w:eastAsiaTheme="minorHAnsi"/>
          <w:sz w:val="20"/>
          <w:szCs w:val="20"/>
        </w:rPr>
        <w:t xml:space="preserve"> to reply to the new </w:t>
      </w:r>
      <w:r w:rsidR="00ED201D" w:rsidRPr="00BF6629">
        <w:rPr>
          <w:rFonts w:eastAsiaTheme="minorHAnsi"/>
          <w:sz w:val="20"/>
          <w:szCs w:val="20"/>
        </w:rPr>
        <w:t>appeal</w:t>
      </w:r>
      <w:r w:rsidR="00B979B2" w:rsidRPr="00BF6629">
        <w:rPr>
          <w:rFonts w:eastAsiaTheme="minorHAnsi"/>
          <w:sz w:val="20"/>
          <w:szCs w:val="20"/>
        </w:rPr>
        <w:t xml:space="preserve"> and then time t</w:t>
      </w:r>
      <w:r w:rsidR="00B979B2" w:rsidRPr="00BF6629">
        <w:rPr>
          <w:rFonts w:eastAsiaTheme="minorHAnsi"/>
          <w:sz w:val="20"/>
          <w:szCs w:val="20"/>
          <w:vertAlign w:val="subscript"/>
        </w:rPr>
        <w:t>2</w:t>
      </w:r>
      <w:r w:rsidR="00B979B2" w:rsidRPr="00BF6629">
        <w:rPr>
          <w:rFonts w:eastAsiaTheme="minorHAnsi"/>
          <w:sz w:val="20"/>
          <w:szCs w:val="20"/>
        </w:rPr>
        <w:t xml:space="preserve"> to change the set point from I</w:t>
      </w:r>
      <w:r w:rsidR="00B979B2" w:rsidRPr="00BF6629">
        <w:rPr>
          <w:rFonts w:eastAsiaTheme="minorHAnsi"/>
          <w:sz w:val="20"/>
          <w:szCs w:val="20"/>
          <w:vertAlign w:val="subscript"/>
        </w:rPr>
        <w:t>1</w:t>
      </w:r>
      <w:r w:rsidR="00B979B2" w:rsidRPr="00BF6629">
        <w:rPr>
          <w:rFonts w:eastAsiaTheme="minorHAnsi"/>
          <w:sz w:val="20"/>
          <w:szCs w:val="20"/>
        </w:rPr>
        <w:t xml:space="preserve"> to I</w:t>
      </w:r>
      <w:r w:rsidR="00B979B2" w:rsidRPr="00BF6629">
        <w:rPr>
          <w:rFonts w:eastAsiaTheme="minorHAnsi"/>
          <w:sz w:val="20"/>
          <w:szCs w:val="20"/>
          <w:vertAlign w:val="subscript"/>
        </w:rPr>
        <w:t>2</w:t>
      </w:r>
      <w:r w:rsidR="00B979B2" w:rsidRPr="00BF6629">
        <w:rPr>
          <w:rFonts w:eastAsiaTheme="minorHAnsi"/>
          <w:sz w:val="20"/>
          <w:szCs w:val="20"/>
        </w:rPr>
        <w:t xml:space="preserve">. With </w:t>
      </w:r>
      <w:proofErr w:type="spellStart"/>
      <w:r w:rsidR="00B979B2" w:rsidRPr="00BF6629">
        <w:rPr>
          <w:rFonts w:eastAsiaTheme="minorHAnsi"/>
          <w:sz w:val="20"/>
          <w:szCs w:val="20"/>
        </w:rPr>
        <w:t>chademo</w:t>
      </w:r>
      <w:proofErr w:type="spellEnd"/>
      <w:r w:rsidR="00B979B2" w:rsidRPr="00BF6629">
        <w:rPr>
          <w:rFonts w:eastAsiaTheme="minorHAnsi"/>
          <w:sz w:val="20"/>
          <w:szCs w:val="20"/>
        </w:rPr>
        <w:t xml:space="preserve">, where </w:t>
      </w:r>
      <w:proofErr w:type="spellStart"/>
      <w:r w:rsidR="00B979B2" w:rsidRPr="00BF6629">
        <w:rPr>
          <w:rFonts w:eastAsiaTheme="minorHAnsi"/>
          <w:sz w:val="20"/>
          <w:szCs w:val="20"/>
        </w:rPr>
        <w:t>V</w:t>
      </w:r>
      <w:r w:rsidR="00B979B2" w:rsidRPr="00BF6629">
        <w:rPr>
          <w:rFonts w:eastAsiaTheme="minorHAnsi"/>
          <w:sz w:val="20"/>
          <w:szCs w:val="20"/>
          <w:vertAlign w:val="subscript"/>
        </w:rPr>
        <w:t>batt</w:t>
      </w:r>
      <w:proofErr w:type="spellEnd"/>
      <w:r w:rsidR="00B979B2" w:rsidRPr="00BF6629">
        <w:rPr>
          <w:rFonts w:eastAsiaTheme="minorHAnsi"/>
          <w:sz w:val="20"/>
          <w:szCs w:val="20"/>
        </w:rPr>
        <w:t xml:space="preserve"> is the voltage from the battery, this buffering capacity is irrelevant.</w:t>
      </w:r>
    </w:p>
    <w:p w14:paraId="4C09FA31" w14:textId="0AA2A5FE" w:rsidR="00DE2AB0" w:rsidRPr="00BF6629" w:rsidRDefault="00EF48ED" w:rsidP="000A0969">
      <w:pPr>
        <w:jc w:val="right"/>
        <w:rPr>
          <w:rFonts w:eastAsiaTheme="minorHAnsi"/>
          <w:b/>
          <w:i/>
          <w:sz w:val="20"/>
          <w:szCs w:val="20"/>
        </w:rPr>
      </w:pPr>
      <w:r w:rsidRPr="00BF6629">
        <w:rPr>
          <w:position w:val="-28"/>
          <w:sz w:val="20"/>
          <w:szCs w:val="20"/>
        </w:rPr>
        <w:object w:dxaOrig="2700" w:dyaOrig="680" w14:anchorId="61252FEA">
          <v:shape id="_x0000_i1027" type="#_x0000_t75" style="width:135pt;height:33.6pt" o:ole="">
            <v:imagedata r:id="rId15" o:title=""/>
          </v:shape>
          <o:OLEObject Type="Embed" ProgID="Equation.DSMT4" ShapeID="_x0000_i1027" DrawAspect="Content" ObjectID="_1754769679" r:id="rId16"/>
        </w:object>
      </w:r>
      <w:r w:rsidRPr="00BF6629">
        <w:rPr>
          <w:sz w:val="20"/>
          <w:szCs w:val="20"/>
        </w:rPr>
        <w:t xml:space="preserve">                  </w:t>
      </w:r>
      <w:r w:rsidR="000A0969">
        <w:rPr>
          <w:sz w:val="20"/>
          <w:szCs w:val="20"/>
        </w:rPr>
        <w:t xml:space="preserve">   </w:t>
      </w:r>
      <w:r w:rsidRPr="00BF6629">
        <w:rPr>
          <w:sz w:val="20"/>
          <w:szCs w:val="20"/>
        </w:rPr>
        <w:t xml:space="preserve">  (1)</w:t>
      </w:r>
    </w:p>
    <w:p w14:paraId="35D00D02" w14:textId="77777777" w:rsidR="00E40CB9" w:rsidRPr="00BF6629" w:rsidRDefault="00ED201D" w:rsidP="00BD16D4">
      <w:pPr>
        <w:pStyle w:val="BodyText"/>
        <w:spacing w:line="240" w:lineRule="auto"/>
        <w:ind w:firstLine="0"/>
        <w:jc w:val="both"/>
        <w:rPr>
          <w:rFonts w:ascii="Times New Roman" w:eastAsiaTheme="minorHAnsi" w:hAnsi="Times New Roman" w:cs="Times New Roman"/>
        </w:rPr>
      </w:pPr>
      <w:r w:rsidRPr="00BF6629">
        <w:rPr>
          <w:rFonts w:ascii="Times New Roman" w:eastAsiaTheme="minorHAnsi" w:hAnsi="Times New Roman" w:cs="Times New Roman"/>
          <w:spacing w:val="0"/>
          <w:bdr w:val="nil"/>
          <w:lang w:bidi="ar-SA"/>
        </w:rPr>
        <w:t xml:space="preserve">By constantly altering the initial setting for current relevance &amp; path, smart adaptive charging can be applied to </w:t>
      </w:r>
      <w:proofErr w:type="spellStart"/>
      <w:r w:rsidRPr="00BF6629">
        <w:rPr>
          <w:rFonts w:ascii="Times New Roman" w:eastAsiaTheme="minorHAnsi" w:hAnsi="Times New Roman" w:cs="Times New Roman"/>
          <w:spacing w:val="0"/>
          <w:bdr w:val="nil"/>
          <w:lang w:bidi="ar-SA"/>
        </w:rPr>
        <w:t>chademo</w:t>
      </w:r>
      <w:proofErr w:type="spellEnd"/>
      <w:r w:rsidRPr="00BF6629">
        <w:rPr>
          <w:rFonts w:ascii="Times New Roman" w:eastAsiaTheme="minorHAnsi" w:hAnsi="Times New Roman" w:cs="Times New Roman"/>
          <w:spacing w:val="0"/>
          <w:bdr w:val="nil"/>
          <w:lang w:bidi="ar-SA"/>
        </w:rPr>
        <w:t xml:space="preserve"> or in arrangement.</w:t>
      </w:r>
    </w:p>
    <w:p w14:paraId="098FCC16" w14:textId="77777777" w:rsidR="00C6745E" w:rsidRPr="00BF6629" w:rsidRDefault="00C6745E" w:rsidP="00C746FC">
      <w:pPr>
        <w:pStyle w:val="ListParagraph"/>
        <w:numPr>
          <w:ilvl w:val="1"/>
          <w:numId w:val="15"/>
        </w:numPr>
        <w:spacing w:after="0" w:line="240" w:lineRule="auto"/>
        <w:rPr>
          <w:rFonts w:ascii="Times New Roman" w:hAnsi="Times New Roman"/>
          <w:b/>
          <w:bCs/>
          <w:sz w:val="20"/>
        </w:rPr>
      </w:pPr>
      <w:r w:rsidRPr="00BF6629">
        <w:rPr>
          <w:rFonts w:ascii="Times New Roman" w:hAnsi="Times New Roman"/>
          <w:b/>
          <w:bCs/>
          <w:sz w:val="20"/>
        </w:rPr>
        <w:t>EV charger multiplexing</w:t>
      </w:r>
    </w:p>
    <w:p w14:paraId="6C9530F8" w14:textId="77777777" w:rsidR="00B979B2" w:rsidRPr="00BF6629" w:rsidRDefault="00B979B2" w:rsidP="00BD16D4">
      <w:pPr>
        <w:jc w:val="both"/>
        <w:rPr>
          <w:rFonts w:eastAsiaTheme="minorHAnsi"/>
          <w:sz w:val="20"/>
          <w:szCs w:val="20"/>
        </w:rPr>
      </w:pPr>
      <w:r w:rsidRPr="00BF6629">
        <w:rPr>
          <w:rFonts w:eastAsiaTheme="minorHAnsi"/>
          <w:sz w:val="20"/>
          <w:szCs w:val="20"/>
        </w:rPr>
        <w:t>As the number of EVs on the road grows, so will the demand for charging stations and EV-specific accessories. Simultaneously, during public recharging</w:t>
      </w:r>
      <w:r w:rsidR="0071133C" w:rsidRPr="00BF6629">
        <w:rPr>
          <w:rFonts w:eastAsiaTheme="minorHAnsi"/>
          <w:sz w:val="20"/>
          <w:szCs w:val="20"/>
        </w:rPr>
        <w:t>,</w:t>
      </w:r>
      <w:r w:rsidR="00EF2D86" w:rsidRPr="00BF6629">
        <w:rPr>
          <w:rFonts w:eastAsiaTheme="minorHAnsi"/>
          <w:sz w:val="20"/>
          <w:szCs w:val="20"/>
        </w:rPr>
        <w:t xml:space="preserve"> n</w:t>
      </w:r>
      <w:r w:rsidRPr="00BF6629">
        <w:rPr>
          <w:rFonts w:eastAsiaTheme="minorHAnsi"/>
          <w:sz w:val="20"/>
          <w:szCs w:val="20"/>
        </w:rPr>
        <w:t xml:space="preserve">ot everyone will be able to charge their electric vehicle </w:t>
      </w:r>
      <w:r w:rsidRPr="00BF6629">
        <w:rPr>
          <w:rFonts w:eastAsiaTheme="minorHAnsi"/>
          <w:sz w:val="20"/>
          <w:szCs w:val="20"/>
        </w:rPr>
        <w:t>at home or workplace. When they get settled Because of this, the EV charging infrastructure is underutili</w:t>
      </w:r>
      <w:r w:rsidR="00C746FC" w:rsidRPr="00BF6629">
        <w:rPr>
          <w:rFonts w:eastAsiaTheme="minorHAnsi"/>
          <w:sz w:val="20"/>
          <w:szCs w:val="20"/>
        </w:rPr>
        <w:t>z</w:t>
      </w:r>
      <w:r w:rsidRPr="00BF6629">
        <w:rPr>
          <w:rFonts w:eastAsiaTheme="minorHAnsi"/>
          <w:sz w:val="20"/>
          <w:szCs w:val="20"/>
        </w:rPr>
        <w:t>ed. To get beyond this, clever</w:t>
      </w:r>
      <w:r w:rsidR="00EF2D86" w:rsidRPr="00BF6629">
        <w:rPr>
          <w:rFonts w:eastAsiaTheme="minorHAnsi"/>
          <w:sz w:val="20"/>
          <w:szCs w:val="20"/>
        </w:rPr>
        <w:t xml:space="preserve"> a</w:t>
      </w:r>
      <w:r w:rsidRPr="00BF6629">
        <w:rPr>
          <w:rFonts w:eastAsiaTheme="minorHAnsi"/>
          <w:sz w:val="20"/>
          <w:szCs w:val="20"/>
        </w:rPr>
        <w:t xml:space="preserve"> single charging station can service many electric vehicles </w:t>
      </w:r>
      <w:r w:rsidR="00B614AF" w:rsidRPr="00BF6629">
        <w:rPr>
          <w:rFonts w:eastAsiaTheme="minorHAnsi"/>
          <w:b/>
          <w:sz w:val="20"/>
          <w:szCs w:val="20"/>
        </w:rPr>
        <w:t>[</w:t>
      </w:r>
      <w:r w:rsidRPr="00BF6629">
        <w:rPr>
          <w:rFonts w:eastAsiaTheme="minorHAnsi"/>
          <w:b/>
          <w:sz w:val="20"/>
          <w:szCs w:val="20"/>
        </w:rPr>
        <w:t>26</w:t>
      </w:r>
      <w:r w:rsidR="00B614AF" w:rsidRPr="00BF6629">
        <w:rPr>
          <w:rFonts w:eastAsiaTheme="minorHAnsi"/>
          <w:b/>
          <w:sz w:val="20"/>
          <w:szCs w:val="20"/>
        </w:rPr>
        <w:t>]</w:t>
      </w:r>
      <w:r w:rsidRPr="00BF6629">
        <w:rPr>
          <w:rFonts w:eastAsiaTheme="minorHAnsi"/>
          <w:b/>
          <w:sz w:val="20"/>
          <w:szCs w:val="20"/>
        </w:rPr>
        <w:t xml:space="preserve"> </w:t>
      </w:r>
      <w:r w:rsidR="00B614AF" w:rsidRPr="00BF6629">
        <w:rPr>
          <w:rFonts w:eastAsiaTheme="minorHAnsi"/>
          <w:b/>
          <w:sz w:val="20"/>
          <w:szCs w:val="20"/>
        </w:rPr>
        <w:t>[</w:t>
      </w:r>
      <w:r w:rsidRPr="00BF6629">
        <w:rPr>
          <w:rFonts w:eastAsiaTheme="minorHAnsi"/>
          <w:b/>
          <w:sz w:val="20"/>
          <w:szCs w:val="20"/>
        </w:rPr>
        <w:t>27</w:t>
      </w:r>
      <w:r w:rsidR="00B614AF" w:rsidRPr="00BF6629">
        <w:rPr>
          <w:rFonts w:eastAsiaTheme="minorHAnsi"/>
          <w:b/>
          <w:sz w:val="20"/>
          <w:szCs w:val="20"/>
        </w:rPr>
        <w:t>]</w:t>
      </w:r>
      <w:r w:rsidRPr="00BF6629">
        <w:rPr>
          <w:rFonts w:eastAsiaTheme="minorHAnsi"/>
          <w:b/>
          <w:sz w:val="20"/>
          <w:szCs w:val="20"/>
        </w:rPr>
        <w:t>.</w:t>
      </w:r>
      <w:r w:rsidRPr="00BF6629">
        <w:rPr>
          <w:rFonts w:eastAsiaTheme="minorHAnsi"/>
          <w:sz w:val="20"/>
          <w:szCs w:val="20"/>
        </w:rPr>
        <w:t xml:space="preserve"> DC breakers are depicted in Fig. 3. Allows for the coupling of many EVs to one another in a "presto bowl" configuration. The multiplexed EV charging schedule </w:t>
      </w:r>
      <w:r w:rsidR="00B614AF" w:rsidRPr="00BF6629">
        <w:rPr>
          <w:rFonts w:eastAsiaTheme="minorHAnsi"/>
          <w:b/>
          <w:sz w:val="20"/>
          <w:szCs w:val="20"/>
        </w:rPr>
        <w:t>[</w:t>
      </w:r>
      <w:r w:rsidRPr="00BF6629">
        <w:rPr>
          <w:rFonts w:eastAsiaTheme="minorHAnsi"/>
          <w:b/>
          <w:sz w:val="20"/>
          <w:szCs w:val="20"/>
        </w:rPr>
        <w:t>17</w:t>
      </w:r>
      <w:r w:rsidR="00B614AF" w:rsidRPr="00BF6629">
        <w:rPr>
          <w:rFonts w:eastAsiaTheme="minorHAnsi"/>
          <w:b/>
          <w:sz w:val="20"/>
          <w:szCs w:val="20"/>
        </w:rPr>
        <w:t>]</w:t>
      </w:r>
      <w:r w:rsidRPr="00BF6629">
        <w:rPr>
          <w:rFonts w:eastAsiaTheme="minorHAnsi"/>
          <w:b/>
          <w:sz w:val="20"/>
          <w:szCs w:val="20"/>
        </w:rPr>
        <w:t xml:space="preserve">, </w:t>
      </w:r>
      <w:r w:rsidR="00B614AF" w:rsidRPr="00BF6629">
        <w:rPr>
          <w:rFonts w:eastAsiaTheme="minorHAnsi"/>
          <w:b/>
          <w:sz w:val="20"/>
          <w:szCs w:val="20"/>
        </w:rPr>
        <w:t>[</w:t>
      </w:r>
      <w:r w:rsidRPr="00BF6629">
        <w:rPr>
          <w:rFonts w:eastAsiaTheme="minorHAnsi"/>
          <w:b/>
          <w:sz w:val="20"/>
          <w:szCs w:val="20"/>
        </w:rPr>
        <w:t>25</w:t>
      </w:r>
      <w:r w:rsidR="00B614AF" w:rsidRPr="00BF6629">
        <w:rPr>
          <w:rFonts w:eastAsiaTheme="minorHAnsi"/>
          <w:sz w:val="20"/>
          <w:szCs w:val="20"/>
        </w:rPr>
        <w:t>]</w:t>
      </w:r>
      <w:r w:rsidRPr="00BF6629">
        <w:rPr>
          <w:rFonts w:eastAsiaTheme="minorHAnsi"/>
          <w:sz w:val="20"/>
          <w:szCs w:val="20"/>
        </w:rPr>
        <w:t>, is based on the EV stoner's energy requirement and time of departure.</w:t>
      </w:r>
    </w:p>
    <w:p w14:paraId="32849726" w14:textId="77777777" w:rsidR="00DD00D1" w:rsidRPr="00BF6629" w:rsidRDefault="00DD00D1" w:rsidP="00BD16D4">
      <w:pPr>
        <w:jc w:val="both"/>
        <w:rPr>
          <w:rFonts w:eastAsiaTheme="minorHAnsi"/>
          <w:sz w:val="20"/>
          <w:szCs w:val="20"/>
        </w:rPr>
      </w:pPr>
    </w:p>
    <w:p w14:paraId="23A76CCA" w14:textId="77777777" w:rsidR="00C746FC" w:rsidRPr="00BF6629" w:rsidRDefault="00DD00D1" w:rsidP="003B74D0">
      <w:pPr>
        <w:pStyle w:val="ListParagraph"/>
        <w:numPr>
          <w:ilvl w:val="0"/>
          <w:numId w:val="15"/>
        </w:numPr>
        <w:spacing w:line="240" w:lineRule="auto"/>
        <w:ind w:left="567" w:hanging="567"/>
        <w:jc w:val="center"/>
        <w:rPr>
          <w:rFonts w:ascii="Times New Roman" w:hAnsi="Times New Roman"/>
          <w:b/>
          <w:bCs/>
          <w:sz w:val="23"/>
          <w:szCs w:val="23"/>
        </w:rPr>
      </w:pPr>
      <w:r w:rsidRPr="00BF6629">
        <w:rPr>
          <w:rFonts w:ascii="Times New Roman" w:hAnsi="Times New Roman"/>
          <w:b/>
          <w:bCs/>
          <w:sz w:val="23"/>
          <w:szCs w:val="23"/>
        </w:rPr>
        <w:t>VEHICLE TO GRID (V2G)</w:t>
      </w:r>
    </w:p>
    <w:p w14:paraId="69054F02" w14:textId="77777777" w:rsidR="00B979B2" w:rsidRPr="00BF6629" w:rsidRDefault="00B979B2" w:rsidP="00BD16D4">
      <w:pPr>
        <w:jc w:val="both"/>
        <w:rPr>
          <w:rFonts w:eastAsiaTheme="minorHAnsi"/>
          <w:sz w:val="20"/>
          <w:szCs w:val="20"/>
        </w:rPr>
      </w:pPr>
      <w:r w:rsidRPr="00BF6629">
        <w:rPr>
          <w:rFonts w:eastAsiaTheme="minorHAnsi"/>
          <w:sz w:val="20"/>
          <w:szCs w:val="20"/>
        </w:rPr>
        <w:t xml:space="preserve">Discharging an </w:t>
      </w:r>
      <w:r w:rsidR="00ED201D" w:rsidRPr="00BF6629">
        <w:rPr>
          <w:rFonts w:eastAsiaTheme="minorHAnsi"/>
          <w:sz w:val="20"/>
          <w:szCs w:val="20"/>
        </w:rPr>
        <w:t>EV</w:t>
      </w:r>
      <w:r w:rsidRPr="00BF6629">
        <w:rPr>
          <w:rFonts w:eastAsiaTheme="minorHAnsi"/>
          <w:sz w:val="20"/>
          <w:szCs w:val="20"/>
        </w:rPr>
        <w:t xml:space="preserve"> battery and sending the energy back into the power grid is known as </w:t>
      </w:r>
      <w:r w:rsidR="0071133C" w:rsidRPr="00BF6629">
        <w:rPr>
          <w:rFonts w:eastAsiaTheme="minorHAnsi"/>
          <w:sz w:val="20"/>
          <w:szCs w:val="20"/>
        </w:rPr>
        <w:t>V2G</w:t>
      </w:r>
      <w:r w:rsidRPr="00BF6629">
        <w:rPr>
          <w:rFonts w:eastAsiaTheme="minorHAnsi"/>
          <w:sz w:val="20"/>
          <w:szCs w:val="20"/>
        </w:rPr>
        <w:t xml:space="preserve"> technology </w:t>
      </w:r>
      <w:r w:rsidR="00B614AF" w:rsidRPr="00BF6629">
        <w:rPr>
          <w:rFonts w:eastAsiaTheme="minorHAnsi"/>
          <w:b/>
          <w:sz w:val="20"/>
          <w:szCs w:val="20"/>
        </w:rPr>
        <w:t>[</w:t>
      </w:r>
      <w:r w:rsidRPr="00BF6629">
        <w:rPr>
          <w:rFonts w:eastAsiaTheme="minorHAnsi"/>
          <w:b/>
          <w:sz w:val="20"/>
          <w:szCs w:val="20"/>
        </w:rPr>
        <w:t>9</w:t>
      </w:r>
      <w:r w:rsidR="00B614AF" w:rsidRPr="00BF6629">
        <w:rPr>
          <w:rFonts w:eastAsiaTheme="minorHAnsi"/>
          <w:b/>
          <w:sz w:val="20"/>
          <w:szCs w:val="20"/>
        </w:rPr>
        <w:t>]</w:t>
      </w:r>
      <w:r w:rsidRPr="00BF6629">
        <w:rPr>
          <w:rFonts w:eastAsiaTheme="minorHAnsi"/>
          <w:b/>
          <w:sz w:val="20"/>
          <w:szCs w:val="20"/>
        </w:rPr>
        <w:t xml:space="preserve">, </w:t>
      </w:r>
      <w:r w:rsidR="00B614AF" w:rsidRPr="00BF6629">
        <w:rPr>
          <w:rFonts w:eastAsiaTheme="minorHAnsi"/>
          <w:b/>
          <w:sz w:val="20"/>
          <w:szCs w:val="20"/>
        </w:rPr>
        <w:t>[</w:t>
      </w:r>
      <w:r w:rsidRPr="00BF6629">
        <w:rPr>
          <w:rFonts w:eastAsiaTheme="minorHAnsi"/>
          <w:b/>
          <w:sz w:val="20"/>
          <w:szCs w:val="20"/>
        </w:rPr>
        <w:t>18</w:t>
      </w:r>
      <w:r w:rsidR="00B614AF" w:rsidRPr="00BF6629">
        <w:rPr>
          <w:rFonts w:eastAsiaTheme="minorHAnsi"/>
          <w:b/>
          <w:sz w:val="20"/>
          <w:szCs w:val="20"/>
        </w:rPr>
        <w:t>]</w:t>
      </w:r>
      <w:r w:rsidRPr="00BF6629">
        <w:rPr>
          <w:rFonts w:eastAsiaTheme="minorHAnsi"/>
          <w:b/>
          <w:sz w:val="20"/>
          <w:szCs w:val="20"/>
        </w:rPr>
        <w:t xml:space="preserve">, </w:t>
      </w:r>
      <w:r w:rsidR="00B614AF" w:rsidRPr="00BF6629">
        <w:rPr>
          <w:rFonts w:eastAsiaTheme="minorHAnsi"/>
          <w:b/>
          <w:sz w:val="20"/>
          <w:szCs w:val="20"/>
        </w:rPr>
        <w:t>[</w:t>
      </w:r>
      <w:r w:rsidRPr="00BF6629">
        <w:rPr>
          <w:rFonts w:eastAsiaTheme="minorHAnsi"/>
          <w:b/>
          <w:sz w:val="20"/>
          <w:szCs w:val="20"/>
        </w:rPr>
        <w:t>28</w:t>
      </w:r>
      <w:r w:rsidR="00B614AF" w:rsidRPr="00BF6629">
        <w:rPr>
          <w:rFonts w:eastAsiaTheme="minorHAnsi"/>
          <w:b/>
          <w:sz w:val="20"/>
          <w:szCs w:val="20"/>
        </w:rPr>
        <w:t>]</w:t>
      </w:r>
      <w:r w:rsidRPr="00BF6629">
        <w:rPr>
          <w:rFonts w:eastAsiaTheme="minorHAnsi"/>
          <w:b/>
          <w:sz w:val="20"/>
          <w:szCs w:val="20"/>
        </w:rPr>
        <w:t>.</w:t>
      </w:r>
      <w:r w:rsidRPr="00BF6629">
        <w:rPr>
          <w:rFonts w:eastAsiaTheme="minorHAnsi"/>
          <w:sz w:val="20"/>
          <w:szCs w:val="20"/>
        </w:rPr>
        <w:t xml:space="preserve"> The acronym V2X can mean anything from "V2G" (grid), "V2B" (structure), "V2H" (home), or "V2L" (cargo). Vehicle-to-Grid is a subset of intelligent charging. </w:t>
      </w:r>
    </w:p>
    <w:p w14:paraId="0BB4E076" w14:textId="54CAA63A" w:rsidR="0038274A" w:rsidRPr="00BF6629" w:rsidRDefault="000A0969" w:rsidP="004E43E1">
      <w:pPr>
        <w:pStyle w:val="BodyText"/>
        <w:spacing w:after="0" w:line="240" w:lineRule="auto"/>
        <w:ind w:firstLine="0"/>
        <w:rPr>
          <w:rFonts w:ascii="Times New Roman" w:eastAsiaTheme="minorHAnsi" w:hAnsi="Times New Roman" w:cs="Times New Roman"/>
        </w:rPr>
      </w:pPr>
      <w:r w:rsidRPr="00BF6629">
        <w:object w:dxaOrig="10073" w:dyaOrig="5896" w14:anchorId="6AAC179F">
          <v:shape id="_x0000_i1028" type="#_x0000_t75" style="width:222pt;height:129.6pt" o:ole="">
            <v:imagedata r:id="rId17" o:title=""/>
          </v:shape>
          <o:OLEObject Type="Embed" ProgID="Visio.Drawing.11" ShapeID="_x0000_i1028" DrawAspect="Content" ObjectID="_1754769680" r:id="rId18"/>
        </w:object>
      </w:r>
    </w:p>
    <w:p w14:paraId="3513D573" w14:textId="77777777" w:rsidR="00DD00D1" w:rsidRPr="003B74D0" w:rsidRDefault="00DD00D1" w:rsidP="000A0969">
      <w:pPr>
        <w:pStyle w:val="BodyText"/>
        <w:tabs>
          <w:tab w:val="clear" w:pos="288"/>
        </w:tabs>
        <w:spacing w:line="240" w:lineRule="auto"/>
        <w:ind w:firstLine="0"/>
        <w:jc w:val="center"/>
        <w:rPr>
          <w:rFonts w:ascii="Times New Roman" w:eastAsiaTheme="minorHAnsi" w:hAnsi="Times New Roman" w:cs="Times New Roman"/>
        </w:rPr>
      </w:pPr>
      <w:r w:rsidRPr="003B74D0">
        <w:rPr>
          <w:rFonts w:ascii="Times New Roman" w:eastAsiaTheme="minorHAnsi" w:hAnsi="Times New Roman" w:cs="Times New Roman"/>
        </w:rPr>
        <w:t xml:space="preserve">Fig.4. </w:t>
      </w:r>
      <w:r w:rsidR="00ED201D" w:rsidRPr="003B74D0">
        <w:rPr>
          <w:rFonts w:ascii="Times New Roman" w:eastAsiaTheme="minorHAnsi" w:hAnsi="Times New Roman" w:cs="Times New Roman"/>
        </w:rPr>
        <w:t>(a) PV inverter and EV bowl are kept separate during EV charging from PV. (b) A built-in, multi-outlet electric motor</w:t>
      </w:r>
    </w:p>
    <w:p w14:paraId="54F07AA9" w14:textId="1F7B66F3" w:rsidR="00DD00D1" w:rsidRDefault="00B979B2" w:rsidP="0071133C">
      <w:pPr>
        <w:pStyle w:val="BodyText"/>
        <w:spacing w:after="0"/>
        <w:ind w:firstLine="0"/>
        <w:jc w:val="both"/>
        <w:rPr>
          <w:rFonts w:ascii="Times New Roman" w:eastAsiaTheme="minorHAnsi" w:hAnsi="Times New Roman" w:cs="Times New Roman"/>
          <w:spacing w:val="0"/>
          <w:bdr w:val="nil"/>
          <w:lang w:bidi="ar-SA"/>
        </w:rPr>
      </w:pPr>
      <w:r w:rsidRPr="00BF6629">
        <w:rPr>
          <w:rFonts w:ascii="Times New Roman" w:eastAsiaTheme="minorHAnsi" w:hAnsi="Times New Roman" w:cs="Times New Roman"/>
          <w:spacing w:val="0"/>
          <w:bdr w:val="nil"/>
          <w:lang w:bidi="ar-SA"/>
        </w:rPr>
        <w:t xml:space="preserve">(MPC) </w:t>
      </w:r>
      <w:r w:rsidR="00EF2D86" w:rsidRPr="00BF6629">
        <w:rPr>
          <w:rFonts w:ascii="Times New Roman" w:eastAsiaTheme="minorHAnsi" w:hAnsi="Times New Roman" w:cs="Times New Roman"/>
          <w:spacing w:val="0"/>
          <w:bdr w:val="nil"/>
          <w:lang w:bidi="ar-SA"/>
        </w:rPr>
        <w:t>t</w:t>
      </w:r>
      <w:r w:rsidRPr="00BF6629">
        <w:rPr>
          <w:rFonts w:ascii="Times New Roman" w:eastAsiaTheme="minorHAnsi" w:hAnsi="Times New Roman" w:cs="Times New Roman"/>
          <w:spacing w:val="0"/>
          <w:bdr w:val="nil"/>
          <w:lang w:bidi="ar-SA"/>
        </w:rPr>
        <w:t>hat's what the EV's PV and grid electricity costs</w:t>
      </w:r>
      <w:r w:rsidR="00EF2D86" w:rsidRPr="00BF6629">
        <w:rPr>
          <w:rFonts w:ascii="Times New Roman" w:eastAsiaTheme="minorHAnsi" w:hAnsi="Times New Roman" w:cs="Times New Roman"/>
          <w:spacing w:val="0"/>
          <w:bdr w:val="nil"/>
          <w:lang w:bidi="ar-SA"/>
        </w:rPr>
        <w:t xml:space="preserve"> a</w:t>
      </w:r>
      <w:r w:rsidRPr="00BF6629">
        <w:rPr>
          <w:rFonts w:ascii="Times New Roman" w:eastAsiaTheme="minorHAnsi" w:hAnsi="Times New Roman" w:cs="Times New Roman"/>
          <w:spacing w:val="0"/>
          <w:bdr w:val="nil"/>
          <w:lang w:bidi="ar-SA"/>
        </w:rPr>
        <w:t xml:space="preserve">nd V2G paves the way for a myriad of </w:t>
      </w:r>
      <w:r w:rsidR="00ED201D" w:rsidRPr="00BF6629">
        <w:rPr>
          <w:rFonts w:ascii="Times New Roman" w:eastAsiaTheme="minorHAnsi" w:hAnsi="Times New Roman" w:cs="Times New Roman"/>
          <w:spacing w:val="0"/>
          <w:bdr w:val="nil"/>
          <w:lang w:bidi="ar-SA"/>
        </w:rPr>
        <w:t xml:space="preserve">possibilities </w:t>
      </w:r>
      <w:proofErr w:type="spellStart"/>
      <w:r w:rsidR="00ED201D" w:rsidRPr="00BF6629">
        <w:rPr>
          <w:rFonts w:ascii="Times New Roman" w:eastAsiaTheme="minorHAnsi" w:hAnsi="Times New Roman" w:cs="Times New Roman"/>
          <w:spacing w:val="0"/>
          <w:bdr w:val="nil"/>
          <w:lang w:bidi="ar-SA"/>
        </w:rPr>
        <w:t>i.e</w:t>
      </w:r>
      <w:proofErr w:type="spellEnd"/>
      <w:r w:rsidR="00ED201D" w:rsidRPr="00BF6629">
        <w:rPr>
          <w:rFonts w:ascii="Times New Roman" w:eastAsiaTheme="minorHAnsi" w:hAnsi="Times New Roman" w:cs="Times New Roman"/>
          <w:spacing w:val="0"/>
          <w:bdr w:val="nil"/>
          <w:lang w:bidi="ar-SA"/>
        </w:rPr>
        <w:t xml:space="preserve"> </w:t>
      </w:r>
      <w:r w:rsidRPr="00BF6629">
        <w:rPr>
          <w:rFonts w:ascii="Times New Roman" w:eastAsiaTheme="minorHAnsi" w:hAnsi="Times New Roman" w:cs="Times New Roman"/>
          <w:spacing w:val="0"/>
          <w:bdr w:val="nil"/>
          <w:lang w:bidi="ar-SA"/>
        </w:rPr>
        <w:t xml:space="preserve"> employing the EV to store </w:t>
      </w:r>
      <w:r w:rsidR="00ED201D" w:rsidRPr="00BF6629">
        <w:rPr>
          <w:rFonts w:ascii="Times New Roman" w:eastAsiaTheme="minorHAnsi" w:hAnsi="Times New Roman" w:cs="Times New Roman"/>
          <w:spacing w:val="0"/>
          <w:bdr w:val="nil"/>
          <w:lang w:bidi="ar-SA"/>
        </w:rPr>
        <w:t>clean</w:t>
      </w:r>
      <w:r w:rsidRPr="00BF6629">
        <w:rPr>
          <w:rFonts w:ascii="Times New Roman" w:eastAsiaTheme="minorHAnsi" w:hAnsi="Times New Roman" w:cs="Times New Roman"/>
          <w:spacing w:val="0"/>
          <w:bdr w:val="nil"/>
          <w:lang w:bidi="ar-SA"/>
        </w:rPr>
        <w:t xml:space="preserve"> energy and energy sharing</w:t>
      </w:r>
      <w:r w:rsidR="00EF2D86" w:rsidRPr="00BF6629">
        <w:rPr>
          <w:rFonts w:ascii="Times New Roman" w:eastAsiaTheme="minorHAnsi" w:hAnsi="Times New Roman" w:cs="Times New Roman"/>
          <w:spacing w:val="0"/>
          <w:bdr w:val="nil"/>
          <w:lang w:bidi="ar-SA"/>
        </w:rPr>
        <w:t xml:space="preserve"> t</w:t>
      </w:r>
      <w:r w:rsidRPr="00BF6629">
        <w:rPr>
          <w:rFonts w:ascii="Times New Roman" w:eastAsiaTheme="minorHAnsi" w:hAnsi="Times New Roman" w:cs="Times New Roman"/>
          <w:spacing w:val="0"/>
          <w:bdr w:val="nil"/>
          <w:lang w:bidi="ar-SA"/>
        </w:rPr>
        <w:t>aking orders</w:t>
      </w:r>
      <w:r w:rsidR="0071133C" w:rsidRPr="00BF6629">
        <w:rPr>
          <w:rFonts w:ascii="Times New Roman" w:eastAsiaTheme="minorHAnsi" w:hAnsi="Times New Roman" w:cs="Times New Roman"/>
          <w:spacing w:val="0"/>
          <w:bdr w:val="nil"/>
          <w:lang w:bidi="ar-SA"/>
        </w:rPr>
        <w:t>,</w:t>
      </w:r>
      <w:r w:rsidRPr="00BF6629">
        <w:rPr>
          <w:rFonts w:ascii="Times New Roman" w:eastAsiaTheme="minorHAnsi" w:hAnsi="Times New Roman" w:cs="Times New Roman"/>
          <w:spacing w:val="0"/>
          <w:bdr w:val="nil"/>
          <w:lang w:bidi="ar-SA"/>
        </w:rPr>
        <w:t xml:space="preserve"> and providing complementary support. Now, electric vehicles have</w:t>
      </w:r>
      <w:r w:rsidR="00EF2D86" w:rsidRPr="00BF6629">
        <w:rPr>
          <w:rFonts w:ascii="Times New Roman" w:eastAsiaTheme="minorHAnsi" w:hAnsi="Times New Roman" w:cs="Times New Roman"/>
          <w:spacing w:val="0"/>
          <w:bdr w:val="nil"/>
          <w:lang w:bidi="ar-SA"/>
        </w:rPr>
        <w:t xml:space="preserve"> t</w:t>
      </w:r>
      <w:r w:rsidRPr="00BF6629">
        <w:rPr>
          <w:rFonts w:ascii="Times New Roman" w:eastAsiaTheme="minorHAnsi" w:hAnsi="Times New Roman" w:cs="Times New Roman"/>
          <w:spacing w:val="0"/>
          <w:bdr w:val="nil"/>
          <w:lang w:bidi="ar-SA"/>
        </w:rPr>
        <w:t>here are just one-way EV dishes installed. Therefore, it's two-way</w:t>
      </w:r>
      <w:r w:rsidR="00E313DB" w:rsidRPr="00BF6629">
        <w:rPr>
          <w:rFonts w:ascii="Times New Roman" w:eastAsiaTheme="minorHAnsi" w:hAnsi="Times New Roman" w:cs="Times New Roman"/>
          <w:spacing w:val="0"/>
          <w:bdr w:val="nil"/>
          <w:lang w:bidi="ar-SA"/>
        </w:rPr>
        <w:t xml:space="preserve"> e</w:t>
      </w:r>
      <w:r w:rsidRPr="00BF6629">
        <w:rPr>
          <w:rFonts w:ascii="Times New Roman" w:eastAsiaTheme="minorHAnsi" w:hAnsi="Times New Roman" w:cs="Times New Roman"/>
          <w:spacing w:val="0"/>
          <w:bdr w:val="nil"/>
          <w:lang w:bidi="ar-SA"/>
        </w:rPr>
        <w:t xml:space="preserve">ach </w:t>
      </w:r>
      <w:proofErr w:type="spellStart"/>
      <w:r w:rsidRPr="00BF6629">
        <w:rPr>
          <w:rFonts w:ascii="Times New Roman" w:eastAsiaTheme="minorHAnsi" w:hAnsi="Times New Roman" w:cs="Times New Roman"/>
          <w:spacing w:val="0"/>
          <w:bdr w:val="nil"/>
          <w:lang w:bidi="ar-SA"/>
        </w:rPr>
        <w:t>chademo</w:t>
      </w:r>
      <w:proofErr w:type="spellEnd"/>
      <w:r w:rsidR="0071133C" w:rsidRPr="00BF6629">
        <w:rPr>
          <w:rFonts w:ascii="Times New Roman" w:eastAsiaTheme="minorHAnsi" w:hAnsi="Times New Roman" w:cs="Times New Roman"/>
          <w:spacing w:val="0"/>
          <w:bdr w:val="nil"/>
          <w:lang w:bidi="ar-SA"/>
        </w:rPr>
        <w:t>,</w:t>
      </w:r>
      <w:r w:rsidRPr="00BF6629">
        <w:rPr>
          <w:rFonts w:ascii="Times New Roman" w:eastAsiaTheme="minorHAnsi" w:hAnsi="Times New Roman" w:cs="Times New Roman"/>
          <w:spacing w:val="0"/>
          <w:bdr w:val="nil"/>
          <w:lang w:bidi="ar-SA"/>
        </w:rPr>
        <w:t xml:space="preserve"> and CCS/Quintet supports V2G and outboard dc dishes have been developed for its assault.</w:t>
      </w:r>
    </w:p>
    <w:p w14:paraId="5C2943A7" w14:textId="77777777" w:rsidR="000A0969" w:rsidRPr="00BF6629" w:rsidRDefault="000A0969" w:rsidP="0071133C">
      <w:pPr>
        <w:pStyle w:val="BodyText"/>
        <w:spacing w:after="0"/>
        <w:ind w:firstLine="0"/>
        <w:jc w:val="both"/>
        <w:rPr>
          <w:rFonts w:ascii="Times New Roman" w:eastAsiaTheme="minorHAnsi" w:hAnsi="Times New Roman" w:cs="Times New Roman"/>
          <w:spacing w:val="0"/>
          <w:bdr w:val="nil"/>
          <w:lang w:bidi="ar-SA"/>
        </w:rPr>
      </w:pPr>
    </w:p>
    <w:p w14:paraId="66F0AB06" w14:textId="0FBB1702" w:rsidR="0071133C" w:rsidRDefault="000A0969" w:rsidP="000A0969">
      <w:pPr>
        <w:pStyle w:val="BodyText"/>
        <w:spacing w:after="0" w:line="240" w:lineRule="auto"/>
        <w:ind w:firstLine="0"/>
        <w:jc w:val="center"/>
        <w:rPr>
          <w:rFonts w:ascii="Times New Roman" w:hAnsi="Times New Roman" w:cs="Times New Roman"/>
          <w:sz w:val="18"/>
          <w:szCs w:val="18"/>
        </w:rPr>
      </w:pPr>
      <w:r w:rsidRPr="00BF6629">
        <w:object w:dxaOrig="10866" w:dyaOrig="4912" w14:anchorId="67131304">
          <v:shape id="_x0000_i1029" type="#_x0000_t75" style="width:225pt;height:101.4pt" o:ole="">
            <v:imagedata r:id="rId19" o:title=""/>
          </v:shape>
          <o:OLEObject Type="Embed" ProgID="Visio.Drawing.11" ShapeID="_x0000_i1029" DrawAspect="Content" ObjectID="_1754769681" r:id="rId20"/>
        </w:object>
      </w:r>
      <w:r w:rsidR="0071133C" w:rsidRPr="00BF6629">
        <w:rPr>
          <w:rFonts w:ascii="Times New Roman" w:hAnsi="Times New Roman" w:cs="Times New Roman"/>
          <w:sz w:val="18"/>
          <w:szCs w:val="18"/>
        </w:rPr>
        <w:t>(a)</w:t>
      </w:r>
    </w:p>
    <w:p w14:paraId="3D772962" w14:textId="77777777" w:rsidR="000A0969" w:rsidRPr="00BF6629" w:rsidRDefault="000A0969" w:rsidP="000A0969">
      <w:pPr>
        <w:pStyle w:val="BodyText"/>
        <w:spacing w:after="0" w:line="240" w:lineRule="auto"/>
        <w:ind w:firstLine="0"/>
        <w:jc w:val="center"/>
        <w:rPr>
          <w:rFonts w:ascii="Times New Roman" w:eastAsiaTheme="minorHAnsi" w:hAnsi="Times New Roman" w:cs="Times New Roman"/>
          <w:sz w:val="18"/>
          <w:szCs w:val="18"/>
        </w:rPr>
      </w:pPr>
    </w:p>
    <w:p w14:paraId="39DDE7A3" w14:textId="77777777" w:rsidR="0066705B" w:rsidRPr="00BF6629" w:rsidRDefault="0066705B" w:rsidP="004E43E1">
      <w:pPr>
        <w:pStyle w:val="BodyText"/>
        <w:spacing w:line="240" w:lineRule="auto"/>
        <w:ind w:firstLine="0"/>
        <w:rPr>
          <w:rFonts w:ascii="Times New Roman" w:eastAsiaTheme="minorHAnsi" w:hAnsi="Times New Roman" w:cs="Times New Roman"/>
        </w:rPr>
      </w:pPr>
      <w:r w:rsidRPr="00BF6629">
        <w:rPr>
          <w:rFonts w:ascii="Times New Roman" w:hAnsi="Times New Roman" w:cs="Times New Roman"/>
          <w:noProof/>
          <w:lang w:bidi="ar-SA"/>
        </w:rPr>
        <w:lastRenderedPageBreak/>
        <w:drawing>
          <wp:inline distT="0" distB="0" distL="0" distR="0" wp14:anchorId="61CD5BA4" wp14:editId="3646084E">
            <wp:extent cx="2705100" cy="1561261"/>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Lst>
                    </a:blip>
                    <a:srcRect l="5155" t="6031" r="9106" b="2540"/>
                    <a:stretch/>
                  </pic:blipFill>
                  <pic:spPr bwMode="auto">
                    <a:xfrm>
                      <a:off x="0" y="0"/>
                      <a:ext cx="2722116" cy="1571082"/>
                    </a:xfrm>
                    <a:prstGeom prst="rect">
                      <a:avLst/>
                    </a:prstGeom>
                    <a:ln>
                      <a:noFill/>
                    </a:ln>
                    <a:extLst>
                      <a:ext uri="{53640926-AAD7-44D8-BBD7-CCE9431645EC}">
                        <a14:shadowObscured xmlns:a14="http://schemas.microsoft.com/office/drawing/2010/main"/>
                      </a:ext>
                    </a:extLst>
                  </pic:spPr>
                </pic:pic>
              </a:graphicData>
            </a:graphic>
          </wp:inline>
        </w:drawing>
      </w:r>
    </w:p>
    <w:p w14:paraId="110C259E" w14:textId="77777777" w:rsidR="0071133C" w:rsidRPr="00BF6629" w:rsidRDefault="0071133C" w:rsidP="000A0969">
      <w:pPr>
        <w:pStyle w:val="BodyText"/>
        <w:spacing w:after="0" w:line="240" w:lineRule="auto"/>
        <w:ind w:firstLine="0"/>
        <w:jc w:val="center"/>
        <w:rPr>
          <w:rFonts w:ascii="Times New Roman" w:eastAsiaTheme="minorHAnsi" w:hAnsi="Times New Roman" w:cs="Times New Roman"/>
          <w:sz w:val="18"/>
          <w:szCs w:val="18"/>
        </w:rPr>
      </w:pPr>
      <w:r w:rsidRPr="00BF6629">
        <w:rPr>
          <w:rFonts w:ascii="Times New Roman" w:hAnsi="Times New Roman" w:cs="Times New Roman"/>
          <w:sz w:val="18"/>
          <w:szCs w:val="18"/>
        </w:rPr>
        <w:t>(b)</w:t>
      </w:r>
    </w:p>
    <w:p w14:paraId="1A0BEA3A" w14:textId="77777777" w:rsidR="00C746FC" w:rsidRPr="00BF6629" w:rsidRDefault="00B979B2" w:rsidP="000A0969">
      <w:pPr>
        <w:jc w:val="center"/>
        <w:rPr>
          <w:rFonts w:eastAsiaTheme="minorHAnsi"/>
          <w:sz w:val="18"/>
          <w:szCs w:val="18"/>
        </w:rPr>
      </w:pPr>
      <w:r w:rsidRPr="003B74D0">
        <w:rPr>
          <w:rFonts w:eastAsiaTheme="minorHAnsi"/>
          <w:sz w:val="20"/>
          <w:szCs w:val="20"/>
        </w:rPr>
        <w:t>Figure 5. (</w:t>
      </w:r>
      <w:r w:rsidR="0071133C" w:rsidRPr="003B74D0">
        <w:rPr>
          <w:rFonts w:eastAsiaTheme="minorHAnsi"/>
          <w:sz w:val="20"/>
          <w:szCs w:val="20"/>
        </w:rPr>
        <w:t>a</w:t>
      </w:r>
      <w:r w:rsidRPr="003B74D0">
        <w:rPr>
          <w:rFonts w:eastAsiaTheme="minorHAnsi"/>
          <w:sz w:val="20"/>
          <w:szCs w:val="20"/>
        </w:rPr>
        <w:t>) Electric motor architecture. (</w:t>
      </w:r>
      <w:r w:rsidR="0071133C" w:rsidRPr="003B74D0">
        <w:rPr>
          <w:rFonts w:eastAsiaTheme="minorHAnsi"/>
          <w:sz w:val="20"/>
          <w:szCs w:val="20"/>
        </w:rPr>
        <w:t>b</w:t>
      </w:r>
      <w:r w:rsidRPr="003B74D0">
        <w:rPr>
          <w:rFonts w:eastAsiaTheme="minorHAnsi"/>
          <w:sz w:val="20"/>
          <w:szCs w:val="20"/>
        </w:rPr>
        <w:t>) A 10 kilowatt (kW) version of an improved motor, an ordinary 10 kW PV inverter, and a 10 kW electric vehicle bowl</w:t>
      </w:r>
      <w:r w:rsidRPr="00BF6629">
        <w:rPr>
          <w:rFonts w:eastAsiaTheme="minorHAnsi"/>
          <w:sz w:val="18"/>
          <w:szCs w:val="18"/>
        </w:rPr>
        <w:t>.</w:t>
      </w:r>
    </w:p>
    <w:p w14:paraId="56258604" w14:textId="77777777" w:rsidR="00ED201D" w:rsidRPr="00BF6629" w:rsidRDefault="00ED201D" w:rsidP="0071133C">
      <w:pPr>
        <w:jc w:val="center"/>
        <w:rPr>
          <w:rFonts w:eastAsiaTheme="minorHAnsi"/>
          <w:sz w:val="18"/>
          <w:szCs w:val="18"/>
        </w:rPr>
      </w:pPr>
    </w:p>
    <w:p w14:paraId="78932436" w14:textId="77777777" w:rsidR="004307DB" w:rsidRPr="00BF6629" w:rsidRDefault="004307DB" w:rsidP="00C746FC">
      <w:pPr>
        <w:pStyle w:val="ListParagraph"/>
        <w:numPr>
          <w:ilvl w:val="1"/>
          <w:numId w:val="15"/>
        </w:numPr>
        <w:spacing w:after="0" w:line="240" w:lineRule="auto"/>
        <w:rPr>
          <w:rFonts w:ascii="Times New Roman" w:hAnsi="Times New Roman"/>
          <w:b/>
          <w:bCs/>
          <w:sz w:val="20"/>
        </w:rPr>
      </w:pPr>
      <w:r w:rsidRPr="00BF6629">
        <w:rPr>
          <w:rFonts w:ascii="Times New Roman" w:hAnsi="Times New Roman"/>
          <w:b/>
          <w:bCs/>
          <w:sz w:val="20"/>
        </w:rPr>
        <w:t xml:space="preserve">Implementing V2G using </w:t>
      </w:r>
      <w:proofErr w:type="spellStart"/>
      <w:r w:rsidRPr="00BF6629">
        <w:rPr>
          <w:rFonts w:ascii="Times New Roman" w:hAnsi="Times New Roman"/>
          <w:b/>
          <w:bCs/>
          <w:sz w:val="20"/>
        </w:rPr>
        <w:t>Chademo</w:t>
      </w:r>
      <w:proofErr w:type="spellEnd"/>
    </w:p>
    <w:p w14:paraId="3FE126E0" w14:textId="77777777" w:rsidR="00B979B2" w:rsidRPr="00BF6629" w:rsidRDefault="00B979B2" w:rsidP="00BD16D4">
      <w:pPr>
        <w:pStyle w:val="BodyText"/>
        <w:spacing w:line="240" w:lineRule="auto"/>
        <w:ind w:firstLine="0"/>
        <w:jc w:val="both"/>
        <w:rPr>
          <w:rFonts w:ascii="Times New Roman" w:eastAsia="TimesNewRomanPSMT" w:hAnsi="Times New Roman" w:cs="Times New Roman"/>
          <w:lang w:eastAsia="en-IN"/>
        </w:rPr>
      </w:pPr>
      <w:r w:rsidRPr="00BF6629">
        <w:rPr>
          <w:rFonts w:ascii="Times New Roman" w:eastAsia="TimesNewRomanPSMT" w:hAnsi="Times New Roman" w:cs="Times New Roman"/>
          <w:lang w:eastAsia="en-IN"/>
        </w:rPr>
        <w:t xml:space="preserve">The </w:t>
      </w:r>
      <w:r w:rsidR="0071133C" w:rsidRPr="00BF6629">
        <w:rPr>
          <w:rFonts w:ascii="Times New Roman" w:eastAsia="TimesNewRomanPSMT" w:hAnsi="Times New Roman" w:cs="Times New Roman"/>
          <w:lang w:eastAsia="en-IN"/>
        </w:rPr>
        <w:t>EV</w:t>
      </w:r>
      <w:r w:rsidRPr="00BF6629">
        <w:rPr>
          <w:rFonts w:ascii="Times New Roman" w:eastAsia="TimesNewRomanPSMT" w:hAnsi="Times New Roman" w:cs="Times New Roman"/>
          <w:lang w:eastAsia="en-IN"/>
        </w:rPr>
        <w:t xml:space="preserve"> continually sets the </w:t>
      </w:r>
      <w:r w:rsidR="001110A7" w:rsidRPr="00BF6629">
        <w:rPr>
          <w:rFonts w:ascii="Times New Roman" w:eastAsia="TimesNewRomanPSMT" w:hAnsi="Times New Roman" w:cs="Times New Roman"/>
          <w:lang w:eastAsia="en-IN"/>
        </w:rPr>
        <w:t>higher</w:t>
      </w:r>
      <w:r w:rsidRPr="00BF6629">
        <w:rPr>
          <w:rFonts w:ascii="Times New Roman" w:eastAsia="TimesNewRomanPSMT" w:hAnsi="Times New Roman" w:cs="Times New Roman"/>
          <w:lang w:eastAsia="en-IN"/>
        </w:rPr>
        <w:t xml:space="preserve"> current for </w:t>
      </w:r>
      <w:r w:rsidR="001110A7" w:rsidRPr="00BF6629">
        <w:rPr>
          <w:rFonts w:ascii="Times New Roman" w:eastAsia="TimesNewRomanPSMT" w:hAnsi="Times New Roman" w:cs="Times New Roman"/>
          <w:lang w:eastAsia="en-IN"/>
        </w:rPr>
        <w:t>both mode</w:t>
      </w:r>
      <w:r w:rsidRPr="00BF6629">
        <w:rPr>
          <w:rFonts w:ascii="Times New Roman" w:eastAsia="TimesNewRomanPSMT" w:hAnsi="Times New Roman" w:cs="Times New Roman"/>
          <w:lang w:eastAsia="en-IN"/>
        </w:rPr>
        <w:t xml:space="preserve"> at 200ms intervals using CAN machine signaling in </w:t>
      </w:r>
      <w:proofErr w:type="spellStart"/>
      <w:r w:rsidRPr="00BF6629">
        <w:rPr>
          <w:rFonts w:ascii="Times New Roman" w:eastAsia="TimesNewRomanPSMT" w:hAnsi="Times New Roman" w:cs="Times New Roman"/>
          <w:lang w:eastAsia="en-IN"/>
        </w:rPr>
        <w:t>Chademo</w:t>
      </w:r>
      <w:proofErr w:type="spellEnd"/>
      <w:r w:rsidRPr="00BF6629">
        <w:rPr>
          <w:rFonts w:ascii="Times New Roman" w:eastAsia="TimesNewRomanPSMT" w:hAnsi="Times New Roman" w:cs="Times New Roman"/>
          <w:lang w:eastAsia="en-IN"/>
        </w:rPr>
        <w:t xml:space="preserve"> v1.2.</w:t>
      </w:r>
      <w:r w:rsidR="00E313DB" w:rsidRPr="00BF6629">
        <w:rPr>
          <w:rFonts w:ascii="Times New Roman" w:eastAsia="TimesNewRomanPSMT" w:hAnsi="Times New Roman" w:cs="Times New Roman"/>
          <w:lang w:eastAsia="en-IN"/>
        </w:rPr>
        <w:t xml:space="preserve"> </w:t>
      </w:r>
      <w:r w:rsidRPr="00BF6629">
        <w:rPr>
          <w:rFonts w:ascii="Times New Roman" w:eastAsia="TimesNewRomanPSMT" w:hAnsi="Times New Roman" w:cs="Times New Roman"/>
          <w:lang w:eastAsia="en-IN"/>
        </w:rPr>
        <w:t xml:space="preserve">The experimental configuration for enforcing V2G with a </w:t>
      </w:r>
      <w:proofErr w:type="spellStart"/>
      <w:r w:rsidRPr="00BF6629">
        <w:rPr>
          <w:rFonts w:ascii="Times New Roman" w:eastAsia="TimesNewRomanPSMT" w:hAnsi="Times New Roman" w:cs="Times New Roman"/>
          <w:lang w:eastAsia="en-IN"/>
        </w:rPr>
        <w:t>Chademo</w:t>
      </w:r>
      <w:proofErr w:type="spellEnd"/>
      <w:r w:rsidRPr="00BF6629">
        <w:rPr>
          <w:rFonts w:ascii="Times New Roman" w:eastAsia="TimesNewRomanPSMT" w:hAnsi="Times New Roman" w:cs="Times New Roman"/>
          <w:lang w:eastAsia="en-IN"/>
        </w:rPr>
        <w:t xml:space="preserve">-compatible EV </w:t>
      </w:r>
      <w:r w:rsidR="00B614AF" w:rsidRPr="00BF6629">
        <w:rPr>
          <w:rFonts w:ascii="Times New Roman" w:eastAsia="TimesNewRomanPSMT" w:hAnsi="Times New Roman" w:cs="Times New Roman"/>
          <w:b/>
          <w:lang w:eastAsia="en-IN"/>
        </w:rPr>
        <w:t>[</w:t>
      </w:r>
      <w:r w:rsidRPr="00BF6629">
        <w:rPr>
          <w:rFonts w:ascii="Times New Roman" w:eastAsia="TimesNewRomanPSMT" w:hAnsi="Times New Roman" w:cs="Times New Roman"/>
          <w:b/>
          <w:lang w:eastAsia="en-IN"/>
        </w:rPr>
        <w:t>29</w:t>
      </w:r>
      <w:r w:rsidR="00B614AF" w:rsidRPr="00BF6629">
        <w:rPr>
          <w:rFonts w:ascii="Times New Roman" w:eastAsia="TimesNewRomanPSMT" w:hAnsi="Times New Roman" w:cs="Times New Roman"/>
          <w:b/>
          <w:lang w:eastAsia="en-IN"/>
        </w:rPr>
        <w:t>]</w:t>
      </w:r>
      <w:r w:rsidRPr="00BF6629">
        <w:rPr>
          <w:rFonts w:ascii="Times New Roman" w:eastAsia="TimesNewRomanPSMT" w:hAnsi="Times New Roman" w:cs="Times New Roman"/>
          <w:lang w:eastAsia="en-IN"/>
        </w:rPr>
        <w:t xml:space="preserve"> is depicted in Fig. 2. </w:t>
      </w:r>
      <w:r w:rsidR="00C746FC" w:rsidRPr="00BF6629">
        <w:rPr>
          <w:rFonts w:ascii="Times New Roman" w:eastAsia="TimesNewRomanPSMT" w:hAnsi="Times New Roman" w:cs="Times New Roman"/>
          <w:lang w:eastAsia="en-IN"/>
        </w:rPr>
        <w:t>T</w:t>
      </w:r>
      <w:r w:rsidRPr="00BF6629">
        <w:rPr>
          <w:rFonts w:ascii="Times New Roman" w:eastAsia="TimesNewRomanPSMT" w:hAnsi="Times New Roman" w:cs="Times New Roman"/>
          <w:lang w:eastAsia="en-IN"/>
        </w:rPr>
        <w:t xml:space="preserve">o </w:t>
      </w:r>
      <w:r w:rsidR="001110A7" w:rsidRPr="00BF6629">
        <w:rPr>
          <w:rFonts w:ascii="Times New Roman" w:eastAsia="TimesNewRomanPSMT" w:hAnsi="Times New Roman" w:cs="Times New Roman"/>
          <w:lang w:eastAsia="en-IN"/>
        </w:rPr>
        <w:t>transfer energy</w:t>
      </w:r>
      <w:r w:rsidRPr="00BF6629">
        <w:rPr>
          <w:rFonts w:ascii="Times New Roman" w:eastAsia="TimesNewRomanPSMT" w:hAnsi="Times New Roman" w:cs="Times New Roman"/>
          <w:lang w:eastAsia="en-IN"/>
        </w:rPr>
        <w:t xml:space="preserve"> </w:t>
      </w:r>
      <w:r w:rsidR="001110A7" w:rsidRPr="00BF6629">
        <w:rPr>
          <w:rFonts w:ascii="Times New Roman" w:eastAsia="TimesNewRomanPSMT" w:hAnsi="Times New Roman" w:cs="Times New Roman"/>
          <w:lang w:eastAsia="en-IN"/>
        </w:rPr>
        <w:t>in the</w:t>
      </w:r>
      <w:r w:rsidRPr="00BF6629">
        <w:rPr>
          <w:rFonts w:ascii="Times New Roman" w:eastAsia="TimesNewRomanPSMT" w:hAnsi="Times New Roman" w:cs="Times New Roman"/>
          <w:lang w:eastAsia="en-IN"/>
        </w:rPr>
        <w:t xml:space="preserve"> battery independently of one another, </w:t>
      </w:r>
      <w:proofErr w:type="spellStart"/>
      <w:r w:rsidRPr="00BF6629">
        <w:rPr>
          <w:rFonts w:ascii="Times New Roman" w:eastAsia="TimesNewRomanPSMT" w:hAnsi="Times New Roman" w:cs="Times New Roman"/>
          <w:lang w:eastAsia="en-IN"/>
        </w:rPr>
        <w:t>Chademo</w:t>
      </w:r>
      <w:proofErr w:type="spellEnd"/>
      <w:r w:rsidRPr="00BF6629">
        <w:rPr>
          <w:rFonts w:ascii="Times New Roman" w:eastAsia="TimesNewRomanPSMT" w:hAnsi="Times New Roman" w:cs="Times New Roman"/>
          <w:lang w:eastAsia="en-IN"/>
        </w:rPr>
        <w:t xml:space="preserve"> employs two unidirectional transformers. a requirement on the interface of the charging protocol. </w:t>
      </w:r>
      <w:r w:rsidR="00C6745E" w:rsidRPr="00BF6629">
        <w:rPr>
          <w:rFonts w:ascii="Times New Roman" w:eastAsia="TimesNewRomanPSMT" w:hAnsi="Times New Roman" w:cs="Times New Roman"/>
          <w:lang w:eastAsia="en-IN"/>
        </w:rPr>
        <w:t xml:space="preserve">The EV battery needs to be recharged and drained at 4A, as shown by the compass. The EV battery's quick ramp up and ramp down, at 20A/s, may also be observed. </w:t>
      </w:r>
      <w:r w:rsidRPr="00BF6629">
        <w:rPr>
          <w:rFonts w:ascii="Times New Roman" w:eastAsia="TimesNewRomanPSMT" w:hAnsi="Times New Roman" w:cs="Times New Roman"/>
          <w:lang w:eastAsia="en-IN"/>
        </w:rPr>
        <w:t xml:space="preserve">As a result, EV batteries have a great deal of potential for providing a fast reaction in spinning reserve and frequency adjustment </w:t>
      </w:r>
      <w:r w:rsidR="00B614AF" w:rsidRPr="00BF6629">
        <w:rPr>
          <w:rFonts w:ascii="Times New Roman" w:eastAsia="TimesNewRomanPSMT" w:hAnsi="Times New Roman" w:cs="Times New Roman"/>
          <w:b/>
          <w:lang w:eastAsia="en-IN"/>
        </w:rPr>
        <w:t>[</w:t>
      </w:r>
      <w:r w:rsidRPr="00BF6629">
        <w:rPr>
          <w:rFonts w:ascii="Times New Roman" w:eastAsia="TimesNewRomanPSMT" w:hAnsi="Times New Roman" w:cs="Times New Roman"/>
          <w:b/>
          <w:lang w:eastAsia="en-IN"/>
        </w:rPr>
        <w:t>18, 30</w:t>
      </w:r>
      <w:r w:rsidR="00B614AF" w:rsidRPr="00BF6629">
        <w:rPr>
          <w:rFonts w:ascii="Times New Roman" w:eastAsia="TimesNewRomanPSMT" w:hAnsi="Times New Roman" w:cs="Times New Roman"/>
          <w:b/>
          <w:lang w:eastAsia="en-IN"/>
        </w:rPr>
        <w:t>]</w:t>
      </w:r>
      <w:r w:rsidRPr="00BF6629">
        <w:rPr>
          <w:rFonts w:ascii="Times New Roman" w:eastAsia="TimesNewRomanPSMT" w:hAnsi="Times New Roman" w:cs="Times New Roman"/>
          <w:b/>
          <w:lang w:eastAsia="en-IN"/>
        </w:rPr>
        <w:t>.</w:t>
      </w:r>
      <w:r w:rsidRPr="00BF6629">
        <w:rPr>
          <w:rFonts w:ascii="Times New Roman" w:eastAsia="TimesNewRomanPSMT" w:hAnsi="Times New Roman" w:cs="Times New Roman"/>
          <w:lang w:eastAsia="en-IN"/>
        </w:rPr>
        <w:t xml:space="preserve"> With a two-way EV bowl, you can use an </w:t>
      </w:r>
      <w:r w:rsidR="0071133C" w:rsidRPr="00BF6629">
        <w:rPr>
          <w:rFonts w:ascii="Times New Roman" w:eastAsia="TimesNewRomanPSMT" w:hAnsi="Times New Roman" w:cs="Times New Roman"/>
          <w:lang w:eastAsia="en-IN"/>
        </w:rPr>
        <w:t>EV</w:t>
      </w:r>
      <w:r w:rsidRPr="00BF6629">
        <w:rPr>
          <w:rFonts w:ascii="Times New Roman" w:eastAsia="TimesNewRomanPSMT" w:hAnsi="Times New Roman" w:cs="Times New Roman"/>
          <w:lang w:eastAsia="en-IN"/>
        </w:rPr>
        <w:t xml:space="preserve"> with no charge at all. Up to the bowl's rated power, regulating ability can be transferred to up and down</w:t>
      </w:r>
      <w:r w:rsidR="00C746FC" w:rsidRPr="00BF6629">
        <w:rPr>
          <w:rFonts w:ascii="Times New Roman" w:eastAsia="TimesNewRomanPSMT" w:hAnsi="Times New Roman" w:cs="Times New Roman"/>
          <w:lang w:eastAsia="en-IN"/>
        </w:rPr>
        <w:t>-</w:t>
      </w:r>
      <w:r w:rsidRPr="00BF6629">
        <w:rPr>
          <w:rFonts w:ascii="Times New Roman" w:eastAsia="TimesNewRomanPSMT" w:hAnsi="Times New Roman" w:cs="Times New Roman"/>
          <w:lang w:eastAsia="en-IN"/>
        </w:rPr>
        <w:t>regulation.</w:t>
      </w:r>
    </w:p>
    <w:p w14:paraId="3B9D3192" w14:textId="77777777" w:rsidR="0082429A" w:rsidRPr="00BF6629" w:rsidRDefault="0082429A" w:rsidP="00C746FC">
      <w:pPr>
        <w:pStyle w:val="ListParagraph"/>
        <w:numPr>
          <w:ilvl w:val="1"/>
          <w:numId w:val="15"/>
        </w:numPr>
        <w:spacing w:after="0" w:line="240" w:lineRule="auto"/>
        <w:rPr>
          <w:rFonts w:ascii="Times New Roman" w:hAnsi="Times New Roman"/>
          <w:b/>
          <w:bCs/>
          <w:sz w:val="20"/>
        </w:rPr>
      </w:pPr>
      <w:r w:rsidRPr="00BF6629">
        <w:rPr>
          <w:rFonts w:ascii="Times New Roman" w:hAnsi="Times New Roman"/>
          <w:b/>
          <w:bCs/>
          <w:sz w:val="20"/>
        </w:rPr>
        <w:t>The road ahead for V2G</w:t>
      </w:r>
    </w:p>
    <w:p w14:paraId="188391D9" w14:textId="77777777" w:rsidR="0082429A" w:rsidRPr="00BF6629" w:rsidRDefault="00B979B2" w:rsidP="00C6745E">
      <w:pPr>
        <w:jc w:val="both"/>
        <w:rPr>
          <w:rFonts w:eastAsia="TimesNewRomanPSMT"/>
          <w:sz w:val="20"/>
          <w:szCs w:val="20"/>
          <w:lang w:eastAsia="en-IN"/>
        </w:rPr>
      </w:pPr>
      <w:r w:rsidRPr="00BF6629">
        <w:rPr>
          <w:rFonts w:eastAsia="TimesNewRomanPSMT"/>
          <w:sz w:val="20"/>
          <w:szCs w:val="20"/>
          <w:lang w:eastAsia="en-IN"/>
        </w:rPr>
        <w:t xml:space="preserve">Rising battery degradation and the high price of bidirectional EVs are two of the main obstacles to the widespread adoption of V2G. Dishes in comparison to unidirectional, and the absence of profit-motivating aqueducts to promote its use. </w:t>
      </w:r>
      <w:proofErr w:type="spellStart"/>
      <w:r w:rsidRPr="00BF6629">
        <w:rPr>
          <w:rFonts w:eastAsia="TimesNewRomanPSMT"/>
          <w:sz w:val="20"/>
          <w:szCs w:val="20"/>
          <w:lang w:eastAsia="en-IN"/>
        </w:rPr>
        <w:t>Chademo</w:t>
      </w:r>
      <w:proofErr w:type="spellEnd"/>
      <w:r w:rsidRPr="00BF6629">
        <w:rPr>
          <w:rFonts w:eastAsia="TimesNewRomanPSMT"/>
          <w:sz w:val="20"/>
          <w:szCs w:val="20"/>
          <w:lang w:eastAsia="en-IN"/>
        </w:rPr>
        <w:t xml:space="preserve"> has proposed using V2G to provide emergency power in the event of a blackout. </w:t>
      </w:r>
      <w:r w:rsidR="00C6745E" w:rsidRPr="00BF6629">
        <w:rPr>
          <w:rFonts w:eastAsia="TimesNewRomanPSMT"/>
          <w:sz w:val="20"/>
          <w:szCs w:val="20"/>
          <w:lang w:eastAsia="en-IN"/>
        </w:rPr>
        <w:t>With the broad deployment of intelligent charging, V2G will be crucial in the future.</w:t>
      </w:r>
    </w:p>
    <w:p w14:paraId="0A7EE337" w14:textId="77777777" w:rsidR="00C6745E" w:rsidRPr="00BF6629" w:rsidRDefault="00C6745E" w:rsidP="00C6745E">
      <w:pPr>
        <w:jc w:val="both"/>
        <w:rPr>
          <w:rFonts w:eastAsiaTheme="minorHAnsi"/>
        </w:rPr>
      </w:pPr>
    </w:p>
    <w:p w14:paraId="40DF5CFE" w14:textId="77777777" w:rsidR="0082429A" w:rsidRPr="00BF6629" w:rsidRDefault="0082429A" w:rsidP="000A0969">
      <w:pPr>
        <w:pStyle w:val="ListParagraph"/>
        <w:numPr>
          <w:ilvl w:val="0"/>
          <w:numId w:val="15"/>
        </w:numPr>
        <w:spacing w:line="240" w:lineRule="auto"/>
        <w:ind w:left="567" w:hanging="567"/>
        <w:jc w:val="center"/>
        <w:rPr>
          <w:rFonts w:ascii="Times New Roman" w:hAnsi="Times New Roman"/>
          <w:b/>
          <w:bCs/>
          <w:sz w:val="23"/>
          <w:szCs w:val="23"/>
        </w:rPr>
      </w:pPr>
      <w:r w:rsidRPr="00BF6629">
        <w:rPr>
          <w:rFonts w:ascii="Times New Roman" w:hAnsi="Times New Roman"/>
          <w:b/>
          <w:bCs/>
          <w:sz w:val="23"/>
          <w:szCs w:val="23"/>
        </w:rPr>
        <w:t>SOLAR CHARGING OF EVS</w:t>
      </w:r>
    </w:p>
    <w:p w14:paraId="53FF55F6" w14:textId="77777777" w:rsidR="00BC788C" w:rsidRPr="00BF6629" w:rsidRDefault="00B979B2" w:rsidP="00872129">
      <w:pPr>
        <w:jc w:val="both"/>
        <w:rPr>
          <w:rFonts w:eastAsia="TimesNewRomanPSMT"/>
          <w:sz w:val="20"/>
          <w:szCs w:val="20"/>
          <w:lang w:eastAsia="en-IN"/>
        </w:rPr>
      </w:pPr>
      <w:r w:rsidRPr="00BF6629">
        <w:rPr>
          <w:rFonts w:eastAsia="TimesNewRomanPSMT"/>
          <w:sz w:val="20"/>
          <w:szCs w:val="20"/>
          <w:lang w:eastAsia="en-IN"/>
        </w:rPr>
        <w:t>It is crucial because the charging process of electric vehicles leads to zero net CO2 emissions. All of the power for the framework comes from eco-friendly resources. Then, the decreasing prices of PV over time and the simplicity of integrating into the distribution network become key factors. Rooftops and garages can be fitted with PV panels for solar EV charging, making sites like workplaces and artificial spaces perfect for this purpose. In addition to a net decrease in CO2 emissions, charging EVs from PV has several other benefi</w:t>
      </w:r>
      <w:r w:rsidR="00872129" w:rsidRPr="00BF6629">
        <w:rPr>
          <w:rFonts w:eastAsia="TimesNewRomanPSMT"/>
          <w:sz w:val="20"/>
          <w:szCs w:val="20"/>
          <w:lang w:eastAsia="en-IN"/>
        </w:rPr>
        <w:t xml:space="preserve">ts such as </w:t>
      </w:r>
      <w:r w:rsidR="00BC788C" w:rsidRPr="00BF6629">
        <w:rPr>
          <w:rFonts w:eastAsia="TimesNewRomanPSMT"/>
          <w:sz w:val="20"/>
          <w:lang w:eastAsia="en-IN"/>
        </w:rPr>
        <w:t>EV batter</w:t>
      </w:r>
      <w:r w:rsidR="00C746FC" w:rsidRPr="00BF6629">
        <w:rPr>
          <w:rFonts w:eastAsia="TimesNewRomanPSMT"/>
          <w:sz w:val="20"/>
          <w:lang w:eastAsia="en-IN"/>
        </w:rPr>
        <w:t>ies</w:t>
      </w:r>
      <w:r w:rsidR="00BC788C" w:rsidRPr="00BF6629">
        <w:rPr>
          <w:rFonts w:eastAsia="TimesNewRomanPSMT"/>
          <w:sz w:val="20"/>
          <w:lang w:eastAsia="en-IN"/>
        </w:rPr>
        <w:t xml:space="preserve"> may serve as an</w:t>
      </w:r>
      <w:r w:rsidR="00872129" w:rsidRPr="00BF6629">
        <w:rPr>
          <w:rFonts w:eastAsia="TimesNewRomanPSMT"/>
          <w:sz w:val="20"/>
          <w:lang w:eastAsia="en-IN"/>
        </w:rPr>
        <w:t xml:space="preserve"> energy storage facility for PV, l</w:t>
      </w:r>
      <w:r w:rsidR="00BC788C" w:rsidRPr="00BF6629">
        <w:rPr>
          <w:rFonts w:eastAsia="TimesNewRomanPSMT"/>
          <w:sz w:val="20"/>
          <w:lang w:eastAsia="en-IN"/>
        </w:rPr>
        <w:t xml:space="preserve">ower grid usage because EV charging electricity is </w:t>
      </w:r>
      <w:r w:rsidR="00BC788C" w:rsidRPr="00BF6629">
        <w:rPr>
          <w:rFonts w:eastAsia="TimesNewRomanPSMT"/>
          <w:sz w:val="20"/>
          <w:lang w:eastAsia="en-IN"/>
        </w:rPr>
        <w:t xml:space="preserve">generated locally from PV. </w:t>
      </w:r>
      <w:r w:rsidR="00B614AF" w:rsidRPr="00BF6629">
        <w:rPr>
          <w:rFonts w:eastAsia="TimesNewRomanPSMT"/>
          <w:b/>
          <w:sz w:val="20"/>
          <w:lang w:eastAsia="en-IN"/>
        </w:rPr>
        <w:t>[</w:t>
      </w:r>
      <w:r w:rsidR="00BC788C" w:rsidRPr="00BF6629">
        <w:rPr>
          <w:rFonts w:eastAsia="TimesNewRomanPSMT"/>
          <w:b/>
          <w:sz w:val="20"/>
          <w:lang w:eastAsia="en-IN"/>
        </w:rPr>
        <w:t>31</w:t>
      </w:r>
      <w:r w:rsidR="00B614AF" w:rsidRPr="00BF6629">
        <w:rPr>
          <w:rFonts w:eastAsia="TimesNewRomanPSMT"/>
          <w:b/>
          <w:sz w:val="20"/>
          <w:lang w:eastAsia="en-IN"/>
        </w:rPr>
        <w:t>]</w:t>
      </w:r>
      <w:r w:rsidR="00872129" w:rsidRPr="00BF6629">
        <w:rPr>
          <w:rFonts w:eastAsia="TimesNewRomanPSMT"/>
          <w:b/>
          <w:sz w:val="20"/>
          <w:lang w:eastAsia="en-IN"/>
        </w:rPr>
        <w:t xml:space="preserve">, </w:t>
      </w:r>
      <w:r w:rsidR="00872129" w:rsidRPr="00BF6629">
        <w:rPr>
          <w:rFonts w:eastAsia="TimesNewRomanPSMT"/>
          <w:sz w:val="20"/>
          <w:lang w:eastAsia="en-IN"/>
        </w:rPr>
        <w:t>and</w:t>
      </w:r>
      <w:r w:rsidR="00872129" w:rsidRPr="00BF6629">
        <w:rPr>
          <w:rFonts w:eastAsia="TimesNewRomanPSMT"/>
          <w:b/>
          <w:sz w:val="20"/>
          <w:lang w:eastAsia="en-IN"/>
        </w:rPr>
        <w:t xml:space="preserve"> </w:t>
      </w:r>
      <w:proofErr w:type="gramStart"/>
      <w:r w:rsidR="00872129" w:rsidRPr="00BF6629">
        <w:rPr>
          <w:rFonts w:eastAsia="TimesNewRomanPSMT"/>
          <w:sz w:val="20"/>
          <w:lang w:eastAsia="en-IN"/>
        </w:rPr>
        <w:t xml:space="preserve">decrease </w:t>
      </w:r>
      <w:r w:rsidR="00BC788C" w:rsidRPr="00BF6629">
        <w:rPr>
          <w:rFonts w:eastAsia="TimesNewRomanPSMT"/>
          <w:sz w:val="20"/>
          <w:lang w:eastAsia="en-IN"/>
        </w:rPr>
        <w:t xml:space="preserve"> </w:t>
      </w:r>
      <w:r w:rsidR="00872129" w:rsidRPr="00BF6629">
        <w:rPr>
          <w:rFonts w:eastAsia="TimesNewRomanPSMT"/>
          <w:sz w:val="20"/>
          <w:lang w:eastAsia="en-IN"/>
        </w:rPr>
        <w:t>per</w:t>
      </w:r>
      <w:proofErr w:type="gramEnd"/>
      <w:r w:rsidR="00872129" w:rsidRPr="00BF6629">
        <w:rPr>
          <w:rFonts w:eastAsia="TimesNewRomanPSMT"/>
          <w:sz w:val="20"/>
          <w:lang w:eastAsia="en-IN"/>
        </w:rPr>
        <w:t xml:space="preserve"> unit </w:t>
      </w:r>
      <w:r w:rsidR="00BC788C" w:rsidRPr="00BF6629">
        <w:rPr>
          <w:rFonts w:eastAsia="TimesNewRomanPSMT"/>
          <w:sz w:val="20"/>
          <w:lang w:eastAsia="en-IN"/>
        </w:rPr>
        <w:t xml:space="preserve">costs and the effect of changes in PV feed-in rates </w:t>
      </w:r>
      <w:r w:rsidR="00B614AF" w:rsidRPr="00BF6629">
        <w:rPr>
          <w:rFonts w:eastAsia="TimesNewRomanPSMT"/>
          <w:b/>
          <w:sz w:val="20"/>
          <w:lang w:eastAsia="en-IN"/>
        </w:rPr>
        <w:t>[</w:t>
      </w:r>
      <w:r w:rsidR="00BC788C" w:rsidRPr="00BF6629">
        <w:rPr>
          <w:rFonts w:eastAsia="TimesNewRomanPSMT"/>
          <w:b/>
          <w:sz w:val="20"/>
          <w:lang w:eastAsia="en-IN"/>
        </w:rPr>
        <w:t>8</w:t>
      </w:r>
      <w:r w:rsidR="00B614AF" w:rsidRPr="00BF6629">
        <w:rPr>
          <w:rFonts w:eastAsia="TimesNewRomanPSMT"/>
          <w:b/>
          <w:sz w:val="20"/>
          <w:lang w:eastAsia="en-IN"/>
        </w:rPr>
        <w:t>]</w:t>
      </w:r>
    </w:p>
    <w:p w14:paraId="0591A878" w14:textId="77777777" w:rsidR="00872129" w:rsidRPr="00BF6629" w:rsidRDefault="00872129" w:rsidP="00872129">
      <w:pPr>
        <w:jc w:val="both"/>
        <w:rPr>
          <w:rFonts w:eastAsia="TimesNewRomanPSMT"/>
          <w:sz w:val="20"/>
          <w:szCs w:val="20"/>
          <w:lang w:eastAsia="en-IN"/>
        </w:rPr>
      </w:pPr>
    </w:p>
    <w:p w14:paraId="3FF8BEDD" w14:textId="77777777" w:rsidR="00BC788C" w:rsidRPr="00BF6629" w:rsidRDefault="00872129" w:rsidP="00C746FC">
      <w:pPr>
        <w:pStyle w:val="ListParagraph"/>
        <w:numPr>
          <w:ilvl w:val="1"/>
          <w:numId w:val="15"/>
        </w:numPr>
        <w:spacing w:after="0" w:line="240" w:lineRule="auto"/>
        <w:rPr>
          <w:rFonts w:ascii="Times New Roman" w:hAnsi="Times New Roman"/>
          <w:b/>
          <w:bCs/>
          <w:sz w:val="20"/>
        </w:rPr>
      </w:pPr>
      <w:r w:rsidRPr="00BF6629">
        <w:rPr>
          <w:rFonts w:ascii="Times New Roman" w:hAnsi="Times New Roman"/>
          <w:b/>
          <w:bCs/>
          <w:sz w:val="20"/>
        </w:rPr>
        <w:t>AC charging</w:t>
      </w:r>
    </w:p>
    <w:p w14:paraId="44BEF1C3" w14:textId="77777777" w:rsidR="00C746FC" w:rsidRPr="00BF6629" w:rsidRDefault="00BC788C" w:rsidP="00872129">
      <w:pPr>
        <w:jc w:val="both"/>
        <w:rPr>
          <w:rFonts w:eastAsia="TimesNewRomanPSMT"/>
          <w:sz w:val="20"/>
          <w:szCs w:val="20"/>
          <w:lang w:eastAsia="en-IN"/>
        </w:rPr>
      </w:pPr>
      <w:r w:rsidRPr="00BF6629">
        <w:rPr>
          <w:rFonts w:eastAsia="TimesNewRomanPSMT"/>
          <w:sz w:val="20"/>
          <w:szCs w:val="20"/>
          <w:lang w:eastAsia="en-IN"/>
        </w:rPr>
        <w:t xml:space="preserve">As demonstrated in Fig. 4, EV charging from PV can be accomplished </w:t>
      </w:r>
      <w:r w:rsidR="00C746FC" w:rsidRPr="00BF6629">
        <w:rPr>
          <w:rFonts w:eastAsia="TimesNewRomanPSMT"/>
          <w:sz w:val="20"/>
          <w:szCs w:val="20"/>
          <w:lang w:eastAsia="en-IN"/>
        </w:rPr>
        <w:t xml:space="preserve">by </w:t>
      </w:r>
      <w:r w:rsidRPr="00BF6629">
        <w:rPr>
          <w:rFonts w:eastAsia="TimesNewRomanPSMT"/>
          <w:sz w:val="20"/>
          <w:szCs w:val="20"/>
          <w:lang w:eastAsia="en-IN"/>
        </w:rPr>
        <w:t>utili</w:t>
      </w:r>
      <w:r w:rsidR="00C746FC" w:rsidRPr="00BF6629">
        <w:rPr>
          <w:rFonts w:eastAsia="TimesNewRomanPSMT"/>
          <w:sz w:val="20"/>
          <w:szCs w:val="20"/>
          <w:lang w:eastAsia="en-IN"/>
        </w:rPr>
        <w:t>z</w:t>
      </w:r>
      <w:r w:rsidRPr="00BF6629">
        <w:rPr>
          <w:rFonts w:eastAsia="TimesNewRomanPSMT"/>
          <w:sz w:val="20"/>
          <w:szCs w:val="20"/>
          <w:lang w:eastAsia="en-IN"/>
        </w:rPr>
        <w:t xml:space="preserve">ing a regular PV inverter and EV bowls that are both linked to the AC grid. Nonetheless, this. AC connections are less effective than DC connections because </w:t>
      </w:r>
      <w:r w:rsidRPr="00BF6629">
        <w:rPr>
          <w:rFonts w:eastAsia="TimesNewRomanPSMT"/>
          <w:sz w:val="20"/>
          <w:lang w:eastAsia="en-IN"/>
        </w:rPr>
        <w:t xml:space="preserve">PV and EV are, abnormally DC. Switching power over AC results in a new converting path and losses </w:t>
      </w:r>
      <w:r w:rsidR="00B614AF" w:rsidRPr="00BF6629">
        <w:rPr>
          <w:rFonts w:eastAsia="TimesNewRomanPSMT"/>
          <w:b/>
          <w:sz w:val="20"/>
          <w:lang w:eastAsia="en-IN"/>
        </w:rPr>
        <w:t>[</w:t>
      </w:r>
      <w:r w:rsidRPr="00BF6629">
        <w:rPr>
          <w:rFonts w:eastAsia="TimesNewRomanPSMT"/>
          <w:b/>
          <w:sz w:val="20"/>
          <w:lang w:eastAsia="en-IN"/>
        </w:rPr>
        <w:t>6</w:t>
      </w:r>
      <w:r w:rsidR="0071133C" w:rsidRPr="00BF6629">
        <w:rPr>
          <w:rFonts w:eastAsia="TimesNewRomanPSMT"/>
          <w:b/>
          <w:sz w:val="20"/>
          <w:lang w:eastAsia="en-IN"/>
        </w:rPr>
        <w:t>-</w:t>
      </w:r>
      <w:r w:rsidRPr="00BF6629">
        <w:rPr>
          <w:rFonts w:eastAsia="TimesNewRomanPSMT"/>
          <w:b/>
          <w:sz w:val="20"/>
          <w:lang w:eastAsia="en-IN"/>
        </w:rPr>
        <w:t>7</w:t>
      </w:r>
      <w:r w:rsidR="00B614AF" w:rsidRPr="00BF6629">
        <w:rPr>
          <w:rFonts w:eastAsia="TimesNewRomanPSMT"/>
          <w:b/>
          <w:sz w:val="20"/>
          <w:lang w:eastAsia="en-IN"/>
        </w:rPr>
        <w:t>]</w:t>
      </w:r>
      <w:r w:rsidRPr="00BF6629">
        <w:rPr>
          <w:rFonts w:eastAsia="TimesNewRomanPSMT"/>
          <w:b/>
          <w:sz w:val="20"/>
          <w:lang w:eastAsia="en-IN"/>
        </w:rPr>
        <w:t>.</w:t>
      </w:r>
      <w:r w:rsidRPr="00BF6629">
        <w:rPr>
          <w:rFonts w:eastAsia="TimesNewRomanPSMT"/>
          <w:sz w:val="20"/>
          <w:lang w:eastAsia="en-IN"/>
        </w:rPr>
        <w:t xml:space="preserve"> Two inverters may be required, one for each of the PV and EV systems.</w:t>
      </w:r>
      <w:r w:rsidR="00872129" w:rsidRPr="00BF6629">
        <w:rPr>
          <w:rFonts w:eastAsia="TimesNewRomanPSMT"/>
          <w:sz w:val="20"/>
          <w:szCs w:val="20"/>
          <w:lang w:eastAsia="en-IN"/>
        </w:rPr>
        <w:t xml:space="preserve"> </w:t>
      </w:r>
      <w:r w:rsidRPr="00BF6629">
        <w:rPr>
          <w:rFonts w:eastAsia="TimesNewRomanPSMT"/>
          <w:sz w:val="20"/>
          <w:lang w:eastAsia="en-IN"/>
        </w:rPr>
        <w:t xml:space="preserve">If the EV is to be charged grounded on PV power, communications among the transformer </w:t>
      </w:r>
      <w:r w:rsidR="00C746FC" w:rsidRPr="00BF6629">
        <w:rPr>
          <w:rFonts w:eastAsia="TimesNewRomanPSMT"/>
          <w:sz w:val="20"/>
          <w:lang w:eastAsia="en-IN"/>
        </w:rPr>
        <w:t>are</w:t>
      </w:r>
      <w:r w:rsidRPr="00BF6629">
        <w:rPr>
          <w:rFonts w:eastAsia="TimesNewRomanPSMT"/>
          <w:sz w:val="20"/>
          <w:lang w:eastAsia="en-IN"/>
        </w:rPr>
        <w:t xml:space="preserve"> required.</w:t>
      </w:r>
    </w:p>
    <w:p w14:paraId="6C4D98A2" w14:textId="77777777" w:rsidR="00872129" w:rsidRPr="00BF6629" w:rsidRDefault="00872129" w:rsidP="000A0969">
      <w:pPr>
        <w:pStyle w:val="ListParagraph"/>
        <w:ind w:left="270"/>
        <w:rPr>
          <w:rFonts w:ascii="Times New Roman" w:eastAsia="TimesNewRomanPSMT" w:hAnsi="Times New Roman"/>
          <w:sz w:val="20"/>
          <w:lang w:eastAsia="en-IN"/>
        </w:rPr>
      </w:pPr>
    </w:p>
    <w:p w14:paraId="77E57409" w14:textId="77777777" w:rsidR="00D1314F" w:rsidRPr="00BF6629" w:rsidRDefault="00872129" w:rsidP="00C746FC">
      <w:pPr>
        <w:pStyle w:val="ListParagraph"/>
        <w:numPr>
          <w:ilvl w:val="1"/>
          <w:numId w:val="15"/>
        </w:numPr>
        <w:spacing w:after="0" w:line="240" w:lineRule="auto"/>
        <w:rPr>
          <w:rFonts w:ascii="Times New Roman" w:hAnsi="Times New Roman"/>
          <w:b/>
          <w:bCs/>
          <w:sz w:val="20"/>
        </w:rPr>
      </w:pPr>
      <w:r w:rsidRPr="00BF6629">
        <w:rPr>
          <w:rFonts w:ascii="Times New Roman" w:hAnsi="Times New Roman"/>
          <w:b/>
          <w:bCs/>
          <w:sz w:val="20"/>
        </w:rPr>
        <w:t>DC charging</w:t>
      </w:r>
    </w:p>
    <w:p w14:paraId="38A180C5" w14:textId="77777777" w:rsidR="00C746FC" w:rsidRPr="00BF6629" w:rsidRDefault="00B979B2" w:rsidP="00C746FC">
      <w:pPr>
        <w:jc w:val="both"/>
        <w:rPr>
          <w:rFonts w:eastAsia="TimesNewRomanPSMT"/>
          <w:sz w:val="20"/>
          <w:szCs w:val="20"/>
          <w:lang w:eastAsia="en-IN"/>
        </w:rPr>
      </w:pPr>
      <w:r w:rsidRPr="00BF6629">
        <w:rPr>
          <w:rFonts w:eastAsia="TimesNewRomanPSMT"/>
          <w:sz w:val="20"/>
          <w:szCs w:val="20"/>
          <w:lang w:eastAsia="en-IN"/>
        </w:rPr>
        <w:t xml:space="preserve">A more </w:t>
      </w:r>
      <w:r w:rsidR="00CF25CA" w:rsidRPr="00BF6629">
        <w:rPr>
          <w:rFonts w:eastAsia="TimesNewRomanPSMT"/>
          <w:sz w:val="20"/>
          <w:szCs w:val="20"/>
          <w:lang w:eastAsia="en-IN"/>
        </w:rPr>
        <w:t>favorable</w:t>
      </w:r>
      <w:r w:rsidRPr="00BF6629">
        <w:rPr>
          <w:rFonts w:eastAsia="TimesNewRomanPSMT"/>
          <w:sz w:val="20"/>
          <w:szCs w:val="20"/>
          <w:lang w:eastAsia="en-IN"/>
        </w:rPr>
        <w:t xml:space="preserve"> outcome can be achieved by avoiding the problems listed underneath. Using a unified multi-port motor integrated with EV, PV, and Grid connections, as </w:t>
      </w:r>
      <w:r w:rsidR="00D1314F" w:rsidRPr="00BF6629">
        <w:rPr>
          <w:rFonts w:eastAsia="TimesNewRomanPSMT"/>
          <w:sz w:val="20"/>
          <w:szCs w:val="20"/>
          <w:lang w:eastAsia="en-IN"/>
        </w:rPr>
        <w:t>displayed</w:t>
      </w:r>
      <w:r w:rsidRPr="00BF6629">
        <w:rPr>
          <w:rFonts w:eastAsia="TimesNewRomanPSMT"/>
          <w:sz w:val="20"/>
          <w:szCs w:val="20"/>
          <w:lang w:eastAsia="en-IN"/>
        </w:rPr>
        <w:t xml:space="preserve"> in Fig. 4</w:t>
      </w:r>
      <w:r w:rsidR="00954FA0" w:rsidRPr="00BF6629">
        <w:rPr>
          <w:rFonts w:eastAsia="TimesNewRomanPSMT"/>
          <w:sz w:val="20"/>
          <w:szCs w:val="20"/>
          <w:lang w:eastAsia="en-IN"/>
        </w:rPr>
        <w:t xml:space="preserve"> </w:t>
      </w:r>
      <w:r w:rsidR="00954FA0" w:rsidRPr="00BF6629">
        <w:rPr>
          <w:rFonts w:eastAsia="TimesNewRomanPSMT"/>
          <w:b/>
          <w:sz w:val="20"/>
          <w:szCs w:val="20"/>
          <w:lang w:eastAsia="en-IN"/>
        </w:rPr>
        <w:t>[</w:t>
      </w:r>
      <w:r w:rsidRPr="00BF6629">
        <w:rPr>
          <w:rFonts w:eastAsia="TimesNewRomanPSMT"/>
          <w:b/>
          <w:sz w:val="20"/>
          <w:szCs w:val="20"/>
          <w:lang w:eastAsia="en-IN"/>
        </w:rPr>
        <w:t>6</w:t>
      </w:r>
      <w:r w:rsidR="00D1314F" w:rsidRPr="00BF6629">
        <w:rPr>
          <w:rFonts w:eastAsia="TimesNewRomanPSMT"/>
          <w:b/>
          <w:sz w:val="20"/>
          <w:szCs w:val="20"/>
          <w:lang w:eastAsia="en-IN"/>
        </w:rPr>
        <w:t>-</w:t>
      </w:r>
      <w:r w:rsidRPr="00BF6629">
        <w:rPr>
          <w:rFonts w:eastAsia="TimesNewRomanPSMT"/>
          <w:b/>
          <w:sz w:val="20"/>
          <w:szCs w:val="20"/>
          <w:lang w:eastAsia="en-IN"/>
        </w:rPr>
        <w:t>7</w:t>
      </w:r>
      <w:r w:rsidR="00954FA0" w:rsidRPr="00BF6629">
        <w:rPr>
          <w:rFonts w:eastAsia="TimesNewRomanPSMT"/>
          <w:b/>
          <w:sz w:val="20"/>
          <w:szCs w:val="20"/>
          <w:lang w:eastAsia="en-IN"/>
        </w:rPr>
        <w:t>] [</w:t>
      </w:r>
      <w:r w:rsidRPr="00BF6629">
        <w:rPr>
          <w:rFonts w:eastAsia="TimesNewRomanPSMT"/>
          <w:b/>
          <w:sz w:val="20"/>
          <w:szCs w:val="20"/>
          <w:lang w:eastAsia="en-IN"/>
        </w:rPr>
        <w:t>32&amp;26</w:t>
      </w:r>
      <w:r w:rsidR="00954FA0" w:rsidRPr="00BF6629">
        <w:rPr>
          <w:rFonts w:eastAsia="TimesNewRomanPSMT"/>
          <w:b/>
          <w:sz w:val="20"/>
          <w:szCs w:val="20"/>
          <w:lang w:eastAsia="en-IN"/>
        </w:rPr>
        <w:t>]</w:t>
      </w:r>
      <w:r w:rsidRPr="00BF6629">
        <w:rPr>
          <w:rFonts w:eastAsia="TimesNewRomanPSMT"/>
          <w:b/>
          <w:sz w:val="20"/>
          <w:szCs w:val="20"/>
          <w:lang w:eastAsia="en-IN"/>
        </w:rPr>
        <w:t>.</w:t>
      </w:r>
      <w:r w:rsidRPr="00BF6629">
        <w:rPr>
          <w:rFonts w:eastAsia="TimesNewRomanPSMT"/>
          <w:sz w:val="20"/>
          <w:szCs w:val="20"/>
          <w:lang w:eastAsia="en-IN"/>
        </w:rPr>
        <w:t xml:space="preserve"> DC-DC motor for PV, DC-DC insulated motor for EV, and a DC-DC link connecting them all. As well as a DC-AC inverter for connecting to the AC network.</w:t>
      </w:r>
      <w:r w:rsidR="007A219B" w:rsidRPr="00BF6629">
        <w:rPr>
          <w:rFonts w:eastAsia="TimesNewRomanPSMT"/>
          <w:sz w:val="20"/>
          <w:szCs w:val="20"/>
          <w:lang w:eastAsia="en-IN"/>
        </w:rPr>
        <w:t xml:space="preserve"> The safety of EVs requires an insulated motor, which is put into doubt by EV charging requirements. The PV motor provides maximum power point shading for the solar array, and the EV charging current is controlled by grounding the bowl</w:t>
      </w:r>
      <w:r w:rsidRPr="00BF6629">
        <w:rPr>
          <w:rFonts w:eastAsia="TimesNewRomanPSMT"/>
          <w:sz w:val="20"/>
          <w:szCs w:val="20"/>
          <w:lang w:eastAsia="en-IN"/>
        </w:rPr>
        <w:t xml:space="preserve">. Fig. 5 depicts one such three-harborage motor that can be used to charge electric vehicles </w:t>
      </w:r>
      <w:r w:rsidR="00954FA0" w:rsidRPr="00BF6629">
        <w:rPr>
          <w:rFonts w:eastAsia="TimesNewRomanPSMT"/>
          <w:b/>
          <w:sz w:val="20"/>
          <w:szCs w:val="20"/>
          <w:lang w:eastAsia="en-IN"/>
        </w:rPr>
        <w:t>[</w:t>
      </w:r>
      <w:r w:rsidRPr="00BF6629">
        <w:rPr>
          <w:rFonts w:eastAsia="TimesNewRomanPSMT"/>
          <w:b/>
          <w:sz w:val="20"/>
          <w:szCs w:val="20"/>
          <w:lang w:eastAsia="en-IN"/>
        </w:rPr>
        <w:t>33</w:t>
      </w:r>
      <w:r w:rsidR="00954FA0" w:rsidRPr="00BF6629">
        <w:rPr>
          <w:rFonts w:eastAsia="TimesNewRomanPSMT"/>
          <w:b/>
          <w:sz w:val="20"/>
          <w:szCs w:val="20"/>
          <w:lang w:eastAsia="en-IN"/>
        </w:rPr>
        <w:t>]</w:t>
      </w:r>
      <w:r w:rsidRPr="00BF6629">
        <w:rPr>
          <w:rFonts w:eastAsia="TimesNewRomanPSMT"/>
          <w:b/>
          <w:sz w:val="20"/>
          <w:szCs w:val="20"/>
          <w:lang w:eastAsia="en-IN"/>
        </w:rPr>
        <w:t>.</w:t>
      </w:r>
      <w:r w:rsidRPr="00BF6629">
        <w:rPr>
          <w:rFonts w:eastAsia="TimesNewRomanPSMT"/>
          <w:sz w:val="20"/>
          <w:szCs w:val="20"/>
          <w:lang w:eastAsia="en-IN"/>
        </w:rPr>
        <w:t xml:space="preserve"> The EV sub-converter has a high-frequency, bidirectional, insulated topology that is grounded on the flyback motor. This aids in </w:t>
      </w:r>
      <w:r w:rsidR="00CF25CA" w:rsidRPr="00BF6629">
        <w:rPr>
          <w:rFonts w:eastAsia="TimesNewRomanPSMT"/>
          <w:sz w:val="20"/>
          <w:szCs w:val="20"/>
          <w:lang w:eastAsia="en-IN"/>
        </w:rPr>
        <w:t>minimizing</w:t>
      </w:r>
      <w:r w:rsidRPr="00BF6629">
        <w:rPr>
          <w:rFonts w:eastAsia="TimesNewRomanPSMT"/>
          <w:sz w:val="20"/>
          <w:szCs w:val="20"/>
          <w:lang w:eastAsia="en-IN"/>
        </w:rPr>
        <w:t xml:space="preserve"> motor size and makes V2G enforcement possible. The PV sub-converter </w:t>
      </w:r>
      <w:r w:rsidR="00954FA0" w:rsidRPr="00BF6629">
        <w:rPr>
          <w:rFonts w:eastAsia="TimesNewRomanPSMT"/>
          <w:b/>
          <w:sz w:val="20"/>
          <w:szCs w:val="20"/>
          <w:lang w:eastAsia="en-IN"/>
        </w:rPr>
        <w:t>[</w:t>
      </w:r>
      <w:r w:rsidRPr="00BF6629">
        <w:rPr>
          <w:rFonts w:eastAsia="TimesNewRomanPSMT"/>
          <w:b/>
          <w:sz w:val="20"/>
          <w:szCs w:val="20"/>
          <w:lang w:eastAsia="en-IN"/>
        </w:rPr>
        <w:t>34</w:t>
      </w:r>
      <w:r w:rsidR="00954FA0" w:rsidRPr="00BF6629">
        <w:rPr>
          <w:rFonts w:eastAsia="TimesNewRomanPSMT"/>
          <w:b/>
          <w:sz w:val="20"/>
          <w:szCs w:val="20"/>
          <w:lang w:eastAsia="en-IN"/>
        </w:rPr>
        <w:t>]</w:t>
      </w:r>
      <w:r w:rsidRPr="00BF6629">
        <w:rPr>
          <w:rFonts w:eastAsia="TimesNewRomanPSMT"/>
          <w:sz w:val="20"/>
          <w:szCs w:val="20"/>
          <w:lang w:eastAsia="en-IN"/>
        </w:rPr>
        <w:t xml:space="preserve"> </w:t>
      </w:r>
      <w:r w:rsidR="00CF25CA" w:rsidRPr="00BF6629">
        <w:rPr>
          <w:rFonts w:eastAsia="TimesNewRomanPSMT"/>
          <w:sz w:val="20"/>
          <w:szCs w:val="20"/>
          <w:lang w:eastAsia="en-IN"/>
        </w:rPr>
        <w:t>utilizes</w:t>
      </w:r>
      <w:r w:rsidRPr="00BF6629">
        <w:rPr>
          <w:rFonts w:eastAsia="TimesNewRomanPSMT"/>
          <w:sz w:val="20"/>
          <w:szCs w:val="20"/>
          <w:lang w:eastAsia="en-IN"/>
        </w:rPr>
        <w:t xml:space="preserve"> an interleaved boost motor. Interleaving,</w:t>
      </w:r>
    </w:p>
    <w:p w14:paraId="26D5D704" w14:textId="77777777" w:rsidR="0071133C" w:rsidRPr="00BF6629" w:rsidRDefault="0071133C" w:rsidP="00C746FC">
      <w:pPr>
        <w:jc w:val="both"/>
        <w:rPr>
          <w:rFonts w:eastAsia="TimesNewRomanPSMT"/>
          <w:sz w:val="20"/>
          <w:szCs w:val="20"/>
          <w:lang w:eastAsia="en-IN"/>
        </w:rPr>
      </w:pPr>
    </w:p>
    <w:p w14:paraId="74A678EF" w14:textId="295EC82F" w:rsidR="00D74363" w:rsidRPr="00BF6629" w:rsidRDefault="000A0969" w:rsidP="004E43E1">
      <w:r w:rsidRPr="00BF6629">
        <w:object w:dxaOrig="9382" w:dyaOrig="5233" w14:anchorId="51A242CB">
          <v:shape id="_x0000_i1030" type="#_x0000_t75" style="width:225pt;height:112.8pt" o:ole="">
            <v:imagedata r:id="rId23" o:title=""/>
          </v:shape>
          <o:OLEObject Type="Embed" ProgID="Visio.Drawing.11" ShapeID="_x0000_i1030" DrawAspect="Content" ObjectID="_1754769682" r:id="rId24"/>
        </w:object>
      </w:r>
    </w:p>
    <w:p w14:paraId="317A69C7" w14:textId="77777777" w:rsidR="0071133C" w:rsidRPr="00BF6629" w:rsidRDefault="0071133C" w:rsidP="004A42DE">
      <w:pPr>
        <w:jc w:val="center"/>
        <w:rPr>
          <w:rFonts w:eastAsia="TimesNewRomanPSMT"/>
          <w:sz w:val="20"/>
          <w:szCs w:val="20"/>
          <w:lang w:eastAsia="en-IN"/>
        </w:rPr>
      </w:pPr>
    </w:p>
    <w:p w14:paraId="4038C1FF" w14:textId="77777777" w:rsidR="00D74363" w:rsidRPr="003B74D0" w:rsidRDefault="00D74363" w:rsidP="000A0969">
      <w:pPr>
        <w:jc w:val="center"/>
        <w:rPr>
          <w:rFonts w:eastAsia="TimesNewRomanPSMT"/>
          <w:sz w:val="20"/>
          <w:szCs w:val="20"/>
          <w:lang w:eastAsia="en-IN"/>
        </w:rPr>
      </w:pPr>
      <w:r w:rsidRPr="003B74D0">
        <w:rPr>
          <w:rFonts w:eastAsia="TimesNewRomanPSMT"/>
          <w:sz w:val="20"/>
          <w:szCs w:val="20"/>
          <w:lang w:eastAsia="en-IN"/>
        </w:rPr>
        <w:t xml:space="preserve">Fig.6 EV IPT grounded system </w:t>
      </w:r>
      <w:r w:rsidR="00F25EAA" w:rsidRPr="003B74D0">
        <w:rPr>
          <w:rFonts w:eastAsia="TimesNewRomanPSMT"/>
          <w:sz w:val="20"/>
          <w:szCs w:val="20"/>
          <w:lang w:eastAsia="en-IN"/>
        </w:rPr>
        <w:t xml:space="preserve">for </w:t>
      </w:r>
      <w:r w:rsidRPr="003B74D0">
        <w:rPr>
          <w:rFonts w:eastAsia="TimesNewRomanPSMT"/>
          <w:sz w:val="20"/>
          <w:szCs w:val="20"/>
          <w:lang w:eastAsia="en-IN"/>
        </w:rPr>
        <w:t>power conversion stages</w:t>
      </w:r>
    </w:p>
    <w:p w14:paraId="5C773125" w14:textId="77777777" w:rsidR="00C746FC" w:rsidRPr="003B74D0" w:rsidRDefault="00C746FC" w:rsidP="00C746FC">
      <w:pPr>
        <w:jc w:val="center"/>
        <w:rPr>
          <w:rFonts w:eastAsia="TimesNewRomanPSMT"/>
          <w:sz w:val="20"/>
          <w:szCs w:val="20"/>
          <w:lang w:eastAsia="en-IN"/>
        </w:rPr>
      </w:pPr>
    </w:p>
    <w:p w14:paraId="63A54CA7" w14:textId="77777777" w:rsidR="002E2285" w:rsidRPr="00BF6629" w:rsidRDefault="00D74363" w:rsidP="004E43E1">
      <w:pPr>
        <w:rPr>
          <w:rFonts w:eastAsia="TimesNewRomanPSMT"/>
          <w:sz w:val="18"/>
          <w:szCs w:val="18"/>
          <w:lang w:eastAsia="en-IN"/>
        </w:rPr>
      </w:pPr>
      <w:r w:rsidRPr="00BF6629">
        <w:rPr>
          <w:noProof/>
          <w:sz w:val="18"/>
          <w:szCs w:val="18"/>
        </w:rPr>
        <w:lastRenderedPageBreak/>
        <w:drawing>
          <wp:inline distT="0" distB="0" distL="0" distR="0" wp14:anchorId="58E93AB7" wp14:editId="22AAEB48">
            <wp:extent cx="2815726" cy="17526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1158" r="7302" b="1623"/>
                    <a:stretch/>
                  </pic:blipFill>
                  <pic:spPr bwMode="auto">
                    <a:xfrm>
                      <a:off x="0" y="0"/>
                      <a:ext cx="2835859" cy="1765131"/>
                    </a:xfrm>
                    <a:prstGeom prst="rect">
                      <a:avLst/>
                    </a:prstGeom>
                    <a:ln>
                      <a:noFill/>
                    </a:ln>
                    <a:extLst>
                      <a:ext uri="{53640926-AAD7-44D8-BBD7-CCE9431645EC}">
                        <a14:shadowObscured xmlns:a14="http://schemas.microsoft.com/office/drawing/2010/main"/>
                      </a:ext>
                    </a:extLst>
                  </pic:spPr>
                </pic:pic>
              </a:graphicData>
            </a:graphic>
          </wp:inline>
        </w:drawing>
      </w:r>
    </w:p>
    <w:p w14:paraId="577A984E" w14:textId="77777777" w:rsidR="00C746FC" w:rsidRPr="00BF6629" w:rsidRDefault="00C746FC" w:rsidP="00C746FC">
      <w:pPr>
        <w:jc w:val="center"/>
        <w:rPr>
          <w:rFonts w:eastAsia="TimesNewRomanPSMT"/>
          <w:sz w:val="18"/>
          <w:szCs w:val="18"/>
          <w:lang w:eastAsia="en-IN"/>
        </w:rPr>
      </w:pPr>
    </w:p>
    <w:p w14:paraId="1531C8EC" w14:textId="77777777" w:rsidR="00D74363" w:rsidRPr="00BF6629" w:rsidRDefault="00D74363" w:rsidP="000A0969">
      <w:pPr>
        <w:jc w:val="center"/>
        <w:rPr>
          <w:rFonts w:eastAsia="TimesNewRomanPSMT"/>
          <w:b/>
          <w:sz w:val="20"/>
          <w:szCs w:val="20"/>
          <w:lang w:eastAsia="en-IN"/>
        </w:rPr>
      </w:pPr>
      <w:r w:rsidRPr="00BF6629">
        <w:rPr>
          <w:rFonts w:eastAsia="TimesNewRomanPSMT"/>
          <w:sz w:val="20"/>
          <w:szCs w:val="20"/>
          <w:lang w:eastAsia="en-IN"/>
        </w:rPr>
        <w:t xml:space="preserve">Fig.7. </w:t>
      </w:r>
      <w:r w:rsidR="00C6745E" w:rsidRPr="00BF6629">
        <w:rPr>
          <w:rFonts w:eastAsia="TimesNewRomanPSMT"/>
          <w:sz w:val="20"/>
          <w:szCs w:val="20"/>
          <w:lang w:eastAsia="en-IN"/>
        </w:rPr>
        <w:t>Multi-coil and single-coil charging pads. The Quadrature (Q) coil catches perpendicular flux and the DR vertically flux. [38]</w:t>
      </w:r>
    </w:p>
    <w:p w14:paraId="31F5BE62" w14:textId="77777777" w:rsidR="00B979B2" w:rsidRPr="00BF6629" w:rsidRDefault="00B979B2" w:rsidP="00BD16D4">
      <w:pPr>
        <w:jc w:val="both"/>
        <w:rPr>
          <w:rFonts w:eastAsia="TimesNewRomanPSMT"/>
          <w:sz w:val="20"/>
          <w:szCs w:val="20"/>
          <w:lang w:eastAsia="en-IN"/>
        </w:rPr>
      </w:pPr>
    </w:p>
    <w:p w14:paraId="3B95755E" w14:textId="77777777" w:rsidR="00B979B2" w:rsidRPr="00BF6629" w:rsidRDefault="00B979B2" w:rsidP="00BD16D4">
      <w:pPr>
        <w:jc w:val="both"/>
        <w:rPr>
          <w:rFonts w:eastAsia="TimesNewRomanPSMT"/>
          <w:sz w:val="20"/>
          <w:szCs w:val="20"/>
          <w:lang w:eastAsia="en-IN"/>
        </w:rPr>
      </w:pPr>
      <w:r w:rsidRPr="00BF6629">
        <w:rPr>
          <w:rFonts w:eastAsia="TimesNewRomanPSMT"/>
          <w:sz w:val="20"/>
          <w:szCs w:val="20"/>
          <w:lang w:eastAsia="en-IN"/>
        </w:rPr>
        <w:t>To improve the motor's switching frequency and power viscosity, the design makes use of silicon carbide bias and powdered amalgamation core inductors. The motor's robust unrestricted-circle control enables it to carry out four power overflows, including th</w:t>
      </w:r>
      <w:r w:rsidR="00F25EAA" w:rsidRPr="00BF6629">
        <w:rPr>
          <w:rFonts w:eastAsia="TimesNewRomanPSMT"/>
          <w:sz w:val="20"/>
          <w:szCs w:val="20"/>
          <w:lang w:eastAsia="en-IN"/>
        </w:rPr>
        <w:t>e PV-</w:t>
      </w:r>
      <w:r w:rsidRPr="00BF6629">
        <w:rPr>
          <w:rFonts w:eastAsia="TimesNewRomanPSMT"/>
          <w:sz w:val="20"/>
          <w:szCs w:val="20"/>
          <w:lang w:eastAsia="en-IN"/>
        </w:rPr>
        <w:t xml:space="preserve">EV, PV Grid, Grid EV, and EV Grid configurations. In Fig. 5, we can see how a 10kw of the EV-PV bowl stacks up against a standard 10kw </w:t>
      </w:r>
      <w:r w:rsidR="0071133C" w:rsidRPr="00BF6629">
        <w:rPr>
          <w:rFonts w:eastAsia="TimesNewRomanPSMT"/>
          <w:sz w:val="20"/>
          <w:szCs w:val="20"/>
          <w:lang w:eastAsia="en-IN"/>
        </w:rPr>
        <w:t>PV</w:t>
      </w:r>
      <w:r w:rsidRPr="00BF6629">
        <w:rPr>
          <w:rFonts w:eastAsia="TimesNewRomanPSMT"/>
          <w:sz w:val="20"/>
          <w:szCs w:val="20"/>
          <w:lang w:eastAsia="en-IN"/>
        </w:rPr>
        <w:t xml:space="preserve"> inverter and a unidirectional </w:t>
      </w:r>
      <w:r w:rsidR="00F25EAA" w:rsidRPr="00BF6629">
        <w:rPr>
          <w:rFonts w:eastAsia="TimesNewRomanPSMT"/>
          <w:sz w:val="20"/>
          <w:szCs w:val="20"/>
          <w:lang w:eastAsia="en-IN"/>
        </w:rPr>
        <w:t>EV</w:t>
      </w:r>
      <w:r w:rsidRPr="00BF6629">
        <w:rPr>
          <w:rFonts w:eastAsia="TimesNewRomanPSMT"/>
          <w:sz w:val="20"/>
          <w:szCs w:val="20"/>
          <w:lang w:eastAsia="en-IN"/>
        </w:rPr>
        <w:t xml:space="preserve"> bowl based on IGBT and ferrite </w:t>
      </w:r>
      <w:r w:rsidR="00F25EAA" w:rsidRPr="00BF6629">
        <w:rPr>
          <w:rFonts w:eastAsia="TimesNewRomanPSMT"/>
          <w:sz w:val="20"/>
          <w:szCs w:val="20"/>
          <w:lang w:eastAsia="en-IN"/>
        </w:rPr>
        <w:t>core</w:t>
      </w:r>
      <w:r w:rsidRPr="00BF6629">
        <w:rPr>
          <w:rFonts w:eastAsia="TimesNewRomanPSMT"/>
          <w:sz w:val="20"/>
          <w:szCs w:val="20"/>
          <w:lang w:eastAsia="en-IN"/>
        </w:rPr>
        <w:t>. The integrated motor's significant reduction in size is readily apparent, and yet it</w:t>
      </w:r>
      <w:r w:rsidR="00F25EAA" w:rsidRPr="00BF6629">
        <w:rPr>
          <w:rFonts w:eastAsia="TimesNewRomanPSMT"/>
          <w:sz w:val="20"/>
          <w:szCs w:val="20"/>
          <w:lang w:eastAsia="en-IN"/>
        </w:rPr>
        <w:t>s</w:t>
      </w:r>
      <w:r w:rsidRPr="00BF6629">
        <w:rPr>
          <w:rFonts w:eastAsia="TimesNewRomanPSMT"/>
          <w:sz w:val="20"/>
          <w:szCs w:val="20"/>
          <w:lang w:eastAsia="en-IN"/>
        </w:rPr>
        <w:t xml:space="preserve"> efficiency of 96.4 </w:t>
      </w:r>
      <w:r w:rsidR="00F25EAA" w:rsidRPr="00BF6629">
        <w:rPr>
          <w:rFonts w:eastAsia="TimesNewRomanPSMT"/>
          <w:sz w:val="20"/>
          <w:szCs w:val="20"/>
          <w:lang w:eastAsia="en-IN"/>
        </w:rPr>
        <w:t xml:space="preserve">% </w:t>
      </w:r>
      <w:r w:rsidRPr="00BF6629">
        <w:rPr>
          <w:rFonts w:eastAsia="TimesNewRomanPSMT"/>
          <w:sz w:val="20"/>
          <w:szCs w:val="20"/>
          <w:lang w:eastAsia="en-IN"/>
        </w:rPr>
        <w:t>and substantially improved partial cargo efficiency.</w:t>
      </w:r>
    </w:p>
    <w:p w14:paraId="6FC460BA" w14:textId="77777777" w:rsidR="00195AA4" w:rsidRPr="00BF6629" w:rsidRDefault="00195AA4" w:rsidP="00BD16D4">
      <w:pPr>
        <w:pStyle w:val="BodyText"/>
        <w:spacing w:line="240" w:lineRule="auto"/>
        <w:ind w:firstLine="0"/>
        <w:jc w:val="both"/>
        <w:rPr>
          <w:rFonts w:ascii="Times New Roman" w:eastAsiaTheme="minorHAnsi" w:hAnsi="Times New Roman" w:cs="Times New Roman"/>
        </w:rPr>
      </w:pPr>
    </w:p>
    <w:p w14:paraId="5BBFA7A5" w14:textId="77777777" w:rsidR="00392ED9" w:rsidRPr="00BF6629" w:rsidRDefault="00392ED9" w:rsidP="00BD16D4">
      <w:pPr>
        <w:pStyle w:val="ListParagraph"/>
        <w:numPr>
          <w:ilvl w:val="0"/>
          <w:numId w:val="15"/>
        </w:numPr>
        <w:spacing w:line="240" w:lineRule="auto"/>
        <w:ind w:left="567" w:hanging="567"/>
        <w:rPr>
          <w:rFonts w:ascii="Times New Roman" w:hAnsi="Times New Roman"/>
          <w:b/>
          <w:bCs/>
          <w:sz w:val="23"/>
          <w:szCs w:val="23"/>
        </w:rPr>
      </w:pPr>
      <w:r w:rsidRPr="00BF6629">
        <w:rPr>
          <w:rFonts w:ascii="Times New Roman" w:hAnsi="Times New Roman"/>
          <w:b/>
          <w:bCs/>
          <w:sz w:val="23"/>
          <w:szCs w:val="23"/>
        </w:rPr>
        <w:t>CONNE</w:t>
      </w:r>
      <w:r w:rsidR="00D1314F" w:rsidRPr="00BF6629">
        <w:rPr>
          <w:rFonts w:ascii="Times New Roman" w:hAnsi="Times New Roman"/>
          <w:b/>
          <w:bCs/>
          <w:sz w:val="23"/>
          <w:szCs w:val="23"/>
        </w:rPr>
        <w:t xml:space="preserve">CTIONLESS </w:t>
      </w:r>
      <w:r w:rsidRPr="00BF6629">
        <w:rPr>
          <w:rFonts w:ascii="Times New Roman" w:hAnsi="Times New Roman"/>
          <w:b/>
          <w:bCs/>
          <w:sz w:val="23"/>
          <w:szCs w:val="23"/>
        </w:rPr>
        <w:t>CHARG</w:t>
      </w:r>
      <w:r w:rsidR="00D1314F" w:rsidRPr="00BF6629">
        <w:rPr>
          <w:rFonts w:ascii="Times New Roman" w:hAnsi="Times New Roman"/>
          <w:b/>
          <w:bCs/>
          <w:sz w:val="23"/>
          <w:szCs w:val="23"/>
        </w:rPr>
        <w:t>ER</w:t>
      </w:r>
    </w:p>
    <w:p w14:paraId="628F4A51" w14:textId="77777777" w:rsidR="00C746FC" w:rsidRPr="00BF6629" w:rsidRDefault="00BC788C" w:rsidP="00BC788C">
      <w:pPr>
        <w:jc w:val="both"/>
        <w:rPr>
          <w:rFonts w:eastAsia="TimesNewRomanPSMT"/>
          <w:sz w:val="20"/>
          <w:szCs w:val="20"/>
          <w:lang w:eastAsia="en-IN"/>
        </w:rPr>
      </w:pPr>
      <w:r w:rsidRPr="00BF6629">
        <w:rPr>
          <w:rFonts w:eastAsia="TimesNewRomanPSMT"/>
          <w:sz w:val="20"/>
          <w:szCs w:val="20"/>
          <w:lang w:eastAsia="en-IN"/>
        </w:rPr>
        <w:t xml:space="preserve">Contactless EV charging via </w:t>
      </w:r>
      <w:r w:rsidR="0071133C" w:rsidRPr="00BF6629">
        <w:rPr>
          <w:rFonts w:eastAsia="TimesNewRomanPSMT"/>
          <w:sz w:val="20"/>
          <w:szCs w:val="20"/>
          <w:lang w:eastAsia="en-IN"/>
        </w:rPr>
        <w:t>IPT</w:t>
      </w:r>
      <w:r w:rsidRPr="00BF6629">
        <w:rPr>
          <w:rFonts w:eastAsia="TimesNewRomanPSMT"/>
          <w:sz w:val="20"/>
          <w:szCs w:val="20"/>
          <w:lang w:eastAsia="en-IN"/>
        </w:rPr>
        <w:t xml:space="preserve"> is a method that is gradually gaining acceptance as a key point of independent EV charging. This method transfers electromagnetic energy among roughly connected charge</w:t>
      </w:r>
      <w:r w:rsidR="00C746FC" w:rsidRPr="00BF6629">
        <w:rPr>
          <w:rFonts w:eastAsia="TimesNewRomanPSMT"/>
          <w:sz w:val="20"/>
          <w:szCs w:val="20"/>
          <w:lang w:eastAsia="en-IN"/>
        </w:rPr>
        <w:t xml:space="preserve"> </w:t>
      </w:r>
      <w:r w:rsidRPr="00BF6629">
        <w:rPr>
          <w:rFonts w:eastAsia="TimesNewRomanPSMT"/>
          <w:sz w:val="20"/>
          <w:szCs w:val="20"/>
          <w:lang w:eastAsia="en-IN"/>
        </w:rPr>
        <w:t>pads separated by an air gap. Figure 6 depicts a such a system. The most important variables that comprise this generation of people are</w:t>
      </w:r>
    </w:p>
    <w:p w14:paraId="2E22FC6A" w14:textId="77777777" w:rsidR="00BC788C" w:rsidRPr="00BF6629" w:rsidRDefault="00195AA4" w:rsidP="00BC788C">
      <w:pPr>
        <w:jc w:val="both"/>
        <w:rPr>
          <w:rFonts w:eastAsia="TimesNewRomanPSMT"/>
          <w:sz w:val="20"/>
          <w:szCs w:val="20"/>
          <w:lang w:eastAsia="en-IN"/>
        </w:rPr>
      </w:pPr>
      <w:r w:rsidRPr="00BF6629">
        <w:rPr>
          <w:rFonts w:eastAsia="TimesNewRomanPSMT"/>
          <w:sz w:val="20"/>
          <w:szCs w:val="20"/>
          <w:lang w:eastAsia="en-IN"/>
        </w:rPr>
        <w:t>Base power electronics</w:t>
      </w:r>
      <w:r w:rsidR="0071133C" w:rsidRPr="00BF6629">
        <w:rPr>
          <w:rFonts w:eastAsia="TimesNewRomanPSMT"/>
          <w:sz w:val="20"/>
          <w:szCs w:val="20"/>
          <w:lang w:eastAsia="en-IN"/>
        </w:rPr>
        <w:t xml:space="preserve">: </w:t>
      </w:r>
      <w:r w:rsidR="00BC788C" w:rsidRPr="00BF6629">
        <w:rPr>
          <w:rFonts w:eastAsia="TimesNewRomanPSMT"/>
          <w:sz w:val="20"/>
          <w:szCs w:val="20"/>
          <w:lang w:eastAsia="en-IN"/>
        </w:rPr>
        <w:t>The</w:t>
      </w:r>
      <w:r w:rsidR="0071133C" w:rsidRPr="00BF6629">
        <w:rPr>
          <w:rFonts w:eastAsia="TimesNewRomanPSMT"/>
          <w:sz w:val="20"/>
          <w:szCs w:val="20"/>
          <w:lang w:eastAsia="en-IN"/>
        </w:rPr>
        <w:t xml:space="preserve"> grid's alternating current (3/</w:t>
      </w:r>
      <w:r w:rsidR="00BC788C" w:rsidRPr="00BF6629">
        <w:rPr>
          <w:rFonts w:eastAsia="TimesNewRomanPSMT"/>
          <w:sz w:val="20"/>
          <w:szCs w:val="20"/>
          <w:lang w:eastAsia="en-IN"/>
        </w:rPr>
        <w:t xml:space="preserve">1) is rectified, and DC power is provided to an inverter, that generates alternating current for IPT. </w:t>
      </w:r>
    </w:p>
    <w:p w14:paraId="0F3A3312" w14:textId="77777777" w:rsidR="00BC788C" w:rsidRPr="00BF6629" w:rsidRDefault="00C6745E" w:rsidP="00BC788C">
      <w:pPr>
        <w:jc w:val="both"/>
        <w:rPr>
          <w:rFonts w:eastAsia="TimesNewRomanPSMT"/>
          <w:sz w:val="20"/>
          <w:szCs w:val="20"/>
          <w:lang w:eastAsia="en-IN"/>
        </w:rPr>
      </w:pPr>
      <w:r w:rsidRPr="00BF6629">
        <w:rPr>
          <w:rFonts w:eastAsia="TimesNewRomanPSMT"/>
          <w:sz w:val="20"/>
          <w:szCs w:val="20"/>
          <w:lang w:eastAsia="en-IN"/>
        </w:rPr>
        <w:t xml:space="preserve">Pads for charging: </w:t>
      </w:r>
      <w:r w:rsidR="00BC788C" w:rsidRPr="00BF6629">
        <w:rPr>
          <w:rFonts w:eastAsia="TimesNewRomanPSMT"/>
          <w:sz w:val="20"/>
          <w:szCs w:val="20"/>
          <w:lang w:eastAsia="en-IN"/>
        </w:rPr>
        <w:t xml:space="preserve">Various spectacular structures have been investigated to </w:t>
      </w:r>
      <w:r w:rsidR="00954FA0" w:rsidRPr="00BF6629">
        <w:rPr>
          <w:rFonts w:eastAsia="TimesNewRomanPSMT"/>
          <w:sz w:val="20"/>
          <w:szCs w:val="20"/>
          <w:lang w:eastAsia="en-IN"/>
        </w:rPr>
        <w:t>maximize</w:t>
      </w:r>
      <w:r w:rsidR="00BC788C" w:rsidRPr="00BF6629">
        <w:rPr>
          <w:rFonts w:eastAsia="TimesNewRomanPSMT"/>
          <w:sz w:val="20"/>
          <w:szCs w:val="20"/>
          <w:lang w:eastAsia="en-IN"/>
        </w:rPr>
        <w:t xml:space="preserve"> the efficacy of glamorous coupling and power transfer.</w:t>
      </w:r>
    </w:p>
    <w:p w14:paraId="46C5F4BB" w14:textId="77777777" w:rsidR="00BC788C" w:rsidRPr="00BF6629" w:rsidRDefault="00C6745E" w:rsidP="00BD16D4">
      <w:pPr>
        <w:jc w:val="both"/>
        <w:rPr>
          <w:rFonts w:eastAsia="TimesNewRomanPSMT"/>
          <w:sz w:val="20"/>
          <w:szCs w:val="20"/>
          <w:lang w:eastAsia="en-IN"/>
        </w:rPr>
      </w:pPr>
      <w:r w:rsidRPr="00BF6629">
        <w:rPr>
          <w:rFonts w:eastAsia="TimesNewRomanPSMT"/>
          <w:sz w:val="20"/>
          <w:szCs w:val="20"/>
          <w:lang w:eastAsia="en-IN"/>
        </w:rPr>
        <w:t xml:space="preserve">Compensatory </w:t>
      </w:r>
      <w:proofErr w:type="spellStart"/>
      <w:proofErr w:type="gramStart"/>
      <w:r w:rsidRPr="00BF6629">
        <w:rPr>
          <w:rFonts w:eastAsia="TimesNewRomanPSMT"/>
          <w:sz w:val="20"/>
          <w:szCs w:val="20"/>
          <w:lang w:eastAsia="en-IN"/>
        </w:rPr>
        <w:t>Logic:</w:t>
      </w:r>
      <w:r w:rsidR="00BC788C" w:rsidRPr="00BF6629">
        <w:rPr>
          <w:rFonts w:eastAsia="TimesNewRomanPSMT"/>
          <w:sz w:val="20"/>
          <w:szCs w:val="20"/>
          <w:lang w:eastAsia="en-IN"/>
        </w:rPr>
        <w:t>A</w:t>
      </w:r>
      <w:proofErr w:type="spellEnd"/>
      <w:proofErr w:type="gramEnd"/>
      <w:r w:rsidR="00BC788C" w:rsidRPr="00BF6629">
        <w:rPr>
          <w:rFonts w:eastAsia="TimesNewRomanPSMT"/>
          <w:sz w:val="20"/>
          <w:szCs w:val="20"/>
          <w:lang w:eastAsia="en-IN"/>
        </w:rPr>
        <w:t xml:space="preserve"> </w:t>
      </w:r>
      <w:proofErr w:type="spellStart"/>
      <w:r w:rsidR="00BC788C" w:rsidRPr="00BF6629">
        <w:rPr>
          <w:rFonts w:eastAsia="TimesNewRomanPSMT"/>
          <w:sz w:val="20"/>
          <w:szCs w:val="20"/>
          <w:lang w:eastAsia="en-IN"/>
        </w:rPr>
        <w:t>reverberative</w:t>
      </w:r>
      <w:proofErr w:type="spellEnd"/>
      <w:r w:rsidR="00BC788C" w:rsidRPr="00BF6629">
        <w:rPr>
          <w:rFonts w:eastAsia="TimesNewRomanPSMT"/>
          <w:sz w:val="20"/>
          <w:szCs w:val="20"/>
          <w:lang w:eastAsia="en-IN"/>
        </w:rPr>
        <w:t xml:space="preserve"> capacitor is being investigated for reactive correction of inductive leakages in both the main and secondary circuits. Collecting series</w:t>
      </w:r>
      <w:r w:rsidR="00C746FC" w:rsidRPr="00BF6629">
        <w:rPr>
          <w:rFonts w:eastAsia="TimesNewRomanPSMT"/>
          <w:sz w:val="20"/>
          <w:szCs w:val="20"/>
          <w:lang w:eastAsia="en-IN"/>
        </w:rPr>
        <w:t xml:space="preserve">-series </w:t>
      </w:r>
      <w:r w:rsidR="00BC788C" w:rsidRPr="00BF6629">
        <w:rPr>
          <w:rFonts w:eastAsia="TimesNewRomanPSMT"/>
          <w:sz w:val="20"/>
          <w:szCs w:val="20"/>
          <w:lang w:eastAsia="en-IN"/>
        </w:rPr>
        <w:t>(ss),</w:t>
      </w:r>
      <w:r w:rsidR="00B81F83" w:rsidRPr="00BF6629">
        <w:rPr>
          <w:rFonts w:eastAsia="TimesNewRomanPSMT"/>
          <w:sz w:val="20"/>
          <w:szCs w:val="20"/>
          <w:lang w:eastAsia="en-IN"/>
        </w:rPr>
        <w:t xml:space="preserve"> </w:t>
      </w:r>
      <w:r w:rsidR="00BC788C" w:rsidRPr="00BF6629">
        <w:rPr>
          <w:rFonts w:eastAsia="TimesNewRomanPSMT"/>
          <w:sz w:val="20"/>
          <w:szCs w:val="20"/>
          <w:lang w:eastAsia="en-IN"/>
        </w:rPr>
        <w:t>series-parallel</w:t>
      </w:r>
      <w:r w:rsidR="00C746FC" w:rsidRPr="00BF6629">
        <w:rPr>
          <w:rFonts w:eastAsia="TimesNewRomanPSMT"/>
          <w:sz w:val="20"/>
          <w:szCs w:val="20"/>
          <w:lang w:eastAsia="en-IN"/>
        </w:rPr>
        <w:t xml:space="preserve"> </w:t>
      </w:r>
      <w:r w:rsidR="00BC788C" w:rsidRPr="00BF6629">
        <w:rPr>
          <w:rFonts w:eastAsia="TimesNewRomanPSMT"/>
          <w:sz w:val="20"/>
          <w:szCs w:val="20"/>
          <w:lang w:eastAsia="en-IN"/>
        </w:rPr>
        <w:t>(</w:t>
      </w:r>
      <w:proofErr w:type="spellStart"/>
      <w:r w:rsidR="00BC788C" w:rsidRPr="00BF6629">
        <w:rPr>
          <w:rFonts w:eastAsia="TimesNewRomanPSMT"/>
          <w:sz w:val="20"/>
          <w:szCs w:val="20"/>
          <w:lang w:eastAsia="en-IN"/>
        </w:rPr>
        <w:t>sp</w:t>
      </w:r>
      <w:proofErr w:type="spellEnd"/>
      <w:r w:rsidR="00BC788C" w:rsidRPr="00BF6629">
        <w:rPr>
          <w:rFonts w:eastAsia="TimesNewRomanPSMT"/>
          <w:sz w:val="20"/>
          <w:szCs w:val="20"/>
          <w:lang w:eastAsia="en-IN"/>
        </w:rPr>
        <w:t>),</w:t>
      </w:r>
      <w:r w:rsidR="00C746FC" w:rsidRPr="00BF6629">
        <w:rPr>
          <w:rFonts w:eastAsia="TimesNewRomanPSMT"/>
          <w:sz w:val="20"/>
          <w:szCs w:val="20"/>
          <w:lang w:eastAsia="en-IN"/>
        </w:rPr>
        <w:t xml:space="preserve"> and </w:t>
      </w:r>
      <w:r w:rsidR="00BC788C" w:rsidRPr="00BF6629">
        <w:rPr>
          <w:rFonts w:eastAsia="TimesNewRomanPSMT"/>
          <w:sz w:val="20"/>
          <w:szCs w:val="20"/>
          <w:lang w:eastAsia="en-IN"/>
        </w:rPr>
        <w:t>parallel series are unique combinations. (</w:t>
      </w:r>
      <w:proofErr w:type="spellStart"/>
      <w:r w:rsidR="00B81F83" w:rsidRPr="00BF6629">
        <w:rPr>
          <w:rFonts w:eastAsia="TimesNewRomanPSMT"/>
          <w:sz w:val="20"/>
          <w:szCs w:val="20"/>
          <w:lang w:eastAsia="en-IN"/>
        </w:rPr>
        <w:t>ps</w:t>
      </w:r>
      <w:proofErr w:type="spellEnd"/>
      <w:r w:rsidR="00BC788C" w:rsidRPr="00BF6629">
        <w:rPr>
          <w:rFonts w:eastAsia="TimesNewRomanPSMT"/>
          <w:sz w:val="20"/>
          <w:szCs w:val="20"/>
          <w:lang w:eastAsia="en-IN"/>
        </w:rPr>
        <w:t>), resemblant-parallel (PP), LCL, and other concepts are being investigated.</w:t>
      </w:r>
    </w:p>
    <w:p w14:paraId="334A96CE" w14:textId="77777777" w:rsidR="0071133C" w:rsidRPr="00BF6629" w:rsidRDefault="00C6745E" w:rsidP="0071133C">
      <w:pPr>
        <w:jc w:val="both"/>
        <w:rPr>
          <w:rFonts w:eastAsia="TimesNewRomanPSMT"/>
          <w:sz w:val="20"/>
          <w:szCs w:val="20"/>
          <w:lang w:eastAsia="en-IN"/>
        </w:rPr>
      </w:pPr>
      <w:r w:rsidRPr="00BF6629">
        <w:rPr>
          <w:rFonts w:eastAsia="TimesNewRomanPSMT"/>
          <w:sz w:val="20"/>
          <w:szCs w:val="20"/>
          <w:lang w:eastAsia="en-IN"/>
        </w:rPr>
        <w:t xml:space="preserve">Electronics in </w:t>
      </w:r>
      <w:proofErr w:type="spellStart"/>
      <w:proofErr w:type="gramStart"/>
      <w:r w:rsidRPr="00BF6629">
        <w:rPr>
          <w:rFonts w:eastAsia="TimesNewRomanPSMT"/>
          <w:sz w:val="20"/>
          <w:szCs w:val="20"/>
          <w:lang w:eastAsia="en-IN"/>
        </w:rPr>
        <w:t>vehicle:</w:t>
      </w:r>
      <w:r w:rsidR="00BC788C" w:rsidRPr="00BF6629">
        <w:rPr>
          <w:rFonts w:eastAsia="TimesNewRomanPSMT"/>
          <w:sz w:val="20"/>
          <w:szCs w:val="20"/>
          <w:lang w:eastAsia="en-IN"/>
        </w:rPr>
        <w:t>The</w:t>
      </w:r>
      <w:proofErr w:type="spellEnd"/>
      <w:proofErr w:type="gramEnd"/>
      <w:r w:rsidR="00BC788C" w:rsidRPr="00BF6629">
        <w:rPr>
          <w:rFonts w:eastAsia="TimesNewRomanPSMT"/>
          <w:sz w:val="20"/>
          <w:szCs w:val="20"/>
          <w:lang w:eastAsia="en-IN"/>
        </w:rPr>
        <w:t xml:space="preserve"> energy produced is subsequently preserved within the EV battery via </w:t>
      </w:r>
      <w:r w:rsidR="00C746FC" w:rsidRPr="00BF6629">
        <w:rPr>
          <w:rFonts w:eastAsia="TimesNewRomanPSMT"/>
          <w:sz w:val="20"/>
          <w:szCs w:val="20"/>
          <w:lang w:eastAsia="en-IN"/>
        </w:rPr>
        <w:t xml:space="preserve">an </w:t>
      </w:r>
      <w:r w:rsidR="00BC788C" w:rsidRPr="00BF6629">
        <w:rPr>
          <w:rFonts w:eastAsia="TimesNewRomanPSMT"/>
          <w:sz w:val="20"/>
          <w:szCs w:val="20"/>
          <w:lang w:eastAsia="en-IN"/>
        </w:rPr>
        <w:t xml:space="preserve">inbuilt rectifier and dc voltage regulating stages. IPT systems are beneficial for the convenience of charging without plugging in a string, hence eliminating the risk of electrocution, especially in poor weather circumstances </w:t>
      </w:r>
      <w:r w:rsidR="00954FA0" w:rsidRPr="00BF6629">
        <w:rPr>
          <w:rFonts w:eastAsia="TimesNewRomanPSMT"/>
          <w:b/>
          <w:sz w:val="20"/>
          <w:szCs w:val="20"/>
          <w:lang w:eastAsia="en-IN"/>
        </w:rPr>
        <w:t>[</w:t>
      </w:r>
      <w:r w:rsidR="00BC788C" w:rsidRPr="00BF6629">
        <w:rPr>
          <w:rFonts w:eastAsia="TimesNewRomanPSMT"/>
          <w:b/>
          <w:sz w:val="20"/>
          <w:szCs w:val="20"/>
          <w:lang w:eastAsia="en-IN"/>
        </w:rPr>
        <w:t>35</w:t>
      </w:r>
      <w:r w:rsidR="00954FA0" w:rsidRPr="00BF6629">
        <w:rPr>
          <w:rFonts w:eastAsia="TimesNewRomanPSMT"/>
          <w:b/>
          <w:sz w:val="20"/>
          <w:szCs w:val="20"/>
          <w:lang w:eastAsia="en-IN"/>
        </w:rPr>
        <w:t>]</w:t>
      </w:r>
      <w:r w:rsidR="00BC788C" w:rsidRPr="00BF6629">
        <w:rPr>
          <w:rFonts w:eastAsia="TimesNewRomanPSMT"/>
          <w:b/>
          <w:sz w:val="20"/>
          <w:szCs w:val="20"/>
          <w:lang w:eastAsia="en-IN"/>
        </w:rPr>
        <w:t>.</w:t>
      </w:r>
      <w:r w:rsidR="00BC788C" w:rsidRPr="00BF6629">
        <w:rPr>
          <w:rFonts w:eastAsia="TimesNewRomanPSMT"/>
          <w:sz w:val="20"/>
          <w:szCs w:val="20"/>
          <w:lang w:eastAsia="en-IN"/>
        </w:rPr>
        <w:t xml:space="preserve"> It is also inherently safe, </w:t>
      </w:r>
      <w:r w:rsidR="00C746FC" w:rsidRPr="00BF6629">
        <w:rPr>
          <w:rFonts w:eastAsia="TimesNewRomanPSMT"/>
          <w:sz w:val="20"/>
          <w:szCs w:val="20"/>
          <w:lang w:eastAsia="en-IN"/>
        </w:rPr>
        <w:t xml:space="preserve">and </w:t>
      </w:r>
      <w:r w:rsidR="00BC788C" w:rsidRPr="00BF6629">
        <w:rPr>
          <w:rFonts w:eastAsia="TimesNewRomanPSMT"/>
          <w:sz w:val="20"/>
          <w:szCs w:val="20"/>
          <w:lang w:eastAsia="en-IN"/>
        </w:rPr>
        <w:t xml:space="preserve">trustworthy, and requires little maintenance. Conservation. Furthermore, improvements in </w:t>
      </w:r>
      <w:r w:rsidR="00BC788C" w:rsidRPr="00BF6629">
        <w:rPr>
          <w:rFonts w:eastAsia="TimesNewRomanPSMT"/>
          <w:sz w:val="20"/>
          <w:szCs w:val="20"/>
          <w:lang w:eastAsia="en-IN"/>
        </w:rPr>
        <w:t xml:space="preserve">autonomous vehicles can be rounded off by autonomous inductive charging. </w:t>
      </w:r>
    </w:p>
    <w:p w14:paraId="4F8833C1" w14:textId="77777777" w:rsidR="0071133C" w:rsidRPr="00BF6629" w:rsidRDefault="0071133C" w:rsidP="0071133C">
      <w:pPr>
        <w:jc w:val="both"/>
        <w:rPr>
          <w:rFonts w:eastAsia="TimesNewRomanPSMT"/>
          <w:sz w:val="20"/>
          <w:szCs w:val="20"/>
          <w:lang w:eastAsia="en-IN"/>
        </w:rPr>
      </w:pPr>
    </w:p>
    <w:p w14:paraId="377E11F9" w14:textId="5C8AECD9" w:rsidR="0071133C" w:rsidRPr="003B74D0" w:rsidRDefault="003B74D0" w:rsidP="003B74D0">
      <w:r w:rsidRPr="00BF6629">
        <w:object w:dxaOrig="11688" w:dyaOrig="4922" w14:anchorId="37F254C1">
          <v:shape id="_x0000_i1031" type="#_x0000_t75" style="width:228pt;height:111pt" o:ole="">
            <v:imagedata r:id="rId26" o:title=""/>
          </v:shape>
          <o:OLEObject Type="Embed" ProgID="Visio.Drawing.11" ShapeID="_x0000_i1031" DrawAspect="Content" ObjectID="_1754769683" r:id="rId27"/>
        </w:object>
      </w:r>
    </w:p>
    <w:p w14:paraId="7A843D11" w14:textId="77777777" w:rsidR="00C6745E" w:rsidRPr="00BF6629" w:rsidRDefault="0071133C" w:rsidP="003B74D0">
      <w:pPr>
        <w:spacing w:after="160"/>
        <w:jc w:val="center"/>
        <w:rPr>
          <w:rFonts w:eastAsia="TimesNewRomanPSMT"/>
          <w:sz w:val="20"/>
          <w:lang w:eastAsia="en-IN"/>
        </w:rPr>
      </w:pPr>
      <w:r w:rsidRPr="00BF6629">
        <w:rPr>
          <w:rFonts w:eastAsia="TimesNewRomanPSMT"/>
          <w:sz w:val="20"/>
          <w:lang w:eastAsia="en-IN"/>
        </w:rPr>
        <w:t xml:space="preserve">Fig. 8 </w:t>
      </w:r>
      <w:r w:rsidR="00C6745E" w:rsidRPr="00BF6629">
        <w:rPr>
          <w:rFonts w:eastAsia="TimesNewRomanPSMT"/>
          <w:sz w:val="20"/>
          <w:lang w:eastAsia="en-IN"/>
        </w:rPr>
        <w:t>Bidirectionally IPT setup with binary active ground layout. Active rectifying allows draw-in vehicles and V2G functioning [41].</w:t>
      </w:r>
    </w:p>
    <w:p w14:paraId="3E27BD8C" w14:textId="77777777" w:rsidR="00CF1848" w:rsidRPr="00BF6629" w:rsidRDefault="00BC788C" w:rsidP="0071133C">
      <w:pPr>
        <w:jc w:val="both"/>
        <w:rPr>
          <w:rFonts w:eastAsia="TimesNewRomanPSMT"/>
          <w:sz w:val="20"/>
          <w:szCs w:val="20"/>
          <w:lang w:eastAsia="en-IN"/>
        </w:rPr>
      </w:pPr>
      <w:r w:rsidRPr="00BF6629">
        <w:rPr>
          <w:rFonts w:eastAsia="TimesNewRomanPSMT"/>
          <w:sz w:val="20"/>
          <w:szCs w:val="20"/>
          <w:lang w:eastAsia="en-IN"/>
        </w:rPr>
        <w:t xml:space="preserve">The magnetics of charge pads are commonly dispersed in terms of coupler forms. Several single-coil layouts, such as indirect pads, blockish pads, triangular pads, and so on, are described in the literature </w:t>
      </w:r>
      <w:r w:rsidR="00954FA0" w:rsidRPr="00BF6629">
        <w:rPr>
          <w:rFonts w:eastAsia="TimesNewRomanPSMT"/>
          <w:b/>
          <w:sz w:val="20"/>
          <w:szCs w:val="20"/>
          <w:lang w:eastAsia="en-IN"/>
        </w:rPr>
        <w:t>[</w:t>
      </w:r>
      <w:r w:rsidRPr="00BF6629">
        <w:rPr>
          <w:rFonts w:eastAsia="TimesNewRomanPSMT"/>
          <w:b/>
          <w:sz w:val="20"/>
          <w:szCs w:val="20"/>
          <w:lang w:eastAsia="en-IN"/>
        </w:rPr>
        <w:t>36</w:t>
      </w:r>
      <w:r w:rsidR="00954FA0" w:rsidRPr="00BF6629">
        <w:rPr>
          <w:rFonts w:eastAsia="TimesNewRomanPSMT"/>
          <w:b/>
          <w:sz w:val="20"/>
          <w:szCs w:val="20"/>
          <w:lang w:eastAsia="en-IN"/>
        </w:rPr>
        <w:t>]</w:t>
      </w:r>
      <w:r w:rsidRPr="00BF6629">
        <w:rPr>
          <w:rFonts w:eastAsia="TimesNewRomanPSMT"/>
          <w:b/>
          <w:sz w:val="20"/>
          <w:szCs w:val="20"/>
          <w:lang w:eastAsia="en-IN"/>
        </w:rPr>
        <w:t xml:space="preserve">, </w:t>
      </w:r>
      <w:r w:rsidR="00954FA0" w:rsidRPr="00BF6629">
        <w:rPr>
          <w:rFonts w:eastAsia="TimesNewRomanPSMT"/>
          <w:b/>
          <w:sz w:val="20"/>
          <w:szCs w:val="20"/>
          <w:lang w:eastAsia="en-IN"/>
        </w:rPr>
        <w:t>[</w:t>
      </w:r>
      <w:r w:rsidRPr="00BF6629">
        <w:rPr>
          <w:rFonts w:eastAsia="TimesNewRomanPSMT"/>
          <w:b/>
          <w:sz w:val="20"/>
          <w:szCs w:val="20"/>
          <w:lang w:eastAsia="en-IN"/>
        </w:rPr>
        <w:t>37</w:t>
      </w:r>
      <w:r w:rsidR="00954FA0" w:rsidRPr="00BF6629">
        <w:rPr>
          <w:rFonts w:eastAsia="TimesNewRomanPSMT"/>
          <w:b/>
          <w:sz w:val="20"/>
          <w:szCs w:val="20"/>
          <w:lang w:eastAsia="en-IN"/>
        </w:rPr>
        <w:t>]</w:t>
      </w:r>
      <w:r w:rsidRPr="00BF6629">
        <w:rPr>
          <w:rFonts w:eastAsia="TimesNewRomanPSMT"/>
          <w:b/>
          <w:sz w:val="20"/>
          <w:szCs w:val="20"/>
          <w:lang w:eastAsia="en-IN"/>
        </w:rPr>
        <w:t>.</w:t>
      </w:r>
      <w:r w:rsidRPr="00BF6629">
        <w:rPr>
          <w:rFonts w:eastAsia="TimesNewRomanPSMT"/>
          <w:sz w:val="20"/>
          <w:szCs w:val="20"/>
          <w:lang w:eastAsia="en-IN"/>
        </w:rPr>
        <w:t xml:space="preserve"> The flexibility of pads</w:t>
      </w:r>
      <w:r w:rsidR="00C746FC" w:rsidRPr="00BF6629">
        <w:rPr>
          <w:rFonts w:eastAsia="TimesNewRomanPSMT"/>
          <w:sz w:val="20"/>
          <w:szCs w:val="20"/>
          <w:lang w:eastAsia="en-IN"/>
        </w:rPr>
        <w:t>-to-</w:t>
      </w:r>
      <w:r w:rsidRPr="00BF6629">
        <w:rPr>
          <w:rFonts w:eastAsia="TimesNewRomanPSMT"/>
          <w:sz w:val="20"/>
          <w:szCs w:val="20"/>
          <w:lang w:eastAsia="en-IN"/>
        </w:rPr>
        <w:t>pad movements, referred to as misalignment, is a fundamental necessity for EV charging.  Misalignment-tolerant pads prompted advancements in multi-coil charge</w:t>
      </w:r>
      <w:r w:rsidR="00C746FC" w:rsidRPr="00BF6629">
        <w:rPr>
          <w:rFonts w:eastAsia="TimesNewRomanPSMT"/>
          <w:sz w:val="20"/>
          <w:szCs w:val="20"/>
          <w:lang w:eastAsia="en-IN"/>
        </w:rPr>
        <w:t xml:space="preserve"> </w:t>
      </w:r>
      <w:r w:rsidRPr="00BF6629">
        <w:rPr>
          <w:rFonts w:eastAsia="TimesNewRomanPSMT"/>
          <w:sz w:val="20"/>
          <w:szCs w:val="20"/>
          <w:lang w:eastAsia="en-IN"/>
        </w:rPr>
        <w:t xml:space="preserve">pads such as double blockish (DR) pads, double indirect (DC) pads, and so on. </w:t>
      </w:r>
      <w:r w:rsidR="00720A39" w:rsidRPr="00BF6629">
        <w:rPr>
          <w:rFonts w:eastAsia="TimesNewRomanPSMT"/>
          <w:sz w:val="20"/>
          <w:szCs w:val="20"/>
          <w:lang w:eastAsia="en-IN"/>
        </w:rPr>
        <w:t xml:space="preserve">Currents in similar pads, also known as focused pads, are fed by currents that are turned 180 degrees </w:t>
      </w:r>
      <w:r w:rsidR="00954FA0" w:rsidRPr="00BF6629">
        <w:rPr>
          <w:rFonts w:eastAsia="TimesNewRomanPSMT"/>
          <w:b/>
          <w:sz w:val="20"/>
          <w:szCs w:val="20"/>
          <w:lang w:eastAsia="en-IN"/>
        </w:rPr>
        <w:t>[</w:t>
      </w:r>
      <w:r w:rsidRPr="00BF6629">
        <w:rPr>
          <w:rFonts w:eastAsia="TimesNewRomanPSMT"/>
          <w:b/>
          <w:sz w:val="20"/>
          <w:szCs w:val="20"/>
          <w:lang w:eastAsia="en-IN"/>
        </w:rPr>
        <w:t>36</w:t>
      </w:r>
      <w:r w:rsidR="00954FA0" w:rsidRPr="00BF6629">
        <w:rPr>
          <w:rFonts w:eastAsia="TimesNewRomanPSMT"/>
          <w:b/>
          <w:sz w:val="20"/>
          <w:szCs w:val="20"/>
          <w:lang w:eastAsia="en-IN"/>
        </w:rPr>
        <w:t>]</w:t>
      </w:r>
      <w:r w:rsidRPr="00BF6629">
        <w:rPr>
          <w:rFonts w:eastAsia="TimesNewRomanPSMT"/>
          <w:b/>
          <w:sz w:val="20"/>
          <w:szCs w:val="20"/>
          <w:lang w:eastAsia="en-IN"/>
        </w:rPr>
        <w:t>.</w:t>
      </w:r>
      <w:r w:rsidRPr="00BF6629">
        <w:rPr>
          <w:rFonts w:eastAsia="TimesNewRomanPSMT"/>
          <w:sz w:val="20"/>
          <w:szCs w:val="20"/>
          <w:lang w:eastAsia="en-IN"/>
        </w:rPr>
        <w:t xml:space="preserve"> In contrast to the horizontal flux profile, this produces a vertical flux profile.</w:t>
      </w:r>
    </w:p>
    <w:p w14:paraId="159F6DD1" w14:textId="77777777" w:rsidR="00CF1848" w:rsidRPr="00BF6629" w:rsidRDefault="00C746FC" w:rsidP="00BD16D4">
      <w:pPr>
        <w:jc w:val="both"/>
        <w:rPr>
          <w:rFonts w:eastAsia="TimesNewRomanPSMT"/>
          <w:sz w:val="20"/>
          <w:szCs w:val="20"/>
          <w:lang w:eastAsia="en-IN"/>
        </w:rPr>
      </w:pPr>
      <w:r w:rsidRPr="00BF6629">
        <w:rPr>
          <w:rFonts w:eastAsia="TimesNewRomanPSMT"/>
          <w:sz w:val="20"/>
          <w:szCs w:val="20"/>
          <w:lang w:eastAsia="en-IN"/>
        </w:rPr>
        <w:t xml:space="preserve">Single-coil pad flux distribution in a perpendicular direction. Fig. 7 </w:t>
      </w:r>
      <w:r w:rsidRPr="00BF6629">
        <w:rPr>
          <w:rFonts w:eastAsia="TimesNewRomanPSMT"/>
          <w:b/>
          <w:sz w:val="20"/>
          <w:szCs w:val="20"/>
          <w:lang w:eastAsia="en-IN"/>
        </w:rPr>
        <w:t>[38]</w:t>
      </w:r>
      <w:r w:rsidRPr="00BF6629">
        <w:rPr>
          <w:rFonts w:eastAsia="TimesNewRomanPSMT"/>
          <w:sz w:val="20"/>
          <w:szCs w:val="20"/>
          <w:lang w:eastAsia="en-IN"/>
        </w:rPr>
        <w:t xml:space="preserve"> depicts a few examples of commonly used charging pad configurations. SAE-J2594, a new standard in development, seeks to standardize a narrow frequency range, with 85 kHz as its center, for light EV charging. Maximum allowable leakage fields (B and H) in terms of electromagnetic radiation escapes </w:t>
      </w:r>
      <w:r w:rsidRPr="00BF6629">
        <w:rPr>
          <w:rFonts w:eastAsia="TimesNewRomanPSMT"/>
          <w:b/>
          <w:sz w:val="20"/>
          <w:szCs w:val="20"/>
          <w:lang w:eastAsia="en-IN"/>
        </w:rPr>
        <w:t>[39],</w:t>
      </w:r>
      <w:r w:rsidRPr="00BF6629">
        <w:rPr>
          <w:rFonts w:eastAsia="TimesNewRomanPSMT"/>
          <w:sz w:val="20"/>
          <w:szCs w:val="20"/>
          <w:lang w:eastAsia="en-IN"/>
        </w:rPr>
        <w:t xml:space="preserve"> and their associated frequency limitations, are likewise alive and well. </w:t>
      </w:r>
      <w:r w:rsidR="001110A7" w:rsidRPr="00BF6629">
        <w:rPr>
          <w:rFonts w:eastAsia="TimesNewRomanPSMT"/>
          <w:sz w:val="20"/>
          <w:szCs w:val="20"/>
          <w:lang w:eastAsia="en-IN"/>
        </w:rPr>
        <w:t>Such</w:t>
      </w:r>
      <w:r w:rsidR="00720A39" w:rsidRPr="00BF6629">
        <w:rPr>
          <w:rFonts w:eastAsia="TimesNewRomanPSMT"/>
          <w:sz w:val="20"/>
          <w:szCs w:val="20"/>
          <w:lang w:eastAsia="en-IN"/>
        </w:rPr>
        <w:t xml:space="preserve"> constraints </w:t>
      </w:r>
      <w:r w:rsidR="00720A39" w:rsidRPr="00BF6629">
        <w:rPr>
          <w:rFonts w:eastAsia="TimesNewRomanPSMT"/>
          <w:b/>
          <w:sz w:val="20"/>
          <w:szCs w:val="20"/>
          <w:lang w:eastAsia="en-IN"/>
        </w:rPr>
        <w:t>[39]</w:t>
      </w:r>
      <w:r w:rsidR="00720A39" w:rsidRPr="00BF6629">
        <w:rPr>
          <w:rFonts w:eastAsia="TimesNewRomanPSMT"/>
          <w:sz w:val="20"/>
          <w:szCs w:val="20"/>
          <w:lang w:eastAsia="en-IN"/>
        </w:rPr>
        <w:t xml:space="preserve"> are established by several standard-setting organizations such as the IEEE and the ICNIRP.</w:t>
      </w:r>
      <w:r w:rsidRPr="00BF6629">
        <w:rPr>
          <w:rFonts w:eastAsia="TimesNewRomanPSMT"/>
          <w:sz w:val="20"/>
          <w:szCs w:val="20"/>
          <w:lang w:eastAsia="en-IN"/>
        </w:rPr>
        <w:t xml:space="preserve"> Several methods, including variable frequency </w:t>
      </w:r>
      <w:r w:rsidR="001110A7" w:rsidRPr="00BF6629">
        <w:rPr>
          <w:rFonts w:eastAsia="TimesNewRomanPSMT"/>
          <w:sz w:val="20"/>
          <w:szCs w:val="20"/>
          <w:lang w:eastAsia="en-IN"/>
        </w:rPr>
        <w:t>&amp;</w:t>
      </w:r>
      <w:r w:rsidRPr="00BF6629">
        <w:rPr>
          <w:rFonts w:eastAsia="TimesNewRomanPSMT"/>
          <w:sz w:val="20"/>
          <w:szCs w:val="20"/>
          <w:lang w:eastAsia="en-IN"/>
        </w:rPr>
        <w:t xml:space="preserve"> duty cycle control </w:t>
      </w:r>
      <w:r w:rsidRPr="00BF6629">
        <w:rPr>
          <w:rFonts w:eastAsia="TimesNewRomanPSMT"/>
          <w:b/>
          <w:sz w:val="20"/>
          <w:szCs w:val="20"/>
          <w:lang w:eastAsia="en-IN"/>
        </w:rPr>
        <w:t>[40],</w:t>
      </w:r>
      <w:r w:rsidRPr="00BF6629">
        <w:rPr>
          <w:rFonts w:eastAsia="TimesNewRomanPSMT"/>
          <w:sz w:val="20"/>
          <w:szCs w:val="20"/>
          <w:lang w:eastAsia="en-IN"/>
        </w:rPr>
        <w:t xml:space="preserve"> can be used to regulate IPT systems. A voltage cancellation inverter allows for the regulation of the duty cycle and variable frequencies.</w:t>
      </w:r>
    </w:p>
    <w:p w14:paraId="2044A91E" w14:textId="77777777" w:rsidR="00C746FC" w:rsidRPr="00BF6629" w:rsidRDefault="00C746FC" w:rsidP="00BD16D4">
      <w:pPr>
        <w:jc w:val="both"/>
        <w:rPr>
          <w:rFonts w:eastAsia="TimesNewRomanPSMT"/>
          <w:sz w:val="20"/>
          <w:szCs w:val="20"/>
          <w:lang w:eastAsia="en-IN"/>
        </w:rPr>
      </w:pPr>
    </w:p>
    <w:p w14:paraId="0518B49A" w14:textId="77777777" w:rsidR="004A42DE" w:rsidRPr="00BF6629" w:rsidRDefault="004A42DE" w:rsidP="004E43E1">
      <w:pPr>
        <w:rPr>
          <w:rFonts w:eastAsia="TimesNewRomanPSMT"/>
          <w:sz w:val="20"/>
          <w:szCs w:val="20"/>
          <w:lang w:eastAsia="en-IN"/>
        </w:rPr>
      </w:pPr>
      <w:r w:rsidRPr="00BF6629">
        <w:rPr>
          <w:noProof/>
        </w:rPr>
        <w:drawing>
          <wp:inline distT="0" distB="0" distL="0" distR="0" wp14:anchorId="66AA4C59" wp14:editId="4C3B6D39">
            <wp:extent cx="2864887" cy="145605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78434" cy="1462940"/>
                    </a:xfrm>
                    <a:prstGeom prst="rect">
                      <a:avLst/>
                    </a:prstGeom>
                  </pic:spPr>
                </pic:pic>
              </a:graphicData>
            </a:graphic>
          </wp:inline>
        </w:drawing>
      </w:r>
    </w:p>
    <w:p w14:paraId="1FD51D1D" w14:textId="77777777" w:rsidR="0071133C" w:rsidRPr="00BF6629" w:rsidRDefault="0071133C" w:rsidP="004A42DE">
      <w:pPr>
        <w:jc w:val="center"/>
        <w:rPr>
          <w:rFonts w:eastAsia="TimesNewRomanPSMT"/>
          <w:sz w:val="20"/>
          <w:szCs w:val="20"/>
          <w:lang w:eastAsia="en-IN"/>
        </w:rPr>
      </w:pPr>
    </w:p>
    <w:p w14:paraId="4DCA989B" w14:textId="77777777" w:rsidR="00240988" w:rsidRPr="00BF6629" w:rsidRDefault="00240988" w:rsidP="003B74D0">
      <w:pPr>
        <w:pStyle w:val="ListParagraph"/>
        <w:spacing w:after="160" w:line="240" w:lineRule="auto"/>
        <w:ind w:left="0"/>
        <w:jc w:val="center"/>
        <w:rPr>
          <w:rFonts w:ascii="Times New Roman" w:eastAsia="TimesNewRomanPSMT" w:hAnsi="Times New Roman"/>
          <w:sz w:val="20"/>
          <w:lang w:eastAsia="en-IN"/>
        </w:rPr>
      </w:pPr>
      <w:r w:rsidRPr="00BF6629">
        <w:rPr>
          <w:rFonts w:ascii="Times New Roman" w:eastAsia="TimesNewRomanPSMT" w:hAnsi="Times New Roman"/>
          <w:sz w:val="20"/>
          <w:lang w:eastAsia="en-IN"/>
        </w:rPr>
        <w:t xml:space="preserve">Fig. 9 </w:t>
      </w:r>
      <w:r w:rsidR="00C6745E" w:rsidRPr="00BF6629">
        <w:rPr>
          <w:rFonts w:ascii="Times New Roman" w:eastAsia="TimesNewRomanPSMT" w:hAnsi="Times New Roman"/>
          <w:sz w:val="20"/>
          <w:lang w:eastAsia="en-IN"/>
        </w:rPr>
        <w:t>Lab-scale bidirectional IPT setup [42].</w:t>
      </w:r>
    </w:p>
    <w:p w14:paraId="704D5F8D" w14:textId="77777777" w:rsidR="004A42DE" w:rsidRPr="00BF6629" w:rsidRDefault="004A42DE" w:rsidP="00BD16D4">
      <w:pPr>
        <w:pStyle w:val="ListParagraph"/>
        <w:spacing w:after="160" w:line="240" w:lineRule="auto"/>
        <w:ind w:left="418"/>
        <w:jc w:val="center"/>
        <w:rPr>
          <w:rFonts w:ascii="Times New Roman" w:eastAsia="TimesNewRomanPSMT" w:hAnsi="Times New Roman"/>
          <w:sz w:val="18"/>
          <w:szCs w:val="18"/>
          <w:lang w:eastAsia="en-IN"/>
        </w:rPr>
      </w:pPr>
    </w:p>
    <w:p w14:paraId="63579DFB" w14:textId="77777777" w:rsidR="008F4C66" w:rsidRPr="00BF6629" w:rsidRDefault="008F4C66" w:rsidP="003B74D0">
      <w:pPr>
        <w:pStyle w:val="ListParagraph"/>
        <w:spacing w:after="160" w:line="240" w:lineRule="auto"/>
        <w:ind w:left="0"/>
        <w:rPr>
          <w:rFonts w:ascii="Times New Roman" w:eastAsia="TimesNewRomanPSMT" w:hAnsi="Times New Roman"/>
          <w:sz w:val="20"/>
          <w:lang w:eastAsia="en-IN"/>
        </w:rPr>
      </w:pPr>
      <w:r w:rsidRPr="00BF6629">
        <w:rPr>
          <w:rFonts w:ascii="Times New Roman" w:hAnsi="Times New Roman"/>
          <w:noProof/>
          <w:lang w:bidi="ar-SA"/>
        </w:rPr>
        <w:lastRenderedPageBreak/>
        <w:drawing>
          <wp:inline distT="0" distB="0" distL="0" distR="0" wp14:anchorId="63FAFDF4" wp14:editId="5C3176EC">
            <wp:extent cx="2864485" cy="1539422"/>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4648" t="7827" r="2885" b="-135"/>
                    <a:stretch/>
                  </pic:blipFill>
                  <pic:spPr bwMode="auto">
                    <a:xfrm>
                      <a:off x="0" y="0"/>
                      <a:ext cx="2889297" cy="1552757"/>
                    </a:xfrm>
                    <a:prstGeom prst="rect">
                      <a:avLst/>
                    </a:prstGeom>
                    <a:ln>
                      <a:noFill/>
                    </a:ln>
                    <a:extLst>
                      <a:ext uri="{53640926-AAD7-44D8-BBD7-CCE9431645EC}">
                        <a14:shadowObscured xmlns:a14="http://schemas.microsoft.com/office/drawing/2010/main"/>
                      </a:ext>
                    </a:extLst>
                  </pic:spPr>
                </pic:pic>
              </a:graphicData>
            </a:graphic>
          </wp:inline>
        </w:drawing>
      </w:r>
    </w:p>
    <w:p w14:paraId="33548678" w14:textId="77777777" w:rsidR="0071133C" w:rsidRPr="00BF6629" w:rsidRDefault="0071133C" w:rsidP="00BD16D4">
      <w:pPr>
        <w:pStyle w:val="ListParagraph"/>
        <w:spacing w:after="160" w:line="240" w:lineRule="auto"/>
        <w:ind w:left="418"/>
        <w:jc w:val="center"/>
        <w:rPr>
          <w:rFonts w:ascii="Times New Roman" w:eastAsia="TimesNewRomanPSMT" w:hAnsi="Times New Roman"/>
          <w:sz w:val="20"/>
          <w:lang w:eastAsia="en-IN"/>
        </w:rPr>
      </w:pPr>
    </w:p>
    <w:p w14:paraId="4CB76CBB" w14:textId="77777777" w:rsidR="00472132" w:rsidRPr="003B74D0" w:rsidRDefault="00472132" w:rsidP="003B74D0">
      <w:pPr>
        <w:pStyle w:val="ListParagraph"/>
        <w:spacing w:after="160" w:line="240" w:lineRule="auto"/>
        <w:ind w:left="0"/>
        <w:jc w:val="center"/>
        <w:rPr>
          <w:rFonts w:ascii="Times New Roman" w:eastAsia="TimesNewRomanPSMT" w:hAnsi="Times New Roman"/>
          <w:sz w:val="20"/>
          <w:lang w:eastAsia="en-IN"/>
        </w:rPr>
      </w:pPr>
      <w:r w:rsidRPr="003B74D0">
        <w:rPr>
          <w:rFonts w:ascii="Times New Roman" w:eastAsia="TimesNewRomanPSMT" w:hAnsi="Times New Roman"/>
          <w:sz w:val="20"/>
          <w:lang w:eastAsia="en-IN"/>
        </w:rPr>
        <w:t xml:space="preserve">Fig. 10 </w:t>
      </w:r>
      <w:r w:rsidR="00C6745E" w:rsidRPr="003B74D0">
        <w:rPr>
          <w:rFonts w:ascii="Times New Roman" w:eastAsia="TimesNewRomanPSMT" w:hAnsi="Times New Roman"/>
          <w:sz w:val="20"/>
          <w:lang w:eastAsia="en-IN"/>
        </w:rPr>
        <w:t>Energy exchanged for various IPT content on highways &amp; length</w:t>
      </w:r>
    </w:p>
    <w:p w14:paraId="33D3122F" w14:textId="77777777" w:rsidR="00472132" w:rsidRPr="00BF6629" w:rsidRDefault="00B979B2" w:rsidP="00BD16D4">
      <w:pPr>
        <w:jc w:val="both"/>
        <w:rPr>
          <w:rFonts w:eastAsia="TimesNewRomanPSMT"/>
          <w:sz w:val="20"/>
          <w:szCs w:val="20"/>
          <w:lang w:eastAsia="en-IN"/>
        </w:rPr>
      </w:pPr>
      <w:r w:rsidRPr="00BF6629">
        <w:rPr>
          <w:rFonts w:eastAsia="TimesNewRomanPSMT"/>
          <w:sz w:val="20"/>
          <w:szCs w:val="20"/>
          <w:lang w:eastAsia="en-IN"/>
        </w:rPr>
        <w:t xml:space="preserve">In </w:t>
      </w:r>
      <w:r w:rsidR="00954FA0" w:rsidRPr="00BF6629">
        <w:rPr>
          <w:rFonts w:eastAsia="TimesNewRomanPSMT"/>
          <w:b/>
          <w:sz w:val="20"/>
          <w:szCs w:val="20"/>
          <w:lang w:eastAsia="en-IN"/>
        </w:rPr>
        <w:t>[</w:t>
      </w:r>
      <w:r w:rsidRPr="00BF6629">
        <w:rPr>
          <w:rFonts w:eastAsia="TimesNewRomanPSMT"/>
          <w:b/>
          <w:sz w:val="20"/>
          <w:szCs w:val="20"/>
          <w:lang w:eastAsia="en-IN"/>
        </w:rPr>
        <w:t>41</w:t>
      </w:r>
      <w:r w:rsidR="00954FA0" w:rsidRPr="00BF6629">
        <w:rPr>
          <w:rFonts w:eastAsia="TimesNewRomanPSMT"/>
          <w:b/>
          <w:sz w:val="20"/>
          <w:szCs w:val="20"/>
          <w:lang w:eastAsia="en-IN"/>
        </w:rPr>
        <w:t>]</w:t>
      </w:r>
      <w:r w:rsidRPr="00BF6629">
        <w:rPr>
          <w:rFonts w:eastAsia="TimesNewRomanPSMT"/>
          <w:sz w:val="20"/>
          <w:szCs w:val="20"/>
          <w:lang w:eastAsia="en-IN"/>
        </w:rPr>
        <w:t xml:space="preserve"> we build an LCL IPT system that works in both directions.  The inverter ground and the active therapy ground are then treated in a magnitude cancellation method. </w:t>
      </w:r>
      <w:r w:rsidR="00C6745E" w:rsidRPr="00BF6629">
        <w:rPr>
          <w:rFonts w:eastAsia="TimesNewRomanPSMT"/>
          <w:sz w:val="20"/>
          <w:szCs w:val="20"/>
          <w:lang w:eastAsia="en-IN"/>
        </w:rPr>
        <w:t xml:space="preserve">Fig. 8 shows an assembly architecture layout. </w:t>
      </w:r>
      <w:r w:rsidRPr="00BF6629">
        <w:rPr>
          <w:rFonts w:eastAsia="TimesNewRomanPSMT"/>
          <w:sz w:val="20"/>
          <w:szCs w:val="20"/>
          <w:lang w:eastAsia="en-IN"/>
        </w:rPr>
        <w:t xml:space="preserve">The efficiency at high switching pets can be improved with Sic wide band gap bias. Apply to. The experimental investigation employs a Sic MOSFET (C2M0080120D), and the coupling measure k </w:t>
      </w:r>
      <w:r w:rsidR="001110A7" w:rsidRPr="00BF6629">
        <w:rPr>
          <w:rFonts w:eastAsia="TimesNewRomanPSMT"/>
          <w:sz w:val="20"/>
          <w:szCs w:val="20"/>
          <w:lang w:eastAsia="en-IN"/>
        </w:rPr>
        <w:t>&amp;</w:t>
      </w:r>
      <w:r w:rsidRPr="00BF6629">
        <w:rPr>
          <w:rFonts w:eastAsia="TimesNewRomanPSMT"/>
          <w:sz w:val="20"/>
          <w:szCs w:val="20"/>
          <w:lang w:eastAsia="en-IN"/>
        </w:rPr>
        <w:t xml:space="preserve"> the Collective inductance M of the IPT coupler are respectively 0.25 and 12.7 H </w:t>
      </w:r>
      <w:r w:rsidR="00954FA0" w:rsidRPr="00BF6629">
        <w:rPr>
          <w:rFonts w:eastAsia="TimesNewRomanPSMT"/>
          <w:b/>
          <w:sz w:val="20"/>
          <w:szCs w:val="20"/>
          <w:lang w:eastAsia="en-IN"/>
        </w:rPr>
        <w:t>[</w:t>
      </w:r>
      <w:r w:rsidRPr="00BF6629">
        <w:rPr>
          <w:rFonts w:eastAsia="TimesNewRomanPSMT"/>
          <w:b/>
          <w:sz w:val="20"/>
          <w:szCs w:val="20"/>
          <w:lang w:eastAsia="en-IN"/>
        </w:rPr>
        <w:t>42</w:t>
      </w:r>
      <w:r w:rsidR="00954FA0" w:rsidRPr="00BF6629">
        <w:rPr>
          <w:rFonts w:eastAsia="TimesNewRomanPSMT"/>
          <w:b/>
          <w:sz w:val="20"/>
          <w:szCs w:val="20"/>
          <w:lang w:eastAsia="en-IN"/>
        </w:rPr>
        <w:t>]</w:t>
      </w:r>
      <w:r w:rsidRPr="00BF6629">
        <w:rPr>
          <w:rFonts w:eastAsia="TimesNewRomanPSMT"/>
          <w:b/>
          <w:sz w:val="20"/>
          <w:szCs w:val="20"/>
          <w:lang w:eastAsia="en-IN"/>
        </w:rPr>
        <w:t>.</w:t>
      </w:r>
      <w:r w:rsidRPr="00BF6629">
        <w:rPr>
          <w:rFonts w:eastAsia="TimesNewRomanPSMT"/>
          <w:sz w:val="20"/>
          <w:szCs w:val="20"/>
          <w:lang w:eastAsia="en-IN"/>
        </w:rPr>
        <w:t xml:space="preserve"> Maximum efficiency of 92.6 was found to be achieved at reverberant frequencies at 110 kHz, ideal for.1 kW operations. My artificial system, shown in Fig.</w:t>
      </w:r>
      <w:r w:rsidR="00954FA0" w:rsidRPr="00BF6629">
        <w:rPr>
          <w:rFonts w:eastAsia="TimesNewRomanPSMT"/>
          <w:sz w:val="20"/>
          <w:szCs w:val="20"/>
          <w:lang w:eastAsia="en-IN"/>
        </w:rPr>
        <w:t>10</w:t>
      </w:r>
    </w:p>
    <w:p w14:paraId="436D5D28" w14:textId="77777777" w:rsidR="00B979B2" w:rsidRPr="00BF6629" w:rsidRDefault="00B979B2" w:rsidP="00BD16D4">
      <w:pPr>
        <w:jc w:val="both"/>
        <w:rPr>
          <w:rFonts w:eastAsia="TimesNewRomanPSMT"/>
          <w:sz w:val="20"/>
          <w:szCs w:val="20"/>
          <w:lang w:eastAsia="en-IN"/>
        </w:rPr>
      </w:pPr>
    </w:p>
    <w:p w14:paraId="559B9754" w14:textId="77777777" w:rsidR="00472132" w:rsidRPr="00BF6629" w:rsidRDefault="00472132" w:rsidP="00BD16D4">
      <w:pPr>
        <w:pStyle w:val="ListParagraph"/>
        <w:numPr>
          <w:ilvl w:val="0"/>
          <w:numId w:val="15"/>
        </w:numPr>
        <w:spacing w:after="0" w:line="240" w:lineRule="auto"/>
        <w:ind w:left="567" w:hanging="567"/>
        <w:rPr>
          <w:rFonts w:ascii="Times New Roman" w:hAnsi="Times New Roman"/>
          <w:b/>
          <w:bCs/>
          <w:sz w:val="23"/>
          <w:szCs w:val="23"/>
        </w:rPr>
      </w:pPr>
      <w:r w:rsidRPr="00BF6629">
        <w:rPr>
          <w:rFonts w:ascii="Times New Roman" w:hAnsi="Times New Roman"/>
          <w:b/>
          <w:bCs/>
          <w:sz w:val="23"/>
          <w:szCs w:val="23"/>
        </w:rPr>
        <w:t>ON-ROAD CHARGING OF EV</w:t>
      </w:r>
      <w:r w:rsidR="0071133C" w:rsidRPr="00BF6629">
        <w:rPr>
          <w:rFonts w:ascii="Times New Roman" w:hAnsi="Times New Roman"/>
          <w:b/>
          <w:bCs/>
          <w:sz w:val="23"/>
          <w:szCs w:val="23"/>
        </w:rPr>
        <w:t xml:space="preserve"> AND GREEN ENERGY HIGHWAY</w:t>
      </w:r>
    </w:p>
    <w:p w14:paraId="4D095C83" w14:textId="77777777" w:rsidR="00472132" w:rsidRPr="00BF6629" w:rsidRDefault="00472132" w:rsidP="00BD16D4">
      <w:pPr>
        <w:pStyle w:val="ListParagraph"/>
        <w:spacing w:after="0" w:line="240" w:lineRule="auto"/>
        <w:ind w:left="567"/>
        <w:rPr>
          <w:rFonts w:ascii="Times New Roman" w:hAnsi="Times New Roman"/>
          <w:b/>
          <w:bCs/>
          <w:sz w:val="23"/>
          <w:szCs w:val="23"/>
        </w:rPr>
      </w:pPr>
    </w:p>
    <w:p w14:paraId="7B2EF61D" w14:textId="77777777" w:rsidR="00B979B2" w:rsidRPr="00BF6629" w:rsidRDefault="00B979B2" w:rsidP="00B979B2">
      <w:pPr>
        <w:jc w:val="both"/>
        <w:rPr>
          <w:rFonts w:eastAsia="TimesNewRomanPSMT"/>
          <w:sz w:val="20"/>
          <w:szCs w:val="20"/>
          <w:lang w:eastAsia="en-IN"/>
        </w:rPr>
      </w:pPr>
      <w:r w:rsidRPr="00BF6629">
        <w:rPr>
          <w:rFonts w:eastAsia="TimesNewRomanPSMT"/>
          <w:sz w:val="20"/>
          <w:szCs w:val="20"/>
          <w:lang w:eastAsia="en-IN"/>
        </w:rPr>
        <w:t xml:space="preserve">The cutting edge of future EV charging is </w:t>
      </w:r>
      <w:r w:rsidR="00C746FC" w:rsidRPr="00BF6629">
        <w:rPr>
          <w:rFonts w:eastAsia="TimesNewRomanPSMT"/>
          <w:sz w:val="20"/>
          <w:szCs w:val="20"/>
          <w:lang w:eastAsia="en-IN"/>
        </w:rPr>
        <w:t xml:space="preserve">the </w:t>
      </w:r>
      <w:r w:rsidRPr="00BF6629">
        <w:rPr>
          <w:rFonts w:eastAsia="TimesNewRomanPSMT"/>
          <w:sz w:val="20"/>
          <w:szCs w:val="20"/>
          <w:lang w:eastAsia="en-IN"/>
        </w:rPr>
        <w:t xml:space="preserve">on-road/dynamic powering of EVs. By transferring power to automobiles at stop </w:t>
      </w:r>
      <w:proofErr w:type="gramStart"/>
      <w:r w:rsidRPr="00BF6629">
        <w:rPr>
          <w:rFonts w:eastAsia="TimesNewRomanPSMT"/>
          <w:sz w:val="20"/>
          <w:szCs w:val="20"/>
          <w:lang w:eastAsia="en-IN"/>
        </w:rPr>
        <w:t>lights  or</w:t>
      </w:r>
      <w:proofErr w:type="gramEnd"/>
      <w:r w:rsidRPr="00BF6629">
        <w:rPr>
          <w:rFonts w:eastAsia="TimesNewRomanPSMT"/>
          <w:sz w:val="20"/>
          <w:szCs w:val="20"/>
          <w:lang w:eastAsia="en-IN"/>
        </w:rPr>
        <w:t xml:space="preserve"> when in motion, the limiting range of EVs can be </w:t>
      </w:r>
      <w:r w:rsidR="00954FA0" w:rsidRPr="00BF6629">
        <w:rPr>
          <w:rFonts w:eastAsia="TimesNewRomanPSMT"/>
          <w:sz w:val="20"/>
          <w:szCs w:val="20"/>
          <w:lang w:eastAsia="en-IN"/>
        </w:rPr>
        <w:t>neutralized</w:t>
      </w:r>
      <w:r w:rsidRPr="00BF6629">
        <w:rPr>
          <w:rFonts w:eastAsia="TimesNewRomanPSMT"/>
          <w:sz w:val="20"/>
          <w:szCs w:val="20"/>
          <w:lang w:eastAsia="en-IN"/>
        </w:rPr>
        <w:t xml:space="preserve">. In this scenario, Charge-pads are spread out across a sizable section of the roadway, and power is transferred while the vehicle is parked directly over it. </w:t>
      </w:r>
      <w:r w:rsidR="00F615C3" w:rsidRPr="00BF6629">
        <w:rPr>
          <w:rFonts w:eastAsia="TimesNewRomanPSMT"/>
          <w:sz w:val="20"/>
          <w:szCs w:val="20"/>
          <w:lang w:eastAsia="en-IN"/>
        </w:rPr>
        <w:t xml:space="preserve">Historically, </w:t>
      </w:r>
      <w:r w:rsidR="0071133C" w:rsidRPr="00BF6629">
        <w:rPr>
          <w:rFonts w:eastAsia="TimesNewRomanPSMT"/>
          <w:sz w:val="20"/>
          <w:szCs w:val="20"/>
          <w:lang w:eastAsia="en-IN"/>
        </w:rPr>
        <w:t>AGVs</w:t>
      </w:r>
      <w:r w:rsidR="00F615C3" w:rsidRPr="00BF6629">
        <w:rPr>
          <w:rFonts w:eastAsia="TimesNewRomanPSMT"/>
          <w:sz w:val="20"/>
          <w:szCs w:val="20"/>
          <w:lang w:eastAsia="en-IN"/>
        </w:rPr>
        <w:t xml:space="preserve"> and material handling systems have used distributed IPT systems, which imply having tracks on the road that are amplified by an inverter.</w:t>
      </w:r>
      <w:r w:rsidRPr="00BF6629">
        <w:rPr>
          <w:rFonts w:eastAsia="TimesNewRomanPSMT"/>
          <w:sz w:val="20"/>
          <w:szCs w:val="20"/>
          <w:lang w:eastAsia="en-IN"/>
        </w:rPr>
        <w:t xml:space="preserve"> There are other systems based on </w:t>
      </w:r>
      <w:r w:rsidR="00954FA0" w:rsidRPr="00BF6629">
        <w:rPr>
          <w:rFonts w:eastAsia="TimesNewRomanPSMT"/>
          <w:sz w:val="20"/>
          <w:szCs w:val="20"/>
          <w:lang w:eastAsia="en-IN"/>
        </w:rPr>
        <w:t>decentralized</w:t>
      </w:r>
      <w:r w:rsidRPr="00BF6629">
        <w:rPr>
          <w:rFonts w:eastAsia="TimesNewRomanPSMT"/>
          <w:sz w:val="20"/>
          <w:szCs w:val="20"/>
          <w:lang w:eastAsia="en-IN"/>
        </w:rPr>
        <w:t xml:space="preserve"> IPT architectures </w:t>
      </w:r>
      <w:r w:rsidR="00954FA0" w:rsidRPr="00BF6629">
        <w:rPr>
          <w:rFonts w:eastAsia="TimesNewRomanPSMT"/>
          <w:b/>
          <w:sz w:val="20"/>
          <w:szCs w:val="20"/>
          <w:lang w:eastAsia="en-IN"/>
        </w:rPr>
        <w:t>[</w:t>
      </w:r>
      <w:r w:rsidRPr="00BF6629">
        <w:rPr>
          <w:rFonts w:eastAsia="TimesNewRomanPSMT"/>
          <w:b/>
          <w:sz w:val="20"/>
          <w:szCs w:val="20"/>
          <w:lang w:eastAsia="en-IN"/>
        </w:rPr>
        <w:t>35</w:t>
      </w:r>
      <w:r w:rsidR="00954FA0" w:rsidRPr="00BF6629">
        <w:rPr>
          <w:rFonts w:eastAsia="TimesNewRomanPSMT"/>
          <w:b/>
          <w:sz w:val="20"/>
          <w:szCs w:val="20"/>
          <w:lang w:eastAsia="en-IN"/>
        </w:rPr>
        <w:t>]</w:t>
      </w:r>
      <w:r w:rsidRPr="00BF6629">
        <w:rPr>
          <w:rFonts w:eastAsia="TimesNewRomanPSMT"/>
          <w:b/>
          <w:sz w:val="20"/>
          <w:szCs w:val="20"/>
          <w:lang w:eastAsia="en-IN"/>
        </w:rPr>
        <w:t>.</w:t>
      </w:r>
      <w:r w:rsidRPr="00BF6629">
        <w:rPr>
          <w:rFonts w:eastAsia="TimesNewRomanPSMT"/>
          <w:sz w:val="20"/>
          <w:szCs w:val="20"/>
          <w:lang w:eastAsia="en-IN"/>
        </w:rPr>
        <w:t xml:space="preserve"> </w:t>
      </w:r>
    </w:p>
    <w:p w14:paraId="53A49F49" w14:textId="77777777" w:rsidR="00472132" w:rsidRPr="00BF6629" w:rsidRDefault="00B979B2" w:rsidP="00BD16D4">
      <w:pPr>
        <w:jc w:val="both"/>
        <w:rPr>
          <w:rFonts w:eastAsia="TimesNewRomanPSMT"/>
          <w:sz w:val="20"/>
          <w:szCs w:val="20"/>
          <w:lang w:eastAsia="en-IN"/>
        </w:rPr>
      </w:pPr>
      <w:r w:rsidRPr="00BF6629">
        <w:rPr>
          <w:rFonts w:eastAsia="TimesNewRomanPSMT"/>
          <w:sz w:val="20"/>
          <w:szCs w:val="20"/>
          <w:lang w:eastAsia="en-IN"/>
        </w:rPr>
        <w:t xml:space="preserve">The possibility to charge </w:t>
      </w:r>
      <w:r w:rsidR="0071133C" w:rsidRPr="00BF6629">
        <w:rPr>
          <w:rFonts w:eastAsia="TimesNewRomanPSMT"/>
          <w:sz w:val="20"/>
          <w:szCs w:val="20"/>
          <w:lang w:eastAsia="en-IN"/>
        </w:rPr>
        <w:t>EVs</w:t>
      </w:r>
      <w:r w:rsidRPr="00BF6629">
        <w:rPr>
          <w:rFonts w:eastAsia="TimesNewRomanPSMT"/>
          <w:sz w:val="20"/>
          <w:szCs w:val="20"/>
          <w:lang w:eastAsia="en-IN"/>
        </w:rPr>
        <w:t xml:space="preserve"> from renewable energy sources in the area is another perk of on-road charging.  Trace drive cycle IPT system simulations have been extensively explored with power scenarios ranging from 10 to 60 kW and content from 10 to 100 </w:t>
      </w:r>
      <w:r w:rsidR="00954FA0" w:rsidRPr="00BF6629">
        <w:rPr>
          <w:rFonts w:eastAsia="TimesNewRomanPSMT"/>
          <w:b/>
          <w:sz w:val="20"/>
          <w:szCs w:val="20"/>
          <w:lang w:eastAsia="en-IN"/>
        </w:rPr>
        <w:t>[</w:t>
      </w:r>
      <w:r w:rsidRPr="00BF6629">
        <w:rPr>
          <w:rFonts w:eastAsia="TimesNewRomanPSMT"/>
          <w:b/>
          <w:sz w:val="20"/>
          <w:szCs w:val="20"/>
          <w:lang w:eastAsia="en-IN"/>
        </w:rPr>
        <w:t>43</w:t>
      </w:r>
      <w:r w:rsidR="00954FA0" w:rsidRPr="00BF6629">
        <w:rPr>
          <w:rFonts w:eastAsia="TimesNewRomanPSMT"/>
          <w:sz w:val="20"/>
          <w:szCs w:val="20"/>
          <w:lang w:eastAsia="en-IN"/>
        </w:rPr>
        <w:t>]</w:t>
      </w:r>
      <w:r w:rsidRPr="00BF6629">
        <w:rPr>
          <w:rFonts w:eastAsia="TimesNewRomanPSMT"/>
          <w:sz w:val="20"/>
          <w:szCs w:val="20"/>
          <w:lang w:eastAsia="en-IN"/>
        </w:rPr>
        <w:t xml:space="preserve">. One major outcome is depicted in </w:t>
      </w:r>
      <w:r w:rsidR="0071133C" w:rsidRPr="00BF6629">
        <w:rPr>
          <w:rFonts w:eastAsia="TimesNewRomanPSMT"/>
          <w:sz w:val="20"/>
          <w:szCs w:val="20"/>
          <w:lang w:eastAsia="en-IN"/>
        </w:rPr>
        <w:t>F</w:t>
      </w:r>
      <w:r w:rsidRPr="00BF6629">
        <w:rPr>
          <w:rFonts w:eastAsia="TimesNewRomanPSMT"/>
          <w:sz w:val="20"/>
          <w:szCs w:val="20"/>
          <w:lang w:eastAsia="en-IN"/>
        </w:rPr>
        <w:t xml:space="preserve">ig. 10 </w:t>
      </w:r>
      <w:r w:rsidR="00954FA0" w:rsidRPr="00BF6629">
        <w:rPr>
          <w:rFonts w:eastAsia="TimesNewRomanPSMT"/>
          <w:b/>
          <w:sz w:val="20"/>
          <w:szCs w:val="20"/>
          <w:lang w:eastAsia="en-IN"/>
        </w:rPr>
        <w:t>[</w:t>
      </w:r>
      <w:r w:rsidRPr="00BF6629">
        <w:rPr>
          <w:rFonts w:eastAsia="TimesNewRomanPSMT"/>
          <w:b/>
          <w:sz w:val="20"/>
          <w:szCs w:val="20"/>
          <w:lang w:eastAsia="en-IN"/>
        </w:rPr>
        <w:t>43</w:t>
      </w:r>
      <w:r w:rsidR="00954FA0" w:rsidRPr="00BF6629">
        <w:rPr>
          <w:rFonts w:eastAsia="TimesNewRomanPSMT"/>
          <w:b/>
          <w:sz w:val="20"/>
          <w:szCs w:val="20"/>
          <w:lang w:eastAsia="en-IN"/>
        </w:rPr>
        <w:t>]</w:t>
      </w:r>
      <w:r w:rsidRPr="00BF6629">
        <w:rPr>
          <w:rFonts w:eastAsia="TimesNewRomanPSMT"/>
          <w:b/>
          <w:sz w:val="20"/>
          <w:szCs w:val="20"/>
          <w:lang w:eastAsia="en-IN"/>
        </w:rPr>
        <w:t>,</w:t>
      </w:r>
      <w:r w:rsidR="0071133C" w:rsidRPr="00BF6629">
        <w:rPr>
          <w:rFonts w:eastAsia="TimesNewRomanPSMT"/>
          <w:sz w:val="20"/>
          <w:szCs w:val="20"/>
          <w:lang w:eastAsia="en-IN"/>
        </w:rPr>
        <w:t xml:space="preserve"> where it is clear that both 20kW</w:t>
      </w:r>
      <w:r w:rsidRPr="00BF6629">
        <w:rPr>
          <w:rFonts w:eastAsia="TimesNewRomanPSMT"/>
          <w:sz w:val="20"/>
          <w:szCs w:val="20"/>
          <w:lang w:eastAsia="en-IN"/>
        </w:rPr>
        <w:t xml:space="preserve"> of electricity and 50 </w:t>
      </w:r>
      <w:r w:rsidR="00954FA0" w:rsidRPr="00BF6629">
        <w:rPr>
          <w:rFonts w:eastAsia="TimesNewRomanPSMT"/>
          <w:sz w:val="20"/>
          <w:szCs w:val="20"/>
          <w:lang w:eastAsia="en-IN"/>
        </w:rPr>
        <w:t>kilometers</w:t>
      </w:r>
      <w:r w:rsidRPr="00BF6629">
        <w:rPr>
          <w:rFonts w:eastAsia="TimesNewRomanPSMT"/>
          <w:sz w:val="20"/>
          <w:szCs w:val="20"/>
          <w:lang w:eastAsia="en-IN"/>
        </w:rPr>
        <w:t xml:space="preserve"> of road content can be used to accomplish the same task. On top of that, Extremely high driving capability for material with a minimum age requirement of 50. succeed in the case of </w:t>
      </w:r>
      <w:r w:rsidR="00C746FC" w:rsidRPr="00BF6629">
        <w:rPr>
          <w:rFonts w:eastAsia="TimesNewRomanPSMT"/>
          <w:sz w:val="20"/>
          <w:szCs w:val="20"/>
          <w:lang w:eastAsia="en-IN"/>
        </w:rPr>
        <w:t xml:space="preserve">a </w:t>
      </w:r>
      <w:r w:rsidRPr="00BF6629">
        <w:rPr>
          <w:rFonts w:eastAsia="TimesNewRomanPSMT"/>
          <w:sz w:val="20"/>
          <w:szCs w:val="20"/>
          <w:lang w:eastAsia="en-IN"/>
        </w:rPr>
        <w:t xml:space="preserve">power output of less than 20 kW </w:t>
      </w:r>
      <w:r w:rsidR="00954FA0" w:rsidRPr="00BF6629">
        <w:rPr>
          <w:rFonts w:eastAsia="TimesNewRomanPSMT"/>
          <w:b/>
          <w:sz w:val="20"/>
          <w:szCs w:val="20"/>
          <w:lang w:eastAsia="en-IN"/>
        </w:rPr>
        <w:t>[</w:t>
      </w:r>
      <w:r w:rsidRPr="00BF6629">
        <w:rPr>
          <w:rFonts w:eastAsia="TimesNewRomanPSMT"/>
          <w:b/>
          <w:sz w:val="20"/>
          <w:szCs w:val="20"/>
          <w:lang w:eastAsia="en-IN"/>
        </w:rPr>
        <w:t>43</w:t>
      </w:r>
      <w:r w:rsidR="00954FA0" w:rsidRPr="00BF6629">
        <w:rPr>
          <w:rFonts w:eastAsia="TimesNewRomanPSMT"/>
          <w:b/>
          <w:sz w:val="20"/>
          <w:szCs w:val="20"/>
          <w:lang w:eastAsia="en-IN"/>
        </w:rPr>
        <w:t>]</w:t>
      </w:r>
      <w:r w:rsidRPr="00BF6629">
        <w:rPr>
          <w:rFonts w:eastAsia="TimesNewRomanPSMT"/>
          <w:b/>
          <w:sz w:val="20"/>
          <w:szCs w:val="20"/>
          <w:lang w:eastAsia="en-IN"/>
        </w:rPr>
        <w:t>.</w:t>
      </w:r>
    </w:p>
    <w:p w14:paraId="6D7F8AF5" w14:textId="77777777" w:rsidR="00B979B2" w:rsidRPr="00BF6629" w:rsidRDefault="00B979B2" w:rsidP="00BD16D4">
      <w:pPr>
        <w:jc w:val="both"/>
        <w:rPr>
          <w:rFonts w:eastAsia="TimesNewRomanPSMT"/>
          <w:sz w:val="20"/>
          <w:szCs w:val="20"/>
          <w:lang w:eastAsia="en-IN"/>
        </w:rPr>
      </w:pPr>
      <w:r w:rsidRPr="00BF6629">
        <w:rPr>
          <w:rFonts w:eastAsia="TimesNewRomanPSMT"/>
          <w:sz w:val="20"/>
          <w:szCs w:val="20"/>
          <w:lang w:eastAsia="en-IN"/>
        </w:rPr>
        <w:t>Green energy incorporation and self-healing capabilities are two recent breakthroughs in trace</w:t>
      </w:r>
      <w:r w:rsidR="00C746FC" w:rsidRPr="00BF6629">
        <w:rPr>
          <w:rFonts w:eastAsia="TimesNewRomanPSMT"/>
          <w:sz w:val="20"/>
          <w:szCs w:val="20"/>
          <w:lang w:eastAsia="en-IN"/>
        </w:rPr>
        <w:t>-</w:t>
      </w:r>
      <w:r w:rsidRPr="00BF6629">
        <w:rPr>
          <w:rFonts w:eastAsia="TimesNewRomanPSMT"/>
          <w:sz w:val="20"/>
          <w:szCs w:val="20"/>
          <w:lang w:eastAsia="en-IN"/>
        </w:rPr>
        <w:t xml:space="preserve">grounded IPT technologies. Routes that support IPT </w:t>
      </w:r>
      <w:r w:rsidR="00954FA0" w:rsidRPr="00BF6629">
        <w:rPr>
          <w:rFonts w:eastAsia="TimesNewRomanPSMT"/>
          <w:b/>
          <w:sz w:val="20"/>
          <w:szCs w:val="20"/>
          <w:lang w:eastAsia="en-IN"/>
        </w:rPr>
        <w:t>[</w:t>
      </w:r>
      <w:r w:rsidRPr="00BF6629">
        <w:rPr>
          <w:rFonts w:eastAsia="TimesNewRomanPSMT"/>
          <w:b/>
          <w:sz w:val="20"/>
          <w:szCs w:val="20"/>
          <w:lang w:eastAsia="en-IN"/>
        </w:rPr>
        <w:t>44</w:t>
      </w:r>
      <w:r w:rsidR="00954FA0" w:rsidRPr="00BF6629">
        <w:rPr>
          <w:rFonts w:eastAsia="TimesNewRomanPSMT"/>
          <w:b/>
          <w:sz w:val="20"/>
          <w:szCs w:val="20"/>
          <w:lang w:eastAsia="en-IN"/>
        </w:rPr>
        <w:t>]</w:t>
      </w:r>
      <w:r w:rsidRPr="00BF6629">
        <w:rPr>
          <w:rFonts w:eastAsia="TimesNewRomanPSMT"/>
          <w:b/>
          <w:sz w:val="20"/>
          <w:szCs w:val="20"/>
          <w:lang w:eastAsia="en-IN"/>
        </w:rPr>
        <w:t>.</w:t>
      </w:r>
      <w:r w:rsidR="00C746FC" w:rsidRPr="00BF6629">
        <w:rPr>
          <w:rFonts w:eastAsia="TimesNewRomanPSMT"/>
          <w:b/>
          <w:sz w:val="20"/>
          <w:szCs w:val="20"/>
          <w:lang w:eastAsia="en-IN"/>
        </w:rPr>
        <w:t xml:space="preserve"> </w:t>
      </w:r>
      <w:r w:rsidRPr="00BF6629">
        <w:rPr>
          <w:rFonts w:eastAsia="TimesNewRomanPSMT"/>
          <w:sz w:val="20"/>
          <w:szCs w:val="20"/>
          <w:lang w:eastAsia="en-IN"/>
        </w:rPr>
        <w:t xml:space="preserve">Multiple energy-generating methods have been integrated into the design of highways specifically for EVs. Comparable to solar-powered highways and micro-wind generators. This, together with IPT for recharging electric vehicles, </w:t>
      </w:r>
      <w:r w:rsidRPr="00BF6629">
        <w:rPr>
          <w:rFonts w:eastAsia="TimesNewRomanPSMT"/>
          <w:sz w:val="20"/>
          <w:szCs w:val="20"/>
          <w:lang w:eastAsia="en-IN"/>
        </w:rPr>
        <w:t xml:space="preserve">is the future of our roads. There has been a corresponding advance in this area as well. The evolution of IPT systems to incorporate several frequencies </w:t>
      </w:r>
      <w:r w:rsidR="00C746FC" w:rsidRPr="00BF6629">
        <w:rPr>
          <w:rFonts w:eastAsia="TimesNewRomanPSMT"/>
          <w:sz w:val="20"/>
          <w:szCs w:val="20"/>
          <w:lang w:eastAsia="en-IN"/>
        </w:rPr>
        <w:t>T</w:t>
      </w:r>
      <w:r w:rsidRPr="00BF6629">
        <w:rPr>
          <w:rFonts w:eastAsia="TimesNewRomanPSMT"/>
          <w:sz w:val="20"/>
          <w:szCs w:val="20"/>
          <w:lang w:eastAsia="en-IN"/>
        </w:rPr>
        <w:t xml:space="preserve">o reduce the amount of power required to process each frequency, multi-frequency power transfer can be used to multiplex power between various harmonics </w:t>
      </w:r>
      <w:r w:rsidR="00D31AD7" w:rsidRPr="00BF6629">
        <w:rPr>
          <w:rFonts w:eastAsia="TimesNewRomanPSMT"/>
          <w:b/>
          <w:sz w:val="20"/>
          <w:szCs w:val="20"/>
          <w:lang w:eastAsia="en-IN"/>
        </w:rPr>
        <w:t>[</w:t>
      </w:r>
      <w:r w:rsidRPr="00BF6629">
        <w:rPr>
          <w:rFonts w:eastAsia="TimesNewRomanPSMT"/>
          <w:b/>
          <w:sz w:val="20"/>
          <w:szCs w:val="20"/>
          <w:lang w:eastAsia="en-IN"/>
        </w:rPr>
        <w:t>45</w:t>
      </w:r>
      <w:r w:rsidR="00D31AD7" w:rsidRPr="00BF6629">
        <w:rPr>
          <w:rFonts w:eastAsia="TimesNewRomanPSMT"/>
          <w:b/>
          <w:sz w:val="20"/>
          <w:szCs w:val="20"/>
          <w:lang w:eastAsia="en-IN"/>
        </w:rPr>
        <w:t>]</w:t>
      </w:r>
      <w:r w:rsidRPr="00BF6629">
        <w:rPr>
          <w:rFonts w:eastAsia="TimesNewRomanPSMT"/>
          <w:b/>
          <w:sz w:val="20"/>
          <w:szCs w:val="20"/>
          <w:lang w:eastAsia="en-IN"/>
        </w:rPr>
        <w:t>.</w:t>
      </w:r>
    </w:p>
    <w:p w14:paraId="5102D83B" w14:textId="77777777" w:rsidR="00472132" w:rsidRPr="00BF6629" w:rsidRDefault="00472132" w:rsidP="00BD16D4">
      <w:pPr>
        <w:jc w:val="both"/>
        <w:rPr>
          <w:rFonts w:eastAsia="TimesNewRomanPSMT"/>
          <w:sz w:val="20"/>
          <w:szCs w:val="20"/>
          <w:lang w:eastAsia="en-IN"/>
        </w:rPr>
      </w:pPr>
    </w:p>
    <w:p w14:paraId="752E39C1" w14:textId="77777777" w:rsidR="0061679D" w:rsidRPr="00BF6629" w:rsidRDefault="0061679D" w:rsidP="003B74D0">
      <w:pPr>
        <w:pStyle w:val="ListParagraph"/>
        <w:numPr>
          <w:ilvl w:val="0"/>
          <w:numId w:val="15"/>
        </w:numPr>
        <w:spacing w:line="240" w:lineRule="auto"/>
        <w:ind w:left="567" w:hanging="567"/>
        <w:jc w:val="center"/>
        <w:rPr>
          <w:rFonts w:ascii="Times New Roman" w:hAnsi="Times New Roman"/>
          <w:b/>
          <w:bCs/>
          <w:sz w:val="23"/>
          <w:szCs w:val="23"/>
        </w:rPr>
      </w:pPr>
      <w:r w:rsidRPr="00BF6629">
        <w:rPr>
          <w:rFonts w:ascii="Times New Roman" w:hAnsi="Times New Roman"/>
          <w:b/>
          <w:bCs/>
          <w:sz w:val="23"/>
          <w:szCs w:val="23"/>
        </w:rPr>
        <w:t>CONCLUSION</w:t>
      </w:r>
    </w:p>
    <w:p w14:paraId="096A97A7" w14:textId="77777777" w:rsidR="00283EF2" w:rsidRPr="00BF6629" w:rsidRDefault="00283EF2" w:rsidP="00BD16D4">
      <w:pPr>
        <w:jc w:val="both"/>
        <w:rPr>
          <w:rFonts w:eastAsia="TimesNewRomanPSMT"/>
          <w:sz w:val="20"/>
          <w:szCs w:val="20"/>
          <w:lang w:eastAsia="en-IN"/>
        </w:rPr>
      </w:pPr>
      <w:r w:rsidRPr="00BF6629">
        <w:rPr>
          <w:rFonts w:eastAsia="TimesNewRomanPSMT"/>
          <w:sz w:val="20"/>
          <w:szCs w:val="20"/>
          <w:lang w:eastAsia="en-IN"/>
        </w:rPr>
        <w:t xml:space="preserve">Intelligent charging, </w:t>
      </w:r>
      <w:r w:rsidR="0071133C" w:rsidRPr="00BF6629">
        <w:rPr>
          <w:rFonts w:eastAsia="TimesNewRomanPSMT"/>
          <w:sz w:val="20"/>
          <w:szCs w:val="20"/>
          <w:lang w:eastAsia="en-IN"/>
        </w:rPr>
        <w:t>V2G</w:t>
      </w:r>
      <w:r w:rsidRPr="00BF6629">
        <w:rPr>
          <w:rFonts w:eastAsia="TimesNewRomanPSMT"/>
          <w:sz w:val="20"/>
          <w:szCs w:val="20"/>
          <w:lang w:eastAsia="en-IN"/>
        </w:rPr>
        <w:t>, charging</w:t>
      </w:r>
      <w:r w:rsidR="001110A7" w:rsidRPr="00BF6629">
        <w:rPr>
          <w:rFonts w:eastAsia="TimesNewRomanPSMT"/>
          <w:sz w:val="20"/>
          <w:szCs w:val="20"/>
          <w:lang w:eastAsia="en-IN"/>
        </w:rPr>
        <w:t xml:space="preserve"> via PV for EV</w:t>
      </w:r>
      <w:r w:rsidRPr="00BF6629">
        <w:rPr>
          <w:rFonts w:eastAsia="TimesNewRomanPSMT"/>
          <w:sz w:val="20"/>
          <w:szCs w:val="20"/>
          <w:lang w:eastAsia="en-IN"/>
        </w:rPr>
        <w:t>, etc. Five important innovations, including wireless charging and on-road charging, will facilitate the shift to electric mobility.  Such innovations' implied support for the grid</w:t>
      </w:r>
      <w:r w:rsidR="00C746FC" w:rsidRPr="00BF6629">
        <w:rPr>
          <w:rFonts w:eastAsia="TimesNewRomanPSMT"/>
          <w:sz w:val="20"/>
          <w:szCs w:val="20"/>
          <w:lang w:eastAsia="en-IN"/>
        </w:rPr>
        <w:t>, as well as their capacity to boost the adoption of renewable,</w:t>
      </w:r>
      <w:r w:rsidRPr="00BF6629">
        <w:rPr>
          <w:rFonts w:eastAsia="TimesNewRomanPSMT"/>
          <w:sz w:val="20"/>
          <w:szCs w:val="20"/>
          <w:lang w:eastAsia="en-IN"/>
        </w:rPr>
        <w:t xml:space="preserve"> will have an impact on the entire energy geography, not just the transport sector Assiduity. The rapid development and widespread use of these innovations will depend heavily on the prevalence of suitable company structures and standardization.</w:t>
      </w:r>
    </w:p>
    <w:p w14:paraId="5948A2EE" w14:textId="77777777" w:rsidR="0071133C" w:rsidRPr="00BF6629" w:rsidRDefault="0071133C" w:rsidP="004A42DE">
      <w:pPr>
        <w:rPr>
          <w:b/>
        </w:rPr>
      </w:pPr>
    </w:p>
    <w:p w14:paraId="529F6651" w14:textId="77777777" w:rsidR="0061679D" w:rsidRPr="00BF6629" w:rsidRDefault="0061679D" w:rsidP="003B74D0">
      <w:pPr>
        <w:jc w:val="center"/>
        <w:rPr>
          <w:b/>
        </w:rPr>
      </w:pPr>
      <w:r w:rsidRPr="00BF6629">
        <w:rPr>
          <w:b/>
        </w:rPr>
        <w:t>REFERENCES</w:t>
      </w:r>
    </w:p>
    <w:p w14:paraId="482513CE" w14:textId="77777777" w:rsidR="0061679D" w:rsidRPr="00BF6629" w:rsidRDefault="0061679D" w:rsidP="00BD16D4">
      <w:pPr>
        <w:pStyle w:val="ListParagraph"/>
        <w:spacing w:after="160" w:line="240" w:lineRule="auto"/>
        <w:ind w:left="418"/>
        <w:jc w:val="center"/>
        <w:rPr>
          <w:rFonts w:ascii="Times New Roman" w:eastAsiaTheme="minorHAnsi" w:hAnsi="Times New Roman"/>
          <w:b/>
          <w:sz w:val="16"/>
          <w:szCs w:val="16"/>
        </w:rPr>
      </w:pPr>
    </w:p>
    <w:p w14:paraId="5175B2A2" w14:textId="77777777" w:rsidR="00C746FC" w:rsidRPr="003B74D0" w:rsidRDefault="0061679D" w:rsidP="003B74D0">
      <w:pPr>
        <w:pStyle w:val="ListParagraph"/>
        <w:widowControl w:val="0"/>
        <w:numPr>
          <w:ilvl w:val="0"/>
          <w:numId w:val="21"/>
        </w:numPr>
        <w:autoSpaceDE w:val="0"/>
        <w:autoSpaceDN w:val="0"/>
        <w:spacing w:after="0" w:line="240" w:lineRule="auto"/>
        <w:ind w:left="360" w:hanging="360"/>
        <w:contextualSpacing w:val="0"/>
        <w:jc w:val="both"/>
        <w:rPr>
          <w:rFonts w:ascii="Times New Roman" w:hAnsi="Times New Roman"/>
          <w:sz w:val="20"/>
        </w:rPr>
      </w:pPr>
      <w:r w:rsidRPr="00BF6629">
        <w:rPr>
          <w:rFonts w:ascii="Times New Roman" w:hAnsi="Times New Roman"/>
          <w:sz w:val="16"/>
          <w:szCs w:val="16"/>
        </w:rPr>
        <w:t>“</w:t>
      </w:r>
      <w:r w:rsidRPr="003B74D0">
        <w:rPr>
          <w:rFonts w:ascii="Times New Roman" w:hAnsi="Times New Roman"/>
          <w:sz w:val="20"/>
        </w:rPr>
        <w:t xml:space="preserve">Global EV Outlook 2016,” </w:t>
      </w:r>
      <w:r w:rsidRPr="003B74D0">
        <w:rPr>
          <w:rFonts w:ascii="Times New Roman" w:hAnsi="Times New Roman"/>
          <w:i/>
          <w:sz w:val="20"/>
        </w:rPr>
        <w:t>Int. Energy Agency</w:t>
      </w:r>
      <w:r w:rsidRPr="003B74D0">
        <w:rPr>
          <w:rFonts w:ascii="Times New Roman" w:hAnsi="Times New Roman"/>
          <w:sz w:val="20"/>
        </w:rPr>
        <w:t>, p. 52,</w:t>
      </w:r>
      <w:r w:rsidRPr="003B74D0">
        <w:rPr>
          <w:rFonts w:ascii="Times New Roman" w:hAnsi="Times New Roman"/>
          <w:spacing w:val="-7"/>
          <w:sz w:val="20"/>
        </w:rPr>
        <w:t xml:space="preserve"> </w:t>
      </w:r>
      <w:r w:rsidRPr="003B74D0">
        <w:rPr>
          <w:rFonts w:ascii="Times New Roman" w:hAnsi="Times New Roman"/>
          <w:sz w:val="20"/>
        </w:rPr>
        <w:t>2016.</w:t>
      </w:r>
    </w:p>
    <w:p w14:paraId="2B52C0CD" w14:textId="77777777" w:rsidR="00C746FC" w:rsidRPr="003B74D0" w:rsidRDefault="0061679D" w:rsidP="003B74D0">
      <w:pPr>
        <w:pStyle w:val="ListParagraph"/>
        <w:widowControl w:val="0"/>
        <w:numPr>
          <w:ilvl w:val="0"/>
          <w:numId w:val="21"/>
        </w:numPr>
        <w:autoSpaceDE w:val="0"/>
        <w:autoSpaceDN w:val="0"/>
        <w:spacing w:after="0" w:line="240" w:lineRule="auto"/>
        <w:ind w:left="360" w:hanging="360"/>
        <w:contextualSpacing w:val="0"/>
        <w:jc w:val="both"/>
        <w:rPr>
          <w:rFonts w:ascii="Times New Roman" w:hAnsi="Times New Roman"/>
          <w:sz w:val="20"/>
        </w:rPr>
      </w:pPr>
      <w:r w:rsidRPr="003B74D0">
        <w:rPr>
          <w:rFonts w:ascii="Times New Roman" w:hAnsi="Times New Roman"/>
          <w:sz w:val="20"/>
        </w:rPr>
        <w:t xml:space="preserve">K. Qian, C. Zhou, M. Allan, and Y. Yuan, “Modeling of Load Demand Due to EV Battery Charging in Distribution Systems,” </w:t>
      </w:r>
      <w:r w:rsidRPr="003B74D0">
        <w:rPr>
          <w:rFonts w:ascii="Times New Roman" w:hAnsi="Times New Roman"/>
          <w:i/>
          <w:sz w:val="20"/>
        </w:rPr>
        <w:t>IEEE Trans. Power Syst.</w:t>
      </w:r>
      <w:r w:rsidRPr="003B74D0">
        <w:rPr>
          <w:rFonts w:ascii="Times New Roman" w:hAnsi="Times New Roman"/>
          <w:sz w:val="20"/>
        </w:rPr>
        <w:t>, vol. 26, no. 2, pp. 802–810, May</w:t>
      </w:r>
      <w:r w:rsidRPr="003B74D0">
        <w:rPr>
          <w:rFonts w:ascii="Times New Roman" w:hAnsi="Times New Roman"/>
          <w:spacing w:val="-9"/>
          <w:sz w:val="20"/>
        </w:rPr>
        <w:t xml:space="preserve"> </w:t>
      </w:r>
      <w:r w:rsidRPr="003B74D0">
        <w:rPr>
          <w:rFonts w:ascii="Times New Roman" w:hAnsi="Times New Roman"/>
          <w:sz w:val="20"/>
        </w:rPr>
        <w:t>2011.</w:t>
      </w:r>
    </w:p>
    <w:p w14:paraId="20BB4B0C" w14:textId="77777777" w:rsidR="00C746FC" w:rsidRPr="003B74D0" w:rsidRDefault="0061679D" w:rsidP="003B74D0">
      <w:pPr>
        <w:pStyle w:val="ListParagraph"/>
        <w:widowControl w:val="0"/>
        <w:numPr>
          <w:ilvl w:val="0"/>
          <w:numId w:val="21"/>
        </w:numPr>
        <w:autoSpaceDE w:val="0"/>
        <w:autoSpaceDN w:val="0"/>
        <w:spacing w:after="0" w:line="240" w:lineRule="auto"/>
        <w:ind w:left="360" w:hanging="360"/>
        <w:contextualSpacing w:val="0"/>
        <w:jc w:val="both"/>
        <w:rPr>
          <w:rFonts w:ascii="Times New Roman" w:hAnsi="Times New Roman"/>
          <w:sz w:val="20"/>
        </w:rPr>
      </w:pPr>
      <w:r w:rsidRPr="003B74D0">
        <w:rPr>
          <w:rFonts w:ascii="Times New Roman" w:hAnsi="Times New Roman"/>
          <w:sz w:val="20"/>
        </w:rPr>
        <w:t xml:space="preserve">A. </w:t>
      </w:r>
      <w:proofErr w:type="spellStart"/>
      <w:r w:rsidRPr="003B74D0">
        <w:rPr>
          <w:rFonts w:ascii="Times New Roman" w:hAnsi="Times New Roman"/>
          <w:sz w:val="20"/>
        </w:rPr>
        <w:t>Lojowska</w:t>
      </w:r>
      <w:proofErr w:type="spellEnd"/>
      <w:r w:rsidRPr="003B74D0">
        <w:rPr>
          <w:rFonts w:ascii="Times New Roman" w:hAnsi="Times New Roman"/>
          <w:sz w:val="20"/>
        </w:rPr>
        <w:t xml:space="preserve">, D. Kurowicka, G. Papaefthymiou, and L. van der Sluis, “Stochastic Modeling of Power Demand Due to EVs Using Copula,” </w:t>
      </w:r>
      <w:r w:rsidRPr="003B74D0">
        <w:rPr>
          <w:rFonts w:ascii="Times New Roman" w:hAnsi="Times New Roman"/>
          <w:i/>
          <w:sz w:val="20"/>
        </w:rPr>
        <w:t>IEEE Trans. Power Syst.</w:t>
      </w:r>
      <w:r w:rsidRPr="003B74D0">
        <w:rPr>
          <w:rFonts w:ascii="Times New Roman" w:hAnsi="Times New Roman"/>
          <w:sz w:val="20"/>
        </w:rPr>
        <w:t>, vol. 27, no. 4, pp. 1960–1968, Nov.</w:t>
      </w:r>
      <w:r w:rsidRPr="003B74D0">
        <w:rPr>
          <w:rFonts w:ascii="Times New Roman" w:hAnsi="Times New Roman"/>
          <w:spacing w:val="-21"/>
          <w:sz w:val="20"/>
        </w:rPr>
        <w:t xml:space="preserve"> </w:t>
      </w:r>
      <w:r w:rsidRPr="003B74D0">
        <w:rPr>
          <w:rFonts w:ascii="Times New Roman" w:hAnsi="Times New Roman"/>
          <w:sz w:val="20"/>
        </w:rPr>
        <w:t>2012.</w:t>
      </w:r>
    </w:p>
    <w:p w14:paraId="4C3AC547" w14:textId="77777777" w:rsidR="00C746FC" w:rsidRPr="003B74D0" w:rsidRDefault="0061679D" w:rsidP="003B74D0">
      <w:pPr>
        <w:pStyle w:val="ListParagraph"/>
        <w:widowControl w:val="0"/>
        <w:numPr>
          <w:ilvl w:val="0"/>
          <w:numId w:val="21"/>
        </w:numPr>
        <w:autoSpaceDE w:val="0"/>
        <w:autoSpaceDN w:val="0"/>
        <w:spacing w:after="0" w:line="240" w:lineRule="auto"/>
        <w:ind w:left="360" w:hanging="360"/>
        <w:contextualSpacing w:val="0"/>
        <w:jc w:val="both"/>
        <w:rPr>
          <w:rFonts w:ascii="Times New Roman" w:hAnsi="Times New Roman"/>
          <w:sz w:val="20"/>
        </w:rPr>
      </w:pPr>
      <w:r w:rsidRPr="003B74D0">
        <w:rPr>
          <w:rFonts w:ascii="Times New Roman" w:hAnsi="Times New Roman"/>
          <w:sz w:val="20"/>
        </w:rPr>
        <w:t>“Efficiencies</w:t>
      </w:r>
      <w:r w:rsidRPr="003B74D0">
        <w:rPr>
          <w:rFonts w:ascii="Times New Roman" w:hAnsi="Times New Roman"/>
          <w:spacing w:val="8"/>
          <w:sz w:val="20"/>
        </w:rPr>
        <w:t xml:space="preserve"> </w:t>
      </w:r>
      <w:r w:rsidRPr="003B74D0">
        <w:rPr>
          <w:rFonts w:ascii="Times New Roman" w:hAnsi="Times New Roman"/>
          <w:sz w:val="20"/>
        </w:rPr>
        <w:t>and</w:t>
      </w:r>
      <w:r w:rsidRPr="003B74D0">
        <w:rPr>
          <w:rFonts w:ascii="Times New Roman" w:hAnsi="Times New Roman"/>
          <w:spacing w:val="8"/>
          <w:sz w:val="20"/>
        </w:rPr>
        <w:t xml:space="preserve"> </w:t>
      </w:r>
      <w:r w:rsidRPr="003B74D0">
        <w:rPr>
          <w:rFonts w:ascii="Times New Roman" w:hAnsi="Times New Roman"/>
          <w:sz w:val="20"/>
        </w:rPr>
        <w:t>CO2</w:t>
      </w:r>
      <w:r w:rsidRPr="003B74D0">
        <w:rPr>
          <w:rFonts w:ascii="Times New Roman" w:hAnsi="Times New Roman"/>
          <w:spacing w:val="8"/>
          <w:sz w:val="20"/>
        </w:rPr>
        <w:t xml:space="preserve"> </w:t>
      </w:r>
      <w:r w:rsidRPr="003B74D0">
        <w:rPr>
          <w:rFonts w:ascii="Times New Roman" w:hAnsi="Times New Roman"/>
          <w:sz w:val="20"/>
        </w:rPr>
        <w:t>emissions</w:t>
      </w:r>
      <w:r w:rsidRPr="003B74D0">
        <w:rPr>
          <w:rFonts w:ascii="Times New Roman" w:hAnsi="Times New Roman"/>
          <w:spacing w:val="9"/>
          <w:sz w:val="20"/>
        </w:rPr>
        <w:t xml:space="preserve"> </w:t>
      </w:r>
      <w:r w:rsidRPr="003B74D0">
        <w:rPr>
          <w:rFonts w:ascii="Times New Roman" w:hAnsi="Times New Roman"/>
          <w:sz w:val="20"/>
        </w:rPr>
        <w:t>from</w:t>
      </w:r>
      <w:r w:rsidRPr="003B74D0">
        <w:rPr>
          <w:rFonts w:ascii="Times New Roman" w:hAnsi="Times New Roman"/>
          <w:spacing w:val="5"/>
          <w:sz w:val="20"/>
        </w:rPr>
        <w:t xml:space="preserve"> </w:t>
      </w:r>
      <w:r w:rsidRPr="003B74D0">
        <w:rPr>
          <w:rFonts w:ascii="Times New Roman" w:hAnsi="Times New Roman"/>
          <w:sz w:val="20"/>
        </w:rPr>
        <w:t>electricity</w:t>
      </w:r>
      <w:r w:rsidRPr="003B74D0">
        <w:rPr>
          <w:rFonts w:ascii="Times New Roman" w:hAnsi="Times New Roman"/>
          <w:spacing w:val="9"/>
          <w:sz w:val="20"/>
        </w:rPr>
        <w:t xml:space="preserve"> </w:t>
      </w:r>
      <w:r w:rsidRPr="003B74D0">
        <w:rPr>
          <w:rFonts w:ascii="Times New Roman" w:hAnsi="Times New Roman"/>
          <w:sz w:val="20"/>
        </w:rPr>
        <w:t>production</w:t>
      </w:r>
      <w:r w:rsidRPr="003B74D0">
        <w:rPr>
          <w:rFonts w:ascii="Times New Roman" w:hAnsi="Times New Roman"/>
          <w:spacing w:val="8"/>
          <w:sz w:val="20"/>
        </w:rPr>
        <w:t xml:space="preserve"> </w:t>
      </w:r>
      <w:r w:rsidRPr="003B74D0">
        <w:rPr>
          <w:rFonts w:ascii="Times New Roman" w:hAnsi="Times New Roman"/>
          <w:sz w:val="20"/>
        </w:rPr>
        <w:t>in</w:t>
      </w:r>
      <w:r w:rsidRPr="003B74D0">
        <w:rPr>
          <w:rFonts w:ascii="Times New Roman" w:hAnsi="Times New Roman"/>
          <w:spacing w:val="8"/>
          <w:sz w:val="20"/>
        </w:rPr>
        <w:t xml:space="preserve"> </w:t>
      </w:r>
      <w:r w:rsidRPr="003B74D0">
        <w:rPr>
          <w:rFonts w:ascii="Times New Roman" w:hAnsi="Times New Roman"/>
          <w:sz w:val="20"/>
        </w:rPr>
        <w:t>the</w:t>
      </w:r>
      <w:r w:rsidR="00C746FC" w:rsidRPr="003B74D0">
        <w:rPr>
          <w:rFonts w:ascii="Times New Roman" w:hAnsi="Times New Roman"/>
          <w:sz w:val="20"/>
        </w:rPr>
        <w:t xml:space="preserve"> </w:t>
      </w:r>
      <w:r w:rsidRPr="003B74D0">
        <w:rPr>
          <w:rFonts w:ascii="Times New Roman" w:hAnsi="Times New Roman"/>
          <w:sz w:val="20"/>
        </w:rPr>
        <w:t xml:space="preserve">Netherlands, 2012 update,” </w:t>
      </w:r>
      <w:r w:rsidRPr="003B74D0">
        <w:rPr>
          <w:rFonts w:ascii="Times New Roman" w:hAnsi="Times New Roman"/>
          <w:i/>
          <w:sz w:val="20"/>
        </w:rPr>
        <w:t>Cent. Bur. Stat. - Netherlands</w:t>
      </w:r>
      <w:r w:rsidRPr="003B74D0">
        <w:rPr>
          <w:rFonts w:ascii="Times New Roman" w:hAnsi="Times New Roman"/>
          <w:sz w:val="20"/>
        </w:rPr>
        <w:t>, 2014.</w:t>
      </w:r>
    </w:p>
    <w:p w14:paraId="05AF1E4C" w14:textId="77777777" w:rsidR="00C746FC" w:rsidRPr="003B74D0" w:rsidRDefault="0061679D" w:rsidP="003B74D0">
      <w:pPr>
        <w:pStyle w:val="ListParagraph"/>
        <w:widowControl w:val="0"/>
        <w:numPr>
          <w:ilvl w:val="0"/>
          <w:numId w:val="21"/>
        </w:numPr>
        <w:autoSpaceDE w:val="0"/>
        <w:autoSpaceDN w:val="0"/>
        <w:spacing w:after="0" w:line="240" w:lineRule="auto"/>
        <w:ind w:left="360" w:hanging="360"/>
        <w:contextualSpacing w:val="0"/>
        <w:jc w:val="both"/>
        <w:rPr>
          <w:rFonts w:ascii="Times New Roman" w:hAnsi="Times New Roman"/>
          <w:sz w:val="20"/>
        </w:rPr>
      </w:pPr>
      <w:r w:rsidRPr="003B74D0">
        <w:rPr>
          <w:rFonts w:ascii="Times New Roman" w:hAnsi="Times New Roman"/>
          <w:sz w:val="20"/>
        </w:rPr>
        <w:t>D.</w:t>
      </w:r>
      <w:r w:rsidRPr="003B74D0">
        <w:rPr>
          <w:rFonts w:ascii="Times New Roman" w:hAnsi="Times New Roman"/>
          <w:spacing w:val="15"/>
          <w:sz w:val="20"/>
        </w:rPr>
        <w:t xml:space="preserve"> </w:t>
      </w:r>
      <w:r w:rsidRPr="003B74D0">
        <w:rPr>
          <w:rFonts w:ascii="Times New Roman" w:hAnsi="Times New Roman"/>
          <w:sz w:val="20"/>
        </w:rPr>
        <w:t>P.</w:t>
      </w:r>
      <w:r w:rsidRPr="003B74D0">
        <w:rPr>
          <w:rFonts w:ascii="Times New Roman" w:hAnsi="Times New Roman"/>
          <w:spacing w:val="16"/>
          <w:sz w:val="20"/>
        </w:rPr>
        <w:t xml:space="preserve"> </w:t>
      </w:r>
      <w:r w:rsidRPr="003B74D0">
        <w:rPr>
          <w:rFonts w:ascii="Times New Roman" w:hAnsi="Times New Roman"/>
          <w:sz w:val="20"/>
        </w:rPr>
        <w:t>Birnie,</w:t>
      </w:r>
      <w:r w:rsidRPr="003B74D0">
        <w:rPr>
          <w:rFonts w:ascii="Times New Roman" w:hAnsi="Times New Roman"/>
          <w:spacing w:val="16"/>
          <w:sz w:val="20"/>
        </w:rPr>
        <w:t xml:space="preserve"> </w:t>
      </w:r>
      <w:r w:rsidRPr="003B74D0">
        <w:rPr>
          <w:rFonts w:ascii="Times New Roman" w:hAnsi="Times New Roman"/>
          <w:sz w:val="20"/>
        </w:rPr>
        <w:t>“Solar-to-vehicle</w:t>
      </w:r>
      <w:r w:rsidRPr="003B74D0">
        <w:rPr>
          <w:rFonts w:ascii="Times New Roman" w:hAnsi="Times New Roman"/>
          <w:spacing w:val="15"/>
          <w:sz w:val="20"/>
        </w:rPr>
        <w:t xml:space="preserve"> </w:t>
      </w:r>
      <w:r w:rsidRPr="003B74D0">
        <w:rPr>
          <w:rFonts w:ascii="Times New Roman" w:hAnsi="Times New Roman"/>
          <w:sz w:val="20"/>
        </w:rPr>
        <w:t>(S2V)</w:t>
      </w:r>
      <w:r w:rsidRPr="003B74D0">
        <w:rPr>
          <w:rFonts w:ascii="Times New Roman" w:hAnsi="Times New Roman"/>
          <w:spacing w:val="16"/>
          <w:sz w:val="20"/>
        </w:rPr>
        <w:t xml:space="preserve"> </w:t>
      </w:r>
      <w:r w:rsidRPr="003B74D0">
        <w:rPr>
          <w:rFonts w:ascii="Times New Roman" w:hAnsi="Times New Roman"/>
          <w:sz w:val="20"/>
        </w:rPr>
        <w:t>systems</w:t>
      </w:r>
      <w:r w:rsidRPr="003B74D0">
        <w:rPr>
          <w:rFonts w:ascii="Times New Roman" w:hAnsi="Times New Roman"/>
          <w:spacing w:val="16"/>
          <w:sz w:val="20"/>
        </w:rPr>
        <w:t xml:space="preserve"> </w:t>
      </w:r>
      <w:r w:rsidRPr="003B74D0">
        <w:rPr>
          <w:rFonts w:ascii="Times New Roman" w:hAnsi="Times New Roman"/>
          <w:sz w:val="20"/>
        </w:rPr>
        <w:t>for</w:t>
      </w:r>
      <w:r w:rsidRPr="003B74D0">
        <w:rPr>
          <w:rFonts w:ascii="Times New Roman" w:hAnsi="Times New Roman"/>
          <w:spacing w:val="15"/>
          <w:sz w:val="20"/>
        </w:rPr>
        <w:t xml:space="preserve"> </w:t>
      </w:r>
      <w:r w:rsidRPr="003B74D0">
        <w:rPr>
          <w:rFonts w:ascii="Times New Roman" w:hAnsi="Times New Roman"/>
          <w:sz w:val="20"/>
        </w:rPr>
        <w:t>powering</w:t>
      </w:r>
      <w:r w:rsidRPr="003B74D0">
        <w:rPr>
          <w:rFonts w:ascii="Times New Roman" w:hAnsi="Times New Roman"/>
          <w:spacing w:val="16"/>
          <w:sz w:val="20"/>
        </w:rPr>
        <w:t xml:space="preserve"> </w:t>
      </w:r>
      <w:r w:rsidRPr="003B74D0">
        <w:rPr>
          <w:rFonts w:ascii="Times New Roman" w:hAnsi="Times New Roman"/>
          <w:sz w:val="20"/>
        </w:rPr>
        <w:t>commuters</w:t>
      </w:r>
      <w:r w:rsidR="00C746FC" w:rsidRPr="003B74D0">
        <w:rPr>
          <w:rFonts w:ascii="Times New Roman" w:hAnsi="Times New Roman"/>
          <w:sz w:val="20"/>
        </w:rPr>
        <w:t xml:space="preserve"> </w:t>
      </w:r>
      <w:r w:rsidRPr="003B74D0">
        <w:rPr>
          <w:rFonts w:ascii="Times New Roman" w:hAnsi="Times New Roman"/>
          <w:sz w:val="20"/>
        </w:rPr>
        <w:t xml:space="preserve">of the future,” </w:t>
      </w:r>
      <w:r w:rsidRPr="003B74D0">
        <w:rPr>
          <w:rFonts w:ascii="Times New Roman" w:hAnsi="Times New Roman"/>
          <w:i/>
          <w:sz w:val="20"/>
        </w:rPr>
        <w:t>J. Power Sources</w:t>
      </w:r>
      <w:r w:rsidRPr="003B74D0">
        <w:rPr>
          <w:rFonts w:ascii="Times New Roman" w:hAnsi="Times New Roman"/>
          <w:sz w:val="20"/>
        </w:rPr>
        <w:t>, vol. 186, no. 2, pp. 539–542, Jan.</w:t>
      </w:r>
      <w:r w:rsidRPr="003B74D0">
        <w:rPr>
          <w:rFonts w:ascii="Times New Roman" w:hAnsi="Times New Roman"/>
          <w:spacing w:val="-22"/>
          <w:sz w:val="20"/>
        </w:rPr>
        <w:t xml:space="preserve"> </w:t>
      </w:r>
      <w:r w:rsidRPr="003B74D0">
        <w:rPr>
          <w:rFonts w:ascii="Times New Roman" w:hAnsi="Times New Roman"/>
          <w:sz w:val="20"/>
        </w:rPr>
        <w:t>2009.</w:t>
      </w:r>
    </w:p>
    <w:p w14:paraId="2A29F37F" w14:textId="77777777" w:rsidR="00C746FC" w:rsidRPr="003B74D0" w:rsidRDefault="0061679D" w:rsidP="003B74D0">
      <w:pPr>
        <w:pStyle w:val="ListParagraph"/>
        <w:widowControl w:val="0"/>
        <w:numPr>
          <w:ilvl w:val="0"/>
          <w:numId w:val="21"/>
        </w:numPr>
        <w:autoSpaceDE w:val="0"/>
        <w:autoSpaceDN w:val="0"/>
        <w:spacing w:after="0" w:line="240" w:lineRule="auto"/>
        <w:ind w:left="360" w:hanging="360"/>
        <w:contextualSpacing w:val="0"/>
        <w:jc w:val="both"/>
        <w:rPr>
          <w:rFonts w:ascii="Times New Roman" w:hAnsi="Times New Roman"/>
          <w:sz w:val="20"/>
        </w:rPr>
      </w:pPr>
      <w:r w:rsidRPr="003B74D0">
        <w:rPr>
          <w:rFonts w:ascii="Times New Roman" w:hAnsi="Times New Roman"/>
          <w:sz w:val="20"/>
        </w:rPr>
        <w:t xml:space="preserve">C. Hamilton, G. Gamboa, J. Elmes, R. Kerley, A. Arias, M. Pepper, J. Shen, and I. Batarseh, “System architecture of a modular direct-DC PV charging station for plug-in electric vehicles,” in </w:t>
      </w:r>
      <w:r w:rsidRPr="003B74D0">
        <w:rPr>
          <w:rFonts w:ascii="Times New Roman" w:hAnsi="Times New Roman"/>
          <w:i/>
          <w:sz w:val="20"/>
        </w:rPr>
        <w:t>IECON 2010 - 36th Annual Conference on IEEE Industrial Electronics Society</w:t>
      </w:r>
      <w:r w:rsidRPr="003B74D0">
        <w:rPr>
          <w:rFonts w:ascii="Times New Roman" w:hAnsi="Times New Roman"/>
          <w:sz w:val="20"/>
        </w:rPr>
        <w:t>, 2010, pp. 2516–2520.</w:t>
      </w:r>
    </w:p>
    <w:p w14:paraId="266F1738" w14:textId="77777777" w:rsidR="00C746FC" w:rsidRPr="003B74D0" w:rsidRDefault="0061679D" w:rsidP="003B74D0">
      <w:pPr>
        <w:pStyle w:val="ListParagraph"/>
        <w:widowControl w:val="0"/>
        <w:numPr>
          <w:ilvl w:val="0"/>
          <w:numId w:val="21"/>
        </w:numPr>
        <w:autoSpaceDE w:val="0"/>
        <w:autoSpaceDN w:val="0"/>
        <w:spacing w:after="0" w:line="240" w:lineRule="auto"/>
        <w:ind w:left="360" w:hanging="360"/>
        <w:contextualSpacing w:val="0"/>
        <w:jc w:val="both"/>
        <w:rPr>
          <w:rFonts w:ascii="Times New Roman" w:hAnsi="Times New Roman"/>
          <w:sz w:val="20"/>
        </w:rPr>
      </w:pPr>
      <w:r w:rsidRPr="003B74D0">
        <w:rPr>
          <w:rFonts w:ascii="Times New Roman" w:hAnsi="Times New Roman"/>
          <w:sz w:val="20"/>
        </w:rPr>
        <w:t xml:space="preserve">G. Carli and S. S. Williamson, “Technical Considerations on Power Conversion for Electric and Plug-in Hybrid Electric Vehicle Battery Charging in Photovoltaic Installations,” </w:t>
      </w:r>
      <w:r w:rsidRPr="003B74D0">
        <w:rPr>
          <w:rFonts w:ascii="Times New Roman" w:hAnsi="Times New Roman"/>
          <w:i/>
          <w:sz w:val="20"/>
        </w:rPr>
        <w:t>IEEE Trans. Power Electron.</w:t>
      </w:r>
      <w:r w:rsidRPr="003B74D0">
        <w:rPr>
          <w:rFonts w:ascii="Times New Roman" w:hAnsi="Times New Roman"/>
          <w:sz w:val="20"/>
        </w:rPr>
        <w:t>, vol. 28, no. 12, pp. 5784–5792, Dec.</w:t>
      </w:r>
      <w:r w:rsidRPr="003B74D0">
        <w:rPr>
          <w:rFonts w:ascii="Times New Roman" w:hAnsi="Times New Roman"/>
          <w:spacing w:val="-8"/>
          <w:sz w:val="20"/>
        </w:rPr>
        <w:t xml:space="preserve"> </w:t>
      </w:r>
      <w:r w:rsidRPr="003B74D0">
        <w:rPr>
          <w:rFonts w:ascii="Times New Roman" w:hAnsi="Times New Roman"/>
          <w:sz w:val="20"/>
        </w:rPr>
        <w:t>2013.</w:t>
      </w:r>
    </w:p>
    <w:p w14:paraId="0EDA8F25" w14:textId="77777777" w:rsidR="0061679D" w:rsidRPr="003B74D0" w:rsidRDefault="0061679D" w:rsidP="003B74D0">
      <w:pPr>
        <w:pStyle w:val="ListParagraph"/>
        <w:widowControl w:val="0"/>
        <w:numPr>
          <w:ilvl w:val="0"/>
          <w:numId w:val="21"/>
        </w:numPr>
        <w:autoSpaceDE w:val="0"/>
        <w:autoSpaceDN w:val="0"/>
        <w:spacing w:after="0" w:line="240" w:lineRule="auto"/>
        <w:ind w:left="360" w:hanging="360"/>
        <w:contextualSpacing w:val="0"/>
        <w:jc w:val="both"/>
        <w:rPr>
          <w:rFonts w:ascii="Times New Roman" w:hAnsi="Times New Roman"/>
          <w:sz w:val="20"/>
        </w:rPr>
      </w:pPr>
      <w:r w:rsidRPr="003B74D0">
        <w:rPr>
          <w:rFonts w:ascii="Times New Roman" w:hAnsi="Times New Roman"/>
          <w:sz w:val="20"/>
        </w:rPr>
        <w:t xml:space="preserve">G. R. C. Mouli, M. </w:t>
      </w:r>
      <w:proofErr w:type="spellStart"/>
      <w:r w:rsidRPr="003B74D0">
        <w:rPr>
          <w:rFonts w:ascii="Times New Roman" w:hAnsi="Times New Roman"/>
          <w:sz w:val="20"/>
        </w:rPr>
        <w:t>Leendertse</w:t>
      </w:r>
      <w:proofErr w:type="spellEnd"/>
      <w:r w:rsidRPr="003B74D0">
        <w:rPr>
          <w:rFonts w:ascii="Times New Roman" w:hAnsi="Times New Roman"/>
          <w:sz w:val="20"/>
        </w:rPr>
        <w:t xml:space="preserve">, V. Prasanth, P. Bauer, S. Silvester, S. van de Geer, and M. Zeman, “Economic and CO2 Emission Benefits of a Solar Powered Electric Vehicle Charging Station for Workplaces in the Netherlands,” in </w:t>
      </w:r>
      <w:r w:rsidRPr="003B74D0">
        <w:rPr>
          <w:rFonts w:ascii="Times New Roman" w:hAnsi="Times New Roman"/>
          <w:i/>
          <w:sz w:val="20"/>
        </w:rPr>
        <w:t>2016 IEEE Transportation Electrification Conference and Expo (ITEC)</w:t>
      </w:r>
      <w:r w:rsidRPr="003B74D0">
        <w:rPr>
          <w:rFonts w:ascii="Times New Roman" w:hAnsi="Times New Roman"/>
          <w:sz w:val="20"/>
        </w:rPr>
        <w:t>, 2016, pp.</w:t>
      </w:r>
      <w:r w:rsidRPr="003B74D0">
        <w:rPr>
          <w:rFonts w:ascii="Times New Roman" w:hAnsi="Times New Roman"/>
          <w:spacing w:val="-3"/>
          <w:sz w:val="20"/>
        </w:rPr>
        <w:t xml:space="preserve"> </w:t>
      </w:r>
      <w:r w:rsidRPr="003B74D0">
        <w:rPr>
          <w:rFonts w:ascii="Times New Roman" w:hAnsi="Times New Roman"/>
          <w:sz w:val="20"/>
        </w:rPr>
        <w:t>1–7.</w:t>
      </w:r>
    </w:p>
    <w:p w14:paraId="71B24313" w14:textId="77777777" w:rsidR="0061679D" w:rsidRPr="003B74D0" w:rsidRDefault="0061679D" w:rsidP="003B74D0">
      <w:pPr>
        <w:pStyle w:val="ListParagraph"/>
        <w:widowControl w:val="0"/>
        <w:numPr>
          <w:ilvl w:val="0"/>
          <w:numId w:val="21"/>
        </w:numPr>
        <w:autoSpaceDE w:val="0"/>
        <w:autoSpaceDN w:val="0"/>
        <w:spacing w:after="0" w:line="240" w:lineRule="auto"/>
        <w:ind w:left="360" w:hanging="360"/>
        <w:contextualSpacing w:val="0"/>
        <w:jc w:val="both"/>
        <w:rPr>
          <w:rFonts w:ascii="Times New Roman" w:hAnsi="Times New Roman"/>
          <w:sz w:val="20"/>
        </w:rPr>
      </w:pPr>
      <w:r w:rsidRPr="003B74D0">
        <w:rPr>
          <w:rFonts w:ascii="Times New Roman" w:hAnsi="Times New Roman"/>
          <w:sz w:val="20"/>
        </w:rPr>
        <w:t>M.</w:t>
      </w:r>
      <w:r w:rsidRPr="003B74D0">
        <w:rPr>
          <w:rFonts w:ascii="Times New Roman" w:hAnsi="Times New Roman"/>
          <w:spacing w:val="27"/>
          <w:sz w:val="20"/>
        </w:rPr>
        <w:t xml:space="preserve"> </w:t>
      </w:r>
      <w:r w:rsidRPr="003B74D0">
        <w:rPr>
          <w:rFonts w:ascii="Times New Roman" w:hAnsi="Times New Roman"/>
          <w:sz w:val="20"/>
        </w:rPr>
        <w:t>Yilmaz</w:t>
      </w:r>
      <w:r w:rsidRPr="003B74D0">
        <w:rPr>
          <w:rFonts w:ascii="Times New Roman" w:hAnsi="Times New Roman"/>
          <w:spacing w:val="27"/>
          <w:sz w:val="20"/>
        </w:rPr>
        <w:t xml:space="preserve"> </w:t>
      </w:r>
      <w:r w:rsidRPr="003B74D0">
        <w:rPr>
          <w:rFonts w:ascii="Times New Roman" w:hAnsi="Times New Roman"/>
          <w:sz w:val="20"/>
        </w:rPr>
        <w:t>and</w:t>
      </w:r>
      <w:r w:rsidRPr="003B74D0">
        <w:rPr>
          <w:rFonts w:ascii="Times New Roman" w:hAnsi="Times New Roman"/>
          <w:spacing w:val="27"/>
          <w:sz w:val="20"/>
        </w:rPr>
        <w:t xml:space="preserve"> </w:t>
      </w:r>
      <w:r w:rsidRPr="003B74D0">
        <w:rPr>
          <w:rFonts w:ascii="Times New Roman" w:hAnsi="Times New Roman"/>
          <w:sz w:val="20"/>
        </w:rPr>
        <w:t>P.</w:t>
      </w:r>
      <w:r w:rsidRPr="003B74D0">
        <w:rPr>
          <w:rFonts w:ascii="Times New Roman" w:hAnsi="Times New Roman"/>
          <w:spacing w:val="27"/>
          <w:sz w:val="20"/>
        </w:rPr>
        <w:t xml:space="preserve"> </w:t>
      </w:r>
      <w:r w:rsidRPr="003B74D0">
        <w:rPr>
          <w:rFonts w:ascii="Times New Roman" w:hAnsi="Times New Roman"/>
          <w:sz w:val="20"/>
        </w:rPr>
        <w:t>T.</w:t>
      </w:r>
      <w:r w:rsidRPr="003B74D0">
        <w:rPr>
          <w:rFonts w:ascii="Times New Roman" w:hAnsi="Times New Roman"/>
          <w:spacing w:val="27"/>
          <w:sz w:val="20"/>
        </w:rPr>
        <w:t xml:space="preserve"> </w:t>
      </w:r>
      <w:r w:rsidRPr="003B74D0">
        <w:rPr>
          <w:rFonts w:ascii="Times New Roman" w:hAnsi="Times New Roman"/>
          <w:sz w:val="20"/>
        </w:rPr>
        <w:t>Krein,</w:t>
      </w:r>
      <w:r w:rsidRPr="003B74D0">
        <w:rPr>
          <w:rFonts w:ascii="Times New Roman" w:hAnsi="Times New Roman"/>
          <w:spacing w:val="27"/>
          <w:sz w:val="20"/>
        </w:rPr>
        <w:t xml:space="preserve"> </w:t>
      </w:r>
      <w:r w:rsidRPr="003B74D0">
        <w:rPr>
          <w:rFonts w:ascii="Times New Roman" w:hAnsi="Times New Roman"/>
          <w:sz w:val="20"/>
        </w:rPr>
        <w:t>“Review</w:t>
      </w:r>
      <w:r w:rsidRPr="003B74D0">
        <w:rPr>
          <w:rFonts w:ascii="Times New Roman" w:hAnsi="Times New Roman"/>
          <w:spacing w:val="27"/>
          <w:sz w:val="20"/>
        </w:rPr>
        <w:t xml:space="preserve"> </w:t>
      </w:r>
      <w:r w:rsidRPr="003B74D0">
        <w:rPr>
          <w:rFonts w:ascii="Times New Roman" w:hAnsi="Times New Roman"/>
          <w:sz w:val="20"/>
        </w:rPr>
        <w:t>of</w:t>
      </w:r>
      <w:r w:rsidRPr="003B74D0">
        <w:rPr>
          <w:rFonts w:ascii="Times New Roman" w:hAnsi="Times New Roman"/>
          <w:spacing w:val="27"/>
          <w:sz w:val="20"/>
        </w:rPr>
        <w:t xml:space="preserve"> </w:t>
      </w:r>
      <w:r w:rsidRPr="003B74D0">
        <w:rPr>
          <w:rFonts w:ascii="Times New Roman" w:hAnsi="Times New Roman"/>
          <w:sz w:val="20"/>
        </w:rPr>
        <w:t>Battery</w:t>
      </w:r>
      <w:r w:rsidRPr="003B74D0">
        <w:rPr>
          <w:rFonts w:ascii="Times New Roman" w:hAnsi="Times New Roman"/>
          <w:spacing w:val="27"/>
          <w:sz w:val="20"/>
        </w:rPr>
        <w:t xml:space="preserve"> </w:t>
      </w:r>
      <w:r w:rsidRPr="003B74D0">
        <w:rPr>
          <w:rFonts w:ascii="Times New Roman" w:hAnsi="Times New Roman"/>
          <w:sz w:val="20"/>
        </w:rPr>
        <w:t>Charger</w:t>
      </w:r>
      <w:r w:rsidRPr="003B74D0">
        <w:rPr>
          <w:rFonts w:ascii="Times New Roman" w:hAnsi="Times New Roman"/>
          <w:spacing w:val="27"/>
          <w:sz w:val="20"/>
        </w:rPr>
        <w:t xml:space="preserve"> </w:t>
      </w:r>
      <w:r w:rsidRPr="003B74D0">
        <w:rPr>
          <w:rFonts w:ascii="Times New Roman" w:hAnsi="Times New Roman"/>
          <w:sz w:val="20"/>
        </w:rPr>
        <w:t>Topologies,</w:t>
      </w:r>
      <w:r w:rsidR="0071133C" w:rsidRPr="003B74D0">
        <w:rPr>
          <w:rFonts w:ascii="Times New Roman" w:hAnsi="Times New Roman"/>
          <w:sz w:val="20"/>
        </w:rPr>
        <w:t xml:space="preserve"> </w:t>
      </w:r>
      <w:r w:rsidRPr="003B74D0">
        <w:rPr>
          <w:rFonts w:ascii="Times New Roman" w:hAnsi="Times New Roman"/>
          <w:sz w:val="20"/>
        </w:rPr>
        <w:t xml:space="preserve">Charging Power Levels, and </w:t>
      </w:r>
      <w:r w:rsidRPr="003B74D0">
        <w:rPr>
          <w:rFonts w:ascii="Times New Roman" w:hAnsi="Times New Roman"/>
          <w:sz w:val="20"/>
        </w:rPr>
        <w:lastRenderedPageBreak/>
        <w:t xml:space="preserve">Infrastructure for Plug-In Electric and Hybrid Vehicles,” </w:t>
      </w:r>
      <w:r w:rsidRPr="003B74D0">
        <w:rPr>
          <w:rFonts w:ascii="Times New Roman" w:hAnsi="Times New Roman"/>
          <w:i/>
          <w:sz w:val="20"/>
        </w:rPr>
        <w:t>IEEE Trans. Power Electron.</w:t>
      </w:r>
      <w:r w:rsidRPr="003B74D0">
        <w:rPr>
          <w:rFonts w:ascii="Times New Roman" w:hAnsi="Times New Roman"/>
          <w:sz w:val="20"/>
        </w:rPr>
        <w:t>, vol. 28, no. 5, pp. 2151–2169, May 2013.</w:t>
      </w:r>
    </w:p>
    <w:p w14:paraId="5EC4186D" w14:textId="77777777" w:rsidR="0061679D" w:rsidRPr="003B74D0" w:rsidRDefault="0061679D" w:rsidP="003B74D0">
      <w:pPr>
        <w:pStyle w:val="ListParagraph"/>
        <w:widowControl w:val="0"/>
        <w:numPr>
          <w:ilvl w:val="0"/>
          <w:numId w:val="21"/>
        </w:numPr>
        <w:autoSpaceDE w:val="0"/>
        <w:autoSpaceDN w:val="0"/>
        <w:spacing w:after="0" w:line="240" w:lineRule="auto"/>
        <w:ind w:left="360" w:hanging="360"/>
        <w:contextualSpacing w:val="0"/>
        <w:jc w:val="both"/>
        <w:rPr>
          <w:rFonts w:ascii="Times New Roman" w:hAnsi="Times New Roman"/>
          <w:sz w:val="20"/>
        </w:rPr>
      </w:pPr>
      <w:r w:rsidRPr="003B74D0">
        <w:rPr>
          <w:rFonts w:ascii="Times New Roman" w:hAnsi="Times New Roman"/>
          <w:sz w:val="20"/>
        </w:rPr>
        <w:t>SAE Standard J1772, “SAE Electric Vehicle and Plug-in Hybrid</w:t>
      </w:r>
      <w:r w:rsidRPr="003B74D0">
        <w:rPr>
          <w:rFonts w:ascii="Times New Roman" w:hAnsi="Times New Roman"/>
          <w:spacing w:val="-5"/>
          <w:sz w:val="20"/>
        </w:rPr>
        <w:t xml:space="preserve"> </w:t>
      </w:r>
      <w:r w:rsidRPr="003B74D0">
        <w:rPr>
          <w:rFonts w:ascii="Times New Roman" w:hAnsi="Times New Roman"/>
          <w:sz w:val="20"/>
        </w:rPr>
        <w:t>Electric</w:t>
      </w:r>
      <w:r w:rsidR="00C746FC" w:rsidRPr="003B74D0">
        <w:rPr>
          <w:rFonts w:ascii="Times New Roman" w:hAnsi="Times New Roman"/>
          <w:sz w:val="20"/>
        </w:rPr>
        <w:t xml:space="preserve"> </w:t>
      </w:r>
      <w:r w:rsidRPr="003B74D0">
        <w:rPr>
          <w:rFonts w:ascii="Times New Roman" w:hAnsi="Times New Roman"/>
          <w:sz w:val="20"/>
        </w:rPr>
        <w:t>Vehicle Conductive Charge Coupler,” 2010.</w:t>
      </w:r>
    </w:p>
    <w:p w14:paraId="23E9F66D" w14:textId="77777777" w:rsidR="0061679D" w:rsidRPr="003B74D0" w:rsidRDefault="0061679D" w:rsidP="003B74D0">
      <w:pPr>
        <w:pStyle w:val="ListParagraph"/>
        <w:widowControl w:val="0"/>
        <w:numPr>
          <w:ilvl w:val="0"/>
          <w:numId w:val="21"/>
        </w:numPr>
        <w:autoSpaceDE w:val="0"/>
        <w:autoSpaceDN w:val="0"/>
        <w:spacing w:after="0" w:line="240" w:lineRule="auto"/>
        <w:ind w:left="360" w:hanging="360"/>
        <w:contextualSpacing w:val="0"/>
        <w:jc w:val="both"/>
        <w:rPr>
          <w:rFonts w:ascii="Times New Roman" w:hAnsi="Times New Roman"/>
          <w:sz w:val="20"/>
        </w:rPr>
      </w:pPr>
      <w:r w:rsidRPr="003B74D0">
        <w:rPr>
          <w:rFonts w:ascii="Times New Roman" w:hAnsi="Times New Roman"/>
          <w:sz w:val="20"/>
        </w:rPr>
        <w:t>SAE Hybrid Committee, “SAE Charging Configurations and</w:t>
      </w:r>
      <w:r w:rsidRPr="003B74D0">
        <w:rPr>
          <w:rFonts w:ascii="Times New Roman" w:hAnsi="Times New Roman"/>
          <w:spacing w:val="-4"/>
          <w:sz w:val="20"/>
        </w:rPr>
        <w:t xml:space="preserve"> </w:t>
      </w:r>
      <w:r w:rsidRPr="003B74D0">
        <w:rPr>
          <w:rFonts w:ascii="Times New Roman" w:hAnsi="Times New Roman"/>
          <w:sz w:val="20"/>
        </w:rPr>
        <w:t>Ratings</w:t>
      </w:r>
      <w:r w:rsidR="00C746FC" w:rsidRPr="003B74D0">
        <w:rPr>
          <w:rFonts w:ascii="Times New Roman" w:hAnsi="Times New Roman"/>
          <w:sz w:val="20"/>
        </w:rPr>
        <w:t xml:space="preserve"> </w:t>
      </w:r>
      <w:r w:rsidRPr="003B74D0">
        <w:rPr>
          <w:rFonts w:ascii="Times New Roman" w:hAnsi="Times New Roman"/>
          <w:sz w:val="20"/>
        </w:rPr>
        <w:t>Terminology,” 2011.</w:t>
      </w:r>
    </w:p>
    <w:p w14:paraId="619F6B7E" w14:textId="77777777" w:rsidR="0061679D" w:rsidRPr="003B74D0" w:rsidRDefault="0061679D" w:rsidP="003B74D0">
      <w:pPr>
        <w:pStyle w:val="ListParagraph"/>
        <w:widowControl w:val="0"/>
        <w:numPr>
          <w:ilvl w:val="0"/>
          <w:numId w:val="21"/>
        </w:numPr>
        <w:autoSpaceDE w:val="0"/>
        <w:autoSpaceDN w:val="0"/>
        <w:spacing w:after="0" w:line="240" w:lineRule="auto"/>
        <w:ind w:left="360" w:right="172" w:hanging="360"/>
        <w:contextualSpacing w:val="0"/>
        <w:jc w:val="both"/>
        <w:rPr>
          <w:rFonts w:ascii="Times New Roman" w:hAnsi="Times New Roman"/>
          <w:sz w:val="20"/>
        </w:rPr>
      </w:pPr>
      <w:r w:rsidRPr="003B74D0">
        <w:rPr>
          <w:rFonts w:ascii="Times New Roman" w:hAnsi="Times New Roman"/>
          <w:sz w:val="20"/>
        </w:rPr>
        <w:t>“Standard IEC 62196 - Plugs, socket-outlets, vehicle connectors and vehicle inlets - Conductive charging of electric vehicles - Part 1, 2, 3,” 2014.</w:t>
      </w:r>
    </w:p>
    <w:p w14:paraId="3BEBADF2" w14:textId="77777777" w:rsidR="0061679D" w:rsidRPr="003B74D0" w:rsidRDefault="0061679D" w:rsidP="003B74D0">
      <w:pPr>
        <w:pStyle w:val="ListParagraph"/>
        <w:widowControl w:val="0"/>
        <w:numPr>
          <w:ilvl w:val="0"/>
          <w:numId w:val="21"/>
        </w:numPr>
        <w:autoSpaceDE w:val="0"/>
        <w:autoSpaceDN w:val="0"/>
        <w:spacing w:after="0" w:line="240" w:lineRule="auto"/>
        <w:ind w:left="360" w:hanging="360"/>
        <w:contextualSpacing w:val="0"/>
        <w:jc w:val="both"/>
        <w:rPr>
          <w:rFonts w:ascii="Times New Roman" w:hAnsi="Times New Roman"/>
          <w:sz w:val="20"/>
        </w:rPr>
      </w:pPr>
      <w:r w:rsidRPr="003B74D0">
        <w:rPr>
          <w:rFonts w:ascii="Times New Roman" w:hAnsi="Times New Roman"/>
          <w:sz w:val="20"/>
        </w:rPr>
        <w:t>“Standard</w:t>
      </w:r>
      <w:r w:rsidRPr="003B74D0">
        <w:rPr>
          <w:rFonts w:ascii="Times New Roman" w:hAnsi="Times New Roman"/>
          <w:spacing w:val="26"/>
          <w:sz w:val="20"/>
        </w:rPr>
        <w:t xml:space="preserve"> </w:t>
      </w:r>
      <w:r w:rsidRPr="003B74D0">
        <w:rPr>
          <w:rFonts w:ascii="Times New Roman" w:hAnsi="Times New Roman"/>
          <w:sz w:val="20"/>
        </w:rPr>
        <w:t>IEC</w:t>
      </w:r>
      <w:r w:rsidRPr="003B74D0">
        <w:rPr>
          <w:rFonts w:ascii="Times New Roman" w:hAnsi="Times New Roman"/>
          <w:spacing w:val="27"/>
          <w:sz w:val="20"/>
        </w:rPr>
        <w:t xml:space="preserve"> </w:t>
      </w:r>
      <w:r w:rsidRPr="003B74D0">
        <w:rPr>
          <w:rFonts w:ascii="Times New Roman" w:hAnsi="Times New Roman"/>
          <w:sz w:val="20"/>
        </w:rPr>
        <w:t>61851</w:t>
      </w:r>
      <w:r w:rsidRPr="003B74D0">
        <w:rPr>
          <w:rFonts w:ascii="Times New Roman" w:hAnsi="Times New Roman"/>
          <w:spacing w:val="29"/>
          <w:sz w:val="20"/>
        </w:rPr>
        <w:t xml:space="preserve"> </w:t>
      </w:r>
      <w:r w:rsidRPr="003B74D0">
        <w:rPr>
          <w:rFonts w:ascii="Times New Roman" w:hAnsi="Times New Roman"/>
          <w:sz w:val="20"/>
        </w:rPr>
        <w:t>-</w:t>
      </w:r>
      <w:r w:rsidRPr="003B74D0">
        <w:rPr>
          <w:rFonts w:ascii="Times New Roman" w:hAnsi="Times New Roman"/>
          <w:spacing w:val="27"/>
          <w:sz w:val="20"/>
        </w:rPr>
        <w:t xml:space="preserve"> </w:t>
      </w:r>
      <w:r w:rsidRPr="003B74D0">
        <w:rPr>
          <w:rFonts w:ascii="Times New Roman" w:hAnsi="Times New Roman"/>
          <w:sz w:val="20"/>
        </w:rPr>
        <w:t>Electric</w:t>
      </w:r>
      <w:r w:rsidRPr="003B74D0">
        <w:rPr>
          <w:rFonts w:ascii="Times New Roman" w:hAnsi="Times New Roman"/>
          <w:spacing w:val="27"/>
          <w:sz w:val="20"/>
        </w:rPr>
        <w:t xml:space="preserve"> </w:t>
      </w:r>
      <w:r w:rsidRPr="003B74D0">
        <w:rPr>
          <w:rFonts w:ascii="Times New Roman" w:hAnsi="Times New Roman"/>
          <w:sz w:val="20"/>
        </w:rPr>
        <w:t>vehicle</w:t>
      </w:r>
      <w:r w:rsidRPr="003B74D0">
        <w:rPr>
          <w:rFonts w:ascii="Times New Roman" w:hAnsi="Times New Roman"/>
          <w:spacing w:val="27"/>
          <w:sz w:val="20"/>
        </w:rPr>
        <w:t xml:space="preserve"> </w:t>
      </w:r>
      <w:r w:rsidRPr="003B74D0">
        <w:rPr>
          <w:rFonts w:ascii="Times New Roman" w:hAnsi="Times New Roman"/>
          <w:sz w:val="20"/>
        </w:rPr>
        <w:t>conductive</w:t>
      </w:r>
      <w:r w:rsidRPr="003B74D0">
        <w:rPr>
          <w:rFonts w:ascii="Times New Roman" w:hAnsi="Times New Roman"/>
          <w:spacing w:val="27"/>
          <w:sz w:val="20"/>
        </w:rPr>
        <w:t xml:space="preserve"> </w:t>
      </w:r>
      <w:r w:rsidRPr="003B74D0">
        <w:rPr>
          <w:rFonts w:ascii="Times New Roman" w:hAnsi="Times New Roman"/>
          <w:sz w:val="20"/>
        </w:rPr>
        <w:t>charging</w:t>
      </w:r>
      <w:r w:rsidRPr="003B74D0">
        <w:rPr>
          <w:rFonts w:ascii="Times New Roman" w:hAnsi="Times New Roman"/>
          <w:spacing w:val="27"/>
          <w:sz w:val="20"/>
        </w:rPr>
        <w:t xml:space="preserve"> </w:t>
      </w:r>
      <w:r w:rsidRPr="003B74D0">
        <w:rPr>
          <w:rFonts w:ascii="Times New Roman" w:hAnsi="Times New Roman"/>
          <w:sz w:val="20"/>
        </w:rPr>
        <w:t>system</w:t>
      </w:r>
      <w:r w:rsidRPr="003B74D0">
        <w:rPr>
          <w:rFonts w:ascii="Times New Roman" w:hAnsi="Times New Roman"/>
          <w:spacing w:val="26"/>
          <w:sz w:val="20"/>
        </w:rPr>
        <w:t xml:space="preserve"> </w:t>
      </w:r>
      <w:r w:rsidRPr="003B74D0">
        <w:rPr>
          <w:rFonts w:ascii="Times New Roman" w:hAnsi="Times New Roman"/>
          <w:sz w:val="20"/>
        </w:rPr>
        <w:t>-</w:t>
      </w:r>
      <w:r w:rsidR="00C746FC" w:rsidRPr="003B74D0">
        <w:rPr>
          <w:rFonts w:ascii="Times New Roman" w:hAnsi="Times New Roman"/>
          <w:sz w:val="20"/>
        </w:rPr>
        <w:t xml:space="preserve"> </w:t>
      </w:r>
      <w:r w:rsidRPr="003B74D0">
        <w:rPr>
          <w:rFonts w:ascii="Times New Roman" w:hAnsi="Times New Roman"/>
          <w:sz w:val="20"/>
        </w:rPr>
        <w:t>Part 1, 21, 22, 23, 24,” 2014.</w:t>
      </w:r>
    </w:p>
    <w:p w14:paraId="5B7CE957" w14:textId="77777777" w:rsidR="0061679D" w:rsidRPr="003B74D0" w:rsidRDefault="0061679D" w:rsidP="003B74D0">
      <w:pPr>
        <w:pStyle w:val="ListParagraph"/>
        <w:widowControl w:val="0"/>
        <w:numPr>
          <w:ilvl w:val="0"/>
          <w:numId w:val="21"/>
        </w:numPr>
        <w:autoSpaceDE w:val="0"/>
        <w:autoSpaceDN w:val="0"/>
        <w:spacing w:after="0" w:line="240" w:lineRule="auto"/>
        <w:ind w:left="360" w:right="171" w:hanging="360"/>
        <w:contextualSpacing w:val="0"/>
        <w:jc w:val="both"/>
        <w:rPr>
          <w:rFonts w:ascii="Times New Roman" w:hAnsi="Times New Roman"/>
          <w:sz w:val="20"/>
        </w:rPr>
      </w:pPr>
      <w:r w:rsidRPr="003B74D0">
        <w:rPr>
          <w:rFonts w:ascii="Times New Roman" w:hAnsi="Times New Roman"/>
          <w:sz w:val="20"/>
        </w:rPr>
        <w:t xml:space="preserve">V. Katic, I. Subotic, N. Bodo, E. Levi, B. </w:t>
      </w:r>
      <w:proofErr w:type="spellStart"/>
      <w:r w:rsidRPr="003B74D0">
        <w:rPr>
          <w:rFonts w:ascii="Times New Roman" w:hAnsi="Times New Roman"/>
          <w:sz w:val="20"/>
        </w:rPr>
        <w:t>Dumnic</w:t>
      </w:r>
      <w:proofErr w:type="spellEnd"/>
      <w:r w:rsidRPr="003B74D0">
        <w:rPr>
          <w:rFonts w:ascii="Times New Roman" w:hAnsi="Times New Roman"/>
          <w:sz w:val="20"/>
        </w:rPr>
        <w:t xml:space="preserve">, and D. Milicevic, “Overview of fast on-board integrated battery chargers for electric vehicles based on multiphase machines and power electronics,” </w:t>
      </w:r>
      <w:r w:rsidRPr="003B74D0">
        <w:rPr>
          <w:rFonts w:ascii="Times New Roman" w:hAnsi="Times New Roman"/>
          <w:i/>
          <w:sz w:val="20"/>
        </w:rPr>
        <w:t xml:space="preserve">IET </w:t>
      </w:r>
      <w:proofErr w:type="spellStart"/>
      <w:r w:rsidRPr="003B74D0">
        <w:rPr>
          <w:rFonts w:ascii="Times New Roman" w:hAnsi="Times New Roman"/>
          <w:i/>
          <w:sz w:val="20"/>
        </w:rPr>
        <w:t>Electr</w:t>
      </w:r>
      <w:proofErr w:type="spellEnd"/>
      <w:r w:rsidRPr="003B74D0">
        <w:rPr>
          <w:rFonts w:ascii="Times New Roman" w:hAnsi="Times New Roman"/>
          <w:i/>
          <w:sz w:val="20"/>
        </w:rPr>
        <w:t>. Power Appl.</w:t>
      </w:r>
      <w:r w:rsidRPr="003B74D0">
        <w:rPr>
          <w:rFonts w:ascii="Times New Roman" w:hAnsi="Times New Roman"/>
          <w:sz w:val="20"/>
        </w:rPr>
        <w:t>, vol. 10, no. 3, pp. 217–229,</w:t>
      </w:r>
      <w:r w:rsidRPr="003B74D0">
        <w:rPr>
          <w:rFonts w:ascii="Times New Roman" w:hAnsi="Times New Roman"/>
          <w:spacing w:val="-9"/>
          <w:sz w:val="20"/>
        </w:rPr>
        <w:t xml:space="preserve"> </w:t>
      </w:r>
      <w:r w:rsidRPr="003B74D0">
        <w:rPr>
          <w:rFonts w:ascii="Times New Roman" w:hAnsi="Times New Roman"/>
          <w:sz w:val="20"/>
        </w:rPr>
        <w:t>2016.</w:t>
      </w:r>
    </w:p>
    <w:p w14:paraId="621092EF" w14:textId="77777777" w:rsidR="0061679D" w:rsidRPr="003B74D0" w:rsidRDefault="0061679D" w:rsidP="003B74D0">
      <w:pPr>
        <w:pStyle w:val="ListParagraph"/>
        <w:widowControl w:val="0"/>
        <w:numPr>
          <w:ilvl w:val="0"/>
          <w:numId w:val="21"/>
        </w:numPr>
        <w:autoSpaceDE w:val="0"/>
        <w:autoSpaceDN w:val="0"/>
        <w:spacing w:after="0" w:line="240" w:lineRule="auto"/>
        <w:ind w:left="360" w:right="171" w:hanging="360"/>
        <w:contextualSpacing w:val="0"/>
        <w:jc w:val="both"/>
        <w:rPr>
          <w:rFonts w:ascii="Times New Roman" w:hAnsi="Times New Roman"/>
          <w:sz w:val="20"/>
        </w:rPr>
      </w:pPr>
      <w:r w:rsidRPr="003B74D0">
        <w:rPr>
          <w:rFonts w:ascii="Times New Roman" w:hAnsi="Times New Roman"/>
          <w:sz w:val="20"/>
        </w:rPr>
        <w:t xml:space="preserve">M. Yilmaz and P. T. Krein, “Review of Battery Charger Topologies, Charging Power Levels, and Infrastructure for Plug-In Electric and Hybrid Vehicles,” </w:t>
      </w:r>
      <w:r w:rsidRPr="003B74D0">
        <w:rPr>
          <w:rFonts w:ascii="Times New Roman" w:hAnsi="Times New Roman"/>
          <w:i/>
          <w:sz w:val="20"/>
        </w:rPr>
        <w:t>IEEE Trans. Power Electron.</w:t>
      </w:r>
      <w:r w:rsidRPr="003B74D0">
        <w:rPr>
          <w:rFonts w:ascii="Times New Roman" w:hAnsi="Times New Roman"/>
          <w:sz w:val="20"/>
        </w:rPr>
        <w:t>, vol. 28, no. 5, pp. 2151–2169, May</w:t>
      </w:r>
      <w:r w:rsidRPr="003B74D0">
        <w:rPr>
          <w:rFonts w:ascii="Times New Roman" w:hAnsi="Times New Roman"/>
          <w:spacing w:val="-4"/>
          <w:sz w:val="20"/>
        </w:rPr>
        <w:t xml:space="preserve"> </w:t>
      </w:r>
      <w:r w:rsidRPr="003B74D0">
        <w:rPr>
          <w:rFonts w:ascii="Times New Roman" w:hAnsi="Times New Roman"/>
          <w:sz w:val="20"/>
        </w:rPr>
        <w:t>2013.</w:t>
      </w:r>
    </w:p>
    <w:p w14:paraId="30E1BCFB" w14:textId="77777777" w:rsidR="0061679D" w:rsidRPr="003B74D0" w:rsidRDefault="0061679D" w:rsidP="003B74D0">
      <w:pPr>
        <w:pStyle w:val="ListParagraph"/>
        <w:widowControl w:val="0"/>
        <w:numPr>
          <w:ilvl w:val="0"/>
          <w:numId w:val="21"/>
        </w:numPr>
        <w:autoSpaceDE w:val="0"/>
        <w:autoSpaceDN w:val="0"/>
        <w:spacing w:after="0" w:line="240" w:lineRule="auto"/>
        <w:ind w:left="360" w:hanging="360"/>
        <w:contextualSpacing w:val="0"/>
        <w:jc w:val="both"/>
        <w:rPr>
          <w:rFonts w:ascii="Times New Roman" w:hAnsi="Times New Roman"/>
          <w:sz w:val="20"/>
        </w:rPr>
      </w:pPr>
      <w:r w:rsidRPr="003B74D0">
        <w:rPr>
          <w:rFonts w:ascii="Times New Roman" w:hAnsi="Times New Roman"/>
          <w:sz w:val="20"/>
        </w:rPr>
        <w:t>CHAdeMO Association, “Technical specifications of quick charger</w:t>
      </w:r>
      <w:r w:rsidRPr="003B74D0">
        <w:rPr>
          <w:rFonts w:ascii="Times New Roman" w:hAnsi="Times New Roman"/>
          <w:spacing w:val="36"/>
          <w:sz w:val="20"/>
        </w:rPr>
        <w:t xml:space="preserve"> </w:t>
      </w:r>
      <w:r w:rsidRPr="003B74D0">
        <w:rPr>
          <w:rFonts w:ascii="Times New Roman" w:hAnsi="Times New Roman"/>
          <w:sz w:val="20"/>
        </w:rPr>
        <w:t>for</w:t>
      </w:r>
      <w:r w:rsidR="00C746FC" w:rsidRPr="003B74D0">
        <w:rPr>
          <w:rFonts w:ascii="Times New Roman" w:hAnsi="Times New Roman"/>
          <w:sz w:val="20"/>
        </w:rPr>
        <w:t xml:space="preserve"> </w:t>
      </w:r>
      <w:r w:rsidRPr="003B74D0">
        <w:rPr>
          <w:rFonts w:ascii="Times New Roman" w:hAnsi="Times New Roman"/>
          <w:sz w:val="20"/>
        </w:rPr>
        <w:t xml:space="preserve">the electric vehicle,” </w:t>
      </w:r>
      <w:r w:rsidRPr="003B74D0">
        <w:rPr>
          <w:rFonts w:ascii="Times New Roman" w:hAnsi="Times New Roman"/>
          <w:i/>
          <w:sz w:val="20"/>
        </w:rPr>
        <w:t xml:space="preserve">CHAdeMO </w:t>
      </w:r>
      <w:proofErr w:type="spellStart"/>
      <w:r w:rsidRPr="003B74D0">
        <w:rPr>
          <w:rFonts w:ascii="Times New Roman" w:hAnsi="Times New Roman"/>
          <w:i/>
          <w:sz w:val="20"/>
        </w:rPr>
        <w:t>Protoc</w:t>
      </w:r>
      <w:proofErr w:type="spellEnd"/>
      <w:r w:rsidRPr="003B74D0">
        <w:rPr>
          <w:rFonts w:ascii="Times New Roman" w:hAnsi="Times New Roman"/>
          <w:i/>
          <w:sz w:val="20"/>
        </w:rPr>
        <w:t>. Rev. 1.1</w:t>
      </w:r>
      <w:r w:rsidRPr="003B74D0">
        <w:rPr>
          <w:rFonts w:ascii="Times New Roman" w:hAnsi="Times New Roman"/>
          <w:sz w:val="20"/>
        </w:rPr>
        <w:t>, 2010.</w:t>
      </w:r>
    </w:p>
    <w:p w14:paraId="5F1BC113" w14:textId="77777777" w:rsidR="0061679D" w:rsidRPr="003B74D0" w:rsidRDefault="0061679D" w:rsidP="003B74D0">
      <w:pPr>
        <w:pStyle w:val="ListParagraph"/>
        <w:widowControl w:val="0"/>
        <w:numPr>
          <w:ilvl w:val="0"/>
          <w:numId w:val="21"/>
        </w:numPr>
        <w:autoSpaceDE w:val="0"/>
        <w:autoSpaceDN w:val="0"/>
        <w:spacing w:after="0" w:line="240" w:lineRule="auto"/>
        <w:ind w:left="360" w:right="172" w:hanging="360"/>
        <w:contextualSpacing w:val="0"/>
        <w:jc w:val="both"/>
        <w:rPr>
          <w:rFonts w:ascii="Times New Roman" w:hAnsi="Times New Roman"/>
          <w:sz w:val="20"/>
        </w:rPr>
      </w:pPr>
      <w:r w:rsidRPr="003B74D0">
        <w:rPr>
          <w:rFonts w:ascii="Times New Roman" w:hAnsi="Times New Roman"/>
          <w:sz w:val="20"/>
        </w:rPr>
        <w:t xml:space="preserve">D. van der Meer, G. R. Chandra Mouli, G. Morales-Espana, L. Ramirez Elizondo, and P. Bauer, “Energy Management System with PV Power Forecast to Optimally Charge EVs at the Workplace,” </w:t>
      </w:r>
      <w:r w:rsidRPr="003B74D0">
        <w:rPr>
          <w:rFonts w:ascii="Times New Roman" w:hAnsi="Times New Roman"/>
          <w:i/>
          <w:sz w:val="20"/>
        </w:rPr>
        <w:t>IEEE Trans. Ind. Informatics</w:t>
      </w:r>
      <w:r w:rsidRPr="003B74D0">
        <w:rPr>
          <w:rFonts w:ascii="Times New Roman" w:hAnsi="Times New Roman"/>
          <w:sz w:val="20"/>
        </w:rPr>
        <w:t>, pp. 1–1,</w:t>
      </w:r>
      <w:r w:rsidRPr="003B74D0">
        <w:rPr>
          <w:rFonts w:ascii="Times New Roman" w:hAnsi="Times New Roman"/>
          <w:spacing w:val="-4"/>
          <w:sz w:val="20"/>
        </w:rPr>
        <w:t xml:space="preserve"> </w:t>
      </w:r>
      <w:r w:rsidRPr="003B74D0">
        <w:rPr>
          <w:rFonts w:ascii="Times New Roman" w:hAnsi="Times New Roman"/>
          <w:sz w:val="20"/>
        </w:rPr>
        <w:t>2016.</w:t>
      </w:r>
    </w:p>
    <w:p w14:paraId="46CAD237" w14:textId="77777777" w:rsidR="0061679D" w:rsidRPr="003B74D0" w:rsidRDefault="0061679D" w:rsidP="003B74D0">
      <w:pPr>
        <w:pStyle w:val="ListParagraph"/>
        <w:widowControl w:val="0"/>
        <w:numPr>
          <w:ilvl w:val="0"/>
          <w:numId w:val="21"/>
        </w:numPr>
        <w:autoSpaceDE w:val="0"/>
        <w:autoSpaceDN w:val="0"/>
        <w:spacing w:after="0" w:line="240" w:lineRule="auto"/>
        <w:ind w:left="360" w:right="172" w:hanging="360"/>
        <w:contextualSpacing w:val="0"/>
        <w:jc w:val="both"/>
        <w:rPr>
          <w:rFonts w:ascii="Times New Roman" w:hAnsi="Times New Roman"/>
          <w:sz w:val="20"/>
        </w:rPr>
      </w:pPr>
      <w:r w:rsidRPr="003B74D0">
        <w:rPr>
          <w:rFonts w:ascii="Times New Roman" w:hAnsi="Times New Roman"/>
          <w:sz w:val="20"/>
        </w:rPr>
        <w:t xml:space="preserve">W. Kempton and J. Tomić, “Vehicle-to-grid power implementation: From stabilizing the grid to supporting large-scale renewable energy,” </w:t>
      </w:r>
      <w:r w:rsidRPr="003B74D0">
        <w:rPr>
          <w:rFonts w:ascii="Times New Roman" w:hAnsi="Times New Roman"/>
          <w:i/>
          <w:sz w:val="20"/>
        </w:rPr>
        <w:t>J. Power Sources</w:t>
      </w:r>
      <w:r w:rsidRPr="003B74D0">
        <w:rPr>
          <w:rFonts w:ascii="Times New Roman" w:hAnsi="Times New Roman"/>
          <w:sz w:val="20"/>
        </w:rPr>
        <w:t>,</w:t>
      </w:r>
      <w:r w:rsidRPr="003B74D0">
        <w:rPr>
          <w:rFonts w:ascii="Times New Roman" w:hAnsi="Times New Roman"/>
          <w:spacing w:val="-2"/>
          <w:sz w:val="20"/>
        </w:rPr>
        <w:t xml:space="preserve"> </w:t>
      </w:r>
      <w:r w:rsidRPr="003B74D0">
        <w:rPr>
          <w:rFonts w:ascii="Times New Roman" w:hAnsi="Times New Roman"/>
          <w:sz w:val="20"/>
        </w:rPr>
        <w:t>2005.</w:t>
      </w:r>
    </w:p>
    <w:p w14:paraId="6DEF596D" w14:textId="77777777" w:rsidR="0061679D" w:rsidRPr="003B74D0" w:rsidRDefault="0061679D" w:rsidP="003B74D0">
      <w:pPr>
        <w:pStyle w:val="ListParagraph"/>
        <w:widowControl w:val="0"/>
        <w:numPr>
          <w:ilvl w:val="0"/>
          <w:numId w:val="21"/>
        </w:numPr>
        <w:autoSpaceDE w:val="0"/>
        <w:autoSpaceDN w:val="0"/>
        <w:spacing w:after="0" w:line="240" w:lineRule="auto"/>
        <w:ind w:left="360" w:right="172" w:hanging="360"/>
        <w:contextualSpacing w:val="0"/>
        <w:jc w:val="both"/>
        <w:rPr>
          <w:rFonts w:ascii="Times New Roman" w:hAnsi="Times New Roman"/>
          <w:sz w:val="20"/>
        </w:rPr>
      </w:pPr>
      <w:r w:rsidRPr="003B74D0">
        <w:rPr>
          <w:rFonts w:ascii="Times New Roman" w:hAnsi="Times New Roman"/>
          <w:sz w:val="20"/>
        </w:rPr>
        <w:t xml:space="preserve">B. V. E. </w:t>
      </w:r>
      <w:proofErr w:type="spellStart"/>
      <w:r w:rsidRPr="003B74D0">
        <w:rPr>
          <w:rFonts w:ascii="Times New Roman" w:hAnsi="Times New Roman"/>
          <w:sz w:val="20"/>
        </w:rPr>
        <w:t>Bakolas</w:t>
      </w:r>
      <w:proofErr w:type="spellEnd"/>
      <w:r w:rsidRPr="003B74D0">
        <w:rPr>
          <w:rFonts w:ascii="Times New Roman" w:hAnsi="Times New Roman"/>
          <w:sz w:val="20"/>
        </w:rPr>
        <w:t xml:space="preserve">, P. Bauer, and D. Prins, “Testing of Smart Charging Controller for dynamic charging from solar panels,” in </w:t>
      </w:r>
      <w:r w:rsidRPr="003B74D0">
        <w:rPr>
          <w:rFonts w:ascii="Times New Roman" w:hAnsi="Times New Roman"/>
          <w:i/>
          <w:sz w:val="20"/>
        </w:rPr>
        <w:t>2014 IEEE Transportation Electrification Conference and Expo (ITEC)</w:t>
      </w:r>
      <w:r w:rsidRPr="003B74D0">
        <w:rPr>
          <w:rFonts w:ascii="Times New Roman" w:hAnsi="Times New Roman"/>
          <w:sz w:val="20"/>
        </w:rPr>
        <w:t>, 2014, pp. 1–4.</w:t>
      </w:r>
    </w:p>
    <w:p w14:paraId="12469573" w14:textId="77777777" w:rsidR="0061679D" w:rsidRPr="003B74D0" w:rsidRDefault="0061679D" w:rsidP="003B74D0">
      <w:pPr>
        <w:pStyle w:val="ListParagraph"/>
        <w:widowControl w:val="0"/>
        <w:numPr>
          <w:ilvl w:val="0"/>
          <w:numId w:val="21"/>
        </w:numPr>
        <w:autoSpaceDE w:val="0"/>
        <w:autoSpaceDN w:val="0"/>
        <w:spacing w:after="0" w:line="240" w:lineRule="auto"/>
        <w:ind w:left="360" w:right="173" w:hanging="360"/>
        <w:contextualSpacing w:val="0"/>
        <w:jc w:val="both"/>
        <w:rPr>
          <w:rFonts w:ascii="Times New Roman" w:hAnsi="Times New Roman"/>
          <w:sz w:val="20"/>
        </w:rPr>
      </w:pPr>
      <w:r w:rsidRPr="003B74D0">
        <w:rPr>
          <w:rFonts w:ascii="Times New Roman" w:hAnsi="Times New Roman"/>
          <w:sz w:val="20"/>
        </w:rPr>
        <w:t xml:space="preserve">E. </w:t>
      </w:r>
      <w:proofErr w:type="spellStart"/>
      <w:r w:rsidRPr="003B74D0">
        <w:rPr>
          <w:rFonts w:ascii="Times New Roman" w:hAnsi="Times New Roman"/>
          <w:sz w:val="20"/>
        </w:rPr>
        <w:t>Sortomme</w:t>
      </w:r>
      <w:proofErr w:type="spellEnd"/>
      <w:r w:rsidRPr="003B74D0">
        <w:rPr>
          <w:rFonts w:ascii="Times New Roman" w:hAnsi="Times New Roman"/>
          <w:sz w:val="20"/>
        </w:rPr>
        <w:t xml:space="preserve">, M. M. Hindi, S. D. J. MacPherson, and S. S. Venkata, “Coordinated charging of plug-in hybrid electric vehicles to minimize distribution system losses,” </w:t>
      </w:r>
      <w:r w:rsidRPr="003B74D0">
        <w:rPr>
          <w:rFonts w:ascii="Times New Roman" w:hAnsi="Times New Roman"/>
          <w:i/>
          <w:sz w:val="20"/>
        </w:rPr>
        <w:t>IEEE Trans. Smart Grid</w:t>
      </w:r>
      <w:r w:rsidRPr="003B74D0">
        <w:rPr>
          <w:rFonts w:ascii="Times New Roman" w:hAnsi="Times New Roman"/>
          <w:sz w:val="20"/>
        </w:rPr>
        <w:t>, vol. 2, no. 1, pp. 186–193, Mar.</w:t>
      </w:r>
      <w:r w:rsidRPr="003B74D0">
        <w:rPr>
          <w:rFonts w:ascii="Times New Roman" w:hAnsi="Times New Roman"/>
          <w:spacing w:val="-3"/>
          <w:sz w:val="20"/>
        </w:rPr>
        <w:t xml:space="preserve"> </w:t>
      </w:r>
      <w:r w:rsidRPr="003B74D0">
        <w:rPr>
          <w:rFonts w:ascii="Times New Roman" w:hAnsi="Times New Roman"/>
          <w:sz w:val="20"/>
        </w:rPr>
        <w:t>2011.</w:t>
      </w:r>
    </w:p>
    <w:p w14:paraId="38E01127" w14:textId="77777777" w:rsidR="0061679D" w:rsidRPr="003B74D0" w:rsidRDefault="0061679D" w:rsidP="003B74D0">
      <w:pPr>
        <w:pStyle w:val="ListParagraph"/>
        <w:widowControl w:val="0"/>
        <w:numPr>
          <w:ilvl w:val="0"/>
          <w:numId w:val="21"/>
        </w:numPr>
        <w:autoSpaceDE w:val="0"/>
        <w:autoSpaceDN w:val="0"/>
        <w:spacing w:after="0" w:line="240" w:lineRule="auto"/>
        <w:ind w:left="360" w:right="170" w:hanging="360"/>
        <w:contextualSpacing w:val="0"/>
        <w:jc w:val="both"/>
        <w:rPr>
          <w:rFonts w:ascii="Times New Roman" w:hAnsi="Times New Roman"/>
          <w:sz w:val="20"/>
        </w:rPr>
      </w:pPr>
      <w:r w:rsidRPr="003B74D0">
        <w:rPr>
          <w:rFonts w:ascii="Times New Roman" w:hAnsi="Times New Roman"/>
          <w:sz w:val="20"/>
        </w:rPr>
        <w:t xml:space="preserve">J. A. P. Lopes, F. J. Soares, and P. M. R. Almeida, “Integration of Electric Vehicles in the Electric Power System,” </w:t>
      </w:r>
      <w:r w:rsidRPr="003B74D0">
        <w:rPr>
          <w:rFonts w:ascii="Times New Roman" w:hAnsi="Times New Roman"/>
          <w:i/>
          <w:sz w:val="20"/>
        </w:rPr>
        <w:t>Proc. IEEE</w:t>
      </w:r>
      <w:r w:rsidRPr="003B74D0">
        <w:rPr>
          <w:rFonts w:ascii="Times New Roman" w:hAnsi="Times New Roman"/>
          <w:sz w:val="20"/>
        </w:rPr>
        <w:t xml:space="preserve">, vol. </w:t>
      </w:r>
      <w:proofErr w:type="gramStart"/>
      <w:r w:rsidRPr="003B74D0">
        <w:rPr>
          <w:rFonts w:ascii="Times New Roman" w:hAnsi="Times New Roman"/>
          <w:sz w:val="20"/>
        </w:rPr>
        <w:t>99,  no.</w:t>
      </w:r>
      <w:proofErr w:type="gramEnd"/>
      <w:r w:rsidRPr="003B74D0">
        <w:rPr>
          <w:rFonts w:ascii="Times New Roman" w:hAnsi="Times New Roman"/>
          <w:sz w:val="20"/>
        </w:rPr>
        <w:t xml:space="preserve"> 1, pp. 168–183, Jan.</w:t>
      </w:r>
      <w:r w:rsidRPr="003B74D0">
        <w:rPr>
          <w:rFonts w:ascii="Times New Roman" w:hAnsi="Times New Roman"/>
          <w:spacing w:val="-6"/>
          <w:sz w:val="20"/>
        </w:rPr>
        <w:t xml:space="preserve"> </w:t>
      </w:r>
      <w:r w:rsidRPr="003B74D0">
        <w:rPr>
          <w:rFonts w:ascii="Times New Roman" w:hAnsi="Times New Roman"/>
          <w:sz w:val="20"/>
        </w:rPr>
        <w:t>2011.</w:t>
      </w:r>
    </w:p>
    <w:p w14:paraId="06FEDDBD" w14:textId="77777777" w:rsidR="0061679D" w:rsidRPr="003B74D0" w:rsidRDefault="0061679D" w:rsidP="003B74D0">
      <w:pPr>
        <w:pStyle w:val="ListParagraph"/>
        <w:widowControl w:val="0"/>
        <w:numPr>
          <w:ilvl w:val="0"/>
          <w:numId w:val="21"/>
        </w:numPr>
        <w:autoSpaceDE w:val="0"/>
        <w:autoSpaceDN w:val="0"/>
        <w:spacing w:after="0" w:line="240" w:lineRule="auto"/>
        <w:ind w:left="360" w:right="171" w:hanging="360"/>
        <w:contextualSpacing w:val="0"/>
        <w:jc w:val="both"/>
        <w:rPr>
          <w:rFonts w:ascii="Times New Roman" w:hAnsi="Times New Roman"/>
          <w:sz w:val="20"/>
        </w:rPr>
      </w:pPr>
      <w:r w:rsidRPr="003B74D0">
        <w:rPr>
          <w:rFonts w:ascii="Times New Roman" w:hAnsi="Times New Roman"/>
          <w:sz w:val="20"/>
        </w:rPr>
        <w:t xml:space="preserve">V. V. Vijay Vasan Ashok, G. R. Chandra Mouli, J. van der </w:t>
      </w:r>
      <w:proofErr w:type="spellStart"/>
      <w:r w:rsidRPr="003B74D0">
        <w:rPr>
          <w:rFonts w:ascii="Times New Roman" w:hAnsi="Times New Roman"/>
          <w:sz w:val="20"/>
        </w:rPr>
        <w:t>Burgt</w:t>
      </w:r>
      <w:proofErr w:type="spellEnd"/>
      <w:r w:rsidRPr="003B74D0">
        <w:rPr>
          <w:rFonts w:ascii="Times New Roman" w:hAnsi="Times New Roman"/>
          <w:sz w:val="20"/>
        </w:rPr>
        <w:t xml:space="preserve">, S. P. Vera, M. Huibers, L. Ramirez Elizondo, and P. Bauer, “Using dedicated EV charging areas to resolve grid violations caused by renewable energy generation,” in </w:t>
      </w:r>
      <w:r w:rsidRPr="003B74D0">
        <w:rPr>
          <w:rFonts w:ascii="Times New Roman" w:hAnsi="Times New Roman"/>
          <w:i/>
          <w:sz w:val="20"/>
        </w:rPr>
        <w:t>2016 IEEE Transportation Electrification Conference and Expo (ITEC)</w:t>
      </w:r>
      <w:r w:rsidRPr="003B74D0">
        <w:rPr>
          <w:rFonts w:ascii="Times New Roman" w:hAnsi="Times New Roman"/>
          <w:sz w:val="20"/>
        </w:rPr>
        <w:t>, 2016, pp.</w:t>
      </w:r>
      <w:r w:rsidRPr="003B74D0">
        <w:rPr>
          <w:rFonts w:ascii="Times New Roman" w:hAnsi="Times New Roman"/>
          <w:spacing w:val="-3"/>
          <w:sz w:val="20"/>
        </w:rPr>
        <w:t xml:space="preserve"> </w:t>
      </w:r>
      <w:r w:rsidRPr="003B74D0">
        <w:rPr>
          <w:rFonts w:ascii="Times New Roman" w:hAnsi="Times New Roman"/>
          <w:sz w:val="20"/>
        </w:rPr>
        <w:t>1–6.</w:t>
      </w:r>
    </w:p>
    <w:p w14:paraId="7A8D4398" w14:textId="77777777" w:rsidR="0061679D" w:rsidRPr="003B74D0" w:rsidRDefault="0061679D" w:rsidP="003B74D0">
      <w:pPr>
        <w:pStyle w:val="ListParagraph"/>
        <w:widowControl w:val="0"/>
        <w:numPr>
          <w:ilvl w:val="0"/>
          <w:numId w:val="21"/>
        </w:numPr>
        <w:autoSpaceDE w:val="0"/>
        <w:autoSpaceDN w:val="0"/>
        <w:spacing w:after="0" w:line="240" w:lineRule="auto"/>
        <w:ind w:left="360" w:right="171" w:hanging="360"/>
        <w:contextualSpacing w:val="0"/>
        <w:jc w:val="both"/>
        <w:rPr>
          <w:rFonts w:ascii="Times New Roman" w:hAnsi="Times New Roman"/>
          <w:sz w:val="20"/>
        </w:rPr>
      </w:pPr>
      <w:r w:rsidRPr="003B74D0">
        <w:rPr>
          <w:rFonts w:ascii="Times New Roman" w:hAnsi="Times New Roman"/>
          <w:sz w:val="20"/>
        </w:rPr>
        <w:t xml:space="preserve">M. </w:t>
      </w:r>
      <w:proofErr w:type="spellStart"/>
      <w:r w:rsidRPr="003B74D0">
        <w:rPr>
          <w:rFonts w:ascii="Times New Roman" w:hAnsi="Times New Roman"/>
          <w:sz w:val="20"/>
        </w:rPr>
        <w:t>Kefayati</w:t>
      </w:r>
      <w:proofErr w:type="spellEnd"/>
      <w:r w:rsidRPr="003B74D0">
        <w:rPr>
          <w:rFonts w:ascii="Times New Roman" w:hAnsi="Times New Roman"/>
          <w:sz w:val="20"/>
        </w:rPr>
        <w:t xml:space="preserve"> and C. </w:t>
      </w:r>
      <w:proofErr w:type="spellStart"/>
      <w:r w:rsidRPr="003B74D0">
        <w:rPr>
          <w:rFonts w:ascii="Times New Roman" w:hAnsi="Times New Roman"/>
          <w:sz w:val="20"/>
        </w:rPr>
        <w:t>Caramanis</w:t>
      </w:r>
      <w:proofErr w:type="spellEnd"/>
      <w:r w:rsidRPr="003B74D0">
        <w:rPr>
          <w:rFonts w:ascii="Times New Roman" w:hAnsi="Times New Roman"/>
          <w:sz w:val="20"/>
        </w:rPr>
        <w:t xml:space="preserve">, “Efficient Energy </w:t>
      </w:r>
      <w:r w:rsidRPr="003B74D0">
        <w:rPr>
          <w:rFonts w:ascii="Times New Roman" w:hAnsi="Times New Roman"/>
          <w:sz w:val="20"/>
        </w:rPr>
        <w:t xml:space="preserve">Delivery Management for PHEVs,” in </w:t>
      </w:r>
      <w:r w:rsidRPr="003B74D0">
        <w:rPr>
          <w:rFonts w:ascii="Times New Roman" w:hAnsi="Times New Roman"/>
          <w:i/>
          <w:sz w:val="20"/>
        </w:rPr>
        <w:t>2010 First IEEE International Conference on Smart Grid Communications</w:t>
      </w:r>
      <w:r w:rsidRPr="003B74D0">
        <w:rPr>
          <w:rFonts w:ascii="Times New Roman" w:hAnsi="Times New Roman"/>
          <w:sz w:val="20"/>
        </w:rPr>
        <w:t>, 2010, pp.</w:t>
      </w:r>
      <w:r w:rsidRPr="003B74D0">
        <w:rPr>
          <w:rFonts w:ascii="Times New Roman" w:hAnsi="Times New Roman"/>
          <w:spacing w:val="-4"/>
          <w:sz w:val="20"/>
        </w:rPr>
        <w:t xml:space="preserve"> </w:t>
      </w:r>
      <w:r w:rsidRPr="003B74D0">
        <w:rPr>
          <w:rFonts w:ascii="Times New Roman" w:hAnsi="Times New Roman"/>
          <w:sz w:val="20"/>
        </w:rPr>
        <w:t>525–530.</w:t>
      </w:r>
    </w:p>
    <w:p w14:paraId="1867174E" w14:textId="77777777" w:rsidR="0061679D" w:rsidRPr="003B74D0" w:rsidRDefault="0061679D" w:rsidP="003B74D0">
      <w:pPr>
        <w:pStyle w:val="ListParagraph"/>
        <w:widowControl w:val="0"/>
        <w:numPr>
          <w:ilvl w:val="0"/>
          <w:numId w:val="21"/>
        </w:numPr>
        <w:autoSpaceDE w:val="0"/>
        <w:autoSpaceDN w:val="0"/>
        <w:spacing w:after="0" w:line="240" w:lineRule="auto"/>
        <w:ind w:left="360" w:right="172" w:hanging="360"/>
        <w:contextualSpacing w:val="0"/>
        <w:jc w:val="both"/>
        <w:rPr>
          <w:rFonts w:ascii="Times New Roman" w:hAnsi="Times New Roman"/>
          <w:sz w:val="20"/>
        </w:rPr>
      </w:pPr>
      <w:r w:rsidRPr="003B74D0">
        <w:rPr>
          <w:rFonts w:ascii="Times New Roman" w:hAnsi="Times New Roman"/>
          <w:sz w:val="20"/>
        </w:rPr>
        <w:t xml:space="preserve">G. R. Chandra Mouli, P. Bauer, T. Wijekoon, A. Panosyan, and E.-M. </w:t>
      </w:r>
      <w:proofErr w:type="spellStart"/>
      <w:r w:rsidRPr="003B74D0">
        <w:rPr>
          <w:rFonts w:ascii="Times New Roman" w:hAnsi="Times New Roman"/>
          <w:sz w:val="20"/>
        </w:rPr>
        <w:t>Barthlein</w:t>
      </w:r>
      <w:proofErr w:type="spellEnd"/>
      <w:r w:rsidRPr="003B74D0">
        <w:rPr>
          <w:rFonts w:ascii="Times New Roman" w:hAnsi="Times New Roman"/>
          <w:sz w:val="20"/>
        </w:rPr>
        <w:t xml:space="preserve">, “Design of a Power-Electronic-Assisted OLTC for Grid Voltage Regulation,” </w:t>
      </w:r>
      <w:r w:rsidRPr="003B74D0">
        <w:rPr>
          <w:rFonts w:ascii="Times New Roman" w:hAnsi="Times New Roman"/>
          <w:i/>
          <w:sz w:val="20"/>
        </w:rPr>
        <w:t>IEEE Trans. Power Deliv.</w:t>
      </w:r>
      <w:r w:rsidRPr="003B74D0">
        <w:rPr>
          <w:rFonts w:ascii="Times New Roman" w:hAnsi="Times New Roman"/>
          <w:sz w:val="20"/>
        </w:rPr>
        <w:t>, vol. 30, no. 3, pp. 1086–1095, Jun.</w:t>
      </w:r>
      <w:r w:rsidRPr="003B74D0">
        <w:rPr>
          <w:rFonts w:ascii="Times New Roman" w:hAnsi="Times New Roman"/>
          <w:spacing w:val="-3"/>
          <w:sz w:val="20"/>
        </w:rPr>
        <w:t xml:space="preserve"> </w:t>
      </w:r>
      <w:r w:rsidRPr="003B74D0">
        <w:rPr>
          <w:rFonts w:ascii="Times New Roman" w:hAnsi="Times New Roman"/>
          <w:sz w:val="20"/>
        </w:rPr>
        <w:t>2015.</w:t>
      </w:r>
    </w:p>
    <w:p w14:paraId="45F5D331" w14:textId="77777777" w:rsidR="0061679D" w:rsidRPr="003B74D0" w:rsidRDefault="0061679D" w:rsidP="003B74D0">
      <w:pPr>
        <w:pStyle w:val="ListParagraph"/>
        <w:widowControl w:val="0"/>
        <w:numPr>
          <w:ilvl w:val="0"/>
          <w:numId w:val="21"/>
        </w:numPr>
        <w:autoSpaceDE w:val="0"/>
        <w:autoSpaceDN w:val="0"/>
        <w:spacing w:after="0" w:line="240" w:lineRule="auto"/>
        <w:ind w:left="360" w:right="171" w:hanging="360"/>
        <w:contextualSpacing w:val="0"/>
        <w:jc w:val="both"/>
        <w:rPr>
          <w:rFonts w:ascii="Times New Roman" w:hAnsi="Times New Roman"/>
          <w:sz w:val="20"/>
        </w:rPr>
      </w:pPr>
      <w:r w:rsidRPr="003B74D0">
        <w:rPr>
          <w:rFonts w:ascii="Times New Roman" w:hAnsi="Times New Roman"/>
          <w:sz w:val="20"/>
        </w:rPr>
        <w:t xml:space="preserve">H. Zhang, Z. Hu, Z. Xu, and Y. Song, “Optimal Planning of PEV Charging Station With Single Output Multiple Cables Charging Spots,” </w:t>
      </w:r>
      <w:r w:rsidRPr="003B74D0">
        <w:rPr>
          <w:rFonts w:ascii="Times New Roman" w:hAnsi="Times New Roman"/>
          <w:i/>
          <w:sz w:val="20"/>
        </w:rPr>
        <w:t>IEEE Trans. Smart Grid</w:t>
      </w:r>
      <w:r w:rsidRPr="003B74D0">
        <w:rPr>
          <w:rFonts w:ascii="Times New Roman" w:hAnsi="Times New Roman"/>
          <w:sz w:val="20"/>
        </w:rPr>
        <w:t>, pp. 1–10,</w:t>
      </w:r>
      <w:r w:rsidRPr="003B74D0">
        <w:rPr>
          <w:rFonts w:ascii="Times New Roman" w:hAnsi="Times New Roman"/>
          <w:spacing w:val="-5"/>
          <w:sz w:val="20"/>
        </w:rPr>
        <w:t xml:space="preserve"> </w:t>
      </w:r>
      <w:r w:rsidRPr="003B74D0">
        <w:rPr>
          <w:rFonts w:ascii="Times New Roman" w:hAnsi="Times New Roman"/>
          <w:sz w:val="20"/>
        </w:rPr>
        <w:t>2016.</w:t>
      </w:r>
    </w:p>
    <w:p w14:paraId="02B3E010" w14:textId="77777777" w:rsidR="0061679D" w:rsidRPr="003B74D0" w:rsidRDefault="0061679D" w:rsidP="003B74D0">
      <w:pPr>
        <w:pStyle w:val="ListParagraph"/>
        <w:widowControl w:val="0"/>
        <w:numPr>
          <w:ilvl w:val="0"/>
          <w:numId w:val="21"/>
        </w:numPr>
        <w:autoSpaceDE w:val="0"/>
        <w:autoSpaceDN w:val="0"/>
        <w:spacing w:after="0" w:line="240" w:lineRule="auto"/>
        <w:ind w:left="360" w:right="168" w:hanging="360"/>
        <w:contextualSpacing w:val="0"/>
        <w:jc w:val="both"/>
        <w:rPr>
          <w:rFonts w:ascii="Times New Roman" w:hAnsi="Times New Roman"/>
          <w:sz w:val="20"/>
        </w:rPr>
      </w:pPr>
      <w:r w:rsidRPr="003B74D0">
        <w:rPr>
          <w:rFonts w:ascii="Times New Roman" w:hAnsi="Times New Roman"/>
          <w:sz w:val="20"/>
        </w:rPr>
        <w:t xml:space="preserve">G. R. Chandra Mouli, P. Bauer, and M. Zeman, “Comparison of system architecture and converter topology for a solar powered electric vehicle charging station,” in </w:t>
      </w:r>
      <w:r w:rsidRPr="003B74D0">
        <w:rPr>
          <w:rFonts w:ascii="Times New Roman" w:hAnsi="Times New Roman"/>
          <w:i/>
          <w:sz w:val="20"/>
        </w:rPr>
        <w:t>2015 9th International Conference on Power Electronics and ECCE Asia (ICPE-ECCE Asia)</w:t>
      </w:r>
      <w:r w:rsidRPr="003B74D0">
        <w:rPr>
          <w:rFonts w:ascii="Times New Roman" w:hAnsi="Times New Roman"/>
          <w:sz w:val="20"/>
        </w:rPr>
        <w:t>, 2015, pp.</w:t>
      </w:r>
      <w:r w:rsidRPr="003B74D0">
        <w:rPr>
          <w:rFonts w:ascii="Times New Roman" w:hAnsi="Times New Roman"/>
          <w:spacing w:val="-13"/>
          <w:sz w:val="20"/>
        </w:rPr>
        <w:t xml:space="preserve"> </w:t>
      </w:r>
      <w:r w:rsidRPr="003B74D0">
        <w:rPr>
          <w:rFonts w:ascii="Times New Roman" w:hAnsi="Times New Roman"/>
          <w:sz w:val="20"/>
        </w:rPr>
        <w:t>1908–1915.</w:t>
      </w:r>
    </w:p>
    <w:p w14:paraId="49A77072" w14:textId="77777777" w:rsidR="0061679D" w:rsidRPr="003B74D0" w:rsidRDefault="0061679D" w:rsidP="003B74D0">
      <w:pPr>
        <w:pStyle w:val="ListParagraph"/>
        <w:widowControl w:val="0"/>
        <w:numPr>
          <w:ilvl w:val="0"/>
          <w:numId w:val="21"/>
        </w:numPr>
        <w:autoSpaceDE w:val="0"/>
        <w:autoSpaceDN w:val="0"/>
        <w:spacing w:after="0" w:line="240" w:lineRule="auto"/>
        <w:ind w:left="360" w:right="172" w:hanging="360"/>
        <w:contextualSpacing w:val="0"/>
        <w:jc w:val="both"/>
        <w:rPr>
          <w:rFonts w:ascii="Times New Roman" w:hAnsi="Times New Roman"/>
          <w:sz w:val="20"/>
        </w:rPr>
      </w:pPr>
      <w:r w:rsidRPr="003B74D0">
        <w:rPr>
          <w:rFonts w:ascii="Times New Roman" w:hAnsi="Times New Roman"/>
          <w:sz w:val="20"/>
        </w:rPr>
        <w:t xml:space="preserve">C. Chung, P. Chu, and R. Gadh, “Design of smart </w:t>
      </w:r>
      <w:proofErr w:type="gramStart"/>
      <w:r w:rsidRPr="003B74D0">
        <w:rPr>
          <w:rFonts w:ascii="Times New Roman" w:hAnsi="Times New Roman"/>
          <w:sz w:val="20"/>
        </w:rPr>
        <w:t>charging  infrastructure</w:t>
      </w:r>
      <w:proofErr w:type="gramEnd"/>
      <w:r w:rsidRPr="003B74D0">
        <w:rPr>
          <w:rFonts w:ascii="Times New Roman" w:hAnsi="Times New Roman"/>
          <w:sz w:val="20"/>
        </w:rPr>
        <w:t xml:space="preserve"> hardware and firmware design of the various current multiplexing charging system,” </w:t>
      </w:r>
      <w:r w:rsidRPr="003B74D0">
        <w:rPr>
          <w:rFonts w:ascii="Times New Roman" w:hAnsi="Times New Roman"/>
          <w:i/>
          <w:sz w:val="20"/>
        </w:rPr>
        <w:t>Seventh Glob. Conf.</w:t>
      </w:r>
      <w:r w:rsidRPr="003B74D0">
        <w:rPr>
          <w:rFonts w:ascii="Times New Roman" w:hAnsi="Times New Roman"/>
          <w:sz w:val="20"/>
        </w:rPr>
        <w:t>,</w:t>
      </w:r>
      <w:r w:rsidRPr="003B74D0">
        <w:rPr>
          <w:rFonts w:ascii="Times New Roman" w:hAnsi="Times New Roman"/>
          <w:spacing w:val="-6"/>
          <w:sz w:val="20"/>
        </w:rPr>
        <w:t xml:space="preserve"> </w:t>
      </w:r>
      <w:r w:rsidRPr="003B74D0">
        <w:rPr>
          <w:rFonts w:ascii="Times New Roman" w:hAnsi="Times New Roman"/>
          <w:sz w:val="20"/>
        </w:rPr>
        <w:t>2013.</w:t>
      </w:r>
    </w:p>
    <w:p w14:paraId="3791ACD1" w14:textId="77777777" w:rsidR="0061679D" w:rsidRPr="003B74D0" w:rsidRDefault="0061679D" w:rsidP="003B74D0">
      <w:pPr>
        <w:pStyle w:val="ListParagraph"/>
        <w:widowControl w:val="0"/>
        <w:numPr>
          <w:ilvl w:val="0"/>
          <w:numId w:val="21"/>
        </w:numPr>
        <w:autoSpaceDE w:val="0"/>
        <w:autoSpaceDN w:val="0"/>
        <w:spacing w:after="0" w:line="240" w:lineRule="auto"/>
        <w:ind w:left="360" w:right="169" w:hanging="360"/>
        <w:contextualSpacing w:val="0"/>
        <w:jc w:val="both"/>
        <w:rPr>
          <w:rFonts w:ascii="Times New Roman" w:hAnsi="Times New Roman"/>
          <w:sz w:val="20"/>
        </w:rPr>
      </w:pPr>
      <w:r w:rsidRPr="003B74D0">
        <w:rPr>
          <w:rFonts w:ascii="Times New Roman" w:hAnsi="Times New Roman"/>
          <w:sz w:val="20"/>
        </w:rPr>
        <w:t xml:space="preserve">D. P. Tuttle and R. </w:t>
      </w:r>
      <w:proofErr w:type="spellStart"/>
      <w:r w:rsidRPr="003B74D0">
        <w:rPr>
          <w:rFonts w:ascii="Times New Roman" w:hAnsi="Times New Roman"/>
          <w:sz w:val="20"/>
        </w:rPr>
        <w:t>Baldick</w:t>
      </w:r>
      <w:proofErr w:type="spellEnd"/>
      <w:r w:rsidRPr="003B74D0">
        <w:rPr>
          <w:rFonts w:ascii="Times New Roman" w:hAnsi="Times New Roman"/>
          <w:sz w:val="20"/>
        </w:rPr>
        <w:t xml:space="preserve">, “The Evolution of Plug-In Electric Vehicle- Grid Interactions,” </w:t>
      </w:r>
      <w:r w:rsidRPr="003B74D0">
        <w:rPr>
          <w:rFonts w:ascii="Times New Roman" w:hAnsi="Times New Roman"/>
          <w:i/>
          <w:sz w:val="20"/>
        </w:rPr>
        <w:t>IEEE Trans. Smart Grid</w:t>
      </w:r>
      <w:r w:rsidRPr="003B74D0">
        <w:rPr>
          <w:rFonts w:ascii="Times New Roman" w:hAnsi="Times New Roman"/>
          <w:sz w:val="20"/>
        </w:rPr>
        <w:t>, vol. 3, no. 1, pp. 500–505, Mar.</w:t>
      </w:r>
      <w:r w:rsidRPr="003B74D0">
        <w:rPr>
          <w:rFonts w:ascii="Times New Roman" w:hAnsi="Times New Roman"/>
          <w:spacing w:val="-1"/>
          <w:sz w:val="20"/>
        </w:rPr>
        <w:t xml:space="preserve"> </w:t>
      </w:r>
      <w:r w:rsidRPr="003B74D0">
        <w:rPr>
          <w:rFonts w:ascii="Times New Roman" w:hAnsi="Times New Roman"/>
          <w:sz w:val="20"/>
        </w:rPr>
        <w:t>2012.</w:t>
      </w:r>
    </w:p>
    <w:p w14:paraId="6A9FB1E1" w14:textId="77777777" w:rsidR="0061679D" w:rsidRPr="003B74D0" w:rsidRDefault="0061679D" w:rsidP="003B74D0">
      <w:pPr>
        <w:pStyle w:val="ListParagraph"/>
        <w:widowControl w:val="0"/>
        <w:numPr>
          <w:ilvl w:val="0"/>
          <w:numId w:val="21"/>
        </w:numPr>
        <w:autoSpaceDE w:val="0"/>
        <w:autoSpaceDN w:val="0"/>
        <w:spacing w:after="0" w:line="240" w:lineRule="auto"/>
        <w:ind w:left="360" w:right="172" w:hanging="360"/>
        <w:contextualSpacing w:val="0"/>
        <w:jc w:val="both"/>
        <w:rPr>
          <w:rFonts w:ascii="Times New Roman" w:hAnsi="Times New Roman"/>
          <w:sz w:val="20"/>
        </w:rPr>
      </w:pPr>
      <w:r w:rsidRPr="003B74D0">
        <w:rPr>
          <w:rFonts w:ascii="Times New Roman" w:hAnsi="Times New Roman"/>
          <w:sz w:val="20"/>
        </w:rPr>
        <w:t xml:space="preserve">G. R. C. Mouli, J. Kaptein, P. Bauer, and M. Zeman, “Implementation of dynamic charging and V2G using </w:t>
      </w:r>
      <w:proofErr w:type="spellStart"/>
      <w:r w:rsidRPr="003B74D0">
        <w:rPr>
          <w:rFonts w:ascii="Times New Roman" w:hAnsi="Times New Roman"/>
          <w:sz w:val="20"/>
        </w:rPr>
        <w:t>Chademo</w:t>
      </w:r>
      <w:proofErr w:type="spellEnd"/>
      <w:r w:rsidRPr="003B74D0">
        <w:rPr>
          <w:rFonts w:ascii="Times New Roman" w:hAnsi="Times New Roman"/>
          <w:sz w:val="20"/>
        </w:rPr>
        <w:t xml:space="preserve"> and CCS/Combo DC charging standard,” in </w:t>
      </w:r>
      <w:r w:rsidRPr="003B74D0">
        <w:rPr>
          <w:rFonts w:ascii="Times New Roman" w:hAnsi="Times New Roman"/>
          <w:i/>
          <w:sz w:val="20"/>
        </w:rPr>
        <w:t>2016 IEEE Transportation Electrification Conference and Expo (ITEC)</w:t>
      </w:r>
      <w:r w:rsidRPr="003B74D0">
        <w:rPr>
          <w:rFonts w:ascii="Times New Roman" w:hAnsi="Times New Roman"/>
          <w:sz w:val="20"/>
        </w:rPr>
        <w:t>, 2016, pp.</w:t>
      </w:r>
      <w:r w:rsidRPr="003B74D0">
        <w:rPr>
          <w:rFonts w:ascii="Times New Roman" w:hAnsi="Times New Roman"/>
          <w:spacing w:val="-4"/>
          <w:sz w:val="20"/>
        </w:rPr>
        <w:t xml:space="preserve"> </w:t>
      </w:r>
      <w:r w:rsidRPr="003B74D0">
        <w:rPr>
          <w:rFonts w:ascii="Times New Roman" w:hAnsi="Times New Roman"/>
          <w:sz w:val="20"/>
        </w:rPr>
        <w:t>1–6.</w:t>
      </w:r>
    </w:p>
    <w:p w14:paraId="0B77EA6B" w14:textId="77777777" w:rsidR="0061679D" w:rsidRPr="003B74D0" w:rsidRDefault="0061679D" w:rsidP="003B74D0">
      <w:pPr>
        <w:pStyle w:val="ListParagraph"/>
        <w:widowControl w:val="0"/>
        <w:numPr>
          <w:ilvl w:val="0"/>
          <w:numId w:val="21"/>
        </w:numPr>
        <w:autoSpaceDE w:val="0"/>
        <w:autoSpaceDN w:val="0"/>
        <w:spacing w:after="0" w:line="240" w:lineRule="auto"/>
        <w:ind w:left="360" w:right="170" w:hanging="360"/>
        <w:contextualSpacing w:val="0"/>
        <w:jc w:val="both"/>
        <w:rPr>
          <w:rFonts w:ascii="Times New Roman" w:hAnsi="Times New Roman"/>
          <w:sz w:val="20"/>
        </w:rPr>
      </w:pPr>
      <w:r w:rsidRPr="003B74D0">
        <w:rPr>
          <w:rFonts w:ascii="Times New Roman" w:hAnsi="Times New Roman"/>
          <w:sz w:val="20"/>
        </w:rPr>
        <w:t xml:space="preserve">H. Lund and W. Kempton, “Integration of renewable energy into the transport and electricity sectors through V2G,” </w:t>
      </w:r>
      <w:r w:rsidRPr="003B74D0">
        <w:rPr>
          <w:rFonts w:ascii="Times New Roman" w:hAnsi="Times New Roman"/>
          <w:i/>
          <w:sz w:val="20"/>
        </w:rPr>
        <w:t>Energy Policy</w:t>
      </w:r>
      <w:r w:rsidRPr="003B74D0">
        <w:rPr>
          <w:rFonts w:ascii="Times New Roman" w:hAnsi="Times New Roman"/>
          <w:sz w:val="20"/>
        </w:rPr>
        <w:t>, vol. 36, no. 9, pp. 3578–3587,</w:t>
      </w:r>
      <w:r w:rsidRPr="003B74D0">
        <w:rPr>
          <w:rFonts w:ascii="Times New Roman" w:hAnsi="Times New Roman"/>
          <w:spacing w:val="-5"/>
          <w:sz w:val="20"/>
        </w:rPr>
        <w:t xml:space="preserve"> </w:t>
      </w:r>
      <w:r w:rsidRPr="003B74D0">
        <w:rPr>
          <w:rFonts w:ascii="Times New Roman" w:hAnsi="Times New Roman"/>
          <w:sz w:val="20"/>
        </w:rPr>
        <w:t>2008.</w:t>
      </w:r>
    </w:p>
    <w:p w14:paraId="1268D102" w14:textId="77777777" w:rsidR="0061679D" w:rsidRPr="003B74D0" w:rsidRDefault="0061679D" w:rsidP="003B74D0">
      <w:pPr>
        <w:pStyle w:val="ListParagraph"/>
        <w:widowControl w:val="0"/>
        <w:numPr>
          <w:ilvl w:val="0"/>
          <w:numId w:val="21"/>
        </w:numPr>
        <w:autoSpaceDE w:val="0"/>
        <w:autoSpaceDN w:val="0"/>
        <w:spacing w:after="0" w:line="240" w:lineRule="auto"/>
        <w:ind w:left="360" w:right="39" w:hanging="360"/>
        <w:contextualSpacing w:val="0"/>
        <w:jc w:val="both"/>
        <w:rPr>
          <w:rFonts w:ascii="Times New Roman" w:hAnsi="Times New Roman"/>
          <w:sz w:val="20"/>
        </w:rPr>
      </w:pPr>
      <w:r w:rsidRPr="003B74D0">
        <w:rPr>
          <w:rFonts w:ascii="Times New Roman" w:hAnsi="Times New Roman"/>
          <w:sz w:val="20"/>
        </w:rPr>
        <w:t xml:space="preserve">G. R. Chandra Mouli, P. Bauer, and M. Zeman, “System design for a solar powered electric vehicle charging station for workplaces,” </w:t>
      </w:r>
      <w:r w:rsidRPr="003B74D0">
        <w:rPr>
          <w:rFonts w:ascii="Times New Roman" w:hAnsi="Times New Roman"/>
          <w:i/>
          <w:sz w:val="20"/>
        </w:rPr>
        <w:t>Appl. Energy</w:t>
      </w:r>
      <w:r w:rsidRPr="003B74D0">
        <w:rPr>
          <w:rFonts w:ascii="Times New Roman" w:hAnsi="Times New Roman"/>
          <w:sz w:val="20"/>
        </w:rPr>
        <w:t>, vol. 168, pp. 434–443, Apr.</w:t>
      </w:r>
      <w:r w:rsidRPr="003B74D0">
        <w:rPr>
          <w:rFonts w:ascii="Times New Roman" w:hAnsi="Times New Roman"/>
          <w:spacing w:val="-8"/>
          <w:sz w:val="20"/>
        </w:rPr>
        <w:t xml:space="preserve"> </w:t>
      </w:r>
      <w:r w:rsidRPr="003B74D0">
        <w:rPr>
          <w:rFonts w:ascii="Times New Roman" w:hAnsi="Times New Roman"/>
          <w:sz w:val="20"/>
        </w:rPr>
        <w:t>2016.</w:t>
      </w:r>
    </w:p>
    <w:p w14:paraId="5A26EDCD" w14:textId="77777777" w:rsidR="0061679D" w:rsidRPr="003B74D0" w:rsidRDefault="0061679D" w:rsidP="003B74D0">
      <w:pPr>
        <w:pStyle w:val="ListParagraph"/>
        <w:widowControl w:val="0"/>
        <w:numPr>
          <w:ilvl w:val="0"/>
          <w:numId w:val="21"/>
        </w:numPr>
        <w:autoSpaceDE w:val="0"/>
        <w:autoSpaceDN w:val="0"/>
        <w:spacing w:after="0" w:line="240" w:lineRule="auto"/>
        <w:ind w:left="360" w:right="38" w:hanging="360"/>
        <w:contextualSpacing w:val="0"/>
        <w:jc w:val="both"/>
        <w:rPr>
          <w:rFonts w:ascii="Times New Roman" w:hAnsi="Times New Roman"/>
          <w:sz w:val="20"/>
        </w:rPr>
      </w:pPr>
      <w:r w:rsidRPr="003B74D0">
        <w:rPr>
          <w:rFonts w:ascii="Times New Roman" w:hAnsi="Times New Roman"/>
          <w:sz w:val="20"/>
        </w:rPr>
        <w:t xml:space="preserve">P. Goli and W. Shireen, “PV Integrated Smart Charging of PHEVs Based on DC Link Voltage Sensing,” </w:t>
      </w:r>
      <w:r w:rsidRPr="003B74D0">
        <w:rPr>
          <w:rFonts w:ascii="Times New Roman" w:hAnsi="Times New Roman"/>
          <w:i/>
          <w:sz w:val="20"/>
        </w:rPr>
        <w:t>IEEE Trans. Smart Grid</w:t>
      </w:r>
      <w:r w:rsidRPr="003B74D0">
        <w:rPr>
          <w:rFonts w:ascii="Times New Roman" w:hAnsi="Times New Roman"/>
          <w:sz w:val="20"/>
        </w:rPr>
        <w:t>, vol. 5, no. 3, pp. 1421–1428, May</w:t>
      </w:r>
      <w:r w:rsidRPr="003B74D0">
        <w:rPr>
          <w:rFonts w:ascii="Times New Roman" w:hAnsi="Times New Roman"/>
          <w:spacing w:val="-6"/>
          <w:sz w:val="20"/>
        </w:rPr>
        <w:t xml:space="preserve"> </w:t>
      </w:r>
      <w:r w:rsidRPr="003B74D0">
        <w:rPr>
          <w:rFonts w:ascii="Times New Roman" w:hAnsi="Times New Roman"/>
          <w:sz w:val="20"/>
        </w:rPr>
        <w:t>2014.</w:t>
      </w:r>
    </w:p>
    <w:p w14:paraId="227DB488" w14:textId="77777777" w:rsidR="0061679D" w:rsidRPr="003B74D0" w:rsidRDefault="0061679D" w:rsidP="003B74D0">
      <w:pPr>
        <w:pStyle w:val="ListParagraph"/>
        <w:widowControl w:val="0"/>
        <w:numPr>
          <w:ilvl w:val="0"/>
          <w:numId w:val="21"/>
        </w:numPr>
        <w:autoSpaceDE w:val="0"/>
        <w:autoSpaceDN w:val="0"/>
        <w:spacing w:after="0" w:line="240" w:lineRule="auto"/>
        <w:ind w:left="360" w:hanging="360"/>
        <w:contextualSpacing w:val="0"/>
        <w:jc w:val="both"/>
        <w:rPr>
          <w:rFonts w:ascii="Times New Roman" w:hAnsi="Times New Roman"/>
          <w:sz w:val="20"/>
        </w:rPr>
      </w:pPr>
      <w:r w:rsidRPr="003B74D0">
        <w:rPr>
          <w:rFonts w:ascii="Times New Roman" w:hAnsi="Times New Roman"/>
          <w:sz w:val="20"/>
        </w:rPr>
        <w:t>“V2G500V30A</w:t>
      </w:r>
      <w:r w:rsidRPr="003B74D0">
        <w:rPr>
          <w:rFonts w:ascii="Times New Roman" w:hAnsi="Times New Roman"/>
          <w:spacing w:val="20"/>
          <w:sz w:val="20"/>
        </w:rPr>
        <w:t xml:space="preserve"> </w:t>
      </w:r>
      <w:r w:rsidRPr="003B74D0">
        <w:rPr>
          <w:rFonts w:ascii="Times New Roman" w:hAnsi="Times New Roman"/>
          <w:sz w:val="20"/>
        </w:rPr>
        <w:t>-</w:t>
      </w:r>
      <w:r w:rsidRPr="003B74D0">
        <w:rPr>
          <w:rFonts w:ascii="Times New Roman" w:hAnsi="Times New Roman"/>
          <w:spacing w:val="21"/>
          <w:sz w:val="20"/>
        </w:rPr>
        <w:t xml:space="preserve"> </w:t>
      </w:r>
      <w:r w:rsidRPr="003B74D0">
        <w:rPr>
          <w:rFonts w:ascii="Times New Roman" w:hAnsi="Times New Roman"/>
          <w:sz w:val="20"/>
        </w:rPr>
        <w:t>10kW</w:t>
      </w:r>
      <w:r w:rsidRPr="003B74D0">
        <w:rPr>
          <w:rFonts w:ascii="Times New Roman" w:hAnsi="Times New Roman"/>
          <w:spacing w:val="19"/>
          <w:sz w:val="20"/>
        </w:rPr>
        <w:t xml:space="preserve"> </w:t>
      </w:r>
      <w:r w:rsidRPr="003B74D0">
        <w:rPr>
          <w:rFonts w:ascii="Times New Roman" w:hAnsi="Times New Roman"/>
          <w:sz w:val="20"/>
        </w:rPr>
        <w:t>Bidirectional</w:t>
      </w:r>
      <w:r w:rsidRPr="003B74D0">
        <w:rPr>
          <w:rFonts w:ascii="Times New Roman" w:hAnsi="Times New Roman"/>
          <w:spacing w:val="21"/>
          <w:sz w:val="20"/>
        </w:rPr>
        <w:t xml:space="preserve"> </w:t>
      </w:r>
      <w:r w:rsidRPr="003B74D0">
        <w:rPr>
          <w:rFonts w:ascii="Times New Roman" w:hAnsi="Times New Roman"/>
          <w:sz w:val="20"/>
        </w:rPr>
        <w:t>Solar</w:t>
      </w:r>
      <w:r w:rsidRPr="003B74D0">
        <w:rPr>
          <w:rFonts w:ascii="Times New Roman" w:hAnsi="Times New Roman"/>
          <w:spacing w:val="19"/>
          <w:sz w:val="20"/>
        </w:rPr>
        <w:t xml:space="preserve"> </w:t>
      </w:r>
      <w:r w:rsidRPr="003B74D0">
        <w:rPr>
          <w:rFonts w:ascii="Times New Roman" w:hAnsi="Times New Roman"/>
          <w:sz w:val="20"/>
        </w:rPr>
        <w:t>EV</w:t>
      </w:r>
      <w:r w:rsidRPr="003B74D0">
        <w:rPr>
          <w:rFonts w:ascii="Times New Roman" w:hAnsi="Times New Roman"/>
          <w:spacing w:val="21"/>
          <w:sz w:val="20"/>
        </w:rPr>
        <w:t xml:space="preserve"> </w:t>
      </w:r>
      <w:r w:rsidRPr="003B74D0">
        <w:rPr>
          <w:rFonts w:ascii="Times New Roman" w:hAnsi="Times New Roman"/>
          <w:sz w:val="20"/>
        </w:rPr>
        <w:t>Charger</w:t>
      </w:r>
      <w:r w:rsidRPr="003B74D0">
        <w:rPr>
          <w:rFonts w:ascii="Times New Roman" w:hAnsi="Times New Roman"/>
          <w:spacing w:val="19"/>
          <w:sz w:val="20"/>
        </w:rPr>
        <w:t xml:space="preserve"> </w:t>
      </w:r>
      <w:r w:rsidRPr="003B74D0">
        <w:rPr>
          <w:rFonts w:ascii="Times New Roman" w:hAnsi="Times New Roman"/>
          <w:sz w:val="20"/>
        </w:rPr>
        <w:t>Module,”</w:t>
      </w:r>
      <w:r w:rsidR="00C746FC" w:rsidRPr="003B74D0">
        <w:rPr>
          <w:rFonts w:ascii="Times New Roman" w:hAnsi="Times New Roman"/>
          <w:sz w:val="20"/>
        </w:rPr>
        <w:t xml:space="preserve"> </w:t>
      </w:r>
      <w:r w:rsidRPr="003B74D0">
        <w:rPr>
          <w:rFonts w:ascii="Times New Roman" w:hAnsi="Times New Roman"/>
          <w:i/>
          <w:sz w:val="20"/>
        </w:rPr>
        <w:t>Power Res. Electron. B.V, Delft Univ. Technol.</w:t>
      </w:r>
    </w:p>
    <w:p w14:paraId="4B837DD4" w14:textId="77777777" w:rsidR="0061679D" w:rsidRPr="003B74D0" w:rsidRDefault="0061679D" w:rsidP="003B74D0">
      <w:pPr>
        <w:pStyle w:val="ListParagraph"/>
        <w:widowControl w:val="0"/>
        <w:numPr>
          <w:ilvl w:val="0"/>
          <w:numId w:val="21"/>
        </w:numPr>
        <w:autoSpaceDE w:val="0"/>
        <w:autoSpaceDN w:val="0"/>
        <w:spacing w:after="0" w:line="240" w:lineRule="auto"/>
        <w:ind w:left="360" w:right="39" w:hanging="360"/>
        <w:contextualSpacing w:val="0"/>
        <w:jc w:val="both"/>
        <w:rPr>
          <w:rFonts w:ascii="Times New Roman" w:hAnsi="Times New Roman"/>
          <w:sz w:val="20"/>
        </w:rPr>
      </w:pPr>
      <w:r w:rsidRPr="003B74D0">
        <w:rPr>
          <w:rFonts w:ascii="Times New Roman" w:hAnsi="Times New Roman"/>
          <w:sz w:val="20"/>
        </w:rPr>
        <w:t xml:space="preserve">G. R. Chandra Mouli, J. </w:t>
      </w:r>
      <w:proofErr w:type="spellStart"/>
      <w:r w:rsidRPr="003B74D0">
        <w:rPr>
          <w:rFonts w:ascii="Times New Roman" w:hAnsi="Times New Roman"/>
          <w:sz w:val="20"/>
        </w:rPr>
        <w:t>Schijffelen</w:t>
      </w:r>
      <w:proofErr w:type="spellEnd"/>
      <w:r w:rsidRPr="003B74D0">
        <w:rPr>
          <w:rFonts w:ascii="Times New Roman" w:hAnsi="Times New Roman"/>
          <w:sz w:val="20"/>
        </w:rPr>
        <w:t xml:space="preserve">, P. Bauer, and M. Zeman, “Design and Comparison of a 10kW Interleaved Boost Converter for PV Application Using Si and </w:t>
      </w:r>
      <w:proofErr w:type="spellStart"/>
      <w:r w:rsidRPr="003B74D0">
        <w:rPr>
          <w:rFonts w:ascii="Times New Roman" w:hAnsi="Times New Roman"/>
          <w:sz w:val="20"/>
        </w:rPr>
        <w:t>SiC</w:t>
      </w:r>
      <w:proofErr w:type="spellEnd"/>
      <w:r w:rsidRPr="003B74D0">
        <w:rPr>
          <w:rFonts w:ascii="Times New Roman" w:hAnsi="Times New Roman"/>
          <w:sz w:val="20"/>
        </w:rPr>
        <w:t xml:space="preserve"> Devices,” </w:t>
      </w:r>
      <w:r w:rsidRPr="003B74D0">
        <w:rPr>
          <w:rFonts w:ascii="Times New Roman" w:hAnsi="Times New Roman"/>
          <w:i/>
          <w:sz w:val="20"/>
        </w:rPr>
        <w:t>IEEE J. Emerg. Sel. Top. Power Electron.</w:t>
      </w:r>
      <w:r w:rsidRPr="003B74D0">
        <w:rPr>
          <w:rFonts w:ascii="Times New Roman" w:hAnsi="Times New Roman"/>
          <w:sz w:val="20"/>
        </w:rPr>
        <w:t>, pp. 1–1,</w:t>
      </w:r>
      <w:r w:rsidRPr="003B74D0">
        <w:rPr>
          <w:rFonts w:ascii="Times New Roman" w:hAnsi="Times New Roman"/>
          <w:spacing w:val="-4"/>
          <w:sz w:val="20"/>
        </w:rPr>
        <w:t xml:space="preserve"> </w:t>
      </w:r>
      <w:r w:rsidRPr="003B74D0">
        <w:rPr>
          <w:rFonts w:ascii="Times New Roman" w:hAnsi="Times New Roman"/>
          <w:sz w:val="20"/>
        </w:rPr>
        <w:t>2016.</w:t>
      </w:r>
    </w:p>
    <w:p w14:paraId="0E7EFF3E" w14:textId="77777777" w:rsidR="0061679D" w:rsidRPr="003B74D0" w:rsidRDefault="0061679D" w:rsidP="003B74D0">
      <w:pPr>
        <w:pStyle w:val="ListParagraph"/>
        <w:widowControl w:val="0"/>
        <w:numPr>
          <w:ilvl w:val="0"/>
          <w:numId w:val="21"/>
        </w:numPr>
        <w:autoSpaceDE w:val="0"/>
        <w:autoSpaceDN w:val="0"/>
        <w:spacing w:after="0" w:line="240" w:lineRule="auto"/>
        <w:ind w:left="360" w:right="40" w:hanging="360"/>
        <w:contextualSpacing w:val="0"/>
        <w:jc w:val="both"/>
        <w:rPr>
          <w:rFonts w:ascii="Times New Roman" w:hAnsi="Times New Roman"/>
          <w:sz w:val="20"/>
        </w:rPr>
      </w:pPr>
      <w:r w:rsidRPr="003B74D0">
        <w:rPr>
          <w:rFonts w:ascii="Times New Roman" w:hAnsi="Times New Roman"/>
          <w:sz w:val="20"/>
        </w:rPr>
        <w:t xml:space="preserve">V. Prasanth and P. Bauer, “Distributed IPT Systems for Dynamic Powering: Misalignment Analysis,” </w:t>
      </w:r>
      <w:r w:rsidRPr="003B74D0">
        <w:rPr>
          <w:rFonts w:ascii="Times New Roman" w:hAnsi="Times New Roman"/>
          <w:i/>
          <w:sz w:val="20"/>
        </w:rPr>
        <w:t>IEEE Trans. Ind. Electron.</w:t>
      </w:r>
      <w:r w:rsidRPr="003B74D0">
        <w:rPr>
          <w:rFonts w:ascii="Times New Roman" w:hAnsi="Times New Roman"/>
          <w:sz w:val="20"/>
        </w:rPr>
        <w:t>, vol. 61, no. 11, pp. 6013–6021, Nov.</w:t>
      </w:r>
      <w:r w:rsidRPr="003B74D0">
        <w:rPr>
          <w:rFonts w:ascii="Times New Roman" w:hAnsi="Times New Roman"/>
          <w:spacing w:val="-6"/>
          <w:sz w:val="20"/>
        </w:rPr>
        <w:t xml:space="preserve"> </w:t>
      </w:r>
      <w:r w:rsidRPr="003B74D0">
        <w:rPr>
          <w:rFonts w:ascii="Times New Roman" w:hAnsi="Times New Roman"/>
          <w:sz w:val="20"/>
        </w:rPr>
        <w:t>2014.</w:t>
      </w:r>
    </w:p>
    <w:p w14:paraId="39129D1B" w14:textId="77777777" w:rsidR="0061679D" w:rsidRPr="003B74D0" w:rsidRDefault="0061679D" w:rsidP="003B74D0">
      <w:pPr>
        <w:pStyle w:val="ListParagraph"/>
        <w:widowControl w:val="0"/>
        <w:numPr>
          <w:ilvl w:val="0"/>
          <w:numId w:val="21"/>
        </w:numPr>
        <w:autoSpaceDE w:val="0"/>
        <w:autoSpaceDN w:val="0"/>
        <w:spacing w:after="0" w:line="240" w:lineRule="auto"/>
        <w:ind w:left="360" w:right="40" w:hanging="360"/>
        <w:contextualSpacing w:val="0"/>
        <w:jc w:val="both"/>
        <w:rPr>
          <w:rFonts w:ascii="Times New Roman" w:hAnsi="Times New Roman"/>
          <w:sz w:val="20"/>
        </w:rPr>
      </w:pPr>
      <w:r w:rsidRPr="003B74D0">
        <w:rPr>
          <w:rFonts w:ascii="Times New Roman" w:hAnsi="Times New Roman"/>
          <w:sz w:val="20"/>
        </w:rPr>
        <w:t xml:space="preserve">G. A. Covic and J. T. Boys, “Inductive Power Transfer,” </w:t>
      </w:r>
      <w:r w:rsidRPr="003B74D0">
        <w:rPr>
          <w:rFonts w:ascii="Times New Roman" w:hAnsi="Times New Roman"/>
          <w:i/>
          <w:sz w:val="20"/>
        </w:rPr>
        <w:t>Proc. IEEE</w:t>
      </w:r>
      <w:r w:rsidRPr="003B74D0">
        <w:rPr>
          <w:rFonts w:ascii="Times New Roman" w:hAnsi="Times New Roman"/>
          <w:sz w:val="20"/>
        </w:rPr>
        <w:t>, vol. 101, no. 6, pp. 1276–1289, Jun.</w:t>
      </w:r>
      <w:r w:rsidRPr="003B74D0">
        <w:rPr>
          <w:rFonts w:ascii="Times New Roman" w:hAnsi="Times New Roman"/>
          <w:spacing w:val="-8"/>
          <w:sz w:val="20"/>
        </w:rPr>
        <w:t xml:space="preserve"> </w:t>
      </w:r>
      <w:r w:rsidRPr="003B74D0">
        <w:rPr>
          <w:rFonts w:ascii="Times New Roman" w:hAnsi="Times New Roman"/>
          <w:sz w:val="20"/>
        </w:rPr>
        <w:t>2013.</w:t>
      </w:r>
    </w:p>
    <w:p w14:paraId="1A21D566" w14:textId="77777777" w:rsidR="0061679D" w:rsidRPr="003B74D0" w:rsidRDefault="0061679D" w:rsidP="003B74D0">
      <w:pPr>
        <w:pStyle w:val="ListParagraph"/>
        <w:widowControl w:val="0"/>
        <w:numPr>
          <w:ilvl w:val="0"/>
          <w:numId w:val="21"/>
        </w:numPr>
        <w:autoSpaceDE w:val="0"/>
        <w:autoSpaceDN w:val="0"/>
        <w:spacing w:after="0" w:line="240" w:lineRule="auto"/>
        <w:ind w:left="360" w:right="38" w:hanging="360"/>
        <w:contextualSpacing w:val="0"/>
        <w:jc w:val="both"/>
        <w:rPr>
          <w:rFonts w:ascii="Times New Roman" w:hAnsi="Times New Roman"/>
          <w:sz w:val="20"/>
        </w:rPr>
      </w:pPr>
      <w:r w:rsidRPr="003B74D0">
        <w:rPr>
          <w:rFonts w:ascii="Times New Roman" w:hAnsi="Times New Roman"/>
          <w:sz w:val="20"/>
        </w:rPr>
        <w:t xml:space="preserve">V. Prasanth, P. Bauer, and J. A. Ferreira, “A </w:t>
      </w:r>
      <w:r w:rsidRPr="003B74D0">
        <w:rPr>
          <w:rFonts w:ascii="Times New Roman" w:hAnsi="Times New Roman"/>
          <w:sz w:val="20"/>
        </w:rPr>
        <w:lastRenderedPageBreak/>
        <w:t xml:space="preserve">sectional matrix method for IPT coil shape optimization,” in </w:t>
      </w:r>
      <w:r w:rsidRPr="003B74D0">
        <w:rPr>
          <w:rFonts w:ascii="Times New Roman" w:hAnsi="Times New Roman"/>
          <w:i/>
          <w:sz w:val="20"/>
        </w:rPr>
        <w:t>2015 9th International Conference on Power Electronics and ECCE Asia (ICPE-ECCE Asia)</w:t>
      </w:r>
      <w:r w:rsidRPr="003B74D0">
        <w:rPr>
          <w:rFonts w:ascii="Times New Roman" w:hAnsi="Times New Roman"/>
          <w:sz w:val="20"/>
        </w:rPr>
        <w:t>, 2015, pp. 1684– 1691.</w:t>
      </w:r>
    </w:p>
    <w:p w14:paraId="1F047390" w14:textId="77777777" w:rsidR="0061679D" w:rsidRPr="003B74D0" w:rsidRDefault="0061679D" w:rsidP="003B74D0">
      <w:pPr>
        <w:pStyle w:val="ListParagraph"/>
        <w:widowControl w:val="0"/>
        <w:numPr>
          <w:ilvl w:val="0"/>
          <w:numId w:val="21"/>
        </w:numPr>
        <w:autoSpaceDE w:val="0"/>
        <w:autoSpaceDN w:val="0"/>
        <w:spacing w:after="0" w:line="240" w:lineRule="auto"/>
        <w:ind w:left="360" w:right="40" w:hanging="360"/>
        <w:contextualSpacing w:val="0"/>
        <w:jc w:val="both"/>
        <w:rPr>
          <w:rFonts w:ascii="Times New Roman" w:hAnsi="Times New Roman"/>
          <w:sz w:val="20"/>
        </w:rPr>
      </w:pPr>
      <w:r w:rsidRPr="003B74D0">
        <w:rPr>
          <w:rFonts w:ascii="Times New Roman" w:hAnsi="Times New Roman"/>
          <w:sz w:val="20"/>
        </w:rPr>
        <w:t xml:space="preserve">V. Prasanth, S. Bandyopadhyay, P. Bauer, and J. A. Ferreira, “Analysis and comparison of multi-coil inductive power transfer systems,” in </w:t>
      </w:r>
      <w:r w:rsidRPr="003B74D0">
        <w:rPr>
          <w:rFonts w:ascii="Times New Roman" w:hAnsi="Times New Roman"/>
          <w:i/>
          <w:sz w:val="20"/>
        </w:rPr>
        <w:t>2016 IEEE International Power Electronics and Motion Control Conference (PEMC)</w:t>
      </w:r>
      <w:r w:rsidRPr="003B74D0">
        <w:rPr>
          <w:rFonts w:ascii="Times New Roman" w:hAnsi="Times New Roman"/>
          <w:sz w:val="20"/>
        </w:rPr>
        <w:t>, 2016, pp.</w:t>
      </w:r>
      <w:r w:rsidRPr="003B74D0">
        <w:rPr>
          <w:rFonts w:ascii="Times New Roman" w:hAnsi="Times New Roman"/>
          <w:spacing w:val="-4"/>
          <w:sz w:val="20"/>
        </w:rPr>
        <w:t xml:space="preserve"> </w:t>
      </w:r>
      <w:r w:rsidRPr="003B74D0">
        <w:rPr>
          <w:rFonts w:ascii="Times New Roman" w:hAnsi="Times New Roman"/>
          <w:sz w:val="20"/>
        </w:rPr>
        <w:t>993–999.</w:t>
      </w:r>
    </w:p>
    <w:p w14:paraId="08D2160F" w14:textId="77777777" w:rsidR="0061679D" w:rsidRPr="003B74D0" w:rsidRDefault="0061679D" w:rsidP="003B74D0">
      <w:pPr>
        <w:pStyle w:val="ListParagraph"/>
        <w:widowControl w:val="0"/>
        <w:numPr>
          <w:ilvl w:val="0"/>
          <w:numId w:val="21"/>
        </w:numPr>
        <w:autoSpaceDE w:val="0"/>
        <w:autoSpaceDN w:val="0"/>
        <w:spacing w:after="0" w:line="240" w:lineRule="auto"/>
        <w:ind w:left="360" w:right="39" w:hanging="360"/>
        <w:contextualSpacing w:val="0"/>
        <w:jc w:val="both"/>
        <w:rPr>
          <w:rFonts w:ascii="Times New Roman" w:hAnsi="Times New Roman"/>
          <w:sz w:val="20"/>
        </w:rPr>
      </w:pPr>
      <w:r w:rsidRPr="003B74D0">
        <w:rPr>
          <w:rFonts w:ascii="Times New Roman" w:hAnsi="Times New Roman"/>
          <w:sz w:val="20"/>
        </w:rPr>
        <w:t>M. Budhia, G. A. Covic, and J. T. Boys, “Design and Optimization of Circular</w:t>
      </w:r>
      <w:r w:rsidRPr="003B74D0">
        <w:rPr>
          <w:rFonts w:ascii="Times New Roman" w:hAnsi="Times New Roman"/>
          <w:spacing w:val="8"/>
          <w:sz w:val="20"/>
        </w:rPr>
        <w:t xml:space="preserve"> </w:t>
      </w:r>
      <w:r w:rsidRPr="003B74D0">
        <w:rPr>
          <w:rFonts w:ascii="Times New Roman" w:hAnsi="Times New Roman"/>
          <w:sz w:val="20"/>
        </w:rPr>
        <w:t>Magnetic</w:t>
      </w:r>
      <w:r w:rsidRPr="003B74D0">
        <w:rPr>
          <w:rFonts w:ascii="Times New Roman" w:hAnsi="Times New Roman"/>
          <w:spacing w:val="8"/>
          <w:sz w:val="20"/>
        </w:rPr>
        <w:t xml:space="preserve"> </w:t>
      </w:r>
      <w:r w:rsidRPr="003B74D0">
        <w:rPr>
          <w:rFonts w:ascii="Times New Roman" w:hAnsi="Times New Roman"/>
          <w:sz w:val="20"/>
        </w:rPr>
        <w:t>Structures</w:t>
      </w:r>
      <w:r w:rsidRPr="003B74D0">
        <w:rPr>
          <w:rFonts w:ascii="Times New Roman" w:hAnsi="Times New Roman"/>
          <w:spacing w:val="8"/>
          <w:sz w:val="20"/>
        </w:rPr>
        <w:t xml:space="preserve"> </w:t>
      </w:r>
      <w:r w:rsidRPr="003B74D0">
        <w:rPr>
          <w:rFonts w:ascii="Times New Roman" w:hAnsi="Times New Roman"/>
          <w:sz w:val="20"/>
        </w:rPr>
        <w:t>for</w:t>
      </w:r>
      <w:r w:rsidRPr="003B74D0">
        <w:rPr>
          <w:rFonts w:ascii="Times New Roman" w:hAnsi="Times New Roman"/>
          <w:spacing w:val="7"/>
          <w:sz w:val="20"/>
        </w:rPr>
        <w:t xml:space="preserve"> </w:t>
      </w:r>
      <w:r w:rsidRPr="003B74D0">
        <w:rPr>
          <w:rFonts w:ascii="Times New Roman" w:hAnsi="Times New Roman"/>
          <w:sz w:val="20"/>
        </w:rPr>
        <w:t>Lumped</w:t>
      </w:r>
      <w:r w:rsidRPr="003B74D0">
        <w:rPr>
          <w:rFonts w:ascii="Times New Roman" w:hAnsi="Times New Roman"/>
          <w:spacing w:val="8"/>
          <w:sz w:val="20"/>
        </w:rPr>
        <w:t xml:space="preserve"> </w:t>
      </w:r>
      <w:r w:rsidRPr="003B74D0">
        <w:rPr>
          <w:rFonts w:ascii="Times New Roman" w:hAnsi="Times New Roman"/>
          <w:sz w:val="20"/>
        </w:rPr>
        <w:t>Inductive</w:t>
      </w:r>
      <w:r w:rsidRPr="003B74D0">
        <w:rPr>
          <w:rFonts w:ascii="Times New Roman" w:hAnsi="Times New Roman"/>
          <w:spacing w:val="9"/>
          <w:sz w:val="20"/>
        </w:rPr>
        <w:t xml:space="preserve"> </w:t>
      </w:r>
      <w:r w:rsidRPr="003B74D0">
        <w:rPr>
          <w:rFonts w:ascii="Times New Roman" w:hAnsi="Times New Roman"/>
          <w:sz w:val="20"/>
        </w:rPr>
        <w:t>Power</w:t>
      </w:r>
      <w:r w:rsidRPr="003B74D0">
        <w:rPr>
          <w:rFonts w:ascii="Times New Roman" w:hAnsi="Times New Roman"/>
          <w:spacing w:val="8"/>
          <w:sz w:val="20"/>
        </w:rPr>
        <w:t xml:space="preserve"> </w:t>
      </w:r>
      <w:r w:rsidRPr="003B74D0">
        <w:rPr>
          <w:rFonts w:ascii="Times New Roman" w:hAnsi="Times New Roman"/>
          <w:sz w:val="20"/>
        </w:rPr>
        <w:t xml:space="preserve">Transfer Systems,” </w:t>
      </w:r>
      <w:r w:rsidRPr="003B74D0">
        <w:rPr>
          <w:rFonts w:ascii="Times New Roman" w:hAnsi="Times New Roman"/>
          <w:i/>
          <w:sz w:val="20"/>
        </w:rPr>
        <w:t>IEEE Trans. Power Electron.</w:t>
      </w:r>
      <w:r w:rsidRPr="003B74D0">
        <w:rPr>
          <w:rFonts w:ascii="Times New Roman" w:hAnsi="Times New Roman"/>
          <w:sz w:val="20"/>
        </w:rPr>
        <w:t>, vol. 26, no. 11, pp. 3096–3108, Nov. 2011.</w:t>
      </w:r>
    </w:p>
    <w:p w14:paraId="7EA50082" w14:textId="77777777" w:rsidR="0061679D" w:rsidRPr="003B74D0" w:rsidRDefault="0061679D" w:rsidP="003B74D0">
      <w:pPr>
        <w:pStyle w:val="ListParagraph"/>
        <w:widowControl w:val="0"/>
        <w:numPr>
          <w:ilvl w:val="0"/>
          <w:numId w:val="21"/>
        </w:numPr>
        <w:autoSpaceDE w:val="0"/>
        <w:autoSpaceDN w:val="0"/>
        <w:spacing w:after="0" w:line="240" w:lineRule="auto"/>
        <w:ind w:left="360" w:right="173" w:hanging="360"/>
        <w:contextualSpacing w:val="0"/>
        <w:jc w:val="both"/>
        <w:rPr>
          <w:rFonts w:ascii="Times New Roman" w:hAnsi="Times New Roman"/>
          <w:sz w:val="20"/>
        </w:rPr>
      </w:pPr>
      <w:r w:rsidRPr="003B74D0">
        <w:rPr>
          <w:rFonts w:ascii="Times New Roman" w:hAnsi="Times New Roman"/>
          <w:sz w:val="20"/>
        </w:rPr>
        <w:t xml:space="preserve">R. Bosshard, U. </w:t>
      </w:r>
      <w:proofErr w:type="spellStart"/>
      <w:r w:rsidRPr="003B74D0">
        <w:rPr>
          <w:rFonts w:ascii="Times New Roman" w:hAnsi="Times New Roman"/>
          <w:sz w:val="20"/>
        </w:rPr>
        <w:t>Badstubner</w:t>
      </w:r>
      <w:proofErr w:type="spellEnd"/>
      <w:r w:rsidRPr="003B74D0">
        <w:rPr>
          <w:rFonts w:ascii="Times New Roman" w:hAnsi="Times New Roman"/>
          <w:sz w:val="20"/>
        </w:rPr>
        <w:t xml:space="preserve">, J. W. Kolar, and I. Stevanovic, “Comparative evaluation of control methods for Inductive Power Transfer,” in </w:t>
      </w:r>
      <w:r w:rsidRPr="003B74D0">
        <w:rPr>
          <w:rFonts w:ascii="Times New Roman" w:hAnsi="Times New Roman"/>
          <w:i/>
          <w:sz w:val="20"/>
        </w:rPr>
        <w:t>2012 International Conference on Renewable Energy Research and Applications (ICRERA)</w:t>
      </w:r>
      <w:r w:rsidRPr="003B74D0">
        <w:rPr>
          <w:rFonts w:ascii="Times New Roman" w:hAnsi="Times New Roman"/>
          <w:sz w:val="20"/>
        </w:rPr>
        <w:t>, 2012, pp.</w:t>
      </w:r>
      <w:r w:rsidRPr="003B74D0">
        <w:rPr>
          <w:rFonts w:ascii="Times New Roman" w:hAnsi="Times New Roman"/>
          <w:spacing w:val="-4"/>
          <w:sz w:val="20"/>
        </w:rPr>
        <w:t xml:space="preserve"> </w:t>
      </w:r>
      <w:r w:rsidRPr="003B74D0">
        <w:rPr>
          <w:rFonts w:ascii="Times New Roman" w:hAnsi="Times New Roman"/>
          <w:sz w:val="20"/>
        </w:rPr>
        <w:t>1–6.</w:t>
      </w:r>
    </w:p>
    <w:p w14:paraId="1B116ADF" w14:textId="77777777" w:rsidR="0061679D" w:rsidRPr="003B74D0" w:rsidRDefault="0061679D" w:rsidP="003B74D0">
      <w:pPr>
        <w:pStyle w:val="ListParagraph"/>
        <w:widowControl w:val="0"/>
        <w:numPr>
          <w:ilvl w:val="0"/>
          <w:numId w:val="21"/>
        </w:numPr>
        <w:autoSpaceDE w:val="0"/>
        <w:autoSpaceDN w:val="0"/>
        <w:spacing w:after="0" w:line="240" w:lineRule="auto"/>
        <w:ind w:left="360" w:right="171" w:hanging="360"/>
        <w:contextualSpacing w:val="0"/>
        <w:jc w:val="both"/>
        <w:rPr>
          <w:rFonts w:ascii="Times New Roman" w:hAnsi="Times New Roman"/>
          <w:sz w:val="20"/>
        </w:rPr>
      </w:pPr>
      <w:r w:rsidRPr="003B74D0">
        <w:rPr>
          <w:rFonts w:ascii="Times New Roman" w:hAnsi="Times New Roman"/>
          <w:sz w:val="20"/>
        </w:rPr>
        <w:t xml:space="preserve">D. </w:t>
      </w:r>
      <w:proofErr w:type="spellStart"/>
      <w:r w:rsidRPr="003B74D0">
        <w:rPr>
          <w:rFonts w:ascii="Times New Roman" w:hAnsi="Times New Roman"/>
          <w:sz w:val="20"/>
        </w:rPr>
        <w:t>Voglitsis</w:t>
      </w:r>
      <w:proofErr w:type="spellEnd"/>
      <w:r w:rsidRPr="003B74D0">
        <w:rPr>
          <w:rFonts w:ascii="Times New Roman" w:hAnsi="Times New Roman"/>
          <w:sz w:val="20"/>
        </w:rPr>
        <w:t xml:space="preserve">, V. Prasanth, T. </w:t>
      </w:r>
      <w:proofErr w:type="spellStart"/>
      <w:r w:rsidRPr="003B74D0">
        <w:rPr>
          <w:rFonts w:ascii="Times New Roman" w:hAnsi="Times New Roman"/>
          <w:sz w:val="20"/>
        </w:rPr>
        <w:t>Todorcevic</w:t>
      </w:r>
      <w:proofErr w:type="spellEnd"/>
      <w:r w:rsidRPr="003B74D0">
        <w:rPr>
          <w:rFonts w:ascii="Times New Roman" w:hAnsi="Times New Roman"/>
          <w:sz w:val="20"/>
        </w:rPr>
        <w:t>, and P. Bauer, “Theoretical analysis and experimental investigation of high</w:t>
      </w:r>
      <w:r w:rsidR="00C746FC" w:rsidRPr="003B74D0">
        <w:rPr>
          <w:rFonts w:ascii="Times New Roman" w:hAnsi="Times New Roman"/>
          <w:sz w:val="20"/>
        </w:rPr>
        <w:t>-</w:t>
      </w:r>
      <w:r w:rsidRPr="003B74D0">
        <w:rPr>
          <w:rFonts w:ascii="Times New Roman" w:hAnsi="Times New Roman"/>
          <w:sz w:val="20"/>
        </w:rPr>
        <w:t xml:space="preserve">frequency bidirectional CPT </w:t>
      </w:r>
      <w:r w:rsidRPr="003B74D0">
        <w:rPr>
          <w:rFonts w:ascii="Times New Roman" w:hAnsi="Times New Roman"/>
          <w:sz w:val="20"/>
        </w:rPr>
        <w:t xml:space="preserve">system,” in </w:t>
      </w:r>
      <w:r w:rsidRPr="003B74D0">
        <w:rPr>
          <w:rFonts w:ascii="Times New Roman" w:hAnsi="Times New Roman"/>
          <w:i/>
          <w:sz w:val="20"/>
        </w:rPr>
        <w:t>2014 IEEE Transportation Electrification Conference and Expo (ITEC)</w:t>
      </w:r>
      <w:r w:rsidRPr="003B74D0">
        <w:rPr>
          <w:rFonts w:ascii="Times New Roman" w:hAnsi="Times New Roman"/>
          <w:sz w:val="20"/>
        </w:rPr>
        <w:t>, 2014, pp.</w:t>
      </w:r>
      <w:r w:rsidRPr="003B74D0">
        <w:rPr>
          <w:rFonts w:ascii="Times New Roman" w:hAnsi="Times New Roman"/>
          <w:spacing w:val="-3"/>
          <w:sz w:val="20"/>
        </w:rPr>
        <w:t xml:space="preserve"> </w:t>
      </w:r>
      <w:r w:rsidRPr="003B74D0">
        <w:rPr>
          <w:rFonts w:ascii="Times New Roman" w:hAnsi="Times New Roman"/>
          <w:sz w:val="20"/>
        </w:rPr>
        <w:t>1–8.</w:t>
      </w:r>
    </w:p>
    <w:p w14:paraId="063DB95E" w14:textId="77777777" w:rsidR="0061679D" w:rsidRPr="003B74D0" w:rsidRDefault="0061679D" w:rsidP="003B74D0">
      <w:pPr>
        <w:pStyle w:val="ListParagraph"/>
        <w:widowControl w:val="0"/>
        <w:numPr>
          <w:ilvl w:val="0"/>
          <w:numId w:val="21"/>
        </w:numPr>
        <w:autoSpaceDE w:val="0"/>
        <w:autoSpaceDN w:val="0"/>
        <w:spacing w:after="0" w:line="240" w:lineRule="auto"/>
        <w:ind w:left="360" w:right="171" w:hanging="360"/>
        <w:contextualSpacing w:val="0"/>
        <w:jc w:val="both"/>
        <w:rPr>
          <w:rFonts w:ascii="Times New Roman" w:hAnsi="Times New Roman"/>
          <w:sz w:val="20"/>
        </w:rPr>
      </w:pPr>
      <w:r w:rsidRPr="003B74D0">
        <w:rPr>
          <w:rFonts w:ascii="Times New Roman" w:hAnsi="Times New Roman"/>
          <w:sz w:val="20"/>
        </w:rPr>
        <w:t xml:space="preserve">D. </w:t>
      </w:r>
      <w:proofErr w:type="spellStart"/>
      <w:r w:rsidRPr="003B74D0">
        <w:rPr>
          <w:rFonts w:ascii="Times New Roman" w:hAnsi="Times New Roman"/>
          <w:sz w:val="20"/>
        </w:rPr>
        <w:t>Voglitsis</w:t>
      </w:r>
      <w:proofErr w:type="spellEnd"/>
      <w:r w:rsidRPr="003B74D0">
        <w:rPr>
          <w:rFonts w:ascii="Times New Roman" w:hAnsi="Times New Roman"/>
          <w:sz w:val="20"/>
        </w:rPr>
        <w:t xml:space="preserve">, T. </w:t>
      </w:r>
      <w:proofErr w:type="spellStart"/>
      <w:r w:rsidRPr="003B74D0">
        <w:rPr>
          <w:rFonts w:ascii="Times New Roman" w:hAnsi="Times New Roman"/>
          <w:sz w:val="20"/>
        </w:rPr>
        <w:t>Todorcevic</w:t>
      </w:r>
      <w:proofErr w:type="spellEnd"/>
      <w:r w:rsidRPr="003B74D0">
        <w:rPr>
          <w:rFonts w:ascii="Times New Roman" w:hAnsi="Times New Roman"/>
          <w:sz w:val="20"/>
        </w:rPr>
        <w:t xml:space="preserve">, V. Prasanth, and P. Bauer, “Loss model and control stability of bidirectional LCL-IPT system,” in </w:t>
      </w:r>
      <w:r w:rsidRPr="003B74D0">
        <w:rPr>
          <w:rFonts w:ascii="Times New Roman" w:hAnsi="Times New Roman"/>
          <w:i/>
          <w:sz w:val="20"/>
        </w:rPr>
        <w:t>2014 4th International Electric Drives Production Conference (EDPC)</w:t>
      </w:r>
      <w:r w:rsidRPr="003B74D0">
        <w:rPr>
          <w:rFonts w:ascii="Times New Roman" w:hAnsi="Times New Roman"/>
          <w:sz w:val="20"/>
        </w:rPr>
        <w:t>, 2014, pp. 1–8.</w:t>
      </w:r>
    </w:p>
    <w:p w14:paraId="08FD0226" w14:textId="77777777" w:rsidR="0061679D" w:rsidRPr="003B74D0" w:rsidRDefault="0061679D" w:rsidP="003B74D0">
      <w:pPr>
        <w:pStyle w:val="ListParagraph"/>
        <w:widowControl w:val="0"/>
        <w:numPr>
          <w:ilvl w:val="0"/>
          <w:numId w:val="21"/>
        </w:numPr>
        <w:autoSpaceDE w:val="0"/>
        <w:autoSpaceDN w:val="0"/>
        <w:spacing w:after="0" w:line="240" w:lineRule="auto"/>
        <w:ind w:left="360" w:right="172" w:hanging="360"/>
        <w:contextualSpacing w:val="0"/>
        <w:jc w:val="both"/>
        <w:rPr>
          <w:rFonts w:ascii="Times New Roman" w:hAnsi="Times New Roman"/>
          <w:sz w:val="20"/>
        </w:rPr>
      </w:pPr>
      <w:r w:rsidRPr="003B74D0">
        <w:rPr>
          <w:rFonts w:ascii="Times New Roman" w:hAnsi="Times New Roman"/>
          <w:sz w:val="20"/>
        </w:rPr>
        <w:t xml:space="preserve">T.-E. E. Stamati and P. Bauer, “On-road charging of electric vehicles,” in </w:t>
      </w:r>
      <w:r w:rsidRPr="003B74D0">
        <w:rPr>
          <w:rFonts w:ascii="Times New Roman" w:hAnsi="Times New Roman"/>
          <w:i/>
          <w:sz w:val="20"/>
        </w:rPr>
        <w:t>2013 IEEE Transportation Electrification Conference and Expo (ITEC)</w:t>
      </w:r>
      <w:r w:rsidRPr="003B74D0">
        <w:rPr>
          <w:rFonts w:ascii="Times New Roman" w:hAnsi="Times New Roman"/>
          <w:sz w:val="20"/>
        </w:rPr>
        <w:t>, 2013, pp.</w:t>
      </w:r>
      <w:r w:rsidRPr="003B74D0">
        <w:rPr>
          <w:rFonts w:ascii="Times New Roman" w:hAnsi="Times New Roman"/>
          <w:spacing w:val="-3"/>
          <w:sz w:val="20"/>
        </w:rPr>
        <w:t xml:space="preserve"> </w:t>
      </w:r>
      <w:r w:rsidRPr="003B74D0">
        <w:rPr>
          <w:rFonts w:ascii="Times New Roman" w:hAnsi="Times New Roman"/>
          <w:sz w:val="20"/>
        </w:rPr>
        <w:t>1–8.</w:t>
      </w:r>
    </w:p>
    <w:p w14:paraId="6D482BB7" w14:textId="77777777" w:rsidR="0061679D" w:rsidRPr="003B74D0" w:rsidRDefault="0061679D" w:rsidP="003B74D0">
      <w:pPr>
        <w:pStyle w:val="ListParagraph"/>
        <w:widowControl w:val="0"/>
        <w:numPr>
          <w:ilvl w:val="0"/>
          <w:numId w:val="21"/>
        </w:numPr>
        <w:autoSpaceDE w:val="0"/>
        <w:autoSpaceDN w:val="0"/>
        <w:spacing w:after="0" w:line="240" w:lineRule="auto"/>
        <w:ind w:left="360" w:right="171" w:hanging="360"/>
        <w:contextualSpacing w:val="0"/>
        <w:jc w:val="both"/>
        <w:rPr>
          <w:rFonts w:ascii="Times New Roman" w:hAnsi="Times New Roman"/>
          <w:sz w:val="20"/>
        </w:rPr>
      </w:pPr>
      <w:r w:rsidRPr="003B74D0">
        <w:rPr>
          <w:rFonts w:ascii="Times New Roman" w:hAnsi="Times New Roman"/>
          <w:sz w:val="20"/>
        </w:rPr>
        <w:t xml:space="preserve">V. Prasanth, N. Scheele, E. Visser, A. Shekhar, G. R. C. Mouli, P. Bauer, and S. </w:t>
      </w:r>
      <w:proofErr w:type="spellStart"/>
      <w:r w:rsidRPr="003B74D0">
        <w:rPr>
          <w:rFonts w:ascii="Times New Roman" w:hAnsi="Times New Roman"/>
          <w:sz w:val="20"/>
        </w:rPr>
        <w:t>Silvestser</w:t>
      </w:r>
      <w:proofErr w:type="spellEnd"/>
      <w:r w:rsidRPr="003B74D0">
        <w:rPr>
          <w:rFonts w:ascii="Times New Roman" w:hAnsi="Times New Roman"/>
          <w:sz w:val="20"/>
        </w:rPr>
        <w:t xml:space="preserve">, “Green energy based inductive Self-Healing highways of the future,” in </w:t>
      </w:r>
      <w:r w:rsidRPr="003B74D0">
        <w:rPr>
          <w:rFonts w:ascii="Times New Roman" w:hAnsi="Times New Roman"/>
          <w:i/>
          <w:sz w:val="20"/>
        </w:rPr>
        <w:t>2016 IEEE Transportation Electrification Conference and Expo (ITEC)</w:t>
      </w:r>
      <w:r w:rsidRPr="003B74D0">
        <w:rPr>
          <w:rFonts w:ascii="Times New Roman" w:hAnsi="Times New Roman"/>
          <w:sz w:val="20"/>
        </w:rPr>
        <w:t>, 2016, pp.</w:t>
      </w:r>
      <w:r w:rsidRPr="003B74D0">
        <w:rPr>
          <w:rFonts w:ascii="Times New Roman" w:hAnsi="Times New Roman"/>
          <w:spacing w:val="-4"/>
          <w:sz w:val="20"/>
        </w:rPr>
        <w:t xml:space="preserve"> </w:t>
      </w:r>
      <w:r w:rsidRPr="003B74D0">
        <w:rPr>
          <w:rFonts w:ascii="Times New Roman" w:hAnsi="Times New Roman"/>
          <w:sz w:val="20"/>
        </w:rPr>
        <w:t>1–8.</w:t>
      </w:r>
    </w:p>
    <w:p w14:paraId="638CA9A2" w14:textId="77777777" w:rsidR="004E43E1" w:rsidRPr="003B74D0" w:rsidRDefault="0061679D" w:rsidP="003B74D0">
      <w:pPr>
        <w:pStyle w:val="ListParagraph"/>
        <w:widowControl w:val="0"/>
        <w:numPr>
          <w:ilvl w:val="0"/>
          <w:numId w:val="21"/>
        </w:numPr>
        <w:autoSpaceDE w:val="0"/>
        <w:autoSpaceDN w:val="0"/>
        <w:spacing w:after="0" w:line="240" w:lineRule="auto"/>
        <w:ind w:left="360" w:right="172" w:hanging="360"/>
        <w:contextualSpacing w:val="0"/>
        <w:jc w:val="both"/>
        <w:rPr>
          <w:rFonts w:ascii="Times New Roman" w:hAnsi="Times New Roman"/>
          <w:sz w:val="20"/>
        </w:rPr>
        <w:sectPr w:rsidR="004E43E1" w:rsidRPr="003B74D0" w:rsidSect="000A0969">
          <w:type w:val="continuous"/>
          <w:pgSz w:w="11900" w:h="16840"/>
          <w:pgMar w:top="1440" w:right="1080" w:bottom="1440" w:left="1080" w:header="709" w:footer="709" w:gutter="0"/>
          <w:cols w:num="2" w:space="720"/>
          <w:docGrid w:linePitch="326"/>
        </w:sectPr>
      </w:pPr>
      <w:r w:rsidRPr="003B74D0">
        <w:rPr>
          <w:rFonts w:ascii="Times New Roman" w:hAnsi="Times New Roman"/>
          <w:sz w:val="20"/>
        </w:rPr>
        <w:t xml:space="preserve">J. R. E. G. Prazeres, V. Prasanth, and P. Bauer, “Multi-coil multi-frequency inductive power transfer,” in </w:t>
      </w:r>
      <w:r w:rsidRPr="003B74D0">
        <w:rPr>
          <w:rFonts w:ascii="Times New Roman" w:hAnsi="Times New Roman"/>
          <w:i/>
          <w:sz w:val="20"/>
        </w:rPr>
        <w:t>2015 IEEE Transportation Electrification Conference and Expo (ITEC)</w:t>
      </w:r>
      <w:r w:rsidRPr="003B74D0">
        <w:rPr>
          <w:rFonts w:ascii="Times New Roman" w:hAnsi="Times New Roman"/>
          <w:sz w:val="20"/>
        </w:rPr>
        <w:t>, 2015, pp.</w:t>
      </w:r>
      <w:r w:rsidRPr="003B74D0">
        <w:rPr>
          <w:rFonts w:ascii="Times New Roman" w:hAnsi="Times New Roman"/>
          <w:spacing w:val="-6"/>
          <w:sz w:val="20"/>
        </w:rPr>
        <w:t xml:space="preserve"> </w:t>
      </w:r>
      <w:r w:rsidRPr="003B74D0">
        <w:rPr>
          <w:rFonts w:ascii="Times New Roman" w:hAnsi="Times New Roman"/>
          <w:sz w:val="20"/>
        </w:rPr>
        <w:t>1–</w:t>
      </w:r>
    </w:p>
    <w:p w14:paraId="04C2095D" w14:textId="77777777" w:rsidR="00A449A0" w:rsidRPr="003B74D0" w:rsidRDefault="0061679D" w:rsidP="003B74D0">
      <w:pPr>
        <w:pStyle w:val="ListParagraph"/>
        <w:widowControl w:val="0"/>
        <w:numPr>
          <w:ilvl w:val="0"/>
          <w:numId w:val="21"/>
        </w:numPr>
        <w:autoSpaceDE w:val="0"/>
        <w:autoSpaceDN w:val="0"/>
        <w:spacing w:after="0" w:line="240" w:lineRule="auto"/>
        <w:ind w:left="360" w:right="172" w:hanging="360"/>
        <w:contextualSpacing w:val="0"/>
        <w:jc w:val="both"/>
        <w:rPr>
          <w:rFonts w:ascii="Times New Roman" w:hAnsi="Times New Roman"/>
          <w:sz w:val="20"/>
        </w:rPr>
      </w:pPr>
      <w:r w:rsidRPr="003B74D0">
        <w:rPr>
          <w:rFonts w:ascii="Times New Roman" w:hAnsi="Times New Roman"/>
          <w:sz w:val="20"/>
        </w:rPr>
        <w:t>8.</w:t>
      </w:r>
    </w:p>
    <w:sectPr w:rsidR="00A449A0" w:rsidRPr="003B74D0" w:rsidSect="000A0969">
      <w:type w:val="continuous"/>
      <w:pgSz w:w="11900" w:h="16840"/>
      <w:pgMar w:top="1440" w:right="1080" w:bottom="1440" w:left="108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CF45D" w14:textId="77777777" w:rsidR="002B2C2B" w:rsidRDefault="002B2C2B">
      <w:r>
        <w:separator/>
      </w:r>
    </w:p>
  </w:endnote>
  <w:endnote w:type="continuationSeparator" w:id="0">
    <w:p w14:paraId="502A1B3A" w14:textId="77777777" w:rsidR="002B2C2B" w:rsidRDefault="002B2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charset w:val="00"/>
    <w:family w:val="auto"/>
    <w:pitch w:val="default"/>
    <w:sig w:usb0="00000003" w:usb1="08070000" w:usb2="00000010" w:usb3="00000000" w:csb0="00020001" w:csb1="00000000"/>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8124797"/>
      <w:docPartObj>
        <w:docPartGallery w:val="Page Numbers (Bottom of Page)"/>
        <w:docPartUnique/>
      </w:docPartObj>
    </w:sdtPr>
    <w:sdtEndPr>
      <w:rPr>
        <w:noProof/>
      </w:rPr>
    </w:sdtEndPr>
    <w:sdtContent>
      <w:p w14:paraId="7ADDDA73" w14:textId="77777777" w:rsidR="00B979B2" w:rsidRDefault="0040341A">
        <w:pPr>
          <w:pStyle w:val="Footer"/>
          <w:jc w:val="right"/>
        </w:pPr>
        <w:r>
          <w:fldChar w:fldCharType="begin"/>
        </w:r>
        <w:r w:rsidR="00FF10A1">
          <w:instrText xml:space="preserve"> PAGE   \* MERGEFORMAT </w:instrText>
        </w:r>
        <w:r>
          <w:fldChar w:fldCharType="separate"/>
        </w:r>
        <w:r w:rsidR="00D32E36">
          <w:rPr>
            <w:noProof/>
          </w:rPr>
          <w:t>1</w:t>
        </w:r>
        <w:r>
          <w:rPr>
            <w:noProof/>
          </w:rPr>
          <w:fldChar w:fldCharType="end"/>
        </w:r>
      </w:p>
    </w:sdtContent>
  </w:sdt>
  <w:p w14:paraId="2C12666A" w14:textId="77777777" w:rsidR="00B979B2" w:rsidRDefault="00B97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33280" w14:textId="77777777" w:rsidR="002B2C2B" w:rsidRDefault="002B2C2B">
      <w:r>
        <w:separator/>
      </w:r>
    </w:p>
  </w:footnote>
  <w:footnote w:type="continuationSeparator" w:id="0">
    <w:p w14:paraId="5F93AD1C" w14:textId="77777777" w:rsidR="002B2C2B" w:rsidRDefault="002B2C2B">
      <w:r>
        <w:continuationSeparator/>
      </w:r>
    </w:p>
  </w:footnote>
  <w:footnote w:type="continuationNotice" w:id="1">
    <w:p w14:paraId="1D1FB0DA" w14:textId="77777777" w:rsidR="002B2C2B" w:rsidRDefault="002B2C2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810E1"/>
    <w:multiLevelType w:val="hybridMultilevel"/>
    <w:tmpl w:val="5B401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A168A"/>
    <w:multiLevelType w:val="hybridMultilevel"/>
    <w:tmpl w:val="AFF6F548"/>
    <w:styleLink w:val="ImportedStyle1"/>
    <w:lvl w:ilvl="0" w:tplc="95B271B0">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E49861D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rPr>
    </w:lvl>
    <w:lvl w:ilvl="2" w:tplc="50EA955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rPr>
    </w:lvl>
    <w:lvl w:ilvl="3" w:tplc="4CB419E8">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23525B4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rPr>
    </w:lvl>
    <w:lvl w:ilvl="5" w:tplc="2698E08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rPr>
    </w:lvl>
    <w:lvl w:ilvl="6" w:tplc="BE020AE0">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8438F57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rPr>
    </w:lvl>
    <w:lvl w:ilvl="8" w:tplc="1F9C068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2" w15:restartNumberingAfterBreak="0">
    <w:nsid w:val="05774E3F"/>
    <w:multiLevelType w:val="multilevel"/>
    <w:tmpl w:val="CAD0476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8332F02"/>
    <w:multiLevelType w:val="multilevel"/>
    <w:tmpl w:val="7598BA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A42C41"/>
    <w:multiLevelType w:val="hybridMultilevel"/>
    <w:tmpl w:val="8ACE6E02"/>
    <w:lvl w:ilvl="0" w:tplc="A6905540">
      <w:start w:val="1"/>
      <w:numFmt w:val="decimal"/>
      <w:lvlText w:val="[%1]"/>
      <w:lvlJc w:val="left"/>
      <w:pPr>
        <w:ind w:left="472" w:hanging="358"/>
        <w:jc w:val="left"/>
      </w:pPr>
      <w:rPr>
        <w:rFonts w:ascii="Times New Roman" w:eastAsia="Times New Roman" w:hAnsi="Times New Roman" w:cs="Times New Roman" w:hint="default"/>
        <w:b/>
        <w:w w:val="99"/>
        <w:sz w:val="20"/>
        <w:szCs w:val="20"/>
        <w:lang w:val="en-US" w:eastAsia="en-US" w:bidi="ar-SA"/>
      </w:rPr>
    </w:lvl>
    <w:lvl w:ilvl="1" w:tplc="13F02FA2">
      <w:numFmt w:val="bullet"/>
      <w:lvlText w:val="•"/>
      <w:lvlJc w:val="left"/>
      <w:pPr>
        <w:ind w:left="951" w:hanging="358"/>
      </w:pPr>
      <w:rPr>
        <w:rFonts w:hint="default"/>
        <w:lang w:val="en-US" w:eastAsia="en-US" w:bidi="ar-SA"/>
      </w:rPr>
    </w:lvl>
    <w:lvl w:ilvl="2" w:tplc="E9D8C808">
      <w:numFmt w:val="bullet"/>
      <w:lvlText w:val="•"/>
      <w:lvlJc w:val="left"/>
      <w:pPr>
        <w:ind w:left="1423" w:hanging="358"/>
      </w:pPr>
      <w:rPr>
        <w:rFonts w:hint="default"/>
        <w:lang w:val="en-US" w:eastAsia="en-US" w:bidi="ar-SA"/>
      </w:rPr>
    </w:lvl>
    <w:lvl w:ilvl="3" w:tplc="5C44F124">
      <w:numFmt w:val="bullet"/>
      <w:lvlText w:val="•"/>
      <w:lvlJc w:val="left"/>
      <w:pPr>
        <w:ind w:left="1895" w:hanging="358"/>
      </w:pPr>
      <w:rPr>
        <w:rFonts w:hint="default"/>
        <w:lang w:val="en-US" w:eastAsia="en-US" w:bidi="ar-SA"/>
      </w:rPr>
    </w:lvl>
    <w:lvl w:ilvl="4" w:tplc="BB460D18">
      <w:numFmt w:val="bullet"/>
      <w:lvlText w:val="•"/>
      <w:lvlJc w:val="left"/>
      <w:pPr>
        <w:ind w:left="2367" w:hanging="358"/>
      </w:pPr>
      <w:rPr>
        <w:rFonts w:hint="default"/>
        <w:lang w:val="en-US" w:eastAsia="en-US" w:bidi="ar-SA"/>
      </w:rPr>
    </w:lvl>
    <w:lvl w:ilvl="5" w:tplc="A88209FC">
      <w:numFmt w:val="bullet"/>
      <w:lvlText w:val="•"/>
      <w:lvlJc w:val="left"/>
      <w:pPr>
        <w:ind w:left="2838" w:hanging="358"/>
      </w:pPr>
      <w:rPr>
        <w:rFonts w:hint="default"/>
        <w:lang w:val="en-US" w:eastAsia="en-US" w:bidi="ar-SA"/>
      </w:rPr>
    </w:lvl>
    <w:lvl w:ilvl="6" w:tplc="6D5E293C">
      <w:numFmt w:val="bullet"/>
      <w:lvlText w:val="•"/>
      <w:lvlJc w:val="left"/>
      <w:pPr>
        <w:ind w:left="3310" w:hanging="358"/>
      </w:pPr>
      <w:rPr>
        <w:rFonts w:hint="default"/>
        <w:lang w:val="en-US" w:eastAsia="en-US" w:bidi="ar-SA"/>
      </w:rPr>
    </w:lvl>
    <w:lvl w:ilvl="7" w:tplc="52EEF324">
      <w:numFmt w:val="bullet"/>
      <w:lvlText w:val="•"/>
      <w:lvlJc w:val="left"/>
      <w:pPr>
        <w:ind w:left="3782" w:hanging="358"/>
      </w:pPr>
      <w:rPr>
        <w:rFonts w:hint="default"/>
        <w:lang w:val="en-US" w:eastAsia="en-US" w:bidi="ar-SA"/>
      </w:rPr>
    </w:lvl>
    <w:lvl w:ilvl="8" w:tplc="3B50F768">
      <w:numFmt w:val="bullet"/>
      <w:lvlText w:val="•"/>
      <w:lvlJc w:val="left"/>
      <w:pPr>
        <w:ind w:left="4254" w:hanging="358"/>
      </w:pPr>
      <w:rPr>
        <w:rFonts w:hint="default"/>
        <w:lang w:val="en-US" w:eastAsia="en-US" w:bidi="ar-SA"/>
      </w:rPr>
    </w:lvl>
  </w:abstractNum>
  <w:abstractNum w:abstractNumId="5" w15:restartNumberingAfterBreak="0">
    <w:nsid w:val="14D90111"/>
    <w:multiLevelType w:val="hybridMultilevel"/>
    <w:tmpl w:val="42F2A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B254D1"/>
    <w:multiLevelType w:val="hybridMultilevel"/>
    <w:tmpl w:val="E932B7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0953C3"/>
    <w:multiLevelType w:val="hybridMultilevel"/>
    <w:tmpl w:val="4CC48CBA"/>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1B360C37"/>
    <w:multiLevelType w:val="hybridMultilevel"/>
    <w:tmpl w:val="D264C8F8"/>
    <w:lvl w:ilvl="0" w:tplc="9ECA4F5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DB0287B"/>
    <w:multiLevelType w:val="multilevel"/>
    <w:tmpl w:val="C30C44F2"/>
    <w:lvl w:ilvl="0">
      <w:start w:val="1"/>
      <w:numFmt w:val="decimal"/>
      <w:lvlText w:val="%1."/>
      <w:lvlJc w:val="left"/>
      <w:pPr>
        <w:ind w:left="857" w:hanging="360"/>
      </w:pPr>
    </w:lvl>
    <w:lvl w:ilvl="1">
      <w:start w:val="1"/>
      <w:numFmt w:val="decimal"/>
      <w:isLgl/>
      <w:lvlText w:val="%1.%2"/>
      <w:lvlJc w:val="left"/>
      <w:pPr>
        <w:ind w:left="857" w:hanging="360"/>
      </w:pPr>
      <w:rPr>
        <w:rFonts w:eastAsia="TimesNewRomanPSMT" w:hint="default"/>
      </w:rPr>
    </w:lvl>
    <w:lvl w:ilvl="2">
      <w:start w:val="1"/>
      <w:numFmt w:val="decimal"/>
      <w:isLgl/>
      <w:lvlText w:val="%1.%2.%3"/>
      <w:lvlJc w:val="left"/>
      <w:pPr>
        <w:ind w:left="1217" w:hanging="720"/>
      </w:pPr>
      <w:rPr>
        <w:rFonts w:eastAsia="TimesNewRomanPSMT" w:hint="default"/>
      </w:rPr>
    </w:lvl>
    <w:lvl w:ilvl="3">
      <w:start w:val="1"/>
      <w:numFmt w:val="decimal"/>
      <w:isLgl/>
      <w:lvlText w:val="%1.%2.%3.%4"/>
      <w:lvlJc w:val="left"/>
      <w:pPr>
        <w:ind w:left="1217" w:hanging="720"/>
      </w:pPr>
      <w:rPr>
        <w:rFonts w:eastAsia="TimesNewRomanPSMT" w:hint="default"/>
      </w:rPr>
    </w:lvl>
    <w:lvl w:ilvl="4">
      <w:start w:val="1"/>
      <w:numFmt w:val="decimal"/>
      <w:isLgl/>
      <w:lvlText w:val="%1.%2.%3.%4.%5"/>
      <w:lvlJc w:val="left"/>
      <w:pPr>
        <w:ind w:left="1577" w:hanging="1080"/>
      </w:pPr>
      <w:rPr>
        <w:rFonts w:eastAsia="TimesNewRomanPSMT" w:hint="default"/>
      </w:rPr>
    </w:lvl>
    <w:lvl w:ilvl="5">
      <w:start w:val="1"/>
      <w:numFmt w:val="decimal"/>
      <w:isLgl/>
      <w:lvlText w:val="%1.%2.%3.%4.%5.%6"/>
      <w:lvlJc w:val="left"/>
      <w:pPr>
        <w:ind w:left="1577" w:hanging="1080"/>
      </w:pPr>
      <w:rPr>
        <w:rFonts w:eastAsia="TimesNewRomanPSMT" w:hint="default"/>
      </w:rPr>
    </w:lvl>
    <w:lvl w:ilvl="6">
      <w:start w:val="1"/>
      <w:numFmt w:val="decimal"/>
      <w:isLgl/>
      <w:lvlText w:val="%1.%2.%3.%4.%5.%6.%7"/>
      <w:lvlJc w:val="left"/>
      <w:pPr>
        <w:ind w:left="1937" w:hanging="1440"/>
      </w:pPr>
      <w:rPr>
        <w:rFonts w:eastAsia="TimesNewRomanPSMT" w:hint="default"/>
      </w:rPr>
    </w:lvl>
    <w:lvl w:ilvl="7">
      <w:start w:val="1"/>
      <w:numFmt w:val="decimal"/>
      <w:isLgl/>
      <w:lvlText w:val="%1.%2.%3.%4.%5.%6.%7.%8"/>
      <w:lvlJc w:val="left"/>
      <w:pPr>
        <w:ind w:left="1937" w:hanging="1440"/>
      </w:pPr>
      <w:rPr>
        <w:rFonts w:eastAsia="TimesNewRomanPSMT" w:hint="default"/>
      </w:rPr>
    </w:lvl>
    <w:lvl w:ilvl="8">
      <w:start w:val="1"/>
      <w:numFmt w:val="decimal"/>
      <w:isLgl/>
      <w:lvlText w:val="%1.%2.%3.%4.%5.%6.%7.%8.%9"/>
      <w:lvlJc w:val="left"/>
      <w:pPr>
        <w:ind w:left="1937" w:hanging="1440"/>
      </w:pPr>
      <w:rPr>
        <w:rFonts w:eastAsia="TimesNewRomanPSMT" w:hint="default"/>
      </w:rPr>
    </w:lvl>
  </w:abstractNum>
  <w:abstractNum w:abstractNumId="10" w15:restartNumberingAfterBreak="0">
    <w:nsid w:val="1E916509"/>
    <w:multiLevelType w:val="multilevel"/>
    <w:tmpl w:val="B6B82C7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E274F23"/>
    <w:multiLevelType w:val="hybridMultilevel"/>
    <w:tmpl w:val="64B04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B5015"/>
    <w:multiLevelType w:val="multilevel"/>
    <w:tmpl w:val="FBCED9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081517F"/>
    <w:multiLevelType w:val="hybridMultilevel"/>
    <w:tmpl w:val="AFF6F548"/>
    <w:numStyleLink w:val="ImportedStyle1"/>
  </w:abstractNum>
  <w:abstractNum w:abstractNumId="14" w15:restartNumberingAfterBreak="0">
    <w:nsid w:val="48CC729C"/>
    <w:multiLevelType w:val="hybridMultilevel"/>
    <w:tmpl w:val="506CAC66"/>
    <w:lvl w:ilvl="0" w:tplc="C6D21B3E">
      <w:start w:val="1"/>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6923D7"/>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1B46F90"/>
    <w:multiLevelType w:val="hybridMultilevel"/>
    <w:tmpl w:val="4836BE3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EC437E"/>
    <w:multiLevelType w:val="multilevel"/>
    <w:tmpl w:val="EA8E098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3D350E3"/>
    <w:multiLevelType w:val="hybridMultilevel"/>
    <w:tmpl w:val="92A09C30"/>
    <w:lvl w:ilvl="0" w:tplc="77CC6AF2">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7631E9C"/>
    <w:multiLevelType w:val="hybridMultilevel"/>
    <w:tmpl w:val="1FAC5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077400"/>
    <w:multiLevelType w:val="hybridMultilevel"/>
    <w:tmpl w:val="EF3C8B64"/>
    <w:lvl w:ilvl="0" w:tplc="4009000F">
      <w:start w:val="1"/>
      <w:numFmt w:val="decimal"/>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21" w15:restartNumberingAfterBreak="0">
    <w:nsid w:val="69505DF9"/>
    <w:multiLevelType w:val="hybridMultilevel"/>
    <w:tmpl w:val="48BA8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712830"/>
    <w:multiLevelType w:val="multilevel"/>
    <w:tmpl w:val="F552CC34"/>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3" w15:restartNumberingAfterBreak="0">
    <w:nsid w:val="6EC24CB8"/>
    <w:multiLevelType w:val="hybridMultilevel"/>
    <w:tmpl w:val="2A4E5164"/>
    <w:lvl w:ilvl="0" w:tplc="8130B6F2">
      <w:start w:val="1"/>
      <w:numFmt w:val="lowerLetter"/>
      <w:lvlText w:val="%1)"/>
      <w:lvlJc w:val="left"/>
      <w:pPr>
        <w:ind w:left="900" w:hanging="360"/>
      </w:pPr>
      <w:rPr>
        <w:rFonts w:hint="default"/>
      </w:rPr>
    </w:lvl>
    <w:lvl w:ilvl="1" w:tplc="0484B8BC">
      <w:start w:val="2"/>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0639098">
    <w:abstractNumId w:val="1"/>
  </w:num>
  <w:num w:numId="2" w16cid:durableId="472869932">
    <w:abstractNumId w:val="13"/>
  </w:num>
  <w:num w:numId="3" w16cid:durableId="1549418578">
    <w:abstractNumId w:val="19"/>
  </w:num>
  <w:num w:numId="4" w16cid:durableId="857696003">
    <w:abstractNumId w:val="17"/>
  </w:num>
  <w:num w:numId="5" w16cid:durableId="1025593120">
    <w:abstractNumId w:val="3"/>
  </w:num>
  <w:num w:numId="6" w16cid:durableId="1827090356">
    <w:abstractNumId w:val="22"/>
  </w:num>
  <w:num w:numId="7" w16cid:durableId="1931235181">
    <w:abstractNumId w:val="10"/>
  </w:num>
  <w:num w:numId="8" w16cid:durableId="1684937644">
    <w:abstractNumId w:val="21"/>
  </w:num>
  <w:num w:numId="9" w16cid:durableId="385957447">
    <w:abstractNumId w:val="7"/>
  </w:num>
  <w:num w:numId="10" w16cid:durableId="1189872029">
    <w:abstractNumId w:val="23"/>
  </w:num>
  <w:num w:numId="11" w16cid:durableId="604584103">
    <w:abstractNumId w:val="14"/>
  </w:num>
  <w:num w:numId="12" w16cid:durableId="64841112">
    <w:abstractNumId w:val="12"/>
  </w:num>
  <w:num w:numId="13" w16cid:durableId="1351296761">
    <w:abstractNumId w:val="16"/>
  </w:num>
  <w:num w:numId="14" w16cid:durableId="1542741702">
    <w:abstractNumId w:val="6"/>
  </w:num>
  <w:num w:numId="15" w16cid:durableId="306974317">
    <w:abstractNumId w:val="2"/>
  </w:num>
  <w:num w:numId="16" w16cid:durableId="2114744699">
    <w:abstractNumId w:val="8"/>
  </w:num>
  <w:num w:numId="17" w16cid:durableId="1617831733">
    <w:abstractNumId w:val="9"/>
  </w:num>
  <w:num w:numId="18" w16cid:durableId="737360088">
    <w:abstractNumId w:val="20"/>
  </w:num>
  <w:num w:numId="19" w16cid:durableId="718481809">
    <w:abstractNumId w:val="18"/>
  </w:num>
  <w:num w:numId="20" w16cid:durableId="1816023394">
    <w:abstractNumId w:val="15"/>
  </w:num>
  <w:num w:numId="21" w16cid:durableId="1092551930">
    <w:abstractNumId w:val="4"/>
  </w:num>
  <w:num w:numId="22" w16cid:durableId="719943474">
    <w:abstractNumId w:val="0"/>
  </w:num>
  <w:num w:numId="23" w16cid:durableId="1885287093">
    <w:abstractNumId w:val="11"/>
  </w:num>
  <w:num w:numId="24" w16cid:durableId="20034672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wMDM0NbMwsTAxNDdS0lEKTi0uzszPAykwNKgFAPq5+DAtAAAA"/>
  </w:docVars>
  <w:rsids>
    <w:rsidRoot w:val="00047FA3"/>
    <w:rsid w:val="0000128F"/>
    <w:rsid w:val="00011C90"/>
    <w:rsid w:val="00020117"/>
    <w:rsid w:val="00020F6B"/>
    <w:rsid w:val="00035B28"/>
    <w:rsid w:val="00047FA3"/>
    <w:rsid w:val="00061DEA"/>
    <w:rsid w:val="00063459"/>
    <w:rsid w:val="00066A65"/>
    <w:rsid w:val="00083C86"/>
    <w:rsid w:val="00093439"/>
    <w:rsid w:val="000A0969"/>
    <w:rsid w:val="000B1D18"/>
    <w:rsid w:val="000C3F28"/>
    <w:rsid w:val="000C474A"/>
    <w:rsid w:val="000D300E"/>
    <w:rsid w:val="000E05D2"/>
    <w:rsid w:val="000E6B17"/>
    <w:rsid w:val="000E6CF7"/>
    <w:rsid w:val="001110A7"/>
    <w:rsid w:val="00131444"/>
    <w:rsid w:val="0015354A"/>
    <w:rsid w:val="00153B08"/>
    <w:rsid w:val="00156F53"/>
    <w:rsid w:val="00171AE1"/>
    <w:rsid w:val="001736AC"/>
    <w:rsid w:val="001815D8"/>
    <w:rsid w:val="00183F18"/>
    <w:rsid w:val="00191E39"/>
    <w:rsid w:val="00195AA4"/>
    <w:rsid w:val="0019752E"/>
    <w:rsid w:val="001B30F6"/>
    <w:rsid w:val="001B6810"/>
    <w:rsid w:val="001F366C"/>
    <w:rsid w:val="00223436"/>
    <w:rsid w:val="00240988"/>
    <w:rsid w:val="002513D9"/>
    <w:rsid w:val="00252D7C"/>
    <w:rsid w:val="002551A6"/>
    <w:rsid w:val="002654B0"/>
    <w:rsid w:val="00283EF2"/>
    <w:rsid w:val="00295A6B"/>
    <w:rsid w:val="002B2C2B"/>
    <w:rsid w:val="002C10DE"/>
    <w:rsid w:val="002D4168"/>
    <w:rsid w:val="002E2285"/>
    <w:rsid w:val="002E4280"/>
    <w:rsid w:val="002F4A23"/>
    <w:rsid w:val="003126A6"/>
    <w:rsid w:val="00363D2B"/>
    <w:rsid w:val="0038274A"/>
    <w:rsid w:val="00392ED9"/>
    <w:rsid w:val="003A1D39"/>
    <w:rsid w:val="003A31F8"/>
    <w:rsid w:val="003B14A1"/>
    <w:rsid w:val="003B1658"/>
    <w:rsid w:val="003B49FC"/>
    <w:rsid w:val="003B54F9"/>
    <w:rsid w:val="003B74D0"/>
    <w:rsid w:val="003C75FA"/>
    <w:rsid w:val="003D540E"/>
    <w:rsid w:val="003E6FAC"/>
    <w:rsid w:val="003F5AEA"/>
    <w:rsid w:val="0040341A"/>
    <w:rsid w:val="00410264"/>
    <w:rsid w:val="004217F2"/>
    <w:rsid w:val="00422E76"/>
    <w:rsid w:val="004307DB"/>
    <w:rsid w:val="00432588"/>
    <w:rsid w:val="00434096"/>
    <w:rsid w:val="004407A0"/>
    <w:rsid w:val="00472132"/>
    <w:rsid w:val="00475E8C"/>
    <w:rsid w:val="00485226"/>
    <w:rsid w:val="004A42DE"/>
    <w:rsid w:val="004B10D7"/>
    <w:rsid w:val="004B5175"/>
    <w:rsid w:val="004D653D"/>
    <w:rsid w:val="004D6B1B"/>
    <w:rsid w:val="004E2C97"/>
    <w:rsid w:val="004E43E1"/>
    <w:rsid w:val="00501A3E"/>
    <w:rsid w:val="0050434A"/>
    <w:rsid w:val="00526E41"/>
    <w:rsid w:val="00534C1F"/>
    <w:rsid w:val="00563560"/>
    <w:rsid w:val="00572254"/>
    <w:rsid w:val="00584B28"/>
    <w:rsid w:val="005907F5"/>
    <w:rsid w:val="00593E8A"/>
    <w:rsid w:val="005A25BA"/>
    <w:rsid w:val="005B431D"/>
    <w:rsid w:val="005B56CE"/>
    <w:rsid w:val="005B61BE"/>
    <w:rsid w:val="005C3055"/>
    <w:rsid w:val="005D4087"/>
    <w:rsid w:val="005D57BE"/>
    <w:rsid w:val="005E7EA6"/>
    <w:rsid w:val="005F1CA1"/>
    <w:rsid w:val="00604C0D"/>
    <w:rsid w:val="0060705C"/>
    <w:rsid w:val="0061339D"/>
    <w:rsid w:val="0061679D"/>
    <w:rsid w:val="00624472"/>
    <w:rsid w:val="006311CF"/>
    <w:rsid w:val="0064644E"/>
    <w:rsid w:val="0066705B"/>
    <w:rsid w:val="006724C4"/>
    <w:rsid w:val="00675570"/>
    <w:rsid w:val="00676F11"/>
    <w:rsid w:val="00680EB5"/>
    <w:rsid w:val="00684D3F"/>
    <w:rsid w:val="006903AA"/>
    <w:rsid w:val="006A0218"/>
    <w:rsid w:val="006B46EE"/>
    <w:rsid w:val="006C2826"/>
    <w:rsid w:val="006F32F0"/>
    <w:rsid w:val="006F40B9"/>
    <w:rsid w:val="0071133C"/>
    <w:rsid w:val="00720A39"/>
    <w:rsid w:val="00724853"/>
    <w:rsid w:val="00761204"/>
    <w:rsid w:val="0077161A"/>
    <w:rsid w:val="00773205"/>
    <w:rsid w:val="00797238"/>
    <w:rsid w:val="007A219B"/>
    <w:rsid w:val="007B18B0"/>
    <w:rsid w:val="007C6F5A"/>
    <w:rsid w:val="007D371A"/>
    <w:rsid w:val="007F477E"/>
    <w:rsid w:val="0080630B"/>
    <w:rsid w:val="00811B0E"/>
    <w:rsid w:val="00812FCC"/>
    <w:rsid w:val="008209B5"/>
    <w:rsid w:val="0082429A"/>
    <w:rsid w:val="0082542A"/>
    <w:rsid w:val="008256D8"/>
    <w:rsid w:val="00834328"/>
    <w:rsid w:val="008372AF"/>
    <w:rsid w:val="00845645"/>
    <w:rsid w:val="00872129"/>
    <w:rsid w:val="00875FC3"/>
    <w:rsid w:val="0088706C"/>
    <w:rsid w:val="00896E0B"/>
    <w:rsid w:val="008972EF"/>
    <w:rsid w:val="008E54FA"/>
    <w:rsid w:val="008E729A"/>
    <w:rsid w:val="008F4C66"/>
    <w:rsid w:val="008F5CE4"/>
    <w:rsid w:val="00905CF6"/>
    <w:rsid w:val="009174C4"/>
    <w:rsid w:val="00923F1F"/>
    <w:rsid w:val="0093077F"/>
    <w:rsid w:val="00930D3E"/>
    <w:rsid w:val="00933117"/>
    <w:rsid w:val="0094002D"/>
    <w:rsid w:val="0094260A"/>
    <w:rsid w:val="0094428E"/>
    <w:rsid w:val="00945CAC"/>
    <w:rsid w:val="00953AC4"/>
    <w:rsid w:val="00954FA0"/>
    <w:rsid w:val="00961DF8"/>
    <w:rsid w:val="00981E6B"/>
    <w:rsid w:val="009A459D"/>
    <w:rsid w:val="009B5352"/>
    <w:rsid w:val="009C2C36"/>
    <w:rsid w:val="009C58F8"/>
    <w:rsid w:val="009D7B28"/>
    <w:rsid w:val="009E485B"/>
    <w:rsid w:val="009E486A"/>
    <w:rsid w:val="009F16F6"/>
    <w:rsid w:val="009F4158"/>
    <w:rsid w:val="00A100D9"/>
    <w:rsid w:val="00A13AFC"/>
    <w:rsid w:val="00A25775"/>
    <w:rsid w:val="00A26CBE"/>
    <w:rsid w:val="00A40FDE"/>
    <w:rsid w:val="00A449A0"/>
    <w:rsid w:val="00A4696F"/>
    <w:rsid w:val="00A4790D"/>
    <w:rsid w:val="00A513CE"/>
    <w:rsid w:val="00A51696"/>
    <w:rsid w:val="00A54A28"/>
    <w:rsid w:val="00A63473"/>
    <w:rsid w:val="00A63777"/>
    <w:rsid w:val="00A66532"/>
    <w:rsid w:val="00A74609"/>
    <w:rsid w:val="00A7642A"/>
    <w:rsid w:val="00A82E43"/>
    <w:rsid w:val="00A85737"/>
    <w:rsid w:val="00A914D1"/>
    <w:rsid w:val="00A95B24"/>
    <w:rsid w:val="00AA2734"/>
    <w:rsid w:val="00AA67C1"/>
    <w:rsid w:val="00AE0B2F"/>
    <w:rsid w:val="00AE2E7B"/>
    <w:rsid w:val="00B020E0"/>
    <w:rsid w:val="00B041C8"/>
    <w:rsid w:val="00B34228"/>
    <w:rsid w:val="00B4210F"/>
    <w:rsid w:val="00B42E7D"/>
    <w:rsid w:val="00B53465"/>
    <w:rsid w:val="00B614AF"/>
    <w:rsid w:val="00B71825"/>
    <w:rsid w:val="00B81F20"/>
    <w:rsid w:val="00B81F83"/>
    <w:rsid w:val="00B87FE7"/>
    <w:rsid w:val="00B970A0"/>
    <w:rsid w:val="00B979B2"/>
    <w:rsid w:val="00BA03D8"/>
    <w:rsid w:val="00BB0CFD"/>
    <w:rsid w:val="00BB0E23"/>
    <w:rsid w:val="00BB6C41"/>
    <w:rsid w:val="00BC788C"/>
    <w:rsid w:val="00BD16D4"/>
    <w:rsid w:val="00BE2746"/>
    <w:rsid w:val="00BE6DBF"/>
    <w:rsid w:val="00BF19AD"/>
    <w:rsid w:val="00BF6629"/>
    <w:rsid w:val="00C02833"/>
    <w:rsid w:val="00C108B8"/>
    <w:rsid w:val="00C13846"/>
    <w:rsid w:val="00C323BB"/>
    <w:rsid w:val="00C34D8B"/>
    <w:rsid w:val="00C43B98"/>
    <w:rsid w:val="00C53DEB"/>
    <w:rsid w:val="00C62F9E"/>
    <w:rsid w:val="00C6745E"/>
    <w:rsid w:val="00C746FC"/>
    <w:rsid w:val="00C75CCB"/>
    <w:rsid w:val="00CA710D"/>
    <w:rsid w:val="00CE0EE5"/>
    <w:rsid w:val="00CE6237"/>
    <w:rsid w:val="00CF1848"/>
    <w:rsid w:val="00CF25CA"/>
    <w:rsid w:val="00D1314F"/>
    <w:rsid w:val="00D166AA"/>
    <w:rsid w:val="00D25CEE"/>
    <w:rsid w:val="00D31AD7"/>
    <w:rsid w:val="00D32E36"/>
    <w:rsid w:val="00D557B1"/>
    <w:rsid w:val="00D71ECE"/>
    <w:rsid w:val="00D74363"/>
    <w:rsid w:val="00D75BF4"/>
    <w:rsid w:val="00D769FD"/>
    <w:rsid w:val="00DA0452"/>
    <w:rsid w:val="00DA15E5"/>
    <w:rsid w:val="00DB281A"/>
    <w:rsid w:val="00DC2469"/>
    <w:rsid w:val="00DD00D1"/>
    <w:rsid w:val="00DD2B99"/>
    <w:rsid w:val="00DD5235"/>
    <w:rsid w:val="00DE2AB0"/>
    <w:rsid w:val="00DE3F32"/>
    <w:rsid w:val="00DF55F9"/>
    <w:rsid w:val="00E0515B"/>
    <w:rsid w:val="00E14B4D"/>
    <w:rsid w:val="00E21001"/>
    <w:rsid w:val="00E3008F"/>
    <w:rsid w:val="00E313DB"/>
    <w:rsid w:val="00E32C8B"/>
    <w:rsid w:val="00E32DA6"/>
    <w:rsid w:val="00E33AA5"/>
    <w:rsid w:val="00E374D8"/>
    <w:rsid w:val="00E40CB9"/>
    <w:rsid w:val="00E415C2"/>
    <w:rsid w:val="00E60459"/>
    <w:rsid w:val="00E64A9D"/>
    <w:rsid w:val="00E66C26"/>
    <w:rsid w:val="00E71876"/>
    <w:rsid w:val="00E811CC"/>
    <w:rsid w:val="00E87A5D"/>
    <w:rsid w:val="00EA365A"/>
    <w:rsid w:val="00EA6B90"/>
    <w:rsid w:val="00EB0F65"/>
    <w:rsid w:val="00ED201D"/>
    <w:rsid w:val="00ED4595"/>
    <w:rsid w:val="00EE11D1"/>
    <w:rsid w:val="00EF2D86"/>
    <w:rsid w:val="00EF41AB"/>
    <w:rsid w:val="00EF48ED"/>
    <w:rsid w:val="00EF7B5F"/>
    <w:rsid w:val="00F15D95"/>
    <w:rsid w:val="00F22C67"/>
    <w:rsid w:val="00F25EAA"/>
    <w:rsid w:val="00F56A6D"/>
    <w:rsid w:val="00F57E9C"/>
    <w:rsid w:val="00F60156"/>
    <w:rsid w:val="00F615C3"/>
    <w:rsid w:val="00F67FE8"/>
    <w:rsid w:val="00F7444C"/>
    <w:rsid w:val="00F913E0"/>
    <w:rsid w:val="00FA7A06"/>
    <w:rsid w:val="00FB2F5E"/>
    <w:rsid w:val="00FB7E8C"/>
    <w:rsid w:val="00FD109C"/>
    <w:rsid w:val="00FD3708"/>
    <w:rsid w:val="00FD392E"/>
    <w:rsid w:val="00FE08DC"/>
    <w:rsid w:val="00FE10BB"/>
    <w:rsid w:val="00FF10A1"/>
    <w:rsid w:val="00FF4F6F"/>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3BDD4"/>
  <w15:docId w15:val="{B1DE176A-20F5-4E1C-AC89-EB42918CB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IN" w:eastAsia="en-I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158"/>
    <w:rPr>
      <w:sz w:val="24"/>
      <w:szCs w:val="24"/>
      <w:lang w:val="en-US" w:eastAsia="en-US"/>
    </w:rPr>
  </w:style>
  <w:style w:type="paragraph" w:styleId="Heading1">
    <w:name w:val="heading 1"/>
    <w:basedOn w:val="Normal"/>
    <w:next w:val="Normal"/>
    <w:link w:val="Heading1Char"/>
    <w:uiPriority w:val="9"/>
    <w:qFormat/>
    <w:rsid w:val="00C75CC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7F477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F4158"/>
    <w:rPr>
      <w:u w:val="single"/>
    </w:rPr>
  </w:style>
  <w:style w:type="paragraph" w:customStyle="1" w:styleId="HeaderFooter">
    <w:name w:val="Header &amp; Footer"/>
    <w:rsid w:val="009F4158"/>
    <w:pPr>
      <w:tabs>
        <w:tab w:val="right" w:pos="9020"/>
      </w:tabs>
    </w:pPr>
    <w:rPr>
      <w:rFonts w:ascii="Helvetica Neue" w:hAnsi="Helvetica Neue" w:cs="Arial Unicode MS"/>
      <w:color w:val="000000"/>
      <w:sz w:val="24"/>
      <w:szCs w:val="24"/>
    </w:rPr>
  </w:style>
  <w:style w:type="paragraph" w:customStyle="1" w:styleId="Default">
    <w:name w:val="Default"/>
    <w:rsid w:val="009F4158"/>
    <w:pPr>
      <w:widowControl w:val="0"/>
    </w:pPr>
    <w:rPr>
      <w:rFonts w:cs="Arial Unicode MS"/>
      <w:color w:val="000000"/>
      <w:sz w:val="24"/>
      <w:szCs w:val="24"/>
      <w:u w:color="000000"/>
      <w:lang w:val="en-US"/>
    </w:rPr>
  </w:style>
  <w:style w:type="paragraph" w:customStyle="1" w:styleId="CM12">
    <w:name w:val="CM12"/>
    <w:next w:val="Default"/>
    <w:rsid w:val="009F4158"/>
    <w:pPr>
      <w:widowControl w:val="0"/>
    </w:pPr>
    <w:rPr>
      <w:rFonts w:cs="Arial Unicode MS"/>
      <w:color w:val="000000"/>
      <w:sz w:val="24"/>
      <w:szCs w:val="24"/>
      <w:u w:color="000000"/>
      <w:lang w:val="en-US"/>
    </w:rPr>
  </w:style>
  <w:style w:type="paragraph" w:customStyle="1" w:styleId="CM1">
    <w:name w:val="CM1"/>
    <w:next w:val="Default"/>
    <w:rsid w:val="009F4158"/>
    <w:pPr>
      <w:widowControl w:val="0"/>
    </w:pPr>
    <w:rPr>
      <w:rFonts w:cs="Arial Unicode MS"/>
      <w:color w:val="000000"/>
      <w:sz w:val="24"/>
      <w:szCs w:val="24"/>
      <w:u w:color="000000"/>
    </w:rPr>
  </w:style>
  <w:style w:type="paragraph" w:customStyle="1" w:styleId="CM18">
    <w:name w:val="CM18"/>
    <w:next w:val="Default"/>
    <w:rsid w:val="009F4158"/>
    <w:pPr>
      <w:widowControl w:val="0"/>
    </w:pPr>
    <w:rPr>
      <w:rFonts w:cs="Arial Unicode MS"/>
      <w:color w:val="000000"/>
      <w:sz w:val="24"/>
      <w:szCs w:val="24"/>
      <w:u w:color="000000"/>
      <w:lang w:val="en-US"/>
    </w:rPr>
  </w:style>
  <w:style w:type="paragraph" w:customStyle="1" w:styleId="CM14">
    <w:name w:val="CM14"/>
    <w:next w:val="Default"/>
    <w:rsid w:val="009F4158"/>
    <w:pPr>
      <w:widowControl w:val="0"/>
    </w:pPr>
    <w:rPr>
      <w:rFonts w:cs="Arial Unicode MS"/>
      <w:color w:val="000000"/>
      <w:sz w:val="24"/>
      <w:szCs w:val="24"/>
      <w:u w:color="000000"/>
    </w:rPr>
  </w:style>
  <w:style w:type="paragraph" w:customStyle="1" w:styleId="CM4">
    <w:name w:val="CM4"/>
    <w:next w:val="Default"/>
    <w:rsid w:val="009F4158"/>
    <w:pPr>
      <w:widowControl w:val="0"/>
      <w:spacing w:line="231" w:lineRule="atLeast"/>
    </w:pPr>
    <w:rPr>
      <w:rFonts w:cs="Arial Unicode MS"/>
      <w:color w:val="000000"/>
      <w:sz w:val="24"/>
      <w:szCs w:val="24"/>
      <w:u w:color="000000"/>
    </w:rPr>
  </w:style>
  <w:style w:type="paragraph" w:customStyle="1" w:styleId="CM15">
    <w:name w:val="CM15"/>
    <w:next w:val="Default"/>
    <w:rsid w:val="009F4158"/>
    <w:pPr>
      <w:widowControl w:val="0"/>
    </w:pPr>
    <w:rPr>
      <w:rFonts w:cs="Arial Unicode MS"/>
      <w:color w:val="000000"/>
      <w:sz w:val="24"/>
      <w:szCs w:val="24"/>
      <w:u w:color="000000"/>
    </w:rPr>
  </w:style>
  <w:style w:type="paragraph" w:customStyle="1" w:styleId="CM13">
    <w:name w:val="CM13"/>
    <w:next w:val="Default"/>
    <w:rsid w:val="009F4158"/>
    <w:pPr>
      <w:widowControl w:val="0"/>
    </w:pPr>
    <w:rPr>
      <w:rFonts w:cs="Arial Unicode MS"/>
      <w:color w:val="000000"/>
      <w:sz w:val="24"/>
      <w:szCs w:val="24"/>
      <w:u w:color="000000"/>
      <w:lang w:val="fr-FR"/>
    </w:rPr>
  </w:style>
  <w:style w:type="paragraph" w:customStyle="1" w:styleId="CM3">
    <w:name w:val="CM3"/>
    <w:next w:val="Default"/>
    <w:rsid w:val="009F4158"/>
    <w:pPr>
      <w:widowControl w:val="0"/>
      <w:spacing w:line="240" w:lineRule="atLeast"/>
    </w:pPr>
    <w:rPr>
      <w:rFonts w:eastAsia="Times New Roman"/>
      <w:color w:val="000000"/>
      <w:sz w:val="24"/>
      <w:szCs w:val="24"/>
      <w:u w:color="000000"/>
    </w:rPr>
  </w:style>
  <w:style w:type="paragraph" w:customStyle="1" w:styleId="CM7">
    <w:name w:val="CM7"/>
    <w:next w:val="Default"/>
    <w:rsid w:val="009F4158"/>
    <w:pPr>
      <w:widowControl w:val="0"/>
      <w:spacing w:line="243" w:lineRule="atLeast"/>
    </w:pPr>
    <w:rPr>
      <w:rFonts w:cs="Arial Unicode MS"/>
      <w:color w:val="000000"/>
      <w:sz w:val="24"/>
      <w:szCs w:val="24"/>
      <w:u w:color="000000"/>
      <w:lang w:val="en-US"/>
    </w:rPr>
  </w:style>
  <w:style w:type="paragraph" w:customStyle="1" w:styleId="CM17">
    <w:name w:val="CM17"/>
    <w:next w:val="Default"/>
    <w:rsid w:val="009F4158"/>
    <w:pPr>
      <w:widowControl w:val="0"/>
    </w:pPr>
    <w:rPr>
      <w:rFonts w:cs="Arial Unicode MS"/>
      <w:color w:val="000000"/>
      <w:sz w:val="24"/>
      <w:szCs w:val="24"/>
      <w:u w:color="000000"/>
      <w:lang w:val="en-US"/>
    </w:rPr>
  </w:style>
  <w:style w:type="paragraph" w:styleId="FootnoteText">
    <w:name w:val="footnote text"/>
    <w:rsid w:val="009F4158"/>
    <w:pPr>
      <w:spacing w:after="200" w:line="276" w:lineRule="auto"/>
    </w:pPr>
    <w:rPr>
      <w:rFonts w:ascii="Calibri" w:eastAsia="Calibri" w:hAnsi="Calibri" w:cs="Calibri"/>
      <w:color w:val="000000"/>
      <w:u w:color="000000"/>
    </w:rPr>
  </w:style>
  <w:style w:type="paragraph" w:customStyle="1" w:styleId="Body">
    <w:name w:val="Body"/>
    <w:rsid w:val="009F4158"/>
    <w:pPr>
      <w:spacing w:after="200" w:line="276" w:lineRule="auto"/>
    </w:pPr>
    <w:rPr>
      <w:rFonts w:ascii="Calibri" w:eastAsia="Calibri" w:hAnsi="Calibri" w:cs="Calibri"/>
      <w:color w:val="000000"/>
      <w:sz w:val="22"/>
      <w:szCs w:val="22"/>
      <w:u w:color="000000"/>
    </w:rPr>
  </w:style>
  <w:style w:type="numbering" w:customStyle="1" w:styleId="ImportedStyle1">
    <w:name w:val="Imported Style 1"/>
    <w:rsid w:val="009F4158"/>
    <w:pPr>
      <w:numPr>
        <w:numId w:val="1"/>
      </w:numPr>
    </w:pPr>
  </w:style>
  <w:style w:type="paragraph" w:styleId="BalloonText">
    <w:name w:val="Balloon Text"/>
    <w:basedOn w:val="Normal"/>
    <w:link w:val="BalloonTextChar"/>
    <w:uiPriority w:val="99"/>
    <w:semiHidden/>
    <w:unhideWhenUsed/>
    <w:rsid w:val="008372AF"/>
    <w:rPr>
      <w:rFonts w:ascii="Tahoma" w:hAnsi="Tahoma" w:cs="Tahoma"/>
      <w:sz w:val="16"/>
      <w:szCs w:val="16"/>
    </w:rPr>
  </w:style>
  <w:style w:type="character" w:customStyle="1" w:styleId="BalloonTextChar">
    <w:name w:val="Balloon Text Char"/>
    <w:basedOn w:val="DefaultParagraphFont"/>
    <w:link w:val="BalloonText"/>
    <w:uiPriority w:val="99"/>
    <w:semiHidden/>
    <w:rsid w:val="008372AF"/>
    <w:rPr>
      <w:rFonts w:ascii="Tahoma" w:hAnsi="Tahoma" w:cs="Tahoma"/>
      <w:sz w:val="16"/>
      <w:szCs w:val="16"/>
      <w:lang w:val="en-US" w:eastAsia="en-US"/>
    </w:rPr>
  </w:style>
  <w:style w:type="character" w:styleId="PlaceholderText">
    <w:name w:val="Placeholder Text"/>
    <w:basedOn w:val="DefaultParagraphFont"/>
    <w:uiPriority w:val="99"/>
    <w:semiHidden/>
    <w:rsid w:val="008372AF"/>
    <w:rPr>
      <w:color w:val="808080"/>
    </w:rPr>
  </w:style>
  <w:style w:type="paragraph" w:styleId="ListParagraph">
    <w:name w:val="List Paragraph"/>
    <w:basedOn w:val="Normal"/>
    <w:uiPriority w:val="1"/>
    <w:qFormat/>
    <w:rsid w:val="008E729A"/>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Times New Roman" w:hAnsi="Calibri"/>
      <w:sz w:val="22"/>
      <w:szCs w:val="20"/>
      <w:bdr w:val="none" w:sz="0" w:space="0" w:color="auto"/>
      <w:lang w:bidi="mr-IN"/>
    </w:rPr>
  </w:style>
  <w:style w:type="paragraph" w:customStyle="1" w:styleId="MDPI31text">
    <w:name w:val="MDPI_3.1_text"/>
    <w:qFormat/>
    <w:rsid w:val="008E729A"/>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after="200" w:line="260" w:lineRule="atLeast"/>
      <w:ind w:firstLine="425"/>
      <w:jc w:val="both"/>
    </w:pPr>
    <w:rPr>
      <w:rFonts w:ascii="Palatino Linotype" w:eastAsia="Times New Roman" w:hAnsi="Palatino Linotype"/>
      <w:snapToGrid w:val="0"/>
      <w:color w:val="000000"/>
      <w:sz w:val="22"/>
      <w:szCs w:val="22"/>
      <w:bdr w:val="none" w:sz="0" w:space="0" w:color="auto"/>
      <w:lang w:val="en-US" w:eastAsia="de-DE" w:bidi="en-US"/>
    </w:rPr>
  </w:style>
  <w:style w:type="paragraph" w:customStyle="1" w:styleId="MDPI51figurecaption">
    <w:name w:val="MDPI_5.1_figure_caption"/>
    <w:basedOn w:val="Normal"/>
    <w:qFormat/>
    <w:rsid w:val="008E729A"/>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before="120" w:after="240" w:line="260" w:lineRule="atLeast"/>
      <w:ind w:left="425" w:right="425"/>
      <w:jc w:val="both"/>
    </w:pPr>
    <w:rPr>
      <w:rFonts w:ascii="Palatino Linotype" w:eastAsia="Times New Roman" w:hAnsi="Palatino Linotype"/>
      <w:color w:val="000000"/>
      <w:sz w:val="22"/>
      <w:szCs w:val="22"/>
      <w:bdr w:val="none" w:sz="0" w:space="0" w:color="auto"/>
      <w:lang w:eastAsia="de-DE" w:bidi="en-US"/>
    </w:rPr>
  </w:style>
  <w:style w:type="paragraph" w:customStyle="1" w:styleId="MDPI52figure">
    <w:name w:val="MDPI_5.2_figure"/>
    <w:qFormat/>
    <w:rsid w:val="008E729A"/>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before="240" w:after="200" w:line="260" w:lineRule="atLeast"/>
      <w:jc w:val="center"/>
    </w:pPr>
    <w:rPr>
      <w:rFonts w:ascii="Palatino Linotype" w:eastAsia="Times New Roman" w:hAnsi="Palatino Linotype"/>
      <w:snapToGrid w:val="0"/>
      <w:color w:val="000000"/>
      <w:sz w:val="22"/>
      <w:szCs w:val="22"/>
      <w:bdr w:val="none" w:sz="0" w:space="0" w:color="auto"/>
      <w:lang w:val="en-US" w:eastAsia="de-DE" w:bidi="en-US"/>
    </w:rPr>
  </w:style>
  <w:style w:type="paragraph" w:styleId="BodyText">
    <w:name w:val="Body Text"/>
    <w:basedOn w:val="Normal"/>
    <w:link w:val="BodyTextChar"/>
    <w:rsid w:val="008E729A"/>
    <w:pPr>
      <w:pBdr>
        <w:top w:val="none" w:sz="0" w:space="0" w:color="auto"/>
        <w:left w:val="none" w:sz="0" w:space="0" w:color="auto"/>
        <w:bottom w:val="none" w:sz="0" w:space="0" w:color="auto"/>
        <w:right w:val="none" w:sz="0" w:space="0" w:color="auto"/>
        <w:between w:val="none" w:sz="0" w:space="0" w:color="auto"/>
        <w:bar w:val="none" w:sz="0" w:color="auto"/>
      </w:pBdr>
      <w:tabs>
        <w:tab w:val="left" w:pos="288"/>
      </w:tabs>
      <w:spacing w:after="120" w:line="228" w:lineRule="auto"/>
      <w:ind w:firstLine="288"/>
    </w:pPr>
    <w:rPr>
      <w:rFonts w:ascii="Calibri" w:eastAsia="SimSun" w:hAnsi="Calibri" w:cs="Mangal"/>
      <w:spacing w:val="-1"/>
      <w:sz w:val="20"/>
      <w:szCs w:val="20"/>
      <w:bdr w:val="none" w:sz="0" w:space="0" w:color="auto"/>
      <w:lang w:bidi="hi-IN"/>
    </w:rPr>
  </w:style>
  <w:style w:type="character" w:customStyle="1" w:styleId="BodyTextChar">
    <w:name w:val="Body Text Char"/>
    <w:basedOn w:val="DefaultParagraphFont"/>
    <w:link w:val="BodyText"/>
    <w:rsid w:val="008E729A"/>
    <w:rPr>
      <w:rFonts w:ascii="Calibri" w:eastAsia="SimSun" w:hAnsi="Calibri" w:cs="Mangal"/>
      <w:spacing w:val="-1"/>
      <w:bdr w:val="none" w:sz="0" w:space="0" w:color="auto"/>
      <w:lang w:val="en-US" w:eastAsia="en-US" w:bidi="hi-IN"/>
    </w:rPr>
  </w:style>
  <w:style w:type="paragraph" w:customStyle="1" w:styleId="MDPI21heading1">
    <w:name w:val="MDPI_2.1_heading1"/>
    <w:basedOn w:val="Normal"/>
    <w:qFormat/>
    <w:rsid w:val="008E729A"/>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before="240" w:after="120" w:line="260" w:lineRule="atLeast"/>
      <w:outlineLvl w:val="0"/>
    </w:pPr>
    <w:rPr>
      <w:rFonts w:ascii="Palatino Linotype" w:eastAsia="Times New Roman" w:hAnsi="Palatino Linotype"/>
      <w:b/>
      <w:snapToGrid w:val="0"/>
      <w:color w:val="000000"/>
      <w:sz w:val="22"/>
      <w:szCs w:val="22"/>
      <w:bdr w:val="none" w:sz="0" w:space="0" w:color="auto"/>
      <w:lang w:eastAsia="de-DE" w:bidi="en-US"/>
    </w:rPr>
  </w:style>
  <w:style w:type="paragraph" w:styleId="Header">
    <w:name w:val="header"/>
    <w:basedOn w:val="Normal"/>
    <w:link w:val="HeaderChar"/>
    <w:uiPriority w:val="99"/>
    <w:unhideWhenUsed/>
    <w:rsid w:val="007F477E"/>
    <w:pPr>
      <w:tabs>
        <w:tab w:val="center" w:pos="4513"/>
        <w:tab w:val="right" w:pos="9026"/>
      </w:tabs>
    </w:pPr>
  </w:style>
  <w:style w:type="character" w:customStyle="1" w:styleId="HeaderChar">
    <w:name w:val="Header Char"/>
    <w:basedOn w:val="DefaultParagraphFont"/>
    <w:link w:val="Header"/>
    <w:uiPriority w:val="99"/>
    <w:rsid w:val="007F477E"/>
    <w:rPr>
      <w:sz w:val="24"/>
      <w:szCs w:val="24"/>
      <w:lang w:val="en-US" w:eastAsia="en-US"/>
    </w:rPr>
  </w:style>
  <w:style w:type="paragraph" w:styleId="Footer">
    <w:name w:val="footer"/>
    <w:basedOn w:val="Normal"/>
    <w:link w:val="FooterChar"/>
    <w:uiPriority w:val="99"/>
    <w:unhideWhenUsed/>
    <w:rsid w:val="007F477E"/>
    <w:pPr>
      <w:tabs>
        <w:tab w:val="center" w:pos="4513"/>
        <w:tab w:val="right" w:pos="9026"/>
      </w:tabs>
    </w:pPr>
  </w:style>
  <w:style w:type="character" w:customStyle="1" w:styleId="FooterChar">
    <w:name w:val="Footer Char"/>
    <w:basedOn w:val="DefaultParagraphFont"/>
    <w:link w:val="Footer"/>
    <w:uiPriority w:val="99"/>
    <w:rsid w:val="007F477E"/>
    <w:rPr>
      <w:sz w:val="24"/>
      <w:szCs w:val="24"/>
      <w:lang w:val="en-US" w:eastAsia="en-US"/>
    </w:rPr>
  </w:style>
  <w:style w:type="character" w:customStyle="1" w:styleId="Heading3Char">
    <w:name w:val="Heading 3 Char"/>
    <w:basedOn w:val="DefaultParagraphFont"/>
    <w:link w:val="Heading3"/>
    <w:uiPriority w:val="9"/>
    <w:rsid w:val="007F477E"/>
    <w:rPr>
      <w:rFonts w:eastAsia="Times New Roman"/>
      <w:b/>
      <w:bCs/>
      <w:sz w:val="27"/>
      <w:szCs w:val="27"/>
      <w:bdr w:val="none" w:sz="0" w:space="0" w:color="auto"/>
      <w:lang w:val="en-US" w:eastAsia="en-US" w:bidi="mr-IN"/>
    </w:rPr>
  </w:style>
  <w:style w:type="paragraph" w:customStyle="1" w:styleId="papertitle">
    <w:name w:val="paper title"/>
    <w:rsid w:val="007F477E"/>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pPr>
    <w:rPr>
      <w:rFonts w:eastAsia="MS Mincho"/>
      <w:noProof/>
      <w:sz w:val="48"/>
      <w:szCs w:val="48"/>
      <w:bdr w:val="none" w:sz="0" w:space="0" w:color="auto"/>
      <w:lang w:val="en-US" w:eastAsia="en-US"/>
    </w:rPr>
  </w:style>
  <w:style w:type="character" w:customStyle="1" w:styleId="authors-info">
    <w:name w:val="authors-info"/>
    <w:rsid w:val="007F477E"/>
  </w:style>
  <w:style w:type="paragraph" w:customStyle="1" w:styleId="MDPI41tablecaption">
    <w:name w:val="MDPI_4.1_table_caption"/>
    <w:basedOn w:val="Normal"/>
    <w:qFormat/>
    <w:rsid w:val="007F477E"/>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before="240" w:after="120" w:line="260" w:lineRule="atLeast"/>
      <w:ind w:left="425" w:right="425"/>
      <w:jc w:val="both"/>
    </w:pPr>
    <w:rPr>
      <w:rFonts w:ascii="Palatino Linotype" w:eastAsia="Times New Roman" w:hAnsi="Palatino Linotype"/>
      <w:color w:val="000000"/>
      <w:sz w:val="22"/>
      <w:szCs w:val="22"/>
      <w:bdr w:val="none" w:sz="0" w:space="0" w:color="auto"/>
      <w:lang w:eastAsia="de-DE" w:bidi="en-US"/>
    </w:rPr>
  </w:style>
  <w:style w:type="paragraph" w:customStyle="1" w:styleId="MDPI22heading2">
    <w:name w:val="MDPI_2.2_heading2"/>
    <w:basedOn w:val="Normal"/>
    <w:qFormat/>
    <w:rsid w:val="007F477E"/>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i/>
      <w:noProof/>
      <w:snapToGrid w:val="0"/>
      <w:sz w:val="20"/>
      <w:szCs w:val="22"/>
      <w:bdr w:val="none" w:sz="0" w:space="0" w:color="auto"/>
      <w:lang w:bidi="en-US"/>
    </w:rPr>
  </w:style>
  <w:style w:type="paragraph" w:styleId="NormalWeb">
    <w:name w:val="Normal (Web)"/>
    <w:basedOn w:val="Normal"/>
    <w:uiPriority w:val="99"/>
    <w:unhideWhenUsed/>
    <w:rsid w:val="007F477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bidi="mr-IN"/>
    </w:rPr>
  </w:style>
  <w:style w:type="character" w:customStyle="1" w:styleId="mw-headline">
    <w:name w:val="mw-headline"/>
    <w:rsid w:val="007F477E"/>
  </w:style>
  <w:style w:type="paragraph" w:customStyle="1" w:styleId="MDPI23heading3">
    <w:name w:val="MDPI_2.3_heading3"/>
    <w:basedOn w:val="MDPI31text"/>
    <w:qFormat/>
    <w:rsid w:val="007F477E"/>
    <w:pPr>
      <w:spacing w:before="240" w:after="120"/>
      <w:ind w:firstLine="0"/>
      <w:jc w:val="left"/>
      <w:outlineLvl w:val="2"/>
    </w:pPr>
  </w:style>
  <w:style w:type="table" w:styleId="TableGrid">
    <w:name w:val="Table Grid"/>
    <w:basedOn w:val="TableNormal"/>
    <w:uiPriority w:val="99"/>
    <w:qFormat/>
    <w:rsid w:val="00E66C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A95B24"/>
    <w:rPr>
      <w:sz w:val="20"/>
      <w:szCs w:val="20"/>
    </w:rPr>
  </w:style>
  <w:style w:type="character" w:customStyle="1" w:styleId="EndnoteTextChar">
    <w:name w:val="Endnote Text Char"/>
    <w:basedOn w:val="DefaultParagraphFont"/>
    <w:link w:val="EndnoteText"/>
    <w:uiPriority w:val="99"/>
    <w:semiHidden/>
    <w:rsid w:val="00A95B24"/>
    <w:rPr>
      <w:lang w:val="en-US" w:eastAsia="en-US"/>
    </w:rPr>
  </w:style>
  <w:style w:type="character" w:styleId="EndnoteReference">
    <w:name w:val="endnote reference"/>
    <w:basedOn w:val="DefaultParagraphFont"/>
    <w:uiPriority w:val="99"/>
    <w:semiHidden/>
    <w:unhideWhenUsed/>
    <w:rsid w:val="00A95B24"/>
    <w:rPr>
      <w:vertAlign w:val="superscript"/>
    </w:rPr>
  </w:style>
  <w:style w:type="character" w:customStyle="1" w:styleId="UnresolvedMention1">
    <w:name w:val="Unresolved Mention1"/>
    <w:basedOn w:val="DefaultParagraphFont"/>
    <w:uiPriority w:val="99"/>
    <w:semiHidden/>
    <w:unhideWhenUsed/>
    <w:rsid w:val="0064644E"/>
    <w:rPr>
      <w:color w:val="605E5C"/>
      <w:shd w:val="clear" w:color="auto" w:fill="E1DFDD"/>
    </w:rPr>
  </w:style>
  <w:style w:type="character" w:customStyle="1" w:styleId="UnresolvedMention2">
    <w:name w:val="Unresolved Mention2"/>
    <w:basedOn w:val="DefaultParagraphFont"/>
    <w:uiPriority w:val="99"/>
    <w:semiHidden/>
    <w:unhideWhenUsed/>
    <w:rsid w:val="0050434A"/>
    <w:rPr>
      <w:color w:val="605E5C"/>
      <w:shd w:val="clear" w:color="auto" w:fill="E1DFDD"/>
    </w:rPr>
  </w:style>
  <w:style w:type="character" w:styleId="Strong">
    <w:name w:val="Strong"/>
    <w:basedOn w:val="DefaultParagraphFont"/>
    <w:uiPriority w:val="22"/>
    <w:qFormat/>
    <w:rsid w:val="008209B5"/>
    <w:rPr>
      <w:b/>
      <w:bCs/>
    </w:rPr>
  </w:style>
  <w:style w:type="character" w:customStyle="1" w:styleId="Heading1Char">
    <w:name w:val="Heading 1 Char"/>
    <w:basedOn w:val="DefaultParagraphFont"/>
    <w:link w:val="Heading1"/>
    <w:uiPriority w:val="9"/>
    <w:rsid w:val="00C75CCB"/>
    <w:rPr>
      <w:rFonts w:asciiTheme="majorHAnsi" w:eastAsiaTheme="majorEastAsia" w:hAnsiTheme="majorHAnsi" w:cstheme="majorBidi"/>
      <w:color w:val="365F91" w:themeColor="accent1" w:themeShade="BF"/>
      <w:sz w:val="32"/>
      <w:szCs w:val="32"/>
      <w:lang w:val="en-US" w:eastAsia="en-US"/>
    </w:rPr>
  </w:style>
  <w:style w:type="paragraph" w:customStyle="1" w:styleId="TableParagraph">
    <w:name w:val="Table Paragraph"/>
    <w:basedOn w:val="Normal"/>
    <w:uiPriority w:val="1"/>
    <w:qFormat/>
    <w:rsid w:val="009174C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170"/>
      <w:jc w:val="center"/>
    </w:pPr>
    <w:rPr>
      <w:rFonts w:eastAsia="Times New Roman"/>
      <w:sz w:val="22"/>
      <w:szCs w:val="22"/>
      <w:bdr w:val="none" w:sz="0" w:space="0" w:color="auto"/>
    </w:rPr>
  </w:style>
  <w:style w:type="character" w:styleId="UnresolvedMention">
    <w:name w:val="Unresolved Mention"/>
    <w:basedOn w:val="DefaultParagraphFont"/>
    <w:uiPriority w:val="99"/>
    <w:semiHidden/>
    <w:unhideWhenUsed/>
    <w:rsid w:val="000C47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90491">
      <w:bodyDiv w:val="1"/>
      <w:marLeft w:val="0"/>
      <w:marRight w:val="0"/>
      <w:marTop w:val="0"/>
      <w:marBottom w:val="0"/>
      <w:divBdr>
        <w:top w:val="none" w:sz="0" w:space="0" w:color="auto"/>
        <w:left w:val="none" w:sz="0" w:space="0" w:color="auto"/>
        <w:bottom w:val="none" w:sz="0" w:space="0" w:color="auto"/>
        <w:right w:val="none" w:sz="0" w:space="0" w:color="auto"/>
      </w:divBdr>
    </w:div>
    <w:div w:id="16609628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hanthakre@gmail.com2" TargetMode="External"/><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emf"/><Relationship Id="rId28"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microsoft.com/office/2007/relationships/hdphoto" Target="media/hdphoto1.wdp"/><Relationship Id="rId27" Type="http://schemas.openxmlformats.org/officeDocument/2006/relationships/oleObject" Target="embeddings/oleObject7.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13D55-C081-4828-BBF5-8F7B7A670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8</Pages>
  <Words>4765</Words>
  <Characters>27166</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SVERI</dc:creator>
  <cp:lastModifiedBy>Vijay Dalavi</cp:lastModifiedBy>
  <cp:revision>9</cp:revision>
  <cp:lastPrinted>2023-05-01T12:58:00Z</cp:lastPrinted>
  <dcterms:created xsi:type="dcterms:W3CDTF">2023-05-13T18:58:00Z</dcterms:created>
  <dcterms:modified xsi:type="dcterms:W3CDTF">2023-08-28T17:45:00Z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1bc4a6e501fcd7754de3fb46a908b4ce92b0070db2e878a36f6778cb9c999683</vt:lpwstr>
  </property>
</Properties>
</file>