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48" w:rsidRDefault="00A92805" w:rsidP="00466548">
      <w:pPr>
        <w:pStyle w:val="papertitle"/>
        <w:spacing w:after="0"/>
        <w:rPr>
          <w:rFonts w:eastAsia="MS Mincho"/>
        </w:rPr>
      </w:pPr>
      <w:r>
        <w:rPr>
          <w:rFonts w:eastAsia="MS Mincho"/>
        </w:rPr>
        <w:t xml:space="preserve">Use of </w:t>
      </w:r>
      <w:r w:rsidR="00AB4115">
        <w:rPr>
          <w:rFonts w:eastAsia="MS Mincho"/>
        </w:rPr>
        <w:t>E</w:t>
      </w:r>
      <w:r>
        <w:rPr>
          <w:rFonts w:eastAsia="MS Mincho"/>
        </w:rPr>
        <w:t>nzyme</w:t>
      </w:r>
      <w:r w:rsidR="00EB6B7D" w:rsidRPr="00EB6B7D">
        <w:rPr>
          <w:rFonts w:eastAsia="MS Mincho"/>
        </w:rPr>
        <w:t xml:space="preserve"> </w:t>
      </w:r>
      <w:r w:rsidR="00AB4115">
        <w:rPr>
          <w:rFonts w:eastAsia="MS Mincho"/>
        </w:rPr>
        <w:t>T</w:t>
      </w:r>
      <w:r w:rsidR="00EB6B7D" w:rsidRPr="00EB6B7D">
        <w:rPr>
          <w:rFonts w:eastAsia="MS Mincho"/>
        </w:rPr>
        <w:t>echnolo</w:t>
      </w:r>
      <w:r>
        <w:rPr>
          <w:rFonts w:eastAsia="MS Mincho"/>
        </w:rPr>
        <w:t>gy</w:t>
      </w:r>
      <w:r w:rsidR="00EB6B7D" w:rsidRPr="00EB6B7D">
        <w:rPr>
          <w:rFonts w:eastAsia="MS Mincho"/>
        </w:rPr>
        <w:t xml:space="preserve"> in</w:t>
      </w:r>
      <w:r>
        <w:rPr>
          <w:rFonts w:eastAsia="MS Mincho"/>
        </w:rPr>
        <w:t xml:space="preserve"> Food Processing Industries</w:t>
      </w:r>
    </w:p>
    <w:p w:rsidR="00A92805" w:rsidRDefault="00A92805" w:rsidP="00A92805">
      <w:pPr>
        <w:pStyle w:val="Author"/>
        <w:spacing w:before="0" w:after="0"/>
        <w:jc w:val="both"/>
        <w:rPr>
          <w:rFonts w:eastAsia="MS Mincho"/>
          <w:sz w:val="20"/>
          <w:szCs w:val="20"/>
        </w:rPr>
      </w:pPr>
    </w:p>
    <w:p w:rsidR="00A92805" w:rsidRDefault="00A92805" w:rsidP="00A92805">
      <w:pPr>
        <w:pStyle w:val="Author"/>
        <w:spacing w:before="0" w:after="0"/>
        <w:jc w:val="both"/>
        <w:rPr>
          <w:rFonts w:eastAsia="MS Mincho"/>
          <w:sz w:val="24"/>
          <w:szCs w:val="24"/>
        </w:rPr>
      </w:pPr>
      <w:r w:rsidRPr="00A92805">
        <w:rPr>
          <w:rFonts w:eastAsia="MS Mincho"/>
          <w:sz w:val="24"/>
          <w:szCs w:val="24"/>
        </w:rPr>
        <w:t>Dipika Kumari,</w:t>
      </w:r>
      <w:r w:rsidRPr="00A92805">
        <w:rPr>
          <w:rFonts w:eastAsia="MS Mincho"/>
          <w:sz w:val="24"/>
          <w:szCs w:val="24"/>
          <w:vertAlign w:val="superscript"/>
        </w:rPr>
        <w:t>*</w:t>
      </w:r>
      <w:r w:rsidR="00AB4115">
        <w:rPr>
          <w:rFonts w:eastAsia="MS Mincho"/>
          <w:sz w:val="24"/>
          <w:szCs w:val="24"/>
        </w:rPr>
        <w:t>S K Jha,</w:t>
      </w:r>
      <w:r>
        <w:rPr>
          <w:rFonts w:eastAsia="MS Mincho"/>
          <w:sz w:val="24"/>
          <w:szCs w:val="24"/>
        </w:rPr>
        <w:t xml:space="preserve"> Ladly Rani</w:t>
      </w:r>
      <w:r w:rsidR="00AB4115">
        <w:rPr>
          <w:rFonts w:eastAsia="MS Mincho"/>
          <w:sz w:val="24"/>
          <w:szCs w:val="24"/>
        </w:rPr>
        <w:t>, Rupa Verma</w:t>
      </w:r>
    </w:p>
    <w:p w:rsidR="00A92805" w:rsidRDefault="00A92805" w:rsidP="00A92805">
      <w:pPr>
        <w:pStyle w:val="Author"/>
        <w:spacing w:before="0" w:after="0"/>
        <w:jc w:val="both"/>
        <w:rPr>
          <w:rFonts w:eastAsia="MS Mincho"/>
          <w:sz w:val="24"/>
          <w:szCs w:val="24"/>
        </w:rPr>
      </w:pPr>
      <w:r>
        <w:rPr>
          <w:rFonts w:eastAsia="MS Mincho"/>
          <w:sz w:val="24"/>
          <w:szCs w:val="24"/>
        </w:rPr>
        <w:t xml:space="preserve">  </w:t>
      </w:r>
    </w:p>
    <w:p w:rsidR="00A92805" w:rsidRDefault="00A92805" w:rsidP="00A92805">
      <w:pPr>
        <w:pStyle w:val="Author"/>
        <w:spacing w:before="0" w:after="0"/>
        <w:jc w:val="both"/>
        <w:rPr>
          <w:rFonts w:eastAsia="MS Mincho"/>
          <w:sz w:val="24"/>
          <w:szCs w:val="24"/>
        </w:rPr>
      </w:pPr>
      <w:r>
        <w:rPr>
          <w:rFonts w:eastAsia="MS Mincho"/>
          <w:sz w:val="24"/>
          <w:szCs w:val="24"/>
        </w:rPr>
        <w:t>MSc Biotechnology, University Department of Botany</w:t>
      </w:r>
      <w:r w:rsidR="00CE581F">
        <w:rPr>
          <w:rFonts w:eastAsia="MS Mincho"/>
          <w:sz w:val="24"/>
          <w:szCs w:val="24"/>
        </w:rPr>
        <w:t>,</w:t>
      </w:r>
      <w:r>
        <w:rPr>
          <w:rFonts w:eastAsia="MS Mincho"/>
          <w:sz w:val="24"/>
          <w:szCs w:val="24"/>
        </w:rPr>
        <w:t xml:space="preserve"> Ranchi University Ranchi, Jharkhand, </w:t>
      </w:r>
      <w:r w:rsidR="00CE581F">
        <w:rPr>
          <w:rFonts w:eastAsia="MS Mincho"/>
          <w:sz w:val="24"/>
          <w:szCs w:val="24"/>
        </w:rPr>
        <w:t xml:space="preserve">India - </w:t>
      </w:r>
      <w:r>
        <w:rPr>
          <w:rFonts w:eastAsia="MS Mincho"/>
          <w:sz w:val="24"/>
          <w:szCs w:val="24"/>
        </w:rPr>
        <w:t>834008</w:t>
      </w:r>
    </w:p>
    <w:p w:rsidR="00A92805" w:rsidRDefault="00A92805" w:rsidP="00A92805">
      <w:pPr>
        <w:pStyle w:val="Author"/>
        <w:spacing w:before="0" w:after="0"/>
        <w:jc w:val="both"/>
        <w:rPr>
          <w:rFonts w:eastAsia="MS Mincho"/>
          <w:sz w:val="24"/>
          <w:szCs w:val="24"/>
        </w:rPr>
      </w:pPr>
      <w:r>
        <w:rPr>
          <w:rFonts w:eastAsia="MS Mincho"/>
          <w:sz w:val="24"/>
          <w:szCs w:val="24"/>
        </w:rPr>
        <w:t xml:space="preserve"> </w:t>
      </w:r>
    </w:p>
    <w:p w:rsidR="00A92805" w:rsidRPr="00A92805" w:rsidRDefault="00A92805" w:rsidP="00A92805">
      <w:pPr>
        <w:pStyle w:val="Author"/>
        <w:spacing w:before="0" w:after="0"/>
        <w:jc w:val="both"/>
        <w:rPr>
          <w:rFonts w:eastAsia="MS Mincho"/>
          <w:sz w:val="24"/>
          <w:szCs w:val="24"/>
        </w:rPr>
      </w:pPr>
      <w:r>
        <w:rPr>
          <w:rFonts w:eastAsia="MS Mincho"/>
          <w:sz w:val="24"/>
          <w:szCs w:val="24"/>
        </w:rPr>
        <w:t>Corresponding author: dipikadayal2512@gmail.com</w:t>
      </w:r>
    </w:p>
    <w:p w:rsidR="008A55B5" w:rsidRPr="00466548" w:rsidRDefault="008A55B5" w:rsidP="00A92805">
      <w:pPr>
        <w:pStyle w:val="Author"/>
        <w:spacing w:before="0" w:after="0"/>
        <w:jc w:val="both"/>
        <w:rPr>
          <w:rFonts w:eastAsia="MS Mincho"/>
          <w:sz w:val="20"/>
          <w:szCs w:val="20"/>
        </w:rPr>
        <w:sectPr w:rsidR="008A55B5" w:rsidRPr="00466548" w:rsidSect="00AA0700">
          <w:footerReference w:type="default" r:id="rId8"/>
          <w:pgSz w:w="11909" w:h="16834" w:code="9"/>
          <w:pgMar w:top="1440" w:right="1440" w:bottom="1440" w:left="1440" w:header="720" w:footer="720" w:gutter="0"/>
          <w:pgNumType w:start="1"/>
          <w:cols w:space="720"/>
          <w:docGrid w:linePitch="360"/>
        </w:sectPr>
      </w:pPr>
    </w:p>
    <w:p w:rsidR="00466548" w:rsidRDefault="00466548" w:rsidP="00AB4115">
      <w:pPr>
        <w:pStyle w:val="Affiliation"/>
        <w:jc w:val="both"/>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A92805" w:rsidRPr="00466548" w:rsidRDefault="00A92805" w:rsidP="00A92805">
      <w:pPr>
        <w:pStyle w:val="Author"/>
        <w:spacing w:before="0" w:after="0"/>
        <w:jc w:val="both"/>
        <w:rPr>
          <w:rFonts w:eastAsia="MS Mincho"/>
          <w:sz w:val="20"/>
          <w:szCs w:val="20"/>
        </w:rPr>
        <w:sectPr w:rsidR="00A92805" w:rsidRPr="00466548" w:rsidSect="00EB0073">
          <w:headerReference w:type="default" r:id="rId9"/>
          <w:footerReference w:type="default" r:id="rId10"/>
          <w:type w:val="continuous"/>
          <w:pgSz w:w="11909" w:h="16834" w:code="9"/>
          <w:pgMar w:top="1440" w:right="1440" w:bottom="1440" w:left="1440" w:header="720" w:footer="720" w:gutter="0"/>
          <w:pgNumType w:start="1"/>
          <w:cols w:space="720"/>
          <w:docGrid w:linePitch="360"/>
        </w:sectPr>
      </w:pPr>
    </w:p>
    <w:p w:rsidR="00A301C1" w:rsidRPr="00466548" w:rsidRDefault="00A301C1" w:rsidP="00AB4115">
      <w:pPr>
        <w:pStyle w:val="Affiliation"/>
        <w:jc w:val="both"/>
        <w:rPr>
          <w:rFonts w:eastAsia="MS Mincho"/>
        </w:rPr>
        <w:sectPr w:rsidR="00A301C1" w:rsidRPr="00466548" w:rsidSect="00466548">
          <w:type w:val="continuous"/>
          <w:pgSz w:w="11909" w:h="16834" w:code="9"/>
          <w:pgMar w:top="1440" w:right="1440" w:bottom="1440" w:left="1440" w:header="720" w:footer="720" w:gutter="0"/>
          <w:cols w:space="720"/>
          <w:docGrid w:linePitch="360"/>
        </w:sectPr>
      </w:pPr>
    </w:p>
    <w:p w:rsidR="00466548" w:rsidRDefault="00402841" w:rsidP="00AB4115">
      <w:pPr>
        <w:pStyle w:val="Abstract"/>
        <w:spacing w:after="0"/>
        <w:ind w:firstLine="0"/>
        <w:rPr>
          <w:rFonts w:eastAsia="MS Mincho"/>
          <w:iCs/>
          <w:sz w:val="20"/>
          <w:szCs w:val="20"/>
        </w:rPr>
      </w:pPr>
      <w:r w:rsidRPr="00402841">
        <w:rPr>
          <w:rFonts w:eastAsia="MS Mincho"/>
          <w:iCs/>
          <w:sz w:val="20"/>
          <w:szCs w:val="20"/>
        </w:rPr>
        <w:lastRenderedPageBreak/>
        <w:t>ABSTRACT</w:t>
      </w:r>
    </w:p>
    <w:p w:rsidR="00EB6B7D" w:rsidRPr="00402841" w:rsidRDefault="00EB6B7D" w:rsidP="00466548">
      <w:pPr>
        <w:pStyle w:val="Abstract"/>
        <w:spacing w:after="0"/>
        <w:ind w:firstLine="0"/>
        <w:jc w:val="center"/>
        <w:rPr>
          <w:rFonts w:eastAsia="MS Mincho"/>
          <w:iCs/>
          <w:sz w:val="20"/>
          <w:szCs w:val="20"/>
        </w:rPr>
      </w:pPr>
    </w:p>
    <w:p w:rsidR="00D520EE" w:rsidRDefault="00D520EE" w:rsidP="004B1C7C">
      <w:pPr>
        <w:jc w:val="both"/>
      </w:pPr>
      <w:r>
        <w:t xml:space="preserve">The food sector </w:t>
      </w:r>
      <w:r w:rsidR="00A92805" w:rsidRPr="00A92805">
        <w:t xml:space="preserve">often uses enzyme technology because of </w:t>
      </w:r>
      <w:r w:rsidR="00A92805">
        <w:t>its</w:t>
      </w:r>
      <w:r w:rsidR="00A92805" w:rsidRPr="00A92805">
        <w:t xml:space="preserve"> efficiency, specificity, and safety benefits</w:t>
      </w:r>
      <w:r>
        <w:t xml:space="preserve">. Recent years have seen "future foods" </w:t>
      </w:r>
      <w:r w:rsidR="00581245">
        <w:t xml:space="preserve">emerge as a new </w:t>
      </w:r>
      <w:r w:rsidR="00CE581F">
        <w:t>hotspot</w:t>
      </w:r>
      <w:r>
        <w:t xml:space="preserve"> for developing </w:t>
      </w:r>
      <w:r w:rsidR="00CE581F">
        <w:t>healthier, more</w:t>
      </w:r>
      <w:r w:rsidR="00581245">
        <w:t xml:space="preserve"> </w:t>
      </w:r>
      <w:r>
        <w:t xml:space="preserve">nutrient-dense, palatable, </w:t>
      </w:r>
      <w:r w:rsidR="00062BB3">
        <w:t xml:space="preserve">and sustainably produced meals. </w:t>
      </w:r>
      <w:r w:rsidR="00062BB3" w:rsidRPr="00062BB3">
        <w:t>None</w:t>
      </w:r>
      <w:r w:rsidR="00433FFD">
        <w:t xml:space="preserve">theless, many meals have </w:t>
      </w:r>
      <w:r w:rsidR="00433FFD" w:rsidRPr="00433FFD">
        <w:t>consistency</w:t>
      </w:r>
      <w:r w:rsidR="00062BB3" w:rsidRPr="00062BB3">
        <w:t>, nutrition, and flavor concerns.</w:t>
      </w:r>
      <w:r w:rsidR="00062BB3">
        <w:t xml:space="preserve"> </w:t>
      </w:r>
      <w:r w:rsidR="00433FFD" w:rsidRPr="00433FFD">
        <w:t>Enzyme technology advancements have enabled the development of new tools and ways for modifying the feel of foods and caloric components. In this paper, we explore the applications of enzyme innovation to the production of potential meals, with an emphasis on t</w:t>
      </w:r>
      <w:r w:rsidR="000B7919">
        <w:t>aste, consistency, and security</w:t>
      </w:r>
      <w:r>
        <w:t xml:space="preserve">. </w:t>
      </w:r>
      <w:r w:rsidR="00701787">
        <w:t>Additionally, we examine the prospective alternatives of catalyst-based innovations regarding food production, both of such as the customization of enzyme activity</w:t>
      </w:r>
      <w:r w:rsidR="0059034F">
        <w:t>, the development suitable</w:t>
      </w:r>
      <w:r w:rsidR="004B1C7C">
        <w:t xml:space="preserve"> hosts to produce</w:t>
      </w:r>
      <w:r w:rsidR="00701787">
        <w:t xml:space="preserve"> of meal-grade amino acids, and the further development of combinatorial multi-enzyme complexes.</w:t>
      </w:r>
    </w:p>
    <w:p w:rsidR="00466548" w:rsidRPr="00466548" w:rsidRDefault="00466548" w:rsidP="00466548">
      <w:pPr>
        <w:pStyle w:val="Abstract"/>
        <w:spacing w:after="0"/>
        <w:ind w:firstLine="0"/>
        <w:rPr>
          <w:rFonts w:eastAsia="MS Mincho"/>
          <w:b w:val="0"/>
          <w:sz w:val="20"/>
          <w:szCs w:val="20"/>
        </w:rPr>
      </w:pPr>
    </w:p>
    <w:p w:rsidR="008A55B5" w:rsidRDefault="003E5530" w:rsidP="00466548">
      <w:pPr>
        <w:pStyle w:val="keywords"/>
        <w:spacing w:after="0"/>
        <w:ind w:firstLine="0"/>
        <w:rPr>
          <w:rFonts w:eastAsia="MS Mincho"/>
          <w:b w:val="0"/>
          <w:i w:val="0"/>
          <w:sz w:val="20"/>
          <w:szCs w:val="20"/>
        </w:rPr>
      </w:pPr>
      <w:r w:rsidRPr="00475FAC">
        <w:rPr>
          <w:rFonts w:eastAsia="MS Mincho"/>
          <w:i w:val="0"/>
          <w:sz w:val="22"/>
          <w:szCs w:val="22"/>
        </w:rPr>
        <w:t>Keywords-</w:t>
      </w:r>
      <w:r w:rsidRPr="003E5530">
        <w:rPr>
          <w:rFonts w:eastAsia="MS Mincho"/>
          <w:b w:val="0"/>
          <w:i w:val="0"/>
          <w:sz w:val="20"/>
          <w:szCs w:val="20"/>
        </w:rPr>
        <w:t>E</w:t>
      </w:r>
      <w:r>
        <w:rPr>
          <w:rFonts w:eastAsia="MS Mincho"/>
          <w:b w:val="0"/>
          <w:i w:val="0"/>
          <w:sz w:val="20"/>
          <w:szCs w:val="20"/>
        </w:rPr>
        <w:t>nzyme technology, Texture, Nutrition Security.</w:t>
      </w:r>
    </w:p>
    <w:p w:rsidR="00466548" w:rsidRDefault="00466548" w:rsidP="00466548">
      <w:pPr>
        <w:pStyle w:val="keywords"/>
        <w:spacing w:after="0"/>
        <w:ind w:firstLine="0"/>
        <w:rPr>
          <w:rFonts w:eastAsia="MS Mincho"/>
          <w:b w:val="0"/>
          <w:i w:val="0"/>
          <w:sz w:val="20"/>
          <w:szCs w:val="20"/>
        </w:rPr>
      </w:pPr>
    </w:p>
    <w:p w:rsidR="00F7586E" w:rsidRDefault="00F7586E" w:rsidP="00466548">
      <w:pPr>
        <w:pStyle w:val="keywords"/>
        <w:spacing w:after="0"/>
        <w:ind w:firstLine="0"/>
        <w:rPr>
          <w:rFonts w:eastAsia="MS Mincho"/>
          <w:b w:val="0"/>
          <w:i w:val="0"/>
          <w:sz w:val="20"/>
          <w:szCs w:val="20"/>
        </w:rPr>
      </w:pPr>
    </w:p>
    <w:p w:rsidR="008A55B5" w:rsidRPr="00475FAC" w:rsidRDefault="00402841" w:rsidP="00284B1D">
      <w:pPr>
        <w:pStyle w:val="Heading1"/>
        <w:numPr>
          <w:ilvl w:val="0"/>
          <w:numId w:val="0"/>
        </w:numPr>
        <w:spacing w:before="0" w:after="0"/>
        <w:jc w:val="both"/>
        <w:rPr>
          <w:rFonts w:ascii="Times New Roman" w:eastAsia="MS Mincho" w:hAnsi="Times New Roman"/>
          <w:sz w:val="22"/>
          <w:szCs w:val="22"/>
        </w:rPr>
      </w:pPr>
      <w:r w:rsidRPr="00402841">
        <w:rPr>
          <w:rFonts w:ascii="Times New Roman" w:eastAsia="MS Mincho" w:hAnsi="Times New Roman"/>
          <w:sz w:val="20"/>
          <w:szCs w:val="20"/>
        </w:rPr>
        <w:t xml:space="preserve"> </w:t>
      </w:r>
      <w:r w:rsidR="00475FAC">
        <w:rPr>
          <w:rFonts w:ascii="Times New Roman" w:eastAsia="MS Mincho" w:hAnsi="Times New Roman"/>
          <w:sz w:val="22"/>
          <w:szCs w:val="22"/>
        </w:rPr>
        <w:t>INTRODUCTION</w:t>
      </w:r>
      <w:r w:rsidRPr="00475FAC">
        <w:rPr>
          <w:rFonts w:ascii="Times New Roman" w:eastAsia="MS Mincho" w:hAnsi="Times New Roman"/>
          <w:sz w:val="22"/>
          <w:szCs w:val="22"/>
        </w:rPr>
        <w:t xml:space="preserve"> </w:t>
      </w:r>
    </w:p>
    <w:p w:rsidR="00F7586E" w:rsidRPr="00F7586E" w:rsidRDefault="00F7586E" w:rsidP="00F7586E">
      <w:pPr>
        <w:rPr>
          <w:rFonts w:eastAsia="MS Mincho"/>
        </w:rPr>
      </w:pPr>
    </w:p>
    <w:p w:rsidR="00466548" w:rsidRPr="00466548" w:rsidRDefault="00466548" w:rsidP="00466548">
      <w:pPr>
        <w:rPr>
          <w:rFonts w:eastAsia="MS Mincho"/>
        </w:rPr>
      </w:pPr>
    </w:p>
    <w:p w:rsidR="008A55B5" w:rsidRDefault="000B7919" w:rsidP="00466548">
      <w:pPr>
        <w:pStyle w:val="BodyText"/>
        <w:spacing w:after="0" w:line="240" w:lineRule="auto"/>
        <w:ind w:firstLine="0"/>
      </w:pPr>
      <w:r w:rsidRPr="000B7919">
        <w:t>Food science has transformed from traditional ways for nutritional enhancement, such as mechanical processing of</w:t>
      </w:r>
      <w:r>
        <w:t xml:space="preserve"> </w:t>
      </w:r>
      <w:r w:rsidRPr="000B7919">
        <w:t>food, as biological studies and fo</w:t>
      </w:r>
      <w:r>
        <w:t xml:space="preserve">od manufacturing have </w:t>
      </w:r>
      <w:r w:rsidR="00EA29AA">
        <w:t>developed</w:t>
      </w:r>
      <w:r w:rsidR="00EA29AA" w:rsidRPr="00D520EE">
        <w:t>.</w:t>
      </w:r>
      <w:r w:rsidR="00EA29AA">
        <w:t xml:space="preserve"> </w:t>
      </w:r>
      <w:r w:rsidR="00047FCC" w:rsidRPr="00EA29AA">
        <w:t>Components</w:t>
      </w:r>
      <w:r w:rsidR="00EA29AA" w:rsidRPr="00EA29AA">
        <w:t xml:space="preserve">, as well as modern </w:t>
      </w:r>
      <w:r w:rsidR="00EA29AA">
        <w:t>food manufacturing or designing</w:t>
      </w:r>
      <w:r w:rsidRPr="000B7919">
        <w:t>.</w:t>
      </w:r>
      <w:r w:rsidR="00EA29AA">
        <w:t xml:space="preserve"> </w:t>
      </w:r>
      <w:r w:rsidR="00EA29AA" w:rsidRPr="00EA29AA">
        <w:t>Future food production will be dependent on advances in biological engineering, machine learning, manufacturing by additives, and flavor (Fig. 1) [1].</w:t>
      </w:r>
      <w:r w:rsidR="00047FCC" w:rsidRPr="00047FCC">
        <w:t xml:space="preserve"> In the future, mitochondrial and enzyme science will be used alongside traditional food manufacturing technologies, for instance establishing biosynthetic pathways to turn renewable raw materials into food components and beneficial nutritional supplements. </w:t>
      </w:r>
      <w:r w:rsidR="00D520EE" w:rsidRPr="00D520EE">
        <w:t xml:space="preserve"> </w:t>
      </w:r>
      <w:r w:rsidR="00E5256A" w:rsidRPr="00E5256A">
        <w:t>These technological breakthroughs will address difficulties concerning the global food provides safety, hygiene, and stability as enhancing nutrition technological and scientific advances [2, 3].</w:t>
      </w:r>
      <w:r w:rsidR="00D520EE" w:rsidRPr="00D520EE">
        <w:t xml:space="preserve">  </w:t>
      </w:r>
    </w:p>
    <w:p w:rsidR="00F7586E" w:rsidRDefault="00F7586E" w:rsidP="00466548">
      <w:pPr>
        <w:pStyle w:val="BodyText"/>
        <w:spacing w:after="0" w:line="240" w:lineRule="auto"/>
        <w:ind w:firstLine="0"/>
      </w:pPr>
    </w:p>
    <w:p w:rsidR="00D520EE" w:rsidRDefault="00D520EE" w:rsidP="00D520EE">
      <w:pPr>
        <w:jc w:val="both"/>
      </w:pPr>
      <w:r w:rsidRPr="00733B32">
        <w:t xml:space="preserve">Future food production employing cell culture has the potential to expand land </w:t>
      </w:r>
      <w:r w:rsidR="00A92805" w:rsidRPr="00733B32">
        <w:t>utilization</w:t>
      </w:r>
      <w:r w:rsidRPr="00733B32">
        <w:t xml:space="preserve"> by 1,000 times, consume &gt; 90% less water, and emit 87% less greenhouse gas than traditional food businesses [1, 4]. In terms of health, safety, nutrition, and environmental effect, foods like artificial meat (including plant-based and cell-cultured varieties) outperform traditional meat production in a big way. Impossible Foods Inc., Beyond Meat, and Memphis Meats are current biotech firms that have spent money to create and market fake meat and other future foods.</w:t>
      </w:r>
      <w:r>
        <w:t xml:space="preserve"> </w:t>
      </w:r>
    </w:p>
    <w:p w:rsidR="00F7586E" w:rsidRDefault="00F7586E" w:rsidP="00D520EE">
      <w:pPr>
        <w:jc w:val="both"/>
      </w:pPr>
    </w:p>
    <w:p w:rsidR="004958AD" w:rsidRDefault="00F7586E" w:rsidP="00D520EE">
      <w:pPr>
        <w:jc w:val="both"/>
      </w:pPr>
      <w:r w:rsidRPr="00733B32">
        <w:t xml:space="preserve">Food processing requires the creation of effective methods for modifying and improving </w:t>
      </w:r>
      <w:r w:rsidR="00AB4115">
        <w:t>synthetic meat's flavor, texture, and nutritional qualities</w:t>
      </w:r>
      <w:r w:rsidRPr="00733B32">
        <w:t xml:space="preserve">. Enzyme-based technology has emerged as a potent instrument for the </w:t>
      </w:r>
      <w:r w:rsidR="00A92805" w:rsidRPr="00A92805">
        <w:t xml:space="preserve">fast expansion of the food industry since it cuts down on processing time, material costs, and energy requirements while </w:t>
      </w:r>
      <w:r w:rsidRPr="00733B32">
        <w:t>being non-toxic and environmentally beneficial [5, 6].</w:t>
      </w:r>
      <w:r w:rsidRPr="00F7586E">
        <w:t xml:space="preserve"> </w:t>
      </w:r>
      <w:r w:rsidR="00736D09" w:rsidRPr="00736D09">
        <w:t>As an illustration, glutamate amino acids (TGase) as digest were tuned to change the amount of linking and breakdown toxins and quality enhancement during food preparation [7].</w:t>
      </w:r>
    </w:p>
    <w:p w:rsidR="004958AD" w:rsidRDefault="004958AD" w:rsidP="00D520EE">
      <w:pPr>
        <w:jc w:val="both"/>
      </w:pPr>
      <w:r w:rsidRPr="004958AD">
        <w:rPr>
          <w:noProof/>
        </w:rPr>
        <w:lastRenderedPageBreak/>
        <w:drawing>
          <wp:inline distT="0" distB="0" distL="0" distR="0">
            <wp:extent cx="5733415" cy="330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308350"/>
                    </a:xfrm>
                    <a:prstGeom prst="rect">
                      <a:avLst/>
                    </a:prstGeom>
                    <a:noFill/>
                    <a:ln>
                      <a:noFill/>
                    </a:ln>
                  </pic:spPr>
                </pic:pic>
              </a:graphicData>
            </a:graphic>
          </wp:inline>
        </w:drawing>
      </w:r>
    </w:p>
    <w:p w:rsidR="004958AD" w:rsidRDefault="004958AD" w:rsidP="00D520EE">
      <w:pPr>
        <w:jc w:val="both"/>
      </w:pPr>
    </w:p>
    <w:p w:rsidR="004958AD" w:rsidRPr="00A87616" w:rsidRDefault="004958AD" w:rsidP="004958AD">
      <w:pPr>
        <w:pStyle w:val="figurecaption"/>
        <w:numPr>
          <w:ilvl w:val="0"/>
          <w:numId w:val="0"/>
        </w:numPr>
        <w:rPr>
          <w:rFonts w:eastAsia="MS Mincho"/>
          <w:b/>
          <w:color w:val="C0504D" w:themeColor="accent2"/>
        </w:rPr>
      </w:pPr>
      <w:r w:rsidRPr="004958AD">
        <w:rPr>
          <w:rFonts w:eastAsia="MS Mincho"/>
          <w:b/>
          <w:sz w:val="20"/>
          <w:szCs w:val="20"/>
        </w:rPr>
        <w:t>Fig</w:t>
      </w:r>
      <w:r w:rsidR="00543851">
        <w:rPr>
          <w:rFonts w:eastAsia="MS Mincho"/>
          <w:b/>
          <w:sz w:val="20"/>
          <w:szCs w:val="20"/>
        </w:rPr>
        <w:t>ure</w:t>
      </w:r>
      <w:r w:rsidRPr="004958AD">
        <w:rPr>
          <w:rFonts w:eastAsia="MS Mincho"/>
          <w:b/>
          <w:sz w:val="20"/>
          <w:szCs w:val="20"/>
        </w:rPr>
        <w:t xml:space="preserve"> 1</w:t>
      </w:r>
      <w:r w:rsidR="00E0289A">
        <w:rPr>
          <w:rFonts w:eastAsia="MS Mincho"/>
          <w:b/>
          <w:sz w:val="20"/>
          <w:szCs w:val="20"/>
        </w:rPr>
        <w:t>.</w:t>
      </w:r>
      <w:r w:rsidR="00736D09" w:rsidRPr="00736D09">
        <w:t xml:space="preserve"> </w:t>
      </w:r>
      <w:r w:rsidR="00736D09" w:rsidRPr="00736D09">
        <w:rPr>
          <w:rFonts w:eastAsia="MS Mincho"/>
          <w:b/>
          <w:sz w:val="20"/>
          <w:szCs w:val="20"/>
        </w:rPr>
        <w:t>The Growing of Food for the Coming Years</w:t>
      </w:r>
      <w:r w:rsidRPr="004958AD">
        <w:rPr>
          <w:rFonts w:eastAsia="MS Mincho"/>
          <w:b/>
          <w:sz w:val="20"/>
          <w:szCs w:val="20"/>
        </w:rPr>
        <w:t xml:space="preserve">. </w:t>
      </w:r>
      <w:r w:rsidR="004B1658" w:rsidRPr="004B1658">
        <w:rPr>
          <w:rFonts w:eastAsia="MS Mincho"/>
          <w:b/>
          <w:sz w:val="20"/>
          <w:szCs w:val="20"/>
        </w:rPr>
        <w:t>Manufactured production of food in the future would entail several sophisticated methods that involve artificial brains, microbial technology, metabolic design, nutrition artificial life, protease a career in engineering or the technology of 3D printing.</w:t>
      </w:r>
      <w:r w:rsidR="004B1C7C">
        <w:rPr>
          <w:rFonts w:eastAsia="MS Mincho"/>
          <w:b/>
          <w:sz w:val="20"/>
          <w:szCs w:val="20"/>
        </w:rPr>
        <w:t xml:space="preserve"> </w:t>
      </w:r>
      <w:r w:rsidR="004B1658" w:rsidRPr="004B1658">
        <w:rPr>
          <w:rFonts w:eastAsia="MS Mincho"/>
          <w:b/>
          <w:sz w:val="20"/>
          <w:szCs w:val="20"/>
        </w:rPr>
        <w:t>(</w:t>
      </w:r>
      <w:r w:rsidR="004B1C7C">
        <w:rPr>
          <w:rFonts w:eastAsia="MS Mincho"/>
          <w:b/>
          <w:sz w:val="20"/>
          <w:szCs w:val="20"/>
        </w:rPr>
        <w:t>Reference No. (79)</w:t>
      </w:r>
      <w:r w:rsidR="004B1658" w:rsidRPr="004B1658">
        <w:rPr>
          <w:rFonts w:eastAsia="MS Mincho"/>
          <w:b/>
          <w:sz w:val="20"/>
          <w:szCs w:val="20"/>
        </w:rPr>
        <w:t xml:space="preserve"> </w:t>
      </w:r>
      <w:r w:rsidR="001D17AB" w:rsidRPr="00A87616">
        <w:rPr>
          <w:rFonts w:eastAsia="MS Mincho"/>
          <w:b/>
        </w:rPr>
        <w:t xml:space="preserve">(2020) </w:t>
      </w:r>
      <w:r w:rsidR="004B1658" w:rsidRPr="004B1658">
        <w:rPr>
          <w:rFonts w:eastAsia="MS Mincho"/>
          <w:b/>
        </w:rPr>
        <w:t>Progress and possibilities from enzyme manufacturing for subsequent meals).</w:t>
      </w:r>
    </w:p>
    <w:p w:rsidR="004958AD" w:rsidRPr="00F7586E" w:rsidRDefault="004958AD" w:rsidP="00F7586E">
      <w:pPr>
        <w:pStyle w:val="figurecaption"/>
        <w:numPr>
          <w:ilvl w:val="0"/>
          <w:numId w:val="0"/>
        </w:numPr>
        <w:spacing w:before="0" w:after="0"/>
        <w:jc w:val="center"/>
        <w:rPr>
          <w:rFonts w:eastAsia="MS Mincho"/>
          <w:b/>
          <w:sz w:val="20"/>
          <w:szCs w:val="20"/>
        </w:rPr>
      </w:pPr>
    </w:p>
    <w:p w:rsidR="00D520EE" w:rsidRDefault="00475FAC" w:rsidP="00D520EE">
      <w:pPr>
        <w:jc w:val="both"/>
      </w:pPr>
      <w:r>
        <w:t>Currently, enzymes are also used to improve nutritional aspects and utilization efficiency of raw materials and provide methods to customize flavor profiles of food (Fig.2). This review focuses on the applications of enzyme technology in future food production, in</w:t>
      </w:r>
      <w:r w:rsidR="00D05A3D">
        <w:t>cluding food texture improvement, nutritional safety enhancement, and flavor optimization (see Table 1). Furthermore, the prospects of enzyme technologies are also discussed.</w:t>
      </w:r>
    </w:p>
    <w:p w:rsidR="00D520EE" w:rsidRDefault="00D520EE" w:rsidP="00466548">
      <w:pPr>
        <w:pStyle w:val="BodyText"/>
        <w:spacing w:after="0" w:line="240" w:lineRule="auto"/>
        <w:ind w:firstLine="0"/>
      </w:pPr>
    </w:p>
    <w:p w:rsidR="00466548" w:rsidRPr="00D05A3D" w:rsidRDefault="00D05A3D" w:rsidP="00466548">
      <w:pPr>
        <w:rPr>
          <w:rFonts w:eastAsia="MS Mincho"/>
          <w:b/>
          <w:sz w:val="22"/>
          <w:szCs w:val="22"/>
        </w:rPr>
      </w:pPr>
      <w:r w:rsidRPr="00D05A3D">
        <w:rPr>
          <w:rFonts w:eastAsia="MS Mincho"/>
          <w:b/>
          <w:sz w:val="22"/>
          <w:szCs w:val="22"/>
        </w:rPr>
        <w:t>Applications of enzyme-based Technology in future food Production</w:t>
      </w:r>
    </w:p>
    <w:p w:rsidR="00D05A3D" w:rsidRPr="00D05A3D" w:rsidRDefault="00D05A3D" w:rsidP="00466548">
      <w:pPr>
        <w:rPr>
          <w:rFonts w:eastAsia="MS Mincho"/>
          <w:b/>
        </w:rPr>
      </w:pPr>
    </w:p>
    <w:p w:rsidR="00D05A3D" w:rsidRDefault="00D05A3D" w:rsidP="00A301C1">
      <w:pPr>
        <w:jc w:val="both"/>
        <w:rPr>
          <w:rFonts w:eastAsia="MyriadPro-BoldSemiCn"/>
          <w:b/>
          <w:bCs/>
          <w:sz w:val="22"/>
          <w:szCs w:val="22"/>
        </w:rPr>
      </w:pPr>
      <w:r>
        <w:rPr>
          <w:rFonts w:eastAsia="MyriadPro-BoldSemiCn"/>
          <w:b/>
          <w:bCs/>
          <w:sz w:val="22"/>
          <w:szCs w:val="22"/>
        </w:rPr>
        <w:t>Food texture improvement</w:t>
      </w:r>
    </w:p>
    <w:p w:rsidR="004B1C7C" w:rsidRPr="00D05A3D" w:rsidRDefault="004B1C7C" w:rsidP="00A301C1">
      <w:pPr>
        <w:jc w:val="both"/>
        <w:rPr>
          <w:rFonts w:eastAsia="MyriadPro-BoldSemiCn"/>
          <w:b/>
          <w:bCs/>
          <w:sz w:val="22"/>
          <w:szCs w:val="22"/>
        </w:rPr>
      </w:pPr>
    </w:p>
    <w:p w:rsidR="00767BF4" w:rsidRDefault="00520240" w:rsidP="00A301C1">
      <w:pPr>
        <w:jc w:val="both"/>
      </w:pPr>
      <w:r w:rsidRPr="00520240">
        <w:t>The quality of food is significantly influenced by texture, which makes it a prime candidate for structural and function modifi</w:t>
      </w:r>
      <w:r w:rsidR="00F656DB">
        <w:t>cation via enzyme technologies.</w:t>
      </w:r>
      <w:r w:rsidR="00F656DB" w:rsidRPr="00F656DB">
        <w:t xml:space="preserve"> This enzyme, for example, may promote the bonding the amino as well as argentine protein remnants in meat products, reducing the volume of raw materials required for manufacture and providing meat products with a feel similar to whole raw tissues [8]. As compared to the traditional chemical approach that incorporates plenty of chlorine or phosphate of sodium salts as well, TGase-processed beef offerings are significantly better for you [9].</w:t>
      </w:r>
      <w:r w:rsidRPr="00520240">
        <w:t xml:space="preserve">Milk proteins, minced fish, and sausages have been processed using TGase. The gel texture is improved by this crosslinking. </w:t>
      </w:r>
      <w:r w:rsidR="00C2377F" w:rsidRPr="00520240">
        <w:t>By</w:t>
      </w:r>
      <w:r w:rsidRPr="00520240">
        <w:t xml:space="preserve"> boosting the gel's water-holding capacity, viscosity, and stiffness [10]. However, due to its lack of enzymatic capabilities and restricted residue substrate range, TGase has just a few crosslinking uses [7]. </w:t>
      </w:r>
      <w:r w:rsidR="003169A2" w:rsidRPr="003169A2">
        <w:t xml:space="preserve">Other enzymes, such as lactase, are capable of linking proteins found in milk by forming covalent bonds between tyrosine residues. </w:t>
      </w:r>
      <w:r w:rsidRPr="00520240">
        <w:t xml:space="preserve">[11], </w:t>
      </w:r>
      <w:r w:rsidR="003169A2" w:rsidRPr="003169A2">
        <w:t xml:space="preserve">Lactase may improve the elastic attributes of milk that is skimmed jellies. </w:t>
      </w:r>
      <w:r w:rsidR="009446E0">
        <w:t xml:space="preserve">[12]. </w:t>
      </w:r>
      <w:r w:rsidR="009446E0" w:rsidRPr="00520240">
        <w:t>additionally</w:t>
      </w:r>
      <w:r w:rsidRPr="00520240">
        <w:t xml:space="preserve">, protein </w:t>
      </w:r>
      <w:r w:rsidR="009446E0" w:rsidRPr="00520240">
        <w:t>cross linking</w:t>
      </w:r>
      <w:r w:rsidRPr="00520240">
        <w:t xml:space="preserve"> may be accomplished by polyphenol oxidase [13]. </w:t>
      </w:r>
      <w:r w:rsidR="003169A2" w:rsidRPr="003169A2">
        <w:t xml:space="preserve">When Li et al. investigated the </w:t>
      </w:r>
      <w:r w:rsidR="009446E0" w:rsidRPr="003169A2">
        <w:t>cross linking</w:t>
      </w:r>
      <w:r w:rsidR="003169A2" w:rsidRPr="003169A2">
        <w:t xml:space="preserve"> influence of the horseradish </w:t>
      </w:r>
      <w:r w:rsidR="009446E0" w:rsidRPr="003169A2">
        <w:t>peroxides</w:t>
      </w:r>
      <w:r w:rsidR="003169A2" w:rsidRPr="003169A2">
        <w:t xml:space="preserve"> enzyme on casein in the absence of hydrogen per oxide, they reported that casein emulsification climbed by ten percent and the stability of the emulsion grew by six percent during attaching. </w:t>
      </w:r>
      <w:r w:rsidRPr="00520240">
        <w:t xml:space="preserve">[14]. </w:t>
      </w:r>
      <w:r w:rsidR="009446E0" w:rsidRPr="00520240">
        <w:t>additionally</w:t>
      </w:r>
      <w:r w:rsidRPr="00520240">
        <w:t>, a significant approach for modifying protein texture is the covalent fusing of fatty acids with pr</w:t>
      </w:r>
      <w:r w:rsidR="009E2827">
        <w:t>oteins [15]. For instance, fatty-acylated proteins can alter the</w:t>
      </w:r>
      <w:r w:rsidRPr="00520240">
        <w:t xml:space="preserve"> </w:t>
      </w:r>
      <w:r w:rsidR="009E2827">
        <w:t>chemical and physical structural</w:t>
      </w:r>
      <w:r w:rsidR="00A301C1" w:rsidRPr="009E5E0A">
        <w:t xml:space="preserve"> characteristics of proteins derived from plants to increase their ability to store</w:t>
      </w:r>
      <w:r w:rsidR="00A301C1">
        <w:t xml:space="preserve"> oil.</w:t>
      </w:r>
      <w:r w:rsidR="008A55B5" w:rsidRPr="00466548">
        <w:t xml:space="preserve"> </w:t>
      </w:r>
    </w:p>
    <w:p w:rsidR="00BB088C" w:rsidRDefault="00BB088C" w:rsidP="00A301C1">
      <w:pPr>
        <w:jc w:val="both"/>
      </w:pPr>
    </w:p>
    <w:p w:rsidR="004171C7" w:rsidRDefault="004171C7" w:rsidP="00466548">
      <w:pPr>
        <w:pStyle w:val="BodyText"/>
        <w:spacing w:after="0" w:line="240" w:lineRule="auto"/>
        <w:ind w:firstLine="0"/>
      </w:pPr>
    </w:p>
    <w:p w:rsidR="00BB088C" w:rsidRDefault="00BB088C" w:rsidP="00466548">
      <w:pPr>
        <w:pStyle w:val="BodyText"/>
        <w:spacing w:after="0" w:line="240" w:lineRule="auto"/>
        <w:ind w:firstLine="0"/>
      </w:pPr>
      <w:r w:rsidRPr="00BB088C">
        <w:rPr>
          <w:noProof/>
        </w:rPr>
        <w:lastRenderedPageBreak/>
        <w:drawing>
          <wp:inline distT="0" distB="0" distL="0" distR="0">
            <wp:extent cx="5733415" cy="5020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5020945"/>
                    </a:xfrm>
                    <a:prstGeom prst="rect">
                      <a:avLst/>
                    </a:prstGeom>
                    <a:noFill/>
                    <a:ln>
                      <a:noFill/>
                    </a:ln>
                  </pic:spPr>
                </pic:pic>
              </a:graphicData>
            </a:graphic>
          </wp:inline>
        </w:drawing>
      </w:r>
    </w:p>
    <w:p w:rsidR="00BB088C" w:rsidRDefault="00BB088C" w:rsidP="00466548">
      <w:pPr>
        <w:pStyle w:val="BodyText"/>
        <w:spacing w:after="0" w:line="240" w:lineRule="auto"/>
        <w:ind w:firstLine="0"/>
      </w:pPr>
    </w:p>
    <w:p w:rsidR="00BB088C" w:rsidRDefault="00BB088C" w:rsidP="00466548">
      <w:pPr>
        <w:pStyle w:val="BodyText"/>
        <w:spacing w:after="0" w:line="240" w:lineRule="auto"/>
        <w:ind w:firstLine="0"/>
      </w:pPr>
    </w:p>
    <w:p w:rsidR="00BB088C" w:rsidRPr="00DF7338" w:rsidRDefault="00BB088C" w:rsidP="00DF7338">
      <w:pPr>
        <w:pStyle w:val="figurecaption"/>
        <w:numPr>
          <w:ilvl w:val="0"/>
          <w:numId w:val="0"/>
        </w:numPr>
        <w:rPr>
          <w:rFonts w:eastAsia="MS Mincho"/>
          <w:b/>
          <w:color w:val="C0504D" w:themeColor="accent2"/>
        </w:rPr>
      </w:pPr>
      <w:r w:rsidRPr="000B5B2F">
        <w:rPr>
          <w:rFonts w:eastAsia="MS Mincho"/>
          <w:b/>
          <w:sz w:val="20"/>
          <w:szCs w:val="20"/>
        </w:rPr>
        <w:t xml:space="preserve">Figure </w:t>
      </w:r>
      <w:r>
        <w:rPr>
          <w:rFonts w:eastAsia="MS Mincho"/>
          <w:b/>
          <w:sz w:val="20"/>
          <w:szCs w:val="20"/>
        </w:rPr>
        <w:t>2</w:t>
      </w:r>
      <w:r w:rsidRPr="000B5B2F">
        <w:rPr>
          <w:rFonts w:eastAsia="MS Mincho"/>
          <w:b/>
          <w:sz w:val="20"/>
          <w:szCs w:val="20"/>
        </w:rPr>
        <w:t>:</w:t>
      </w:r>
      <w:r w:rsidR="009446E0" w:rsidRPr="009446E0">
        <w:t xml:space="preserve"> </w:t>
      </w:r>
      <w:r w:rsidR="009446E0" w:rsidRPr="009446E0">
        <w:rPr>
          <w:rFonts w:eastAsia="MS Mincho"/>
          <w:b/>
          <w:sz w:val="20"/>
          <w:szCs w:val="20"/>
        </w:rPr>
        <w:t>Enzyme-based technology applications in future food areas</w:t>
      </w:r>
      <w:r w:rsidR="00A03744" w:rsidRPr="00A03744">
        <w:rPr>
          <w:rFonts w:eastAsia="MS Mincho"/>
          <w:b/>
          <w:sz w:val="20"/>
          <w:szCs w:val="20"/>
        </w:rPr>
        <w:t xml:space="preserve">. </w:t>
      </w:r>
      <w:r w:rsidR="009446E0" w:rsidRPr="009446E0">
        <w:rPr>
          <w:rFonts w:eastAsia="MS Mincho"/>
          <w:b/>
          <w:sz w:val="20"/>
          <w:szCs w:val="20"/>
        </w:rPr>
        <w:t xml:space="preserve">Enzyme-based innovations are primarily employed in the enhancement of future food production structure, nutrition, colour, and aroma, but they are also used in the inspection of meal components or identifying the presence of pathogens, antimicrobial agents, and contaminants. </w:t>
      </w:r>
      <w:r w:rsidR="00A87616" w:rsidRPr="00A87616">
        <w:rPr>
          <w:rFonts w:eastAsia="MS Mincho"/>
          <w:b/>
        </w:rPr>
        <w:t>(</w:t>
      </w:r>
      <w:r w:rsidR="004B1C7C">
        <w:rPr>
          <w:rFonts w:eastAsia="MS Mincho"/>
          <w:b/>
        </w:rPr>
        <w:t xml:space="preserve">Reference no. (79) </w:t>
      </w:r>
      <w:r w:rsidR="009446E0" w:rsidRPr="009446E0">
        <w:rPr>
          <w:rFonts w:eastAsia="MS Mincho"/>
          <w:b/>
        </w:rPr>
        <w:t xml:space="preserve"> (2020), Actual Status &amp; Expectations on Starch Technology in Upcoming Meal</w:t>
      </w:r>
      <w:r w:rsidR="00DF7338">
        <w:rPr>
          <w:rFonts w:eastAsia="MS Mincho"/>
          <w:b/>
        </w:rPr>
        <w:t>s .</w:t>
      </w:r>
    </w:p>
    <w:p w:rsidR="00BB088C" w:rsidRDefault="00BB088C" w:rsidP="00466548">
      <w:pPr>
        <w:pStyle w:val="BodyText"/>
        <w:spacing w:after="0" w:line="240" w:lineRule="auto"/>
        <w:ind w:firstLine="0"/>
      </w:pPr>
    </w:p>
    <w:p w:rsidR="00BB088C" w:rsidRPr="00466548" w:rsidRDefault="00BB088C" w:rsidP="00466548">
      <w:pPr>
        <w:pStyle w:val="BodyText"/>
        <w:spacing w:after="0" w:line="240" w:lineRule="auto"/>
        <w:ind w:firstLine="0"/>
      </w:pPr>
    </w:p>
    <w:p w:rsidR="00A301C1" w:rsidRDefault="00FC7137" w:rsidP="00A301C1">
      <w:pPr>
        <w:jc w:val="both"/>
        <w:rPr>
          <w:rFonts w:eastAsia="MyriadPro-BoldSemiCn"/>
          <w:b/>
          <w:bCs/>
        </w:rPr>
      </w:pPr>
      <w:r>
        <w:rPr>
          <w:rFonts w:eastAsia="MyriadPro-BoldSemiCn"/>
          <w:b/>
          <w:bCs/>
        </w:rPr>
        <w:t>Food H</w:t>
      </w:r>
      <w:r w:rsidR="00D73595" w:rsidRPr="00D73595">
        <w:rPr>
          <w:rFonts w:eastAsia="MyriadPro-BoldSemiCn"/>
          <w:b/>
          <w:bCs/>
        </w:rPr>
        <w:t>ygiene</w:t>
      </w:r>
    </w:p>
    <w:p w:rsidR="008A6EEB" w:rsidRPr="00A301C1" w:rsidRDefault="008A6EEB" w:rsidP="00A301C1">
      <w:pPr>
        <w:jc w:val="both"/>
        <w:rPr>
          <w:rFonts w:eastAsia="MyriadPro-BoldSemiCn"/>
          <w:b/>
          <w:bCs/>
        </w:rPr>
      </w:pPr>
    </w:p>
    <w:p w:rsidR="00520240" w:rsidRDefault="00D73595" w:rsidP="004B1C7C">
      <w:pPr>
        <w:jc w:val="both"/>
      </w:pPr>
      <w:r w:rsidRPr="00D73595">
        <w:t>Allergies to certain foods and antibiotic exposure have heightened citizen worries regarding meal hygiene and safety.</w:t>
      </w:r>
      <w:r w:rsidR="00520240" w:rsidRPr="00520240">
        <w:t xml:space="preserve"> [16]. </w:t>
      </w:r>
      <w:r w:rsidRPr="00D73595">
        <w:t xml:space="preserve">Because of hypersensitivity towards -conglycinin &amp; bean globulin itself amino acids derived from plants such as soy amino acids are prohibited. </w:t>
      </w:r>
      <w:r w:rsidR="00520240" w:rsidRPr="00520240">
        <w:t xml:space="preserve">[17], </w:t>
      </w:r>
      <w:r w:rsidR="00C2377F" w:rsidRPr="00A22C66">
        <w:t>to</w:t>
      </w:r>
      <w:r w:rsidR="00A22C66" w:rsidRPr="00A22C66">
        <w:t xml:space="preserve"> prevent or mitigate wellness issues, it is critical to reduce the proportion that contains these offenders in future food manufacture.</w:t>
      </w:r>
      <w:r w:rsidR="00A22C66" w:rsidRPr="00520240">
        <w:t xml:space="preserve"> Numerous</w:t>
      </w:r>
      <w:r w:rsidR="00520240" w:rsidRPr="00520240">
        <w:t xml:space="preserve"> investigations [18] have shown that the proteases papain and pepsin may hydrolyze soybean allergens and diminish allergenicity. Chymotrypsin's breakdown of 11S glycinin significantly reduces its allergenicity, according to "Lee et al." [19]. </w:t>
      </w:r>
      <w:r w:rsidR="009A5262" w:rsidRPr="009A5262">
        <w:t xml:space="preserve">Particularly juxtaposed with existing both chemical and physical approaches, </w:t>
      </w:r>
      <w:r w:rsidR="00CC0057" w:rsidRPr="009A5262">
        <w:t>characterized</w:t>
      </w:r>
      <w:r w:rsidR="009A5262" w:rsidRPr="009A5262">
        <w:t xml:space="preserve"> by worse manufacturing parameters, less discriminating (degrade both antigens), and greater hazards [20], enzyme-based treatments offer a considerable benefit in </w:t>
      </w:r>
      <w:r w:rsidR="00CC0057" w:rsidRPr="009A5262">
        <w:t>minimizing</w:t>
      </w:r>
      <w:r w:rsidR="009A5262" w:rsidRPr="009A5262">
        <w:t xml:space="preserve"> allergenicity.Amino variations (which include </w:t>
      </w:r>
      <w:r w:rsidR="00CC0057" w:rsidRPr="009A5262">
        <w:t>acetylating</w:t>
      </w:r>
      <w:r w:rsidR="009A5262" w:rsidRPr="009A5262">
        <w:t>) are an additional therapy for a foo</w:t>
      </w:r>
      <w:r w:rsidR="00FC7137">
        <w:t>d-based protein allergy symptom</w:t>
      </w:r>
      <w:r w:rsidR="009A5262" w:rsidRPr="009A5262">
        <w:t xml:space="preserve">. </w:t>
      </w:r>
      <w:r w:rsidR="00A22C66" w:rsidRPr="00A22C66">
        <w:t xml:space="preserve">The antigen city of glycerin (11S) dropped by approximately 30% complying with glycosylation, implying perhaps glycosidase could represent a useful agent in reducing allergy symptoms to products made from soybeans. </w:t>
      </w:r>
      <w:r w:rsidR="00520240" w:rsidRPr="00520240">
        <w:t xml:space="preserve">[21]. </w:t>
      </w:r>
      <w:r w:rsidR="00A22C66">
        <w:t>Equestr</w:t>
      </w:r>
      <w:r w:rsidR="006E237B">
        <w:t xml:space="preserve">ian drugs, particularly amoxicillin and cephalic acid, are widely used in the yoghurt trade. </w:t>
      </w:r>
      <w:r w:rsidR="00520240" w:rsidRPr="00520240">
        <w:t xml:space="preserve">Because of the excessive usage of these </w:t>
      </w:r>
      <w:r w:rsidR="00520240" w:rsidRPr="00520240">
        <w:lastRenderedPageBreak/>
        <w:t>antibiotics, milk</w:t>
      </w:r>
      <w:r w:rsidR="00AB4115">
        <w:t>,</w:t>
      </w:r>
      <w:r w:rsidR="00520240" w:rsidRPr="00520240">
        <w:t xml:space="preserve"> and meat products can frequently get contaminated [22, 23]. </w:t>
      </w:r>
      <w:r w:rsidR="00CC0057" w:rsidRPr="00CC0057">
        <w:t xml:space="preserve">As a result, creating economical and accurate enzyme-based gadgets for measuring the content of goods could help maintain food quality. </w:t>
      </w:r>
      <w:r w:rsidR="00520240">
        <w:t>[24].</w:t>
      </w:r>
    </w:p>
    <w:p w:rsidR="00520240" w:rsidRDefault="000F13A6" w:rsidP="00520240">
      <w:pPr>
        <w:jc w:val="both"/>
      </w:pPr>
      <w:r w:rsidRPr="000F13A6">
        <w:t>To make wholesome and nutrient-dense food, it is necessary to reduce allergies, antibiotics, and other hazardous components in raw materials</w:t>
      </w:r>
      <w:r>
        <w:t>. The</w:t>
      </w:r>
      <w:r w:rsidR="00520240">
        <w:t xml:space="preserve"> use of enzyme technology might make food processing in the future safer, more efficient, and environmentally beneficial. These enzymes might be made using microbial fermentation, which provides scalable extraction techniques, affordable manufacturing prices, and small industrial footprints. Fermentation may also supply tailored enzymes to eliminate particular sensitivities and dangerous substances.</w:t>
      </w:r>
    </w:p>
    <w:p w:rsidR="00A301C1" w:rsidRDefault="00A301C1" w:rsidP="00520240">
      <w:pPr>
        <w:jc w:val="both"/>
      </w:pPr>
    </w:p>
    <w:p w:rsidR="00A301C1" w:rsidRDefault="00A301C1" w:rsidP="00466548">
      <w:pPr>
        <w:pStyle w:val="BodyText"/>
        <w:spacing w:after="0" w:line="240" w:lineRule="auto"/>
        <w:ind w:firstLine="0"/>
      </w:pPr>
    </w:p>
    <w:p w:rsidR="00CB7398" w:rsidRDefault="00FC7137" w:rsidP="00CB7398">
      <w:pPr>
        <w:jc w:val="both"/>
        <w:rPr>
          <w:rFonts w:eastAsia="MyriadPro-BoldSemiCn"/>
          <w:b/>
          <w:bCs/>
        </w:rPr>
      </w:pPr>
      <w:r>
        <w:rPr>
          <w:rFonts w:eastAsia="MyriadPro-BoldSemiCn"/>
          <w:b/>
          <w:bCs/>
        </w:rPr>
        <w:t xml:space="preserve">Nutrition </w:t>
      </w:r>
      <w:r w:rsidR="00C2377F">
        <w:rPr>
          <w:rFonts w:eastAsia="MyriadPro-BoldSemiCn"/>
          <w:b/>
          <w:bCs/>
        </w:rPr>
        <w:t>and</w:t>
      </w:r>
      <w:r>
        <w:rPr>
          <w:rFonts w:eastAsia="MyriadPro-BoldSemiCn"/>
          <w:b/>
          <w:bCs/>
        </w:rPr>
        <w:t xml:space="preserve"> Flavor E</w:t>
      </w:r>
      <w:r w:rsidR="00CB7398" w:rsidRPr="006116A9">
        <w:rPr>
          <w:rFonts w:eastAsia="MyriadPro-BoldSemiCn"/>
          <w:b/>
          <w:bCs/>
        </w:rPr>
        <w:t>nhancements</w:t>
      </w:r>
    </w:p>
    <w:p w:rsidR="008A6EEB" w:rsidRPr="006116A9" w:rsidRDefault="008A6EEB" w:rsidP="00CB7398">
      <w:pPr>
        <w:jc w:val="both"/>
        <w:rPr>
          <w:rFonts w:eastAsia="MyriadPro-BoldSemiCn"/>
          <w:b/>
          <w:bCs/>
        </w:rPr>
      </w:pPr>
    </w:p>
    <w:p w:rsidR="006116A9" w:rsidRDefault="000F13A6" w:rsidP="006116A9">
      <w:pPr>
        <w:jc w:val="both"/>
      </w:pPr>
      <w:r w:rsidRPr="000F13A6">
        <w:t>To address the increased demand for edible nourishment, culinary scientists are constantly coming up with novel approaches to enhance the taste profile and boost nutrition.</w:t>
      </w:r>
      <w:r w:rsidRPr="006116A9">
        <w:t xml:space="preserve"> </w:t>
      </w:r>
      <w:r w:rsidR="008079DF" w:rsidRPr="008079DF">
        <w:t>Through the enzymatic decomposition of animal or plant sources, the utilization of enzymes improves the appearance of colures, aroma, and nutritional content of meals.</w:t>
      </w:r>
      <w:r w:rsidR="008079DF" w:rsidRPr="006116A9">
        <w:t xml:space="preserve"> Veggie</w:t>
      </w:r>
      <w:r w:rsidR="00FC7137">
        <w:t xml:space="preserve"> proteins </w:t>
      </w:r>
      <w:r w:rsidR="006116A9" w:rsidRPr="006116A9">
        <w:t xml:space="preserve">[25]. </w:t>
      </w:r>
      <w:r w:rsidR="008079DF" w:rsidRPr="008079DF">
        <w:t xml:space="preserve">From catalytic hydrolysis products and other shiitake collagen ingredients, heat can be used to make beef-flavored additions that consist of a drug called hydrazine, diazole, and </w:t>
      </w:r>
      <w:r w:rsidR="00634E72" w:rsidRPr="008079DF">
        <w:t>cytosine</w:t>
      </w:r>
      <w:r w:rsidR="008079DF" w:rsidRPr="008079DF">
        <w:t xml:space="preserve">. </w:t>
      </w:r>
      <w:r w:rsidR="006116A9" w:rsidRPr="006116A9">
        <w:t>[26].</w:t>
      </w:r>
      <w:r w:rsidR="006116A9">
        <w:t xml:space="preserve"> </w:t>
      </w:r>
      <w:r w:rsidR="00634E72" w:rsidRPr="00634E72">
        <w:t xml:space="preserve">Polyunsaturated acid, which may be produced by the host bacterial organism a strain of biolytic by harboring two denatures alleles from the mould Mortierella alpine, is additionally crucial for the creation of </w:t>
      </w:r>
      <w:r w:rsidR="00573409" w:rsidRPr="00634E72">
        <w:t>flavor</w:t>
      </w:r>
      <w:r w:rsidR="00634E72" w:rsidRPr="00634E72">
        <w:t xml:space="preserve"> in some false meals. </w:t>
      </w:r>
      <w:r w:rsidR="006116A9">
        <w:t xml:space="preserve">[27]. </w:t>
      </w:r>
    </w:p>
    <w:p w:rsidR="006116A9" w:rsidRDefault="006116A9" w:rsidP="006116A9">
      <w:pPr>
        <w:jc w:val="both"/>
      </w:pPr>
      <w:r>
        <w:t xml:space="preserve">Cheap protein sources may be transformed into specialty foods with excellent nutritional content and unusual tastes via enzyme modifications. People can consume hydrolysates without experiencing adverse responses since they function as beneficial nutritional taste enhancers and antibacterial agents [28]. According to recent studies [29, 30], these hydrolytic polypeptides </w:t>
      </w:r>
      <w:r w:rsidR="00AB4115">
        <w:t>help lower</w:t>
      </w:r>
      <w:r>
        <w:t xml:space="preserve"> oxidative stress, type 2 diabetes, and hypertension.</w:t>
      </w:r>
      <w:r w:rsidRPr="00251B1E">
        <w:t xml:space="preserve"> </w:t>
      </w:r>
      <w:r w:rsidR="006E237B">
        <w:t>As consequently, proteolytic processing might generate a wide range of therapeutic peptides with inherent curative properties [31]</w:t>
      </w:r>
      <w:r w:rsidR="007C2D17">
        <w:t xml:space="preserve">. The chemical as well as physical resilience of bioactive peptides must be elevated further, and molecular alterations to multifunctional meals could assist in this </w:t>
      </w:r>
      <w:r w:rsidR="00C428F8">
        <w:t>endeavor</w:t>
      </w:r>
      <w:r w:rsidR="007C2D17">
        <w:t>.</w:t>
      </w:r>
    </w:p>
    <w:p w:rsidR="00CB7398" w:rsidRDefault="00573409" w:rsidP="006116A9">
      <w:pPr>
        <w:jc w:val="both"/>
      </w:pPr>
      <w:r w:rsidRPr="00573409">
        <w:t xml:space="preserve">While the power source </w:t>
      </w:r>
      <w:r w:rsidR="005F4E97">
        <w:t>bean</w:t>
      </w:r>
      <w:r w:rsidRPr="00573409">
        <w:t xml:space="preserve"> </w:t>
      </w:r>
      <w:r w:rsidR="005F4E97">
        <w:t xml:space="preserve">aroma </w:t>
      </w:r>
      <w:r w:rsidRPr="00573409">
        <w:t>impedes the nutritional value of food interpreting, legume flour has additionally been used as the primary component of alternatives to meat that are plant-based.</w:t>
      </w:r>
      <w:r w:rsidR="006116A9" w:rsidRPr="00251B1E">
        <w:t xml:space="preserve"> [32]. </w:t>
      </w:r>
      <w:r w:rsidR="00C2377F" w:rsidRPr="00E857B4">
        <w:t>the</w:t>
      </w:r>
      <w:r w:rsidR="00E857B4" w:rsidRPr="00E857B4">
        <w:t xml:space="preserve"> bean scent comes about by the enzyme-mediated reaction </w:t>
      </w:r>
      <w:r w:rsidR="00C2377F" w:rsidRPr="00E857B4">
        <w:t>of n-hexane aromatic compounds</w:t>
      </w:r>
      <w:r w:rsidR="00E857B4" w:rsidRPr="00E857B4">
        <w:t xml:space="preserve"> with alcohol stimulated by the liver enzymes lip in crops. </w:t>
      </w:r>
      <w:r w:rsidR="006116A9" w:rsidRPr="00251B1E">
        <w:t xml:space="preserve">[33]. </w:t>
      </w:r>
      <w:r w:rsidR="00E857B4" w:rsidRPr="00E857B4">
        <w:t xml:space="preserve">One technique to reduce the bean aroma is to use </w:t>
      </w:r>
      <w:r w:rsidR="0012111B" w:rsidRPr="0012111B">
        <w:t xml:space="preserve">alcohols </w:t>
      </w:r>
      <w:r w:rsidR="0012111B" w:rsidRPr="00E857B4">
        <w:t>dehydrogenises</w:t>
      </w:r>
      <w:r w:rsidR="00E857B4" w:rsidRPr="00E857B4">
        <w:t xml:space="preserve">, which works in order to transform the compounds that make up </w:t>
      </w:r>
      <w:r w:rsidR="0012111B" w:rsidRPr="0012111B">
        <w:t xml:space="preserve">alcohols </w:t>
      </w:r>
      <w:r w:rsidR="00E857B4" w:rsidRPr="00E857B4">
        <w:t xml:space="preserve">into the proper acids. </w:t>
      </w:r>
      <w:r w:rsidR="006116A9" w:rsidRPr="00251B1E">
        <w:t xml:space="preserve">[33]. </w:t>
      </w:r>
      <w:r w:rsidR="00AB4115">
        <w:t>Utilizing</w:t>
      </w:r>
      <w:r w:rsidR="006116A9" w:rsidRPr="00251B1E">
        <w:t xml:space="preserve"> another approach would be to generate meals with enticing aromas, soybean (which lacks lipoxygenase) [34].</w:t>
      </w:r>
    </w:p>
    <w:p w:rsidR="00296F4C" w:rsidRDefault="00296F4C" w:rsidP="00CB7398">
      <w:pPr>
        <w:jc w:val="both"/>
      </w:pPr>
    </w:p>
    <w:p w:rsidR="00A06B87" w:rsidRDefault="00A06B87" w:rsidP="00CB7398">
      <w:pPr>
        <w:jc w:val="both"/>
      </w:pPr>
    </w:p>
    <w:p w:rsidR="0012111B" w:rsidRDefault="00FC7137" w:rsidP="00B703B3">
      <w:pPr>
        <w:jc w:val="both"/>
        <w:rPr>
          <w:b/>
        </w:rPr>
      </w:pPr>
      <w:r>
        <w:rPr>
          <w:b/>
        </w:rPr>
        <w:t>Potential Expected Food Manufacturing T</w:t>
      </w:r>
      <w:r w:rsidR="0012111B" w:rsidRPr="0012111B">
        <w:rPr>
          <w:b/>
        </w:rPr>
        <w:t>echnologies</w:t>
      </w:r>
    </w:p>
    <w:p w:rsidR="008A6EEB" w:rsidRPr="0012111B" w:rsidRDefault="008A6EEB" w:rsidP="00B703B3">
      <w:pPr>
        <w:jc w:val="both"/>
        <w:rPr>
          <w:b/>
        </w:rPr>
      </w:pPr>
    </w:p>
    <w:p w:rsidR="00B703B3" w:rsidRDefault="006469D0" w:rsidP="00B703B3">
      <w:pPr>
        <w:jc w:val="both"/>
      </w:pPr>
      <w:r w:rsidRPr="006469D0">
        <w:t>Food manufacturing future generations is going to be capable to supervise hygiene and safety criteria across the entire food processing process in real time, thanks to significant advances in nanotechnology and artificial intelligence.</w:t>
      </w:r>
      <w:r w:rsidRPr="00B703B3">
        <w:t xml:space="preserve"> </w:t>
      </w:r>
      <w:r w:rsidR="007C2D17">
        <w:t xml:space="preserve">To produce nutrient-dense food, hygiene surveillance must be swift, simple, and precise. </w:t>
      </w:r>
      <w:r w:rsidRPr="006469D0">
        <w:t xml:space="preserve">Small sample volumes, higher preference, lower detection limits, and shorter response times are all advantages of enzyme-based </w:t>
      </w:r>
      <w:r w:rsidR="00C2377F" w:rsidRPr="006469D0">
        <w:t>biosensors;</w:t>
      </w:r>
      <w:r w:rsidRPr="006469D0">
        <w:t xml:space="preserve"> they require immediate attention for point-of-care food analysis. </w:t>
      </w:r>
      <w:r w:rsidR="00B703B3" w:rsidRPr="00B703B3">
        <w:t xml:space="preserve">[35]. </w:t>
      </w:r>
      <w:r w:rsidR="00E92195">
        <w:t xml:space="preserve">Up until now, biosensors powered by enzymes were used for determining infectious microorganisms, biotoxins, </w:t>
      </w:r>
      <w:r w:rsidR="00C2377F">
        <w:t>and additives</w:t>
      </w:r>
      <w:r w:rsidR="00E92195">
        <w:t xml:space="preserve">. These </w:t>
      </w:r>
      <w:r w:rsidR="00C2377F">
        <w:t>pesticides</w:t>
      </w:r>
      <w:r w:rsidR="00E92195">
        <w:t xml:space="preserve"> and nutritional ingredients. </w:t>
      </w:r>
      <w:r w:rsidR="00090F74" w:rsidRPr="00090F74">
        <w:t xml:space="preserve">Rastislav et al. devised a number of complicated microbiological sensor technologies for the combinatorial analysis of food tests comprising insulin, compounds, and beverages. </w:t>
      </w:r>
      <w:r w:rsidR="00B703B3" w:rsidRPr="00B703B3">
        <w:t xml:space="preserve">[36]. </w:t>
      </w:r>
      <w:r w:rsidR="00090F74" w:rsidRPr="00090F74">
        <w:t xml:space="preserve">A relatively straightforward sensor having along an oblong monoxide detection with nylon threads holding the stuck enzyme amine </w:t>
      </w:r>
      <w:r w:rsidR="00FE76F4" w:rsidRPr="00090F74">
        <w:t>oxides</w:t>
      </w:r>
      <w:r w:rsidR="00090F74" w:rsidRPr="00090F74">
        <w:t xml:space="preserve"> was used to test the freshness of white fish. </w:t>
      </w:r>
      <w:r w:rsidR="00B703B3" w:rsidRPr="00B703B3">
        <w:t xml:space="preserve">[37]. </w:t>
      </w:r>
      <w:r w:rsidR="00FE76F4" w:rsidRPr="00FE76F4">
        <w:t xml:space="preserve">The sensor detects biogenic demines well since the oxides remained stable for more than twelve weeks when exposed to 4 degrees Fahrenheit and 12 degree Celsius conditions. </w:t>
      </w:r>
      <w:r w:rsidR="009310FE" w:rsidRPr="009310FE">
        <w:t xml:space="preserve">Food odors and ripeness have also been identified via enzyme-based biosensors, with an electrochemical biosensor capturing the pheromone androstenone. </w:t>
      </w:r>
      <w:r w:rsidR="00B703B3" w:rsidRPr="00B703B3">
        <w:t xml:space="preserve">[38]. </w:t>
      </w:r>
      <w:r w:rsidR="00CC61A5">
        <w:t>Immobilised</w:t>
      </w:r>
      <w:r w:rsidR="009310FE" w:rsidRPr="009310FE">
        <w:t xml:space="preserve">-hydroxysteroid </w:t>
      </w:r>
      <w:r w:rsidR="00CC61A5" w:rsidRPr="009310FE">
        <w:t>syntheses</w:t>
      </w:r>
      <w:r w:rsidR="009310FE" w:rsidRPr="009310FE">
        <w:t xml:space="preserve"> as well as a screen-printed charcoal electrode were used to make this biosensor</w:t>
      </w:r>
      <w:r w:rsidR="00CC61A5">
        <w:t xml:space="preserve">. </w:t>
      </w:r>
      <w:r w:rsidR="00B703B3" w:rsidRPr="00B703B3">
        <w:t xml:space="preserve">For application in future food production and quality assurance, biosensors for viruses, mycotoxins, and antibiotics have also been created [39, 40]. </w:t>
      </w:r>
      <w:r w:rsidR="00CC61A5" w:rsidRPr="00CC61A5">
        <w:t>An enzyme-linked immunosorbent test (ELISA), which integrates the reactivity among an antigen and a particular antibody with the visible catalysis of catalysts.</w:t>
      </w:r>
    </w:p>
    <w:p w:rsidR="00A06B87" w:rsidRDefault="00CC61A5" w:rsidP="00A06B87">
      <w:pPr>
        <w:jc w:val="both"/>
      </w:pPr>
      <w:r w:rsidRPr="00CC61A5">
        <w:t>Future ELISA-based approaches to alimentary authenticity and control hold a great deal of promise.</w:t>
      </w:r>
      <w:r w:rsidR="00B703B3">
        <w:t xml:space="preserve"> [41].</w:t>
      </w:r>
      <w:r w:rsidR="00A06B87">
        <w:t xml:space="preserve"> </w:t>
      </w:r>
      <w:r w:rsidR="00C2377F">
        <w:t>to</w:t>
      </w:r>
      <w:r w:rsidR="00B703B3" w:rsidRPr="00B703B3">
        <w:t xml:space="preserve"> evaluate the quantity of sesame seed residue, Stef and others </w:t>
      </w:r>
      <w:r w:rsidR="00AB4115">
        <w:t>42 developed</w:t>
      </w:r>
      <w:r w:rsidR="00B703B3" w:rsidRPr="00B703B3">
        <w:t xml:space="preserve"> an ELISA test that is sensitive and specific. This test might be </w:t>
      </w:r>
      <w:r w:rsidR="00AB4115">
        <w:t>utilized</w:t>
      </w:r>
      <w:r w:rsidR="00B703B3" w:rsidRPr="00B703B3">
        <w:t xml:space="preserve"> as a screening tool for foods for persons with severe allergies. </w:t>
      </w:r>
      <w:r w:rsidR="00FC7137">
        <w:t>ELISA tests can detect</w:t>
      </w:r>
      <w:r w:rsidR="000A491C" w:rsidRPr="000A491C">
        <w:t xml:space="preserve"> a wide range of food borne diseases, particularly Campylobacter. </w:t>
      </w:r>
      <w:r w:rsidR="00B703B3" w:rsidRPr="00B703B3">
        <w:t xml:space="preserve">[43], </w:t>
      </w:r>
      <w:r w:rsidR="000A491C" w:rsidRPr="000A491C">
        <w:t xml:space="preserve">O157:H7 E. coli. </w:t>
      </w:r>
      <w:r w:rsidR="00B703B3" w:rsidRPr="00B703B3">
        <w:t xml:space="preserve">[44], </w:t>
      </w:r>
      <w:r w:rsidR="001B58B4">
        <w:t>Rod shaped</w:t>
      </w:r>
      <w:r w:rsidR="000A491C" w:rsidRPr="000A491C">
        <w:t xml:space="preserve"> </w:t>
      </w:r>
      <w:r w:rsidR="00B703B3" w:rsidRPr="00B703B3">
        <w:t xml:space="preserve">[45], </w:t>
      </w:r>
      <w:r w:rsidR="00C2377F">
        <w:t>the</w:t>
      </w:r>
      <w:r w:rsidR="001B58B4">
        <w:t xml:space="preserve"> bacteria salmonella</w:t>
      </w:r>
      <w:r w:rsidR="000A491C" w:rsidRPr="000A491C">
        <w:t xml:space="preserve"> </w:t>
      </w:r>
      <w:r w:rsidR="00B703B3" w:rsidRPr="00B703B3">
        <w:t xml:space="preserve">[46], </w:t>
      </w:r>
      <w:r w:rsidR="00C429DE" w:rsidRPr="00C429DE">
        <w:t xml:space="preserve">as well as the bacterial infection Staphylococcus aurous </w:t>
      </w:r>
      <w:r w:rsidR="00B703B3" w:rsidRPr="00B703B3">
        <w:t xml:space="preserve">[47]. </w:t>
      </w:r>
      <w:r w:rsidR="001B58B4" w:rsidRPr="001B58B4">
        <w:t xml:space="preserve">ELISAs are also used to identify toxins in meals, such as toxins known as enter produced by the bacteria E. coli and </w:t>
      </w:r>
      <w:r w:rsidR="001B58B4" w:rsidRPr="001B58B4">
        <w:lastRenderedPageBreak/>
        <w:t xml:space="preserve">Candida perfringens. </w:t>
      </w:r>
      <w:r w:rsidR="006112E7">
        <w:t>[41</w:t>
      </w:r>
      <w:r w:rsidR="00C2377F">
        <w:t>,</w:t>
      </w:r>
      <w:r w:rsidR="00C2377F" w:rsidRPr="00B703B3">
        <w:t xml:space="preserve"> 48</w:t>
      </w:r>
      <w:r w:rsidR="00B703B3" w:rsidRPr="00B703B3">
        <w:t xml:space="preserve">]. </w:t>
      </w:r>
      <w:r w:rsidR="001B58B4" w:rsidRPr="001B58B4">
        <w:t>By integrating modules, enzyme-based food-borne pathogen monitors can be upgraded from a single assay to a multi-array function</w:t>
      </w:r>
      <w:r w:rsidR="001B58B4">
        <w:t>.</w:t>
      </w:r>
      <w:r w:rsidR="001B58B4" w:rsidRPr="001B58B4">
        <w:t xml:space="preserve"> </w:t>
      </w:r>
      <w:r w:rsidR="00B703B3" w:rsidRPr="00B703B3">
        <w:t>[49].</w:t>
      </w:r>
    </w:p>
    <w:p w:rsidR="00A06B87" w:rsidRDefault="00A06B87" w:rsidP="00CB7398">
      <w:pPr>
        <w:jc w:val="both"/>
      </w:pPr>
    </w:p>
    <w:p w:rsidR="00A06B87" w:rsidRDefault="00A06B87" w:rsidP="00CB7398">
      <w:pPr>
        <w:jc w:val="both"/>
      </w:pPr>
    </w:p>
    <w:p w:rsidR="00A06B87" w:rsidRDefault="00A06B87" w:rsidP="00CB7398">
      <w:pPr>
        <w:jc w:val="both"/>
      </w:pPr>
    </w:p>
    <w:p w:rsidR="00A06B87" w:rsidRDefault="00A06B87" w:rsidP="00CB7398">
      <w:pPr>
        <w:jc w:val="both"/>
      </w:pPr>
    </w:p>
    <w:p w:rsidR="00A06B87" w:rsidRDefault="00A06B87" w:rsidP="00CB7398">
      <w:pPr>
        <w:jc w:val="both"/>
      </w:pPr>
    </w:p>
    <w:p w:rsidR="00296F4C" w:rsidRDefault="00296F4C" w:rsidP="00CB7398">
      <w:pPr>
        <w:jc w:val="both"/>
      </w:pPr>
    </w:p>
    <w:p w:rsidR="00296F4C" w:rsidRPr="009E2827" w:rsidRDefault="00567A9D" w:rsidP="00296F4C">
      <w:pPr>
        <w:pStyle w:val="Heading3"/>
        <w:numPr>
          <w:ilvl w:val="0"/>
          <w:numId w:val="0"/>
        </w:numPr>
        <w:spacing w:line="240" w:lineRule="auto"/>
        <w:jc w:val="center"/>
        <w:rPr>
          <w:b/>
          <w:i w:val="0"/>
          <w:sz w:val="22"/>
          <w:szCs w:val="22"/>
        </w:rPr>
      </w:pPr>
      <w:r>
        <w:rPr>
          <w:b/>
          <w:i w:val="0"/>
          <w:sz w:val="22"/>
          <w:szCs w:val="22"/>
        </w:rPr>
        <w:t>Table 1: Application Of Enzymes In Food P</w:t>
      </w:r>
      <w:r w:rsidR="009E2827" w:rsidRPr="009E2827">
        <w:rPr>
          <w:b/>
          <w:i w:val="0"/>
          <w:sz w:val="22"/>
          <w:szCs w:val="22"/>
        </w:rPr>
        <w:t>rocessing.</w:t>
      </w:r>
      <w:r w:rsidRPr="00567A9D">
        <w:rPr>
          <w:b/>
          <w:i w:val="0"/>
          <w:sz w:val="16"/>
          <w:szCs w:val="16"/>
        </w:rPr>
        <w:t xml:space="preserve">(Reference No. </w:t>
      </w:r>
      <w:r w:rsidR="00C337EB">
        <w:rPr>
          <w:b/>
          <w:i w:val="0"/>
          <w:sz w:val="16"/>
          <w:szCs w:val="16"/>
        </w:rPr>
        <w:t>(</w:t>
      </w:r>
      <w:r w:rsidRPr="00567A9D">
        <w:rPr>
          <w:b/>
          <w:i w:val="0"/>
          <w:sz w:val="16"/>
          <w:szCs w:val="16"/>
        </w:rPr>
        <w:t>79)</w:t>
      </w:r>
    </w:p>
    <w:p w:rsidR="00296F4C" w:rsidRDefault="00296F4C" w:rsidP="00CB7398">
      <w:pPr>
        <w:jc w:val="both"/>
      </w:pPr>
    </w:p>
    <w:p w:rsidR="00296F4C" w:rsidRDefault="00727A52" w:rsidP="00CB7398">
      <w:pPr>
        <w:jc w:val="both"/>
      </w:pPr>
      <w:r>
        <w:t xml:space="preserve"> .</w:t>
      </w:r>
    </w:p>
    <w:tbl>
      <w:tblPr>
        <w:tblStyle w:val="TableGrid0"/>
        <w:tblpPr w:vertAnchor="text" w:horzAnchor="margin" w:tblpXSpec="center"/>
        <w:tblOverlap w:val="never"/>
        <w:tblW w:w="99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 w:type="dxa"/>
        </w:tblCellMar>
        <w:tblLook w:val="04A0"/>
      </w:tblPr>
      <w:tblGrid>
        <w:gridCol w:w="1572"/>
        <w:gridCol w:w="2001"/>
        <w:gridCol w:w="5393"/>
        <w:gridCol w:w="962"/>
      </w:tblGrid>
      <w:tr w:rsidR="006870B7" w:rsidRPr="006870B7" w:rsidTr="000B670E">
        <w:trPr>
          <w:trHeight w:val="521"/>
        </w:trPr>
        <w:tc>
          <w:tcPr>
            <w:tcW w:w="8966" w:type="dxa"/>
            <w:gridSpan w:val="3"/>
            <w:vAlign w:val="bottom"/>
          </w:tcPr>
          <w:p w:rsidR="006870B7" w:rsidRPr="006870B7" w:rsidRDefault="006870B7" w:rsidP="00936B2C">
            <w:pPr>
              <w:spacing w:line="259" w:lineRule="auto"/>
              <w:jc w:val="left"/>
              <w:rPr>
                <w:rFonts w:cs="Times New Roman"/>
                <w:sz w:val="20"/>
                <w:szCs w:val="20"/>
              </w:rPr>
            </w:pPr>
          </w:p>
        </w:tc>
        <w:tc>
          <w:tcPr>
            <w:tcW w:w="962" w:type="dxa"/>
          </w:tcPr>
          <w:p w:rsidR="006870B7" w:rsidRPr="006870B7" w:rsidRDefault="006870B7" w:rsidP="00936B2C">
            <w:pPr>
              <w:spacing w:after="160" w:line="259" w:lineRule="auto"/>
              <w:jc w:val="left"/>
              <w:rPr>
                <w:rFonts w:cs="Times New Roman"/>
                <w:sz w:val="20"/>
                <w:szCs w:val="20"/>
              </w:rPr>
            </w:pPr>
          </w:p>
        </w:tc>
      </w:tr>
      <w:tr w:rsidR="006870B7" w:rsidRPr="006870B7" w:rsidTr="000B670E">
        <w:trPr>
          <w:trHeight w:val="330"/>
        </w:trPr>
        <w:tc>
          <w:tcPr>
            <w:tcW w:w="1572" w:type="dxa"/>
          </w:tcPr>
          <w:p w:rsidR="006870B7" w:rsidRPr="006870B7" w:rsidRDefault="000B670E" w:rsidP="00937636">
            <w:pPr>
              <w:spacing w:line="259" w:lineRule="auto"/>
              <w:rPr>
                <w:rFonts w:cs="Times New Roman"/>
                <w:sz w:val="20"/>
                <w:szCs w:val="20"/>
              </w:rPr>
            </w:pPr>
            <w:r>
              <w:rPr>
                <w:rFonts w:cs="Times New Roman"/>
                <w:sz w:val="20"/>
                <w:szCs w:val="20"/>
              </w:rPr>
              <w:t>Enzyme property</w:t>
            </w:r>
          </w:p>
        </w:tc>
        <w:tc>
          <w:tcPr>
            <w:tcW w:w="2001" w:type="dxa"/>
          </w:tcPr>
          <w:p w:rsidR="006870B7" w:rsidRPr="006870B7" w:rsidRDefault="000B670E" w:rsidP="00937636">
            <w:pPr>
              <w:spacing w:line="259" w:lineRule="auto"/>
              <w:rPr>
                <w:rFonts w:cs="Times New Roman"/>
                <w:sz w:val="20"/>
                <w:szCs w:val="20"/>
              </w:rPr>
            </w:pPr>
            <w:r>
              <w:rPr>
                <w:rFonts w:cs="Times New Roman"/>
                <w:sz w:val="20"/>
                <w:szCs w:val="20"/>
              </w:rPr>
              <w:t>Enzyme</w:t>
            </w:r>
          </w:p>
        </w:tc>
        <w:tc>
          <w:tcPr>
            <w:tcW w:w="5393" w:type="dxa"/>
          </w:tcPr>
          <w:p w:rsidR="006870B7" w:rsidRPr="006870B7" w:rsidRDefault="000B670E" w:rsidP="00937636">
            <w:pPr>
              <w:spacing w:line="259" w:lineRule="auto"/>
              <w:rPr>
                <w:rFonts w:cs="Times New Roman"/>
                <w:sz w:val="20"/>
                <w:szCs w:val="20"/>
              </w:rPr>
            </w:pPr>
            <w:r>
              <w:rPr>
                <w:rFonts w:cs="Times New Roman"/>
                <w:sz w:val="20"/>
                <w:szCs w:val="20"/>
              </w:rPr>
              <w:t>Application</w:t>
            </w:r>
          </w:p>
        </w:tc>
        <w:tc>
          <w:tcPr>
            <w:tcW w:w="962" w:type="dxa"/>
          </w:tcPr>
          <w:p w:rsidR="006870B7" w:rsidRPr="006870B7" w:rsidRDefault="000B670E" w:rsidP="00936B2C">
            <w:pPr>
              <w:spacing w:line="259" w:lineRule="auto"/>
              <w:rPr>
                <w:rFonts w:cs="Times New Roman"/>
                <w:sz w:val="20"/>
                <w:szCs w:val="20"/>
              </w:rPr>
            </w:pPr>
            <w:r>
              <w:rPr>
                <w:rFonts w:cs="Times New Roman"/>
                <w:sz w:val="20"/>
                <w:szCs w:val="20"/>
              </w:rPr>
              <w:t>References</w:t>
            </w:r>
          </w:p>
        </w:tc>
      </w:tr>
      <w:tr w:rsidR="006870B7" w:rsidRPr="006870B7" w:rsidTr="000B670E">
        <w:trPr>
          <w:trHeight w:val="524"/>
        </w:trPr>
        <w:tc>
          <w:tcPr>
            <w:tcW w:w="1572" w:type="dxa"/>
          </w:tcPr>
          <w:p w:rsidR="006870B7" w:rsidRPr="006870B7" w:rsidRDefault="000B670E" w:rsidP="00936B2C">
            <w:pPr>
              <w:spacing w:line="259" w:lineRule="auto"/>
              <w:jc w:val="left"/>
              <w:rPr>
                <w:rFonts w:cs="Times New Roman"/>
                <w:sz w:val="20"/>
                <w:szCs w:val="20"/>
              </w:rPr>
            </w:pPr>
            <w:r>
              <w:rPr>
                <w:rFonts w:cs="Times New Roman"/>
                <w:sz w:val="20"/>
                <w:szCs w:val="20"/>
              </w:rPr>
              <w:t xml:space="preserve"> Food texture</w:t>
            </w:r>
          </w:p>
        </w:tc>
        <w:tc>
          <w:tcPr>
            <w:tcW w:w="2001" w:type="dxa"/>
          </w:tcPr>
          <w:p w:rsidR="006870B7" w:rsidRPr="006870B7" w:rsidRDefault="000B670E" w:rsidP="00936B2C">
            <w:pPr>
              <w:spacing w:line="259" w:lineRule="auto"/>
              <w:jc w:val="left"/>
              <w:rPr>
                <w:rFonts w:cs="Times New Roman"/>
                <w:sz w:val="20"/>
                <w:szCs w:val="20"/>
              </w:rPr>
            </w:pPr>
            <w:r>
              <w:rPr>
                <w:rFonts w:cs="Times New Roman"/>
                <w:sz w:val="20"/>
                <w:szCs w:val="20"/>
              </w:rPr>
              <w:t>Chymosin</w:t>
            </w:r>
          </w:p>
        </w:tc>
        <w:tc>
          <w:tcPr>
            <w:tcW w:w="5393" w:type="dxa"/>
          </w:tcPr>
          <w:p w:rsidR="006870B7" w:rsidRPr="006870B7" w:rsidRDefault="000B670E" w:rsidP="00936B2C">
            <w:pPr>
              <w:spacing w:line="259" w:lineRule="auto"/>
              <w:ind w:right="925"/>
              <w:jc w:val="left"/>
              <w:rPr>
                <w:rFonts w:cs="Times New Roman"/>
                <w:sz w:val="20"/>
                <w:szCs w:val="20"/>
              </w:rPr>
            </w:pPr>
            <w:r>
              <w:rPr>
                <w:rFonts w:cs="Times New Roman"/>
                <w:sz w:val="20"/>
                <w:szCs w:val="20"/>
              </w:rPr>
              <w:t xml:space="preserve">Hydrolysis of </w:t>
            </w:r>
            <w:r w:rsidR="00727A52">
              <w:rPr>
                <w:rFonts w:cs="Times New Roman"/>
                <w:sz w:val="20"/>
                <w:szCs w:val="20"/>
              </w:rPr>
              <w:t>α</w:t>
            </w:r>
            <w:r>
              <w:rPr>
                <w:rFonts w:cs="Times New Roman"/>
                <w:sz w:val="20"/>
                <w:szCs w:val="20"/>
              </w:rPr>
              <w:t>casein,</w:t>
            </w:r>
            <w:r w:rsidR="00727A52">
              <w:t xml:space="preserve"> β-</w:t>
            </w:r>
            <w:r w:rsidR="00251BD2">
              <w:t>casein,</w:t>
            </w:r>
            <w:r w:rsidR="00727A52">
              <w:t xml:space="preserve"> k- </w:t>
            </w:r>
            <w:r w:rsidR="00251BD2">
              <w:t>casein,</w:t>
            </w:r>
            <w:r w:rsidR="00727A52">
              <w:t xml:space="preserve"> and </w:t>
            </w:r>
            <w:r w:rsidR="00727A52">
              <w:rPr>
                <w:rFonts w:cs="Times New Roman"/>
              </w:rPr>
              <w:t>β</w:t>
            </w:r>
            <w:r w:rsidR="00727A52">
              <w:t>-</w:t>
            </w:r>
            <w:r w:rsidR="00DF7338">
              <w:t>lactoflavin</w:t>
            </w:r>
            <w:r w:rsidR="00727A52">
              <w:t xml:space="preserve"> milk solidification</w:t>
            </w:r>
            <w:r w:rsidR="00486161">
              <w:t>.</w:t>
            </w:r>
          </w:p>
        </w:tc>
        <w:tc>
          <w:tcPr>
            <w:tcW w:w="962" w:type="dxa"/>
          </w:tcPr>
          <w:p w:rsidR="006870B7" w:rsidRPr="006870B7" w:rsidRDefault="000B670E" w:rsidP="00936B2C">
            <w:pPr>
              <w:spacing w:line="259" w:lineRule="auto"/>
              <w:jc w:val="left"/>
              <w:rPr>
                <w:rFonts w:cs="Times New Roman"/>
                <w:sz w:val="20"/>
                <w:szCs w:val="20"/>
              </w:rPr>
            </w:pPr>
            <w:r>
              <w:rPr>
                <w:rFonts w:cs="Times New Roman"/>
                <w:sz w:val="20"/>
                <w:szCs w:val="20"/>
              </w:rPr>
              <w:t>[65]</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0B670E" w:rsidP="00936B2C">
            <w:pPr>
              <w:spacing w:line="259" w:lineRule="auto"/>
              <w:jc w:val="left"/>
              <w:rPr>
                <w:rFonts w:cs="Times New Roman"/>
                <w:sz w:val="20"/>
                <w:szCs w:val="20"/>
              </w:rPr>
            </w:pPr>
            <w:r>
              <w:rPr>
                <w:rFonts w:cs="Times New Roman"/>
                <w:sz w:val="20"/>
                <w:szCs w:val="20"/>
              </w:rPr>
              <w:t>Trypsin</w:t>
            </w:r>
          </w:p>
        </w:tc>
        <w:tc>
          <w:tcPr>
            <w:tcW w:w="5393" w:type="dxa"/>
          </w:tcPr>
          <w:p w:rsidR="006870B7" w:rsidRPr="006870B7" w:rsidRDefault="000B670E" w:rsidP="00936B2C">
            <w:pPr>
              <w:spacing w:line="259" w:lineRule="auto"/>
              <w:jc w:val="left"/>
              <w:rPr>
                <w:rFonts w:cs="Times New Roman"/>
                <w:sz w:val="20"/>
                <w:szCs w:val="20"/>
              </w:rPr>
            </w:pPr>
            <w:r>
              <w:rPr>
                <w:rFonts w:cs="Times New Roman"/>
                <w:sz w:val="20"/>
                <w:szCs w:val="20"/>
              </w:rPr>
              <w:t>Improv</w:t>
            </w:r>
            <w:r w:rsidR="001362C6">
              <w:rPr>
                <w:rFonts w:cs="Times New Roman"/>
                <w:sz w:val="20"/>
                <w:szCs w:val="20"/>
              </w:rPr>
              <w:t xml:space="preserve">ement of </w:t>
            </w:r>
            <w:r w:rsidR="008A6EEB">
              <w:rPr>
                <w:rFonts w:cs="Times New Roman"/>
                <w:sz w:val="20"/>
                <w:szCs w:val="20"/>
              </w:rPr>
              <w:t>the</w:t>
            </w:r>
            <w:r w:rsidR="001362C6">
              <w:rPr>
                <w:rFonts w:cs="Times New Roman"/>
                <w:sz w:val="20"/>
                <w:szCs w:val="20"/>
              </w:rPr>
              <w:t xml:space="preserve"> foaming and emulsifying properties of protein</w:t>
            </w:r>
          </w:p>
        </w:tc>
        <w:tc>
          <w:tcPr>
            <w:tcW w:w="962" w:type="dxa"/>
          </w:tcPr>
          <w:p w:rsidR="006870B7" w:rsidRPr="006870B7" w:rsidRDefault="001362C6" w:rsidP="00936B2C">
            <w:pPr>
              <w:spacing w:line="259" w:lineRule="auto"/>
              <w:jc w:val="left"/>
              <w:rPr>
                <w:rFonts w:cs="Times New Roman"/>
                <w:sz w:val="20"/>
                <w:szCs w:val="20"/>
              </w:rPr>
            </w:pPr>
            <w:r>
              <w:rPr>
                <w:rFonts w:cs="Times New Roman"/>
                <w:sz w:val="20"/>
                <w:szCs w:val="20"/>
              </w:rPr>
              <w:t>[66]</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Transglutaminase</w:t>
            </w:r>
          </w:p>
        </w:tc>
        <w:tc>
          <w:tcPr>
            <w:tcW w:w="5393" w:type="dxa"/>
          </w:tcPr>
          <w:p w:rsidR="006870B7" w:rsidRPr="006870B7" w:rsidRDefault="001362C6" w:rsidP="001362C6">
            <w:pPr>
              <w:spacing w:line="259" w:lineRule="auto"/>
              <w:jc w:val="left"/>
              <w:rPr>
                <w:rFonts w:cs="Times New Roman"/>
                <w:sz w:val="20"/>
                <w:szCs w:val="20"/>
              </w:rPr>
            </w:pPr>
            <w:r>
              <w:rPr>
                <w:rFonts w:cs="Times New Roman"/>
                <w:sz w:val="20"/>
                <w:szCs w:val="20"/>
              </w:rPr>
              <w:t>Improvement of protein gel stiffness,viscosity,and water-holding capacity</w:t>
            </w:r>
          </w:p>
        </w:tc>
        <w:tc>
          <w:tcPr>
            <w:tcW w:w="962"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[10]</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Lipoxygenase</w:t>
            </w:r>
          </w:p>
        </w:tc>
        <w:tc>
          <w:tcPr>
            <w:tcW w:w="5393"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Carotenoids bleaching and improvement of bread dough rheology</w:t>
            </w:r>
          </w:p>
        </w:tc>
        <w:tc>
          <w:tcPr>
            <w:tcW w:w="962"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[32]</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Pectinase</w:t>
            </w:r>
          </w:p>
        </w:tc>
        <w:tc>
          <w:tcPr>
            <w:tcW w:w="5393" w:type="dxa"/>
          </w:tcPr>
          <w:p w:rsidR="006870B7" w:rsidRPr="006870B7" w:rsidRDefault="001362C6" w:rsidP="001362C6">
            <w:pPr>
              <w:spacing w:line="259" w:lineRule="auto"/>
              <w:jc w:val="left"/>
              <w:rPr>
                <w:rFonts w:cs="Times New Roman"/>
                <w:sz w:val="20"/>
                <w:szCs w:val="20"/>
              </w:rPr>
            </w:pPr>
            <w:r>
              <w:rPr>
                <w:rFonts w:cs="Times New Roman"/>
                <w:sz w:val="20"/>
                <w:szCs w:val="20"/>
              </w:rPr>
              <w:t>Improvement of the juice yield and clarity</w:t>
            </w:r>
          </w:p>
        </w:tc>
        <w:tc>
          <w:tcPr>
            <w:tcW w:w="962"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[67]</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1362C6" w:rsidP="00936B2C">
            <w:pPr>
              <w:spacing w:line="259" w:lineRule="auto"/>
              <w:ind w:left="1"/>
              <w:jc w:val="left"/>
              <w:rPr>
                <w:rFonts w:cs="Times New Roman"/>
                <w:sz w:val="20"/>
                <w:szCs w:val="20"/>
              </w:rPr>
            </w:pPr>
            <w:r>
              <w:rPr>
                <w:rFonts w:cs="Times New Roman"/>
                <w:sz w:val="20"/>
                <w:szCs w:val="20"/>
              </w:rPr>
              <w:t>Protease</w:t>
            </w:r>
          </w:p>
        </w:tc>
        <w:tc>
          <w:tcPr>
            <w:tcW w:w="5393"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Tenderization of meat</w:t>
            </w:r>
          </w:p>
        </w:tc>
        <w:tc>
          <w:tcPr>
            <w:tcW w:w="962"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[68]</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Lipases</w:t>
            </w:r>
          </w:p>
        </w:tc>
        <w:tc>
          <w:tcPr>
            <w:tcW w:w="5393"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Production of food-grade surfactants</w:t>
            </w:r>
          </w:p>
        </w:tc>
        <w:tc>
          <w:tcPr>
            <w:tcW w:w="962"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[69]</w:t>
            </w:r>
          </w:p>
        </w:tc>
      </w:tr>
      <w:tr w:rsidR="006870B7" w:rsidRPr="006870B7" w:rsidTr="000B670E">
        <w:trPr>
          <w:trHeight w:val="449"/>
        </w:trPr>
        <w:tc>
          <w:tcPr>
            <w:tcW w:w="1572"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Food safety</w:t>
            </w:r>
          </w:p>
        </w:tc>
        <w:tc>
          <w:tcPr>
            <w:tcW w:w="2001"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Laccase</w:t>
            </w:r>
          </w:p>
        </w:tc>
        <w:tc>
          <w:tcPr>
            <w:tcW w:w="5393" w:type="dxa"/>
          </w:tcPr>
          <w:p w:rsidR="006870B7" w:rsidRPr="006870B7" w:rsidRDefault="00242D9A" w:rsidP="00242D9A">
            <w:pPr>
              <w:spacing w:line="259" w:lineRule="auto"/>
              <w:ind w:left="1"/>
              <w:jc w:val="left"/>
              <w:rPr>
                <w:rFonts w:cs="Times New Roman"/>
                <w:sz w:val="20"/>
                <w:szCs w:val="20"/>
              </w:rPr>
            </w:pPr>
            <w:r>
              <w:rPr>
                <w:rFonts w:cs="Times New Roman"/>
                <w:sz w:val="20"/>
                <w:szCs w:val="20"/>
              </w:rPr>
              <w:t>Detection of the quality change during the storage of fresh-cut fruits and vegetables</w:t>
            </w:r>
          </w:p>
        </w:tc>
        <w:tc>
          <w:tcPr>
            <w:tcW w:w="962" w:type="dxa"/>
          </w:tcPr>
          <w:p w:rsidR="006870B7" w:rsidRPr="006870B7" w:rsidRDefault="00242D9A" w:rsidP="00936B2C">
            <w:pPr>
              <w:spacing w:line="259" w:lineRule="auto"/>
              <w:ind w:left="1"/>
              <w:jc w:val="left"/>
              <w:rPr>
                <w:rFonts w:cs="Times New Roman"/>
                <w:sz w:val="20"/>
                <w:szCs w:val="20"/>
              </w:rPr>
            </w:pPr>
            <w:r>
              <w:rPr>
                <w:rFonts w:cs="Times New Roman"/>
                <w:sz w:val="20"/>
                <w:szCs w:val="20"/>
              </w:rPr>
              <w:t>[70]</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6870B7" w:rsidP="00936B2C">
            <w:pPr>
              <w:spacing w:line="259" w:lineRule="auto"/>
              <w:ind w:left="2"/>
              <w:jc w:val="left"/>
              <w:rPr>
                <w:rFonts w:cs="Times New Roman"/>
                <w:sz w:val="20"/>
                <w:szCs w:val="20"/>
              </w:rPr>
            </w:pPr>
            <w:r w:rsidRPr="006870B7">
              <w:rPr>
                <w:rFonts w:cs="Times New Roman"/>
                <w:sz w:val="20"/>
                <w:szCs w:val="20"/>
              </w:rPr>
              <w:t>β-lactamase</w:t>
            </w:r>
          </w:p>
        </w:tc>
        <w:tc>
          <w:tcPr>
            <w:tcW w:w="5393" w:type="dxa"/>
          </w:tcPr>
          <w:p w:rsidR="006870B7" w:rsidRPr="006870B7" w:rsidRDefault="00486161" w:rsidP="00936B2C">
            <w:pPr>
              <w:spacing w:line="259" w:lineRule="auto"/>
              <w:ind w:left="2"/>
              <w:jc w:val="left"/>
              <w:rPr>
                <w:rFonts w:cs="Times New Roman"/>
                <w:sz w:val="20"/>
                <w:szCs w:val="20"/>
              </w:rPr>
            </w:pPr>
            <w:r>
              <w:rPr>
                <w:rFonts w:cs="Times New Roman"/>
                <w:sz w:val="20"/>
                <w:szCs w:val="20"/>
              </w:rPr>
              <w:t>Determination of β-lactam antibiotic.</w:t>
            </w:r>
          </w:p>
        </w:tc>
        <w:tc>
          <w:tcPr>
            <w:tcW w:w="962" w:type="dxa"/>
          </w:tcPr>
          <w:p w:rsidR="006870B7" w:rsidRPr="006870B7" w:rsidRDefault="00486161" w:rsidP="00936B2C">
            <w:pPr>
              <w:spacing w:line="259" w:lineRule="auto"/>
              <w:ind w:left="2"/>
              <w:jc w:val="left"/>
              <w:rPr>
                <w:rFonts w:cs="Times New Roman"/>
                <w:sz w:val="20"/>
                <w:szCs w:val="20"/>
              </w:rPr>
            </w:pPr>
            <w:r>
              <w:rPr>
                <w:rFonts w:cs="Times New Roman"/>
                <w:sz w:val="20"/>
                <w:szCs w:val="20"/>
              </w:rPr>
              <w:t>[71]</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242D9A" w:rsidP="00936B2C">
            <w:pPr>
              <w:spacing w:line="259" w:lineRule="auto"/>
              <w:ind w:left="2"/>
              <w:jc w:val="left"/>
              <w:rPr>
                <w:rFonts w:cs="Times New Roman"/>
                <w:sz w:val="20"/>
                <w:szCs w:val="20"/>
              </w:rPr>
            </w:pPr>
            <w:r>
              <w:rPr>
                <w:rFonts w:cs="Times New Roman"/>
                <w:sz w:val="20"/>
                <w:szCs w:val="20"/>
              </w:rPr>
              <w:t>Alkaline urate oxidase</w:t>
            </w:r>
          </w:p>
        </w:tc>
        <w:tc>
          <w:tcPr>
            <w:tcW w:w="5393" w:type="dxa"/>
          </w:tcPr>
          <w:p w:rsidR="006870B7" w:rsidRPr="006870B7" w:rsidRDefault="008A6EEB" w:rsidP="00936B2C">
            <w:pPr>
              <w:spacing w:line="259" w:lineRule="auto"/>
              <w:ind w:left="2"/>
              <w:jc w:val="left"/>
              <w:rPr>
                <w:rFonts w:cs="Times New Roman"/>
                <w:sz w:val="20"/>
                <w:szCs w:val="20"/>
              </w:rPr>
            </w:pPr>
            <w:r>
              <w:rPr>
                <w:rFonts w:cs="Times New Roman"/>
                <w:sz w:val="20"/>
                <w:szCs w:val="20"/>
              </w:rPr>
              <w:t>Reduction</w:t>
            </w:r>
            <w:r w:rsidR="00242D9A">
              <w:rPr>
                <w:rFonts w:cs="Times New Roman"/>
                <w:sz w:val="20"/>
                <w:szCs w:val="20"/>
              </w:rPr>
              <w:t xml:space="preserve"> of food uric acid content under alkaline conditions</w:t>
            </w:r>
          </w:p>
        </w:tc>
        <w:tc>
          <w:tcPr>
            <w:tcW w:w="962"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[72]</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Organophosphate hydrolase</w:t>
            </w:r>
          </w:p>
        </w:tc>
        <w:tc>
          <w:tcPr>
            <w:tcW w:w="5393"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Deduction of pesticide residues</w:t>
            </w:r>
          </w:p>
        </w:tc>
        <w:tc>
          <w:tcPr>
            <w:tcW w:w="962"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[73]</w:t>
            </w:r>
          </w:p>
        </w:tc>
      </w:tr>
      <w:tr w:rsidR="006870B7" w:rsidRPr="006870B7" w:rsidTr="000B670E">
        <w:trPr>
          <w:trHeight w:val="250"/>
        </w:trPr>
        <w:tc>
          <w:tcPr>
            <w:tcW w:w="1572"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Nutritional and flavour</w:t>
            </w:r>
          </w:p>
        </w:tc>
        <w:tc>
          <w:tcPr>
            <w:tcW w:w="2001"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Chymosin</w:t>
            </w:r>
          </w:p>
        </w:tc>
        <w:tc>
          <w:tcPr>
            <w:tcW w:w="5393"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Production of more volatile substances</w:t>
            </w:r>
          </w:p>
        </w:tc>
        <w:tc>
          <w:tcPr>
            <w:tcW w:w="962"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[65]</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Glucose isomerase</w:t>
            </w:r>
          </w:p>
        </w:tc>
        <w:tc>
          <w:tcPr>
            <w:tcW w:w="5393"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Production of sweeteners</w:t>
            </w:r>
          </w:p>
        </w:tc>
        <w:tc>
          <w:tcPr>
            <w:tcW w:w="962"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[74]</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Lipase</w:t>
            </w:r>
          </w:p>
        </w:tc>
        <w:tc>
          <w:tcPr>
            <w:tcW w:w="5393"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Improvement of the yogurt flavour</w:t>
            </w:r>
          </w:p>
        </w:tc>
        <w:tc>
          <w:tcPr>
            <w:tcW w:w="962" w:type="dxa"/>
          </w:tcPr>
          <w:p w:rsidR="006870B7" w:rsidRPr="006870B7" w:rsidRDefault="00E3775A" w:rsidP="00936B2C">
            <w:pPr>
              <w:spacing w:line="259" w:lineRule="auto"/>
              <w:ind w:left="2"/>
              <w:jc w:val="left"/>
              <w:rPr>
                <w:rFonts w:cs="Times New Roman"/>
                <w:sz w:val="20"/>
                <w:szCs w:val="20"/>
              </w:rPr>
            </w:pPr>
            <w:r>
              <w:rPr>
                <w:rFonts w:cs="Times New Roman"/>
                <w:sz w:val="20"/>
                <w:szCs w:val="20"/>
              </w:rPr>
              <w:t>[75]</w:t>
            </w:r>
          </w:p>
        </w:tc>
      </w:tr>
      <w:tr w:rsidR="006870B7" w:rsidRPr="006870B7" w:rsidTr="000B670E">
        <w:trPr>
          <w:trHeight w:val="250"/>
        </w:trPr>
        <w:tc>
          <w:tcPr>
            <w:tcW w:w="1572" w:type="dxa"/>
          </w:tcPr>
          <w:p w:rsidR="006870B7" w:rsidRPr="006870B7" w:rsidRDefault="00731E65" w:rsidP="00936B2C">
            <w:pPr>
              <w:spacing w:line="259" w:lineRule="auto"/>
              <w:ind w:left="3"/>
              <w:jc w:val="left"/>
              <w:rPr>
                <w:rFonts w:cs="Times New Roman"/>
                <w:sz w:val="20"/>
                <w:szCs w:val="20"/>
              </w:rPr>
            </w:pPr>
            <w:r>
              <w:rPr>
                <w:rFonts w:cs="Times New Roman"/>
                <w:sz w:val="20"/>
                <w:szCs w:val="20"/>
              </w:rPr>
              <w:t>Customized food</w:t>
            </w:r>
          </w:p>
        </w:tc>
        <w:tc>
          <w:tcPr>
            <w:tcW w:w="2001" w:type="dxa"/>
          </w:tcPr>
          <w:p w:rsidR="006870B7" w:rsidRPr="006870B7" w:rsidRDefault="00DF7338" w:rsidP="00936B2C">
            <w:pPr>
              <w:spacing w:line="259" w:lineRule="auto"/>
              <w:ind w:left="3"/>
              <w:jc w:val="left"/>
              <w:rPr>
                <w:rFonts w:cs="Times New Roman"/>
                <w:sz w:val="20"/>
                <w:szCs w:val="20"/>
              </w:rPr>
            </w:pPr>
            <w:r>
              <w:rPr>
                <w:rFonts w:cs="Times New Roman"/>
                <w:sz w:val="20"/>
                <w:szCs w:val="20"/>
              </w:rPr>
              <w:t>pullulans</w:t>
            </w:r>
          </w:p>
        </w:tc>
        <w:tc>
          <w:tcPr>
            <w:tcW w:w="5393" w:type="dxa"/>
          </w:tcPr>
          <w:p w:rsidR="006870B7" w:rsidRPr="006870B7" w:rsidRDefault="00731E65" w:rsidP="00936B2C">
            <w:pPr>
              <w:spacing w:line="259" w:lineRule="auto"/>
              <w:ind w:left="3"/>
              <w:jc w:val="left"/>
              <w:rPr>
                <w:rFonts w:cs="Times New Roman"/>
                <w:sz w:val="20"/>
                <w:szCs w:val="20"/>
              </w:rPr>
            </w:pPr>
            <w:r>
              <w:rPr>
                <w:rFonts w:cs="Times New Roman"/>
                <w:sz w:val="20"/>
                <w:szCs w:val="20"/>
              </w:rPr>
              <w:t>Production of functional starch microparticles with reduced digestibility</w:t>
            </w:r>
          </w:p>
        </w:tc>
        <w:tc>
          <w:tcPr>
            <w:tcW w:w="962" w:type="dxa"/>
          </w:tcPr>
          <w:p w:rsidR="006870B7" w:rsidRPr="006870B7" w:rsidRDefault="00147049" w:rsidP="00936B2C">
            <w:pPr>
              <w:spacing w:line="259" w:lineRule="auto"/>
              <w:ind w:left="3"/>
              <w:jc w:val="left"/>
              <w:rPr>
                <w:rFonts w:cs="Times New Roman"/>
                <w:sz w:val="20"/>
                <w:szCs w:val="20"/>
              </w:rPr>
            </w:pPr>
            <w:r>
              <w:rPr>
                <w:rFonts w:cs="Times New Roman"/>
                <w:sz w:val="20"/>
                <w:szCs w:val="20"/>
              </w:rPr>
              <w:t>[76]</w:t>
            </w:r>
          </w:p>
        </w:tc>
      </w:tr>
      <w:tr w:rsidR="006870B7" w:rsidRPr="006870B7" w:rsidTr="000B670E">
        <w:trPr>
          <w:trHeight w:val="250"/>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147049" w:rsidP="00936B2C">
            <w:pPr>
              <w:spacing w:line="259" w:lineRule="auto"/>
              <w:ind w:left="3"/>
              <w:jc w:val="left"/>
              <w:rPr>
                <w:rFonts w:cs="Times New Roman"/>
                <w:sz w:val="20"/>
                <w:szCs w:val="20"/>
              </w:rPr>
            </w:pPr>
            <w:r>
              <w:rPr>
                <w:rFonts w:cs="Times New Roman"/>
                <w:sz w:val="20"/>
                <w:szCs w:val="20"/>
              </w:rPr>
              <w:t>Lactase</w:t>
            </w:r>
          </w:p>
        </w:tc>
        <w:tc>
          <w:tcPr>
            <w:tcW w:w="5393" w:type="dxa"/>
          </w:tcPr>
          <w:p w:rsidR="006870B7" w:rsidRPr="006870B7" w:rsidRDefault="00147049" w:rsidP="00936B2C">
            <w:pPr>
              <w:spacing w:line="259" w:lineRule="auto"/>
              <w:ind w:left="3"/>
              <w:jc w:val="left"/>
              <w:rPr>
                <w:rFonts w:cs="Times New Roman"/>
                <w:sz w:val="20"/>
                <w:szCs w:val="20"/>
              </w:rPr>
            </w:pPr>
            <w:r>
              <w:rPr>
                <w:rFonts w:cs="Times New Roman"/>
                <w:sz w:val="20"/>
                <w:szCs w:val="20"/>
              </w:rPr>
              <w:t>Production of low-dosage lactose milk</w:t>
            </w:r>
          </w:p>
        </w:tc>
        <w:tc>
          <w:tcPr>
            <w:tcW w:w="962" w:type="dxa"/>
          </w:tcPr>
          <w:p w:rsidR="006870B7" w:rsidRPr="006870B7" w:rsidRDefault="00147049" w:rsidP="00936B2C">
            <w:pPr>
              <w:spacing w:line="259" w:lineRule="auto"/>
              <w:ind w:left="3"/>
              <w:jc w:val="left"/>
              <w:rPr>
                <w:rFonts w:cs="Times New Roman"/>
                <w:sz w:val="20"/>
                <w:szCs w:val="20"/>
              </w:rPr>
            </w:pPr>
            <w:r>
              <w:rPr>
                <w:rFonts w:cs="Times New Roman"/>
                <w:sz w:val="20"/>
                <w:szCs w:val="20"/>
              </w:rPr>
              <w:t>[77]</w:t>
            </w:r>
          </w:p>
        </w:tc>
      </w:tr>
      <w:tr w:rsidR="006870B7" w:rsidRPr="006870B7" w:rsidTr="000B670E">
        <w:trPr>
          <w:trHeight w:val="284"/>
        </w:trPr>
        <w:tc>
          <w:tcPr>
            <w:tcW w:w="1572" w:type="dxa"/>
          </w:tcPr>
          <w:p w:rsidR="006870B7" w:rsidRPr="006870B7" w:rsidRDefault="006870B7" w:rsidP="00936B2C">
            <w:pPr>
              <w:spacing w:after="160" w:line="259" w:lineRule="auto"/>
              <w:jc w:val="left"/>
              <w:rPr>
                <w:rFonts w:cs="Times New Roman"/>
                <w:sz w:val="20"/>
                <w:szCs w:val="20"/>
              </w:rPr>
            </w:pPr>
          </w:p>
        </w:tc>
        <w:tc>
          <w:tcPr>
            <w:tcW w:w="2001" w:type="dxa"/>
          </w:tcPr>
          <w:p w:rsidR="006870B7" w:rsidRPr="006870B7" w:rsidRDefault="00147049" w:rsidP="00936B2C">
            <w:pPr>
              <w:spacing w:line="259" w:lineRule="auto"/>
              <w:ind w:left="3"/>
              <w:jc w:val="left"/>
              <w:rPr>
                <w:rFonts w:cs="Times New Roman"/>
                <w:sz w:val="20"/>
                <w:szCs w:val="20"/>
              </w:rPr>
            </w:pPr>
            <w:r>
              <w:rPr>
                <w:rFonts w:cs="Times New Roman"/>
                <w:sz w:val="20"/>
                <w:szCs w:val="20"/>
              </w:rPr>
              <w:t>Proteolytic enzymes</w:t>
            </w:r>
          </w:p>
        </w:tc>
        <w:tc>
          <w:tcPr>
            <w:tcW w:w="5393" w:type="dxa"/>
          </w:tcPr>
          <w:p w:rsidR="006870B7" w:rsidRPr="006870B7" w:rsidRDefault="00147049" w:rsidP="00936B2C">
            <w:pPr>
              <w:spacing w:line="259" w:lineRule="auto"/>
              <w:ind w:left="3"/>
              <w:jc w:val="left"/>
              <w:rPr>
                <w:rFonts w:cs="Times New Roman"/>
                <w:sz w:val="20"/>
                <w:szCs w:val="20"/>
              </w:rPr>
            </w:pPr>
            <w:r>
              <w:rPr>
                <w:rFonts w:cs="Times New Roman"/>
                <w:sz w:val="20"/>
                <w:szCs w:val="20"/>
              </w:rPr>
              <w:t>Production of bioactive peptides</w:t>
            </w:r>
          </w:p>
        </w:tc>
        <w:tc>
          <w:tcPr>
            <w:tcW w:w="962" w:type="dxa"/>
          </w:tcPr>
          <w:p w:rsidR="006870B7" w:rsidRPr="006870B7" w:rsidRDefault="00147049" w:rsidP="00936B2C">
            <w:pPr>
              <w:spacing w:line="259" w:lineRule="auto"/>
              <w:ind w:left="3"/>
              <w:jc w:val="left"/>
              <w:rPr>
                <w:rFonts w:cs="Times New Roman"/>
                <w:sz w:val="20"/>
                <w:szCs w:val="20"/>
              </w:rPr>
            </w:pPr>
            <w:r>
              <w:rPr>
                <w:rFonts w:cs="Times New Roman"/>
                <w:sz w:val="20"/>
                <w:szCs w:val="20"/>
              </w:rPr>
              <w:t>[78]</w:t>
            </w:r>
          </w:p>
        </w:tc>
      </w:tr>
    </w:tbl>
    <w:p w:rsidR="00A87616" w:rsidRPr="00A87616" w:rsidRDefault="00A87616" w:rsidP="00A87616">
      <w:pPr>
        <w:pStyle w:val="figurecaption"/>
        <w:numPr>
          <w:ilvl w:val="0"/>
          <w:numId w:val="0"/>
        </w:numPr>
        <w:rPr>
          <w:rFonts w:eastAsia="MS Mincho"/>
          <w:b/>
          <w:color w:val="C0504D" w:themeColor="accent2"/>
        </w:rPr>
      </w:pPr>
    </w:p>
    <w:p w:rsidR="00A87616" w:rsidRDefault="00A87616"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296F4C" w:rsidRDefault="00296F4C" w:rsidP="00CB7398">
      <w:pPr>
        <w:jc w:val="both"/>
      </w:pPr>
    </w:p>
    <w:p w:rsidR="00767BF4" w:rsidRPr="00466548" w:rsidRDefault="00767BF4" w:rsidP="00466548">
      <w:pPr>
        <w:pStyle w:val="BodyText"/>
        <w:spacing w:after="0" w:line="240" w:lineRule="auto"/>
        <w:ind w:firstLine="0"/>
      </w:pPr>
    </w:p>
    <w:p w:rsidR="008A55B5" w:rsidRPr="00402841" w:rsidRDefault="00434A0D" w:rsidP="00467F3E">
      <w:pPr>
        <w:pStyle w:val="Heading1"/>
        <w:numPr>
          <w:ilvl w:val="0"/>
          <w:numId w:val="0"/>
        </w:numPr>
        <w:spacing w:before="0" w:after="0"/>
        <w:rPr>
          <w:rFonts w:eastAsia="MS Mincho"/>
        </w:rPr>
      </w:pPr>
      <w:r>
        <w:rPr>
          <w:rFonts w:ascii="Times New Roman" w:eastAsia="MS Mincho" w:hAnsi="Times New Roman"/>
          <w:sz w:val="20"/>
          <w:szCs w:val="20"/>
        </w:rPr>
        <w:t xml:space="preserve">The Potential </w:t>
      </w:r>
      <w:r w:rsidR="00C2377F">
        <w:rPr>
          <w:rFonts w:ascii="Times New Roman" w:eastAsia="MS Mincho" w:hAnsi="Times New Roman"/>
          <w:sz w:val="20"/>
          <w:szCs w:val="20"/>
        </w:rPr>
        <w:t>of</w:t>
      </w:r>
      <w:r>
        <w:rPr>
          <w:rFonts w:ascii="Times New Roman" w:eastAsia="MS Mincho" w:hAnsi="Times New Roman"/>
          <w:sz w:val="20"/>
          <w:szCs w:val="20"/>
        </w:rPr>
        <w:t xml:space="preserve"> Microbial Innovation </w:t>
      </w:r>
      <w:r w:rsidR="00C2377F">
        <w:rPr>
          <w:rFonts w:ascii="Times New Roman" w:eastAsia="MS Mincho" w:hAnsi="Times New Roman"/>
          <w:sz w:val="20"/>
          <w:szCs w:val="20"/>
        </w:rPr>
        <w:t>for</w:t>
      </w:r>
      <w:r>
        <w:rPr>
          <w:rFonts w:ascii="Times New Roman" w:eastAsia="MS Mincho" w:hAnsi="Times New Roman"/>
          <w:sz w:val="20"/>
          <w:szCs w:val="20"/>
        </w:rPr>
        <w:t xml:space="preserve"> </w:t>
      </w:r>
      <w:r w:rsidR="00C2377F">
        <w:rPr>
          <w:rFonts w:ascii="Times New Roman" w:eastAsia="MS Mincho" w:hAnsi="Times New Roman"/>
          <w:sz w:val="20"/>
          <w:szCs w:val="20"/>
        </w:rPr>
        <w:t>the</w:t>
      </w:r>
      <w:r>
        <w:rPr>
          <w:rFonts w:ascii="Times New Roman" w:eastAsia="MS Mincho" w:hAnsi="Times New Roman"/>
          <w:sz w:val="20"/>
          <w:szCs w:val="20"/>
        </w:rPr>
        <w:t xml:space="preserve"> Farming Sector</w:t>
      </w:r>
    </w:p>
    <w:p w:rsidR="00767BF4" w:rsidRPr="00767BF4" w:rsidRDefault="00767BF4" w:rsidP="00767BF4">
      <w:pPr>
        <w:rPr>
          <w:rFonts w:eastAsia="MS Mincho"/>
        </w:rPr>
      </w:pPr>
    </w:p>
    <w:p w:rsidR="00937636" w:rsidRDefault="005A2E29" w:rsidP="00937636">
      <w:pPr>
        <w:jc w:val="both"/>
      </w:pPr>
      <w:r>
        <w:t xml:space="preserve">The adaptability of metabolic attributes, the establishment of culinary-grade expressing protein hosts, and optimizing the performance of multi-enzyme systems are all long-standing obstacles to the use of enzyme-based methodologies in the food and beverage industry. </w:t>
      </w:r>
      <w:r w:rsidR="00E1724B">
        <w:t xml:space="preserve"> </w:t>
      </w:r>
    </w:p>
    <w:p w:rsidR="00937636" w:rsidRDefault="00937636" w:rsidP="00466548">
      <w:pPr>
        <w:pStyle w:val="BodyText"/>
        <w:spacing w:after="0" w:line="240" w:lineRule="auto"/>
        <w:ind w:firstLine="0"/>
      </w:pPr>
    </w:p>
    <w:p w:rsidR="00937636" w:rsidRDefault="00937636" w:rsidP="00466548">
      <w:pPr>
        <w:pStyle w:val="BodyText"/>
        <w:spacing w:after="0" w:line="240" w:lineRule="auto"/>
        <w:ind w:firstLine="0"/>
      </w:pPr>
    </w:p>
    <w:p w:rsidR="00937636" w:rsidRDefault="00937636" w:rsidP="00466548">
      <w:pPr>
        <w:pStyle w:val="BodyText"/>
        <w:spacing w:after="0" w:line="240" w:lineRule="auto"/>
        <w:ind w:firstLine="0"/>
      </w:pPr>
      <w:r>
        <w:rPr>
          <w:noProof/>
        </w:rPr>
        <w:drawing>
          <wp:inline distT="0" distB="0" distL="0" distR="0">
            <wp:extent cx="5733415" cy="3879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879215"/>
                    </a:xfrm>
                    <a:prstGeom prst="rect">
                      <a:avLst/>
                    </a:prstGeom>
                  </pic:spPr>
                </pic:pic>
              </a:graphicData>
            </a:graphic>
          </wp:inline>
        </w:drawing>
      </w:r>
    </w:p>
    <w:p w:rsidR="00937636" w:rsidRDefault="00937636" w:rsidP="00466548">
      <w:pPr>
        <w:pStyle w:val="BodyText"/>
        <w:spacing w:after="0" w:line="240" w:lineRule="auto"/>
        <w:ind w:firstLine="0"/>
      </w:pPr>
    </w:p>
    <w:p w:rsidR="00F86FE6" w:rsidRPr="00794DEE" w:rsidRDefault="00937636" w:rsidP="00794DEE">
      <w:pPr>
        <w:pStyle w:val="BodyText"/>
        <w:spacing w:after="0" w:line="240" w:lineRule="auto"/>
        <w:ind w:firstLine="0"/>
        <w:jc w:val="center"/>
        <w:rPr>
          <w:b/>
        </w:rPr>
      </w:pPr>
      <w:r w:rsidRPr="000B5B2F">
        <w:rPr>
          <w:b/>
        </w:rPr>
        <w:t xml:space="preserve">Figure </w:t>
      </w:r>
      <w:r w:rsidR="00543851">
        <w:rPr>
          <w:b/>
        </w:rPr>
        <w:t>3</w:t>
      </w:r>
      <w:r w:rsidR="00E1724B">
        <w:rPr>
          <w:b/>
        </w:rPr>
        <w:t>:-</w:t>
      </w:r>
      <w:r w:rsidRPr="000B5B2F">
        <w:rPr>
          <w:b/>
        </w:rPr>
        <w:t xml:space="preserve"> </w:t>
      </w:r>
      <w:r w:rsidR="00E1724B" w:rsidRPr="00E1724B">
        <w:rPr>
          <w:b/>
        </w:rPr>
        <w:t>The next phase of protease innovation in meals. (</w:t>
      </w:r>
      <w:r w:rsidR="00DF7338" w:rsidRPr="00C337EB">
        <w:rPr>
          <w:b/>
          <w:sz w:val="16"/>
          <w:szCs w:val="16"/>
        </w:rPr>
        <w:t>Reference</w:t>
      </w:r>
      <w:r w:rsidR="00C337EB">
        <w:rPr>
          <w:b/>
          <w:sz w:val="16"/>
          <w:szCs w:val="16"/>
        </w:rPr>
        <w:t xml:space="preserve"> no. (</w:t>
      </w:r>
      <w:r w:rsidR="00A45E59" w:rsidRPr="00C337EB">
        <w:rPr>
          <w:b/>
          <w:sz w:val="16"/>
          <w:szCs w:val="16"/>
        </w:rPr>
        <w:t>79</w:t>
      </w:r>
      <w:r w:rsidR="00C337EB">
        <w:rPr>
          <w:b/>
          <w:sz w:val="16"/>
          <w:szCs w:val="16"/>
        </w:rPr>
        <w:t>)</w:t>
      </w:r>
      <w:r w:rsidR="00A45E59" w:rsidRPr="00E1724B">
        <w:rPr>
          <w:b/>
        </w:rPr>
        <w:t xml:space="preserve"> </w:t>
      </w:r>
    </w:p>
    <w:p w:rsidR="00F86FE6" w:rsidRDefault="00F86FE6" w:rsidP="00937636">
      <w:pPr>
        <w:pStyle w:val="BodyText"/>
        <w:spacing w:after="0" w:line="240" w:lineRule="auto"/>
        <w:ind w:firstLine="0"/>
        <w:jc w:val="center"/>
      </w:pPr>
    </w:p>
    <w:p w:rsidR="00937636" w:rsidRDefault="00937636" w:rsidP="00466548">
      <w:pPr>
        <w:pStyle w:val="BodyText"/>
        <w:spacing w:after="0" w:line="240" w:lineRule="auto"/>
        <w:ind w:firstLine="0"/>
      </w:pPr>
    </w:p>
    <w:p w:rsidR="00937636" w:rsidRDefault="00937636" w:rsidP="00466548">
      <w:pPr>
        <w:pStyle w:val="BodyText"/>
        <w:spacing w:after="0" w:line="240" w:lineRule="auto"/>
        <w:ind w:firstLine="0"/>
      </w:pPr>
    </w:p>
    <w:p w:rsidR="00937636" w:rsidRPr="00466548" w:rsidRDefault="00937636" w:rsidP="00466548">
      <w:pPr>
        <w:pStyle w:val="BodyText"/>
        <w:spacing w:after="0" w:line="240" w:lineRule="auto"/>
        <w:ind w:firstLine="0"/>
      </w:pPr>
    </w:p>
    <w:p w:rsidR="00147049" w:rsidRDefault="00147049" w:rsidP="00C05DB1">
      <w:pPr>
        <w:jc w:val="both"/>
        <w:rPr>
          <w:rFonts w:eastAsia="MyriadPro-BoldSemiCn"/>
          <w:b/>
          <w:bCs/>
        </w:rPr>
      </w:pPr>
      <w:r>
        <w:rPr>
          <w:rFonts w:eastAsia="MyriadPro-BoldSemiCn"/>
          <w:b/>
          <w:bCs/>
        </w:rPr>
        <w:t xml:space="preserve">Adaptability </w:t>
      </w:r>
      <w:r w:rsidR="00C2377F">
        <w:rPr>
          <w:rFonts w:eastAsia="MyriadPro-BoldSemiCn"/>
          <w:b/>
          <w:bCs/>
        </w:rPr>
        <w:t>of</w:t>
      </w:r>
      <w:r w:rsidR="00567A9D">
        <w:rPr>
          <w:rFonts w:eastAsia="MyriadPro-BoldSemiCn"/>
          <w:b/>
          <w:bCs/>
        </w:rPr>
        <w:t xml:space="preserve"> Enzymatic P</w:t>
      </w:r>
      <w:r>
        <w:rPr>
          <w:rFonts w:eastAsia="MyriadPro-BoldSemiCn"/>
          <w:b/>
          <w:bCs/>
        </w:rPr>
        <w:t>roperties</w:t>
      </w:r>
    </w:p>
    <w:p w:rsidR="00567A9D" w:rsidRDefault="00567A9D" w:rsidP="00C05DB1">
      <w:pPr>
        <w:jc w:val="both"/>
        <w:rPr>
          <w:rFonts w:eastAsia="MyriadPro-BoldSemiCn"/>
          <w:b/>
          <w:bCs/>
        </w:rPr>
      </w:pPr>
    </w:p>
    <w:p w:rsidR="00C05DB1" w:rsidRDefault="003B590A" w:rsidP="00C05DB1">
      <w:pPr>
        <w:jc w:val="both"/>
      </w:pPr>
      <w:r>
        <w:t>Increasing the applicability of</w:t>
      </w:r>
      <w:r w:rsidR="00AE48AF" w:rsidRPr="00AE48AF">
        <w:t xml:space="preserve"> catalyst methods for the cultivation of food by improving enzyme activity under specific conditions through protein manipulation.</w:t>
      </w:r>
      <w:r w:rsidR="00AE48AF">
        <w:t xml:space="preserve"> </w:t>
      </w:r>
      <w:r w:rsidR="00F907E2" w:rsidRPr="00F907E2">
        <w:t xml:space="preserve">For example, amino acids </w:t>
      </w:r>
      <w:r w:rsidR="00A45E59" w:rsidRPr="00F907E2">
        <w:t>are</w:t>
      </w:r>
      <w:r w:rsidR="00C337EB">
        <w:t xml:space="preserve"> required to produce</w:t>
      </w:r>
      <w:r w:rsidR="00F907E2" w:rsidRPr="00F907E2">
        <w:t xml:space="preserve"> liquor, cellulose, and magnesium glutamate, while its activity is hampered by the acidic conditions in which these activities take place. </w:t>
      </w:r>
      <w:r w:rsidR="00C05DB1">
        <w:t xml:space="preserve">[50] </w:t>
      </w:r>
      <w:r w:rsidR="00F907E2" w:rsidRPr="00F907E2">
        <w:t xml:space="preserve">Ding as well as </w:t>
      </w:r>
      <w:r w:rsidR="00A333B6" w:rsidRPr="00F907E2">
        <w:t>company.</w:t>
      </w:r>
      <w:r w:rsidR="00A333B6">
        <w:t xml:space="preserve"> </w:t>
      </w:r>
      <w:r w:rsidR="00366574">
        <w:t>It was feasible to extract a variant of amino acid a species bacteria called Bacillus licheniformis with higher acid tolerance at a pH of 4.5 and a 14-fold boost to catalytic yield (kc at/Km) beyond the native type via controlled evolutionary.</w:t>
      </w:r>
    </w:p>
    <w:p w:rsidR="00C05DB1" w:rsidRDefault="00C05DB1" w:rsidP="00C05DB1">
      <w:pPr>
        <w:jc w:val="both"/>
      </w:pPr>
      <w:r>
        <w:t xml:space="preserve">Enhancing chemical modification can also help enzymes adapt better to the industrial setting. </w:t>
      </w:r>
      <w:r w:rsidR="006476E3">
        <w:t>Despite this technique has a likelihood for lowering enzyme activity, cell-polymer the bonds might enhance substrate durability</w:t>
      </w:r>
      <w:r w:rsidR="00C2377F">
        <w:t>. [</w:t>
      </w:r>
      <w:r>
        <w:t>51]. Promising</w:t>
      </w:r>
      <w:r w:rsidR="00366574">
        <w:t xml:space="preserve"> </w:t>
      </w:r>
      <w:r>
        <w:t xml:space="preserve">In order to improve catalytic efficiency and identify the crucial residues involved in catalysis, natural enzymes are frequently changed. </w:t>
      </w:r>
      <w:r w:rsidR="006D2C93" w:rsidRPr="006D2C93">
        <w:t xml:space="preserve">The unique activity and catalytic performance of the fibrinolytic gene identified as Sarmatia marcescens partially syn. </w:t>
      </w:r>
      <w:r w:rsidR="00AB4115">
        <w:t>amanuensis</w:t>
      </w:r>
      <w:r>
        <w:t xml:space="preserve"> </w:t>
      </w:r>
      <w:r w:rsidR="00AB4115">
        <w:t>was</w:t>
      </w:r>
      <w:r w:rsidR="003B590A">
        <w:t xml:space="preserve"> increased by 19-fold and 219-fold, respectively,</w:t>
      </w:r>
      <w:r>
        <w:t xml:space="preserve"> by </w:t>
      </w:r>
      <w:r w:rsidR="00366574">
        <w:t>Anshan</w:t>
      </w:r>
      <w:r>
        <w:t xml:space="preserve"> [52] using </w:t>
      </w:r>
      <w:r w:rsidR="00CA4858">
        <w:t>amino</w:t>
      </w:r>
      <w:r>
        <w:t xml:space="preserve"> acid modifiers.</w:t>
      </w:r>
      <w:r w:rsidRPr="00B32084">
        <w:t xml:space="preserve"> </w:t>
      </w:r>
      <w:r>
        <w:t xml:space="preserve">These fibrinolytic enzymes' structural analyses revealed modifications to their ß-sheet and -helix conformations. Additionally, enzymes can be chemically altered to enhance enzyme </w:t>
      </w:r>
      <w:r w:rsidR="00AB4115">
        <w:t>immobilization</w:t>
      </w:r>
      <w:r w:rsidR="00C337EB">
        <w:t xml:space="preserve"> [53</w:t>
      </w:r>
      <w:r w:rsidR="00C2377F">
        <w:t>, 54</w:t>
      </w:r>
      <w:r>
        <w:t xml:space="preserve">]. </w:t>
      </w:r>
      <w:r w:rsidR="006D2C93" w:rsidRPr="006D2C93">
        <w:t xml:space="preserve">The processes that are most prevalent </w:t>
      </w:r>
      <w:r w:rsidR="00A45E59" w:rsidRPr="006D2C93">
        <w:t>in regard to</w:t>
      </w:r>
      <w:r w:rsidR="006D2C93" w:rsidRPr="006D2C93">
        <w:t xml:space="preserve"> this are </w:t>
      </w:r>
      <w:r w:rsidR="00A45E59" w:rsidRPr="006D2C93">
        <w:lastRenderedPageBreak/>
        <w:t>hydrophilization</w:t>
      </w:r>
      <w:r w:rsidR="006D2C93" w:rsidRPr="006D2C93">
        <w:t xml:space="preserve">, cat ionization, while </w:t>
      </w:r>
      <w:r w:rsidR="00C2377F" w:rsidRPr="006D2C93">
        <w:t>unionization</w:t>
      </w:r>
      <w:r w:rsidR="006D2C93" w:rsidRPr="006D2C93">
        <w:t xml:space="preserve"> and enhancements to the enzyme's properties range from greater cellular penetrability to increased stability or activity. </w:t>
      </w:r>
      <w:r>
        <w:t>[55].</w:t>
      </w:r>
      <w:r w:rsidRPr="00B32084">
        <w:t xml:space="preserve"> </w:t>
      </w:r>
    </w:p>
    <w:p w:rsidR="00FE55D7" w:rsidRDefault="008963CF" w:rsidP="005028DA">
      <w:pPr>
        <w:jc w:val="both"/>
      </w:pPr>
      <w:r w:rsidRPr="008963CF">
        <w:t>Advances in the makeup of proteins resources and computational biology have also facilitated the invention of secure, focused, and extremely active enzymes that initiate complex processes in silicon.</w:t>
      </w:r>
      <w:r w:rsidR="00C05DB1" w:rsidRPr="00B32084">
        <w:t xml:space="preserve"> [56]. </w:t>
      </w:r>
      <w:r w:rsidRPr="008963CF">
        <w:t xml:space="preserve">Gideon assembled </w:t>
      </w:r>
      <w:r w:rsidR="00A45E59" w:rsidRPr="008963CF">
        <w:t>this</w:t>
      </w:r>
      <w:r w:rsidRPr="008963CF">
        <w:t xml:space="preserve"> enzyme and lactones gene families along with remarked on the refinement of their amine sequences using the Rosetta computational system. </w:t>
      </w:r>
      <w:r w:rsidR="00C05DB1" w:rsidRPr="00B32084">
        <w:t>[57]. Despite having just 25% sequence homology, 21 GH10</w:t>
      </w:r>
      <w:r w:rsidR="00AB4115">
        <w:t>,</w:t>
      </w:r>
      <w:r w:rsidR="00C05DB1" w:rsidRPr="00B32084">
        <w:t xml:space="preserve"> and 7 PLL designs are active among these </w:t>
      </w:r>
      <w:r w:rsidR="00AB4115">
        <w:t>optimized</w:t>
      </w:r>
      <w:r w:rsidR="00C05DB1" w:rsidRPr="00B32084">
        <w:t xml:space="preserve"> variations. </w:t>
      </w:r>
      <w:r w:rsidR="00080856" w:rsidRPr="00080856">
        <w:t>In summary, being able to manipulate food enzymes by cognitive and semi-rational layout, high-throughput screening, and emerging technologies such as machine learning will be critical to subsequent advances in alimentary protease.</w:t>
      </w:r>
    </w:p>
    <w:p w:rsidR="0085548B" w:rsidRPr="00466548" w:rsidRDefault="0085548B" w:rsidP="005028DA">
      <w:pPr>
        <w:jc w:val="both"/>
      </w:pPr>
    </w:p>
    <w:p w:rsidR="00FE55D7" w:rsidRDefault="00567A9D" w:rsidP="00467F3E">
      <w:pPr>
        <w:pStyle w:val="Heading2"/>
        <w:numPr>
          <w:ilvl w:val="0"/>
          <w:numId w:val="0"/>
        </w:numPr>
        <w:spacing w:before="0" w:after="0"/>
        <w:rPr>
          <w:b/>
          <w:i w:val="0"/>
        </w:rPr>
      </w:pPr>
      <w:r>
        <w:rPr>
          <w:b/>
          <w:i w:val="0"/>
        </w:rPr>
        <w:t>Implementing An Alimentary Translation N</w:t>
      </w:r>
      <w:r w:rsidR="00080856" w:rsidRPr="00080856">
        <w:rPr>
          <w:b/>
          <w:i w:val="0"/>
        </w:rPr>
        <w:t>etwork</w:t>
      </w:r>
      <w:r w:rsidR="00A45E59">
        <w:rPr>
          <w:b/>
          <w:i w:val="0"/>
        </w:rPr>
        <w:t xml:space="preserve"> </w:t>
      </w:r>
    </w:p>
    <w:p w:rsidR="00A45E59" w:rsidRPr="00A45E59" w:rsidRDefault="00A45E59" w:rsidP="00A45E59"/>
    <w:p w:rsidR="00A325D4" w:rsidRDefault="00080856" w:rsidP="00A325D4">
      <w:pPr>
        <w:jc w:val="both"/>
      </w:pPr>
      <w:r w:rsidRPr="00080856">
        <w:t xml:space="preserve">Food-grade creation of protein requires secure hosts and antibiotic-free genetic </w:t>
      </w:r>
      <w:r w:rsidR="00C2377F" w:rsidRPr="00080856">
        <w:t>procedures;</w:t>
      </w:r>
      <w:r w:rsidRPr="00080856">
        <w:t xml:space="preserve"> however the method for variant adaptation is hampered by the limited number of hosts accessible. </w:t>
      </w:r>
      <w:r w:rsidR="003B590A">
        <w:t>To identify enzymes that are secure for upcoming food processing,</w:t>
      </w:r>
      <w:r w:rsidR="00A325D4" w:rsidRPr="00B32084">
        <w:t xml:space="preserve"> food-grade protein expression platforms must be developed. </w:t>
      </w:r>
      <w:r w:rsidR="003A1D7B" w:rsidRPr="003A1D7B">
        <w:t>Through generating dual-host (shuttle) gene expression vectors with removable pick indicators for replication in E. These obstacles have been overcome in the edible lactic acid microbes and downstream protein expression.</w:t>
      </w:r>
      <w:r w:rsidR="00A325D4" w:rsidRPr="00B32084">
        <w:t xml:space="preserve"> [58],</w:t>
      </w:r>
      <w:r w:rsidR="00A325D4" w:rsidRPr="00F70F1C">
        <w:t xml:space="preserve"> </w:t>
      </w:r>
      <w:r w:rsidR="00AB4115">
        <w:t>including</w:t>
      </w:r>
      <w:r w:rsidR="00A325D4">
        <w:t xml:space="preserve"> Lactococcus </w:t>
      </w:r>
      <w:r w:rsidR="003A1D7B">
        <w:t>lactic</w:t>
      </w:r>
      <w:r w:rsidR="00A325D4">
        <w:t xml:space="preserve">, Lactobacillus, Bacillus </w:t>
      </w:r>
      <w:r w:rsidR="003A1D7B">
        <w:t>subtitles</w:t>
      </w:r>
      <w:r w:rsidR="00A325D4">
        <w:t xml:space="preserve">, </w:t>
      </w:r>
      <w:r w:rsidR="003A1D7B">
        <w:t>Aspergillums</w:t>
      </w:r>
      <w:r w:rsidR="00A325D4">
        <w:t xml:space="preserve"> </w:t>
      </w:r>
      <w:r w:rsidR="003A1D7B">
        <w:t>Niger</w:t>
      </w:r>
      <w:r w:rsidR="00A325D4">
        <w:t xml:space="preserve">, </w:t>
      </w:r>
      <w:r w:rsidR="003A1D7B">
        <w:t>Aspergillums</w:t>
      </w:r>
      <w:r w:rsidR="00A325D4">
        <w:t xml:space="preserve"> oryzae, and B. licheniformis. </w:t>
      </w:r>
      <w:r w:rsidR="003A1D7B" w:rsidRPr="003A1D7B">
        <w:t>Douglas et al. inserted the -galactosidase gene into the L. microsatellite bacteria</w:t>
      </w:r>
      <w:r w:rsidR="00A325D4">
        <w:t xml:space="preserve">. </w:t>
      </w:r>
      <w:r w:rsidR="003A1D7B" w:rsidRPr="003A1D7B">
        <w:t xml:space="preserve">In the dairy industry, regenerated lactic acid bacteria are used to boost the efficiency of galactose absorption (as a result, lactose-free milk), which improves the capacity of the human body to absorb and use dairy. </w:t>
      </w:r>
      <w:r w:rsidR="00A325D4">
        <w:t>[59].</w:t>
      </w:r>
      <w:r w:rsidR="00A325D4" w:rsidRPr="00706E2E">
        <w:t xml:space="preserve"> </w:t>
      </w:r>
      <w:r w:rsidR="00E053B7" w:rsidRPr="00E053B7">
        <w:t>Prolyl amino peptidase has been isolated in bacterium A by Watanabe et al.</w:t>
      </w:r>
      <w:r w:rsidR="00E053B7">
        <w:t xml:space="preserve"> </w:t>
      </w:r>
      <w:r w:rsidR="00E053B7" w:rsidRPr="00E053B7">
        <w:t xml:space="preserve">orchids for their extremely specificity and tolerance to salts, particularly serves as a catalyst in the fermentation process. </w:t>
      </w:r>
      <w:r w:rsidR="00A325D4" w:rsidRPr="00706E2E">
        <w:t xml:space="preserve">[60]. </w:t>
      </w:r>
    </w:p>
    <w:p w:rsidR="00A325D4" w:rsidRDefault="00E053B7" w:rsidP="00A325D4">
      <w:pPr>
        <w:pStyle w:val="BodyText"/>
        <w:spacing w:after="0" w:line="240" w:lineRule="auto"/>
        <w:ind w:firstLine="0"/>
      </w:pPr>
      <w:r w:rsidRPr="00E053B7">
        <w:t>To create novel manifestation sections with efficient expression levels, alternative safe for consumption expre</w:t>
      </w:r>
      <w:r>
        <w:t xml:space="preserve">ssion hosts are still required. </w:t>
      </w:r>
      <w:r w:rsidRPr="00E053B7">
        <w:t xml:space="preserve">To build the metabolic and regulatory aspects and improve the diet hygiene conveying framework for foreseeable food production, biology and sanitary datasets may be screened using computational biology and system capabilities. </w:t>
      </w:r>
      <w:r w:rsidR="00D04E12" w:rsidRPr="00D04E12">
        <w:t>In the meantime, illustrating strain features across the mechanism and expression system requires assembling numerous cellular parts into a new-molecule synthesis approach.</w:t>
      </w:r>
    </w:p>
    <w:p w:rsidR="00D04E12" w:rsidRPr="00466548" w:rsidRDefault="00D04E12" w:rsidP="00A325D4">
      <w:pPr>
        <w:pStyle w:val="BodyText"/>
        <w:spacing w:after="0" w:line="240" w:lineRule="auto"/>
        <w:ind w:firstLine="0"/>
      </w:pPr>
    </w:p>
    <w:p w:rsidR="00FE55D7" w:rsidRDefault="00567A9D" w:rsidP="00467F3E">
      <w:pPr>
        <w:pStyle w:val="Heading2"/>
        <w:numPr>
          <w:ilvl w:val="0"/>
          <w:numId w:val="0"/>
        </w:numPr>
        <w:spacing w:before="0" w:after="0"/>
        <w:rPr>
          <w:b/>
          <w:i w:val="0"/>
        </w:rPr>
      </w:pPr>
      <w:r>
        <w:rPr>
          <w:b/>
          <w:i w:val="0"/>
        </w:rPr>
        <w:t>Multi-enzyme Enhancement Of The S</w:t>
      </w:r>
      <w:r w:rsidR="00D04E12" w:rsidRPr="00D04E12">
        <w:rPr>
          <w:b/>
          <w:i w:val="0"/>
        </w:rPr>
        <w:t>ystem</w:t>
      </w:r>
    </w:p>
    <w:p w:rsidR="00C337EB" w:rsidRPr="00C337EB" w:rsidRDefault="00C337EB" w:rsidP="00C337EB"/>
    <w:p w:rsidR="00A325D4" w:rsidRDefault="00D04E12" w:rsidP="00A325D4">
      <w:pPr>
        <w:jc w:val="both"/>
      </w:pPr>
      <w:r w:rsidRPr="00D04E12">
        <w:t>Overall multi-enzyme system has evolved into a formidable tool in food production by combining several performing enzymes with each other to increase the reaction rate simultaneously.</w:t>
      </w:r>
      <w:r w:rsidRPr="00AA1CE5">
        <w:t xml:space="preserve"> Ginseng</w:t>
      </w:r>
      <w:r w:rsidR="00A325D4" w:rsidRPr="00AA1CE5">
        <w:t xml:space="preserve"> hardness may be greatly decreased following treatment with both neutral proteases and animal proteolytic enzymes, according to Zhou et al. [61]. Li et al. [62</w:t>
      </w:r>
      <w:r>
        <w:t xml:space="preserve">] </w:t>
      </w:r>
      <w:r w:rsidR="00C2377F" w:rsidRPr="00D04E12">
        <w:t>through</w:t>
      </w:r>
      <w:r w:rsidRPr="00D04E12">
        <w:t xml:space="preserve"> bringing together several functional digestive enzymes to quicken up their response rate synergistically, the multi-enzyme platform has gradually evolved into a powerful weapon in the cultivation of food. </w:t>
      </w:r>
      <w:r w:rsidR="00C4536D" w:rsidRPr="00C4536D">
        <w:t xml:space="preserve">The paper's authors were Zhou and colleagues. </w:t>
      </w:r>
      <w:r w:rsidR="00A325D4" w:rsidRPr="00AA1CE5">
        <w:t xml:space="preserve">[61], both neutral proteases and animal proteolytic enzymes have the potential to significantly reduce the hardness of ginseng. </w:t>
      </w:r>
      <w:r w:rsidR="00C2377F" w:rsidRPr="00AA1CE5">
        <w:t>Cited</w:t>
      </w:r>
      <w:r w:rsidR="00A325D4" w:rsidRPr="00AA1CE5">
        <w:t xml:space="preserve"> after Li et al.</w:t>
      </w:r>
      <w:r w:rsidR="00A325D4">
        <w:t xml:space="preserve"> </w:t>
      </w:r>
      <w:r w:rsidR="00C4536D" w:rsidRPr="00C4536D">
        <w:t>The amount and mix of numerous high-quality enzymes, determined by (DuPont, Rochester, New York, New York City, USA), can improve the handling of food through synergistic effects.</w:t>
      </w:r>
      <w:r w:rsidR="00C4536D">
        <w:t xml:space="preserve"> </w:t>
      </w:r>
      <w:r w:rsidR="00796A95" w:rsidRPr="00796A95">
        <w:t xml:space="preserve">Proteins extracted from plants can also be decomposed enzymatic ally (using amino acids like papa in, which is brome lain and and quercetin) followed by treatment with transglutaminase to generate high-quality hydrolysates with increased functional properties such as emulsifying and bubbling abilities. </w:t>
      </w:r>
      <w:r w:rsidR="00A325D4">
        <w:t>[64].</w:t>
      </w:r>
      <w:r w:rsidR="00AB4115">
        <w:t>To</w:t>
      </w:r>
      <w:r w:rsidR="00A325D4" w:rsidRPr="00AA1CE5">
        <w:t xml:space="preserve"> increase the use of multi-enzyme systems in food production, it will be necessary to: (1)</w:t>
      </w:r>
      <w:r w:rsidR="00796A95" w:rsidRPr="00796A95">
        <w:t xml:space="preserve"> pursuit find high-performing digestive enzymes</w:t>
      </w:r>
      <w:r w:rsidR="00A325D4" w:rsidRPr="00AA1CE5">
        <w:t>; (2)</w:t>
      </w:r>
      <w:r w:rsidR="00796A95" w:rsidRPr="00796A95">
        <w:t xml:space="preserve"> tune the enzyme/strain composite system for best yield and performance</w:t>
      </w:r>
      <w:r w:rsidR="00A325D4" w:rsidRPr="00AA1CE5">
        <w:t xml:space="preserve">; and (3) </w:t>
      </w:r>
      <w:r w:rsidR="00796A95" w:rsidRPr="00796A95">
        <w:t>Create a sturdy system that can handle an array of pH levels and temperature settings in workplaces.</w:t>
      </w:r>
    </w:p>
    <w:p w:rsidR="00FE55D7" w:rsidRPr="00466548" w:rsidRDefault="00FE55D7" w:rsidP="00FE55D7">
      <w:pPr>
        <w:pStyle w:val="BodyText"/>
        <w:spacing w:after="0" w:line="240" w:lineRule="auto"/>
        <w:ind w:firstLine="0"/>
      </w:pPr>
    </w:p>
    <w:p w:rsidR="00796A95" w:rsidRDefault="00A45E59" w:rsidP="00467F3E">
      <w:pPr>
        <w:jc w:val="both"/>
        <w:rPr>
          <w:b/>
        </w:rPr>
      </w:pPr>
      <w:r>
        <w:rPr>
          <w:b/>
        </w:rPr>
        <w:t>Conclusion</w:t>
      </w:r>
    </w:p>
    <w:p w:rsidR="00A45E59" w:rsidRPr="00796A95" w:rsidRDefault="00A45E59" w:rsidP="00467F3E">
      <w:pPr>
        <w:jc w:val="both"/>
        <w:rPr>
          <w:b/>
        </w:rPr>
      </w:pPr>
    </w:p>
    <w:p w:rsidR="00467F3E" w:rsidRPr="00AA1CE5" w:rsidRDefault="00467F3E" w:rsidP="00467F3E">
      <w:pPr>
        <w:jc w:val="both"/>
      </w:pPr>
      <w:r w:rsidRPr="00AA1CE5">
        <w:t xml:space="preserve">The urgent needs of human civilization cannot now be fully met by conventional food production. </w:t>
      </w:r>
      <w:r w:rsidR="001E3112" w:rsidRPr="001E3112">
        <w:t>To face both the financial and environmental challenges of scheduled difficulties with development, the dietary market will need to produce more efficiently, ecologically friendly, and consistently.</w:t>
      </w:r>
      <w:r w:rsidR="001E3112" w:rsidRPr="00AA1CE5">
        <w:t xml:space="preserve"> Future</w:t>
      </w:r>
      <w:r w:rsidRPr="00AA1CE5">
        <w:t xml:space="preserve"> food consumption will change to fit each person's dietary and spiritual requirements and to meet the need for wholesome,</w:t>
      </w:r>
      <w:r>
        <w:t xml:space="preserve"> </w:t>
      </w:r>
      <w:r w:rsidRPr="00BA3015">
        <w:t xml:space="preserve">Foods that are wholesome and delectable while also enhancing food processing. </w:t>
      </w:r>
      <w:r w:rsidR="00DA3A91">
        <w:t xml:space="preserve">Considering folks crave bespoke nutrition, subsequent food fabrication is expected to depend on the use of enzymes to create tailored diets. </w:t>
      </w:r>
      <w:r w:rsidRPr="00BA3015">
        <w:t xml:space="preserve">The effectiveness of robust enzymes in enhancing human health has previously been demonstrated by advanced enzyme design technologies. </w:t>
      </w:r>
      <w:r w:rsidR="00DA3A91">
        <w:t>Above foremost, enzyme-based innovations will not merely expand the array of meals available in the future, but also boost the quality of food to meet expanding demand while yielding phenomenal revenue streams to the agricultural industry.</w:t>
      </w:r>
    </w:p>
    <w:p w:rsidR="00FE55D7" w:rsidRDefault="00FE55D7" w:rsidP="00467F3E">
      <w:pPr>
        <w:pStyle w:val="BodyText"/>
        <w:spacing w:after="0" w:line="240" w:lineRule="auto"/>
        <w:ind w:firstLine="0"/>
      </w:pPr>
    </w:p>
    <w:p w:rsidR="000026B6" w:rsidRDefault="000026B6" w:rsidP="000026B6"/>
    <w:p w:rsidR="00D9028A" w:rsidRDefault="00D9028A" w:rsidP="000026B6"/>
    <w:p w:rsidR="00D9028A" w:rsidRDefault="00D9028A" w:rsidP="000026B6"/>
    <w:p w:rsidR="00D9028A" w:rsidRDefault="00D9028A" w:rsidP="000026B6"/>
    <w:p w:rsidR="00D9028A" w:rsidRDefault="00D9028A" w:rsidP="000026B6"/>
    <w:p w:rsidR="00D9028A" w:rsidRDefault="00D9028A" w:rsidP="000026B6"/>
    <w:p w:rsidR="00D9028A" w:rsidRDefault="00D9028A" w:rsidP="000026B6"/>
    <w:p w:rsidR="00D9028A" w:rsidRDefault="00D9028A" w:rsidP="000026B6"/>
    <w:p w:rsidR="00EE4362" w:rsidRDefault="00EE4362" w:rsidP="00937636">
      <w:pPr>
        <w:jc w:val="both"/>
      </w:pPr>
    </w:p>
    <w:p w:rsidR="00937636" w:rsidRPr="00402841" w:rsidRDefault="00937636" w:rsidP="00937636">
      <w:pPr>
        <w:jc w:val="both"/>
        <w:rPr>
          <w:rFonts w:eastAsia="MS Mincho"/>
          <w:b/>
        </w:rPr>
      </w:pPr>
    </w:p>
    <w:p w:rsidR="008A55B5" w:rsidRPr="00402841" w:rsidRDefault="007A7421" w:rsidP="00466548">
      <w:pPr>
        <w:pStyle w:val="Heading5"/>
        <w:spacing w:before="0" w:after="0"/>
        <w:rPr>
          <w:rFonts w:eastAsia="MS Mincho"/>
        </w:rPr>
      </w:pPr>
      <w:r>
        <w:rPr>
          <w:rFonts w:ascii="Times New Roman" w:eastAsia="MS Mincho" w:hAnsi="Times New Roman"/>
          <w:i w:val="0"/>
          <w:sz w:val="20"/>
          <w:szCs w:val="20"/>
        </w:rPr>
        <w:t>REFERENCES</w:t>
      </w:r>
    </w:p>
    <w:p w:rsidR="008A55B5" w:rsidRPr="00B20C8E" w:rsidRDefault="008A55B5" w:rsidP="00466548">
      <w:pPr>
        <w:pStyle w:val="BodyText"/>
        <w:spacing w:after="0" w:line="240" w:lineRule="auto"/>
        <w:ind w:firstLine="0"/>
        <w:rPr>
          <w:sz w:val="16"/>
          <w:szCs w:val="16"/>
        </w:rPr>
      </w:pPr>
    </w:p>
    <w:p w:rsidR="008A55B5" w:rsidRPr="00466548" w:rsidRDefault="008A55B5" w:rsidP="00466548">
      <w:pPr>
        <w:rPr>
          <w:rFonts w:eastAsia="MS Mincho"/>
          <w:sz w:val="16"/>
          <w:szCs w:val="16"/>
        </w:rPr>
      </w:pPr>
    </w:p>
    <w:p w:rsidR="001B221B" w:rsidRPr="00F52258" w:rsidRDefault="007A7421" w:rsidP="00044735">
      <w:pPr>
        <w:pStyle w:val="references"/>
      </w:pPr>
      <w:r>
        <w:t>Chen J.Food science and technology in china: from 2020To2035. J.Chin Inst Food Sci Technol.2019;19(12);1-5.</w:t>
      </w:r>
    </w:p>
    <w:p w:rsidR="001B221B" w:rsidRPr="00044735" w:rsidRDefault="007A7421" w:rsidP="00044735">
      <w:pPr>
        <w:pStyle w:val="references"/>
        <w:rPr>
          <w:rFonts w:eastAsia="MS Mincho"/>
        </w:rPr>
      </w:pPr>
      <w:r>
        <w:t>Fardet A. Chapter three-characterization of the degree of food processing in relation to its health potential and effects.In:</w:t>
      </w:r>
      <w:r w:rsidR="001B221B" w:rsidRPr="00F52258">
        <w:t xml:space="preserve"> Toldrá</w:t>
      </w:r>
      <w:r w:rsidR="001B221B">
        <w:t xml:space="preserve"> </w:t>
      </w:r>
      <w:r w:rsidR="001B221B" w:rsidRPr="00F52258">
        <w:t>F, editor. Advances in food and nutrition research. Cambridge:</w:t>
      </w:r>
      <w:r w:rsidR="001B221B">
        <w:t xml:space="preserve"> </w:t>
      </w:r>
      <w:r w:rsidR="001B221B" w:rsidRPr="00F52258">
        <w:t>Academic Press; 2018. p. 79–129.</w:t>
      </w:r>
    </w:p>
    <w:p w:rsidR="001B221B" w:rsidRPr="00F52258" w:rsidRDefault="001B221B" w:rsidP="001B221B">
      <w:pPr>
        <w:pStyle w:val="references"/>
      </w:pPr>
      <w:r w:rsidRPr="00F52258">
        <w:t>Tyagi A, Kumar A, Aparna SV, Mallappa RH, Grover S, Batish</w:t>
      </w:r>
      <w:r>
        <w:t xml:space="preserve"> </w:t>
      </w:r>
      <w:r w:rsidRPr="00F52258">
        <w:t>VK. Synthetic biology: applications in the food sector.</w:t>
      </w:r>
    </w:p>
    <w:p w:rsidR="001B221B" w:rsidRPr="00D17E13" w:rsidRDefault="001B221B" w:rsidP="001B221B">
      <w:pPr>
        <w:pStyle w:val="references"/>
        <w:numPr>
          <w:ilvl w:val="0"/>
          <w:numId w:val="0"/>
        </w:numPr>
        <w:ind w:left="360"/>
      </w:pPr>
      <w:r w:rsidRPr="00F52258">
        <w:rPr>
          <w:color w:val="000000"/>
        </w:rPr>
        <w:t xml:space="preserve">Crit Rev Food Sci Nutr. 2016;56(11):1777–899. </w:t>
      </w:r>
      <w:r w:rsidRPr="00F52258">
        <w:t>https ://doi.</w:t>
      </w:r>
      <w:r>
        <w:t xml:space="preserve"> </w:t>
      </w:r>
      <w:r w:rsidRPr="00F52258">
        <w:t>org/10.1080/10408 398.2013.78253 4</w:t>
      </w:r>
      <w:r w:rsidRPr="00F52258">
        <w:rPr>
          <w:color w:val="000000"/>
        </w:rPr>
        <w:t>.</w:t>
      </w:r>
    </w:p>
    <w:p w:rsidR="001B221B" w:rsidRPr="00F52258" w:rsidRDefault="001B221B" w:rsidP="001B221B">
      <w:pPr>
        <w:pStyle w:val="references"/>
      </w:pPr>
      <w:r w:rsidRPr="00F52258">
        <w:t>Zhang G, Zhao X, Li X, Sun X, Zhou J, Du G, et al. Application of</w:t>
      </w:r>
      <w:r>
        <w:t xml:space="preserve"> </w:t>
      </w:r>
      <w:r w:rsidRPr="00F52258">
        <w:t>cell culture techniques in cultured meat-a review. Chin J Biotechnol.</w:t>
      </w:r>
      <w:r>
        <w:t xml:space="preserve"> </w:t>
      </w:r>
      <w:r w:rsidRPr="00F52258">
        <w:t xml:space="preserve">2019;35(8):1374–81. </w:t>
      </w:r>
    </w:p>
    <w:p w:rsidR="00226C2C" w:rsidRPr="00F52258" w:rsidRDefault="00226C2C" w:rsidP="00226C2C">
      <w:pPr>
        <w:pStyle w:val="references"/>
      </w:pPr>
      <w:r w:rsidRPr="00F52258">
        <w:t>Choi J-M, Han S-S, Kim H-S. Industrial applications of enzyme</w:t>
      </w:r>
      <w:r>
        <w:t xml:space="preserve"> </w:t>
      </w:r>
      <w:r w:rsidRPr="00F52258">
        <w:t>biocatalysis: current status and future aspects. Biotechnol Adv.</w:t>
      </w:r>
    </w:p>
    <w:p w:rsidR="00226C2C" w:rsidRPr="00D17E13" w:rsidRDefault="00226C2C" w:rsidP="00226C2C">
      <w:pPr>
        <w:pStyle w:val="references"/>
        <w:numPr>
          <w:ilvl w:val="0"/>
          <w:numId w:val="0"/>
        </w:numPr>
        <w:ind w:left="360"/>
      </w:pPr>
      <w:r w:rsidRPr="00F52258">
        <w:rPr>
          <w:color w:val="000000"/>
        </w:rPr>
        <w:t xml:space="preserve">2015;33(7):1443–544. </w:t>
      </w:r>
      <w:r w:rsidRPr="00F52258">
        <w:t>https ://doi.org/10.1016/j.biote chadv</w:t>
      </w:r>
      <w:r>
        <w:t xml:space="preserve"> </w:t>
      </w:r>
      <w:r w:rsidRPr="00F52258">
        <w:t>.2015.02.014</w:t>
      </w:r>
      <w:r w:rsidRPr="00F52258">
        <w:rPr>
          <w:color w:val="000000"/>
        </w:rPr>
        <w:t>.</w:t>
      </w:r>
    </w:p>
    <w:p w:rsidR="009F1150" w:rsidRPr="00D17E13" w:rsidRDefault="009F1150" w:rsidP="009F1150">
      <w:pPr>
        <w:pStyle w:val="references"/>
      </w:pPr>
      <w:r w:rsidRPr="00F52258">
        <w:t>Singh R, Kumar M, Mittal A, Mehta PK. Microbial enzymes:</w:t>
      </w:r>
      <w:r>
        <w:t xml:space="preserve"> </w:t>
      </w:r>
      <w:r w:rsidRPr="00F52258">
        <w:t xml:space="preserve">industrial progress in 21st century. 3 Biotech. 2016;6(2):174. </w:t>
      </w:r>
    </w:p>
    <w:p w:rsidR="001B221B" w:rsidRPr="00606992" w:rsidRDefault="009F1150" w:rsidP="00606992">
      <w:pPr>
        <w:pStyle w:val="references"/>
        <w:numPr>
          <w:ilvl w:val="0"/>
          <w:numId w:val="0"/>
        </w:numPr>
        <w:ind w:left="360"/>
        <w:rPr>
          <w:color w:val="000000"/>
        </w:rPr>
      </w:pPr>
      <w:r w:rsidRPr="00F52258">
        <w:t>://doi.org/10.1007/s1320 5-016-0485-8</w:t>
      </w:r>
      <w:r w:rsidRPr="00F52258">
        <w:rPr>
          <w:color w:val="000000"/>
        </w:rPr>
        <w:t>.</w:t>
      </w:r>
    </w:p>
    <w:p w:rsidR="00A64CD3" w:rsidRPr="00A64CD3" w:rsidRDefault="00606992" w:rsidP="009F1150">
      <w:pPr>
        <w:pStyle w:val="references"/>
        <w:spacing w:after="0" w:line="240" w:lineRule="auto"/>
        <w:ind w:left="0" w:firstLine="0"/>
        <w:jc w:val="left"/>
        <w:rPr>
          <w:rFonts w:eastAsia="MS Mincho"/>
        </w:rPr>
      </w:pPr>
      <w:r w:rsidRPr="00F52258">
        <w:rPr>
          <w:color w:val="000000"/>
          <w:sz w:val="17"/>
          <w:szCs w:val="17"/>
        </w:rPr>
        <w:t>Liu S, Wan D, Wang M, Madzak C, Du G, Chen J. Overproduction</w:t>
      </w:r>
      <w:r>
        <w:rPr>
          <w:color w:val="000000"/>
          <w:sz w:val="17"/>
          <w:szCs w:val="17"/>
        </w:rPr>
        <w:t xml:space="preserve"> </w:t>
      </w:r>
      <w:r w:rsidRPr="00F52258">
        <w:rPr>
          <w:color w:val="000000"/>
          <w:sz w:val="17"/>
          <w:szCs w:val="17"/>
        </w:rPr>
        <w:t xml:space="preserve">of pro-transglutaminase from </w:t>
      </w:r>
      <w:r w:rsidRPr="00F52258">
        <w:rPr>
          <w:i/>
          <w:iCs/>
          <w:color w:val="000000"/>
          <w:sz w:val="17"/>
          <w:szCs w:val="17"/>
        </w:rPr>
        <w:t xml:space="preserve">Streptomyces hygroscopicus </w:t>
      </w:r>
      <w:r w:rsidR="00A64CD3">
        <w:rPr>
          <w:i/>
          <w:iCs/>
          <w:color w:val="000000"/>
          <w:sz w:val="17"/>
          <w:szCs w:val="17"/>
        </w:rPr>
        <w:t xml:space="preserve"> </w:t>
      </w:r>
      <w:r w:rsidRPr="00F52258">
        <w:rPr>
          <w:color w:val="000000"/>
          <w:sz w:val="17"/>
          <w:szCs w:val="17"/>
        </w:rPr>
        <w:t xml:space="preserve"> </w:t>
      </w:r>
      <w:r>
        <w:rPr>
          <w:color w:val="000000"/>
          <w:sz w:val="17"/>
          <w:szCs w:val="17"/>
        </w:rPr>
        <w:t xml:space="preserve"> </w:t>
      </w:r>
      <w:r w:rsidR="00A64CD3">
        <w:rPr>
          <w:color w:val="000000"/>
          <w:sz w:val="17"/>
          <w:szCs w:val="17"/>
        </w:rPr>
        <w:t xml:space="preserve">                                                               </w:t>
      </w:r>
      <w:r>
        <w:rPr>
          <w:color w:val="000000"/>
          <w:sz w:val="17"/>
          <w:szCs w:val="17"/>
        </w:rPr>
        <w:t xml:space="preserve">   </w:t>
      </w:r>
      <w:r w:rsidR="00A64CD3">
        <w:rPr>
          <w:color w:val="000000"/>
          <w:sz w:val="17"/>
          <w:szCs w:val="17"/>
        </w:rPr>
        <w:t xml:space="preserve">     </w:t>
      </w:r>
    </w:p>
    <w:p w:rsidR="00A64CD3" w:rsidRDefault="00A64CD3" w:rsidP="00A64CD3">
      <w:pPr>
        <w:pStyle w:val="references"/>
        <w:numPr>
          <w:ilvl w:val="0"/>
          <w:numId w:val="0"/>
        </w:numPr>
        <w:spacing w:after="0" w:line="240" w:lineRule="auto"/>
        <w:jc w:val="left"/>
        <w:rPr>
          <w:color w:val="000000"/>
          <w:sz w:val="17"/>
          <w:szCs w:val="17"/>
        </w:rPr>
      </w:pPr>
      <w:r>
        <w:rPr>
          <w:color w:val="000000"/>
          <w:sz w:val="17"/>
          <w:szCs w:val="17"/>
        </w:rPr>
        <w:t xml:space="preserve">      </w:t>
      </w:r>
      <w:r w:rsidR="00606992">
        <w:rPr>
          <w:color w:val="000000"/>
          <w:sz w:val="17"/>
          <w:szCs w:val="17"/>
        </w:rPr>
        <w:t xml:space="preserve">  </w:t>
      </w:r>
      <w:r w:rsidR="00606992" w:rsidRPr="00F52258">
        <w:rPr>
          <w:i/>
          <w:iCs/>
          <w:color w:val="000000"/>
          <w:sz w:val="17"/>
          <w:szCs w:val="17"/>
        </w:rPr>
        <w:t>Yarrowia</w:t>
      </w:r>
      <w:r w:rsidR="00606992">
        <w:rPr>
          <w:color w:val="000000"/>
          <w:sz w:val="17"/>
          <w:szCs w:val="17"/>
        </w:rPr>
        <w:t xml:space="preserve"> </w:t>
      </w:r>
      <w:r w:rsidR="00606992" w:rsidRPr="00F52258">
        <w:rPr>
          <w:i/>
          <w:iCs/>
          <w:color w:val="000000"/>
          <w:sz w:val="17"/>
          <w:szCs w:val="17"/>
        </w:rPr>
        <w:t>lipolytica</w:t>
      </w:r>
      <w:r w:rsidR="00284B1D">
        <w:rPr>
          <w:i/>
          <w:iCs/>
          <w:color w:val="000000"/>
          <w:sz w:val="17"/>
          <w:szCs w:val="17"/>
        </w:rPr>
        <w:t xml:space="preserve"> </w:t>
      </w:r>
      <w:r w:rsidR="00606992" w:rsidRPr="00F52258">
        <w:rPr>
          <w:color w:val="000000"/>
          <w:sz w:val="17"/>
          <w:szCs w:val="17"/>
        </w:rPr>
        <w:t>and its biochemical characterization. BMC Biotechnol.</w:t>
      </w:r>
      <w:r w:rsidR="00606992">
        <w:rPr>
          <w:color w:val="000000"/>
          <w:sz w:val="17"/>
          <w:szCs w:val="17"/>
        </w:rPr>
        <w:t xml:space="preserve"> </w:t>
      </w:r>
      <w:r w:rsidR="00606992" w:rsidRPr="00F52258">
        <w:rPr>
          <w:color w:val="000000"/>
          <w:sz w:val="17"/>
          <w:szCs w:val="17"/>
        </w:rPr>
        <w:t>2015;15:75.</w:t>
      </w:r>
    </w:p>
    <w:p w:rsidR="008316EC" w:rsidRDefault="00A64CD3" w:rsidP="008316EC">
      <w:pPr>
        <w:pStyle w:val="references"/>
        <w:numPr>
          <w:ilvl w:val="0"/>
          <w:numId w:val="0"/>
        </w:numPr>
        <w:spacing w:after="0" w:line="240" w:lineRule="auto"/>
        <w:jc w:val="left"/>
        <w:rPr>
          <w:rFonts w:eastAsia="MS Mincho"/>
        </w:rPr>
      </w:pPr>
      <w:r>
        <w:rPr>
          <w:color w:val="000000"/>
          <w:sz w:val="17"/>
          <w:szCs w:val="17"/>
        </w:rPr>
        <w:t xml:space="preserve">       </w:t>
      </w:r>
      <w:r w:rsidR="00606992" w:rsidRPr="00F52258">
        <w:rPr>
          <w:color w:val="000000"/>
          <w:sz w:val="17"/>
          <w:szCs w:val="17"/>
        </w:rPr>
        <w:t>.</w:t>
      </w:r>
      <w:r w:rsidR="009F1150">
        <w:rPr>
          <w:rFonts w:eastAsia="MS Mincho"/>
          <w:lang w:val="en-IN"/>
        </w:rPr>
        <w:t xml:space="preserve">           </w:t>
      </w:r>
      <w:r w:rsidR="009F1150" w:rsidRPr="009F1150">
        <w:rPr>
          <w:rFonts w:eastAsia="MS Mincho"/>
          <w:lang w:val="en-IN"/>
        </w:rPr>
        <w:t xml:space="preserve"> </w:t>
      </w:r>
      <w:r w:rsidR="008316EC">
        <w:rPr>
          <w:rFonts w:eastAsia="MS Mincho"/>
        </w:rPr>
        <w:t xml:space="preserve">                                                                                                                                                                                                                                                                                                               </w:t>
      </w:r>
    </w:p>
    <w:p w:rsidR="008316EC" w:rsidRPr="00F52258" w:rsidRDefault="008316EC" w:rsidP="008316EC">
      <w:pPr>
        <w:pStyle w:val="references"/>
      </w:pPr>
      <w:r w:rsidRPr="00F52258">
        <w:t>Kieliszek M, Misiewicz A. Microbial transglutaminase and</w:t>
      </w:r>
      <w:r>
        <w:t xml:space="preserve"> </w:t>
      </w:r>
      <w:r w:rsidRPr="00F52258">
        <w:t>its application in the food industry. A review. Folia Microbiol</w:t>
      </w:r>
    </w:p>
    <w:p w:rsidR="008316EC" w:rsidRPr="00D17E13" w:rsidRDefault="008316EC" w:rsidP="008316EC">
      <w:pPr>
        <w:pStyle w:val="references"/>
        <w:numPr>
          <w:ilvl w:val="0"/>
          <w:numId w:val="0"/>
        </w:numPr>
      </w:pPr>
      <w:r>
        <w:t xml:space="preserve">        </w:t>
      </w:r>
      <w:r w:rsidRPr="00F52258">
        <w:rPr>
          <w:color w:val="000000"/>
        </w:rPr>
        <w:t xml:space="preserve">(Praha). 2014;59(3):241–50. </w:t>
      </w:r>
      <w:r w:rsidRPr="00F52258">
        <w:t>https ://doi.org/10.1007/s12223-013-0287-x</w:t>
      </w:r>
      <w:r w:rsidRPr="00F52258">
        <w:rPr>
          <w:color w:val="000000"/>
        </w:rPr>
        <w:t>.</w:t>
      </w:r>
    </w:p>
    <w:p w:rsidR="005D6F62" w:rsidRPr="005D6F62" w:rsidRDefault="005D6F62" w:rsidP="005D6F62">
      <w:pPr>
        <w:pStyle w:val="references"/>
        <w:rPr>
          <w:rFonts w:eastAsia="MS Mincho"/>
        </w:rPr>
      </w:pPr>
      <w:r w:rsidRPr="005D6F62">
        <w:rPr>
          <w:rFonts w:eastAsia="MS Mincho"/>
        </w:rPr>
        <w:t>Yokoyama K, Nio N, Kikuchi Y. Properties and applications of microbial transglutaminase. Appl Microbiol Biotechnol.</w:t>
      </w:r>
    </w:p>
    <w:p w:rsidR="008316EC" w:rsidRDefault="005D6F62" w:rsidP="00315FFD">
      <w:pPr>
        <w:pStyle w:val="references"/>
        <w:numPr>
          <w:ilvl w:val="0"/>
          <w:numId w:val="0"/>
        </w:numPr>
        <w:ind w:left="360"/>
        <w:rPr>
          <w:rFonts w:eastAsia="MS Mincho"/>
        </w:rPr>
      </w:pPr>
      <w:r w:rsidRPr="005D6F62">
        <w:rPr>
          <w:rFonts w:eastAsia="MS Mincho"/>
        </w:rPr>
        <w:t>2004;64(4):447–54. https ://doi.org/10.1007/s0025 3-003-1539-5.</w:t>
      </w:r>
    </w:p>
    <w:p w:rsidR="00315FFD" w:rsidRPr="00315FFD" w:rsidRDefault="00315FFD" w:rsidP="00315FFD">
      <w:pPr>
        <w:pStyle w:val="references"/>
        <w:rPr>
          <w:rFonts w:eastAsia="MS Mincho"/>
        </w:rPr>
      </w:pPr>
      <w:r w:rsidRPr="00315FFD">
        <w:rPr>
          <w:rFonts w:eastAsia="MS Mincho"/>
        </w:rPr>
        <w:t>Domagała J, Najgebauer-Lejko D, Wieteska-Śliwa I, Sady M, Wszołek M, Bonczar G, et al. Influence of milk protein crosslinking by transglutaminase on the rennet coagulation time and the gel properties. J Sci Food Agric. 2016;96(10):3500–7. https</w:t>
      </w:r>
    </w:p>
    <w:p w:rsidR="00315FFD" w:rsidRDefault="00315FFD" w:rsidP="00322D1E">
      <w:pPr>
        <w:pStyle w:val="references"/>
        <w:numPr>
          <w:ilvl w:val="0"/>
          <w:numId w:val="0"/>
        </w:numPr>
        <w:ind w:left="360"/>
        <w:rPr>
          <w:rFonts w:eastAsia="MS Mincho"/>
        </w:rPr>
      </w:pPr>
      <w:r w:rsidRPr="00315FFD">
        <w:rPr>
          <w:rFonts w:eastAsia="MS Mincho"/>
        </w:rPr>
        <w:t>://doi.org/10.1002/jsfa.7534</w:t>
      </w:r>
      <w:r w:rsidR="00322D1E">
        <w:rPr>
          <w:rFonts w:eastAsia="MS Mincho"/>
        </w:rPr>
        <w:t>.</w:t>
      </w:r>
    </w:p>
    <w:p w:rsidR="00322D1E" w:rsidRPr="00322D1E" w:rsidRDefault="00322D1E" w:rsidP="00322D1E">
      <w:pPr>
        <w:pStyle w:val="references"/>
        <w:rPr>
          <w:rFonts w:eastAsia="MS Mincho"/>
        </w:rPr>
      </w:pPr>
      <w:r w:rsidRPr="00322D1E">
        <w:rPr>
          <w:rFonts w:eastAsia="MS Mincho"/>
        </w:rPr>
        <w:t xml:space="preserve">Struch M, Krahe N-K, Linke D, Mokoonlall A, Hinrichs J, Berger RG. </w:t>
      </w:r>
      <w:r w:rsidR="00284B1D">
        <w:rPr>
          <w:rFonts w:eastAsia="MS Mincho"/>
        </w:rPr>
        <w:t>Dose-dependent</w:t>
      </w:r>
      <w:r w:rsidRPr="00322D1E">
        <w:rPr>
          <w:rFonts w:eastAsia="MS Mincho"/>
        </w:rPr>
        <w:t xml:space="preserve"> effects of a milk ion tolerant laccase on</w:t>
      </w:r>
    </w:p>
    <w:p w:rsidR="00322D1E" w:rsidRDefault="00284B1D" w:rsidP="003C43DC">
      <w:pPr>
        <w:pStyle w:val="references"/>
        <w:numPr>
          <w:ilvl w:val="0"/>
          <w:numId w:val="0"/>
        </w:numPr>
        <w:ind w:left="360"/>
        <w:rPr>
          <w:rFonts w:eastAsia="MS Mincho"/>
        </w:rPr>
      </w:pPr>
      <w:r>
        <w:rPr>
          <w:rFonts w:eastAsia="MS Mincho"/>
        </w:rPr>
        <w:t>yogurt</w:t>
      </w:r>
      <w:r w:rsidR="00322D1E" w:rsidRPr="00322D1E">
        <w:rPr>
          <w:rFonts w:eastAsia="MS Mincho"/>
        </w:rPr>
        <w:t xml:space="preserve"> gel structure. </w:t>
      </w:r>
      <w:r>
        <w:rPr>
          <w:rFonts w:eastAsia="MS Mincho"/>
        </w:rPr>
        <w:t>LWT</w:t>
      </w:r>
      <w:r w:rsidR="00322D1E" w:rsidRPr="00322D1E">
        <w:rPr>
          <w:rFonts w:eastAsia="MS Mincho"/>
        </w:rPr>
        <w:t xml:space="preserve"> Food Sci Technol. 2016;65:1144–52.https ://doi.org/10.1016/j.lwt.2015.10.004.</w:t>
      </w:r>
    </w:p>
    <w:p w:rsidR="003C43DC" w:rsidRPr="003C43DC" w:rsidRDefault="003C43DC" w:rsidP="003C43DC">
      <w:pPr>
        <w:pStyle w:val="references"/>
        <w:rPr>
          <w:rFonts w:eastAsia="MS Mincho"/>
        </w:rPr>
      </w:pPr>
      <w:r w:rsidRPr="003C43DC">
        <w:rPr>
          <w:rFonts w:eastAsia="MS Mincho"/>
        </w:rPr>
        <w:t>. Struch M, Linke D, Mokoonlall A, Hinrichs J, Berger RG, et al .</w:t>
      </w:r>
      <w:r w:rsidR="00284B1D">
        <w:rPr>
          <w:rFonts w:eastAsia="MS Mincho"/>
        </w:rPr>
        <w:t xml:space="preserve"> </w:t>
      </w:r>
      <w:r w:rsidRPr="003C43DC">
        <w:rPr>
          <w:rFonts w:eastAsia="MS Mincho"/>
        </w:rPr>
        <w:t xml:space="preserve">Laccase-catalysed cross-linking of a </w:t>
      </w:r>
      <w:r w:rsidR="00AB4115">
        <w:rPr>
          <w:rFonts w:eastAsia="MS Mincho"/>
        </w:rPr>
        <w:t>yogurt-like</w:t>
      </w:r>
      <w:r w:rsidRPr="003C43DC">
        <w:rPr>
          <w:rFonts w:eastAsia="MS Mincho"/>
        </w:rPr>
        <w:t xml:space="preserve"> model system</w:t>
      </w:r>
    </w:p>
    <w:p w:rsidR="003C43DC" w:rsidRPr="003C43DC" w:rsidRDefault="003C43DC" w:rsidP="003C43DC">
      <w:pPr>
        <w:pStyle w:val="references"/>
        <w:numPr>
          <w:ilvl w:val="0"/>
          <w:numId w:val="0"/>
        </w:numPr>
        <w:ind w:left="360"/>
        <w:rPr>
          <w:rFonts w:eastAsia="MS Mincho"/>
        </w:rPr>
      </w:pPr>
      <w:r w:rsidRPr="003C43DC">
        <w:rPr>
          <w:rFonts w:eastAsia="MS Mincho"/>
        </w:rPr>
        <w:t>made from skimmed milk with added food-grade mediators. Int Dairy J. 2015;49:89–94. https ://doi.org/10.1016/j.idair</w:t>
      </w:r>
    </w:p>
    <w:p w:rsidR="003C43DC" w:rsidRDefault="003C43DC" w:rsidP="003C43DC">
      <w:pPr>
        <w:pStyle w:val="references"/>
        <w:numPr>
          <w:ilvl w:val="0"/>
          <w:numId w:val="0"/>
        </w:numPr>
        <w:ind w:left="360"/>
        <w:rPr>
          <w:rFonts w:eastAsia="MS Mincho"/>
        </w:rPr>
      </w:pPr>
      <w:r w:rsidRPr="003C43DC">
        <w:rPr>
          <w:rFonts w:eastAsia="MS Mincho"/>
        </w:rPr>
        <w:t>yj.2015.04.002</w:t>
      </w:r>
    </w:p>
    <w:p w:rsidR="00DE2DFF" w:rsidRPr="008B3620" w:rsidRDefault="00DE2DFF" w:rsidP="00DE2DFF">
      <w:pPr>
        <w:pStyle w:val="references"/>
      </w:pPr>
      <w:r w:rsidRPr="008B3620">
        <w:t>13. De Neve N, Vlaeminck B, Gadeyne F, Claeys E, Van DMP,</w:t>
      </w:r>
      <w:r>
        <w:t xml:space="preserve"> </w:t>
      </w:r>
      <w:r w:rsidRPr="008B3620">
        <w:t>Fievez V. Promising perspectives for ruminal protection of polyunsaturated</w:t>
      </w:r>
      <w:r>
        <w:t xml:space="preserve"> </w:t>
      </w:r>
      <w:r w:rsidRPr="008B3620">
        <w:t>fatty acids through polyphenol-oxidase-mediated</w:t>
      </w:r>
      <w:r>
        <w:t xml:space="preserve"> </w:t>
      </w:r>
      <w:r w:rsidRPr="008B3620">
        <w:t>crosslinking of interfacial protein in emulsions. Anim Int J</w:t>
      </w:r>
      <w:r>
        <w:t xml:space="preserve"> </w:t>
      </w:r>
      <w:r w:rsidRPr="008B3620">
        <w:t>Anim Biosci. 2018;12(12):1</w:t>
      </w:r>
      <w:r>
        <w:t xml:space="preserve"> </w:t>
      </w:r>
      <w:r w:rsidRPr="008B3620">
        <w:t xml:space="preserve">12. </w:t>
      </w:r>
    </w:p>
    <w:p w:rsidR="00014FF2" w:rsidRPr="008B3620" w:rsidRDefault="00014FF2" w:rsidP="00014FF2">
      <w:pPr>
        <w:pStyle w:val="references"/>
      </w:pPr>
      <w:r w:rsidRPr="008B3620">
        <w:t>Li J, Zhao X. Oxidative cross-linking of casein by horseradish</w:t>
      </w:r>
      <w:r>
        <w:t xml:space="preserve"> </w:t>
      </w:r>
      <w:r w:rsidRPr="008B3620">
        <w:t>peroxidase and its impacts on emulsifying properties</w:t>
      </w:r>
    </w:p>
    <w:p w:rsidR="00014FF2" w:rsidRPr="008B3620" w:rsidRDefault="00014FF2" w:rsidP="00014FF2">
      <w:pPr>
        <w:pStyle w:val="references"/>
        <w:numPr>
          <w:ilvl w:val="0"/>
          <w:numId w:val="0"/>
        </w:numPr>
        <w:ind w:left="360"/>
      </w:pPr>
      <w:r w:rsidRPr="008B3620">
        <w:t>and the microstructure of acidified gel. Afr J Biotech.</w:t>
      </w:r>
      <w:r>
        <w:t xml:space="preserve"> </w:t>
      </w:r>
      <w:r w:rsidRPr="008B3620">
        <w:t xml:space="preserve">2009;820(20):5508–15. </w:t>
      </w:r>
    </w:p>
    <w:p w:rsidR="00014FF2" w:rsidRPr="008B3620" w:rsidRDefault="00014FF2" w:rsidP="00014FF2">
      <w:pPr>
        <w:pStyle w:val="references"/>
      </w:pPr>
      <w:r w:rsidRPr="008B3620">
        <w:t>Resh MD. Fatty acylation of proteins: the long and the short of it.</w:t>
      </w:r>
      <w:r>
        <w:t xml:space="preserve"> </w:t>
      </w:r>
      <w:r w:rsidRPr="008B3620">
        <w:t xml:space="preserve">Prog Lipid Res. 2016;63:120–31. </w:t>
      </w:r>
    </w:p>
    <w:p w:rsidR="00014FF2" w:rsidRPr="008B3620" w:rsidRDefault="00014FF2" w:rsidP="00014FF2">
      <w:pPr>
        <w:pStyle w:val="references"/>
        <w:numPr>
          <w:ilvl w:val="0"/>
          <w:numId w:val="0"/>
        </w:numPr>
        <w:ind w:left="360"/>
        <w:rPr>
          <w:color w:val="000000"/>
        </w:rPr>
      </w:pPr>
      <w:r w:rsidRPr="008B3620">
        <w:t>es.2016.05.002</w:t>
      </w:r>
      <w:r w:rsidRPr="008B3620">
        <w:rPr>
          <w:color w:val="000000"/>
        </w:rPr>
        <w:t>.</w:t>
      </w:r>
    </w:p>
    <w:p w:rsidR="00014FF2" w:rsidRPr="008B3620" w:rsidRDefault="00014FF2" w:rsidP="00014FF2">
      <w:pPr>
        <w:pStyle w:val="references"/>
      </w:pPr>
      <w:r w:rsidRPr="008B3620">
        <w:t>Uyttendaele M, Franz E, Schlüter O. Food safety, a global challenge.</w:t>
      </w:r>
      <w:r>
        <w:t xml:space="preserve"> </w:t>
      </w:r>
      <w:r w:rsidRPr="008B3620">
        <w:t>Int J Environ Res Public Health. 2016;13(1):67.</w:t>
      </w:r>
    </w:p>
    <w:p w:rsidR="00014FF2" w:rsidRPr="008B3620" w:rsidRDefault="00014FF2" w:rsidP="00014FF2">
      <w:pPr>
        <w:pStyle w:val="references"/>
        <w:numPr>
          <w:ilvl w:val="0"/>
          <w:numId w:val="0"/>
        </w:numPr>
        <w:ind w:left="360"/>
        <w:rPr>
          <w:color w:val="000000"/>
        </w:rPr>
      </w:pPr>
      <w:r w:rsidRPr="008B3620">
        <w:t>org/10.3390/ijerp h1301 0067</w:t>
      </w:r>
      <w:r w:rsidRPr="008B3620">
        <w:rPr>
          <w:color w:val="000000"/>
        </w:rPr>
        <w:t>.</w:t>
      </w:r>
    </w:p>
    <w:p w:rsidR="0070360D" w:rsidRPr="0070360D" w:rsidRDefault="0070360D" w:rsidP="0070360D">
      <w:pPr>
        <w:pStyle w:val="references"/>
        <w:rPr>
          <w:rFonts w:eastAsia="MS Mincho"/>
        </w:rPr>
      </w:pPr>
      <w:r w:rsidRPr="0070360D">
        <w:rPr>
          <w:rFonts w:eastAsia="MS Mincho"/>
        </w:rPr>
        <w:t>Zhao XR, Choi KR, Lee SY. Metabolic engineering of Escherichia coli for secretory production of free haem. Nat Catal.</w:t>
      </w:r>
    </w:p>
    <w:p w:rsidR="003C43DC" w:rsidRDefault="0070360D" w:rsidP="0070360D">
      <w:pPr>
        <w:pStyle w:val="references"/>
        <w:numPr>
          <w:ilvl w:val="0"/>
          <w:numId w:val="0"/>
        </w:numPr>
        <w:ind w:left="360"/>
        <w:rPr>
          <w:rFonts w:eastAsia="MS Mincho"/>
        </w:rPr>
      </w:pPr>
      <w:r w:rsidRPr="0070360D">
        <w:rPr>
          <w:rFonts w:eastAsia="MS Mincho"/>
        </w:rPr>
        <w:t>2018;1(9):720–8. https ://doi.org/10.1038/s4192 9-018-0126-1</w:t>
      </w:r>
    </w:p>
    <w:p w:rsidR="0070360D" w:rsidRPr="008B3620" w:rsidRDefault="0070360D" w:rsidP="0070360D">
      <w:pPr>
        <w:pStyle w:val="references"/>
      </w:pPr>
      <w:r w:rsidRPr="008B3620">
        <w:t>Tsumura K, Saito T, Tsuge K, Ashida H, Kugimiya W, Inouye</w:t>
      </w:r>
      <w:r>
        <w:t xml:space="preserve"> </w:t>
      </w:r>
      <w:r w:rsidRPr="008B3620">
        <w:t>K. Functional properties of soy protein hydrolysates obtained by</w:t>
      </w:r>
    </w:p>
    <w:p w:rsidR="0070360D" w:rsidRDefault="0070360D" w:rsidP="0070360D">
      <w:pPr>
        <w:pStyle w:val="references"/>
        <w:numPr>
          <w:ilvl w:val="0"/>
          <w:numId w:val="0"/>
        </w:numPr>
        <w:ind w:left="360"/>
      </w:pPr>
      <w:r w:rsidRPr="008B3620">
        <w:t>selective proteolysis. LWT-Food Sci Technol. 2005;38(3):255–61.</w:t>
      </w:r>
      <w:r>
        <w:t xml:space="preserve"> </w:t>
      </w:r>
    </w:p>
    <w:p w:rsidR="0070360D" w:rsidRPr="008B3620" w:rsidRDefault="0070360D" w:rsidP="0070360D">
      <w:pPr>
        <w:pStyle w:val="references"/>
        <w:numPr>
          <w:ilvl w:val="0"/>
          <w:numId w:val="0"/>
        </w:numPr>
        <w:ind w:left="360"/>
      </w:pPr>
    </w:p>
    <w:p w:rsidR="0070360D" w:rsidRPr="00115037" w:rsidRDefault="0070360D" w:rsidP="0070360D">
      <w:pPr>
        <w:pStyle w:val="references"/>
      </w:pPr>
      <w:r w:rsidRPr="008B3620">
        <w:t>Lee HW, Keum EH, Lee SJ, Sung DE, Chung DH, Lee SI, et al.</w:t>
      </w:r>
      <w:r>
        <w:t xml:space="preserve"> </w:t>
      </w:r>
      <w:r w:rsidRPr="008B3620">
        <w:t>Allergenicity of proteolytic hydrolysates of the soybean 11S globulin.</w:t>
      </w:r>
      <w:r>
        <w:t xml:space="preserve"> </w:t>
      </w:r>
      <w:r w:rsidRPr="0070360D">
        <w:rPr>
          <w:color w:val="000000"/>
        </w:rPr>
        <w:t xml:space="preserve">J Food Sci. 2007;72(3):C168–C172. </w:t>
      </w:r>
      <w:r w:rsidRPr="008B3620">
        <w:t>https ://doi.org/10.1111/j.1750-3841.2007.00307 .x</w:t>
      </w:r>
      <w:r w:rsidRPr="0070360D">
        <w:rPr>
          <w:color w:val="000000"/>
        </w:rPr>
        <w:t>.</w:t>
      </w:r>
    </w:p>
    <w:p w:rsidR="00243A5F" w:rsidRPr="00243A5F" w:rsidRDefault="00243A5F" w:rsidP="00243A5F">
      <w:pPr>
        <w:pStyle w:val="references"/>
        <w:rPr>
          <w:rFonts w:eastAsia="MS Mincho"/>
        </w:rPr>
      </w:pPr>
      <w:r w:rsidRPr="00243A5F">
        <w:rPr>
          <w:rFonts w:eastAsia="MS Mincho"/>
        </w:rPr>
        <w:t>Pi X, Wan Y, Yang Y, Li R, Wu X, Xie M, et al. Research progress in peanut allergens and their allergenicity reduction. Trends</w:t>
      </w:r>
    </w:p>
    <w:p w:rsidR="003C43DC" w:rsidRDefault="00243A5F" w:rsidP="00243A5F">
      <w:pPr>
        <w:pStyle w:val="references"/>
        <w:numPr>
          <w:ilvl w:val="0"/>
          <w:numId w:val="0"/>
        </w:numPr>
        <w:ind w:left="360"/>
        <w:rPr>
          <w:rFonts w:eastAsia="MS Mincho"/>
        </w:rPr>
      </w:pPr>
      <w:r w:rsidRPr="00243A5F">
        <w:rPr>
          <w:rFonts w:eastAsia="MS Mincho"/>
        </w:rPr>
        <w:t>Food Sci Technol. 2019;93:212–20. https ://doi.org/10.1016/j.tifs.2019.09.014.</w:t>
      </w:r>
    </w:p>
    <w:p w:rsidR="001906F4" w:rsidRPr="001906F4" w:rsidRDefault="001906F4" w:rsidP="001906F4">
      <w:pPr>
        <w:pStyle w:val="references"/>
        <w:rPr>
          <w:rFonts w:eastAsia="MS Mincho"/>
        </w:rPr>
      </w:pPr>
      <w:r w:rsidRPr="001906F4">
        <w:rPr>
          <w:rFonts w:eastAsia="MS Mincho"/>
        </w:rPr>
        <w:t>Bu G, Zhang N, Chen F. The influence of glycosylation on the antigenicity, allergenicity, and structural properties of 11S-lactose</w:t>
      </w:r>
    </w:p>
    <w:p w:rsidR="0070360D" w:rsidRDefault="001906F4" w:rsidP="001906F4">
      <w:pPr>
        <w:pStyle w:val="references"/>
        <w:numPr>
          <w:ilvl w:val="0"/>
          <w:numId w:val="0"/>
        </w:numPr>
        <w:ind w:left="360"/>
        <w:rPr>
          <w:rFonts w:eastAsia="MS Mincho"/>
        </w:rPr>
      </w:pPr>
      <w:r w:rsidRPr="001906F4">
        <w:rPr>
          <w:rFonts w:eastAsia="MS Mincho"/>
        </w:rPr>
        <w:t>conjugates. Food Res Int. 2015;76:511–7. https ://doi.org/10.1016/j.foodr es.2015.08.004.</w:t>
      </w:r>
    </w:p>
    <w:p w:rsidR="007B79BD" w:rsidRDefault="007B79BD" w:rsidP="001906F4">
      <w:pPr>
        <w:pStyle w:val="references"/>
        <w:numPr>
          <w:ilvl w:val="0"/>
          <w:numId w:val="0"/>
        </w:numPr>
        <w:ind w:left="360"/>
        <w:rPr>
          <w:rFonts w:eastAsia="MS Mincho"/>
        </w:rPr>
      </w:pPr>
    </w:p>
    <w:p w:rsidR="002F0CE7" w:rsidRPr="008B3620" w:rsidRDefault="002F0CE7" w:rsidP="002F0CE7">
      <w:pPr>
        <w:pStyle w:val="references"/>
      </w:pPr>
      <w:r w:rsidRPr="008B3620">
        <w:t>Zhou S, Wang D, Zhao Y, Wu Y. A rapid HPLC method for indirect</w:t>
      </w:r>
      <w:r>
        <w:t xml:space="preserve"> </w:t>
      </w:r>
      <w:r w:rsidRPr="008B3620">
        <w:t>quantification of β-lactamase activity in milk. J Dairy Sci.</w:t>
      </w:r>
    </w:p>
    <w:p w:rsidR="002F0CE7" w:rsidRPr="008B3620" w:rsidRDefault="002F0CE7" w:rsidP="002F0CE7">
      <w:pPr>
        <w:pStyle w:val="references"/>
        <w:numPr>
          <w:ilvl w:val="0"/>
          <w:numId w:val="0"/>
        </w:numPr>
        <w:ind w:left="360"/>
        <w:rPr>
          <w:color w:val="000000"/>
        </w:rPr>
      </w:pPr>
      <w:r w:rsidRPr="008B3620">
        <w:rPr>
          <w:color w:val="000000"/>
        </w:rPr>
        <w:t xml:space="preserve">2015;98(4):2197–204. </w:t>
      </w:r>
      <w:r w:rsidRPr="008B3620">
        <w:t>https ://doi.org/10.3168/jds.2014-8845</w:t>
      </w:r>
      <w:r w:rsidRPr="008B3620">
        <w:rPr>
          <w:color w:val="000000"/>
        </w:rPr>
        <w:t>.</w:t>
      </w:r>
    </w:p>
    <w:p w:rsidR="000D5F84" w:rsidRPr="000D5F84" w:rsidRDefault="000D5F84" w:rsidP="000D5F84">
      <w:pPr>
        <w:pStyle w:val="references"/>
        <w:rPr>
          <w:rFonts w:eastAsia="MS Mincho"/>
        </w:rPr>
      </w:pPr>
      <w:r w:rsidRPr="000D5F84">
        <w:rPr>
          <w:rFonts w:eastAsia="MS Mincho"/>
        </w:rPr>
        <w:lastRenderedPageBreak/>
        <w:t>Zhang YD, Zheng N, Qu XY, Li SL, Yang JH, Zhao SG, et al. Short communication: Influence of preserving factors</w:t>
      </w:r>
    </w:p>
    <w:p w:rsidR="002F7D1C" w:rsidRPr="003C43DC" w:rsidRDefault="000D5F84" w:rsidP="000D5F84">
      <w:pPr>
        <w:pStyle w:val="references"/>
        <w:numPr>
          <w:ilvl w:val="0"/>
          <w:numId w:val="0"/>
        </w:numPr>
        <w:ind w:left="360"/>
        <w:rPr>
          <w:rFonts w:eastAsia="MS Mincho"/>
        </w:rPr>
      </w:pPr>
      <w:r w:rsidRPr="000D5F84">
        <w:rPr>
          <w:rFonts w:eastAsia="MS Mincho"/>
        </w:rPr>
        <w:t>on detection of β-lactamase in raw bovine milk. J Dairy Sci.2016;99(11):8571–4. https ://doi.org/10.3168/jds.2016-11096</w:t>
      </w:r>
    </w:p>
    <w:p w:rsidR="000D5F84" w:rsidRPr="000D5F84" w:rsidRDefault="000D5F84" w:rsidP="000D5F84">
      <w:pPr>
        <w:pStyle w:val="references"/>
        <w:rPr>
          <w:rFonts w:eastAsia="MS Mincho"/>
        </w:rPr>
      </w:pPr>
      <w:r w:rsidRPr="000D5F84">
        <w:rPr>
          <w:rFonts w:eastAsia="MS Mincho"/>
        </w:rPr>
        <w:t>Qin J, Cui X, Wu P, Jiang Z, Chen Y, Yang R, et al. Fluorescent sensor assay for β-lactamase in milk based on a combination of</w:t>
      </w:r>
    </w:p>
    <w:p w:rsidR="000D5F84" w:rsidRDefault="000D5F84" w:rsidP="000D5F84">
      <w:pPr>
        <w:pStyle w:val="references"/>
        <w:numPr>
          <w:ilvl w:val="0"/>
          <w:numId w:val="0"/>
        </w:numPr>
        <w:ind w:left="360"/>
        <w:rPr>
          <w:rFonts w:eastAsia="MS Mincho"/>
        </w:rPr>
      </w:pPr>
      <w:r w:rsidRPr="000D5F84">
        <w:rPr>
          <w:rFonts w:eastAsia="MS Mincho"/>
        </w:rPr>
        <w:t>aptamer and graphene oxide. Food Control. 2017;73:726–33. https://doi.org/10.1016/j.foodc ont.2016.09.023.</w:t>
      </w:r>
    </w:p>
    <w:p w:rsidR="000D5F84" w:rsidRPr="000D5F84" w:rsidRDefault="000D5F84" w:rsidP="000D5F84">
      <w:pPr>
        <w:pStyle w:val="references"/>
        <w:rPr>
          <w:rFonts w:eastAsia="MS Mincho"/>
        </w:rPr>
      </w:pPr>
      <w:r w:rsidRPr="000D5F84">
        <w:rPr>
          <w:rFonts w:eastAsia="MS Mincho"/>
        </w:rPr>
        <w:t>Loveday SM. Food proteins: technological, nutritional, and sustainability attributes of traditional and emerging proteins. Annu</w:t>
      </w:r>
    </w:p>
    <w:p w:rsidR="000D5F84" w:rsidRDefault="000D5F84" w:rsidP="000D5F84">
      <w:pPr>
        <w:pStyle w:val="references"/>
        <w:numPr>
          <w:ilvl w:val="0"/>
          <w:numId w:val="0"/>
        </w:numPr>
        <w:ind w:left="360"/>
        <w:rPr>
          <w:rFonts w:eastAsia="MS Mincho"/>
        </w:rPr>
      </w:pPr>
      <w:r w:rsidRPr="000D5F84">
        <w:rPr>
          <w:rFonts w:eastAsia="MS Mincho"/>
        </w:rPr>
        <w:t>Rev Food Sci Technol. 2019;10:311–39. https ://doi.org/10.1146/annur ev-food-03281 8-12112 8.</w:t>
      </w:r>
    </w:p>
    <w:p w:rsidR="000D5F84" w:rsidRPr="000D5F84" w:rsidRDefault="000D5F84" w:rsidP="000D5F84">
      <w:pPr>
        <w:pStyle w:val="references"/>
        <w:rPr>
          <w:rFonts w:eastAsia="MS Mincho"/>
        </w:rPr>
      </w:pPr>
      <w:r w:rsidRPr="000D5F84">
        <w:rPr>
          <w:rFonts w:eastAsia="MS Mincho"/>
        </w:rPr>
        <w:t xml:space="preserve">. Lotfy SN, Fadel HHM, El-Ghorab AH, Shaheen MS. Stability of encapsulated beef-like </w:t>
      </w:r>
      <w:r w:rsidR="00AB4115">
        <w:rPr>
          <w:rFonts w:eastAsia="MS Mincho"/>
        </w:rPr>
        <w:t>flavorings</w:t>
      </w:r>
      <w:r w:rsidRPr="000D5F84">
        <w:rPr>
          <w:rFonts w:eastAsia="MS Mincho"/>
        </w:rPr>
        <w:t xml:space="preserve"> prepared from enzymatically</w:t>
      </w:r>
    </w:p>
    <w:p w:rsidR="000D5F84" w:rsidRPr="000D5F84" w:rsidRDefault="00AB4115" w:rsidP="000D5F84">
      <w:pPr>
        <w:pStyle w:val="references"/>
        <w:numPr>
          <w:ilvl w:val="0"/>
          <w:numId w:val="0"/>
        </w:numPr>
        <w:ind w:left="360"/>
        <w:rPr>
          <w:rFonts w:eastAsia="MS Mincho"/>
        </w:rPr>
      </w:pPr>
      <w:r>
        <w:rPr>
          <w:rFonts w:eastAsia="MS Mincho"/>
        </w:rPr>
        <w:t>hydrolyzed</w:t>
      </w:r>
      <w:r w:rsidR="000D5F84" w:rsidRPr="000D5F84">
        <w:rPr>
          <w:rFonts w:eastAsia="MS Mincho"/>
        </w:rPr>
        <w:t xml:space="preserve"> mushroom proteins with other precursors under conventional and microwave heating. Food Chem. 2015;187:7–13.</w:t>
      </w:r>
    </w:p>
    <w:p w:rsidR="00D86913" w:rsidRPr="00466548" w:rsidRDefault="000D5F84" w:rsidP="000D5F84">
      <w:pPr>
        <w:pStyle w:val="references"/>
        <w:numPr>
          <w:ilvl w:val="0"/>
          <w:numId w:val="0"/>
        </w:numPr>
        <w:ind w:left="360"/>
        <w:rPr>
          <w:rFonts w:eastAsia="MS Mincho"/>
        </w:rPr>
      </w:pPr>
      <w:r w:rsidRPr="000D5F84">
        <w:rPr>
          <w:rFonts w:eastAsia="MS Mincho"/>
        </w:rPr>
        <w:t>https ://doi.org/10.1016/j.foodc hem.2015.04.027</w:t>
      </w:r>
      <w:r w:rsidR="00D86913">
        <w:rPr>
          <w:rFonts w:eastAsia="MS Mincho"/>
        </w:rPr>
        <w:t xml:space="preserve">  </w:t>
      </w:r>
    </w:p>
    <w:p w:rsidR="000D5F84" w:rsidRPr="000D5F84" w:rsidRDefault="000D5F84" w:rsidP="000D5F84">
      <w:pPr>
        <w:pStyle w:val="references"/>
        <w:rPr>
          <w:rFonts w:eastAsia="MS Mincho"/>
        </w:rPr>
      </w:pPr>
      <w:r w:rsidRPr="000D5F84">
        <w:rPr>
          <w:rFonts w:eastAsia="MS Mincho"/>
        </w:rPr>
        <w:t>Ledesma-Amaro R, Nicaud J-M. Yarrowia lipolytica as a biotechnological chassis to produce usual and unusual fatty acids.</w:t>
      </w:r>
    </w:p>
    <w:p w:rsidR="00D86913" w:rsidRPr="00466548" w:rsidRDefault="000D5F84" w:rsidP="000D5F84">
      <w:pPr>
        <w:pStyle w:val="references"/>
        <w:numPr>
          <w:ilvl w:val="0"/>
          <w:numId w:val="0"/>
        </w:numPr>
        <w:ind w:left="360"/>
        <w:rPr>
          <w:rFonts w:eastAsia="MS Mincho"/>
        </w:rPr>
      </w:pPr>
      <w:r w:rsidRPr="000D5F84">
        <w:rPr>
          <w:rFonts w:eastAsia="MS Mincho"/>
        </w:rPr>
        <w:t>Prog Lipid Res. 2016;61:40–50. https ://doi.org/10.1016/j.plipres.2015.12.001.</w:t>
      </w:r>
    </w:p>
    <w:p w:rsidR="000D5F84" w:rsidRPr="000D5F84" w:rsidRDefault="000D5F84" w:rsidP="000D5F84">
      <w:pPr>
        <w:pStyle w:val="references"/>
        <w:rPr>
          <w:rFonts w:eastAsia="MS Mincho"/>
        </w:rPr>
      </w:pPr>
      <w:r w:rsidRPr="000D5F84">
        <w:rPr>
          <w:rFonts w:eastAsia="MS Mincho"/>
        </w:rPr>
        <w:t>Manzanares P, Gandía M, Garrigues S, Marcos JF. Improving health-promoting effects of food-derived bioactive peptides</w:t>
      </w:r>
    </w:p>
    <w:p w:rsidR="00D86913" w:rsidRDefault="000D5F84" w:rsidP="000D5F84">
      <w:pPr>
        <w:pStyle w:val="references"/>
        <w:numPr>
          <w:ilvl w:val="0"/>
          <w:numId w:val="0"/>
        </w:numPr>
        <w:ind w:left="360"/>
        <w:rPr>
          <w:rFonts w:eastAsia="MS Mincho"/>
        </w:rPr>
      </w:pPr>
      <w:r w:rsidRPr="000D5F84">
        <w:rPr>
          <w:rFonts w:eastAsia="MS Mincho"/>
        </w:rPr>
        <w:t>through rational design and oral delivery strategies. Nutrients. 2019;11(10):2545. https ://doi.org/10.3390/nu111 02545</w:t>
      </w:r>
    </w:p>
    <w:p w:rsidR="000D5F84" w:rsidRPr="000D5F84" w:rsidRDefault="000D5F84" w:rsidP="000D5F84">
      <w:pPr>
        <w:pStyle w:val="references"/>
        <w:rPr>
          <w:rFonts w:eastAsia="MS Mincho"/>
        </w:rPr>
      </w:pPr>
      <w:r w:rsidRPr="000D5F84">
        <w:rPr>
          <w:rFonts w:eastAsia="MS Mincho"/>
        </w:rPr>
        <w:t>. Mohammadian M, Salami M, Emam-Djomeh Z, Alavi F. Chapter 25—nutraceutical properties of dairy bioactive peptides. In:</w:t>
      </w:r>
    </w:p>
    <w:p w:rsidR="000D5F84" w:rsidRPr="000D5F84" w:rsidRDefault="000D5F84" w:rsidP="000D5F84">
      <w:pPr>
        <w:pStyle w:val="references"/>
        <w:numPr>
          <w:ilvl w:val="0"/>
          <w:numId w:val="0"/>
        </w:numPr>
        <w:ind w:left="360"/>
        <w:rPr>
          <w:rFonts w:eastAsia="MS Mincho"/>
        </w:rPr>
      </w:pPr>
      <w:r w:rsidRPr="000D5F84">
        <w:rPr>
          <w:rFonts w:eastAsia="MS Mincho"/>
        </w:rPr>
        <w:t>Watson RR, Collier RJ, Preedy VR, editors. Dairy in human health and disease across the lifespan. Cambridge: Academic</w:t>
      </w:r>
    </w:p>
    <w:p w:rsidR="000D5F84" w:rsidRPr="00466548" w:rsidRDefault="000D5F84" w:rsidP="007B79BD">
      <w:pPr>
        <w:pStyle w:val="references"/>
        <w:numPr>
          <w:ilvl w:val="0"/>
          <w:numId w:val="0"/>
        </w:numPr>
        <w:ind w:left="360"/>
        <w:rPr>
          <w:rFonts w:eastAsia="MS Mincho"/>
        </w:rPr>
      </w:pPr>
      <w:r w:rsidRPr="000D5F84">
        <w:rPr>
          <w:rFonts w:eastAsia="MS Mincho"/>
        </w:rPr>
        <w:t>Press; 2017. pp. 325–342.</w:t>
      </w:r>
    </w:p>
    <w:p w:rsidR="00861799" w:rsidRPr="009D0CCB" w:rsidRDefault="00861799" w:rsidP="00861799">
      <w:pPr>
        <w:pStyle w:val="references"/>
      </w:pPr>
      <w:r w:rsidRPr="009D0CCB">
        <w:t>Cicero AFG, Fogacci F, Colletti A. Potential role of bioactive</w:t>
      </w:r>
      <w:r>
        <w:t xml:space="preserve"> </w:t>
      </w:r>
      <w:r w:rsidRPr="009D0CCB">
        <w:t>peptides in prevention and treatment of chronic diseases: a narrative</w:t>
      </w:r>
    </w:p>
    <w:p w:rsidR="00861799" w:rsidRPr="009D0CCB" w:rsidRDefault="00861799" w:rsidP="00861799">
      <w:pPr>
        <w:pStyle w:val="references"/>
        <w:numPr>
          <w:ilvl w:val="0"/>
          <w:numId w:val="0"/>
        </w:numPr>
        <w:ind w:left="360"/>
        <w:rPr>
          <w:color w:val="0000FF"/>
        </w:rPr>
      </w:pPr>
      <w:r w:rsidRPr="009D0CCB">
        <w:t xml:space="preserve">review. Br J Pharmacol. 2017;174(11):1378–94. </w:t>
      </w:r>
    </w:p>
    <w:p w:rsidR="00861799" w:rsidRPr="009D0CCB" w:rsidRDefault="00861799" w:rsidP="00861799">
      <w:pPr>
        <w:pStyle w:val="references"/>
      </w:pPr>
      <w:r w:rsidRPr="009D0CCB">
        <w:t xml:space="preserve"> Li X, Long J, Hua Y, Chen Y, Kong X, Zhang C. Protein recovery</w:t>
      </w:r>
      <w:r>
        <w:t xml:space="preserve"> </w:t>
      </w:r>
      <w:r w:rsidRPr="009D0CCB">
        <w:t>and anti-nutritional factor removal from soybean wastewater</w:t>
      </w:r>
    </w:p>
    <w:p w:rsidR="00861799" w:rsidRPr="009D0CCB" w:rsidRDefault="00861799" w:rsidP="00861799">
      <w:pPr>
        <w:pStyle w:val="references"/>
        <w:numPr>
          <w:ilvl w:val="0"/>
          <w:numId w:val="0"/>
        </w:numPr>
        <w:ind w:left="360"/>
      </w:pPr>
      <w:r w:rsidRPr="009D0CCB">
        <w:t>by complexing with a high concentration of polysaccharides in</w:t>
      </w:r>
      <w:r>
        <w:t xml:space="preserve"> </w:t>
      </w:r>
      <w:r w:rsidRPr="009D0CCB">
        <w:t xml:space="preserve">a novel quick-shearing system. J Food Eng. 2019;241:1–9. </w:t>
      </w:r>
    </w:p>
    <w:p w:rsidR="00861799" w:rsidRPr="009D0CCB" w:rsidRDefault="00861799" w:rsidP="00861799">
      <w:pPr>
        <w:pStyle w:val="references"/>
        <w:numPr>
          <w:ilvl w:val="0"/>
          <w:numId w:val="0"/>
        </w:numPr>
        <w:ind w:left="360"/>
        <w:rPr>
          <w:color w:val="000000"/>
        </w:rPr>
      </w:pPr>
      <w:r w:rsidRPr="009D0CCB">
        <w:t>://doi.org/10.1016/j.jfood eng.2018.07.034</w:t>
      </w:r>
      <w:r w:rsidRPr="009D0CCB">
        <w:rPr>
          <w:color w:val="000000"/>
        </w:rPr>
        <w:t>.</w:t>
      </w:r>
    </w:p>
    <w:p w:rsidR="00861799" w:rsidRPr="009D0CCB" w:rsidRDefault="00861799" w:rsidP="00861799">
      <w:pPr>
        <w:pStyle w:val="references"/>
      </w:pPr>
      <w:r w:rsidRPr="009D0CCB">
        <w:t xml:space="preserve"> Hayward S, Cilliers T, Swart P. Lipoxygenases: from isolation</w:t>
      </w:r>
      <w:r>
        <w:t xml:space="preserve"> </w:t>
      </w:r>
      <w:r w:rsidRPr="009D0CCB">
        <w:t>to application. Compr Rev Food Sci Food Saf. 2017;16(1):199–</w:t>
      </w:r>
    </w:p>
    <w:p w:rsidR="00861799" w:rsidRDefault="00861799" w:rsidP="00861799">
      <w:pPr>
        <w:pStyle w:val="references"/>
        <w:numPr>
          <w:ilvl w:val="0"/>
          <w:numId w:val="0"/>
        </w:numPr>
        <w:ind w:left="360"/>
        <w:rPr>
          <w:color w:val="000000"/>
        </w:rPr>
      </w:pPr>
      <w:r w:rsidRPr="009D0CCB">
        <w:rPr>
          <w:color w:val="000000"/>
        </w:rPr>
        <w:t xml:space="preserve">211. </w:t>
      </w:r>
      <w:r w:rsidRPr="009D0CCB">
        <w:t xml:space="preserve">https ://doi.org/10.1111/1541-4337.12239 </w:t>
      </w:r>
      <w:r w:rsidRPr="009D0CCB">
        <w:rPr>
          <w:color w:val="000000"/>
        </w:rPr>
        <w:t>.</w:t>
      </w:r>
    </w:p>
    <w:p w:rsidR="00861799" w:rsidRPr="009D0CCB" w:rsidRDefault="00861799" w:rsidP="00861799">
      <w:pPr>
        <w:pStyle w:val="references"/>
      </w:pPr>
      <w:r w:rsidRPr="009D0CCB">
        <w:t>Essays. Causes and minimization of soybean flavour via</w:t>
      </w:r>
    </w:p>
    <w:p w:rsidR="00861799" w:rsidRPr="009D0CCB" w:rsidRDefault="00861799" w:rsidP="00861799">
      <w:pPr>
        <w:pStyle w:val="references"/>
        <w:numPr>
          <w:ilvl w:val="0"/>
          <w:numId w:val="0"/>
        </w:numPr>
        <w:ind w:left="360"/>
      </w:pPr>
      <w:r w:rsidRPr="009D0CCB">
        <w:rPr>
          <w:color w:val="000000"/>
        </w:rPr>
        <w:t xml:space="preserve">enzymes. 2018. </w:t>
      </w:r>
      <w:r w:rsidRPr="009D0CCB">
        <w:t>https ://www.ukess ays.com/essay s/biolo gy/causes-and-minim izati on-of-soybe an-flavo ur-via-enzym es-biolo gyessay</w:t>
      </w:r>
      <w:r>
        <w:t xml:space="preserve"> </w:t>
      </w:r>
      <w:r w:rsidRPr="009D0CCB">
        <w:rPr>
          <w:color w:val="0000FF"/>
        </w:rPr>
        <w:t>.</w:t>
      </w:r>
      <w:r w:rsidRPr="009D0CCB">
        <w:t xml:space="preserve"> Accessed 15 Apr 2020.</w:t>
      </w:r>
    </w:p>
    <w:p w:rsidR="00861799" w:rsidRPr="009D0CCB" w:rsidRDefault="00861799" w:rsidP="00861799">
      <w:pPr>
        <w:pStyle w:val="references"/>
      </w:pPr>
      <w:r w:rsidRPr="009D0CCB">
        <w:t>Yang A, Smyth H, Chaliha M, James A. Sensory quality of</w:t>
      </w:r>
      <w:r>
        <w:t xml:space="preserve"> </w:t>
      </w:r>
      <w:r w:rsidRPr="009D0CCB">
        <w:t>soymilk and tofu from soybeans lacking lipoxygenases. Food</w:t>
      </w:r>
      <w:r>
        <w:t xml:space="preserve"> </w:t>
      </w:r>
      <w:r w:rsidRPr="009D0CCB">
        <w:t>Sci Nutr.</w:t>
      </w:r>
      <w:r>
        <w:t xml:space="preserve"> </w:t>
      </w:r>
      <w:r w:rsidRPr="009D0CCB">
        <w:t>2015;4(2):207–15. .</w:t>
      </w:r>
    </w:p>
    <w:p w:rsidR="00861799" w:rsidRPr="00861799" w:rsidRDefault="00861799" w:rsidP="00861799">
      <w:pPr>
        <w:pStyle w:val="references"/>
      </w:pPr>
      <w:r w:rsidRPr="009D0CCB">
        <w:t>Wu MY-C, Hsu M-Y, Chen S-J, Hwang D-K, Yen T-H,</w:t>
      </w:r>
      <w:r>
        <w:t xml:space="preserve"> </w:t>
      </w:r>
      <w:r w:rsidRPr="009D0CCB">
        <w:t>Cheng C-M. Point-of-care detection devices for food safety</w:t>
      </w:r>
      <w:r>
        <w:t xml:space="preserve"> </w:t>
      </w:r>
      <w:r w:rsidRPr="009D0CCB">
        <w:t>monitoring: proactive disease prevention. Trends Biotechnol.2017;35(4):288–300. ch.2016.12.005</w:t>
      </w:r>
      <w:r w:rsidRPr="00861799">
        <w:rPr>
          <w:color w:val="000000"/>
        </w:rPr>
        <w:t>.</w:t>
      </w:r>
    </w:p>
    <w:p w:rsidR="00861799" w:rsidRPr="009D0CCB" w:rsidRDefault="00861799" w:rsidP="00861799">
      <w:pPr>
        <w:pStyle w:val="references"/>
      </w:pPr>
      <w:r w:rsidRPr="009D0CCB">
        <w:t>Monosik R, Stredansky M, Tkac J, Šturdík E. Application of</w:t>
      </w:r>
      <w:r>
        <w:t xml:space="preserve"> </w:t>
      </w:r>
      <w:r w:rsidRPr="009D0CCB">
        <w:t xml:space="preserve">enzyme biosensors in </w:t>
      </w:r>
      <w:r w:rsidR="00284B1D">
        <w:t xml:space="preserve">the </w:t>
      </w:r>
      <w:r w:rsidRPr="009D0CCB">
        <w:t>analysis of food and beverages. Food Anal</w:t>
      </w:r>
    </w:p>
    <w:p w:rsidR="00861799" w:rsidRPr="009D0CCB" w:rsidRDefault="00861799" w:rsidP="00861799">
      <w:pPr>
        <w:pStyle w:val="references"/>
        <w:numPr>
          <w:ilvl w:val="0"/>
          <w:numId w:val="0"/>
        </w:numPr>
        <w:ind w:left="360"/>
        <w:rPr>
          <w:color w:val="000000"/>
        </w:rPr>
      </w:pPr>
      <w:r w:rsidRPr="009D0CCB">
        <w:rPr>
          <w:color w:val="000000"/>
        </w:rPr>
        <w:t xml:space="preserve">Methods. 2012;5:40. </w:t>
      </w:r>
      <w:r w:rsidRPr="009D0CCB">
        <w:t>https ://doi.org/10.1007/s1216 1-011-9222-4</w:t>
      </w:r>
      <w:r w:rsidRPr="009D0CCB">
        <w:rPr>
          <w:color w:val="000000"/>
        </w:rPr>
        <w:t>.</w:t>
      </w:r>
    </w:p>
    <w:p w:rsidR="00861799" w:rsidRPr="009D0CCB" w:rsidRDefault="00861799" w:rsidP="00861799">
      <w:pPr>
        <w:pStyle w:val="references"/>
      </w:pPr>
      <w:r w:rsidRPr="009D0CCB">
        <w:t>Rebane R, Kivirand K, Rinken T. A simple biosensor for biogenic</w:t>
      </w:r>
      <w:r>
        <w:t xml:space="preserve"> </w:t>
      </w:r>
      <w:r w:rsidRPr="009D0CCB">
        <w:t>diamines, comprising amine oxidase—containing threads and</w:t>
      </w:r>
    </w:p>
    <w:p w:rsidR="00861799" w:rsidRPr="009D0CCB" w:rsidRDefault="00861799" w:rsidP="00861799">
      <w:pPr>
        <w:pStyle w:val="references"/>
        <w:numPr>
          <w:ilvl w:val="0"/>
          <w:numId w:val="0"/>
        </w:numPr>
        <w:ind w:left="360"/>
        <w:rPr>
          <w:color w:val="0000FF"/>
        </w:rPr>
      </w:pPr>
      <w:r w:rsidRPr="009D0CCB">
        <w:t>oxygen sensor. Sensor Lett. 2011;9:1794. .</w:t>
      </w:r>
    </w:p>
    <w:p w:rsidR="00861799" w:rsidRPr="009D0CCB" w:rsidRDefault="00861799" w:rsidP="00861799">
      <w:pPr>
        <w:pStyle w:val="references"/>
      </w:pPr>
      <w:r w:rsidRPr="009D0CCB">
        <w:t xml:space="preserve">Westmacott KL, Crew AP, Doran O, Hart JP. Novel, rapid, </w:t>
      </w:r>
      <w:r w:rsidR="00284B1D">
        <w:t>low-cost</w:t>
      </w:r>
      <w:r>
        <w:t xml:space="preserve"> </w:t>
      </w:r>
      <w:r w:rsidRPr="009D0CCB">
        <w:t>screen-printed (bio)sensors for the direct analysis of boar taint</w:t>
      </w:r>
    </w:p>
    <w:p w:rsidR="00861799" w:rsidRPr="009D0CCB" w:rsidRDefault="00861799" w:rsidP="00861799">
      <w:pPr>
        <w:pStyle w:val="references"/>
        <w:numPr>
          <w:ilvl w:val="0"/>
          <w:numId w:val="0"/>
        </w:numPr>
        <w:ind w:left="360"/>
      </w:pPr>
      <w:r w:rsidRPr="009D0CCB">
        <w:t>compounds androstenone and skatole in porcine adipose tissue:</w:t>
      </w:r>
      <w:r w:rsidR="00284B1D">
        <w:t xml:space="preserve"> </w:t>
      </w:r>
      <w:r w:rsidRPr="009D0CCB">
        <w:t>Comparison with a high-resolution gas chromatographic method.</w:t>
      </w:r>
    </w:p>
    <w:p w:rsidR="00861799" w:rsidRPr="009D0CCB" w:rsidRDefault="00861799" w:rsidP="00861799">
      <w:pPr>
        <w:pStyle w:val="references"/>
        <w:numPr>
          <w:ilvl w:val="0"/>
          <w:numId w:val="0"/>
        </w:numPr>
        <w:ind w:left="360"/>
      </w:pPr>
      <w:r w:rsidRPr="009D0CCB">
        <w:rPr>
          <w:color w:val="000000"/>
        </w:rPr>
        <w:t xml:space="preserve">Biosens Bioelectr. 2020;150:111837. </w:t>
      </w:r>
      <w:r w:rsidRPr="009D0CCB">
        <w:t>https ://doi.org/10.1016/j.bios.2019.11183 7</w:t>
      </w:r>
      <w:r w:rsidRPr="009D0CCB">
        <w:rPr>
          <w:color w:val="000000"/>
        </w:rPr>
        <w:t>.</w:t>
      </w:r>
    </w:p>
    <w:p w:rsidR="00861799" w:rsidRPr="009D0CCB" w:rsidRDefault="00861799" w:rsidP="00861799">
      <w:pPr>
        <w:pStyle w:val="references"/>
      </w:pPr>
      <w:r w:rsidRPr="009D0CCB">
        <w:t>Majdinasab M, Mishra RK, Tang X, Marty JL. Detection of antibiotics</w:t>
      </w:r>
      <w:r>
        <w:t xml:space="preserve"> </w:t>
      </w:r>
      <w:r w:rsidRPr="009D0CCB">
        <w:t>in food: new achievements in the development of biosensors.</w:t>
      </w:r>
    </w:p>
    <w:p w:rsidR="00861799" w:rsidRPr="009D0CCB" w:rsidRDefault="00861799" w:rsidP="00861799">
      <w:pPr>
        <w:pStyle w:val="references"/>
        <w:numPr>
          <w:ilvl w:val="0"/>
          <w:numId w:val="0"/>
        </w:numPr>
        <w:ind w:left="360"/>
      </w:pPr>
      <w:r w:rsidRPr="009D0CCB">
        <w:rPr>
          <w:color w:val="000000"/>
        </w:rPr>
        <w:t xml:space="preserve">TrAC Trends Anal Chem. 2020;127:115883. </w:t>
      </w:r>
      <w:r w:rsidRPr="009D0CCB">
        <w:t>https ://doi.org/10.1016/j.trac.2020.11588 3</w:t>
      </w:r>
      <w:r w:rsidRPr="009D0CCB">
        <w:rPr>
          <w:color w:val="000000"/>
        </w:rPr>
        <w:t>.</w:t>
      </w:r>
    </w:p>
    <w:p w:rsidR="00861799" w:rsidRPr="009D0CCB" w:rsidRDefault="00861799" w:rsidP="00861799">
      <w:pPr>
        <w:pStyle w:val="references"/>
      </w:pPr>
      <w:r w:rsidRPr="009D0CCB">
        <w:t>Evtugyn GA, Shamagsumova RV, Hianik T. Biosensors for detection</w:t>
      </w:r>
      <w:r>
        <w:t xml:space="preserve"> </w:t>
      </w:r>
      <w:r w:rsidRPr="009D0CCB">
        <w:t>mycotoxins and pathogenic bacteria in food. In: Grumezescu</w:t>
      </w:r>
      <w:r>
        <w:t xml:space="preserve"> </w:t>
      </w:r>
      <w:r w:rsidRPr="009D0CCB">
        <w:t>AM, editor. Nanobiosensors. Cambridge: Academic Press; 2017.</w:t>
      </w:r>
      <w:r>
        <w:t xml:space="preserve"> </w:t>
      </w:r>
      <w:r w:rsidRPr="009D0CCB">
        <w:t>pp. 35–92.</w:t>
      </w:r>
    </w:p>
    <w:p w:rsidR="00861799" w:rsidRPr="009D0CCB" w:rsidRDefault="00861799" w:rsidP="00861799">
      <w:pPr>
        <w:pStyle w:val="references"/>
      </w:pPr>
      <w:r w:rsidRPr="009D0CCB">
        <w:t>Zhao X, Lin CW, Wang J, Oh DH. Advances in rapid detection</w:t>
      </w:r>
      <w:r>
        <w:t xml:space="preserve"> </w:t>
      </w:r>
      <w:r w:rsidRPr="009D0CCB">
        <w:t>methods for foodborne pathogens. J Microbiol Biotechnol.</w:t>
      </w:r>
    </w:p>
    <w:p w:rsidR="00861799" w:rsidRPr="009D0CCB" w:rsidRDefault="00861799" w:rsidP="00861799">
      <w:pPr>
        <w:pStyle w:val="references"/>
        <w:numPr>
          <w:ilvl w:val="0"/>
          <w:numId w:val="0"/>
        </w:numPr>
        <w:ind w:left="360"/>
        <w:rPr>
          <w:color w:val="000000"/>
        </w:rPr>
      </w:pPr>
      <w:r w:rsidRPr="009D0CCB">
        <w:rPr>
          <w:color w:val="000000"/>
        </w:rPr>
        <w:t xml:space="preserve">2014;24(3):297–312. </w:t>
      </w:r>
      <w:r w:rsidRPr="009D0CCB">
        <w:t xml:space="preserve">https ://doi.org/10.4014/jmb.1310.10013 </w:t>
      </w:r>
      <w:r w:rsidRPr="009D0CCB">
        <w:rPr>
          <w:color w:val="000000"/>
        </w:rPr>
        <w:t>.</w:t>
      </w:r>
    </w:p>
    <w:p w:rsidR="00861799" w:rsidRPr="009D0CCB" w:rsidRDefault="00861799" w:rsidP="00861799">
      <w:pPr>
        <w:pStyle w:val="references"/>
      </w:pPr>
      <w:r w:rsidRPr="009D0CCB">
        <w:t>Koppelman SJ, Söylemez G, Niemann L, Gaskin FE, Baumert</w:t>
      </w:r>
      <w:r>
        <w:t xml:space="preserve"> </w:t>
      </w:r>
      <w:r w:rsidRPr="009D0CCB">
        <w:t>JL, Taylor SL. Sandwich enzyme-linked immunosorbent</w:t>
      </w:r>
    </w:p>
    <w:p w:rsidR="00861799" w:rsidRPr="009D0CCB" w:rsidRDefault="00861799" w:rsidP="00861799">
      <w:pPr>
        <w:pStyle w:val="references"/>
        <w:numPr>
          <w:ilvl w:val="0"/>
          <w:numId w:val="0"/>
        </w:numPr>
        <w:ind w:left="360"/>
      </w:pPr>
      <w:r w:rsidRPr="009D0CCB">
        <w:t>assay for detecting sesame seed in foods. Biomed Res Int.</w:t>
      </w:r>
      <w:r>
        <w:t xml:space="preserve"> </w:t>
      </w:r>
      <w:r w:rsidRPr="009D0CCB">
        <w:t xml:space="preserve">2015;2015:853836. </w:t>
      </w:r>
    </w:p>
    <w:p w:rsidR="00861799" w:rsidRPr="009D0CCB" w:rsidRDefault="00861799" w:rsidP="00861799">
      <w:pPr>
        <w:pStyle w:val="references"/>
      </w:pPr>
      <w:r w:rsidRPr="009D0CCB">
        <w:t>Bolton FJ, Fritz E, Poynton S, Jensen T. Rapid enzyme-linked</w:t>
      </w:r>
      <w:r>
        <w:t xml:space="preserve"> </w:t>
      </w:r>
      <w:r w:rsidRPr="009D0CCB">
        <w:t xml:space="preserve">immunoassay for detection of </w:t>
      </w:r>
      <w:r w:rsidRPr="009D0CCB">
        <w:rPr>
          <w:i/>
          <w:iCs/>
        </w:rPr>
        <w:t xml:space="preserve">Salmonella </w:t>
      </w:r>
      <w:r w:rsidRPr="009D0CCB">
        <w:t>in food and feed products:</w:t>
      </w:r>
    </w:p>
    <w:p w:rsidR="00861799" w:rsidRPr="00861799" w:rsidRDefault="00861799" w:rsidP="00861799">
      <w:pPr>
        <w:pStyle w:val="references"/>
        <w:numPr>
          <w:ilvl w:val="0"/>
          <w:numId w:val="0"/>
        </w:numPr>
        <w:ind w:left="360"/>
      </w:pPr>
      <w:r w:rsidRPr="009D0CCB">
        <w:t>performance testing program. J AOAC Int. 2000;83(2):299–</w:t>
      </w:r>
      <w:r w:rsidRPr="009D0CCB">
        <w:rPr>
          <w:color w:val="000000"/>
        </w:rPr>
        <w:t xml:space="preserve">303. </w:t>
      </w:r>
      <w:r w:rsidRPr="009D0CCB">
        <w:t>https ://doi.org/10.1093/jaoac /83.2.299</w:t>
      </w:r>
      <w:r w:rsidRPr="009D0CCB">
        <w:rPr>
          <w:color w:val="000000"/>
        </w:rPr>
        <w:t>.</w:t>
      </w:r>
      <w:r>
        <w:rPr>
          <w:color w:val="000000"/>
        </w:rPr>
        <w:t xml:space="preserve"> </w:t>
      </w:r>
    </w:p>
    <w:p w:rsidR="00861799" w:rsidRPr="009D0CCB" w:rsidRDefault="00861799" w:rsidP="00861799">
      <w:pPr>
        <w:pStyle w:val="references"/>
      </w:pPr>
      <w:r w:rsidRPr="009D0CCB">
        <w:t>Pang B, Zhao C, Li L, Song X, Xu K, Wang J, et al. Development</w:t>
      </w:r>
      <w:r>
        <w:t xml:space="preserve"> </w:t>
      </w:r>
      <w:r w:rsidRPr="009D0CCB">
        <w:t xml:space="preserve">of a low-cost paper-based ELISA method for rapid </w:t>
      </w:r>
      <w:r w:rsidRPr="009D0CCB">
        <w:rPr>
          <w:i/>
          <w:iCs/>
        </w:rPr>
        <w:t>Escherichia</w:t>
      </w:r>
    </w:p>
    <w:p w:rsidR="00861799" w:rsidRPr="009D0CCB" w:rsidRDefault="00861799" w:rsidP="00861799">
      <w:pPr>
        <w:pStyle w:val="references"/>
        <w:numPr>
          <w:ilvl w:val="0"/>
          <w:numId w:val="0"/>
        </w:numPr>
        <w:ind w:left="360"/>
        <w:rPr>
          <w:color w:val="0000FF"/>
        </w:rPr>
      </w:pPr>
      <w:r w:rsidRPr="009D0CCB">
        <w:rPr>
          <w:i/>
          <w:iCs/>
        </w:rPr>
        <w:t xml:space="preserve">coli </w:t>
      </w:r>
      <w:r w:rsidRPr="009D0CCB">
        <w:t xml:space="preserve">O157:H7 detection. Anal Biochem. 2018;542:58–62. </w:t>
      </w:r>
    </w:p>
    <w:p w:rsidR="00861799" w:rsidRPr="009D0CCB" w:rsidRDefault="00861799" w:rsidP="00861799">
      <w:pPr>
        <w:pStyle w:val="references"/>
      </w:pPr>
      <w:r w:rsidRPr="009D0CCB">
        <w:t>Kumar BK, Raghunath P, Devegowda D, Deekshit VK, Venugopal</w:t>
      </w:r>
      <w:r>
        <w:t xml:space="preserve"> </w:t>
      </w:r>
      <w:r w:rsidRPr="009D0CCB">
        <w:t>MN, Karunasagar I, et al. Development of monoclonal</w:t>
      </w:r>
    </w:p>
    <w:p w:rsidR="00861799" w:rsidRPr="009D0CCB" w:rsidRDefault="00284B1D" w:rsidP="00861799">
      <w:pPr>
        <w:pStyle w:val="references"/>
        <w:numPr>
          <w:ilvl w:val="0"/>
          <w:numId w:val="0"/>
        </w:numPr>
        <w:ind w:left="360"/>
      </w:pPr>
      <w:r>
        <w:t>antibody-based</w:t>
      </w:r>
      <w:r w:rsidR="00861799" w:rsidRPr="009D0CCB">
        <w:t xml:space="preserve"> sandwich ELISA for the rapid detection of pathogenic</w:t>
      </w:r>
      <w:r w:rsidR="00861799">
        <w:t xml:space="preserve"> </w:t>
      </w:r>
      <w:r w:rsidR="00861799" w:rsidRPr="009D0CCB">
        <w:rPr>
          <w:i/>
          <w:iCs/>
        </w:rPr>
        <w:t xml:space="preserve">Vibrio parahaemolyticus </w:t>
      </w:r>
      <w:r w:rsidR="00861799" w:rsidRPr="009D0CCB">
        <w:t>in seafood. Int J Food Microbiol.</w:t>
      </w:r>
    </w:p>
    <w:p w:rsidR="00861799" w:rsidRPr="009D0CCB" w:rsidRDefault="00861799" w:rsidP="00861799">
      <w:pPr>
        <w:pStyle w:val="references"/>
        <w:numPr>
          <w:ilvl w:val="0"/>
          <w:numId w:val="0"/>
        </w:numPr>
        <w:ind w:left="360"/>
      </w:pPr>
      <w:r w:rsidRPr="009D0CCB">
        <w:rPr>
          <w:color w:val="000000"/>
        </w:rPr>
        <w:t xml:space="preserve">2011;145(1):244–9. </w:t>
      </w:r>
      <w:r w:rsidRPr="009D0CCB">
        <w:t>https ://doi.org/10.1016/j.ijfoo dmicro.2010.12.030</w:t>
      </w:r>
      <w:r w:rsidRPr="009D0CCB">
        <w:rPr>
          <w:color w:val="000000"/>
        </w:rPr>
        <w:t>.</w:t>
      </w:r>
    </w:p>
    <w:p w:rsidR="00861799" w:rsidRPr="00861799" w:rsidRDefault="00861799" w:rsidP="00861799">
      <w:pPr>
        <w:pStyle w:val="references"/>
      </w:pPr>
      <w:r w:rsidRPr="009D0CCB">
        <w:t>Chen R, Huang X, Xu H, Xiong Y, Li Y. Plasmonic enzymelinked</w:t>
      </w:r>
      <w:r>
        <w:t xml:space="preserve"> </w:t>
      </w:r>
      <w:r w:rsidRPr="009D0CCB">
        <w:t>immunosorbent assay using nanospherical brushes as a</w:t>
      </w:r>
      <w:r>
        <w:t xml:space="preserve"> </w:t>
      </w:r>
      <w:r w:rsidRPr="009D0CCB">
        <w:t>catalase container for colorimetric detection of ultralow concentrations</w:t>
      </w:r>
      <w:r>
        <w:t xml:space="preserve"> </w:t>
      </w:r>
      <w:r w:rsidRPr="009D0CCB">
        <w:t xml:space="preserve">of </w:t>
      </w:r>
      <w:r w:rsidRPr="00861799">
        <w:rPr>
          <w:i/>
          <w:iCs/>
        </w:rPr>
        <w:t>listeria monocytogenes</w:t>
      </w:r>
      <w:r w:rsidRPr="009D0CCB">
        <w:t>. ACS Appl Mater Interf.</w:t>
      </w:r>
      <w:r>
        <w:t xml:space="preserve"> </w:t>
      </w:r>
      <w:r w:rsidRPr="00861799">
        <w:rPr>
          <w:color w:val="000000"/>
        </w:rPr>
        <w:t xml:space="preserve">2015;7(51):28632–9. </w:t>
      </w:r>
      <w:r w:rsidRPr="009D0CCB">
        <w:t>https ://doi.org/10.1021/acsam i.5b101 81</w:t>
      </w:r>
      <w:r w:rsidRPr="00861799">
        <w:rPr>
          <w:color w:val="000000"/>
        </w:rPr>
        <w:t>.</w:t>
      </w:r>
    </w:p>
    <w:p w:rsidR="00861799" w:rsidRPr="009D0CCB" w:rsidRDefault="00861799" w:rsidP="00861799">
      <w:pPr>
        <w:pStyle w:val="references"/>
      </w:pPr>
      <w:r w:rsidRPr="009D0CCB">
        <w:t>Nouri A, Ahari H, Shahbazzadeh D. Designing a direct ELISA</w:t>
      </w:r>
      <w:r>
        <w:t xml:space="preserve"> </w:t>
      </w:r>
      <w:r w:rsidRPr="009D0CCB">
        <w:t xml:space="preserve">kit for the detection of </w:t>
      </w:r>
      <w:r w:rsidRPr="009D0CCB">
        <w:rPr>
          <w:i/>
          <w:iCs/>
        </w:rPr>
        <w:t xml:space="preserve">Staphylococcus aureus </w:t>
      </w:r>
      <w:r w:rsidRPr="009D0CCB">
        <w:t>enterotoxin A in</w:t>
      </w:r>
    </w:p>
    <w:p w:rsidR="00861799" w:rsidRPr="009D0CCB" w:rsidRDefault="00861799" w:rsidP="00861799">
      <w:pPr>
        <w:pStyle w:val="references"/>
        <w:numPr>
          <w:ilvl w:val="0"/>
          <w:numId w:val="0"/>
        </w:numPr>
        <w:ind w:left="360"/>
      </w:pPr>
      <w:r w:rsidRPr="009D0CCB">
        <w:t>raw milk samples. Int J Biol Macromol. 2018;107(Pt B):1732–7.</w:t>
      </w:r>
      <w:r>
        <w:t xml:space="preserve"> </w:t>
      </w:r>
    </w:p>
    <w:p w:rsidR="00861799" w:rsidRPr="009D0CCB" w:rsidRDefault="00861799" w:rsidP="00861799">
      <w:pPr>
        <w:pStyle w:val="references"/>
      </w:pPr>
      <w:r w:rsidRPr="009D0CCB">
        <w:t>Aschfalk A, Müller W. Clostridium perfringens toxin types from</w:t>
      </w:r>
      <w:r>
        <w:t xml:space="preserve"> </w:t>
      </w:r>
      <w:r w:rsidRPr="009D0CCB">
        <w:t>wild-caught Atlantic cod (</w:t>
      </w:r>
      <w:r w:rsidRPr="009D0CCB">
        <w:rPr>
          <w:i/>
          <w:iCs/>
        </w:rPr>
        <w:t xml:space="preserve">Gadus morhua </w:t>
      </w:r>
      <w:r w:rsidRPr="009D0CCB">
        <w:t>L.), determined by</w:t>
      </w:r>
    </w:p>
    <w:p w:rsidR="00861799" w:rsidRPr="009D0CCB" w:rsidRDefault="00861799" w:rsidP="00861799">
      <w:pPr>
        <w:pStyle w:val="references"/>
        <w:numPr>
          <w:ilvl w:val="0"/>
          <w:numId w:val="0"/>
        </w:numPr>
        <w:ind w:left="360"/>
        <w:rPr>
          <w:color w:val="0000FF"/>
        </w:rPr>
      </w:pPr>
      <w:r w:rsidRPr="009D0CCB">
        <w:t xml:space="preserve">PCR and ELISA. Can J Microbiol. 2002;48(4):365–8. </w:t>
      </w:r>
    </w:p>
    <w:p w:rsidR="00861799" w:rsidRPr="009D0CCB" w:rsidRDefault="00861799" w:rsidP="00861799">
      <w:pPr>
        <w:pStyle w:val="references"/>
      </w:pPr>
      <w:r w:rsidRPr="009D0CCB">
        <w:t>Pang B, Fu K, Liu Y, Ding X, Hu J, Wu W, et al. Development</w:t>
      </w:r>
      <w:r>
        <w:t xml:space="preserve"> </w:t>
      </w:r>
      <w:r w:rsidRPr="009D0CCB">
        <w:t>of a self-priming PDMS/paper hybrid microfluidic chip using</w:t>
      </w:r>
      <w:r>
        <w:t xml:space="preserve"> </w:t>
      </w:r>
      <w:r w:rsidRPr="009D0CCB">
        <w:t>mixed-dye-loaded loop-mediated isothermal amplification assay</w:t>
      </w:r>
      <w:r>
        <w:t xml:space="preserve"> </w:t>
      </w:r>
      <w:r w:rsidRPr="009D0CCB">
        <w:t>for multiplex foodborne pathogens detection. Anal Chim Acta.</w:t>
      </w:r>
      <w:r>
        <w:t xml:space="preserve"> </w:t>
      </w:r>
      <w:r w:rsidRPr="009D0CCB">
        <w:t xml:space="preserve">2018;1040:81–9. </w:t>
      </w:r>
    </w:p>
    <w:p w:rsidR="00861799" w:rsidRPr="009D0CCB" w:rsidRDefault="00861799" w:rsidP="00861799">
      <w:pPr>
        <w:pStyle w:val="references"/>
        <w:rPr>
          <w:i/>
          <w:iCs/>
        </w:rPr>
      </w:pPr>
      <w:r w:rsidRPr="009D0CCB">
        <w:lastRenderedPageBreak/>
        <w:t xml:space="preserve">Liu YH, Lu FP, Li Y, Wang JL, Gao C. Acid stabilization of </w:t>
      </w:r>
      <w:r w:rsidRPr="009D0CCB">
        <w:rPr>
          <w:i/>
          <w:iCs/>
        </w:rPr>
        <w:t>Bacillus</w:t>
      </w:r>
      <w:r>
        <w:rPr>
          <w:i/>
          <w:iCs/>
        </w:rPr>
        <w:t xml:space="preserve"> </w:t>
      </w:r>
      <w:r w:rsidRPr="009D0CCB">
        <w:rPr>
          <w:i/>
          <w:iCs/>
        </w:rPr>
        <w:t xml:space="preserve">licheniformis </w:t>
      </w:r>
      <w:r w:rsidRPr="009D0CCB">
        <w:t xml:space="preserve">alpha amylase through introduction of mutations.Appl Microbiol Biotechnol. 2008;80(5):795–803. </w:t>
      </w:r>
    </w:p>
    <w:p w:rsidR="00861799" w:rsidRPr="009D0CCB" w:rsidRDefault="00861799" w:rsidP="00861799">
      <w:pPr>
        <w:pStyle w:val="references"/>
      </w:pPr>
      <w:r w:rsidRPr="009D0CCB">
        <w:t>Kübelbeck S, Mikhael J, Keller H, Konradi R, Andrieu-Brunsen</w:t>
      </w:r>
      <w:r>
        <w:t xml:space="preserve"> </w:t>
      </w:r>
      <w:r w:rsidRPr="009D0CCB">
        <w:t>A, Baier G. Enzyme-polymer conjugates to enhance enzyme</w:t>
      </w:r>
      <w:r>
        <w:t xml:space="preserve"> </w:t>
      </w:r>
      <w:r w:rsidRPr="009D0CCB">
        <w:t>shelf life in a liquid detergent formulation. Macromol Biosci.</w:t>
      </w:r>
      <w:r>
        <w:t xml:space="preserve"> </w:t>
      </w:r>
      <w:r w:rsidRPr="009D0CCB">
        <w:t xml:space="preserve">2018;18(7):e1800095. </w:t>
      </w:r>
    </w:p>
    <w:p w:rsidR="00861799" w:rsidRPr="009D0CCB" w:rsidRDefault="00861799" w:rsidP="00861799">
      <w:pPr>
        <w:pStyle w:val="references"/>
      </w:pPr>
      <w:r w:rsidRPr="009D0CCB">
        <w:t>Krishnamurthy A, Mundra S, Belur PD. Improving the catalytic</w:t>
      </w:r>
      <w:r>
        <w:t xml:space="preserve"> </w:t>
      </w:r>
      <w:r w:rsidRPr="009D0CCB">
        <w:t>efficiency of Fibrinolytic enzyme from Serratia marcescens</w:t>
      </w:r>
      <w:r>
        <w:t xml:space="preserve"> </w:t>
      </w:r>
      <w:r w:rsidRPr="009D0CCB">
        <w:t>subsp. sakuensis by chemical modification. Process Biochem.</w:t>
      </w:r>
      <w:r>
        <w:t xml:space="preserve"> </w:t>
      </w:r>
      <w:r w:rsidRPr="009D0CCB">
        <w:t>2018;72:79–85.</w:t>
      </w:r>
    </w:p>
    <w:p w:rsidR="00861799" w:rsidRPr="009D0CCB" w:rsidRDefault="00861799" w:rsidP="00861799">
      <w:pPr>
        <w:pStyle w:val="references"/>
      </w:pPr>
      <w:r w:rsidRPr="009D0CCB">
        <w:t>Rueda N, dos Santos JCS, Ortiz C, Torres R, Barbosa O, Rodrigues</w:t>
      </w:r>
      <w:r>
        <w:t xml:space="preserve"> </w:t>
      </w:r>
      <w:r w:rsidRPr="009D0CCB">
        <w:t>RC, et al. Chemical modification in the design of immobilized</w:t>
      </w:r>
      <w:r>
        <w:t xml:space="preserve"> </w:t>
      </w:r>
      <w:r w:rsidRPr="009D0CCB">
        <w:t>enzyme biocatalysts: drawbacks and opportunities. Chem</w:t>
      </w:r>
      <w:r>
        <w:t xml:space="preserve"> </w:t>
      </w:r>
      <w:r w:rsidRPr="009D0CCB">
        <w:t xml:space="preserve">Rec. 2016;16(3):1436–55. </w:t>
      </w:r>
    </w:p>
    <w:p w:rsidR="00861799" w:rsidRPr="009D0CCB" w:rsidRDefault="00861799" w:rsidP="00861799">
      <w:pPr>
        <w:pStyle w:val="references"/>
      </w:pPr>
      <w:r w:rsidRPr="009D0CCB">
        <w:t>He H, Wei Y, Luo H, Li X, Wang X, Liang C, et al. Immobilization</w:t>
      </w:r>
      <w:r>
        <w:t xml:space="preserve"> </w:t>
      </w:r>
      <w:r w:rsidRPr="009D0CCB">
        <w:t>and stabilization of cephalosporin C acylase on aminated support</w:t>
      </w:r>
    </w:p>
    <w:p w:rsidR="00861799" w:rsidRPr="009D0CCB" w:rsidRDefault="00861799" w:rsidP="00861799">
      <w:pPr>
        <w:pStyle w:val="references"/>
        <w:numPr>
          <w:ilvl w:val="0"/>
          <w:numId w:val="0"/>
        </w:numPr>
        <w:ind w:left="360"/>
      </w:pPr>
      <w:r w:rsidRPr="009D0CCB">
        <w:t>by crosslinking with glutaraldehyde and further modifying with</w:t>
      </w:r>
      <w:r>
        <w:t xml:space="preserve"> </w:t>
      </w:r>
      <w:r w:rsidRPr="009D0CCB">
        <w:t>aminated macromolecules. Biotechnol Prog. 2015;31(2):387–95.</w:t>
      </w:r>
    </w:p>
    <w:p w:rsidR="00861799" w:rsidRPr="009D0CCB" w:rsidRDefault="00861799" w:rsidP="00861799">
      <w:pPr>
        <w:pStyle w:val="references"/>
        <w:numPr>
          <w:ilvl w:val="0"/>
          <w:numId w:val="0"/>
        </w:numPr>
        <w:ind w:left="360"/>
        <w:rPr>
          <w:color w:val="000000"/>
        </w:rPr>
      </w:pPr>
      <w:r w:rsidRPr="009D0CCB">
        <w:t>https ://doi.org/10.1002/btpr.2044</w:t>
      </w:r>
      <w:r w:rsidRPr="009D0CCB">
        <w:rPr>
          <w:color w:val="000000"/>
        </w:rPr>
        <w:t>.</w:t>
      </w:r>
    </w:p>
    <w:p w:rsidR="00861799" w:rsidRPr="009D0CCB" w:rsidRDefault="00861799" w:rsidP="00861799">
      <w:pPr>
        <w:pStyle w:val="references"/>
      </w:pPr>
      <w:r w:rsidRPr="009D0CCB">
        <w:t>Barbosa O, Ruiz M, Ortiz C, Fernandez M, Torres R, Fernandez-</w:t>
      </w:r>
      <w:r>
        <w:t xml:space="preserve"> </w:t>
      </w:r>
      <w:r w:rsidRPr="009D0CCB">
        <w:t>Lafuente R. Modulation of the properties of immobilized CALB</w:t>
      </w:r>
      <w:r>
        <w:t xml:space="preserve"> </w:t>
      </w:r>
      <w:r w:rsidRPr="009D0CCB">
        <w:t>by chemical modification with 2,3,4-trinitrobenzenesulfonate or</w:t>
      </w:r>
      <w:r>
        <w:t xml:space="preserve"> </w:t>
      </w:r>
      <w:r w:rsidR="00284B1D">
        <w:t>ethylenediamine</w:t>
      </w:r>
      <w:r w:rsidRPr="009D0CCB">
        <w:t>. Advantages of using adsorbed lipases on hydrophobic</w:t>
      </w:r>
      <w:r>
        <w:t xml:space="preserve"> </w:t>
      </w:r>
      <w:r w:rsidRPr="00861799">
        <w:rPr>
          <w:color w:val="000000"/>
        </w:rPr>
        <w:t xml:space="preserve">supports. Process Biochem. 2012;47(5):867–76. </w:t>
      </w:r>
      <w:r w:rsidRPr="009D0CCB">
        <w:t>https ://doi.org/10.1016/j.procb io.2012.02.026</w:t>
      </w:r>
      <w:r w:rsidRPr="00861799">
        <w:rPr>
          <w:color w:val="000000"/>
        </w:rPr>
        <w:t>.</w:t>
      </w:r>
    </w:p>
    <w:p w:rsidR="00861799" w:rsidRPr="009D0CCB" w:rsidRDefault="00861799" w:rsidP="00861799">
      <w:pPr>
        <w:pStyle w:val="references"/>
      </w:pPr>
      <w:r w:rsidRPr="009D0CCB">
        <w:t>Khersonsky O, Lipsh R, Avizemer Z, Ashani Y, Goldsmith M,</w:t>
      </w:r>
      <w:r>
        <w:t xml:space="preserve"> </w:t>
      </w:r>
      <w:r w:rsidRPr="009D0CCB">
        <w:t>Leader H, et al. Automated design of efficient and functionally</w:t>
      </w:r>
    </w:p>
    <w:p w:rsidR="00861799" w:rsidRPr="009D0CCB" w:rsidRDefault="00861799" w:rsidP="00861799">
      <w:pPr>
        <w:pStyle w:val="references"/>
        <w:numPr>
          <w:ilvl w:val="0"/>
          <w:numId w:val="0"/>
        </w:numPr>
        <w:ind w:left="360"/>
      </w:pPr>
      <w:r w:rsidRPr="009D0CCB">
        <w:t>diverse enzyme repertoires. Mol Cell. 2018;72(1):178–86.e5.</w:t>
      </w:r>
    </w:p>
    <w:p w:rsidR="00861799" w:rsidRPr="009D0CCB" w:rsidRDefault="00861799" w:rsidP="00861799">
      <w:pPr>
        <w:pStyle w:val="references"/>
      </w:pPr>
      <w:r w:rsidRPr="009D0CCB">
        <w:t>Lapidoth G, Khersonsky O, Lipsh R, Dym O, Albeck S, Rogotner</w:t>
      </w:r>
      <w:r>
        <w:t xml:space="preserve"> </w:t>
      </w:r>
      <w:r w:rsidRPr="009D0CCB">
        <w:t>S, et al. Highly active enzymes by automated combinatorial</w:t>
      </w:r>
    </w:p>
    <w:p w:rsidR="00861799" w:rsidRPr="009D0CCB" w:rsidRDefault="00861799" w:rsidP="0080718E">
      <w:pPr>
        <w:pStyle w:val="references"/>
        <w:numPr>
          <w:ilvl w:val="0"/>
          <w:numId w:val="0"/>
        </w:numPr>
        <w:ind w:left="360"/>
      </w:pPr>
      <w:r w:rsidRPr="009D0CCB">
        <w:t>backbone assembly and sequence design. Nat Commun.</w:t>
      </w:r>
      <w:r>
        <w:t xml:space="preserve"> </w:t>
      </w:r>
      <w:r w:rsidRPr="009D0CCB">
        <w:t xml:space="preserve">2018;9(1):2780. </w:t>
      </w:r>
    </w:p>
    <w:p w:rsidR="00861799" w:rsidRPr="009D0CCB" w:rsidRDefault="00861799" w:rsidP="00861799">
      <w:pPr>
        <w:pStyle w:val="references"/>
      </w:pPr>
      <w:r w:rsidRPr="009D0CCB">
        <w:t>Tagliavia M, Nicosia A. Advanced strategies for food-grade protein</w:t>
      </w:r>
      <w:r>
        <w:t xml:space="preserve"> </w:t>
      </w:r>
      <w:r w:rsidRPr="009D0CCB">
        <w:t xml:space="preserve">production: a new </w:t>
      </w:r>
      <w:r w:rsidRPr="009D0CCB">
        <w:rPr>
          <w:i/>
          <w:iCs/>
        </w:rPr>
        <w:t>E. coli</w:t>
      </w:r>
      <w:r w:rsidRPr="009D0CCB">
        <w:t>/</w:t>
      </w:r>
      <w:r w:rsidRPr="009D0CCB">
        <w:rPr>
          <w:i/>
          <w:iCs/>
        </w:rPr>
        <w:t xml:space="preserve">Lactic Acid Bacteria </w:t>
      </w:r>
      <w:r w:rsidRPr="009D0CCB">
        <w:t>shuttle vector</w:t>
      </w:r>
    </w:p>
    <w:p w:rsidR="00861799" w:rsidRPr="009D0CCB" w:rsidRDefault="00861799" w:rsidP="0080718E">
      <w:pPr>
        <w:pStyle w:val="references"/>
        <w:numPr>
          <w:ilvl w:val="0"/>
          <w:numId w:val="0"/>
        </w:numPr>
        <w:ind w:left="360"/>
      </w:pPr>
      <w:r w:rsidRPr="009D0CCB">
        <w:t>for improved cloning and food-grade expression. Microorganisms.</w:t>
      </w:r>
      <w:r>
        <w:t xml:space="preserve"> </w:t>
      </w:r>
      <w:r w:rsidRPr="009D0CCB">
        <w:t xml:space="preserve">2019;7(5):116. </w:t>
      </w:r>
    </w:p>
    <w:p w:rsidR="00861799" w:rsidRPr="009D0CCB" w:rsidRDefault="00861799" w:rsidP="00861799">
      <w:pPr>
        <w:pStyle w:val="references"/>
      </w:pPr>
      <w:r w:rsidRPr="009D0CCB">
        <w:t xml:space="preserve">Douglas GL, Goh YJ, Klaenhammer TR. Integrative </w:t>
      </w:r>
      <w:r w:rsidR="00284B1D">
        <w:t>food-grade</w:t>
      </w:r>
      <w:r>
        <w:t xml:space="preserve"> </w:t>
      </w:r>
      <w:r w:rsidRPr="009D0CCB">
        <w:t xml:space="preserve">expression system for </w:t>
      </w:r>
      <w:r w:rsidRPr="009D0CCB">
        <w:rPr>
          <w:i/>
          <w:iCs/>
        </w:rPr>
        <w:t>Lactic acid bacteria</w:t>
      </w:r>
      <w:r w:rsidRPr="009D0CCB">
        <w:t>. Methods Mol Biol</w:t>
      </w:r>
    </w:p>
    <w:p w:rsidR="00861799" w:rsidRPr="009D0CCB" w:rsidRDefault="00861799" w:rsidP="0080718E">
      <w:pPr>
        <w:pStyle w:val="references"/>
        <w:numPr>
          <w:ilvl w:val="0"/>
          <w:numId w:val="0"/>
        </w:numPr>
        <w:ind w:left="360"/>
      </w:pPr>
      <w:r w:rsidRPr="009D0CCB">
        <w:rPr>
          <w:color w:val="000000"/>
        </w:rPr>
        <w:t xml:space="preserve">(Clifton, NJ). 2011;765:373-87. </w:t>
      </w:r>
      <w:r w:rsidRPr="009D0CCB">
        <w:t>https ://doi.org/10.1007/978-1-61779 -197-0_22</w:t>
      </w:r>
      <w:r w:rsidRPr="009D0CCB">
        <w:rPr>
          <w:color w:val="000000"/>
        </w:rPr>
        <w:t>.</w:t>
      </w:r>
    </w:p>
    <w:p w:rsidR="00861799" w:rsidRPr="009D0CCB" w:rsidRDefault="00861799" w:rsidP="00861799">
      <w:pPr>
        <w:pStyle w:val="references"/>
      </w:pPr>
      <w:r w:rsidRPr="009D0CCB">
        <w:t>Takeuchi M, Kusumoto KI, Furukawa I, Matsushita-Morita</w:t>
      </w:r>
      <w:r>
        <w:t xml:space="preserve"> </w:t>
      </w:r>
      <w:r w:rsidRPr="009D0CCB">
        <w:t>M, Kashiwagi Y, Koide Y, et al. Characterization of recombinant</w:t>
      </w:r>
    </w:p>
    <w:p w:rsidR="00861799" w:rsidRPr="009D0CCB" w:rsidRDefault="00861799" w:rsidP="0080718E">
      <w:pPr>
        <w:pStyle w:val="references"/>
        <w:numPr>
          <w:ilvl w:val="0"/>
          <w:numId w:val="0"/>
        </w:numPr>
        <w:ind w:left="360"/>
      </w:pPr>
      <w:r w:rsidRPr="009D0CCB">
        <w:t xml:space="preserve">prolyl aminopeptidase from </w:t>
      </w:r>
      <w:r w:rsidRPr="009D0CCB">
        <w:rPr>
          <w:i/>
          <w:iCs/>
        </w:rPr>
        <w:t>Aspergillus oryzae</w:t>
      </w:r>
      <w:r w:rsidRPr="009D0CCB">
        <w:t>. J</w:t>
      </w:r>
      <w:r>
        <w:t xml:space="preserve"> </w:t>
      </w:r>
      <w:r w:rsidRPr="009D0CCB">
        <w:t>Appl Microbiol. 2010;109(1):156–6</w:t>
      </w:r>
      <w:r w:rsidR="00DF7338">
        <w:t>5</w:t>
      </w:r>
    </w:p>
    <w:p w:rsidR="0080718E" w:rsidRPr="009D0CCB" w:rsidRDefault="0080718E" w:rsidP="00337FD1">
      <w:pPr>
        <w:pStyle w:val="references"/>
        <w:numPr>
          <w:ilvl w:val="0"/>
          <w:numId w:val="0"/>
        </w:numPr>
        <w:ind w:left="360"/>
      </w:pPr>
    </w:p>
    <w:p w:rsidR="00337FD1" w:rsidRPr="005E4830" w:rsidRDefault="00337FD1" w:rsidP="00337FD1">
      <w:pPr>
        <w:pStyle w:val="references"/>
      </w:pPr>
      <w:r w:rsidRPr="005E4830">
        <w:t>Guangdong Z, Zhengpeng W, Jiancong H, Shanggui D. Studies</w:t>
      </w:r>
      <w:r>
        <w:t xml:space="preserve"> </w:t>
      </w:r>
      <w:r w:rsidRPr="005E4830">
        <w:t>on enzymatic tenderizing technology of cucumaria japonica from</w:t>
      </w:r>
    </w:p>
    <w:p w:rsidR="00337FD1" w:rsidRPr="005E4830" w:rsidRDefault="00337FD1" w:rsidP="00337FD1">
      <w:pPr>
        <w:pStyle w:val="references"/>
        <w:numPr>
          <w:ilvl w:val="0"/>
          <w:numId w:val="0"/>
        </w:numPr>
        <w:ind w:left="360"/>
      </w:pPr>
      <w:r w:rsidRPr="005E4830">
        <w:t>zhoushan sea area. J Chin Inst Food Sci Technol. 2020;20(1):183–</w:t>
      </w:r>
    </w:p>
    <w:p w:rsidR="00337FD1" w:rsidRPr="005E4830" w:rsidRDefault="00337FD1" w:rsidP="00337FD1">
      <w:pPr>
        <w:pStyle w:val="references"/>
      </w:pPr>
      <w:r w:rsidRPr="005E4830">
        <w:t>Yi L, Feng Y, Guo-dong L, Tao J, Shao-ming D, Yin-bo Q, et al.</w:t>
      </w:r>
      <w:r>
        <w:t xml:space="preserve"> </w:t>
      </w:r>
      <w:r w:rsidRPr="005E4830">
        <w:t>Application of new compound enzyme preparation in corn starch</w:t>
      </w:r>
    </w:p>
    <w:p w:rsidR="00337FD1" w:rsidRPr="005E4830" w:rsidRDefault="00337FD1" w:rsidP="00337FD1">
      <w:pPr>
        <w:pStyle w:val="references"/>
        <w:numPr>
          <w:ilvl w:val="0"/>
          <w:numId w:val="0"/>
        </w:numPr>
        <w:ind w:left="360"/>
      </w:pPr>
      <w:r w:rsidRPr="005E4830">
        <w:rPr>
          <w:color w:val="000000"/>
        </w:rPr>
        <w:t xml:space="preserve">processing. Contemp Chem Ind. 2019;48(8):1791–6. </w:t>
      </w:r>
      <w:r w:rsidRPr="005E4830">
        <w:t>https ://doi.org/10.3969/j.issn.1671-0460.2019.08.040</w:t>
      </w:r>
      <w:r w:rsidRPr="005E4830">
        <w:rPr>
          <w:color w:val="000000"/>
        </w:rPr>
        <w:t>.</w:t>
      </w:r>
    </w:p>
    <w:p w:rsidR="00337FD1" w:rsidRPr="005E4830" w:rsidRDefault="00337FD1" w:rsidP="00337FD1">
      <w:pPr>
        <w:pStyle w:val="references"/>
      </w:pPr>
      <w:r w:rsidRPr="005E4830">
        <w:t>Champreda V, Laothanachareon T, Inoue H, Kraithong W, Chotirotsukon</w:t>
      </w:r>
      <w:r>
        <w:t xml:space="preserve"> </w:t>
      </w:r>
      <w:r w:rsidRPr="005E4830">
        <w:t>C, Techanan W, et al. Development of tailor-made synergistic</w:t>
      </w:r>
      <w:r>
        <w:t xml:space="preserve"> </w:t>
      </w:r>
      <w:r w:rsidRPr="005E4830">
        <w:t xml:space="preserve">cellulolytic enzyme system for saccharification of </w:t>
      </w:r>
      <w:r w:rsidR="00284B1D">
        <w:t>steam-exploded</w:t>
      </w:r>
      <w:r w:rsidRPr="005E4830">
        <w:t xml:space="preserve"> sugarcane bagasse. J Biosci Bioeng. 2018;125(4):390–6.</w:t>
      </w:r>
      <w:r>
        <w:t xml:space="preserve"> </w:t>
      </w:r>
    </w:p>
    <w:p w:rsidR="00337FD1" w:rsidRPr="005E4830" w:rsidRDefault="00337FD1" w:rsidP="00337FD1">
      <w:pPr>
        <w:pStyle w:val="references"/>
      </w:pPr>
      <w:r w:rsidRPr="005E4830">
        <w:t>Meng S, Tan Y, Chang S, Li J, Maleki S, Puppala N. Peanut allergen</w:t>
      </w:r>
      <w:r>
        <w:t xml:space="preserve"> </w:t>
      </w:r>
      <w:r w:rsidRPr="005E4830">
        <w:t>reduction and functional property improvement by means</w:t>
      </w:r>
    </w:p>
    <w:p w:rsidR="00337FD1" w:rsidRPr="005E4830" w:rsidRDefault="00337FD1" w:rsidP="00337FD1">
      <w:pPr>
        <w:pStyle w:val="references"/>
        <w:numPr>
          <w:ilvl w:val="0"/>
          <w:numId w:val="0"/>
        </w:numPr>
        <w:ind w:left="360"/>
      </w:pPr>
      <w:r w:rsidRPr="005E4830">
        <w:t>of enzymatic hydrolysis and transglutaminase crosslinking.</w:t>
      </w:r>
      <w:r>
        <w:t xml:space="preserve"> </w:t>
      </w:r>
      <w:r w:rsidRPr="005E4830">
        <w:t xml:space="preserve">Food Chem. 2020;302:125186. </w:t>
      </w:r>
    </w:p>
    <w:p w:rsidR="00337FD1" w:rsidRDefault="00337FD1" w:rsidP="00337FD1">
      <w:pPr>
        <w:pStyle w:val="references"/>
        <w:numPr>
          <w:ilvl w:val="0"/>
          <w:numId w:val="0"/>
        </w:numPr>
        <w:ind w:left="360"/>
        <w:rPr>
          <w:color w:val="000000"/>
        </w:rPr>
      </w:pPr>
      <w:r w:rsidRPr="005E4830">
        <w:t>hem.2019.12518 6</w:t>
      </w:r>
      <w:r w:rsidRPr="005E4830">
        <w:rPr>
          <w:color w:val="000000"/>
        </w:rPr>
        <w:t>.</w:t>
      </w:r>
    </w:p>
    <w:p w:rsidR="00447B44" w:rsidRDefault="00447B44" w:rsidP="00447B44">
      <w:pPr>
        <w:pStyle w:val="references"/>
      </w:pPr>
      <w:r>
        <w:t>Meng F, Chen R, Zhu X, Lu Y, Nie T, Lu F, et al. Newly effective milk-clotting enzyme from bacillus subtilis and its application in cheese making. J Agric Food Chem. 2018;66(24):6162–9. https ://doi.org/10.1021/acs.jafc.8b016 97.</w:t>
      </w:r>
    </w:p>
    <w:p w:rsidR="00447B44" w:rsidRDefault="00447B44" w:rsidP="00447B44">
      <w:pPr>
        <w:pStyle w:val="references"/>
      </w:pPr>
      <w:r>
        <w:t>Moghadam M, Salami M, Mohammadian M, Emam-Djomeh Z, Jahanbani R, Moosavi-Movahedi AA. Physicochemical and biofunctional properties of walnut proteins as affected by trypsinmediated hydrolysis. Food Biosci. 2020;36:100611. https ://doi.org/10.1016/j.fbio.2020.10061 1.</w:t>
      </w:r>
    </w:p>
    <w:p w:rsidR="00447B44" w:rsidRDefault="00447B44" w:rsidP="00447B44">
      <w:pPr>
        <w:pStyle w:val="references"/>
      </w:pPr>
      <w:r>
        <w:t>Ahmed A, Sohail M. Characterization of pectinase from Geotrichum candidum AA15 and its potential application in orange juice</w:t>
      </w:r>
    </w:p>
    <w:p w:rsidR="00447B44" w:rsidRDefault="00447B44" w:rsidP="00447B44">
      <w:pPr>
        <w:pStyle w:val="references"/>
        <w:numPr>
          <w:ilvl w:val="0"/>
          <w:numId w:val="0"/>
        </w:numPr>
        <w:ind w:left="360"/>
      </w:pPr>
      <w:r>
        <w:t>clarification. J King Saud Univ Sci. 2020;32(1):955–61. https ://doi.org/10.1016/j.jksus .2019.07.002.</w:t>
      </w:r>
    </w:p>
    <w:p w:rsidR="00447B44" w:rsidRDefault="00447B44" w:rsidP="00447B44">
      <w:pPr>
        <w:pStyle w:val="references"/>
      </w:pPr>
      <w:r>
        <w:t>68. Sun Q, Chen F, Geng F, Luo Y, Gong S, Jiang Z. A novel aspartic protease from Rhizomucor miehei expressed in Pichia pastoris</w:t>
      </w:r>
    </w:p>
    <w:p w:rsidR="00447B44" w:rsidRDefault="00447B44" w:rsidP="00447B44">
      <w:pPr>
        <w:pStyle w:val="references"/>
        <w:numPr>
          <w:ilvl w:val="0"/>
          <w:numId w:val="0"/>
        </w:numPr>
        <w:ind w:left="360"/>
      </w:pPr>
      <w:r>
        <w:t>and its application on meat tenderization and preparation of turtle peptides. Food Chem. 2018;245:570–7. https ://doi.org/10.1016/j.</w:t>
      </w:r>
    </w:p>
    <w:p w:rsidR="00447B44" w:rsidRDefault="00447B44" w:rsidP="00447B44">
      <w:pPr>
        <w:pStyle w:val="references"/>
        <w:numPr>
          <w:ilvl w:val="0"/>
          <w:numId w:val="0"/>
        </w:numPr>
        <w:ind w:left="360"/>
      </w:pPr>
      <w:r>
        <w:t>foodc hem.2017.10.113.</w:t>
      </w:r>
    </w:p>
    <w:p w:rsidR="00447B44" w:rsidRDefault="00447B44" w:rsidP="00447B44">
      <w:pPr>
        <w:pStyle w:val="references"/>
      </w:pPr>
      <w:r>
        <w:t>Bernal C, Guzman F, Illanes A, Wilson L. Selective and ecofriendly synthesis of lipoaminoacid-based surfactants for food, using immobilized lipase and protease biocatalysts. Food Chem. 2018;239:189–95. https ://doi.org/10.1016/j.foodchem.2017.06.105.</w:t>
      </w:r>
    </w:p>
    <w:p w:rsidR="00447B44" w:rsidRDefault="00447B44" w:rsidP="00447B44">
      <w:pPr>
        <w:pStyle w:val="references"/>
      </w:pPr>
      <w:r>
        <w:t>Jhuang J-R, Lou S-N, Lin S-B, Chen SH, Chen L-C, Chen H-H. Immobilizing laccase on electrospun chitosan fiber to prepare time-temperature indicator for food quality monitoring. Innov Food Sci Emerg Technol. 2020;63:102370. https ://doi.org/10.1016/j.ifset .2020.10237 0.</w:t>
      </w:r>
    </w:p>
    <w:p w:rsidR="00447B44" w:rsidRDefault="00447B44" w:rsidP="00447B44">
      <w:pPr>
        <w:pStyle w:val="references"/>
      </w:pPr>
      <w:r>
        <w:t>Prado TMd, Foguel MV, Gonçalves LM, Sotomayor MdPT. β-Lactamase-based biosensor for the electrochemical determination of benzylpenicillin in milk. Sensors Actuators B Chem. 2015;210:254–8. https ://doi.org/10.1016/j.snb.2014.12.108.</w:t>
      </w:r>
    </w:p>
    <w:p w:rsidR="00447B44" w:rsidRDefault="00447B44" w:rsidP="00A77C0F">
      <w:pPr>
        <w:pStyle w:val="references"/>
      </w:pPr>
      <w:r>
        <w:t>Zhang R, Gao S-J, Zhu C-Y, Sun Y, Liu X-L, Zhao M-M, et al.</w:t>
      </w:r>
      <w:r w:rsidR="00A77C0F">
        <w:t xml:space="preserve"> </w:t>
      </w:r>
      <w:r>
        <w:t>Characterization of a novel alkaline Arxula adeninivorans urate</w:t>
      </w:r>
      <w:r w:rsidR="00A77C0F">
        <w:t xml:space="preserve"> </w:t>
      </w:r>
      <w:r>
        <w:t>oxidase expressed in Escherichia coli and its application in reducing</w:t>
      </w:r>
      <w:r w:rsidR="00A77C0F">
        <w:t xml:space="preserve"> </w:t>
      </w:r>
      <w:r>
        <w:t>uric acid content of food. Food Chem. 2019;293:254–62. https://doi.org/10.1016/j.foodc hem.2019.04.112.</w:t>
      </w:r>
    </w:p>
    <w:p w:rsidR="00447B44" w:rsidRDefault="00447B44" w:rsidP="00A77C0F">
      <w:pPr>
        <w:pStyle w:val="references"/>
      </w:pPr>
      <w:r>
        <w:t>Lan W, Chen G, Cui F, Tan F, Liu R, Yushupujiang M. Development</w:t>
      </w:r>
      <w:r w:rsidR="00A77C0F">
        <w:t xml:space="preserve"> </w:t>
      </w:r>
      <w:r>
        <w:t>of a novel optical biosensor for detection of organophoshorus</w:t>
      </w:r>
    </w:p>
    <w:p w:rsidR="00447B44" w:rsidRDefault="00447B44" w:rsidP="00A77C0F">
      <w:pPr>
        <w:pStyle w:val="references"/>
        <w:numPr>
          <w:ilvl w:val="0"/>
          <w:numId w:val="0"/>
        </w:numPr>
        <w:ind w:left="360"/>
      </w:pPr>
      <w:r>
        <w:t>pesticides based on methyl parathion hydrolase immobilized</w:t>
      </w:r>
      <w:r w:rsidR="00A77C0F">
        <w:t xml:space="preserve"> </w:t>
      </w:r>
      <w:r>
        <w:t>by metal-chelate affinity. Sensors. 2012;12(7):8477–90. https ://doi.org/10.3390/s1207 08477 .</w:t>
      </w:r>
    </w:p>
    <w:p w:rsidR="00447B44" w:rsidRDefault="00447B44" w:rsidP="00A77C0F">
      <w:pPr>
        <w:pStyle w:val="references"/>
      </w:pPr>
      <w:r>
        <w:t>Araya E, Urrutia P, Romero O, Illanes A, Wilson L. Design of</w:t>
      </w:r>
      <w:r w:rsidR="00A77C0F">
        <w:t xml:space="preserve"> </w:t>
      </w:r>
      <w:r>
        <w:t>combined crosslinked enzyme aggregates (combi-CLEAs) of</w:t>
      </w:r>
      <w:r w:rsidR="00A77C0F">
        <w:t xml:space="preserve"> </w:t>
      </w:r>
      <w:r>
        <w:t>β-galactosidase and glucose isomerase for the one-pot production</w:t>
      </w:r>
      <w:r w:rsidR="00A77C0F">
        <w:t xml:space="preserve"> </w:t>
      </w:r>
      <w:r>
        <w:t>of fructose syrup from lactose. Food Chem. 2019;288:102–7.</w:t>
      </w:r>
      <w:r w:rsidR="00A77C0F">
        <w:t xml:space="preserve"> </w:t>
      </w:r>
      <w:r>
        <w:t>https ://doi.org/10.1016/j.foodc hem.2019.02.024.</w:t>
      </w:r>
    </w:p>
    <w:p w:rsidR="00447B44" w:rsidRDefault="00447B44" w:rsidP="00064751">
      <w:pPr>
        <w:pStyle w:val="references"/>
      </w:pPr>
      <w:r>
        <w:t>Huang Y-y, Yu J-j, Zhou Q-y, Sun L-n, Liu D-m, Liang M-h.</w:t>
      </w:r>
      <w:r w:rsidR="00064751">
        <w:t xml:space="preserve"> </w:t>
      </w:r>
      <w:r>
        <w:t>Preparation of yogurt-flavored bases by mixed lactic acid bacteria</w:t>
      </w:r>
      <w:r w:rsidR="00064751">
        <w:t xml:space="preserve"> </w:t>
      </w:r>
      <w:r>
        <w:t>with the addition of lipase. LWT. 2020;131:109577. https ://doi.org/10.1016/j.lwt.2020.10957 7.</w:t>
      </w:r>
    </w:p>
    <w:p w:rsidR="00447B44" w:rsidRDefault="00447B44" w:rsidP="00064751">
      <w:pPr>
        <w:pStyle w:val="references"/>
      </w:pPr>
      <w:r>
        <w:t>Zhang H, Wang R, Chen Z, Zhong Q. Enzymatically modified</w:t>
      </w:r>
      <w:r w:rsidR="00064751">
        <w:t xml:space="preserve"> </w:t>
      </w:r>
      <w:r>
        <w:t>starch with low digestibility produced from amylopectin</w:t>
      </w:r>
      <w:r w:rsidR="00064751">
        <w:t xml:space="preserve"> </w:t>
      </w:r>
      <w:r>
        <w:t>by sequential amylosucrase and pullulanase treatments. Food</w:t>
      </w:r>
      <w:r w:rsidR="00064751">
        <w:t xml:space="preserve"> </w:t>
      </w:r>
      <w:r>
        <w:t>Hydrocoll. 2019;95:195–202. https ://doi.org/10.1016/j.foodhyd.2019.04.036.</w:t>
      </w:r>
    </w:p>
    <w:p w:rsidR="00447B44" w:rsidRDefault="00447B44" w:rsidP="00064751">
      <w:pPr>
        <w:pStyle w:val="references"/>
      </w:pPr>
      <w:r>
        <w:lastRenderedPageBreak/>
        <w:t>Wolf M, Belfiore LA, Tambourgi EB, Paulino AT. Production</w:t>
      </w:r>
      <w:r w:rsidR="00064751">
        <w:t xml:space="preserve"> </w:t>
      </w:r>
      <w:r>
        <w:t>of low-dosage lactose milk using lactase immobilised in hydrogel.</w:t>
      </w:r>
      <w:r w:rsidR="00064751">
        <w:t xml:space="preserve"> </w:t>
      </w:r>
      <w:r>
        <w:t>Int Dairy J. 2019;92:77–83. https ://doi.org/10.1016/j.idairyj.2018.12.004.</w:t>
      </w:r>
    </w:p>
    <w:p w:rsidR="00447B44" w:rsidRDefault="00447B44" w:rsidP="00064751">
      <w:pPr>
        <w:pStyle w:val="references"/>
      </w:pPr>
      <w:r>
        <w:t>De Gobba C, Tompa G, Otte J. Bioactive peptides from caseinsreleased by cold active proteolytic enzymes from Arsukibacterium</w:t>
      </w:r>
    </w:p>
    <w:p w:rsidR="001E3E6E" w:rsidRPr="005E4830" w:rsidRDefault="00447B44" w:rsidP="00064751">
      <w:pPr>
        <w:pStyle w:val="references"/>
        <w:numPr>
          <w:ilvl w:val="0"/>
          <w:numId w:val="0"/>
        </w:numPr>
        <w:ind w:left="360"/>
      </w:pPr>
      <w:r>
        <w:t>ikkense. Food Chem. 2014;165:205–15. https ://doi.org/10.1016/j.foodc hem.2014.05.082.</w:t>
      </w:r>
    </w:p>
    <w:p w:rsidR="00756E15" w:rsidRDefault="00756E15" w:rsidP="00756E15">
      <w:pPr>
        <w:pStyle w:val="references"/>
        <w:numPr>
          <w:ilvl w:val="0"/>
          <w:numId w:val="0"/>
        </w:numPr>
        <w:spacing w:after="0" w:line="240" w:lineRule="auto"/>
        <w:rPr>
          <w:rFonts w:eastAsia="MS Mincho"/>
        </w:rPr>
      </w:pPr>
      <w:r>
        <w:rPr>
          <w:rFonts w:eastAsia="MS Mincho"/>
        </w:rPr>
        <w:t>[</w:t>
      </w:r>
      <w:r w:rsidR="001E3E6E">
        <w:rPr>
          <w:rFonts w:eastAsia="MS Mincho"/>
        </w:rPr>
        <w:t>79</w:t>
      </w:r>
      <w:r>
        <w:rPr>
          <w:rFonts w:eastAsia="MS Mincho"/>
        </w:rPr>
        <w:t>]  Pang, Cu</w:t>
      </w:r>
      <w:r w:rsidR="00320BEC">
        <w:rPr>
          <w:rFonts w:eastAsia="MS Mincho"/>
        </w:rPr>
        <w:t xml:space="preserve">iping, Xinxin Yin, Guoqiang Zhang, Song Liu, Jingwen Zhou, Jianghua Li, and Guocheng Du “Current Progress and     </w:t>
      </w:r>
    </w:p>
    <w:p w:rsidR="00320BEC" w:rsidRDefault="00320BEC" w:rsidP="00320BEC">
      <w:pPr>
        <w:pStyle w:val="references"/>
        <w:numPr>
          <w:ilvl w:val="0"/>
          <w:numId w:val="0"/>
        </w:numPr>
        <w:spacing w:after="0" w:line="240" w:lineRule="auto"/>
        <w:rPr>
          <w:rFonts w:eastAsia="MS Mincho"/>
        </w:rPr>
      </w:pPr>
      <w:r>
        <w:rPr>
          <w:rFonts w:eastAsia="MS Mincho"/>
        </w:rPr>
        <w:t xml:space="preserve">         Prospects of  </w:t>
      </w:r>
      <w:r w:rsidRPr="00463FEE">
        <w:rPr>
          <w:rFonts w:eastAsia="MS Mincho"/>
        </w:rPr>
        <w:t>enzyme technologies in future foods.</w:t>
      </w:r>
      <w:r>
        <w:rPr>
          <w:rFonts w:eastAsia="MS Mincho"/>
        </w:rPr>
        <w:t>”</w:t>
      </w:r>
      <w:r w:rsidRPr="00463FEE">
        <w:rPr>
          <w:rFonts w:eastAsia="MS Mincho"/>
        </w:rPr>
        <w:t xml:space="preserve"> Systems Microbiology and Biomanufacturing 1 (2021): 24-32.</w:t>
      </w:r>
    </w:p>
    <w:p w:rsidR="00320BEC" w:rsidRDefault="00320BEC" w:rsidP="00756E15">
      <w:pPr>
        <w:pStyle w:val="references"/>
        <w:numPr>
          <w:ilvl w:val="0"/>
          <w:numId w:val="0"/>
        </w:numPr>
        <w:spacing w:after="0" w:line="240" w:lineRule="auto"/>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F67" w:rsidRDefault="00895F67" w:rsidP="001E64C4">
      <w:r>
        <w:separator/>
      </w:r>
    </w:p>
  </w:endnote>
  <w:endnote w:type="continuationSeparator" w:id="1">
    <w:p w:rsidR="00895F67" w:rsidRDefault="00895F67"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MyriadPro-BoldSemiCn">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073" w:rsidRPr="00012DED" w:rsidRDefault="00EB0073"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F67" w:rsidRDefault="00895F67" w:rsidP="001E64C4">
      <w:r>
        <w:separator/>
      </w:r>
    </w:p>
  </w:footnote>
  <w:footnote w:type="continuationSeparator" w:id="1">
    <w:p w:rsidR="00895F67" w:rsidRDefault="00895F67"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073" w:rsidRPr="00012DED" w:rsidRDefault="00EB0073"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352C3D9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 w:numId="14">
    <w:abstractNumId w:val="6"/>
    <w:lvlOverride w:ilvl="0">
      <w:startOverride w:val="1"/>
    </w:lvlOverride>
  </w:num>
  <w:num w:numId="15">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rsids>
    <w:rsidRoot w:val="003A59A6"/>
    <w:rsid w:val="000026B6"/>
    <w:rsid w:val="00012DED"/>
    <w:rsid w:val="00014FF2"/>
    <w:rsid w:val="00036715"/>
    <w:rsid w:val="0004390D"/>
    <w:rsid w:val="00044735"/>
    <w:rsid w:val="00047FCC"/>
    <w:rsid w:val="00062BB3"/>
    <w:rsid w:val="00064751"/>
    <w:rsid w:val="00070FAB"/>
    <w:rsid w:val="00080856"/>
    <w:rsid w:val="00090F74"/>
    <w:rsid w:val="000A491C"/>
    <w:rsid w:val="000B4641"/>
    <w:rsid w:val="000B5B2F"/>
    <w:rsid w:val="000B670E"/>
    <w:rsid w:val="000B7919"/>
    <w:rsid w:val="000D5355"/>
    <w:rsid w:val="000D5F84"/>
    <w:rsid w:val="000F13A6"/>
    <w:rsid w:val="000F456A"/>
    <w:rsid w:val="0010711E"/>
    <w:rsid w:val="0012111B"/>
    <w:rsid w:val="00125E34"/>
    <w:rsid w:val="00127EDD"/>
    <w:rsid w:val="001362C6"/>
    <w:rsid w:val="00147049"/>
    <w:rsid w:val="00153789"/>
    <w:rsid w:val="0018330F"/>
    <w:rsid w:val="001906F4"/>
    <w:rsid w:val="001B221B"/>
    <w:rsid w:val="001B58B4"/>
    <w:rsid w:val="001C0DCD"/>
    <w:rsid w:val="001D17AB"/>
    <w:rsid w:val="001D2353"/>
    <w:rsid w:val="001D4508"/>
    <w:rsid w:val="001E3112"/>
    <w:rsid w:val="001E3E6E"/>
    <w:rsid w:val="001E48C1"/>
    <w:rsid w:val="001E64C4"/>
    <w:rsid w:val="001F3597"/>
    <w:rsid w:val="001F59CA"/>
    <w:rsid w:val="002102E4"/>
    <w:rsid w:val="002165A6"/>
    <w:rsid w:val="00226C2C"/>
    <w:rsid w:val="00237505"/>
    <w:rsid w:val="00240391"/>
    <w:rsid w:val="00242D9A"/>
    <w:rsid w:val="00243A5F"/>
    <w:rsid w:val="00251BD2"/>
    <w:rsid w:val="00260730"/>
    <w:rsid w:val="00260BE0"/>
    <w:rsid w:val="00276735"/>
    <w:rsid w:val="00280068"/>
    <w:rsid w:val="00284B1D"/>
    <w:rsid w:val="00284C20"/>
    <w:rsid w:val="002864A3"/>
    <w:rsid w:val="00292EF9"/>
    <w:rsid w:val="00296792"/>
    <w:rsid w:val="00296F4C"/>
    <w:rsid w:val="002B3B81"/>
    <w:rsid w:val="002B5B4B"/>
    <w:rsid w:val="002C1EB7"/>
    <w:rsid w:val="002D49CD"/>
    <w:rsid w:val="002E1666"/>
    <w:rsid w:val="002E17E9"/>
    <w:rsid w:val="002F0CE7"/>
    <w:rsid w:val="002F5BB7"/>
    <w:rsid w:val="002F7D1C"/>
    <w:rsid w:val="00315FFD"/>
    <w:rsid w:val="003169A2"/>
    <w:rsid w:val="00320BEC"/>
    <w:rsid w:val="00322D1E"/>
    <w:rsid w:val="00326BEB"/>
    <w:rsid w:val="00337FD1"/>
    <w:rsid w:val="00366574"/>
    <w:rsid w:val="00386460"/>
    <w:rsid w:val="00390F41"/>
    <w:rsid w:val="003A0921"/>
    <w:rsid w:val="003A1D7B"/>
    <w:rsid w:val="003A47B5"/>
    <w:rsid w:val="003A59A6"/>
    <w:rsid w:val="003B590A"/>
    <w:rsid w:val="003C43DC"/>
    <w:rsid w:val="003E5530"/>
    <w:rsid w:val="00402841"/>
    <w:rsid w:val="00402C25"/>
    <w:rsid w:val="004030A1"/>
    <w:rsid w:val="004059FE"/>
    <w:rsid w:val="004171C7"/>
    <w:rsid w:val="0042689C"/>
    <w:rsid w:val="00430355"/>
    <w:rsid w:val="00433FFD"/>
    <w:rsid w:val="00434A0D"/>
    <w:rsid w:val="004445B3"/>
    <w:rsid w:val="00447B44"/>
    <w:rsid w:val="004562BA"/>
    <w:rsid w:val="0046220E"/>
    <w:rsid w:val="00463FEE"/>
    <w:rsid w:val="00466548"/>
    <w:rsid w:val="00467F3E"/>
    <w:rsid w:val="00475FAC"/>
    <w:rsid w:val="00486161"/>
    <w:rsid w:val="0049054B"/>
    <w:rsid w:val="004958AD"/>
    <w:rsid w:val="004B1658"/>
    <w:rsid w:val="004B1C7C"/>
    <w:rsid w:val="004C04C8"/>
    <w:rsid w:val="004C3DF5"/>
    <w:rsid w:val="004D6DDA"/>
    <w:rsid w:val="004E0B04"/>
    <w:rsid w:val="004E7372"/>
    <w:rsid w:val="005028DA"/>
    <w:rsid w:val="00506E6D"/>
    <w:rsid w:val="00520240"/>
    <w:rsid w:val="00525FAE"/>
    <w:rsid w:val="00530820"/>
    <w:rsid w:val="00543851"/>
    <w:rsid w:val="00552F05"/>
    <w:rsid w:val="00567A9D"/>
    <w:rsid w:val="00572FF3"/>
    <w:rsid w:val="00573409"/>
    <w:rsid w:val="00581245"/>
    <w:rsid w:val="005818F8"/>
    <w:rsid w:val="0059034F"/>
    <w:rsid w:val="005957E3"/>
    <w:rsid w:val="005974A7"/>
    <w:rsid w:val="005A2E29"/>
    <w:rsid w:val="005B520E"/>
    <w:rsid w:val="005B535B"/>
    <w:rsid w:val="005C1954"/>
    <w:rsid w:val="005D3C61"/>
    <w:rsid w:val="005D6F62"/>
    <w:rsid w:val="005E0B7C"/>
    <w:rsid w:val="005F10BD"/>
    <w:rsid w:val="005F3022"/>
    <w:rsid w:val="005F4E97"/>
    <w:rsid w:val="00606992"/>
    <w:rsid w:val="006108A4"/>
    <w:rsid w:val="006112E7"/>
    <w:rsid w:val="006116A9"/>
    <w:rsid w:val="006122E9"/>
    <w:rsid w:val="00633C44"/>
    <w:rsid w:val="00634E72"/>
    <w:rsid w:val="006469D0"/>
    <w:rsid w:val="006476E3"/>
    <w:rsid w:val="00655A28"/>
    <w:rsid w:val="0067551B"/>
    <w:rsid w:val="006870B7"/>
    <w:rsid w:val="0069740E"/>
    <w:rsid w:val="006B577B"/>
    <w:rsid w:val="006C4648"/>
    <w:rsid w:val="006D2C93"/>
    <w:rsid w:val="006D6521"/>
    <w:rsid w:val="006E237B"/>
    <w:rsid w:val="00701787"/>
    <w:rsid w:val="0070334B"/>
    <w:rsid w:val="0070360D"/>
    <w:rsid w:val="00705409"/>
    <w:rsid w:val="007110C2"/>
    <w:rsid w:val="0072064C"/>
    <w:rsid w:val="0072265C"/>
    <w:rsid w:val="00727A52"/>
    <w:rsid w:val="00731E65"/>
    <w:rsid w:val="00736D09"/>
    <w:rsid w:val="007442B3"/>
    <w:rsid w:val="007467D9"/>
    <w:rsid w:val="007502B5"/>
    <w:rsid w:val="00753F7B"/>
    <w:rsid w:val="00756E15"/>
    <w:rsid w:val="0076068C"/>
    <w:rsid w:val="007633D0"/>
    <w:rsid w:val="00765FE2"/>
    <w:rsid w:val="00767BF4"/>
    <w:rsid w:val="007861EE"/>
    <w:rsid w:val="00787C5A"/>
    <w:rsid w:val="00790C81"/>
    <w:rsid w:val="007919DE"/>
    <w:rsid w:val="00793F81"/>
    <w:rsid w:val="00794DEE"/>
    <w:rsid w:val="00796A95"/>
    <w:rsid w:val="007A7421"/>
    <w:rsid w:val="007B79BD"/>
    <w:rsid w:val="007C0308"/>
    <w:rsid w:val="007C2D17"/>
    <w:rsid w:val="007F00F0"/>
    <w:rsid w:val="008014D2"/>
    <w:rsid w:val="008054BC"/>
    <w:rsid w:val="0080718E"/>
    <w:rsid w:val="008079DF"/>
    <w:rsid w:val="00823839"/>
    <w:rsid w:val="008316EC"/>
    <w:rsid w:val="0085548B"/>
    <w:rsid w:val="00856913"/>
    <w:rsid w:val="008577FE"/>
    <w:rsid w:val="008609CA"/>
    <w:rsid w:val="00861799"/>
    <w:rsid w:val="00872AD9"/>
    <w:rsid w:val="00895F67"/>
    <w:rsid w:val="008963CF"/>
    <w:rsid w:val="008A55B5"/>
    <w:rsid w:val="008A6EEB"/>
    <w:rsid w:val="008A75C8"/>
    <w:rsid w:val="008B5270"/>
    <w:rsid w:val="00924FB9"/>
    <w:rsid w:val="0092568F"/>
    <w:rsid w:val="00927FE3"/>
    <w:rsid w:val="009310FE"/>
    <w:rsid w:val="00937636"/>
    <w:rsid w:val="009446E0"/>
    <w:rsid w:val="0096105C"/>
    <w:rsid w:val="0097508D"/>
    <w:rsid w:val="00980B33"/>
    <w:rsid w:val="009A40A1"/>
    <w:rsid w:val="009A5262"/>
    <w:rsid w:val="009D170D"/>
    <w:rsid w:val="009E2827"/>
    <w:rsid w:val="009E62DF"/>
    <w:rsid w:val="009F1150"/>
    <w:rsid w:val="00A03744"/>
    <w:rsid w:val="00A06B87"/>
    <w:rsid w:val="00A10D79"/>
    <w:rsid w:val="00A22C66"/>
    <w:rsid w:val="00A236A0"/>
    <w:rsid w:val="00A301C1"/>
    <w:rsid w:val="00A325D4"/>
    <w:rsid w:val="00A333B6"/>
    <w:rsid w:val="00A45E59"/>
    <w:rsid w:val="00A510F7"/>
    <w:rsid w:val="00A64CD3"/>
    <w:rsid w:val="00A77C0F"/>
    <w:rsid w:val="00A86313"/>
    <w:rsid w:val="00A87616"/>
    <w:rsid w:val="00A92805"/>
    <w:rsid w:val="00AA0700"/>
    <w:rsid w:val="00AB26DB"/>
    <w:rsid w:val="00AB4115"/>
    <w:rsid w:val="00AB7AFD"/>
    <w:rsid w:val="00AC64FC"/>
    <w:rsid w:val="00AC6519"/>
    <w:rsid w:val="00AD601F"/>
    <w:rsid w:val="00AE2380"/>
    <w:rsid w:val="00AE48AF"/>
    <w:rsid w:val="00B0160B"/>
    <w:rsid w:val="00B072ED"/>
    <w:rsid w:val="00B20C8E"/>
    <w:rsid w:val="00B23AE1"/>
    <w:rsid w:val="00B46120"/>
    <w:rsid w:val="00B62E35"/>
    <w:rsid w:val="00B703B3"/>
    <w:rsid w:val="00B85FB2"/>
    <w:rsid w:val="00B947D0"/>
    <w:rsid w:val="00BB088C"/>
    <w:rsid w:val="00BC761D"/>
    <w:rsid w:val="00C0280F"/>
    <w:rsid w:val="00C031C4"/>
    <w:rsid w:val="00C05DB1"/>
    <w:rsid w:val="00C05F7C"/>
    <w:rsid w:val="00C2377F"/>
    <w:rsid w:val="00C337EB"/>
    <w:rsid w:val="00C428F8"/>
    <w:rsid w:val="00C429DE"/>
    <w:rsid w:val="00C4536D"/>
    <w:rsid w:val="00C66137"/>
    <w:rsid w:val="00C703F9"/>
    <w:rsid w:val="00C8174F"/>
    <w:rsid w:val="00CA29F8"/>
    <w:rsid w:val="00CA4858"/>
    <w:rsid w:val="00CB0271"/>
    <w:rsid w:val="00CB66E6"/>
    <w:rsid w:val="00CB7398"/>
    <w:rsid w:val="00CC0057"/>
    <w:rsid w:val="00CC61A5"/>
    <w:rsid w:val="00CD3C8D"/>
    <w:rsid w:val="00CE581F"/>
    <w:rsid w:val="00CF22F5"/>
    <w:rsid w:val="00CF25D6"/>
    <w:rsid w:val="00CF4455"/>
    <w:rsid w:val="00D01167"/>
    <w:rsid w:val="00D04E12"/>
    <w:rsid w:val="00D05A3D"/>
    <w:rsid w:val="00D520EE"/>
    <w:rsid w:val="00D6190F"/>
    <w:rsid w:val="00D6227A"/>
    <w:rsid w:val="00D73595"/>
    <w:rsid w:val="00D86913"/>
    <w:rsid w:val="00D9028A"/>
    <w:rsid w:val="00D9156D"/>
    <w:rsid w:val="00DA3A91"/>
    <w:rsid w:val="00DB42A0"/>
    <w:rsid w:val="00DE2DFF"/>
    <w:rsid w:val="00DE714C"/>
    <w:rsid w:val="00DF2FC4"/>
    <w:rsid w:val="00DF7338"/>
    <w:rsid w:val="00E0289A"/>
    <w:rsid w:val="00E044F6"/>
    <w:rsid w:val="00E053B7"/>
    <w:rsid w:val="00E11872"/>
    <w:rsid w:val="00E1724B"/>
    <w:rsid w:val="00E25F3E"/>
    <w:rsid w:val="00E3775A"/>
    <w:rsid w:val="00E5256A"/>
    <w:rsid w:val="00E857B4"/>
    <w:rsid w:val="00E91219"/>
    <w:rsid w:val="00E92195"/>
    <w:rsid w:val="00E97E42"/>
    <w:rsid w:val="00EA29AA"/>
    <w:rsid w:val="00EA45DE"/>
    <w:rsid w:val="00EA506F"/>
    <w:rsid w:val="00EA53DF"/>
    <w:rsid w:val="00EB0073"/>
    <w:rsid w:val="00EB6B7D"/>
    <w:rsid w:val="00EC6857"/>
    <w:rsid w:val="00EE4362"/>
    <w:rsid w:val="00EF18D7"/>
    <w:rsid w:val="00EF1E8A"/>
    <w:rsid w:val="00EF3A1A"/>
    <w:rsid w:val="00EF7653"/>
    <w:rsid w:val="00F03A00"/>
    <w:rsid w:val="00F23229"/>
    <w:rsid w:val="00F41492"/>
    <w:rsid w:val="00F503A5"/>
    <w:rsid w:val="00F531E1"/>
    <w:rsid w:val="00F656DB"/>
    <w:rsid w:val="00F74C4A"/>
    <w:rsid w:val="00F7586E"/>
    <w:rsid w:val="00F86FE6"/>
    <w:rsid w:val="00F907E2"/>
    <w:rsid w:val="00FA2AC5"/>
    <w:rsid w:val="00FA3271"/>
    <w:rsid w:val="00FA5537"/>
    <w:rsid w:val="00FA7465"/>
    <w:rsid w:val="00FB0705"/>
    <w:rsid w:val="00FC4CB5"/>
    <w:rsid w:val="00FC7137"/>
    <w:rsid w:val="00FD5DF1"/>
    <w:rsid w:val="00FE2DDA"/>
    <w:rsid w:val="00FE55D7"/>
    <w:rsid w:val="00FE76F4"/>
    <w:rsid w:val="00FF4B7B"/>
    <w:rsid w:val="00FF6355"/>
    <w:rsid w:val="00FF78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B87"/>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UnresolvedMention1">
    <w:name w:val="Unresolved Mention1"/>
    <w:basedOn w:val="DefaultParagraphFont"/>
    <w:uiPriority w:val="99"/>
    <w:semiHidden/>
    <w:unhideWhenUsed/>
    <w:rsid w:val="00AB7AFD"/>
    <w:rPr>
      <w:color w:val="605E5C"/>
      <w:shd w:val="clear" w:color="auto" w:fill="E1DFDD"/>
    </w:rPr>
  </w:style>
  <w:style w:type="table" w:styleId="TableGrid">
    <w:name w:val="Table Grid"/>
    <w:basedOn w:val="TableNormal"/>
    <w:uiPriority w:val="59"/>
    <w:rsid w:val="00296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6870B7"/>
    <w:rPr>
      <w:rFonts w:asciiTheme="minorHAnsi" w:eastAsiaTheme="minorEastAsia" w:hAnsiTheme="minorHAnsi" w:cstheme="minorBidi"/>
      <w:sz w:val="22"/>
      <w:szCs w:val="22"/>
      <w:lang w:val="en-IN" w:eastAsia="en-I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F2FC4"/>
    <w:rPr>
      <w:sz w:val="16"/>
      <w:szCs w:val="16"/>
    </w:rPr>
  </w:style>
  <w:style w:type="paragraph" w:styleId="CommentText">
    <w:name w:val="annotation text"/>
    <w:basedOn w:val="Normal"/>
    <w:link w:val="CommentTextChar"/>
    <w:uiPriority w:val="99"/>
    <w:semiHidden/>
    <w:unhideWhenUsed/>
    <w:rsid w:val="00DF2FC4"/>
  </w:style>
  <w:style w:type="character" w:customStyle="1" w:styleId="CommentTextChar">
    <w:name w:val="Comment Text Char"/>
    <w:basedOn w:val="DefaultParagraphFont"/>
    <w:link w:val="CommentText"/>
    <w:uiPriority w:val="99"/>
    <w:semiHidden/>
    <w:rsid w:val="00DF2FC4"/>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F2FC4"/>
    <w:rPr>
      <w:b/>
      <w:bCs/>
    </w:rPr>
  </w:style>
  <w:style w:type="character" w:customStyle="1" w:styleId="CommentSubjectChar">
    <w:name w:val="Comment Subject Char"/>
    <w:basedOn w:val="CommentTextChar"/>
    <w:link w:val="CommentSubject"/>
    <w:uiPriority w:val="99"/>
    <w:semiHidden/>
    <w:rsid w:val="00DF2FC4"/>
    <w:rPr>
      <w:rFonts w:ascii="Times New Roman" w:hAnsi="Times New Roman"/>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1F494-07B6-491E-BA8D-0E13EED2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5989</Words>
  <Characters>34142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USER</cp:lastModifiedBy>
  <cp:revision>4</cp:revision>
  <cp:lastPrinted>2014-07-26T15:11:00Z</cp:lastPrinted>
  <dcterms:created xsi:type="dcterms:W3CDTF">2023-08-13T15:06:00Z</dcterms:created>
  <dcterms:modified xsi:type="dcterms:W3CDTF">2023-08-14T03:09:00Z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75cfabd38fd948261f01ba28c83b4499d57a0caa03cfb0dd75d54c7ace80b710</vt:lpwstr>
  </property>
</Properties>
</file>