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B17A38" w14:textId="51256AE9" w:rsidR="00FA4C46" w:rsidRPr="003C56DC" w:rsidRDefault="00BD1C38" w:rsidP="003C56DC">
      <w:pPr>
        <w:shd w:val="clear" w:color="auto" w:fill="FFFFFF" w:themeFill="background1"/>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Title: </w:t>
      </w:r>
      <w:r w:rsidR="00FA4C46" w:rsidRPr="003C56DC">
        <w:rPr>
          <w:rFonts w:ascii="Times New Roman" w:hAnsi="Times New Roman" w:cs="Times New Roman"/>
          <w:b/>
          <w:bCs/>
          <w:sz w:val="24"/>
          <w:szCs w:val="24"/>
        </w:rPr>
        <w:t>Challenges and opportunities in green ecological-based technology for the replacement of fossil fuels</w:t>
      </w:r>
    </w:p>
    <w:p w14:paraId="1E3DB998"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Suyash Arunrao Kathade</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hyperlink r:id="rId6" w:history="1">
        <w:r w:rsidRPr="003C56DC">
          <w:rPr>
            <w:rFonts w:ascii="Times New Roman" w:eastAsia="Times New Roman" w:hAnsi="Times New Roman" w:cs="Times New Roman"/>
            <w:sz w:val="24"/>
            <w:szCs w:val="24"/>
            <w:lang w:eastAsia="en-IN"/>
          </w:rPr>
          <w:t>suyash.kathade9@gmail.com</w:t>
        </w:r>
      </w:hyperlink>
    </w:p>
    <w:p w14:paraId="4105C892"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School of Life Sciences, Swami Ramanand </w:t>
      </w:r>
      <w:proofErr w:type="spellStart"/>
      <w:r w:rsidRPr="003C56DC">
        <w:rPr>
          <w:rFonts w:ascii="Times New Roman" w:eastAsia="Times New Roman" w:hAnsi="Times New Roman" w:cs="Times New Roman"/>
          <w:sz w:val="24"/>
          <w:szCs w:val="24"/>
          <w:lang w:eastAsia="en-IN"/>
        </w:rPr>
        <w:t>Teerth</w:t>
      </w:r>
      <w:proofErr w:type="spellEnd"/>
      <w:r w:rsidRPr="003C56DC">
        <w:rPr>
          <w:rFonts w:ascii="Times New Roman" w:eastAsia="Times New Roman" w:hAnsi="Times New Roman" w:cs="Times New Roman"/>
          <w:sz w:val="24"/>
          <w:szCs w:val="24"/>
          <w:lang w:eastAsia="en-IN"/>
        </w:rPr>
        <w:t xml:space="preserve"> Marathwada University, Nanded.  Maharashtra, India</w:t>
      </w:r>
    </w:p>
    <w:p w14:paraId="15EC6667" w14:textId="589D1D1A" w:rsidR="003C56DC" w:rsidRPr="003C56DC" w:rsidRDefault="003C56DC" w:rsidP="003C56DC">
      <w:pPr>
        <w:spacing w:line="360" w:lineRule="auto"/>
        <w:rPr>
          <w:rFonts w:ascii="Times New Roman" w:eastAsia="Times New Roman" w:hAnsi="Times New Roman" w:cs="Times New Roman"/>
          <w:sz w:val="24"/>
          <w:szCs w:val="24"/>
          <w:lang w:eastAsia="en-IN"/>
        </w:rPr>
      </w:pPr>
      <w:proofErr w:type="spellStart"/>
      <w:r w:rsidRPr="003C56DC">
        <w:rPr>
          <w:rFonts w:ascii="Times New Roman" w:eastAsia="Times New Roman" w:hAnsi="Times New Roman" w:cs="Times New Roman"/>
          <w:sz w:val="24"/>
          <w:szCs w:val="24"/>
          <w:lang w:eastAsia="en-IN"/>
        </w:rPr>
        <w:t>Akib</w:t>
      </w:r>
      <w:proofErr w:type="spellEnd"/>
      <w:r w:rsidRPr="003C56DC">
        <w:rPr>
          <w:rFonts w:ascii="Times New Roman" w:eastAsia="Times New Roman" w:hAnsi="Times New Roman" w:cs="Times New Roman"/>
          <w:sz w:val="24"/>
          <w:szCs w:val="24"/>
          <w:lang w:eastAsia="en-IN"/>
        </w:rPr>
        <w:t xml:space="preserve"> Nisar </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aakib.nisar@gmail.com</w:t>
      </w:r>
    </w:p>
    <w:p w14:paraId="29213D55"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proofErr w:type="spellStart"/>
      <w:r w:rsidRPr="003C56DC">
        <w:rPr>
          <w:rFonts w:ascii="Times New Roman" w:eastAsia="Times New Roman" w:hAnsi="Times New Roman" w:cs="Times New Roman"/>
          <w:sz w:val="24"/>
          <w:szCs w:val="24"/>
          <w:lang w:eastAsia="en-IN"/>
        </w:rPr>
        <w:t>PharmaACE</w:t>
      </w:r>
      <w:proofErr w:type="spellEnd"/>
      <w:r w:rsidRPr="003C56DC">
        <w:rPr>
          <w:rFonts w:ascii="Times New Roman" w:eastAsia="Times New Roman" w:hAnsi="Times New Roman" w:cs="Times New Roman"/>
          <w:sz w:val="24"/>
          <w:szCs w:val="24"/>
          <w:lang w:eastAsia="en-IN"/>
        </w:rPr>
        <w:t xml:space="preserve"> Analytics </w:t>
      </w:r>
      <w:proofErr w:type="spellStart"/>
      <w:r w:rsidRPr="003C56DC">
        <w:rPr>
          <w:rFonts w:ascii="Times New Roman" w:eastAsia="Times New Roman" w:hAnsi="Times New Roman" w:cs="Times New Roman"/>
          <w:sz w:val="24"/>
          <w:szCs w:val="24"/>
          <w:lang w:eastAsia="en-IN"/>
        </w:rPr>
        <w:t>Pvt.</w:t>
      </w:r>
      <w:proofErr w:type="spellEnd"/>
      <w:r w:rsidRPr="003C56DC">
        <w:rPr>
          <w:rFonts w:ascii="Times New Roman" w:eastAsia="Times New Roman" w:hAnsi="Times New Roman" w:cs="Times New Roman"/>
          <w:sz w:val="24"/>
          <w:szCs w:val="24"/>
          <w:lang w:eastAsia="en-IN"/>
        </w:rPr>
        <w:t xml:space="preserve"> Ltd., Pune, Maharashtra, India.</w:t>
      </w:r>
    </w:p>
    <w:p w14:paraId="7B3ABD64" w14:textId="7983816A"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Mayur Arjun Aswani</w:t>
      </w:r>
      <w:r w:rsidRPr="003C56DC">
        <w:rPr>
          <w:rFonts w:ascii="Times New Roman" w:eastAsia="Times New Roman" w:hAnsi="Times New Roman" w:cs="Times New Roman"/>
          <w:sz w:val="24"/>
          <w:szCs w:val="24"/>
          <w:lang w:eastAsia="en-IN"/>
        </w:rPr>
        <w:tab/>
      </w:r>
      <w:r w:rsidRPr="003C56DC">
        <w:rPr>
          <w:rFonts w:ascii="Times New Roman" w:eastAsia="Times New Roman" w:hAnsi="Times New Roman" w:cs="Times New Roman"/>
          <w:sz w:val="24"/>
          <w:szCs w:val="24"/>
          <w:lang w:eastAsia="en-IN"/>
        </w:rPr>
        <w:tab/>
      </w:r>
      <w:r>
        <w:rPr>
          <w:rFonts w:ascii="Times New Roman" w:eastAsia="Times New Roman" w:hAnsi="Times New Roman" w:cs="Times New Roman"/>
          <w:sz w:val="24"/>
          <w:szCs w:val="24"/>
          <w:lang w:eastAsia="en-IN"/>
        </w:rPr>
        <w:tab/>
      </w:r>
      <w:hyperlink r:id="rId7" w:history="1">
        <w:r w:rsidRPr="00883298">
          <w:rPr>
            <w:rStyle w:val="Hyperlink"/>
            <w:rFonts w:ascii="Times New Roman" w:eastAsia="Times New Roman" w:hAnsi="Times New Roman" w:cs="Times New Roman"/>
            <w:sz w:val="24"/>
            <w:szCs w:val="24"/>
            <w:lang w:eastAsia="en-IN"/>
          </w:rPr>
          <w:t>mayuraswani7@gmail.com</w:t>
        </w:r>
      </w:hyperlink>
    </w:p>
    <w:p w14:paraId="1780AB87"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Interactive Research School for Health Affairs, Bharati Vidyapeeth (Deemed to be University), Pune, Maharashtra, India.</w:t>
      </w:r>
    </w:p>
    <w:p w14:paraId="3E4119CF"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Corresponding author:</w:t>
      </w:r>
    </w:p>
    <w:p w14:paraId="6287E3C7" w14:textId="77777777" w:rsidR="003C56DC" w:rsidRPr="003C56DC" w:rsidRDefault="003C56DC" w:rsidP="003C56DC">
      <w:pPr>
        <w:spacing w:line="360" w:lineRule="auto"/>
        <w:rPr>
          <w:rFonts w:ascii="Times New Roman" w:eastAsia="Times New Roman" w:hAnsi="Times New Roman" w:cs="Times New Roman"/>
          <w:b/>
          <w:bCs/>
          <w:sz w:val="24"/>
          <w:szCs w:val="24"/>
          <w:lang w:eastAsia="en-IN"/>
        </w:rPr>
      </w:pPr>
      <w:r w:rsidRPr="003C56DC">
        <w:rPr>
          <w:rFonts w:ascii="Times New Roman" w:eastAsia="Times New Roman" w:hAnsi="Times New Roman" w:cs="Times New Roman"/>
          <w:b/>
          <w:bCs/>
          <w:sz w:val="24"/>
          <w:szCs w:val="24"/>
          <w:lang w:eastAsia="en-IN"/>
        </w:rPr>
        <w:t>Dr. Suyash Arunrao Kathade</w:t>
      </w:r>
    </w:p>
    <w:p w14:paraId="123A315F"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Address: School of Life Sciences, Swami Ramanand </w:t>
      </w:r>
      <w:proofErr w:type="spellStart"/>
      <w:r w:rsidRPr="003C56DC">
        <w:rPr>
          <w:rFonts w:ascii="Times New Roman" w:eastAsia="Times New Roman" w:hAnsi="Times New Roman" w:cs="Times New Roman"/>
          <w:sz w:val="24"/>
          <w:szCs w:val="24"/>
          <w:lang w:eastAsia="en-IN"/>
        </w:rPr>
        <w:t>Teerth</w:t>
      </w:r>
      <w:proofErr w:type="spellEnd"/>
      <w:r w:rsidRPr="003C56DC">
        <w:rPr>
          <w:rFonts w:ascii="Times New Roman" w:eastAsia="Times New Roman" w:hAnsi="Times New Roman" w:cs="Times New Roman"/>
          <w:sz w:val="24"/>
          <w:szCs w:val="24"/>
          <w:lang w:eastAsia="en-IN"/>
        </w:rPr>
        <w:t xml:space="preserve"> Marathwada University, Nanded.  Maharashtra, India (431603).</w:t>
      </w:r>
    </w:p>
    <w:p w14:paraId="5D84C873"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Phone: 9511267388</w:t>
      </w:r>
    </w:p>
    <w:p w14:paraId="4A0AD3CB" w14:textId="77777777" w:rsidR="003C56DC" w:rsidRPr="003C56DC" w:rsidRDefault="003C56DC" w:rsidP="003C56DC">
      <w:pPr>
        <w:spacing w:line="360" w:lineRule="auto"/>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E-mail: </w:t>
      </w:r>
      <w:hyperlink r:id="rId8" w:history="1">
        <w:r w:rsidRPr="003C56DC">
          <w:rPr>
            <w:rStyle w:val="Hyperlink"/>
            <w:rFonts w:ascii="Times New Roman" w:eastAsia="Times New Roman" w:hAnsi="Times New Roman" w:cs="Times New Roman"/>
            <w:sz w:val="24"/>
            <w:szCs w:val="24"/>
            <w:lang w:eastAsia="en-IN"/>
          </w:rPr>
          <w:t>suyash.kathade9@gmail.com</w:t>
        </w:r>
      </w:hyperlink>
    </w:p>
    <w:p w14:paraId="1DDF747E" w14:textId="5B9DD134" w:rsidR="004600AE" w:rsidRPr="003C56DC" w:rsidRDefault="002E6555" w:rsidP="003C56DC">
      <w:pPr>
        <w:pStyle w:val="Title"/>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rPr>
          <w:rFonts w:cs="Times New Roman"/>
          <w:b w:val="0"/>
          <w:bCs w:val="0"/>
          <w:color w:val="auto"/>
        </w:rPr>
      </w:pPr>
      <w:r w:rsidRPr="003C56DC">
        <w:rPr>
          <w:rFonts w:cs="Times New Roman"/>
          <w:b w:val="0"/>
          <w:bCs w:val="0"/>
          <w:color w:val="auto"/>
        </w:rPr>
        <w:t>————————————————————————————————————</w:t>
      </w:r>
    </w:p>
    <w:p w14:paraId="3BACCC54" w14:textId="506FAC1B" w:rsidR="00FA4C46" w:rsidRPr="003C56DC" w:rsidRDefault="00FA4C46" w:rsidP="003C56DC">
      <w:pPr>
        <w:shd w:val="clear" w:color="auto" w:fill="FFFFFF" w:themeFill="background1"/>
        <w:spacing w:before="240" w:line="360" w:lineRule="auto"/>
        <w:jc w:val="both"/>
        <w:rPr>
          <w:rFonts w:ascii="Times New Roman" w:hAnsi="Times New Roman" w:cs="Times New Roman"/>
          <w:b/>
          <w:bCs/>
          <w:sz w:val="24"/>
          <w:szCs w:val="24"/>
        </w:rPr>
      </w:pPr>
      <w:r w:rsidRPr="003C56DC">
        <w:rPr>
          <w:rFonts w:ascii="Times New Roman" w:hAnsi="Times New Roman" w:cs="Times New Roman"/>
          <w:b/>
          <w:bCs/>
          <w:sz w:val="24"/>
          <w:szCs w:val="24"/>
        </w:rPr>
        <w:t>Abstract</w:t>
      </w:r>
    </w:p>
    <w:p w14:paraId="4CABF31B" w14:textId="573DAAB7" w:rsidR="00FA4C46" w:rsidRPr="003C56DC" w:rsidRDefault="00FA4C46"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rFonts w:eastAsiaTheme="minorHAnsi"/>
          <w:color w:val="auto"/>
          <w:bdr w:val="none" w:sz="0" w:space="0" w:color="auto"/>
          <w:lang w:val="en-IN" w:eastAsia="en-US"/>
        </w:rPr>
      </w:pPr>
      <w:r w:rsidRPr="003C56DC">
        <w:rPr>
          <w:rFonts w:eastAsiaTheme="minorHAnsi"/>
          <w:color w:val="auto"/>
          <w:bdr w:val="none" w:sz="0" w:space="0" w:color="auto"/>
          <w:lang w:val="en-IN" w:eastAsia="en-US"/>
        </w:rPr>
        <w:t xml:space="preserve">Energy demand has escalated with the increasing world population. The current energy requirement is accomplished by non-renewable fossil fuels such as coal, petroleum and natural gas, which release a large amount of carbon dioxide and greenhouse gases, which lead to a cause of global warming. Hence there is an imperative need to find an alternative solution for fossil fuels. Organic waste includes livestock manure, crops or trees, wet organic waste from the household, agro-industrial waste and animal waste or sewage sludge that can be decomposed and leads to biogas. Biogas contains 50-75% methane, 25-50% carbon dioxide and a trace amount of hydrogen and nitrogen, which could be an alternative, eco-friendly and sustainable source of energy. We also propose the emerging technology as </w:t>
      </w:r>
      <w:r w:rsidRPr="003C56DC">
        <w:rPr>
          <w:rFonts w:eastAsiaTheme="minorHAnsi"/>
          <w:color w:val="auto"/>
          <w:bdr w:val="none" w:sz="0" w:space="0" w:color="auto"/>
          <w:lang w:val="en-IN" w:eastAsia="en-US"/>
        </w:rPr>
        <w:lastRenderedPageBreak/>
        <w:t xml:space="preserve">bio coal. Rice husk, sawdust, corn stalk, and other agricultural wastes can be transformed into bio coal by the pyrolysis method or treated under optimized conditions. If equal quantities of coal replace by bio coal that could be 738 million tons of Co2 emissions per day can be reduced. Bio coal can be prepared on a large scale and neutralizing the carbon can mitigate global warming could resolve the fuel and environmental crises of the world. Challenges with biogas would be low caloric value and </w:t>
      </w:r>
      <w:r w:rsidR="001A7947" w:rsidRPr="003C56DC">
        <w:rPr>
          <w:rFonts w:eastAsiaTheme="minorHAnsi"/>
          <w:color w:val="auto"/>
          <w:bdr w:val="none" w:sz="0" w:space="0" w:color="auto"/>
          <w:lang w:val="en-IN" w:eastAsia="en-US"/>
        </w:rPr>
        <w:t>to solve this</w:t>
      </w:r>
      <w:r w:rsidRPr="003C56DC">
        <w:rPr>
          <w:rFonts w:eastAsiaTheme="minorHAnsi"/>
          <w:color w:val="auto"/>
          <w:bdr w:val="none" w:sz="0" w:space="0" w:color="auto"/>
          <w:lang w:val="en-IN" w:eastAsia="en-US"/>
        </w:rPr>
        <w:t xml:space="preserve"> </w:t>
      </w:r>
      <w:r w:rsidR="001A7947" w:rsidRPr="003C56DC">
        <w:rPr>
          <w:rFonts w:eastAsiaTheme="minorHAnsi"/>
          <w:color w:val="auto"/>
          <w:bdr w:val="none" w:sz="0" w:space="0" w:color="auto"/>
          <w:lang w:val="en-IN" w:eastAsia="en-US"/>
        </w:rPr>
        <w:t xml:space="preserve">concentrating the </w:t>
      </w:r>
      <w:r w:rsidRPr="003C56DC">
        <w:rPr>
          <w:rFonts w:eastAsiaTheme="minorHAnsi"/>
          <w:color w:val="auto"/>
          <w:bdr w:val="none" w:sz="0" w:space="0" w:color="auto"/>
          <w:lang w:val="en-IN" w:eastAsia="en-US"/>
        </w:rPr>
        <w:t>methane</w:t>
      </w:r>
      <w:r w:rsidR="001A7947" w:rsidRPr="003C56DC">
        <w:rPr>
          <w:rFonts w:eastAsiaTheme="minorHAnsi"/>
          <w:color w:val="auto"/>
          <w:bdr w:val="none" w:sz="0" w:space="0" w:color="auto"/>
          <w:lang w:val="en-IN" w:eastAsia="en-US"/>
        </w:rPr>
        <w:t xml:space="preserve"> gas would be a possible solution</w:t>
      </w:r>
      <w:r w:rsidRPr="003C56DC">
        <w:rPr>
          <w:rFonts w:eastAsiaTheme="minorHAnsi"/>
          <w:color w:val="auto"/>
          <w:bdr w:val="none" w:sz="0" w:space="0" w:color="auto"/>
          <w:lang w:val="en-IN" w:eastAsia="en-US"/>
        </w:rPr>
        <w:t>. Biogas has 40000KJ/kg, petrol has 45000 KJ/kg, and methane 50000KJ/kg. This time-taking process needs optimization of technology for maximum methane production. To date, there is a lack of effective separation methods, which have significant challenges in the development of renewable fuel. As per the report published in 2019, the world's requirement for fossil fuels including gas, oil and coal is 1,36,761 terawatt/hour and only 7,931 of renewable energy hydropower, wind, solar and other sources, which are 5.79% of the total energy requirement. Hence there is a massive scope and opportunity to develop an eco-friendly sustainable energy source. Hence, biogas and bio coal could be promising alternative solutions for the sustainable development of an eco-friendly source of energy.</w:t>
      </w:r>
    </w:p>
    <w:p w14:paraId="5D27559E" w14:textId="2DFEBDD7" w:rsidR="002E6555" w:rsidRPr="003C56DC" w:rsidRDefault="002E6555"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 xml:space="preserve">Keywords: </w:t>
      </w:r>
      <w:proofErr w:type="spellStart"/>
      <w:r w:rsidR="00FA4C46" w:rsidRPr="003C56DC">
        <w:rPr>
          <w:b/>
          <w:bCs/>
          <w:color w:val="auto"/>
        </w:rPr>
        <w:t>Biocoal</w:t>
      </w:r>
      <w:proofErr w:type="spellEnd"/>
      <w:r w:rsidRPr="003C56DC">
        <w:rPr>
          <w:b/>
          <w:bCs/>
          <w:color w:val="auto"/>
        </w:rPr>
        <w:t xml:space="preserve">, </w:t>
      </w:r>
      <w:r w:rsidR="00FA4C46" w:rsidRPr="003C56DC">
        <w:rPr>
          <w:b/>
          <w:bCs/>
          <w:color w:val="auto"/>
        </w:rPr>
        <w:t>Biogas</w:t>
      </w:r>
      <w:r w:rsidRPr="003C56DC">
        <w:rPr>
          <w:b/>
          <w:bCs/>
          <w:color w:val="auto"/>
        </w:rPr>
        <w:t xml:space="preserve">, </w:t>
      </w:r>
      <w:r w:rsidR="00FA4C46" w:rsidRPr="003C56DC">
        <w:rPr>
          <w:b/>
          <w:bCs/>
          <w:color w:val="auto"/>
        </w:rPr>
        <w:t>Green ecological technology</w:t>
      </w:r>
      <w:r w:rsidRPr="003C56DC">
        <w:rPr>
          <w:b/>
          <w:bCs/>
          <w:color w:val="auto"/>
        </w:rPr>
        <w:t xml:space="preserve">, </w:t>
      </w:r>
      <w:proofErr w:type="spellStart"/>
      <w:r w:rsidR="00FA4C46" w:rsidRPr="003C56DC">
        <w:rPr>
          <w:b/>
          <w:bCs/>
          <w:color w:val="auto"/>
        </w:rPr>
        <w:t>Fossel</w:t>
      </w:r>
      <w:proofErr w:type="spellEnd"/>
      <w:r w:rsidR="00FA4C46" w:rsidRPr="003C56DC">
        <w:rPr>
          <w:b/>
          <w:bCs/>
          <w:color w:val="auto"/>
        </w:rPr>
        <w:t xml:space="preserve"> fuels</w:t>
      </w:r>
      <w:r w:rsidR="007E1F52" w:rsidRPr="003C56DC">
        <w:rPr>
          <w:b/>
          <w:bCs/>
          <w:color w:val="auto"/>
        </w:rPr>
        <w:t xml:space="preserve">, </w:t>
      </w:r>
      <w:r w:rsidR="00FA4C46" w:rsidRPr="003C56DC">
        <w:rPr>
          <w:b/>
          <w:bCs/>
          <w:color w:val="auto"/>
        </w:rPr>
        <w:t>Eco friendly.</w:t>
      </w:r>
    </w:p>
    <w:p w14:paraId="490C6577" w14:textId="4F9C9307" w:rsidR="002E6555" w:rsidRPr="003C56DC" w:rsidRDefault="002E6555"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left="113" w:right="112"/>
        <w:jc w:val="both"/>
        <w:rPr>
          <w:b/>
          <w:bCs/>
          <w:color w:val="auto"/>
        </w:rPr>
      </w:pPr>
      <w:r w:rsidRPr="003C56DC">
        <w:rPr>
          <w:b/>
          <w:bCs/>
          <w:color w:val="auto"/>
        </w:rPr>
        <w:t>———————————————————————————————————</w:t>
      </w:r>
    </w:p>
    <w:p w14:paraId="411A554A" w14:textId="77777777"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Introduction</w:t>
      </w:r>
    </w:p>
    <w:p w14:paraId="680C52D8" w14:textId="768FD246" w:rsidR="004F32E4" w:rsidRPr="003C56DC" w:rsidRDefault="004F32E4" w:rsidP="003C56DC">
      <w:pPr>
        <w:shd w:val="clear" w:color="auto" w:fill="FFFFFF" w:themeFill="background1"/>
        <w:spacing w:after="0" w:line="360" w:lineRule="auto"/>
        <w:ind w:firstLine="480"/>
        <w:jc w:val="both"/>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Climate change is now considered a major threat to the future of humanity by leading scientists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{"citationItems":[{"id":"ITEM-1","itemData":{"DOI":"10.1142/9789811213953_0022","abstract":"Every year there are as many as 20,000 scientific papers and reports published about the science of climate and climate change, and the resulting impacts and policy implications. The vast majority of these publications are rigorously done and are peer reviewed before publication, Since about 1990, on a time scale of roughly every 4?6 years, top experts are being asked to assess the state of the science and the implications of the changes occurring in the climate. Internationally, this occurs through the Intergovernmental Panel on Climate Change (IPCC), and for the United States, through the US National Climate Assessments (NCAs). These assessments provide important input to policy considerations, at international, national, and local levels?","author":[{"dropping-particle":"","family":"Wuebbles","given":"Donald J.","non-dropping-particle":"","parse-names":false,"suffix":""}],"id":"ITEM-1","issued":{"date-parts":[["2021"]]},"page":"213-220","title":" Climate Science Special Report: 4 th US National Climate Assessment, Volume I ","type":"article-journal","volume":"I"},"uris":["http://www.mendeley.com/documents/?uuid=dce56e49-5cb0-4097-befc-c0adb38de485"]},{"id":"ITEM-2","itemData":{"ISBN":"978-92-63-11290-3","abstract":"The release of the World Meteorological Organization State of the Global Climate 2021 report comes a few months after the release of the Working Group I, II and III contributions to the Sixth Assessment Report of the Intergovernmental Panel on Climate Change (IPCC). The present WMO report provides an update on the annual state of the climate observed in the year 2021, and shows continued trends (also reported in the IPCC reports) in terms of key indicators. These include concentrations of greenhouse gases, global annual mean surface temperature, global mean sea level, ocean heat content, ocean acidification, sea-ice extent and changes in mass of the ice sheets and glaciers. While the key indicators show that climate continues to change, information on socioeconomic impacts highlights the vulnerability of populations to current weather and climate events. Loss and damages of more than US$ 100 billion, as well as severe impacts on food security and humanitarian aspects due to high-impact weather and climate events have been reported. The increase in atmospheric concentration of CO2 from 2019 to 2020 was slightly lower than that observed from 2018 to 2019, but higher than the average annual growth rate over the last decade. This is despite a decrease in fossil fuel CO2 emissions of approximately 5.6% in 2020 due to restrictions related to the COVID-19 pandemic. Stabilizing global mean temperature at 1.5 °C to 2 °C above pre-industrial (1850–1900) levels by the end of this century will require an ambitious reduction of greenhouse gas emissions, which must accelerate during this decade. Early warning systems are critically required across sectors for climate adaptation. However, less than half the Members report having early warning systems in place. WMO and its Members are working closely to substantially improve this situation in the near future.","author":[{"dropping-particle":"","family":"WMO","given":"","non-dropping-particle":"","parse-names":false,"suffix":""}],"container-title":"World Meteorological Organization","id":"ITEM-2","issue":"1290","issued":{"date-parts":[["2022"]]},"number-of-pages":"57","title":"State of the Global Climate 2021","type":"book"},"uris":["http://www.mendeley.com/documents/?uuid=b9ddc19e-5a11-4712-952f-e404fb95b71f"]},{"id":"ITEM-3","itemData":{"DOI":"10.1093/biosci/biab079","ISSN":"15253244","author":[{"dropping-particle":"","family":"Ripple","given":"William J.","non-dropping-particle":"","parse-names":false,"suffix":""},{"dropping-particle":"","family":"Wolf","given":"Christopher","non-dropping-particle":"","parse-names":false,"suffix":""},{"dropping-particle":"","family":"Newsome","given":"Thomas M.","non-dropping-particle":"","parse-names":false,"suffix":""},{"dropping-particle":"","family":"Gregg","given":"Jillian W.","non-dropping-particle":"","parse-names":false,"suffix":""},{"dropping-particle":"","family":"Lenton","given":"Timothy M.","non-dropping-particle":"","parse-names":false,"suffix":""},{"dropping-particle":"","family":"Palomo","given":"Ignacio","non-dropping-particle":"","parse-names":false,"suffix":""},{"dropping-particle":"","family":"Eikelboom","given":"Jasper A.J.","non-dropping-particle":"","parse-names":false,"suffix":""},{"dropping-particle":"","family":"Law","given":"Beverly E.","non-dropping-particle":"","parse-names":false,"suffix":""},{"dropping-particle":"","family":"Huq","given":"Saleemul","non-dropping-particle":"","parse-names":false,"suffix":""},{"dropping-particle":"","family":"Duffy","given":"Philip B.","non-dropping-particle":"","parse-names":false,"suffix":""},{"dropping-particle":"","family":"Rockström","given":"Johan","non-dropping-particle":"","parse-names":false,"suffix":""}],"container-title":"BioScience","id":"ITEM-3","issue":"9","issued":{"date-parts":[["2021"]]},"page":"894-898","title":"World scientists' warning of a climate emergency 2021","type":"article-journal","volume":"71"},"uris":["http://www.mendeley.com/documents/?uuid=2533d9f5-f00c-4f60-939c-89b4cacf7e5c"]}],"mendeley":{"formattedCitation":"[1–3]","plainTextFormattedCitation":"[1–3]","previouslyFormattedCitation":"[1–3]"},"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[1–3]</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Globally, the 10 hottest years on record have occurred since 2004 with the five hottest years in the 2015–2020 period</w:t>
      </w:r>
      <w:r w:rsidR="00754BEF" w:rsidRPr="003C56DC">
        <w:rPr>
          <w:rFonts w:ascii="Times New Roman" w:eastAsia="Times New Roman" w:hAnsi="Times New Roman" w:cs="Times New Roman"/>
          <w:sz w:val="24"/>
          <w:szCs w:val="24"/>
          <w:lang w:eastAsia="en-IN"/>
        </w:rPr>
        <w:t xml:space="preserve">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{"citationItems":[{"id":"ITEM-1","itemData":{"DOI":"10.1093/biosci/bix125","ISSN":"0006-3568","author":[{"dropping-particle":"","family":"Ripple","given":"William J","non-dropping-particle":"","parse-names":false,"suffix":""},{"dropping-particle":"","family":"Wolf","given":"Christopher","non-dropping-particle":"","parse-names":false,"suffix":""},{"dropping-particle":"","family":"Newsome","given":"Thomas M","non-dropping-particle":"","parse-names":false,"suffix":""},{"dropping-particle":"","family":"Galetti","given":"Mauro","non-dropping-particle":"","parse-names":false,"suffix":""},{"dropping-particle":"","family":"Alamgir","given":"Mohammed","non-dropping-particle":"","parse-names":false,"suffix":""},{"dropping-particle":"","family":"Crist","given":"Eileen","non-dropping-particle":"","parse-names":false,"suffix":""},{"dropping-particle":"","family":"Mahmoud","given":"Mahmoud I","non-dropping-particle":"","parse-names":false,"suffix":""},{"dropping-particle":"","family":"Laurance","given":"William F","non-dropping-particle":"","parse-names":false,"suffix":""},{"dropping-particle":"","family":"15","given":"364 scientist signatories from 184 countries","non-dropping-particle":"","parse-names":false,"suffix":""}],"container-title":"BioScience","id":"ITEM-1","issue":"12","issued":{"date-parts":[["2017","12","1"]]},"page":"1026-1028","title":"World Scientists’ Warning to Humanity: A Second Notice","type":"article-journal","volume":"67"},"uris":["http://www.mendeley.com/documents/?uuid=e5a7515f-3901-4c68-b299-414aff556d5f"]}],"mendeley":{"formattedCitation":"[4]","plainTextFormattedCitation":"[4]","previouslyFormattedCitation":"[4]"},"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[4]</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xml:space="preserve">. Although 2020 was the second hottest year on record worldwide, Since 1980, extreme climatological events involving temperatures, droughts, and forest fires have quadrupled, whereas meteorological events such as extreme storms have doubled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ISBN":"9788271441005","author":[{"dropping-particle":"","family":"Hov","given":"Øystein","non-dropping-particle":"","parse-names":false,"suffix":""},{"dropping-particle":"","family":"Cubasch","given":"Ulrich","non-dropping-particle":"","parse-names":false,"suffix":""},{"dropping-particle":"","family":"Fischer","given":"Erich","non-dropping-particle":"","parse-names":false,"suffix":""},{"dropping-particle":"","family":"Höppe","given":"Peter","non-dropping-particle":"","parse-names":false,"suffix":""},{"dropping-particle":"","family":"Iversen","given":"Trond","non-dropping-particle":"","parse-names":false,"suffix":""},{"dropping-particle":"","family":"Kvamstø","given":"Nils Gunnar","non-dropping-particle":"","parse-names":false,"suffix":""},{"dropping-particle":"","family":"Kundzewicz","given":"Zbigniew W.","non-dropping-particle":"","parse-names":false,"suffix":""},{"dropping-particle":"","family":"Rezacova","given":"Daniela","non-dropping-particle":"","parse-names":false,"suffix":""},{"dropping-particle":"","family":"Rios","given":"David","non-dropping-particle":"","parse-names":false,"suffix":""},{"dropping-particle":"","family":"Santos","given":"Filipe Duarte","non-dropping-particle":"","parse-names":false,"suffix":""},{"dropping-particle":"","family":"Schädler","given":"Bruno","non-dropping-particle":"","parse-names":false,"suffix":""},{"dropping-particle":"","family":"Veisz","given":"Ottó","non-dropping-particle":"","parse-names":false,"suffix":""},{"dropping-particle":"","family":"Zerefos","given":"Christos","non-dropping-particle":"","parse-names":false,"suffix":""},{"dropping-particle":"","family":"Benestad","given":"Rasmus","non-dropping-particle":"","parse-names":false,"suffix":""},{"dropping-particle":"","family":"Murlis","given":"John","non-dropping-particle":"","parse-names":false,"suffix":""},{"dropping-particle":"","family":"Donat","given":"M.","non-dropping-particle":"","parse-names":false,"suffix":""},{"dropping-particle":"","family":"Leckebusch","given":"Gregor C.","non-dropping-particle":"","parse-names":false,"suffix":""},{"dropping-particle":"","family":"Ulbrich","given":"Uwe","non-dropping-particle":"","parse-names":false,"suffix":""}],"id":"ITEM-1","issue":"October","issued":{"date-parts":[["2013"]]},"number-of-pages":"136","title":"Extreme Weather Events in Europe :","type":"book"},"uris":["http://www.mendeley.com/documents/?uuid=58fd6b9d-36d1-458f-b2c2-8eb80cb0b01e"]},{"id":"ITEM-2","itemData":{"DOI":"doi: 10.7930/NCA4.2018","author":[{"dropping-particle":"","family":"Reidmiller","given":"D R","non-dropping-particle":"","parse-names":false,"suffix":""},{"dropping-particle":"","family":"Avery","given":"C W","non-dropping-particle":"","parse-names":false,"suffix":""},{"dropping-particle":"","family":"Easterling","given":"D R","non-dropping-particle":"","parse-names":false,"suffix":""},{"dropping-particle":"","family":"Kunkel","given":"K E","non-dropping-particle":"","parse-names":false,"suffix":""},{"dropping-particle":"","family":"Lewis","given":"K L M","non-dropping-particle":"","parse-names":false,"suffix":""},{"dropping-particle":"","family":"Maycock","given":"T K","non-dropping-particle":"","parse-names":false,"suffix":""},{"dropping-particle":"","family":"Stewart","given":"B C","non-dropping-particle":"","parse-names":false,"suffix":""}],"collection-title":"U.S. National Climate Assessment","editor":[{"dropping-particle":"","family":"Program","given":"U S Global Change Research","non-dropping-particle":"","parse-names":false,"suffix":""},{"dropping-particle":"","family":"Administration","given":"National Oceanic and Atmospheric","non-dropping-particle":"","parse-names":false,"suffix":""},{"dropping-particle":"","family":"Administration","given":"National Aeronuatics and Space","non-dropping-particle":"","parse-names":false,"suffix":""}],"id":"ITEM-2","issued":{"date-parts":[["2017"]]},"publisher-place":"United States","title":"Impacts, Risks, and Adaptation in the United States: Fourth National Climate Assessment, Volume II","type":"article"},"uris":["http://www.mendeley.com/documents/?uuid=a2ef7e6d-d84f-4769-b09b-5f433c7a4681"]}],"mendeley":{"formattedCitation":"[5,6]","plainTextFormattedCitation":"[5,6]","previouslyFormattedCitation":"[5,6]"},"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[5,6]</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So far, the global temperature increase compared with pre-industrial times (before 1850) has been near 1.2 °C with 1.1 °C since 1900</w:t>
      </w:r>
      <w:r w:rsidR="00754BEF" w:rsidRPr="003C56DC">
        <w:rPr>
          <w:rFonts w:ascii="Times New Roman" w:eastAsia="Times New Roman" w:hAnsi="Times New Roman" w:cs="Times New Roman"/>
          <w:sz w:val="24"/>
          <w:szCs w:val="24"/>
          <w:lang w:eastAsia="en-IN"/>
        </w:rPr>
        <w:t xml:space="preserve">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{"citationItems":[{"id":"ITEM-1","itemData":{"DOI":"10.1142/9789811213953_0022","abstract":"Every year there are as many as 20,000 scientific papers and reports published about the science of climate and climate change, and the resulting impacts and policy implications. The vast majority of these publications are rigorously done and are peer reviewed before publication, Since about 1990, on a time scale of roughly every 4?6 years, top experts are being asked to assess the state of the science and the implications of the changes occurring in the climate. Internationally, this occurs through the Intergovernmental Panel on Climate Change (IPCC), and for the United States, through the US National Climate Assessments (NCAs). These assessments provide important input to policy considerations, at international, national, and local levels?","author":[{"dropping-particle":"","family":"Wuebbles","given":"Donald J.","non-dropping-particle":"","parse-names":false,"suffix":""}],"id":"ITEM-1","issued":{"date-parts":[["2021"]]},"page":"213-220","title":" Climate Science Special Report: 4 th US National Climate Assessment, Volume I ","type":"article-journal","volume":"I"},"uris":["http://www.mendeley.com/documents/?uuid=dce56e49-5cb0-4097-befc-c0adb38de485"]},{"id":"ITEM-2","itemData":{"ISBN":"978-92-63-11290-3","abstract":"The release of the World Meteorological Organization State of the Global Climate 2021 report comes a few months after the release of the Working Group I, II and III contributions to the Sixth Assessment Report of the Intergovernmental Panel on Climate Change (IPCC). The present WMO report provides an update on the annual state of the climate observed in the year 2021, and shows continued trends (also reported in the IPCC reports) in terms of key indicators. These include concentrations of greenhouse gases, global annual mean surface temperature, global mean sea level, ocean heat content, ocean acidification, sea-ice extent and changes in mass of the ice sheets and glaciers. While the key indicators show that climate continues to change, information on socioeconomic impacts highlights the vulnerability of populations to current weather and climate events. Loss and damages of more than US$ 100 billion, as well as severe impacts on food security and humanitarian aspects due to high-impact weather and climate events have been reported. The increase in atmospheric concentration of CO2 from 2019 to 2020 was slightly lower than that observed from 2018 to 2019, but higher than the average annual growth rate over the last decade. This is despite a decrease in fossil fuel CO2 emissions of approximately 5.6% in 2020 due to restrictions related to the COVID-19 pandemic. Stabilizing global mean temperature at 1.5 °C to 2 °C above pre-industrial (1850–1900) levels by the end of this century will require an ambitious reduction of greenhouse gas emissions, which must accelerate during this decade. Early warning systems are critically required across sectors for climate adaptation. However, less than half the Members report having early warning systems in place. WMO and its Members are working closely to substantially improve this situation in the near future.","author":[{"dropping-particle":"","family":"WMO","given":"","non-dropping-particle":"","parse-names":false,"suffix":""}],"container-title":"World Meteorological Organization","id":"ITEM-2","issue":"1290","issued":{"date-parts":[["2022"]]},"number-of-pages":"57","title":"State of the Global Climate 2021","type":"book"},"uris":["http://www.mendeley.com/documents/?uuid=b9ddc19e-5a11-4712-952f-e404fb95b71f"]}],"mendeley":{"formattedCitation":"[1,2]","plainTextFormattedCitation":"[1,2]","previouslyFormattedCitation":"[1,2]"},"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[1,2]</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xml:space="preserve">. Of deep concern is that the increase in temperature is accelerating and is projected to be at the 1.5 °C level within 15 to 20 years if emissions of greenhouse gases (GHG’s) are not drastically reduced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{"citationItems":[{"id":"ITEM-1","itemData":{"DOI":"10.1142/9789811213953_0022","abstract":"Every year there are as many as 20,000 scientific papers and reports published about the science of climate and climate change, and the resulting impacts and policy implications. The vast majority of these publications are rigorously done and are peer reviewed before publication, Since about 1990, on a time scale of roughly every 4?6 years, top experts are being asked to assess the state of the science and the implications of the changes occurring in the climate. Internationally, this occurs through the Intergovernmental Panel on Climate Change (IPCC), and for the United States, through the US National Climate Assessments (NCAs). These assessments provide important input to policy considerations, at international, national, and local levels?","author":[{"dropping-particle":"","family":"Wuebbles","given":"Donald J.","non-dropping-particle":"","parse-names":false,"suffix":""}],"id":"ITEM-1","issued":{"date-parts":[["2021"]]},"page":"213-220","title":" Climate Science Special Report: 4 th US National Climate Assessment, Volume I ","type":"article-journal","volume":"I"},"uris":["http://www.mendeley.com/documents/?uuid=dce56e49-5cb0-4097-befc-c0adb38de485"]},{"id":"ITEM-2","itemData":{"ISBN":"978-92-63-11290-3","abstract":"The release of the World Meteorological Organization State of the Global Climate 2021 report comes a few months after the release of the Working Group I, II and III contributions to the Sixth Assessment Report of the Intergovernmental Panel on Climate Change (IPCC). The present WMO report provides an update on the annual state of the climate observed in the year 2021, and shows continued trends (also reported in the IPCC reports) in terms of key indicators. These include concentrations of greenhouse gases, global annual mean surface temperature, global mean sea level, ocean heat content, ocean acidification, sea-ice extent and changes in mass of the ice sheets and glaciers. While the key indicators show that climate continues to change, information on socioeconomic impacts highlights the vulnerability of populations to current weather and climate events. Loss and damages of more than US$ 100 billion, as well as severe impacts on food security and humanitarian aspects due to high-impact weather and climate events have been reported. The increase in atmospheric concentration of CO2 from 2019 to 2020 was slightly lower than that observed from 2018 to 2019, but higher than the average annual growth rate over the last decade. This is despite a decrease in fossil fuel CO2 emissions of approximately 5.6% in 2020 due to restrictions related to the COVID-19 pandemic. Stabilizing global mean temperature at 1.5 °C to 2 °C above pre-industrial (1850–1900) levels by the end of this century will require an ambitious reduction of greenhouse gas emissions, which must accelerate during this decade. Early warning systems are critically required across sectors for climate adaptation. However, less than half the Members report having early warning systems in place. WMO and its Members are working closely to substantially improve this situation in the near future.","author":[{"dropping-particle":"","family":"WMO","given":"","non-dropping-particle":"","parse-names":false,"suffix":""}],"container-title":"World Meteorological Organization","id":"ITEM-2","issue":"1290","issued":{"date-parts":[["2022"]]},"number-of-pages":"57","title":"State of the Global Climate 2021","type":"book"},"uris":["http://www.mendeley.com/documents/?uuid=b9ddc19e-5a11-4712-952f-e404fb95b71f"]}],"mendeley":{"formattedCitation":"[1,2]","plainTextFormattedCitation":"[1,2]","previouslyFormattedCitation":"[1,2]"},"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[1,2]</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xml:space="preserve">. Even with the 2015 International Paris Agreement to reduce GHG emissions, global temperatures have continued to increase due to the world’s increased use of fossil fuels </w:t>
      </w:r>
      <w:r w:rsidRPr="003C56DC">
        <w:rPr>
          <w:rFonts w:ascii="Times New Roman" w:eastAsia="Times New Roman" w:hAnsi="Times New Roman" w:cs="Times New Roman"/>
          <w:sz w:val="24"/>
          <w:szCs w:val="24"/>
          <w:lang w:eastAsia="en-IN"/>
        </w:rPr>
        <w:lastRenderedPageBreak/>
        <w:t xml:space="preserve">and deforestation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{"citationItems":[{"id":"ITEM-1","itemData":{"abstract":"Energy generated from environmentally friendly, cost-effective solar cells is a key aspect for developing a clean renewable-energy economy. Non-toxic and Earth-abundant materials with high absorption coefficient (&gt;105 cm−1) and optimal bandgap (1–1.5 eV) have received great attention as photovoltaic (PV) absorber layers during the last few decades. Among them, antimony selenide (Sb2Se3) has been a promising PV absorber, with steadily increasing power-conversion efficiency (PCE) compared to other emerging compounds. Very recent studies showed that high-quality ZnO:Al/ZnO/CdS/TiO2/Sb2Se3/MoSe2/Mo devices with PCE of 9.2% can be fabricated using cost-effective novel compounds. Considering these recent advances, this article provides an overview of the material properties of Sb2Se3 thin films and the recent progress made with Sb2Se3-based solar cells. Analysis of Sb2Se3-based thin-film solar cells has also shown that the devices have relatively good light management due to their suitable bandgap and high absorption coefficient, whereas carrier management, i.e. collection efficiency of photo-generated carriers, needs significant improvement. Overall, this study provides background knowledge on material properties and device performance and suggests main research directions to overcome the limiting factors of solar cell performance.","author":[{"dropping-particle":"","family":"BP","given":"","non-dropping-particle":"","parse-names":false,"suffix":""}],"container-title":"BP Energy Outlook","id":"ITEM-1","issued":{"date-parts":[["2021"]]},"page":"72","title":"Statistical Review of World Energy globally consistent data on world energy markets and authoritative publications in the field of energy","type":"article-journal","volume":"70"},"uris":["http://www.mendeley.com/documents/?uuid=a6988b04-adfb-49d7-91b8-72a977032da0"]}],"mendeley":{"formattedCitation":"[7]","plainTextFormattedCitation":"[7]","previouslyFormattedCitation":"[7]"},"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[7]</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With continued reliance on fossil fuels as the primary energy source, a 3 °C or more temperature increase is predicted by the end of this century</w:t>
      </w:r>
      <w:r w:rsidR="00754BEF" w:rsidRPr="003C56DC">
        <w:rPr>
          <w:rFonts w:ascii="Times New Roman" w:eastAsia="Times New Roman" w:hAnsi="Times New Roman" w:cs="Times New Roman"/>
          <w:sz w:val="24"/>
          <w:szCs w:val="24"/>
          <w:lang w:eastAsia="en-IN"/>
        </w:rPr>
        <w:t xml:space="preserve">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{"citationItems":[{"id":"ITEM-1","itemData":{"DOI":"10.1073/pnas.1810141115","ISSN":"1091-6490 (Electronic)","PMID":"30082409","abstract":"We explore the risk that self-reinforcing feedbacks could push the Earth System  toward a planetary threshold that, if crossed, could prevent stabilization of the climate at intermediate temperature rises and cause continued warming on a \"Hothouse Earth\" pathway even as human emissions are reduced. Crossing the threshold would lead to a much higher global average temperature than any interglacial in the past 1.2 million years and to sea levels significantly higher than at any time in the Holocene. We examine the evidence that such a threshold might exist and where it might be. If the threshold is crossed, the resulting trajectory would likely cause serious disruptions to ecosystems, society, and economies. Collective human action is required to steer the Earth System away from a potential threshold and stabilize it in a habitable interglacial-like state. Such action entails stewardship of the entire Earth System-biosphere, climate, and societies-and could include decarbonization of the global economy, enhancement of biosphere carbon sinks, behavioral changes, technological innovations, new governance arrangements, and transformed social values.","author":[{"dropping-particle":"","family":"Steffen","given":"Will","non-dropping-particle":"","parse-names":false,"suffix":""},{"dropping-particle":"","family":"Rockström","given":"Johan","non-dropping-particle":"","parse-names":false,"suffix":""},{"dropping-particle":"","family":"Richardson","given":"Katherine","non-dropping-particle":"","parse-names":false,"suffix":""},{"dropping-particle":"","family":"Lenton","given":"Timothy M","non-dropping-particle":"","parse-names":false,"suffix":""},{"dropping-particle":"","family":"Folke","given":"Carl","non-dropping-particle":"","parse-names":false,"suffix":""},{"dropping-particle":"","family":"Liverman","given":"Diana","non-dropping-particle":"","parse-names":false,"suffix":""},{"dropping-particle":"","family":"Summerhayes","given":"Colin P","non-dropping-particle":"","parse-names":false,"suffix":""},{"dropping-particle":"","family":"Barnosky","given":"Anthony D","non-dropping-particle":"","parse-names":false,"suffix":""},{"dropping-particle":"","family":"Cornell","given":"Sarah E","non-dropping-particle":"","parse-names":false,"suffix":""},{"dropping-particle":"","family":"Crucifix","given":"Michel","non-dropping-particle":"","parse-names":false,"suffix":""},{"dropping-particle":"","family":"Donges","given":"Jonathan F","non-dropping-particle":"","parse-names":false,"suffix":""},{"dropping-particle":"","family":"Fetzer","given":"Ingo","non-dropping-particle":"","parse-names":false,"suffix":""},{"dropping-particle":"","family":"Lade","given":"Steven J","non-dropping-particle":"","parse-names":false,"suffix":""},{"dropping-particle":"","family":"Scheffer","given":"Marten","non-dropping-particle":"","parse-names":false,"suffix":""},{"dropping-particle":"","family":"Winkelmann","given":"Ricarda","non-dropping-particle":"","parse-names":false,"suffix":""},{"dropping-particle":"","family":"Schellnhuber","given":"Hans Joachim","non-dropping-particle":"","parse-names":false,"suffix":""}],"container-title":"Proceedings of the National Academy of Sciences of the United States of America","id":"ITEM-1","issue":"33","issued":{"date-parts":[["2018","8"]]},"language":"eng","page":"8252-8259","publisher-place":"United States","title":"Trajectories of the Earth System in the Anthropocene.","type":"article-journal","volume":"115"},"uris":["http://www.mendeley.com/documents/?uuid=d6eaf20c-fd56-4da3-b3fb-563214cd7b1c"]}],"mendeley":{"formattedCitation":"[8]","plainTextFormattedCitation":"[8]","previouslyFormattedCitation":"[8]"},"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[8]</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xml:space="preserve">. </w:t>
      </w:r>
    </w:p>
    <w:p w14:paraId="3BD30FCC" w14:textId="03BC24FA" w:rsidR="004F32E4" w:rsidRPr="003C56DC" w:rsidRDefault="004F32E4" w:rsidP="003C56DC">
      <w:pPr>
        <w:shd w:val="clear" w:color="auto" w:fill="FFFFFF" w:themeFill="background1"/>
        <w:spacing w:after="0" w:line="360" w:lineRule="auto"/>
        <w:ind w:firstLine="480"/>
        <w:jc w:val="both"/>
        <w:rPr>
          <w:rFonts w:ascii="Times New Roman" w:hAnsi="Times New Roman" w:cs="Times New Roman"/>
          <w:sz w:val="24"/>
          <w:szCs w:val="24"/>
          <w:shd w:val="clear" w:color="auto" w:fill="FFFFFF"/>
        </w:rPr>
      </w:pPr>
      <w:r w:rsidRPr="003C56DC">
        <w:rPr>
          <w:rFonts w:ascii="Times New Roman" w:eastAsia="Times New Roman" w:hAnsi="Times New Roman" w:cs="Times New Roman"/>
          <w:sz w:val="24"/>
          <w:szCs w:val="24"/>
          <w:lang w:eastAsia="en-IN"/>
        </w:rPr>
        <w:t xml:space="preserve">The biggest concern is that a tipping point or threshold may soon be crossed because of accelerated climatic warming and instability </w:t>
      </w:r>
      <w:proofErr w:type="spellStart"/>
      <w:r w:rsidRPr="003C56DC">
        <w:rPr>
          <w:rFonts w:ascii="Times New Roman" w:eastAsia="Times New Roman" w:hAnsi="Times New Roman" w:cs="Times New Roman"/>
          <w:sz w:val="24"/>
          <w:szCs w:val="24"/>
          <w:lang w:eastAsia="en-IN"/>
        </w:rPr>
        <w:t>imperiling</w:t>
      </w:r>
      <w:proofErr w:type="spellEnd"/>
      <w:r w:rsidRPr="003C56DC">
        <w:rPr>
          <w:rFonts w:ascii="Times New Roman" w:eastAsia="Times New Roman" w:hAnsi="Times New Roman" w:cs="Times New Roman"/>
          <w:sz w:val="24"/>
          <w:szCs w:val="24"/>
          <w:lang w:eastAsia="en-IN"/>
        </w:rPr>
        <w:t xml:space="preserve"> a large portion of the human population</w:t>
      </w:r>
      <w:r w:rsidR="00754BEF" w:rsidRPr="003C56DC">
        <w:rPr>
          <w:rFonts w:ascii="Times New Roman" w:eastAsia="Times New Roman" w:hAnsi="Times New Roman" w:cs="Times New Roman"/>
          <w:sz w:val="24"/>
          <w:szCs w:val="24"/>
          <w:lang w:eastAsia="en-IN"/>
        </w:rPr>
        <w:t xml:space="preserve"> </w:t>
      </w:r>
      <w:r w:rsidR="00754BEF" w:rsidRPr="003C56DC">
        <w:rPr>
          <w:rFonts w:ascii="Times New Roman" w:eastAsia="Times New Roman" w:hAnsi="Times New Roman" w:cs="Times New Roman"/>
          <w:sz w:val="24"/>
          <w:szCs w:val="24"/>
          <w:lang w:eastAsia="en-IN"/>
        </w:rPr>
        <w:fldChar w:fldCharType="begin" w:fldLock="1"/>
      </w:r>
      <w:r w:rsidR="00754BEF" w:rsidRPr="003C56DC">
        <w:rPr>
          <w:rFonts w:ascii="Times New Roman" w:eastAsia="Times New Roman" w:hAnsi="Times New Roman" w:cs="Times New Roman"/>
          <w:sz w:val="24"/>
          <w:szCs w:val="24"/>
          <w:lang w:eastAsia="en-IN"/>
        </w:rPr>
        <w:instrText>ADDIN CSL_CITATION {"citationItems":[{"id":"ITEM-1","itemData":{"abstract":"Global temperature is a fundamental climate metric highly correlated with sea level, which implies that keeping shorelines near their present location requires keeping global temperature within or close to its preindustrial Holocene range. However, global temperature excluding short-term variability now exceeds +1 ◦ C relative to the 1880–1920 mean and annual 2016 global temperature was almost +1.3 ◦ C. We show that global temperature has risen well out of the Holocene range and Earth is now as warm as it was during the prior (Eemian) interglacial period, when sea level reached 6–9 m higher than today. Further, Earth is out of energy balance with present atmospheric composition, implying that more warming is in the pipeline, and we show that the growth rate of greenhouse gas climate forcing has accelerated markedly in the past decade. The rapidity of ice sheet and sea level response to global temperature is difﬁcult to predict, but is dependent on the magnitude of warming. Targets for limiting global warming thus, at minimum, should aim to avoid leaving global temperature at Eemian or higher levels for centuries. Such targets now require “negative emissions”, i.e., extraction of CO2 from the air. If phasedown of fossil fuel emissions begins soon, improved agricultural and forestry practices, including reforestation and steps to improve soil fertility and increase its carbon content, may provide much of the necessary CO2 extraction. In that case, the magnitude and duration of global temperature excursion above the natural range of the current interglacial (Holocene) could be limited and irreversible climate impacts could be minimized. In contrast, continued high fossil fuel emissions today place a burden on young people to undertake massive technological CO2 extraction if they are to limit climate change and its consequences. Proposed methods of extraction such as bioenergy with carbon capture and storage (BECCS) or air capture of CO2 have minima estimated costs of USD 89–535 trillion this century and also have large risks and uncertain feasibility. Continued high fossil fuel emissions unarguably sentences young people to either a massive, implausible cleanup or growing deleterious climate impacts or both.","author":[{"dropping-particle":"","family":"Hansen","given":"James","non-dropping-particle":"","parse-names":false,"suffix":""},{"dropping-particle":"","family":"Sato","given":"Makiko","non-dropping-particle":"","parse-names":false,"suffix":""},{"dropping-particle":"","family":"Kharecha","given":"Pushker","non-dropping-particle":"","parse-names":false,"suffix":""},{"dropping-particle":"Von","family":"Schuckmann","given":"Karina","non-dropping-particle":"","parse-names":false,"suffix":""},{"dropping-particle":"","family":"Beerling","given":"David J","non-dropping-particle":"","parse-names":false,"suffix":""}],"container-title":"Earth System Dynamics","id":"ITEM-1","issued":{"date-parts":[["2017"]]},"page":"577-616","title":"Earth System Dynamics Young people’s burden : requirement of negative CO 2 emissions","type":"article-journal"},"uris":["http://www.mendeley.com/documents/?uuid=7a40b85a-0b27-49ca-871a-58d523abbe3b"]},{"id":"ITEM-2","itemData":{"DOI":"10.1142/9789811213953_0022","abstract":"Every year there are as many as 20,000 scientific papers and reports published about the science of climate and climate change, and the resulting impacts and policy implications. The vast majority of these publications are rigorously done and are peer reviewed before publication, Since about 1990, on a time scale of roughly every 4?6 years, top experts are being asked to assess the state of the science and the implications of the changes occurring in the climate. Internationally, this occurs through the Intergovernmental Panel on Climate Change (IPCC), and for the United States, through the US National Climate Assessments (NCAs). These assessments provide important input to policy considerations, at international, national, and local levels?","author":[{"dropping-particle":"","family":"Wuebbles","given":"Donald J.","non-dropping-particle":"","parse-names":false,"suffix":""}],"id":"ITEM-2","issued":{"date-parts":[["2021"]]},"page":"213-220","title":" Climate Science Special Report: 4 th US National Climate Assessment, Volume I ","type":"article-journal","volume":"I"},"uris":["http://www.mendeley.com/documents/?uuid=dce56e49-5cb0-4097-befc-c0adb38de485"]}],"mendeley":{"formattedCitation":"[1,9]","plainTextFormattedCitation":"[1,9]","previouslyFormattedCitation":"[1,9]"},"properties":{"noteIndex":0},"schema":"https://github.com/citation-style-language/schema/raw/master/csl-citation.json"}</w:instrText>
      </w:r>
      <w:r w:rsidR="00754BEF" w:rsidRPr="003C56DC">
        <w:rPr>
          <w:rFonts w:ascii="Times New Roman" w:eastAsia="Times New Roman" w:hAnsi="Times New Roman" w:cs="Times New Roman"/>
          <w:sz w:val="24"/>
          <w:szCs w:val="24"/>
          <w:lang w:eastAsia="en-IN"/>
        </w:rPr>
        <w:fldChar w:fldCharType="separate"/>
      </w:r>
      <w:r w:rsidR="00754BEF" w:rsidRPr="003C56DC">
        <w:rPr>
          <w:rFonts w:ascii="Times New Roman" w:eastAsia="Times New Roman" w:hAnsi="Times New Roman" w:cs="Times New Roman"/>
          <w:noProof/>
          <w:sz w:val="24"/>
          <w:szCs w:val="24"/>
          <w:lang w:eastAsia="en-IN"/>
        </w:rPr>
        <w:t>[1,9]</w:t>
      </w:r>
      <w:r w:rsidR="00754BEF"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xml:space="preserve">. </w:t>
      </w:r>
      <w:r w:rsidRPr="003C56DC">
        <w:rPr>
          <w:rFonts w:ascii="Times New Roman" w:hAnsi="Times New Roman" w:cs="Times New Roman"/>
          <w:sz w:val="24"/>
          <w:szCs w:val="24"/>
          <w:shd w:val="clear" w:color="auto" w:fill="FFFFFF"/>
        </w:rPr>
        <w:t>Because these changes would be very disruptive to the heavily globalized world economy, a less drastic approach focusing on development of renewable energy (primarily wind and solar) and enhancements in energy efficiency (decoupling) has been emphasized since the 2015 Paris Agreement by the primary CO</w:t>
      </w:r>
      <w:r w:rsidRPr="003C56DC">
        <w:rPr>
          <w:rFonts w:ascii="Times New Roman" w:hAnsi="Times New Roman" w:cs="Times New Roman"/>
          <w:sz w:val="24"/>
          <w:szCs w:val="24"/>
          <w:shd w:val="clear" w:color="auto" w:fill="FFFFFF"/>
          <w:vertAlign w:val="subscript"/>
        </w:rPr>
        <w:t>2</w:t>
      </w:r>
      <w:r w:rsidRPr="003C56DC">
        <w:rPr>
          <w:rFonts w:ascii="Times New Roman" w:hAnsi="Times New Roman" w:cs="Times New Roman"/>
          <w:sz w:val="24"/>
          <w:szCs w:val="24"/>
          <w:shd w:val="clear" w:color="auto" w:fill="FFFFFF"/>
        </w:rPr>
        <w:t> emitters (i.e., China, the United States, the European Union, Japan, Russia, India, Brazil)</w:t>
      </w:r>
      <w:r w:rsidR="00754BEF" w:rsidRPr="003C56DC">
        <w:rPr>
          <w:rFonts w:ascii="Times New Roman" w:hAnsi="Times New Roman" w:cs="Times New Roman"/>
          <w:sz w:val="24"/>
          <w:szCs w:val="24"/>
          <w:shd w:val="clear" w:color="auto" w:fill="FFFFFF"/>
        </w:rPr>
        <w:t xml:space="preserve"> </w:t>
      </w:r>
      <w:r w:rsidR="00754BEF" w:rsidRPr="003C56DC">
        <w:rPr>
          <w:rFonts w:ascii="Times New Roman" w:hAnsi="Times New Roman" w:cs="Times New Roman"/>
          <w:sz w:val="24"/>
          <w:szCs w:val="24"/>
          <w:shd w:val="clear" w:color="auto" w:fill="FFFFFF"/>
        </w:rPr>
        <w:fldChar w:fldCharType="begin" w:fldLock="1"/>
      </w:r>
      <w:r w:rsidR="00754BEF" w:rsidRPr="003C56DC">
        <w:rPr>
          <w:rFonts w:ascii="Times New Roman" w:hAnsi="Times New Roman" w:cs="Times New Roman"/>
          <w:sz w:val="24"/>
          <w:szCs w:val="24"/>
          <w:shd w:val="clear" w:color="auto" w:fill="FFFFFF"/>
        </w:rPr>
        <w:instrText>ADDIN CSL_CITATION {"citationItems":[{"id":"ITEM-1","itemData":{"DOI":"10.1080/13563467.2019.1598964","ISSN":"1356-3467","author":[{"dropping-particle":"","family":"Hickel","given":"Jason","non-dropping-particle":"","parse-names":false,"suffix":""},{"dropping-particle":"","family":"Kallis","given":"Giorgos","non-dropping-particle":"","parse-names":false,"suffix":""}],"container-title":"New Political Economy","id":"ITEM-1","issue":"0","issued":{"date-parts":[["2019"]]},"page":"1-18","publisher":"Taylor &amp; Francis","title":"Is Green Growth Possible ? Is Green Growth Possible ?","type":"article-journal","volume":"0"},"uris":["http://www.mendeley.com/documents/?uuid=08529b1c-9d41-4e96-8c78-68d2ff173b51"]},{"id":"ITEM-2","itemData":{"abstract":"The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zero.","author":[{"dropping-particle":"","family":"International Energy Agency","given":"","non-dropping-particle":"","parse-names":false,"suffix":""}],"container-title":"International Energy Agency","id":"ITEM-2","issued":{"date-parts":[["2021"]]},"page":"224","title":"Net Zero by 2050: A Roadmap for the Global Energy Sector","type":"article-journal"},"uris":["http://www.mendeley.com/documents/?uuid=445455ad-439f-4ccc-a521-52dd1c2f44ab"]}],"mendeley":{"formattedCitation":"[10,11]","plainTextFormattedCitation":"[10,11]","previouslyFormattedCitation":"[10,11]"},"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[10,11]</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w:t>
      </w:r>
    </w:p>
    <w:p w14:paraId="2B11CB18" w14:textId="4FCBE1E5" w:rsidR="004F32E4" w:rsidRPr="003C56DC" w:rsidRDefault="004F32E4" w:rsidP="003C56DC">
      <w:pPr>
        <w:shd w:val="clear" w:color="auto" w:fill="FFFFFF" w:themeFill="background1"/>
        <w:spacing w:after="0" w:line="360" w:lineRule="auto"/>
        <w:ind w:firstLine="480"/>
        <w:jc w:val="both"/>
        <w:rPr>
          <w:rFonts w:ascii="Times New Roman" w:hAnsi="Times New Roman" w:cs="Times New Roman"/>
          <w:sz w:val="24"/>
          <w:szCs w:val="24"/>
          <w:shd w:val="clear" w:color="auto" w:fill="FFFFFF"/>
        </w:rPr>
      </w:pPr>
      <w:r w:rsidRPr="003C56DC">
        <w:rPr>
          <w:rFonts w:ascii="Times New Roman" w:hAnsi="Times New Roman" w:cs="Times New Roman"/>
          <w:sz w:val="24"/>
          <w:szCs w:val="24"/>
          <w:shd w:val="clear" w:color="auto" w:fill="FFFFFF"/>
        </w:rPr>
        <w:t>A common concern is that persistent growth in the human population requires an ever increasing consumption of energy and other natural resources nullifying gains made from efficiency improvements in resource use and expansion of renewable energy production</w:t>
      </w:r>
      <w:r w:rsidR="00754BEF" w:rsidRPr="003C56DC">
        <w:rPr>
          <w:rFonts w:ascii="Times New Roman" w:hAnsi="Times New Roman" w:cs="Times New Roman"/>
          <w:sz w:val="24"/>
          <w:szCs w:val="24"/>
          <w:shd w:val="clear" w:color="auto" w:fill="FFFFFF"/>
        </w:rPr>
        <w:t xml:space="preserve"> </w:t>
      </w:r>
      <w:r w:rsidR="00754BEF" w:rsidRPr="003C56DC">
        <w:rPr>
          <w:rFonts w:ascii="Times New Roman" w:hAnsi="Times New Roman" w:cs="Times New Roman"/>
          <w:sz w:val="24"/>
          <w:szCs w:val="24"/>
          <w:shd w:val="clear" w:color="auto" w:fill="FFFFFF"/>
        </w:rPr>
        <w:fldChar w:fldCharType="begin" w:fldLock="1"/>
      </w:r>
      <w:r w:rsidR="00754BEF" w:rsidRPr="003C56DC">
        <w:rPr>
          <w:rFonts w:ascii="Times New Roman" w:hAnsi="Times New Roman" w:cs="Times New Roman"/>
          <w:sz w:val="24"/>
          <w:szCs w:val="24"/>
          <w:shd w:val="clear" w:color="auto" w:fill="FFFFFF"/>
        </w:rPr>
        <w:instrText>ADDIN CSL_CITATION {"citationItems":[{"id":"ITEM-1","itemData":{"ISBN":"978-92-63-11290-3","abstract":"The release of the World Meteorological Organization State of the Global Climate 2021 report comes a few months after the release of the Working Group I, II and III contributions to the Sixth Assessment Report of the Intergovernmental Panel on Climate Change (IPCC). The present WMO report provides an update on the annual state of the climate observed in the year 2021, and shows continued trends (also reported in the IPCC reports) in terms of key indicators. These include concentrations of greenhouse gases, global annual mean surface temperature, global mean sea level, ocean heat content, ocean acidification, sea-ice extent and changes in mass of the ice sheets and glaciers. While the key indicators show that climate continues to change, information on socioeconomic impacts highlights the vulnerability of populations to current weather and climate events. Loss and damages of more than US$ 100 billion, as well as severe impacts on food security and humanitarian aspects due to high-impact weather and climate events have been reported. The increase in atmospheric concentration of CO2 from 2019 to 2020 was slightly lower than that observed from 2018 to 2019, but higher than the average annual growth rate over the last decade. This is despite a decrease in fossil fuel CO2 emissions of approximately 5.6% in 2020 due to restrictions related to the COVID-19 pandemic. Stabilizing global mean temperature at 1.5 °C to 2 °C above pre-industrial (1850–1900) levels by the end of this century will require an ambitious reduction of greenhouse gas emissions, which must accelerate during this decade. Early warning systems are critically required across sectors for climate adaptation. However, less than half the Members report having early warning systems in place. WMO and its Members are working closely to substantially improve this situation in the near future.","author":[{"dropping-particle":"","family":"WMO","given":"","non-dropping-particle":"","parse-names":false,"suffix":""}],"container-title":"World Meteorological Organization","id":"ITEM-1","issue":"1290","issued":{"date-parts":[["2022"]]},"number-of-pages":"57","title":"State of the Global Climate 2021","type":"book"},"uris":["http://www.mendeley.com/documents/?uuid=b9ddc19e-5a11-4712-952f-e404fb95b71f"]}],"mendeley":{"formattedCitation":"[2]","plainTextFormattedCitation":"[2]","previouslyFormattedCitation":"[2]"},"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[2]</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 Another major concern, beyond CO</w:t>
      </w:r>
      <w:r w:rsidRPr="003C56DC">
        <w:rPr>
          <w:rFonts w:ascii="Times New Roman" w:hAnsi="Times New Roman" w:cs="Times New Roman"/>
          <w:sz w:val="24"/>
          <w:szCs w:val="24"/>
          <w:shd w:val="clear" w:color="auto" w:fill="FFFFFF"/>
          <w:vertAlign w:val="subscript"/>
        </w:rPr>
        <w:t>2</w:t>
      </w:r>
      <w:r w:rsidRPr="003C56DC">
        <w:rPr>
          <w:rFonts w:ascii="Times New Roman" w:hAnsi="Times New Roman" w:cs="Times New Roman"/>
          <w:sz w:val="24"/>
          <w:szCs w:val="24"/>
          <w:shd w:val="clear" w:color="auto" w:fill="FFFFFF"/>
        </w:rPr>
        <w:t> emissions, is that the fossil fuels on which the world still depends on for over 80% of its energy needs are finite and will be critically depleted within 50 years at current use levels</w:t>
      </w:r>
      <w:r w:rsidR="00754BEF" w:rsidRPr="003C56DC">
        <w:rPr>
          <w:rFonts w:ascii="Times New Roman" w:hAnsi="Times New Roman" w:cs="Times New Roman"/>
          <w:sz w:val="24"/>
          <w:szCs w:val="24"/>
          <w:shd w:val="clear" w:color="auto" w:fill="FFFFFF"/>
        </w:rPr>
        <w:t xml:space="preserve"> </w:t>
      </w:r>
      <w:r w:rsidR="00754BEF" w:rsidRPr="003C56DC">
        <w:rPr>
          <w:rFonts w:ascii="Times New Roman" w:hAnsi="Times New Roman" w:cs="Times New Roman"/>
          <w:sz w:val="24"/>
          <w:szCs w:val="24"/>
          <w:shd w:val="clear" w:color="auto" w:fill="FFFFFF"/>
        </w:rPr>
        <w:fldChar w:fldCharType="begin" w:fldLock="1"/>
      </w:r>
      <w:r w:rsidR="00754BEF" w:rsidRPr="003C56DC">
        <w:rPr>
          <w:rFonts w:ascii="Times New Roman" w:hAnsi="Times New Roman" w:cs="Times New Roman"/>
          <w:sz w:val="24"/>
          <w:szCs w:val="24"/>
          <w:shd w:val="clear" w:color="auto" w:fill="FFFFFF"/>
        </w:rPr>
        <w:instrText>ADDIN CSL_CITATION {"citationItems":[{"id":"ITEM-1","itemData":{"abstract":"Energy generated from environmentally friendly, cost-effective solar cells is a key aspect for developing a clean renewable-energy economy. Non-toxic and Earth-abundant materials with high absorption coefficient (&gt;105 cm−1) and optimal bandgap (1–1.5 eV) have received great attention as photovoltaic (PV) absorber layers during the last few decades. Among them, antimony selenide (Sb2Se3) has been a promising PV absorber, with steadily increasing power-conversion efficiency (PCE) compared to other emerging compounds. Very recent studies showed that high-quality ZnO:Al/ZnO/CdS/TiO2/Sb2Se3/MoSe2/Mo devices with PCE of 9.2% can be fabricated using cost-effective novel compounds. Considering these recent advances, this article provides an overview of the material properties of Sb2Se3 thin films and the recent progress made with Sb2Se3-based solar cells. Analysis of Sb2Se3-based thin-film solar cells has also shown that the devices have relatively good light management due to their suitable bandgap and high absorption coefficient, whereas carrier management, i.e. collection efficiency of photo-generated carriers, needs significant improvement. Overall, this study provides background knowledge on material properties and device performance and suggests main research directions to overcome the limiting factors of solar cell performance.","author":[{"dropping-particle":"","family":"BP","given":"","non-dropping-particle":"","parse-names":false,"suffix":""}],"container-title":"BP Energy Outlook","id":"ITEM-1","issued":{"date-parts":[["2021"]]},"page":"72","title":"Statistical Review of World Energy globally consistent data on world energy markets and authoritative publications in the field of energy","type":"article-journal","volume":"70"},"uris":["http://www.mendeley.com/documents/?uuid=a6988b04-adfb-49d7-91b8-72a977032da0"]}],"mendeley":{"formattedCitation":"[7]","plainTextFormattedCitation":"[7]","previouslyFormattedCitation":"[7]"},"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[7]</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w:t>
      </w:r>
    </w:p>
    <w:p w14:paraId="64A92438" w14:textId="57DFE658" w:rsidR="004F32E4" w:rsidRPr="003C56DC" w:rsidRDefault="004F32E4" w:rsidP="003C56DC">
      <w:pPr>
        <w:shd w:val="clear" w:color="auto" w:fill="FFFFFF" w:themeFill="background1"/>
        <w:spacing w:after="0" w:line="360" w:lineRule="auto"/>
        <w:ind w:firstLine="480"/>
        <w:jc w:val="both"/>
        <w:rPr>
          <w:rFonts w:ascii="Times New Roman" w:hAnsi="Times New Roman" w:cs="Times New Roman"/>
          <w:sz w:val="24"/>
          <w:szCs w:val="24"/>
          <w:shd w:val="clear" w:color="auto" w:fill="FFFFFF"/>
        </w:rPr>
      </w:pPr>
      <w:r w:rsidRPr="003C56DC">
        <w:rPr>
          <w:rFonts w:ascii="Times New Roman" w:hAnsi="Times New Roman" w:cs="Times New Roman"/>
          <w:sz w:val="24"/>
          <w:szCs w:val="24"/>
          <w:shd w:val="clear" w:color="auto" w:fill="FFFFFF"/>
        </w:rPr>
        <w:t>In 2020, fossil fuels, renewable sources, and nuclear power accounted for about 83.1%, 12.6%, and 4.3% of world energy use, respectively</w:t>
      </w:r>
      <w:r w:rsidR="00754BEF" w:rsidRPr="003C56DC">
        <w:rPr>
          <w:rFonts w:ascii="Times New Roman" w:hAnsi="Times New Roman" w:cs="Times New Roman"/>
          <w:sz w:val="24"/>
          <w:szCs w:val="24"/>
          <w:shd w:val="clear" w:color="auto" w:fill="FFFFFF"/>
        </w:rPr>
        <w:t xml:space="preserve"> </w:t>
      </w:r>
      <w:r w:rsidR="00754BEF" w:rsidRPr="003C56DC">
        <w:rPr>
          <w:rFonts w:ascii="Times New Roman" w:hAnsi="Times New Roman" w:cs="Times New Roman"/>
          <w:sz w:val="24"/>
          <w:szCs w:val="24"/>
          <w:shd w:val="clear" w:color="auto" w:fill="FFFFFF"/>
        </w:rPr>
        <w:fldChar w:fldCharType="begin" w:fldLock="1"/>
      </w:r>
      <w:r w:rsidR="00754BEF" w:rsidRPr="003C56DC">
        <w:rPr>
          <w:rFonts w:ascii="Times New Roman" w:hAnsi="Times New Roman" w:cs="Times New Roman"/>
          <w:sz w:val="24"/>
          <w:szCs w:val="24"/>
          <w:shd w:val="clear" w:color="auto" w:fill="FFFFFF"/>
        </w:rPr>
        <w:instrText>ADDIN CSL_CITATION {"citationItems":[{"id":"ITEM-1","itemData":{"ISBN":"978-92-63-11290-3","abstract":"The release of the World Meteorological Organization State of the Global Climate 2021 report comes a few months after the release of the Working Group I, II and III contributions to the Sixth Assessment Report of the Intergovernmental Panel on Climate Change (IPCC). The present WMO report provides an update on the annual state of the climate observed in the year 2021, and shows continued trends (also reported in the IPCC reports) in terms of key indicators. These include concentrations of greenhouse gases, global annual mean surface temperature, global mean sea level, ocean heat content, ocean acidification, sea-ice extent and changes in mass of the ice sheets and glaciers. While the key indicators show that climate continues to change, information on socioeconomic impacts highlights the vulnerability of populations to current weather and climate events. Loss and damages of more than US$ 100 billion, as well as severe impacts on food security and humanitarian aspects due to high-impact weather and climate events have been reported. The increase in atmospheric concentration of CO2 from 2019 to 2020 was slightly lower than that observed from 2018 to 2019, but higher than the average annual growth rate over the last decade. This is despite a decrease in fossil fuel CO2 emissions of approximately 5.6% in 2020 due to restrictions related to the COVID-19 pandemic. Stabilizing global mean temperature at 1.5 °C to 2 °C above pre-industrial (1850–1900) levels by the end of this century will require an ambitious reduction of greenhouse gas emissions, which must accelerate during this decade. Early warning systems are critically required across sectors for climate adaptation. However, less than half the Members report having early warning systems in place. WMO and its Members are working closely to substantially improve this situation in the near future.","author":[{"dropping-particle":"","family":"WMO","given":"","non-dropping-particle":"","parse-names":false,"suffix":""}],"container-title":"World Meteorological Organization","id":"ITEM-1","issue":"1290","issued":{"date-parts":[["2022"]]},"number-of-pages":"57","title":"State of the Global Climate 2021","type":"book"},"uris":["http://www.mendeley.com/documents/?uuid=b9ddc19e-5a11-4712-952f-e404fb95b71f"]},{"id":"ITEM-2","itemData":{"abstract":"Energy generated from environmentally friendly, cost-effective solar cells is a key aspect for developing a clean renewable-energy economy. Non-toxic and Earth-abundant materials with high absorption coefficient (&gt;105 cm−1) and optimal bandgap (1–1.5 eV) have received great attention as photovoltaic (PV) absorber layers during the last few decades. Among them, antimony selenide (Sb2Se3) has been a promising PV absorber, with steadily increasing power-conversion efficiency (PCE) compared to other emerging compounds. Very recent studies showed that high-quality ZnO:Al/ZnO/CdS/TiO2/Sb2Se3/MoSe2/Mo devices with PCE of 9.2% can be fabricated using cost-effective novel compounds. Considering these recent advances, this article provides an overview of the material properties of Sb2Se3 thin films and the recent progress made with Sb2Se3-based solar cells. Analysis of Sb2Se3-based thin-film solar cells has also shown that the devices have relatively good light management due to their suitable bandgap and high absorption coefficient, whereas carrier management, i.e. collection efficiency of photo-generated carriers, needs significant improvement. Overall, this study provides background knowledge on material properties and device performance and suggests main research directions to overcome the limiting factors of solar cell performance.","author":[{"dropping-particle":"","family":"BP","given":"","non-dropping-particle":"","parse-names":false,"suffix":""}],"container-title":"BP Energy Outlook","id":"ITEM-2","issued":{"date-parts":[["2021"]]},"page":"72","title":"Statistical Review of World Energy globally consistent data on world energy markets and authoritative publications in the field of energy","type":"article-journal","volume":"70"},"uris":["http://www.mendeley.com/documents/?uuid=a6988b04-adfb-49d7-91b8-72a977032da0"]}],"mendeley":{"formattedCitation":"[2,7]","plainTextFormattedCitation":"[2,7]","previouslyFormattedCitation":"[2,7]"},"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[2,7]</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 Within the renewable category hydropower dominated (6.86%), followed by wind (2.90%), solar (1.54%), and other renewables (1.26%). Bioenergy (~0.55%) and geothermal (~0.13%) energy are primary components of the other renewables category. Wind and solar energy are considered to have the most potential for rapid, large-scale expansion but at some point, they will probably be constrained by metal ore and land availability</w:t>
      </w:r>
      <w:r w:rsidR="00754BEF" w:rsidRPr="003C56DC">
        <w:rPr>
          <w:rFonts w:ascii="Times New Roman" w:hAnsi="Times New Roman" w:cs="Times New Roman"/>
          <w:sz w:val="24"/>
          <w:szCs w:val="24"/>
          <w:shd w:val="clear" w:color="auto" w:fill="FFFFFF"/>
        </w:rPr>
        <w:t xml:space="preserve"> </w:t>
      </w:r>
      <w:r w:rsidR="00754BEF" w:rsidRPr="003C56DC">
        <w:rPr>
          <w:rFonts w:ascii="Times New Roman" w:hAnsi="Times New Roman" w:cs="Times New Roman"/>
          <w:sz w:val="24"/>
          <w:szCs w:val="24"/>
          <w:shd w:val="clear" w:color="auto" w:fill="FFFFFF"/>
        </w:rPr>
        <w:fldChar w:fldCharType="begin" w:fldLock="1"/>
      </w:r>
      <w:r w:rsidR="0003591D" w:rsidRPr="003C56DC">
        <w:rPr>
          <w:rFonts w:ascii="Times New Roman" w:hAnsi="Times New Roman" w:cs="Times New Roman"/>
          <w:sz w:val="24"/>
          <w:szCs w:val="24"/>
          <w:shd w:val="clear" w:color="auto" w:fill="FFFFFF"/>
        </w:rPr>
        <w:instrText>ADDIN CSL_CITATION {"citationItems":[{"id":"ITEM-1","itemData":{"DOI":"10.5822/978-1-61091-780-3","abstract":"The next few decades will see a profound energy transformation throughout the world. By the end of the century (and perhaps sooner), we will shift from fossil fuel dependence to rely primarily on renewable sources like solar, wind, biomass, and geothermal power. Driven by the need to avert catastrophic climate change and by the depletion of easily accessible oil, coal, and natural gas, this transformation will entail a major shift in how we live. What might a 100% renewable future look like? Which technologies will play a crucial role in our energy future? What challenges will we face in this transition? And how can we make sure our new system is just and equitable? In Our Renewable Future, energy expert Richard Heinberg and scientist David Fridley explore the challenges and opportunities presented by the shift to renewable energy. Beginning with a comprehensive overview of our current energy system, the authors survey issues of energy supply and demand in key sectors of the economy, including electricity generation, transportation, buildings, and manufacturing. In their detailed review of each sector, the authors examine the most crucial challenges we face, from intermittency in fuel sources to energy storage and grid redesign. The book concludes with a discussion of energy and equity and a summary of key lessons and steps forward at the individual, community, and national level. The transition to clean energy will not be a simple matter of replacing coal with wind power or oil with solar; it will require us to adapt our energy usage as dramatically as we adapt our energy sources. Our Renewable Future is a clear-eyed and urgent guide to this transformation that will be a crucial resource for policymakers and energy activists.","author":[{"dropping-particle":"","family":"Heinberg","given":"Richard","non-dropping-particle":"","parse-names":false,"suffix":""},{"dropping-particle":"","family":"Fridley","given":"David","non-dropping-particle":"","parse-names":false,"suffix":""}],"container-title":"Our Renewable Future","id":"ITEM-1","issued":{"date-parts":[["2016"]]},"title":"Our Renewable Future","type":"article-journal"},"uris":["http://www.mendeley.com/documents/?uuid=497542a7-18e0-4886-8c0b-05efd1a3ea5d"]},{"id":"ITEM-2","itemData":{"DOI":"10.1080/13563467.2019.1598964","ISSN":"1356-3467","author":[{"dropping-particle":"","family":"Hickel","given":"Jason","non-dropping-particle":"","parse-names":false,"suffix":""},{"dropping-particle":"","family":"Kallis","given":"Giorgos","non-dropping-particle":"","parse-names":false,"suffix":""}],"container-title":"New Political Economy","id":"ITEM-2","issue":"0","issued":{"date-parts":[["2019"]]},"page":"1-18","publisher":"Taylor &amp; Francis","title":"Is Green Growth Possible ? Is Green Growth Possible ?","type":"article-journal","volume":"0"},"uris":["http://www.mendeley.com/documents/?uuid=08529b1c-9d41-4e96-8c78-68d2ff173b51"]},{"id":"ITEM-3","itemData":{"abstract":"The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zero.","author":[{"dropping-particle":"","family":"International Energy Agency","given":"","non-dropping-particle":"","parse-names":false,"suffix":""}],"container-title":"International Energy Agency","id":"ITEM-3","issued":{"date-parts":[["2021"]]},"page":"224","title":"Net Zero by 2050: A Roadmap for the Global Energy Sector","type":"article-journal"},"uris":["http://www.mendeley.com/documents/?uuid=445455ad-439f-4ccc-a521-52dd1c2f44ab"]}],"mendeley":{"formattedCitation":"[10–12]","plainTextFormattedCitation":"[10–12]","previouslyFormattedCitation":"[10–12]"},"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[10–12]</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 xml:space="preserve">. Although hydroelectric, biofuels, geothermal, and tidal are important renewable energy sources, at present their expansion potential is low due to factors involving either their restricted geographic distribution, large land requirements, lack of availability of undeveloped sites, and/or unsolved technical issues related to their implementation </w:t>
      </w:r>
      <w:r w:rsidR="00754BEF" w:rsidRPr="003C56DC">
        <w:rPr>
          <w:rFonts w:ascii="Times New Roman" w:hAnsi="Times New Roman" w:cs="Times New Roman"/>
          <w:sz w:val="24"/>
          <w:szCs w:val="24"/>
          <w:shd w:val="clear" w:color="auto" w:fill="FFFFFF"/>
        </w:rPr>
        <w:fldChar w:fldCharType="begin" w:fldLock="1"/>
      </w:r>
      <w:r w:rsidR="0003591D" w:rsidRPr="003C56DC">
        <w:rPr>
          <w:rFonts w:ascii="Times New Roman" w:hAnsi="Times New Roman" w:cs="Times New Roman"/>
          <w:sz w:val="24"/>
          <w:szCs w:val="24"/>
          <w:shd w:val="clear" w:color="auto" w:fill="FFFFFF"/>
        </w:rPr>
        <w:instrText>ADDIN CSL_CITATION {"citationItems":[{"id":"ITEM-1","itemData":{"DOI":"10.5822/978-1-61091-780-3","abstract":"The next few decades will see a profound energy transformation throughout the world. By the end of the century (and perhaps sooner), we will shift from fossil fuel dependence to rely primarily on renewable sources like solar, wind, biomass, and geothermal power. Driven by the need to avert catastrophic climate change and by the depletion of easily accessible oil, coal, and natural gas, this transformation will entail a major shift in how we live. What might a 100% renewable future look like? Which technologies will play a crucial role in our energy future? What challenges will we face in this transition? And how can we make sure our new system is just and equitable? In Our Renewable Future, energy expert Richard Heinberg and scientist David Fridley explore the challenges and opportunities presented by the shift to renewable energy. Beginning with a comprehensive overview of our current energy system, the authors survey issues of energy supply and demand in key sectors of the economy, including electricity generation, transportation, buildings, and manufacturing. In their detailed review of each sector, the authors examine the most crucial challenges we face, from intermittency in fuel sources to energy storage and grid redesign. The book concludes with a discussion of energy and equity and a summary of key lessons and steps forward at the individual, community, and national level. The transition to clean energy will not be a simple matter of replacing coal with wind power or oil with solar; it will require us to adapt our energy usage as dramatically as we adapt our energy sources. Our Renewable Future is a clear-eyed and urgent guide to this transformation that will be a crucial resource for policymakers and energy activists.","author":[{"dropping-particle":"","family":"Heinberg","given":"Richard","non-dropping-particle":"","parse-names":false,"suffix":""},{"dropping-particle":"","family":"Fridley","given":"David","non-dropping-particle":"","parse-names":false,"suffix":""}],"container-title":"Our Renewable Future","id":"ITEM-1","issued":{"date-parts":[["2016"]]},"title":"Our Renewable Future","type":"article-journal"},"uris":["http://www.mendeley.com/documents/?uuid=497542a7-18e0-4886-8c0b-05efd1a3ea5d"]},{"id":"ITEM-2","itemData":{"DOI":"10.1080/13563467.2019.1598964","ISSN":"1356-3467","author":[{"dropping-particle":"","family":"Hickel","given":"Jason","non-dropping-particle":"","parse-names":false,"suffix":""},{"dropping-particle":"","family":"Kallis","given":"Giorgos","non-dropping-particle":"","parse-names":false,"suffix":""}],"container-title":"New Political Economy","id":"ITEM-2","issue":"0","issued":{"date-parts":[["2019"]]},"page":"1-18","publisher":"Taylor &amp; Francis","title":"Is Green Growth Possible ? Is Green Growth Possible ?","type":"article-journal","volume":"0"},"uris":["http://www.mendeley.com/documents/?uuid=08529b1c-9d41-4e96-8c78-68d2ff173b51"]},{"id":"ITEM-3","itemData":{"abstract":"The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zero.","author":[{"dropping-particle":"","family":"International Energy Agency","given":"","non-dropping-particle":"","parse-names":false,"suffix":""}],"container-title":"International Energy Agency","id":"ITEM-3","issued":{"date-parts":[["2021"]]},"page":"224","title":"Net Zero by 2050: A Roadmap for the Global Energy Sector","type":"article-journal"},"uris":["http://www.mendeley.com/documents/?uuid=445455ad-439f-4ccc-a521-52dd1c2f44ab"]}],"mendeley":{"formattedCitation":"[10–12]","plainTextFormattedCitation":"[10–12]","previouslyFormattedCitation":"[10–12]"},"properties":{"noteIndex":0},"schema":"https://github.com/citation-style-language/schema/raw/master/csl-citation.json"}</w:instrText>
      </w:r>
      <w:r w:rsidR="00754BEF" w:rsidRPr="003C56DC">
        <w:rPr>
          <w:rFonts w:ascii="Times New Roman" w:hAnsi="Times New Roman" w:cs="Times New Roman"/>
          <w:sz w:val="24"/>
          <w:szCs w:val="24"/>
          <w:shd w:val="clear" w:color="auto" w:fill="FFFFFF"/>
        </w:rPr>
        <w:fldChar w:fldCharType="separate"/>
      </w:r>
      <w:r w:rsidR="00754BEF" w:rsidRPr="003C56DC">
        <w:rPr>
          <w:rFonts w:ascii="Times New Roman" w:hAnsi="Times New Roman" w:cs="Times New Roman"/>
          <w:noProof/>
          <w:sz w:val="24"/>
          <w:szCs w:val="24"/>
          <w:shd w:val="clear" w:color="auto" w:fill="FFFFFF"/>
        </w:rPr>
        <w:t>[10–12]</w:t>
      </w:r>
      <w:r w:rsidR="00754BEF" w:rsidRPr="003C56DC">
        <w:rPr>
          <w:rFonts w:ascii="Times New Roman" w:hAnsi="Times New Roman" w:cs="Times New Roman"/>
          <w:sz w:val="24"/>
          <w:szCs w:val="24"/>
          <w:shd w:val="clear" w:color="auto" w:fill="FFFFFF"/>
        </w:rPr>
        <w:fldChar w:fldCharType="end"/>
      </w:r>
      <w:r w:rsidRPr="003C56DC">
        <w:rPr>
          <w:rFonts w:ascii="Times New Roman" w:hAnsi="Times New Roman" w:cs="Times New Roman"/>
          <w:sz w:val="24"/>
          <w:szCs w:val="24"/>
          <w:shd w:val="clear" w:color="auto" w:fill="FFFFFF"/>
        </w:rPr>
        <w:t>.</w:t>
      </w:r>
    </w:p>
    <w:p w14:paraId="365B8F41" w14:textId="1DD4AD1A"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Biogas</w:t>
      </w:r>
    </w:p>
    <w:p w14:paraId="40DF4685" w14:textId="00F4B998" w:rsidR="003A0F08" w:rsidRPr="003C56DC" w:rsidRDefault="003A0F08" w:rsidP="003C56DC">
      <w:pPr>
        <w:shd w:val="clear" w:color="auto" w:fill="FFFFFF" w:themeFill="background1"/>
        <w:spacing w:after="300" w:line="360" w:lineRule="auto"/>
        <w:jc w:val="both"/>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Biogas is indeed a green and sustainable technology that can contribute to the replacement of fossil fuels. It is produced through the anaerobic digestion of organic waste materials, such as agricultural residues, animal manure, and food waste. This process breaks down the organic matter and produces a mixture of gases, primarily methane (CH4) and carbon dioxide (CO2), which can be used as a renewable energy source</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{"citationItems":[{"id":"ITEM-1","itemData":{"DOI":"10.1385/ABAB:109:1-3:95","ISSN":"02732289","PMID":"12794286","abstract":"Centralized biogas plants in Denmark codigest mainly manure, together with other organic waste such as industrial organic waste, source sorted household waste, and sewage sludge. Today 22 large-scale centralized biogas plants are in operation in Denmark, and in 2001 they treated approx 1.2 million tons of manure as well as approx 300,000 of organic industrial waste. Besides the centralized biogas plants there are a large number of smaller farm-scale plants. The long-term energy plan objective is a 10-fold increase of the 1998 level of biogas production by the year 2020. This will help to achieve a target of 12-14% of the national energy consumption being provided by renewable energy by the year 2005 and 33% by the year 2030. A major part of this increase is expected to come from new centralized biogas plants. The annual potential for biogas production from biomass resources available in Denmark is estimated to be approx 30 Peta Joule (PJ). Manure comprises about 80% of this potential. Special emphasis has been paid to establishing good sanitation and pathogen reduction of the digested material, to avoid risk of spreading pathogens when applying the digested manure as fertilizer to agricultural soils.","author":[{"dropping-particle":"","family":"Angelidaki","given":"I.","non-dropping-particle":"","parse-names":false,"suffix":""},{"dropping-particle":"","family":"Ellegaard","given":"L.","non-dropping-particle":"","parse-names":false,"suffix":""}],"container-title":"Applied Biochemistry and Biotechnology - Part A Enzyme Engineering and Biotechnology","id":"ITEM-1","issue":"1-3","issued":{"date-parts":[["2003"]]},"page":"95-105","title":"Codigestion of manure and organic wastes in centralized biogas plants: Status and future trends","type":"article-journal","volume":"109"},"uris":["http://www.mendeley.com/documents/?uuid=400ddece-9b5d-4245-80ae-758f82a563e6"]}],"mendeley":{"formattedCitation":"[13]","plainTextFormattedCitation":"[13]","previouslyFormattedCitation":"[13]"},"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[13]</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 xml:space="preserve">he status and future trends of </w:t>
      </w:r>
      <w:proofErr w:type="spellStart"/>
      <w:r w:rsidRPr="003C56DC">
        <w:rPr>
          <w:rFonts w:ascii="Times New Roman" w:eastAsia="Times New Roman" w:hAnsi="Times New Roman" w:cs="Times New Roman"/>
          <w:sz w:val="24"/>
          <w:szCs w:val="24"/>
          <w:lang w:eastAsia="en-IN"/>
        </w:rPr>
        <w:t>codigestion</w:t>
      </w:r>
      <w:proofErr w:type="spellEnd"/>
      <w:r w:rsidRPr="003C56DC">
        <w:rPr>
          <w:rFonts w:ascii="Times New Roman" w:eastAsia="Times New Roman" w:hAnsi="Times New Roman" w:cs="Times New Roman"/>
          <w:sz w:val="24"/>
          <w:szCs w:val="24"/>
          <w:lang w:eastAsia="en-IN"/>
        </w:rPr>
        <w:t xml:space="preserve">, which is the process of combining different organic wastes to enhance biogas </w:t>
      </w:r>
      <w:r w:rsidRPr="003C56DC">
        <w:rPr>
          <w:rFonts w:ascii="Times New Roman" w:eastAsia="Times New Roman" w:hAnsi="Times New Roman" w:cs="Times New Roman"/>
          <w:sz w:val="24"/>
          <w:szCs w:val="24"/>
          <w:lang w:eastAsia="en-IN"/>
        </w:rPr>
        <w:lastRenderedPageBreak/>
        <w:t>production. It highlights the potential of biogas plants in utilizing various waste streams and reducing dependence on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10.1080/15567030802089565","author":[{"dropping-particle":"","family":"Balat","given":"M","non-dropping-particle":"","parse-names":false,"suffix":""},{"dropping-particle":"","family":"Balat","given":"H","non-dropping-particle":"","parse-names":false,"suffix":""}],"container-title":"Energy Sources Part A-recovery Utilization and Environmental Effects","id":"ITEM-1","issued":{"date-parts":[["2009","8","14"]]},"page":"1280-1293","title":"Biogas as a Renewable Energy Source—A Review","type":"article-journal","volume":"31"},"uris":["http://www.mendeley.com/documents/?uuid=f4e844c6-84e7-4bc4-b046-2ce8812ab28c"]}],"mendeley":{"formattedCitation":"[14]","plainTextFormattedCitation":"[14]","previouslyFormattedCitation":"[14]"},"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[14]</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A</w:t>
      </w:r>
      <w:r w:rsidRPr="003C56DC">
        <w:rPr>
          <w:rFonts w:ascii="Times New Roman" w:eastAsia="Times New Roman" w:hAnsi="Times New Roman" w:cs="Times New Roman"/>
          <w:sz w:val="24"/>
          <w:szCs w:val="24"/>
          <w:lang w:eastAsia="en-IN"/>
        </w:rPr>
        <w:t xml:space="preserve"> biogas production and its potential as a renewable energy source covers different aspects of biogas technology, including feedstock selection, process optimization, and utilization options. It emphasizes the environmental benefits and the role of biogas in replacing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The</w:t>
      </w:r>
      <w:r w:rsidRPr="003C56DC">
        <w:rPr>
          <w:rFonts w:ascii="Times New Roman" w:eastAsia="Times New Roman" w:hAnsi="Times New Roman" w:cs="Times New Roman"/>
          <w:sz w:val="24"/>
          <w:szCs w:val="24"/>
          <w:lang w:eastAsia="en-IN"/>
        </w:rPr>
        <w:t xml:space="preserve"> comprehensive life cycle assessment of biogas supply chains in the United States. It evaluates the environmental impacts associated with biogas production, transportation, and utilization, compared to conventional fossil fuel systems. The findings highlight the potential of biogas to significantly reduce greenhouse gas emissions and other environmental burdens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 It discusses the different types of feedstocks, process configurations, and digester technologies used in biogas plants. It emphasizes the sustainable aspects of biogas production and its potential as an alternative to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{"citationItems":[{"id":"ITEM-1","itemData":{"DOI":"10.1016/j.ijfoodmicro.2022.109719","ISSN":"1879-3460 (Electronic)","PMID":"35605458","abstract":"Massive utilizations of chemical fertilizer in agriculture sector to improve the  farming productivity have created increasing possibility of environmental damages. Severe human health issues, global warming, poor fertility and high cost of soil maintenance are the major side effects of the utilizations of inorganic fertilizers and needs immediate attention. To overcome these issues, agriculture farming has been shifted towards the development of organic fertilizers using natural bio-resources. Organic fertilizers have several advantages like low-cost, being produced from the renewable resources and are highly efficient to improve the productivity of soil and agriculture product, rapidly. Additionally, bio-fertilizers not only increase the production, nutrients and organic matter but also neutralize the harmful impacts caused by the chemical fertilizers due to the potential combination of the microorganisms with organic wastes. Food wastes have tremendous potential to enhance the production of bio-fertilizers because these wastes are present in bio-degradable forms and may efficiently accelerate the activity of the microbial metabolic. Thus, the present review summarizes an overview of the production strategy of bio-fertilizers using the combination of food wastes and microorganisms. Further, in depth discussion have been done about the microbial digestion of food wastes to produce biofertilizer along with discussions about the possible mechanisms involved therein. Plant growth promoting microorganisms and their mechanisms have been also analyzed in the present review along with the existing limitations and sustainable future prospective.","author":[{"dropping-particle":"","family":"Areeshi","given":"Mohammed Y","non-dropping-particle":"","parse-names":false,"suffix":""}],"container-title":"International journal of food microbiology","id":"ITEM-1","issued":{"date-parts":[["2022","8"]]},"language":"eng","page":"109719","publisher-place":"Netherlands","title":"Recent advances on organic biofertilizer production from anaerobic fermentation  of food waste: Overview.","type":"article-journal","volume":"374"},"uris":["http://www.mendeley.com/documents/?uuid=275cc922-befd-4be0-8403-07c57a37da48"]}],"mendeley":{"formattedCitation":"[16]","plainTextFormattedCitation":"[16]","previouslyFormattedCitation":"[16]"},"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[16]</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he global biogas market, policy incentives, technological advancements, and potential future applications. It emphasizes the role of biogas in reducing greenhouse gas emissions and transitioning to a more sustainable energy system</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{"citationItems":[{"id":"ITEM-1","itemData":{"DOI":"10.1155/2022/8750221","ISSN":"2356-735X","abstract":"Biogas is competitive, viable, and generally a sustainable energy resource due to abundant supply of cheap feedstocks and availability of a wide range of biogas applications in heating, power generation, fuel, and raw materials for further processing and production of sustainable chemicals including hydrogen, and carbon dioxide and biofuels. The capacity of biogas based power has been growing rapidly for the past decade with global biogas based electricity generation capacity increasing from 65&amp;#x2009;GW in 2010 to 120&amp;#x2009;GW in 2019 representing a 90&amp;#x0025; growth. This study presents the pathways for use of biogas in the energy transition by application in power generation and production of fuels. Diesel engines, petrol or gasoline engines, turbines, microturbines, and Stirling engines offer feasible options for biogas to electricity production as prme movers. Biogas fuel can be used in both spark ignition (petrol) and compression ignition engines (diesel) with varying degrees of modifications on conventional internal combustion engines. In internal combustion engines, the dual-fuel mode can be used with little or no modification compared to full engine conversion to gas engines which may require major modifications. Biogas can also be used in fuel cells for direct conversion to electricity and raw material for hydrogen and transport fuel production which is a significant pathway to sustainable energy development. Enriched biogas or biomethane can be containerized or injected to gas supply mains for use as renewable natural gas. Biogas can be used directly for cooking and lighting as well as for power generation and for production of Fischer-Tropsch (FT) fuels. Upgraded biogas/biomethane which can also be used to process methanol fuel. Compressed biogas (CBG) and liquid biogas (LBG) can be reversibly made from biomethane for various direct and indirect applications as fuels for transport and power generation. Biogas can be used in processes like combined heat and power generation from biogas (CHP), trigeneration, and compression to Bio-CNG and bio-LPG for cleaned biogas/biomethane. Fuels are manufactured from biogas by cleaning, and purification before reforming to syngas, and partial oxidation to produce methanol which can be used to make gasoline. Syngas is used in production of alcohols, jet fuels, diesel, and gasoline through the Fischer-Tropsch process.","author":[{"dropping-particle":"","family":"Kabeyi","given":"Moses Jeremiah Barasa","non-dropping-particle":"","parse-names":false,"suffix":""},{"dropping-particle":"","family":"Olanrewaju","given":"Oludolapo Akanni","non-dropping-particle":"","parse-names":false,"suffix":""}],"container-title":"Journal of Energy","editor":[{"dropping-particle":"","family":"Messineo","given":"Antonio","non-dropping-particle":"","parse-names":false,"suffix":""}],"id":"ITEM-1","issued":{"date-parts":[["2022"]]},"page":"8750221","publisher":"Hindawi","title":"Biogas Production and Applications in the Sustainable Energy Transition","type":"article-journal","volume":"2022"},"uris":["http://www.mendeley.com/documents/?uuid=e5caaedd-60e1-44fe-aeb5-647c84262601"]}],"mendeley":{"formattedCitation":"[15]","plainTextFormattedCitation":"[15]","previouslyFormattedCitation":"[15]"},"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[15]</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xml:space="preserve">. </w:t>
      </w:r>
    </w:p>
    <w:p w14:paraId="71939444" w14:textId="221E07CC"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Bio coal</w:t>
      </w:r>
    </w:p>
    <w:p w14:paraId="1176FB13" w14:textId="66288E63" w:rsidR="003A0F08" w:rsidRPr="003C56DC" w:rsidRDefault="003A0F08" w:rsidP="003C56DC">
      <w:pPr>
        <w:shd w:val="clear" w:color="auto" w:fill="FFFFFF" w:themeFill="background1"/>
        <w:spacing w:after="300" w:line="360" w:lineRule="auto"/>
        <w:jc w:val="both"/>
        <w:rPr>
          <w:rFonts w:ascii="Times New Roman" w:eastAsia="Times New Roman" w:hAnsi="Times New Roman" w:cs="Times New Roman"/>
          <w:sz w:val="24"/>
          <w:szCs w:val="24"/>
          <w:lang w:eastAsia="en-IN"/>
        </w:rPr>
      </w:pPr>
      <w:r w:rsidRPr="003C56DC">
        <w:rPr>
          <w:rFonts w:ascii="Times New Roman" w:eastAsia="Times New Roman" w:hAnsi="Times New Roman" w:cs="Times New Roman"/>
          <w:sz w:val="24"/>
          <w:szCs w:val="24"/>
          <w:lang w:eastAsia="en-IN"/>
        </w:rPr>
        <w:t xml:space="preserve">Bio coal, also known as torrefied biomass or </w:t>
      </w:r>
      <w:proofErr w:type="spellStart"/>
      <w:r w:rsidRPr="003C56DC">
        <w:rPr>
          <w:rFonts w:ascii="Times New Roman" w:eastAsia="Times New Roman" w:hAnsi="Times New Roman" w:cs="Times New Roman"/>
          <w:sz w:val="24"/>
          <w:szCs w:val="24"/>
          <w:lang w:eastAsia="en-IN"/>
        </w:rPr>
        <w:t>biocoal</w:t>
      </w:r>
      <w:proofErr w:type="spellEnd"/>
      <w:r w:rsidRPr="003C56DC">
        <w:rPr>
          <w:rFonts w:ascii="Times New Roman" w:eastAsia="Times New Roman" w:hAnsi="Times New Roman" w:cs="Times New Roman"/>
          <w:sz w:val="24"/>
          <w:szCs w:val="24"/>
          <w:lang w:eastAsia="en-IN"/>
        </w:rPr>
        <w:t>, is a type of solid fuel produced through the torrefaction process of biomass materials. It has gained attention as a green and ecologically sustainable technology that can potentially replace fossil fuels. Here are some citations that discuss the use of bio coal as an alternative to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{"citationItems":[{"id":"ITEM-1","itemData":{"DOI":"10.1126/sciadv.aay0748","ISSN":"2375-2548 (Electronic)","PMID":"31922006","abstract":"Development of renewable energy is essential to mitigating the fossil fuel  shortage and climate change issues. Here, we propose to produce a new type of energy, bio-coal, via a fast pyrolysis coupled with atmospheric distillation process. The high heating values of the as-prepared bio-coals from the representative biomass are within 25.4 to 28.2 MJ kg(-1), which are comparable to that of the commercial coals. Life cycle assessment further shows that the bio-coal production process could achieve net positive energy, financial, and environmental benefits. By using available biomass wastes as feedstock, China is expected to have a total bio-coal production of 402 million tons of standard coal equivalent, which is equal to 13% of national coal consumption. It would grant China an opportunity to additionally cut 738 million tons of CO(2) emission by substituting an equal amount of coal with bio-coal in 2030.","author":[{"dropping-particle":"","family":"Cheng","given":"Bin-Hai","non-dropping-particle":"","parse-names":false,"suffix":""},{"dropping-particle":"","family":"Huang","given":"Bao-Cheng","non-dropping-particle":"","parse-names":false,"suffix":""},{"dropping-particle":"","family":"Zhang","given":"Rui","non-dropping-particle":"","parse-names":false,"suffix":""},{"dropping-particle":"","family":"Chen","given":"Ya-Li","non-dropping-particle":"","parse-names":false,"suffix":""},{"dropping-particle":"","family":"Jiang","given":"Shun-Feng","non-dropping-particle":"","parse-names":false,"suffix":""},{"dropping-particle":"","family":"Lu","given":"Yan","non-dropping-particle":"","parse-names":false,"suffix":""},{"dropping-particle":"","family":"Zhang","given":"Xue-Song","non-dropping-particle":"","parse-names":false,"suffix":""},{"dropping-particle":"","family":"Jiang","given":"Hong","non-dropping-particle":"","parse-names":false,"suffix":""},{"dropping-particle":"","family":"Yu","given":"Han-Qing","non-dropping-particle":"","parse-names":false,"suffix":""}],"container-title":"Science advances","id":"ITEM-1","issue":"1","issued":{"date-parts":[["2020","1"]]},"language":"eng","page":"eaay0748","publisher-place":"United States","title":"Bio-coal: A renewable and massively producible fuel from lignocellulosic biomass.","type":"article-journal","volume":"6"},"uris":["http://www.mendeley.com/documents/?uuid=c450e123-2e59-4149-b3b7-c1a8a4279886"]}],"mendeley":{"formattedCitation":"[17]","plainTextFormattedCitation":"[17]","previouslyFormattedCitation":"[17]"},"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[17]</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This study provides an overview of bio coal as a renewable and abundantly available fuel source produced from biomass. It discusses the torrefaction process, properties, and potential applications of bio coal, emphasizing its potential for replacing fossil fuels</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03591D" w:rsidRPr="003C56DC">
        <w:rPr>
          <w:rFonts w:ascii="Times New Roman" w:eastAsia="Times New Roman" w:hAnsi="Times New Roman" w:cs="Times New Roman"/>
          <w:sz w:val="24"/>
          <w:szCs w:val="24"/>
          <w:lang w:eastAsia="en-IN"/>
        </w:rPr>
        <w:instrText>ADDIN CSL_CITATION {"citationItems":[{"id":"ITEM-1","itemData":{"DOI":"10.3389/fenrg.2021.728140","author":[{"dropping-particle":"","family":"Tumuluru","given":"Jaya Shankar","non-dropping-particle":"","parse-names":false,"suffix":""},{"dropping-particle":"","family":"Ghiasi","given":"Bahman","non-dropping-particle":"","parse-names":false,"suffix":""},{"dropping-particle":"","family":"Soelberg","given":"Nick R","non-dropping-particle":"","parse-names":false,"suffix":""},{"dropping-particle":"","family":"Sokhansanj","given":"Shahab","non-dropping-particle":"","parse-names":false,"suffix":""}],"id":"ITEM-1","issue":"September","issued":{"date-parts":[["2021"]]},"page":"1-20","title":"Biomass Torrefaction Process , Product Properties , Reactor Types , and Moving Bed Reactor Design Concepts","type":"article-journal","volume":"9"},"uris":["http://www.mendeley.com/documents/?uuid=aac948d5-2858-4490-8130-06c92a029130"]}],"mendeley":{"formattedCitation":"[18]","plainTextFormattedCitation":"[18]","previouslyFormattedCitation":"[18]"},"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[18]</w:t>
      </w:r>
      <w:r w:rsidR="0003591D" w:rsidRPr="003C56DC">
        <w:rPr>
          <w:rFonts w:ascii="Times New Roman" w:eastAsia="Times New Roman" w:hAnsi="Times New Roman" w:cs="Times New Roman"/>
          <w:sz w:val="24"/>
          <w:szCs w:val="24"/>
          <w:lang w:eastAsia="en-IN"/>
        </w:rPr>
        <w:fldChar w:fldCharType="end"/>
      </w:r>
      <w:r w:rsidR="0003591D" w:rsidRPr="003C56DC">
        <w:rPr>
          <w:rFonts w:ascii="Times New Roman" w:eastAsia="Times New Roman" w:hAnsi="Times New Roman" w:cs="Times New Roman"/>
          <w:sz w:val="24"/>
          <w:szCs w:val="24"/>
          <w:lang w:eastAsia="en-IN"/>
        </w:rPr>
        <w:t>. T</w:t>
      </w:r>
      <w:r w:rsidRPr="003C56DC">
        <w:rPr>
          <w:rFonts w:ascii="Times New Roman" w:eastAsia="Times New Roman" w:hAnsi="Times New Roman" w:cs="Times New Roman"/>
          <w:sz w:val="24"/>
          <w:szCs w:val="24"/>
          <w:lang w:eastAsia="en-IN"/>
        </w:rPr>
        <w:t>he composition and combustion properties of biomass. It discusses how the torrefaction process alters the physical and chemical characteristics of biomass, making it more suitable as a coal substitute in various applications, including power generation</w:t>
      </w:r>
      <w:r w:rsidR="0003591D" w:rsidRPr="003C56DC">
        <w:rPr>
          <w:rFonts w:ascii="Times New Roman" w:eastAsia="Times New Roman" w:hAnsi="Times New Roman" w:cs="Times New Roman"/>
          <w:sz w:val="24"/>
          <w:szCs w:val="24"/>
          <w:lang w:eastAsia="en-IN"/>
        </w:rPr>
        <w:t xml:space="preserve"> </w:t>
      </w:r>
      <w:r w:rsidR="0003591D" w:rsidRPr="003C56DC">
        <w:rPr>
          <w:rFonts w:ascii="Times New Roman" w:eastAsia="Times New Roman" w:hAnsi="Times New Roman" w:cs="Times New Roman"/>
          <w:sz w:val="24"/>
          <w:szCs w:val="24"/>
          <w:lang w:eastAsia="en-IN"/>
        </w:rPr>
        <w:fldChar w:fldCharType="begin" w:fldLock="1"/>
      </w:r>
      <w:r w:rsidR="00DA0F15" w:rsidRPr="003C56DC">
        <w:rPr>
          <w:rFonts w:ascii="Times New Roman" w:eastAsia="Times New Roman" w:hAnsi="Times New Roman" w:cs="Times New Roman"/>
          <w:sz w:val="24"/>
          <w:szCs w:val="24"/>
          <w:lang w:eastAsia="en-IN"/>
        </w:rPr>
        <w:instrText>ADDIN CSL_CITATION {"citationItems":[{"id":"ITEM-1","itemData":{"DOI":"https://doi.org/10.1016/j.jaap.2006.01.002","ISSN":"0165-2370","abstract":"Torrefaction is a thermal treatment step in the relatively low temperature range of 225–300°C, which aims to produce a fuel with increased energy density by decomposing the reactive hemicellulose fraction. The weight loss kinetics for torrefaction of willow, a deciduous wood type, was studied by isothermal thermogravimetry. A two-step reaction in series model was found to give an accurate description. For the two steps, activation energies of 76.0 and 151.7kJ/mol, respectively, and pre-exponential factors of 2.48×104 and 1.10×1010kgkg−1s−1, respectively, were found. The first reaction step has a high solid yield (70–88wt%, decreasing with temperature), whereas less mass is conserved in the second step (41wt%). The fast initial step may be representative for hemicellulose decomposition, whereas the slower subsequent reaction represents cellulose decomposition and secondary charring of hemicellulose fragments. The kinetic model is applied to give recommendations for industrial torrefaction process conditions, notably operating temperature, residence time and particle size.","author":[{"dropping-particle":"","family":"Prins","given":"Mark J","non-dropping-particle":"","parse-names":false,"suffix":""},{"dropping-particle":"","family":"Ptasinski","given":"Krzysztof J","non-dropping-particle":"","parse-names":false,"suffix":""},{"dropping-particle":"","family":"Janssen","given":"Frans J J G","non-dropping-particle":"","parse-names":false,"suffix":""}],"container-title":"Journal of Analytical and Applied Pyrolysis","id":"ITEM-1","issue":"1","issued":{"date-parts":[["2006"]]},"page":"28-34","title":"Torrefaction of wood: Part 1. Weight loss kinetics","type":"article-journal","volume":"77"},"uris":["http://www.mendeley.com/documents/?uuid=7e3a5c2c-fb9e-451e-ad7e-8012eae8c607"]}],"mendeley":{"formattedCitation":"[19]","plainTextFormattedCitation":"[19]","previouslyFormattedCitation":"[19]"},"properties":{"noteIndex":0},"schema":"https://github.com/citation-style-language/schema/raw/master/csl-citation.json"}</w:instrText>
      </w:r>
      <w:r w:rsidR="0003591D" w:rsidRPr="003C56DC">
        <w:rPr>
          <w:rFonts w:ascii="Times New Roman" w:eastAsia="Times New Roman" w:hAnsi="Times New Roman" w:cs="Times New Roman"/>
          <w:sz w:val="24"/>
          <w:szCs w:val="24"/>
          <w:lang w:eastAsia="en-IN"/>
        </w:rPr>
        <w:fldChar w:fldCharType="separate"/>
      </w:r>
      <w:r w:rsidR="0003591D" w:rsidRPr="003C56DC">
        <w:rPr>
          <w:rFonts w:ascii="Times New Roman" w:eastAsia="Times New Roman" w:hAnsi="Times New Roman" w:cs="Times New Roman"/>
          <w:noProof/>
          <w:sz w:val="24"/>
          <w:szCs w:val="24"/>
          <w:lang w:eastAsia="en-IN"/>
        </w:rPr>
        <w:t>[19]</w:t>
      </w:r>
      <w:r w:rsidR="0003591D"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r w:rsidR="0003591D" w:rsidRPr="003C56DC">
        <w:rPr>
          <w:rFonts w:ascii="Times New Roman" w:eastAsia="Times New Roman" w:hAnsi="Times New Roman" w:cs="Times New Roman"/>
          <w:sz w:val="24"/>
          <w:szCs w:val="24"/>
          <w:lang w:eastAsia="en-IN"/>
        </w:rPr>
        <w:t xml:space="preserve"> T</w:t>
      </w:r>
      <w:r w:rsidRPr="003C56DC">
        <w:rPr>
          <w:rFonts w:ascii="Times New Roman" w:eastAsia="Times New Roman" w:hAnsi="Times New Roman" w:cs="Times New Roman"/>
          <w:sz w:val="24"/>
          <w:szCs w:val="24"/>
          <w:lang w:eastAsia="en-IN"/>
        </w:rPr>
        <w:t>he torrefaction of wood, one of the commonly used biomass feedstocks for bio coal production. It investigates the weight loss kinetics during torrefaction, providing insights into the transformation of biomass into a more coal-like material.</w:t>
      </w:r>
      <w:r w:rsidR="00DA0F15"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 xml:space="preserve">This review article discusses the potential of bio-coal briquettes as a viable alternative to conventional coal in solid fuel applications. It evaluates the technical, economic, and environmental aspects of bio coal briquettes and highlights their advantages, including reduced greenhouse gas emissions and enhanced combustion </w:t>
      </w:r>
      <w:r w:rsidRPr="003C56DC">
        <w:rPr>
          <w:rFonts w:ascii="Times New Roman" w:eastAsia="Times New Roman" w:hAnsi="Times New Roman" w:cs="Times New Roman"/>
          <w:sz w:val="24"/>
          <w:szCs w:val="24"/>
          <w:lang w:eastAsia="en-IN"/>
        </w:rPr>
        <w:lastRenderedPageBreak/>
        <w:t>characteristics</w:t>
      </w:r>
      <w:r w:rsidR="00DA0F15" w:rsidRPr="003C56DC">
        <w:rPr>
          <w:rFonts w:ascii="Times New Roman" w:eastAsia="Times New Roman" w:hAnsi="Times New Roman" w:cs="Times New Roman"/>
          <w:sz w:val="24"/>
          <w:szCs w:val="24"/>
          <w:lang w:eastAsia="en-IN"/>
        </w:rPr>
        <w:t xml:space="preserve"> </w:t>
      </w:r>
      <w:r w:rsidR="00DA0F15" w:rsidRPr="003C56DC">
        <w:rPr>
          <w:rFonts w:ascii="Times New Roman" w:eastAsia="Times New Roman" w:hAnsi="Times New Roman" w:cs="Times New Roman"/>
          <w:sz w:val="24"/>
          <w:szCs w:val="24"/>
          <w:lang w:eastAsia="en-IN"/>
        </w:rPr>
        <w:fldChar w:fldCharType="begin" w:fldLock="1"/>
      </w:r>
      <w:r w:rsidR="00DA0F15" w:rsidRPr="003C56DC">
        <w:rPr>
          <w:rFonts w:ascii="Times New Roman" w:eastAsia="Times New Roman" w:hAnsi="Times New Roman" w:cs="Times New Roman"/>
          <w:sz w:val="24"/>
          <w:szCs w:val="24"/>
          <w:lang w:eastAsia="en-IN"/>
        </w:rPr>
        <w:instrText>ADDIN CSL_CITATION {"citationItems":[{"id":"ITEM-1","itemData":{"DOI":"10.1126/sciadv.aay0748","ISSN":"2375-2548 (Electronic)","PMID":"31922006","abstract":"Development of renewable energy is essential to mitigating the fossil fuel  shortage and climate change issues. Here, we propose to produce a new type of energy, bio-coal, via a fast pyrolysis coupled with atmospheric distillation process. The high heating values of the as-prepared bio-coals from the representative biomass are within 25.4 to 28.2 MJ kg(-1), which are comparable to that of the commercial coals. Life cycle assessment further shows that the bio-coal production process could achieve net positive energy, financial, and environmental benefits. By using available biomass wastes as feedstock, China is expected to have a total bio-coal production of 402 million tons of standard coal equivalent, which is equal to 13% of national coal consumption. It would grant China an opportunity to additionally cut 738 million tons of CO(2) emission by substituting an equal amount of coal with bio-coal in 2030.","author":[{"dropping-particle":"","family":"Cheng","given":"Bin-Hai","non-dropping-particle":"","parse-names":false,"suffix":""},{"dropping-particle":"","family":"Huang","given":"Bao-Cheng","non-dropping-particle":"","parse-names":false,"suffix":""},{"dropping-particle":"","family":"Zhang","given":"Rui","non-dropping-particle":"","parse-names":false,"suffix":""},{"dropping-particle":"","family":"Chen","given":"Ya-Li","non-dropping-particle":"","parse-names":false,"suffix":""},{"dropping-particle":"","family":"Jiang","given":"Shun-Feng","non-dropping-particle":"","parse-names":false,"suffix":""},{"dropping-particle":"","family":"Lu","given":"Yan","non-dropping-particle":"","parse-names":false,"suffix":""},{"dropping-particle":"","family":"Zhang","given":"Xue-Song","non-dropping-particle":"","parse-names":false,"suffix":""},{"dropping-particle":"","family":"Jiang","given":"Hong","non-dropping-particle":"","parse-names":false,"suffix":""},{"dropping-particle":"","family":"Yu","given":"Han-Qing","non-dropping-particle":"","parse-names":false,"suffix":""}],"container-title":"Science advances","id":"ITEM-1","issue":"1","issued":{"date-parts":[["2020","1"]]},"language":"eng","page":"eaay0748","publisher-place":"United States","title":"Bio-coal: A renewable and massively producible fuel from lignocellulosic biomass.","type":"article-journal","volume":"6"},"uris":["http://www.mendeley.com/documents/?uuid=c450e123-2e59-4149-b3b7-c1a8a4279886"]}],"mendeley":{"formattedCitation":"[17]","plainTextFormattedCitation":"[17]","previouslyFormattedCitation":"[17]"},"properties":{"noteIndex":0},"schema":"https://github.com/citation-style-language/schema/raw/master/csl-citation.json"}</w:instrText>
      </w:r>
      <w:r w:rsidR="00DA0F15" w:rsidRPr="003C56DC">
        <w:rPr>
          <w:rFonts w:ascii="Times New Roman" w:eastAsia="Times New Roman" w:hAnsi="Times New Roman" w:cs="Times New Roman"/>
          <w:sz w:val="24"/>
          <w:szCs w:val="24"/>
          <w:lang w:eastAsia="en-IN"/>
        </w:rPr>
        <w:fldChar w:fldCharType="separate"/>
      </w:r>
      <w:r w:rsidR="00DA0F15" w:rsidRPr="003C56DC">
        <w:rPr>
          <w:rFonts w:ascii="Times New Roman" w:eastAsia="Times New Roman" w:hAnsi="Times New Roman" w:cs="Times New Roman"/>
          <w:noProof/>
          <w:sz w:val="24"/>
          <w:szCs w:val="24"/>
          <w:lang w:eastAsia="en-IN"/>
        </w:rPr>
        <w:t>[17]</w:t>
      </w:r>
      <w:r w:rsidR="00DA0F15"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r w:rsidR="00DA0F15" w:rsidRPr="003C56DC">
        <w:rPr>
          <w:rFonts w:ascii="Times New Roman" w:eastAsia="Times New Roman" w:hAnsi="Times New Roman" w:cs="Times New Roman"/>
          <w:sz w:val="24"/>
          <w:szCs w:val="24"/>
          <w:lang w:eastAsia="en-IN"/>
        </w:rPr>
        <w:t xml:space="preserve"> </w:t>
      </w:r>
      <w:r w:rsidRPr="003C56DC">
        <w:rPr>
          <w:rFonts w:ascii="Times New Roman" w:eastAsia="Times New Roman" w:hAnsi="Times New Roman" w:cs="Times New Roman"/>
          <w:sz w:val="24"/>
          <w:szCs w:val="24"/>
          <w:lang w:eastAsia="en-IN"/>
        </w:rPr>
        <w:t xml:space="preserve">This study presents a comparative analysis of biomass torrefaction and coal pyrolysis for solid fuel production. It examines the fuel properties, combustion characteristics, and thermal </w:t>
      </w:r>
      <w:proofErr w:type="spellStart"/>
      <w:r w:rsidRPr="003C56DC">
        <w:rPr>
          <w:rFonts w:ascii="Times New Roman" w:eastAsia="Times New Roman" w:hAnsi="Times New Roman" w:cs="Times New Roman"/>
          <w:sz w:val="24"/>
          <w:szCs w:val="24"/>
          <w:lang w:eastAsia="en-IN"/>
        </w:rPr>
        <w:t>behavior</w:t>
      </w:r>
      <w:proofErr w:type="spellEnd"/>
      <w:r w:rsidRPr="003C56DC">
        <w:rPr>
          <w:rFonts w:ascii="Times New Roman" w:eastAsia="Times New Roman" w:hAnsi="Times New Roman" w:cs="Times New Roman"/>
          <w:sz w:val="24"/>
          <w:szCs w:val="24"/>
          <w:lang w:eastAsia="en-IN"/>
        </w:rPr>
        <w:t xml:space="preserve"> of torrefied biomass and coal, providing insights into the potential of bio coal as a substitute for fossil fuels</w:t>
      </w:r>
      <w:r w:rsidR="00DA0F15" w:rsidRPr="003C56DC">
        <w:rPr>
          <w:rFonts w:ascii="Times New Roman" w:eastAsia="Times New Roman" w:hAnsi="Times New Roman" w:cs="Times New Roman"/>
          <w:sz w:val="24"/>
          <w:szCs w:val="24"/>
          <w:lang w:eastAsia="en-IN"/>
        </w:rPr>
        <w:t xml:space="preserve"> </w:t>
      </w:r>
      <w:r w:rsidR="00DA0F15" w:rsidRPr="003C56DC">
        <w:rPr>
          <w:rFonts w:ascii="Times New Roman" w:eastAsia="Times New Roman" w:hAnsi="Times New Roman" w:cs="Times New Roman"/>
          <w:sz w:val="24"/>
          <w:szCs w:val="24"/>
          <w:lang w:eastAsia="en-IN"/>
        </w:rPr>
        <w:fldChar w:fldCharType="begin" w:fldLock="1"/>
      </w:r>
      <w:r w:rsidR="003C56DC" w:rsidRPr="003C56DC">
        <w:rPr>
          <w:rFonts w:ascii="Times New Roman" w:eastAsia="Times New Roman" w:hAnsi="Times New Roman" w:cs="Times New Roman"/>
          <w:sz w:val="24"/>
          <w:szCs w:val="24"/>
          <w:lang w:eastAsia="en-IN"/>
        </w:rPr>
        <w:instrText>ADDIN CSL_CITATION {"citationItems":[{"id":"ITEM-1","itemData":{"abstract":"The number of countries announcing pledges to achieve net-zero emissions over the coming decades continues to grow. But the pledges by governments to date – even if fully achieved – fall well short of what is required to bring global energy-related carbon dioxide emissions to net zero by 2050 and give the world an even chance of limiting the global temperature rise to 1.5 °C. This special report is the world’s first comprehensive study of how to transition to a net zero energy system by 2050 while ensuring stable and affordable energy supplies, providing universal energy access, and enabling robust economic growth. It sets out a cost-effective and economically productive pathway, resulting in a clean, dynamic and resilient energy economy dominated by renewables like solar and wind instead of fossil fuels. The report also examines key uncertainties, such as the roles of bioenergy, carbon capture and behavioural changes in reaching net zero.","author":[{"dropping-particle":"","family":"International Energy Agency","given":"","non-dropping-particle":"","parse-names":false,"suffix":""}],"container-title":"International Energy Agency","id":"ITEM-1","issued":{"date-parts":[["2021"]]},"page":"224","title":"Net Zero by 2050: A Roadmap for the Global Energy Sector","type":"article-journal"},"uris":["http://www.mendeley.com/documents/?uuid=445455ad-439f-4ccc-a521-52dd1c2f44ab"]}],"mendeley":{"formattedCitation":"[11]","plainTextFormattedCitation":"[11]","previouslyFormattedCitation":"[11]"},"properties":{"noteIndex":0},"schema":"https://github.com/citation-style-language/schema/raw/master/csl-citation.json"}</w:instrText>
      </w:r>
      <w:r w:rsidR="00DA0F15" w:rsidRPr="003C56DC">
        <w:rPr>
          <w:rFonts w:ascii="Times New Roman" w:eastAsia="Times New Roman" w:hAnsi="Times New Roman" w:cs="Times New Roman"/>
          <w:sz w:val="24"/>
          <w:szCs w:val="24"/>
          <w:lang w:eastAsia="en-IN"/>
        </w:rPr>
        <w:fldChar w:fldCharType="separate"/>
      </w:r>
      <w:r w:rsidR="00DA0F15" w:rsidRPr="003C56DC">
        <w:rPr>
          <w:rFonts w:ascii="Times New Roman" w:eastAsia="Times New Roman" w:hAnsi="Times New Roman" w:cs="Times New Roman"/>
          <w:noProof/>
          <w:sz w:val="24"/>
          <w:szCs w:val="24"/>
          <w:lang w:eastAsia="en-IN"/>
        </w:rPr>
        <w:t>[11]</w:t>
      </w:r>
      <w:r w:rsidR="00DA0F15" w:rsidRPr="003C56DC">
        <w:rPr>
          <w:rFonts w:ascii="Times New Roman" w:eastAsia="Times New Roman" w:hAnsi="Times New Roman" w:cs="Times New Roman"/>
          <w:sz w:val="24"/>
          <w:szCs w:val="24"/>
          <w:lang w:eastAsia="en-IN"/>
        </w:rPr>
        <w:fldChar w:fldCharType="end"/>
      </w:r>
      <w:r w:rsidRPr="003C56DC">
        <w:rPr>
          <w:rFonts w:ascii="Times New Roman" w:eastAsia="Times New Roman" w:hAnsi="Times New Roman" w:cs="Times New Roman"/>
          <w:sz w:val="24"/>
          <w:szCs w:val="24"/>
          <w:lang w:eastAsia="en-IN"/>
        </w:rPr>
        <w:t>.</w:t>
      </w:r>
    </w:p>
    <w:p w14:paraId="45ABE4DF" w14:textId="41CAAFD8"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Opportunity</w:t>
      </w:r>
    </w:p>
    <w:p w14:paraId="5EFF13FF" w14:textId="4A160294"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Environmental Benefits: Green ecological technologies offer an opportunity to reduce greenhouse gas emissions and combat climate change. They provide a </w:t>
      </w:r>
      <w:proofErr w:type="gramStart"/>
      <w:r w:rsidRPr="003C56DC">
        <w:rPr>
          <w:color w:val="auto"/>
        </w:rPr>
        <w:t>more sustainable and eco-friendly</w:t>
      </w:r>
      <w:proofErr w:type="gramEnd"/>
      <w:r w:rsidRPr="003C56DC">
        <w:rPr>
          <w:color w:val="auto"/>
        </w:rPr>
        <w:t xml:space="preserve"> alternative to fossil fuels, reducing air and water pollution, mitigating climate-related risks, and protecting natural resources.</w:t>
      </w:r>
    </w:p>
    <w:p w14:paraId="64349A70" w14:textId="190348FB" w:rsidR="003134B0"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Job Creation: The transition to renewable technologies can stimulate economic development and generate new employment opportunities. In addition to research and development, manufacturing, installation, and maintenance of renewable energy systems, the renewable energy sector has the potential to generate a substantial number of </w:t>
      </w:r>
      <w:proofErr w:type="gramStart"/>
      <w:r w:rsidRPr="003C56DC">
        <w:rPr>
          <w:color w:val="auto"/>
        </w:rPr>
        <w:t>employment</w:t>
      </w:r>
      <w:proofErr w:type="gramEnd"/>
      <w:r w:rsidRPr="003C56DC">
        <w:rPr>
          <w:color w:val="auto"/>
        </w:rPr>
        <w:t>.</w:t>
      </w:r>
    </w:p>
    <w:p w14:paraId="27B8530E" w14:textId="6F75FF66"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Energy Independence and Security: Transitioning away from fossil fuels decreases reliance on foreign energy sources. By </w:t>
      </w:r>
      <w:proofErr w:type="spellStart"/>
      <w:r w:rsidRPr="003C56DC">
        <w:rPr>
          <w:color w:val="auto"/>
        </w:rPr>
        <w:t>utilising</w:t>
      </w:r>
      <w:proofErr w:type="spellEnd"/>
      <w:r w:rsidRPr="003C56DC">
        <w:rPr>
          <w:color w:val="auto"/>
        </w:rPr>
        <w:t xml:space="preserve"> indigenous renewable resources, nations can increase their energy independence and security, thereby reducing the geopolitical risks associated with energy imports.</w:t>
      </w:r>
    </w:p>
    <w:p w14:paraId="04728753" w14:textId="2FE2880B"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Technological Innovation: The development of green, ecologically-based technologies can stimulate innovation in a variety of industries. It encourages the development of materials science, energy storage, grid management, and intelligent technologies. This innovation can have a cascading effect, enhancing other industries and opening up new avenues for sustainable development.</w:t>
      </w:r>
    </w:p>
    <w:p w14:paraId="5702B44F" w14:textId="14D43A2A" w:rsidR="000D0E12"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Opportunities on the Market: The increasing demand for ecological technologies creates new markets and business opportunities. Companies that invest in and develop renewable energy solutions, energy-efficient products, and sustainable </w:t>
      </w:r>
      <w:r w:rsidR="00D46FD4" w:rsidRPr="003C56DC">
        <w:rPr>
          <w:color w:val="auto"/>
        </w:rPr>
        <w:t>practices</w:t>
      </w:r>
      <w:r w:rsidRPr="003C56DC">
        <w:rPr>
          <w:color w:val="auto"/>
        </w:rPr>
        <w:t xml:space="preserve"> will have a competitive advantage in this expanding market.</w:t>
      </w:r>
    </w:p>
    <w:p w14:paraId="6E7815B4" w14:textId="3B513301" w:rsidR="002E6555" w:rsidRPr="003C56DC" w:rsidRDefault="00FA4C46"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Challenges</w:t>
      </w:r>
    </w:p>
    <w:p w14:paraId="44410C90" w14:textId="071BCB66"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 xml:space="preserve">Cost: The cost associated with developing and implementing green ecologically-based technologies is one of the primary barriers. In recent years, many renewable energy sources, </w:t>
      </w:r>
      <w:r w:rsidRPr="003C56DC">
        <w:rPr>
          <w:color w:val="auto"/>
        </w:rPr>
        <w:lastRenderedPageBreak/>
        <w:t>such as solar and wind, have become more cost-competitive, but they still require substantial infrastructure investments and initial setup costs.</w:t>
      </w:r>
    </w:p>
    <w:p w14:paraId="1BEA832E" w14:textId="1B787C58"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Energy Storage: The efficient storage of energy generated from renewable sources represents a second obstacle. Unlike fossil fuels, which can be readily stored, renewable energy is inconsistent and weather-dependent. The development of efficient energy storage systems, such as enhanced batteries or hydrogen storage, is essential for assuring a stable and reliable energy supply.</w:t>
      </w:r>
    </w:p>
    <w:p w14:paraId="7594DB9E" w14:textId="076502D7"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Infrastructure Requirements: The transition from fossil fuels to renewable technologies requires substantial infrastructure modifications. Such as constructing a robust charging infrastructure for electric vehicles or establishing an extensive grid system for the transmission of renewable energy can be difficult and expensive.</w:t>
      </w:r>
    </w:p>
    <w:p w14:paraId="5E5DD963" w14:textId="0C64B8C4" w:rsidR="003134B0" w:rsidRPr="003C56DC" w:rsidRDefault="003134B0"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color w:val="auto"/>
        </w:rPr>
      </w:pPr>
      <w:r w:rsidRPr="003C56DC">
        <w:rPr>
          <w:color w:val="auto"/>
        </w:rPr>
        <w:t>Technological Advancements: Continued research and development is required to improve the effectiveness and efficacy of renewable technologies. Improving the energy conversion rates of solar panels, boosting the power output of wind turbines, and developing more efficient biofuels are just a few examples of areas requiring continuous innovation.</w:t>
      </w:r>
    </w:p>
    <w:p w14:paraId="68B8BAAF" w14:textId="77777777"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right="112"/>
        <w:jc w:val="both"/>
        <w:rPr>
          <w:b/>
          <w:bCs/>
          <w:color w:val="auto"/>
        </w:rPr>
      </w:pPr>
      <w:r w:rsidRPr="003C56DC">
        <w:rPr>
          <w:b/>
          <w:bCs/>
          <w:color w:val="auto"/>
        </w:rPr>
        <w:t>Conclusion</w:t>
      </w:r>
    </w:p>
    <w:p w14:paraId="08AA5CF3" w14:textId="5BA40AED" w:rsidR="00D550AC" w:rsidRPr="003C56DC" w:rsidRDefault="000D0E12"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before="240" w:after="160" w:line="360" w:lineRule="auto"/>
        <w:ind w:left="113" w:right="112" w:firstLine="607"/>
        <w:jc w:val="both"/>
        <w:rPr>
          <w:color w:val="auto"/>
        </w:rPr>
      </w:pPr>
      <w:r w:rsidRPr="003C56DC">
        <w:rPr>
          <w:color w:val="auto"/>
        </w:rPr>
        <w:t xml:space="preserve">Collaboration among governments, businesses, researchers, and communities is necessary to address the challenges and </w:t>
      </w:r>
      <w:proofErr w:type="spellStart"/>
      <w:r w:rsidRPr="003C56DC">
        <w:rPr>
          <w:color w:val="auto"/>
        </w:rPr>
        <w:t>capitalise</w:t>
      </w:r>
      <w:proofErr w:type="spellEnd"/>
      <w:r w:rsidRPr="003C56DC">
        <w:rPr>
          <w:color w:val="auto"/>
        </w:rPr>
        <w:t xml:space="preserve"> on the opportunities in green ecologically-based technology. Transitioning to a more sustainable energy future can be accelerated by policies and incentives that encourage investment in renewable energy, research funding for technological advancements, and public awareness campaigns.</w:t>
      </w:r>
      <w:r w:rsidR="003C56DC">
        <w:rPr>
          <w:color w:val="auto"/>
        </w:rPr>
        <w:t xml:space="preserve"> </w:t>
      </w:r>
      <w:r w:rsidR="00D550AC" w:rsidRPr="003C56DC">
        <w:rPr>
          <w:color w:val="auto"/>
        </w:rPr>
        <w:t xml:space="preserve">Significant obstacles and opportunities exist in green ecologically based technology for the replacement of fossil fuels. The world is becoming increasingly aware of the imperative need to transition from fossil fuels to sustainable and renewable energy sources in order to combat climate change and address environmental issues. There are obstacles to overcome, but there are also wonderful opportunities to </w:t>
      </w:r>
      <w:proofErr w:type="spellStart"/>
      <w:r w:rsidR="00D550AC" w:rsidRPr="003C56DC">
        <w:rPr>
          <w:color w:val="auto"/>
        </w:rPr>
        <w:t>utilise</w:t>
      </w:r>
      <w:proofErr w:type="spellEnd"/>
      <w:r w:rsidR="00D550AC" w:rsidRPr="003C56DC">
        <w:rPr>
          <w:color w:val="auto"/>
        </w:rPr>
        <w:t xml:space="preserve"> the potential of ecological technology.</w:t>
      </w:r>
    </w:p>
    <w:p w14:paraId="7B18DF57" w14:textId="2B08B8E8" w:rsidR="002E6555" w:rsidRPr="003C56DC" w:rsidRDefault="002E6555" w:rsidP="003C56DC">
      <w:pPr>
        <w:pStyle w:val="BodyText"/>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line="360" w:lineRule="auto"/>
        <w:ind w:right="112" w:hanging="366"/>
        <w:jc w:val="both"/>
        <w:rPr>
          <w:b/>
          <w:bCs/>
          <w:color w:val="auto"/>
        </w:rPr>
      </w:pPr>
      <w:r w:rsidRPr="003C56DC">
        <w:rPr>
          <w:b/>
          <w:bCs/>
          <w:color w:val="auto"/>
        </w:rPr>
        <w:t xml:space="preserve"> References </w:t>
      </w:r>
    </w:p>
    <w:p w14:paraId="2538D1E2" w14:textId="626C9BB0"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sz w:val="24"/>
          <w:szCs w:val="24"/>
        </w:rPr>
        <w:fldChar w:fldCharType="begin" w:fldLock="1"/>
      </w:r>
      <w:r w:rsidRPr="003C56DC">
        <w:rPr>
          <w:rFonts w:ascii="Times New Roman" w:hAnsi="Times New Roman" w:cs="Times New Roman"/>
          <w:sz w:val="24"/>
          <w:szCs w:val="24"/>
        </w:rPr>
        <w:instrText xml:space="preserve">ADDIN Mendeley Bibliography CSL_BIBLIOGRAPHY </w:instrText>
      </w:r>
      <w:r w:rsidRPr="003C56DC">
        <w:rPr>
          <w:rFonts w:ascii="Times New Roman" w:hAnsi="Times New Roman" w:cs="Times New Roman"/>
          <w:sz w:val="24"/>
          <w:szCs w:val="24"/>
        </w:rPr>
        <w:fldChar w:fldCharType="separate"/>
      </w:r>
      <w:r w:rsidRPr="003C56DC">
        <w:rPr>
          <w:rFonts w:ascii="Times New Roman" w:hAnsi="Times New Roman" w:cs="Times New Roman"/>
          <w:noProof/>
          <w:sz w:val="24"/>
          <w:szCs w:val="24"/>
        </w:rPr>
        <w:t>[1]</w:t>
      </w:r>
      <w:r w:rsidRPr="003C56DC">
        <w:rPr>
          <w:rFonts w:ascii="Times New Roman" w:hAnsi="Times New Roman" w:cs="Times New Roman"/>
          <w:noProof/>
          <w:sz w:val="24"/>
          <w:szCs w:val="24"/>
        </w:rPr>
        <w:tab/>
        <w:t>Wuebbles DJ.  Climate Science Special Report: 4 th US National Climate Assessment, Volume I  2021; I: 213–20.</w:t>
      </w:r>
    </w:p>
    <w:p w14:paraId="0FD89BBA"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[2]</w:t>
      </w:r>
      <w:r w:rsidRPr="003C56DC">
        <w:rPr>
          <w:rFonts w:ascii="Times New Roman" w:hAnsi="Times New Roman" w:cs="Times New Roman"/>
          <w:noProof/>
          <w:sz w:val="24"/>
          <w:szCs w:val="24"/>
        </w:rPr>
        <w:tab/>
        <w:t>WMO. State of the Global Climate 2021. 2022.</w:t>
      </w:r>
    </w:p>
    <w:p w14:paraId="03DAF32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lastRenderedPageBreak/>
        <w:t>[3]</w:t>
      </w:r>
      <w:r w:rsidRPr="003C56DC">
        <w:rPr>
          <w:rFonts w:ascii="Times New Roman" w:hAnsi="Times New Roman" w:cs="Times New Roman"/>
          <w:noProof/>
          <w:sz w:val="24"/>
          <w:szCs w:val="24"/>
        </w:rPr>
        <w:tab/>
        <w:t>Ripple WJ, Wolf C, Newsome TM, Gregg JW, Lenton TM, Palomo I, et al. World scientists’ warning of a climate emergency 2021 2021; 71: 894–98.</w:t>
      </w:r>
    </w:p>
    <w:p w14:paraId="01AE1A8D"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[4]</w:t>
      </w:r>
      <w:r w:rsidRPr="003C56DC">
        <w:rPr>
          <w:rFonts w:ascii="Times New Roman" w:hAnsi="Times New Roman" w:cs="Times New Roman"/>
          <w:noProof/>
          <w:sz w:val="24"/>
          <w:szCs w:val="24"/>
        </w:rPr>
        <w:tab/>
        <w:t>Ripple WJ, Wolf C, Newsome TM, Galetti M, Alamgir M, Crist E, et al. World Scientists’ Warning to Humanity: A Second Notice 2017; 67: 1026–28.</w:t>
      </w:r>
    </w:p>
    <w:p w14:paraId="0F3D335F"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[5]</w:t>
      </w:r>
      <w:r w:rsidRPr="003C56DC">
        <w:rPr>
          <w:rFonts w:ascii="Times New Roman" w:hAnsi="Times New Roman" w:cs="Times New Roman"/>
          <w:noProof/>
          <w:sz w:val="24"/>
          <w:szCs w:val="24"/>
        </w:rPr>
        <w:tab/>
        <w:t>Hov Ø, Cubasch U, Fischer E, Höppe P, Iversen T, Kvamstø NG, et al. Extreme Weather Events in Europe : 2013.</w:t>
      </w:r>
    </w:p>
    <w:p w14:paraId="39E8741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[6]</w:t>
      </w:r>
      <w:r w:rsidRPr="003C56DC">
        <w:rPr>
          <w:rFonts w:ascii="Times New Roman" w:hAnsi="Times New Roman" w:cs="Times New Roman"/>
          <w:noProof/>
          <w:sz w:val="24"/>
          <w:szCs w:val="24"/>
        </w:rPr>
        <w:tab/>
        <w:t>Reidmiller DR, Avery CW, Easterling DR, Kunkel KE, Lewis KLM, Maycock TK, et al. Impacts, Risks, and Adaptation in the United States: Fourth National Climate Assessment, Volume II 2017.</w:t>
      </w:r>
    </w:p>
    <w:p w14:paraId="25B995A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[7]</w:t>
      </w:r>
      <w:r w:rsidRPr="003C56DC">
        <w:rPr>
          <w:rFonts w:ascii="Times New Roman" w:hAnsi="Times New Roman" w:cs="Times New Roman"/>
          <w:noProof/>
          <w:sz w:val="24"/>
          <w:szCs w:val="24"/>
        </w:rPr>
        <w:tab/>
        <w:t>BP. Statistical Review of World Energy globally consistent data on world energy markets and authoritative publications in the field of energy 2021; 70: 72.</w:t>
      </w:r>
    </w:p>
    <w:p w14:paraId="5BAE1914"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[8]</w:t>
      </w:r>
      <w:r w:rsidRPr="003C56DC">
        <w:rPr>
          <w:rFonts w:ascii="Times New Roman" w:hAnsi="Times New Roman" w:cs="Times New Roman"/>
          <w:noProof/>
          <w:sz w:val="24"/>
          <w:szCs w:val="24"/>
        </w:rPr>
        <w:tab/>
        <w:t>Steffen W, Rockström J, Richardson K, Lenton TM, Folke C, Liverman D, et al. Trajectories of the Earth System in the Anthropocene. 2018; 115: 8252–59.</w:t>
      </w:r>
    </w:p>
    <w:p w14:paraId="4104FB11"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[9]</w:t>
      </w:r>
      <w:r w:rsidRPr="003C56DC">
        <w:rPr>
          <w:rFonts w:ascii="Times New Roman" w:hAnsi="Times New Roman" w:cs="Times New Roman"/>
          <w:noProof/>
          <w:sz w:val="24"/>
          <w:szCs w:val="24"/>
        </w:rPr>
        <w:tab/>
        <w:t>Hansen J, Sato M, Kharecha P, Schuckmann K Von, Beerling DJ. Earth System Dynamics Young people’s burden : requirement of negative CO 2 emissions 2017: 577–616.</w:t>
      </w:r>
    </w:p>
    <w:p w14:paraId="77209D1B"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[10]</w:t>
      </w:r>
      <w:r w:rsidRPr="003C56DC">
        <w:rPr>
          <w:rFonts w:ascii="Times New Roman" w:hAnsi="Times New Roman" w:cs="Times New Roman"/>
          <w:noProof/>
          <w:sz w:val="24"/>
          <w:szCs w:val="24"/>
        </w:rPr>
        <w:tab/>
        <w:t>Hickel J, Kallis G. Is Green Growth Possible ? Is Green Growth Possible ? 2019; 0: 1–18.</w:t>
      </w:r>
    </w:p>
    <w:p w14:paraId="3937FE2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[11]</w:t>
      </w:r>
      <w:r w:rsidRPr="003C56DC">
        <w:rPr>
          <w:rFonts w:ascii="Times New Roman" w:hAnsi="Times New Roman" w:cs="Times New Roman"/>
          <w:noProof/>
          <w:sz w:val="24"/>
          <w:szCs w:val="24"/>
        </w:rPr>
        <w:tab/>
        <w:t>International Energy Agency. Net Zero by 2050: A Roadmap for the Global Energy Sector 2021: 224.</w:t>
      </w:r>
    </w:p>
    <w:p w14:paraId="341E2D5B"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[12]</w:t>
      </w:r>
      <w:r w:rsidRPr="003C56DC">
        <w:rPr>
          <w:rFonts w:ascii="Times New Roman" w:hAnsi="Times New Roman" w:cs="Times New Roman"/>
          <w:noProof/>
          <w:sz w:val="24"/>
          <w:szCs w:val="24"/>
        </w:rPr>
        <w:tab/>
        <w:t>Heinberg R, Fridley D. Our Renewable Future 2016.</w:t>
      </w:r>
    </w:p>
    <w:p w14:paraId="04BEDA53"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[13]</w:t>
      </w:r>
      <w:r w:rsidRPr="003C56DC">
        <w:rPr>
          <w:rFonts w:ascii="Times New Roman" w:hAnsi="Times New Roman" w:cs="Times New Roman"/>
          <w:noProof/>
          <w:sz w:val="24"/>
          <w:szCs w:val="24"/>
        </w:rPr>
        <w:tab/>
        <w:t>Angelidaki I, Ellegaard L. Codigestion of manure and organic wastes in centralized biogas plants: Status and future trends 2003; 109: 95–105.</w:t>
      </w:r>
    </w:p>
    <w:p w14:paraId="28CA429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[14]</w:t>
      </w:r>
      <w:r w:rsidRPr="003C56DC">
        <w:rPr>
          <w:rFonts w:ascii="Times New Roman" w:hAnsi="Times New Roman" w:cs="Times New Roman"/>
          <w:noProof/>
          <w:sz w:val="24"/>
          <w:szCs w:val="24"/>
        </w:rPr>
        <w:tab/>
        <w:t>Balat M, Balat H. Biogas as a Renewable Energy Source—A Review 2009; 31: 1280–93.</w:t>
      </w:r>
    </w:p>
    <w:p w14:paraId="7269B40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[15]</w:t>
      </w:r>
      <w:r w:rsidRPr="003C56DC">
        <w:rPr>
          <w:rFonts w:ascii="Times New Roman" w:hAnsi="Times New Roman" w:cs="Times New Roman"/>
          <w:noProof/>
          <w:sz w:val="24"/>
          <w:szCs w:val="24"/>
        </w:rPr>
        <w:tab/>
        <w:t>Kabeyi MJB, Olanrewaju OA. Biogas Production and Applications in the Sustainable Energy Transition 2022; 2022: 8750221.</w:t>
      </w:r>
    </w:p>
    <w:p w14:paraId="5C2B950E"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[16]</w:t>
      </w:r>
      <w:r w:rsidRPr="003C56DC">
        <w:rPr>
          <w:rFonts w:ascii="Times New Roman" w:hAnsi="Times New Roman" w:cs="Times New Roman"/>
          <w:noProof/>
          <w:sz w:val="24"/>
          <w:szCs w:val="24"/>
        </w:rPr>
        <w:tab/>
        <w:t>Areeshi MY. Recent advances on organic biofertilizer production from anaerobic fermentation  of food waste: Overview. 2022; 374: 109719.</w:t>
      </w:r>
    </w:p>
    <w:p w14:paraId="0F021C52"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[17]</w:t>
      </w:r>
      <w:r w:rsidRPr="003C56DC">
        <w:rPr>
          <w:rFonts w:ascii="Times New Roman" w:hAnsi="Times New Roman" w:cs="Times New Roman"/>
          <w:noProof/>
          <w:sz w:val="24"/>
          <w:szCs w:val="24"/>
        </w:rPr>
        <w:tab/>
        <w:t>Cheng B-H, Huang B-C, Zhang R, Chen Y-L, Jiang S-F, Lu Y, et al. Bio-coal: A renewable and massively producible fuel from lignocellulosic biomass. 2020; 6: eaay0748.</w:t>
      </w:r>
    </w:p>
    <w:p w14:paraId="5F052E49"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[18]</w:t>
      </w:r>
      <w:r w:rsidRPr="003C56DC">
        <w:rPr>
          <w:rFonts w:ascii="Times New Roman" w:hAnsi="Times New Roman" w:cs="Times New Roman"/>
          <w:noProof/>
          <w:sz w:val="24"/>
          <w:szCs w:val="24"/>
        </w:rPr>
        <w:tab/>
        <w:t>Tumuluru JS, Ghiasi B, Soelberg NR, Sokhansanj S. Biomass Torrefaction Process , Product Properties , Reactor Types , and Moving Bed Reactor Design Concepts 2021; 9: 1–20.</w:t>
      </w:r>
    </w:p>
    <w:p w14:paraId="64CD7EB5" w14:textId="77777777" w:rsidR="003C56DC" w:rsidRPr="003C56DC" w:rsidRDefault="003C56DC" w:rsidP="003C56DC">
      <w:pPr>
        <w:widowControl w:val="0"/>
        <w:autoSpaceDE w:val="0"/>
        <w:autoSpaceDN w:val="0"/>
        <w:adjustRightInd w:val="0"/>
        <w:spacing w:line="240" w:lineRule="auto"/>
        <w:ind w:left="640" w:hanging="640"/>
        <w:rPr>
          <w:rFonts w:ascii="Times New Roman" w:hAnsi="Times New Roman" w:cs="Times New Roman"/>
          <w:noProof/>
          <w:sz w:val="24"/>
          <w:szCs w:val="24"/>
        </w:rPr>
      </w:pPr>
      <w:r w:rsidRPr="003C56DC">
        <w:rPr>
          <w:rFonts w:ascii="Times New Roman" w:hAnsi="Times New Roman" w:cs="Times New Roman"/>
          <w:noProof/>
          <w:sz w:val="24"/>
          <w:szCs w:val="24"/>
        </w:rPr>
        <w:t>[19]</w:t>
      </w:r>
      <w:r w:rsidRPr="003C56DC">
        <w:rPr>
          <w:rFonts w:ascii="Times New Roman" w:hAnsi="Times New Roman" w:cs="Times New Roman"/>
          <w:noProof/>
          <w:sz w:val="24"/>
          <w:szCs w:val="24"/>
        </w:rPr>
        <w:tab/>
        <w:t>Prins MJ, Ptasinski KJ, Janssen FJJG. Torrefaction of wood: Part 1. Weight loss kinetics 2006; 77: 28–34.</w:t>
      </w:r>
    </w:p>
    <w:p w14:paraId="043CF955" w14:textId="2DBDB8F0" w:rsidR="002E6555" w:rsidRPr="003C56DC" w:rsidRDefault="003C56DC" w:rsidP="003C56DC">
      <w:pPr>
        <w:pStyle w:val="BodyText"/>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hemeFill="background1"/>
        <w:spacing w:after="160" w:line="360" w:lineRule="auto"/>
        <w:ind w:left="113" w:right="112"/>
        <w:jc w:val="both"/>
        <w:rPr>
          <w:color w:val="auto"/>
        </w:rPr>
      </w:pPr>
      <w:r w:rsidRPr="003C56DC">
        <w:rPr>
          <w:color w:val="auto"/>
        </w:rPr>
        <w:fldChar w:fldCharType="end"/>
      </w:r>
    </w:p>
    <w:p w14:paraId="677696D7" w14:textId="77777777" w:rsidR="00E85EF4" w:rsidRPr="003C56DC" w:rsidRDefault="00E85EF4" w:rsidP="003C56DC">
      <w:pPr>
        <w:shd w:val="clear" w:color="auto" w:fill="FFFFFF" w:themeFill="background1"/>
        <w:spacing w:before="240" w:line="360" w:lineRule="auto"/>
        <w:jc w:val="both"/>
        <w:rPr>
          <w:rFonts w:ascii="Times New Roman" w:hAnsi="Times New Roman" w:cs="Times New Roman"/>
          <w:sz w:val="24"/>
          <w:szCs w:val="24"/>
        </w:rPr>
      </w:pPr>
    </w:p>
    <w:sectPr w:rsidR="00E85EF4" w:rsidRPr="003C56D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6B3A"/>
    <w:multiLevelType w:val="hybridMultilevel"/>
    <w:tmpl w:val="E0DCF79A"/>
    <w:lvl w:ilvl="0" w:tplc="40090001">
      <w:start w:val="1"/>
      <w:numFmt w:val="bullet"/>
      <w:lvlText w:val=""/>
      <w:lvlJc w:val="left"/>
      <w:pPr>
        <w:ind w:left="1086" w:hanging="360"/>
      </w:pPr>
      <w:rPr>
        <w:rFonts w:ascii="Symbol" w:hAnsi="Symbol" w:hint="default"/>
      </w:rPr>
    </w:lvl>
    <w:lvl w:ilvl="1" w:tplc="40090003" w:tentative="1">
      <w:start w:val="1"/>
      <w:numFmt w:val="bullet"/>
      <w:lvlText w:val="o"/>
      <w:lvlJc w:val="left"/>
      <w:pPr>
        <w:ind w:left="1806" w:hanging="360"/>
      </w:pPr>
      <w:rPr>
        <w:rFonts w:ascii="Courier New" w:hAnsi="Courier New" w:cs="Courier New" w:hint="default"/>
      </w:rPr>
    </w:lvl>
    <w:lvl w:ilvl="2" w:tplc="40090005" w:tentative="1">
      <w:start w:val="1"/>
      <w:numFmt w:val="bullet"/>
      <w:lvlText w:val=""/>
      <w:lvlJc w:val="left"/>
      <w:pPr>
        <w:ind w:left="2526" w:hanging="360"/>
      </w:pPr>
      <w:rPr>
        <w:rFonts w:ascii="Wingdings" w:hAnsi="Wingdings" w:hint="default"/>
      </w:rPr>
    </w:lvl>
    <w:lvl w:ilvl="3" w:tplc="40090001" w:tentative="1">
      <w:start w:val="1"/>
      <w:numFmt w:val="bullet"/>
      <w:lvlText w:val=""/>
      <w:lvlJc w:val="left"/>
      <w:pPr>
        <w:ind w:left="3246" w:hanging="360"/>
      </w:pPr>
      <w:rPr>
        <w:rFonts w:ascii="Symbol" w:hAnsi="Symbol" w:hint="default"/>
      </w:rPr>
    </w:lvl>
    <w:lvl w:ilvl="4" w:tplc="40090003" w:tentative="1">
      <w:start w:val="1"/>
      <w:numFmt w:val="bullet"/>
      <w:lvlText w:val="o"/>
      <w:lvlJc w:val="left"/>
      <w:pPr>
        <w:ind w:left="3966" w:hanging="360"/>
      </w:pPr>
      <w:rPr>
        <w:rFonts w:ascii="Courier New" w:hAnsi="Courier New" w:cs="Courier New" w:hint="default"/>
      </w:rPr>
    </w:lvl>
    <w:lvl w:ilvl="5" w:tplc="40090005" w:tentative="1">
      <w:start w:val="1"/>
      <w:numFmt w:val="bullet"/>
      <w:lvlText w:val=""/>
      <w:lvlJc w:val="left"/>
      <w:pPr>
        <w:ind w:left="4686" w:hanging="360"/>
      </w:pPr>
      <w:rPr>
        <w:rFonts w:ascii="Wingdings" w:hAnsi="Wingdings" w:hint="default"/>
      </w:rPr>
    </w:lvl>
    <w:lvl w:ilvl="6" w:tplc="40090001" w:tentative="1">
      <w:start w:val="1"/>
      <w:numFmt w:val="bullet"/>
      <w:lvlText w:val=""/>
      <w:lvlJc w:val="left"/>
      <w:pPr>
        <w:ind w:left="5406" w:hanging="360"/>
      </w:pPr>
      <w:rPr>
        <w:rFonts w:ascii="Symbol" w:hAnsi="Symbol" w:hint="default"/>
      </w:rPr>
    </w:lvl>
    <w:lvl w:ilvl="7" w:tplc="40090003" w:tentative="1">
      <w:start w:val="1"/>
      <w:numFmt w:val="bullet"/>
      <w:lvlText w:val="o"/>
      <w:lvlJc w:val="left"/>
      <w:pPr>
        <w:ind w:left="6126" w:hanging="360"/>
      </w:pPr>
      <w:rPr>
        <w:rFonts w:ascii="Courier New" w:hAnsi="Courier New" w:cs="Courier New" w:hint="default"/>
      </w:rPr>
    </w:lvl>
    <w:lvl w:ilvl="8" w:tplc="40090005" w:tentative="1">
      <w:start w:val="1"/>
      <w:numFmt w:val="bullet"/>
      <w:lvlText w:val=""/>
      <w:lvlJc w:val="left"/>
      <w:pPr>
        <w:ind w:left="6846" w:hanging="360"/>
      </w:pPr>
      <w:rPr>
        <w:rFonts w:ascii="Wingdings" w:hAnsi="Wingdings" w:hint="default"/>
      </w:rPr>
    </w:lvl>
  </w:abstractNum>
  <w:abstractNum w:abstractNumId="1" w15:restartNumberingAfterBreak="0">
    <w:nsid w:val="0A0175FD"/>
    <w:multiLevelType w:val="multilevel"/>
    <w:tmpl w:val="938851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05947"/>
    <w:multiLevelType w:val="multilevel"/>
    <w:tmpl w:val="7E8E787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C6671"/>
    <w:multiLevelType w:val="hybridMultilevel"/>
    <w:tmpl w:val="12B624DC"/>
    <w:numStyleLink w:val="Numbered"/>
  </w:abstractNum>
  <w:abstractNum w:abstractNumId="4" w15:restartNumberingAfterBreak="0">
    <w:nsid w:val="1D236E23"/>
    <w:multiLevelType w:val="hybridMultilevel"/>
    <w:tmpl w:val="12B624DC"/>
    <w:styleLink w:val="Numbered"/>
    <w:lvl w:ilvl="0" w:tplc="8ADEF2B4">
      <w:start w:val="1"/>
      <w:numFmt w:val="decimal"/>
      <w:lvlText w:val="%1."/>
      <w:lvlJc w:val="left"/>
      <w:pPr>
        <w:ind w:left="366" w:hanging="253"/>
      </w:pPr>
      <w:rPr>
        <w:rFonts w:hAnsi="Arial Unicode MS"/>
        <w:caps w:val="0"/>
        <w:smallCaps w:val="0"/>
        <w:strike w:val="0"/>
        <w:dstrike w:val="0"/>
        <w:outline w:val="0"/>
        <w:emboss w:val="0"/>
        <w:imprint w:val="0"/>
        <w:spacing w:val="0"/>
        <w:w w:val="100"/>
        <w:kern w:val="0"/>
        <w:position w:val="0"/>
        <w:highlight w:val="none"/>
        <w:vertAlign w:val="baseline"/>
      </w:rPr>
    </w:lvl>
    <w:lvl w:ilvl="1" w:tplc="96129944">
      <w:start w:val="1"/>
      <w:numFmt w:val="decimal"/>
      <w:lvlText w:val="%2."/>
      <w:lvlJc w:val="left"/>
      <w:pPr>
        <w:ind w:left="1166" w:hanging="253"/>
      </w:pPr>
      <w:rPr>
        <w:rFonts w:hAnsi="Arial Unicode MS"/>
        <w:caps w:val="0"/>
        <w:smallCaps w:val="0"/>
        <w:strike w:val="0"/>
        <w:dstrike w:val="0"/>
        <w:outline w:val="0"/>
        <w:emboss w:val="0"/>
        <w:imprint w:val="0"/>
        <w:spacing w:val="0"/>
        <w:w w:val="100"/>
        <w:kern w:val="0"/>
        <w:position w:val="0"/>
        <w:highlight w:val="none"/>
        <w:vertAlign w:val="baseline"/>
      </w:rPr>
    </w:lvl>
    <w:lvl w:ilvl="2" w:tplc="2BF4B898">
      <w:start w:val="1"/>
      <w:numFmt w:val="decimal"/>
      <w:lvlText w:val="%3."/>
      <w:lvlJc w:val="left"/>
      <w:pPr>
        <w:ind w:left="1966" w:hanging="253"/>
      </w:pPr>
      <w:rPr>
        <w:rFonts w:hAnsi="Arial Unicode MS"/>
        <w:caps w:val="0"/>
        <w:smallCaps w:val="0"/>
        <w:strike w:val="0"/>
        <w:dstrike w:val="0"/>
        <w:outline w:val="0"/>
        <w:emboss w:val="0"/>
        <w:imprint w:val="0"/>
        <w:spacing w:val="0"/>
        <w:w w:val="100"/>
        <w:kern w:val="0"/>
        <w:position w:val="0"/>
        <w:highlight w:val="none"/>
        <w:vertAlign w:val="baseline"/>
      </w:rPr>
    </w:lvl>
    <w:lvl w:ilvl="3" w:tplc="27041500">
      <w:start w:val="1"/>
      <w:numFmt w:val="decimal"/>
      <w:lvlText w:val="%4."/>
      <w:lvlJc w:val="left"/>
      <w:pPr>
        <w:ind w:left="2766" w:hanging="253"/>
      </w:pPr>
      <w:rPr>
        <w:rFonts w:hAnsi="Arial Unicode MS"/>
        <w:caps w:val="0"/>
        <w:smallCaps w:val="0"/>
        <w:strike w:val="0"/>
        <w:dstrike w:val="0"/>
        <w:outline w:val="0"/>
        <w:emboss w:val="0"/>
        <w:imprint w:val="0"/>
        <w:spacing w:val="0"/>
        <w:w w:val="100"/>
        <w:kern w:val="0"/>
        <w:position w:val="0"/>
        <w:highlight w:val="none"/>
        <w:vertAlign w:val="baseline"/>
      </w:rPr>
    </w:lvl>
    <w:lvl w:ilvl="4" w:tplc="09BA7F7A">
      <w:start w:val="1"/>
      <w:numFmt w:val="decimal"/>
      <w:lvlText w:val="%5."/>
      <w:lvlJc w:val="left"/>
      <w:pPr>
        <w:ind w:left="3566" w:hanging="253"/>
      </w:pPr>
      <w:rPr>
        <w:rFonts w:hAnsi="Arial Unicode MS"/>
        <w:caps w:val="0"/>
        <w:smallCaps w:val="0"/>
        <w:strike w:val="0"/>
        <w:dstrike w:val="0"/>
        <w:outline w:val="0"/>
        <w:emboss w:val="0"/>
        <w:imprint w:val="0"/>
        <w:spacing w:val="0"/>
        <w:w w:val="100"/>
        <w:kern w:val="0"/>
        <w:position w:val="0"/>
        <w:highlight w:val="none"/>
        <w:vertAlign w:val="baseline"/>
      </w:rPr>
    </w:lvl>
    <w:lvl w:ilvl="5" w:tplc="1172863C">
      <w:start w:val="1"/>
      <w:numFmt w:val="decimal"/>
      <w:lvlText w:val="%6."/>
      <w:lvlJc w:val="left"/>
      <w:pPr>
        <w:ind w:left="4366" w:hanging="253"/>
      </w:pPr>
      <w:rPr>
        <w:rFonts w:hAnsi="Arial Unicode MS"/>
        <w:caps w:val="0"/>
        <w:smallCaps w:val="0"/>
        <w:strike w:val="0"/>
        <w:dstrike w:val="0"/>
        <w:outline w:val="0"/>
        <w:emboss w:val="0"/>
        <w:imprint w:val="0"/>
        <w:spacing w:val="0"/>
        <w:w w:val="100"/>
        <w:kern w:val="0"/>
        <w:position w:val="0"/>
        <w:highlight w:val="none"/>
        <w:vertAlign w:val="baseline"/>
      </w:rPr>
    </w:lvl>
    <w:lvl w:ilvl="6" w:tplc="38C42B84">
      <w:start w:val="1"/>
      <w:numFmt w:val="decimal"/>
      <w:lvlText w:val="%7."/>
      <w:lvlJc w:val="left"/>
      <w:pPr>
        <w:ind w:left="5166" w:hanging="253"/>
      </w:pPr>
      <w:rPr>
        <w:rFonts w:hAnsi="Arial Unicode MS"/>
        <w:caps w:val="0"/>
        <w:smallCaps w:val="0"/>
        <w:strike w:val="0"/>
        <w:dstrike w:val="0"/>
        <w:outline w:val="0"/>
        <w:emboss w:val="0"/>
        <w:imprint w:val="0"/>
        <w:spacing w:val="0"/>
        <w:w w:val="100"/>
        <w:kern w:val="0"/>
        <w:position w:val="0"/>
        <w:highlight w:val="none"/>
        <w:vertAlign w:val="baseline"/>
      </w:rPr>
    </w:lvl>
    <w:lvl w:ilvl="7" w:tplc="C3229146">
      <w:start w:val="1"/>
      <w:numFmt w:val="decimal"/>
      <w:lvlText w:val="%8."/>
      <w:lvlJc w:val="left"/>
      <w:pPr>
        <w:ind w:left="5966" w:hanging="253"/>
      </w:pPr>
      <w:rPr>
        <w:rFonts w:hAnsi="Arial Unicode MS"/>
        <w:caps w:val="0"/>
        <w:smallCaps w:val="0"/>
        <w:strike w:val="0"/>
        <w:dstrike w:val="0"/>
        <w:outline w:val="0"/>
        <w:emboss w:val="0"/>
        <w:imprint w:val="0"/>
        <w:spacing w:val="0"/>
        <w:w w:val="100"/>
        <w:kern w:val="0"/>
        <w:position w:val="0"/>
        <w:highlight w:val="none"/>
        <w:vertAlign w:val="baseline"/>
      </w:rPr>
    </w:lvl>
    <w:lvl w:ilvl="8" w:tplc="B1F0B934">
      <w:start w:val="1"/>
      <w:numFmt w:val="decimal"/>
      <w:lvlText w:val="%9."/>
      <w:lvlJc w:val="left"/>
      <w:pPr>
        <w:ind w:left="6766" w:hanging="25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FAD573C"/>
    <w:multiLevelType w:val="multilevel"/>
    <w:tmpl w:val="B0263A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0AA4930"/>
    <w:multiLevelType w:val="hybridMultilevel"/>
    <w:tmpl w:val="D080638A"/>
    <w:lvl w:ilvl="0" w:tplc="40090001">
      <w:start w:val="1"/>
      <w:numFmt w:val="bullet"/>
      <w:lvlText w:val=""/>
      <w:lvlJc w:val="left"/>
      <w:pPr>
        <w:ind w:left="1086" w:hanging="360"/>
      </w:pPr>
      <w:rPr>
        <w:rFonts w:ascii="Symbol" w:hAnsi="Symbol" w:hint="default"/>
      </w:rPr>
    </w:lvl>
    <w:lvl w:ilvl="1" w:tplc="40090003" w:tentative="1">
      <w:start w:val="1"/>
      <w:numFmt w:val="bullet"/>
      <w:lvlText w:val="o"/>
      <w:lvlJc w:val="left"/>
      <w:pPr>
        <w:ind w:left="1806" w:hanging="360"/>
      </w:pPr>
      <w:rPr>
        <w:rFonts w:ascii="Courier New" w:hAnsi="Courier New" w:cs="Courier New" w:hint="default"/>
      </w:rPr>
    </w:lvl>
    <w:lvl w:ilvl="2" w:tplc="40090005" w:tentative="1">
      <w:start w:val="1"/>
      <w:numFmt w:val="bullet"/>
      <w:lvlText w:val=""/>
      <w:lvlJc w:val="left"/>
      <w:pPr>
        <w:ind w:left="2526" w:hanging="360"/>
      </w:pPr>
      <w:rPr>
        <w:rFonts w:ascii="Wingdings" w:hAnsi="Wingdings" w:hint="default"/>
      </w:rPr>
    </w:lvl>
    <w:lvl w:ilvl="3" w:tplc="40090001" w:tentative="1">
      <w:start w:val="1"/>
      <w:numFmt w:val="bullet"/>
      <w:lvlText w:val=""/>
      <w:lvlJc w:val="left"/>
      <w:pPr>
        <w:ind w:left="3246" w:hanging="360"/>
      </w:pPr>
      <w:rPr>
        <w:rFonts w:ascii="Symbol" w:hAnsi="Symbol" w:hint="default"/>
      </w:rPr>
    </w:lvl>
    <w:lvl w:ilvl="4" w:tplc="40090003" w:tentative="1">
      <w:start w:val="1"/>
      <w:numFmt w:val="bullet"/>
      <w:lvlText w:val="o"/>
      <w:lvlJc w:val="left"/>
      <w:pPr>
        <w:ind w:left="3966" w:hanging="360"/>
      </w:pPr>
      <w:rPr>
        <w:rFonts w:ascii="Courier New" w:hAnsi="Courier New" w:cs="Courier New" w:hint="default"/>
      </w:rPr>
    </w:lvl>
    <w:lvl w:ilvl="5" w:tplc="40090005" w:tentative="1">
      <w:start w:val="1"/>
      <w:numFmt w:val="bullet"/>
      <w:lvlText w:val=""/>
      <w:lvlJc w:val="left"/>
      <w:pPr>
        <w:ind w:left="4686" w:hanging="360"/>
      </w:pPr>
      <w:rPr>
        <w:rFonts w:ascii="Wingdings" w:hAnsi="Wingdings" w:hint="default"/>
      </w:rPr>
    </w:lvl>
    <w:lvl w:ilvl="6" w:tplc="40090001" w:tentative="1">
      <w:start w:val="1"/>
      <w:numFmt w:val="bullet"/>
      <w:lvlText w:val=""/>
      <w:lvlJc w:val="left"/>
      <w:pPr>
        <w:ind w:left="5406" w:hanging="360"/>
      </w:pPr>
      <w:rPr>
        <w:rFonts w:ascii="Symbol" w:hAnsi="Symbol" w:hint="default"/>
      </w:rPr>
    </w:lvl>
    <w:lvl w:ilvl="7" w:tplc="40090003" w:tentative="1">
      <w:start w:val="1"/>
      <w:numFmt w:val="bullet"/>
      <w:lvlText w:val="o"/>
      <w:lvlJc w:val="left"/>
      <w:pPr>
        <w:ind w:left="6126" w:hanging="360"/>
      </w:pPr>
      <w:rPr>
        <w:rFonts w:ascii="Courier New" w:hAnsi="Courier New" w:cs="Courier New" w:hint="default"/>
      </w:rPr>
    </w:lvl>
    <w:lvl w:ilvl="8" w:tplc="40090005" w:tentative="1">
      <w:start w:val="1"/>
      <w:numFmt w:val="bullet"/>
      <w:lvlText w:val=""/>
      <w:lvlJc w:val="left"/>
      <w:pPr>
        <w:ind w:left="6846" w:hanging="360"/>
      </w:pPr>
      <w:rPr>
        <w:rFonts w:ascii="Wingdings" w:hAnsi="Wingdings" w:hint="default"/>
      </w:rPr>
    </w:lvl>
  </w:abstractNum>
  <w:abstractNum w:abstractNumId="7" w15:restartNumberingAfterBreak="0">
    <w:nsid w:val="379933D7"/>
    <w:multiLevelType w:val="hybridMultilevel"/>
    <w:tmpl w:val="DDA24EB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8" w15:restartNumberingAfterBreak="0">
    <w:nsid w:val="43CC1CB7"/>
    <w:multiLevelType w:val="multilevel"/>
    <w:tmpl w:val="B2D88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8DD5F01"/>
    <w:multiLevelType w:val="multilevel"/>
    <w:tmpl w:val="C78A9FA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FF58D2"/>
    <w:multiLevelType w:val="hybridMultilevel"/>
    <w:tmpl w:val="C79678CA"/>
    <w:lvl w:ilvl="0" w:tplc="4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69564B31"/>
    <w:multiLevelType w:val="multilevel"/>
    <w:tmpl w:val="DAD82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16BD5"/>
    <w:multiLevelType w:val="multilevel"/>
    <w:tmpl w:val="1922A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4C48C5"/>
    <w:multiLevelType w:val="multilevel"/>
    <w:tmpl w:val="EB6C560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8CE55CC"/>
    <w:multiLevelType w:val="multilevel"/>
    <w:tmpl w:val="931AD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38839151">
    <w:abstractNumId w:val="7"/>
  </w:num>
  <w:num w:numId="2" w16cid:durableId="1808626802">
    <w:abstractNumId w:val="4"/>
  </w:num>
  <w:num w:numId="3" w16cid:durableId="193813600">
    <w:abstractNumId w:val="3"/>
  </w:num>
  <w:num w:numId="4" w16cid:durableId="185075101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87920737">
    <w:abstractNumId w:val="1"/>
  </w:num>
  <w:num w:numId="6" w16cid:durableId="1331131585">
    <w:abstractNumId w:val="8"/>
  </w:num>
  <w:num w:numId="7" w16cid:durableId="514927071">
    <w:abstractNumId w:val="0"/>
  </w:num>
  <w:num w:numId="8" w16cid:durableId="1056778339">
    <w:abstractNumId w:val="6"/>
  </w:num>
  <w:num w:numId="9" w16cid:durableId="1176578024">
    <w:abstractNumId w:val="11"/>
  </w:num>
  <w:num w:numId="10" w16cid:durableId="251210185">
    <w:abstractNumId w:val="9"/>
  </w:num>
  <w:num w:numId="11" w16cid:durableId="429741257">
    <w:abstractNumId w:val="14"/>
  </w:num>
  <w:num w:numId="12" w16cid:durableId="1829133737">
    <w:abstractNumId w:val="13"/>
  </w:num>
  <w:num w:numId="13" w16cid:durableId="1406682399">
    <w:abstractNumId w:val="2"/>
  </w:num>
  <w:num w:numId="14" w16cid:durableId="8339826">
    <w:abstractNumId w:val="5"/>
  </w:num>
  <w:num w:numId="15" w16cid:durableId="19136133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20"/>
  <w:characterSpacingControl w:val="doNotCompress"/>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S2MDA3MbU0NrI0NzVS0lEKTi0uzszPAymwqAUA5aGFSCwAAAA="/>
  </w:docVars>
  <w:rsids>
    <w:rsidRoot w:val="004600AE"/>
    <w:rsid w:val="0003591D"/>
    <w:rsid w:val="000D0E12"/>
    <w:rsid w:val="000E2BBD"/>
    <w:rsid w:val="00107B6B"/>
    <w:rsid w:val="00146051"/>
    <w:rsid w:val="001A7947"/>
    <w:rsid w:val="002E6555"/>
    <w:rsid w:val="003134B0"/>
    <w:rsid w:val="0034137C"/>
    <w:rsid w:val="003A0F08"/>
    <w:rsid w:val="003C56DC"/>
    <w:rsid w:val="004600AE"/>
    <w:rsid w:val="00495E51"/>
    <w:rsid w:val="004F32E4"/>
    <w:rsid w:val="005C0F2C"/>
    <w:rsid w:val="00632E70"/>
    <w:rsid w:val="00655FC1"/>
    <w:rsid w:val="00754BEF"/>
    <w:rsid w:val="007E1F52"/>
    <w:rsid w:val="008E1A79"/>
    <w:rsid w:val="00B36C0C"/>
    <w:rsid w:val="00BD1C38"/>
    <w:rsid w:val="00BD71F9"/>
    <w:rsid w:val="00D46FD4"/>
    <w:rsid w:val="00D550AC"/>
    <w:rsid w:val="00DA0F15"/>
    <w:rsid w:val="00E85EF4"/>
    <w:rsid w:val="00EC5215"/>
    <w:rsid w:val="00FA4C46"/>
    <w:rsid w:val="00FA63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A938F"/>
  <w15:docId w15:val="{E7BEAAFD-90F5-45D8-A20B-642FEA35E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0AE"/>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00AE"/>
    <w:pPr>
      <w:ind w:left="720"/>
      <w:contextualSpacing/>
    </w:pPr>
  </w:style>
  <w:style w:type="paragraph" w:styleId="Title">
    <w:name w:val="Title"/>
    <w:link w:val="TitleChar"/>
    <w:uiPriority w:val="10"/>
    <w:qFormat/>
    <w:rsid w:val="004600AE"/>
    <w:pPr>
      <w:widowControl w:val="0"/>
      <w:pBdr>
        <w:top w:val="nil"/>
        <w:left w:val="nil"/>
        <w:bottom w:val="nil"/>
        <w:right w:val="nil"/>
        <w:between w:val="nil"/>
        <w:bar w:val="nil"/>
      </w:pBdr>
      <w:spacing w:before="207" w:after="0" w:line="240" w:lineRule="auto"/>
      <w:ind w:left="113" w:right="112"/>
      <w:jc w:val="both"/>
    </w:pPr>
    <w:rPr>
      <w:rFonts w:ascii="Times New Roman" w:eastAsia="Arial Unicode MS" w:hAnsi="Times New Roman" w:cs="Arial Unicode MS"/>
      <w:b/>
      <w:bCs/>
      <w:color w:val="000000"/>
      <w:sz w:val="24"/>
      <w:szCs w:val="24"/>
      <w:u w:color="000000"/>
      <w:bdr w:val="nil"/>
      <w:lang w:val="en-US" w:eastAsia="en-IN"/>
    </w:rPr>
  </w:style>
  <w:style w:type="character" w:customStyle="1" w:styleId="TitleChar">
    <w:name w:val="Title Char"/>
    <w:basedOn w:val="DefaultParagraphFont"/>
    <w:link w:val="Title"/>
    <w:uiPriority w:val="10"/>
    <w:rsid w:val="004600AE"/>
    <w:rPr>
      <w:rFonts w:ascii="Times New Roman" w:eastAsia="Arial Unicode MS" w:hAnsi="Times New Roman" w:cs="Arial Unicode MS"/>
      <w:b/>
      <w:bCs/>
      <w:color w:val="000000"/>
      <w:sz w:val="24"/>
      <w:szCs w:val="24"/>
      <w:u w:color="000000"/>
      <w:bdr w:val="nil"/>
      <w:lang w:val="en-US" w:eastAsia="en-IN"/>
    </w:rPr>
  </w:style>
  <w:style w:type="character" w:customStyle="1" w:styleId="Hyperlink0">
    <w:name w:val="Hyperlink.0"/>
    <w:basedOn w:val="Hyperlink"/>
    <w:rsid w:val="004600AE"/>
    <w:rPr>
      <w:outline w:val="0"/>
      <w:color w:val="0000FF"/>
      <w:u w:val="single" w:color="0000FF"/>
    </w:rPr>
  </w:style>
  <w:style w:type="character" w:styleId="Hyperlink">
    <w:name w:val="Hyperlink"/>
    <w:basedOn w:val="DefaultParagraphFont"/>
    <w:uiPriority w:val="99"/>
    <w:unhideWhenUsed/>
    <w:rsid w:val="004600AE"/>
    <w:rPr>
      <w:color w:val="0563C1" w:themeColor="hyperlink"/>
      <w:u w:val="single"/>
    </w:rPr>
  </w:style>
  <w:style w:type="paragraph" w:styleId="BodyText">
    <w:name w:val="Body Text"/>
    <w:link w:val="BodyTextChar"/>
    <w:rsid w:val="002E6555"/>
    <w:pPr>
      <w:widowControl w:val="0"/>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n-US" w:eastAsia="en-IN"/>
    </w:rPr>
  </w:style>
  <w:style w:type="character" w:customStyle="1" w:styleId="BodyTextChar">
    <w:name w:val="Body Text Char"/>
    <w:basedOn w:val="DefaultParagraphFont"/>
    <w:link w:val="BodyText"/>
    <w:rsid w:val="002E6555"/>
    <w:rPr>
      <w:rFonts w:ascii="Times New Roman" w:eastAsia="Times New Roman" w:hAnsi="Times New Roman" w:cs="Times New Roman"/>
      <w:color w:val="000000"/>
      <w:sz w:val="24"/>
      <w:szCs w:val="24"/>
      <w:u w:color="000000"/>
      <w:bdr w:val="nil"/>
      <w:lang w:val="en-US" w:eastAsia="en-IN"/>
    </w:rPr>
  </w:style>
  <w:style w:type="numbering" w:customStyle="1" w:styleId="Numbered">
    <w:name w:val="Numbered"/>
    <w:rsid w:val="002E6555"/>
    <w:pPr>
      <w:numPr>
        <w:numId w:val="2"/>
      </w:numPr>
    </w:pPr>
  </w:style>
  <w:style w:type="paragraph" w:styleId="NormalWeb">
    <w:name w:val="Normal (Web)"/>
    <w:basedOn w:val="Normal"/>
    <w:uiPriority w:val="99"/>
    <w:semiHidden/>
    <w:unhideWhenUsed/>
    <w:rsid w:val="003134B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customStyle="1" w:styleId="html-x">
    <w:name w:val="html-x"/>
    <w:basedOn w:val="Normal"/>
    <w:rsid w:val="004F3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tml-italic">
    <w:name w:val="html-italic"/>
    <w:basedOn w:val="DefaultParagraphFont"/>
    <w:rsid w:val="004F32E4"/>
  </w:style>
  <w:style w:type="paragraph" w:customStyle="1" w:styleId="html-xx">
    <w:name w:val="html-xx"/>
    <w:basedOn w:val="Normal"/>
    <w:rsid w:val="004F32E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UnresolvedMention">
    <w:name w:val="Unresolved Mention"/>
    <w:basedOn w:val="DefaultParagraphFont"/>
    <w:uiPriority w:val="99"/>
    <w:semiHidden/>
    <w:unhideWhenUsed/>
    <w:rsid w:val="003C5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62580">
      <w:bodyDiv w:val="1"/>
      <w:marLeft w:val="0"/>
      <w:marRight w:val="0"/>
      <w:marTop w:val="0"/>
      <w:marBottom w:val="0"/>
      <w:divBdr>
        <w:top w:val="none" w:sz="0" w:space="0" w:color="auto"/>
        <w:left w:val="none" w:sz="0" w:space="0" w:color="auto"/>
        <w:bottom w:val="none" w:sz="0" w:space="0" w:color="auto"/>
        <w:right w:val="none" w:sz="0" w:space="0" w:color="auto"/>
      </w:divBdr>
    </w:div>
    <w:div w:id="621426738">
      <w:bodyDiv w:val="1"/>
      <w:marLeft w:val="0"/>
      <w:marRight w:val="0"/>
      <w:marTop w:val="0"/>
      <w:marBottom w:val="0"/>
      <w:divBdr>
        <w:top w:val="none" w:sz="0" w:space="0" w:color="auto"/>
        <w:left w:val="none" w:sz="0" w:space="0" w:color="auto"/>
        <w:bottom w:val="none" w:sz="0" w:space="0" w:color="auto"/>
        <w:right w:val="none" w:sz="0" w:space="0" w:color="auto"/>
      </w:divBdr>
    </w:div>
    <w:div w:id="976685110">
      <w:bodyDiv w:val="1"/>
      <w:marLeft w:val="0"/>
      <w:marRight w:val="0"/>
      <w:marTop w:val="0"/>
      <w:marBottom w:val="0"/>
      <w:divBdr>
        <w:top w:val="none" w:sz="0" w:space="0" w:color="auto"/>
        <w:left w:val="none" w:sz="0" w:space="0" w:color="auto"/>
        <w:bottom w:val="none" w:sz="0" w:space="0" w:color="auto"/>
        <w:right w:val="none" w:sz="0" w:space="0" w:color="auto"/>
      </w:divBdr>
    </w:div>
    <w:div w:id="2034838109">
      <w:bodyDiv w:val="1"/>
      <w:marLeft w:val="0"/>
      <w:marRight w:val="0"/>
      <w:marTop w:val="0"/>
      <w:marBottom w:val="0"/>
      <w:divBdr>
        <w:top w:val="none" w:sz="0" w:space="0" w:color="auto"/>
        <w:left w:val="none" w:sz="0" w:space="0" w:color="auto"/>
        <w:bottom w:val="none" w:sz="0" w:space="0" w:color="auto"/>
        <w:right w:val="none" w:sz="0" w:space="0" w:color="auto"/>
      </w:divBdr>
    </w:div>
    <w:div w:id="20383834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suyash.kathade9@gmail.com" TargetMode="External"/><Relationship Id="rId3" Type="http://schemas.openxmlformats.org/officeDocument/2006/relationships/styles" Target="styles.xml"/><Relationship Id="rId7" Type="http://schemas.openxmlformats.org/officeDocument/2006/relationships/hyperlink" Target="mailto:mayuraswani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yash.kathade9@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A722-D30B-4D94-847E-70088B0A4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14170</Words>
  <Characters>80772</Characters>
  <Application>Microsoft Office Word</Application>
  <DocSecurity>0</DocSecurity>
  <Lines>673</Lines>
  <Paragraphs>189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Suyash Kathade</dc:creator>
  <cp:keywords/>
  <dc:description/>
  <cp:lastModifiedBy>Dr. Suyash Kathade</cp:lastModifiedBy>
  <cp:revision>5</cp:revision>
  <dcterms:created xsi:type="dcterms:W3CDTF">2022-10-04T18:12:00Z</dcterms:created>
  <dcterms:modified xsi:type="dcterms:W3CDTF">2023-06-28T11:43:00Z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e792bcb7-7fba-4f63-9c98-2fba38c961a6</vt:lpwstr>
  </property>
  <property fmtid="{D5CDD505-2E9C-101B-9397-08002B2CF9AE}" pid="3" name="Mendeley Document_1">
    <vt:lpwstr>True</vt:lpwstr>
  </property>
  <property fmtid="{D5CDD505-2E9C-101B-9397-08002B2CF9AE}" pid="4" name="Mendeley Unique User Id_1">
    <vt:lpwstr>6b70592f-9d08-3bf2-8db9-b27b2a7a35b0</vt:lpwstr>
  </property>
  <property fmtid="{D5CDD505-2E9C-101B-9397-08002B2CF9AE}" pid="5" name="Mendeley Citation Style_1">
    <vt:lpwstr>http://www.zotero.org/styles/current-pharmaceutical-design</vt:lpwstr>
  </property>
  <property fmtid="{D5CDD505-2E9C-101B-9397-08002B2CF9AE}" pid="6" name="Mendeley Recent Style Id 0_1">
    <vt:lpwstr>http://www.zotero.org/styles/apa-6th-edition</vt:lpwstr>
  </property>
  <property fmtid="{D5CDD505-2E9C-101B-9397-08002B2CF9AE}" pid="7" name="Mendeley Recent Style Name 0_1">
    <vt:lpwstr>American Psychological Association 6th edition</vt:lpwstr>
  </property>
  <property fmtid="{D5CDD505-2E9C-101B-9397-08002B2CF9AE}" pid="8" name="Mendeley Recent Style Id 1_1">
    <vt:lpwstr>http://www.zotero.org/styles/apa</vt:lpwstr>
  </property>
  <property fmtid="{D5CDD505-2E9C-101B-9397-08002B2CF9AE}" pid="9" name="Mendeley Recent Style Name 1_1">
    <vt:lpwstr>American Psychological Association 7th edition</vt:lpwstr>
  </property>
  <property fmtid="{D5CDD505-2E9C-101B-9397-08002B2CF9AE}" pid="10" name="Mendeley Recent Style Id 2_1">
    <vt:lpwstr>http://www.zotero.org/styles/current-pharmaceutical-design</vt:lpwstr>
  </property>
  <property fmtid="{D5CDD505-2E9C-101B-9397-08002B2CF9AE}" pid="11" name="Mendeley Recent Style Name 2_1">
    <vt:lpwstr>Current Pharmaceutical Design</vt:lpwstr>
  </property>
  <property fmtid="{D5CDD505-2E9C-101B-9397-08002B2CF9AE}" pid="12" name="Mendeley Recent Style Id 3_1">
    <vt:lpwstr>http://www.zotero.org/styles/elsevier-vancouver</vt:lpwstr>
  </property>
  <property fmtid="{D5CDD505-2E9C-101B-9397-08002B2CF9AE}" pid="13" name="Mendeley Recent Style Name 3_1">
    <vt:lpwstr>Elsevier - Vancouver</vt:lpwstr>
  </property>
  <property fmtid="{D5CDD505-2E9C-101B-9397-08002B2CF9AE}" pid="14" name="Mendeley Recent Style Id 4_1">
    <vt:lpwstr>http://www.zotero.org/styles/international-journal-of-food-microbiology</vt:lpwstr>
  </property>
  <property fmtid="{D5CDD505-2E9C-101B-9397-08002B2CF9AE}" pid="15" name="Mendeley Recent Style Name 4_1">
    <vt:lpwstr>International Journal of Food Microbiology</vt:lpwstr>
  </property>
  <property fmtid="{D5CDD505-2E9C-101B-9397-08002B2CF9AE}" pid="16" name="Mendeley Recent Style Id 5_1">
    <vt:lpwstr>http://www.zotero.org/styles/mary-ann-liebert-vancouver</vt:lpwstr>
  </property>
  <property fmtid="{D5CDD505-2E9C-101B-9397-08002B2CF9AE}" pid="17" name="Mendeley Recent Style Name 5_1">
    <vt:lpwstr>Mary Ann Liebert - Vancouver</vt:lpwstr>
  </property>
  <property fmtid="{D5CDD505-2E9C-101B-9397-08002B2CF9AE}" pid="18" name="Mendeley Recent Style Id 6_1">
    <vt:lpwstr>http://www.zotero.org/styles/modern-humanities-research-association</vt:lpwstr>
  </property>
  <property fmtid="{D5CDD505-2E9C-101B-9397-08002B2CF9AE}" pid="19" name="Mendeley Recent Style Name 6_1">
    <vt:lpwstr>Modern Humanities Research Association 3rd edition (note with bibliography)</vt:lpwstr>
  </property>
  <property fmtid="{D5CDD505-2E9C-101B-9397-08002B2CF9AE}" pid="20" name="Mendeley Recent Style Id 7_1">
    <vt:lpwstr>http://www.zotero.org/styles/south-african-journal-of-geology</vt:lpwstr>
  </property>
  <property fmtid="{D5CDD505-2E9C-101B-9397-08002B2CF9AE}" pid="21" name="Mendeley Recent Style Name 7_1">
    <vt:lpwstr>South African Journal of Geology</vt:lpwstr>
  </property>
  <property fmtid="{D5CDD505-2E9C-101B-9397-08002B2CF9AE}" pid="22" name="Mendeley Recent Style Id 8_1">
    <vt:lpwstr>http://www.zotero.org/styles/springer-vancouver</vt:lpwstr>
  </property>
  <property fmtid="{D5CDD505-2E9C-101B-9397-08002B2CF9AE}" pid="23" name="Mendeley Recent Style Name 8_1">
    <vt:lpwstr>Springer - Vancouver</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ies>
</file>