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webextensions/webextension6.xml" ContentType="application/vnd.ms-office.webextension+xml"/>
  <Override PartName="/word/webextensions/webextension7.xml" ContentType="application/vnd.ms-office.webextension+xml"/>
  <Override PartName="/word/webextensions/webextension8.xml" ContentType="application/vnd.ms-office.webextension+xml"/>
  <Override PartName="/word/webextensions/webextension9.xml" ContentType="application/vnd.ms-office.webextension+xml"/>
  <Override PartName="/word/webextensions/webextension10.xml" ContentType="application/vnd.ms-office.webextension+xml"/>
  <Override PartName="/word/webextensions/webextension11.xml" ContentType="application/vnd.ms-office.webextension+xml"/>
  <Override PartName="/word/webextensions/webextension1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6D6C" w14:textId="77777777" w:rsidR="00970411" w:rsidRDefault="00970411" w:rsidP="00D12C60">
      <w:pPr>
        <w:jc w:val="center"/>
        <w:rPr>
          <w:rFonts w:eastAsiaTheme="majorEastAsia" w:cs="Times New Roman"/>
          <w:b/>
          <w:bCs/>
          <w:color w:val="auto"/>
          <w:spacing w:val="-10"/>
          <w:kern w:val="28"/>
          <w:sz w:val="28"/>
          <w:szCs w:val="28"/>
          <w:u w:val="single"/>
        </w:rPr>
      </w:pPr>
    </w:p>
    <w:p w14:paraId="7787C8E2" w14:textId="77777777" w:rsidR="00F265CD" w:rsidRPr="00ED522C" w:rsidRDefault="00000000" w:rsidP="00ED522C">
      <w:pPr>
        <w:pStyle w:val="Subtitle"/>
        <w:spacing w:line="240" w:lineRule="auto"/>
        <w:jc w:val="both"/>
        <w:rPr>
          <w:rFonts w:ascii="Times New Roman" w:hAnsi="Times New Roman" w:cs="Times New Roman"/>
          <w:color w:val="auto"/>
          <w:sz w:val="56"/>
          <w:szCs w:val="56"/>
        </w:rPr>
      </w:pPr>
      <w:r w:rsidRPr="00ED522C">
        <w:rPr>
          <w:rFonts w:ascii="Times New Roman" w:hAnsi="Times New Roman" w:cs="Times New Roman"/>
          <w:color w:val="auto"/>
          <w:sz w:val="56"/>
          <w:szCs w:val="56"/>
        </w:rPr>
        <w:t>Probiotics and its health benefits</w:t>
      </w:r>
    </w:p>
    <w:p w14:paraId="2F3281A9" w14:textId="23645B9C" w:rsidR="004C5CD2" w:rsidRPr="00100794" w:rsidRDefault="00000000" w:rsidP="004C5CD2">
      <w:pPr>
        <w:spacing w:line="240" w:lineRule="auto"/>
        <w:jc w:val="center"/>
        <w:rPr>
          <w:sz w:val="20"/>
          <w:szCs w:val="20"/>
        </w:rPr>
      </w:pPr>
      <w:r w:rsidRPr="00100794">
        <w:rPr>
          <w:sz w:val="20"/>
          <w:szCs w:val="20"/>
        </w:rPr>
        <w:t>Deepak Kumar</w:t>
      </w:r>
      <w:r w:rsidR="00310302" w:rsidRPr="00310302">
        <w:rPr>
          <w:sz w:val="20"/>
          <w:szCs w:val="20"/>
          <w:vertAlign w:val="superscript"/>
        </w:rPr>
        <w:t>1</w:t>
      </w:r>
      <w:r w:rsidR="0031628D">
        <w:rPr>
          <w:sz w:val="20"/>
          <w:szCs w:val="20"/>
        </w:rPr>
        <w:t>,</w:t>
      </w:r>
      <w:r w:rsidRPr="00100794">
        <w:rPr>
          <w:sz w:val="20"/>
          <w:szCs w:val="20"/>
        </w:rPr>
        <w:t xml:space="preserve"> Himanshu Kumar Singh</w:t>
      </w:r>
      <w:r w:rsidR="00D57FAD">
        <w:rPr>
          <w:sz w:val="20"/>
          <w:szCs w:val="20"/>
          <w:vertAlign w:val="superscript"/>
        </w:rPr>
        <w:t>1</w:t>
      </w:r>
      <w:r w:rsidR="0031628D">
        <w:rPr>
          <w:sz w:val="20"/>
          <w:szCs w:val="20"/>
        </w:rPr>
        <w:t>, Sangita Ganguly</w:t>
      </w:r>
      <w:r w:rsidR="00D57FAD">
        <w:rPr>
          <w:sz w:val="20"/>
          <w:szCs w:val="20"/>
          <w:vertAlign w:val="superscript"/>
        </w:rPr>
        <w:t>2</w:t>
      </w:r>
      <w:r w:rsidR="00617292">
        <w:rPr>
          <w:sz w:val="20"/>
          <w:szCs w:val="20"/>
        </w:rPr>
        <w:t>,</w:t>
      </w:r>
      <w:r w:rsidR="0031628D">
        <w:rPr>
          <w:sz w:val="20"/>
          <w:szCs w:val="20"/>
        </w:rPr>
        <w:t xml:space="preserve"> and Harish </w:t>
      </w:r>
      <w:proofErr w:type="spellStart"/>
      <w:r w:rsidR="0031628D">
        <w:rPr>
          <w:sz w:val="20"/>
          <w:szCs w:val="20"/>
        </w:rPr>
        <w:t>Ganeshrao</w:t>
      </w:r>
      <w:proofErr w:type="spellEnd"/>
      <w:r w:rsidR="0031628D">
        <w:rPr>
          <w:sz w:val="20"/>
          <w:szCs w:val="20"/>
        </w:rPr>
        <w:t xml:space="preserve"> Tawade</w:t>
      </w:r>
      <w:r w:rsidR="00D57FAD">
        <w:rPr>
          <w:sz w:val="20"/>
          <w:szCs w:val="20"/>
          <w:vertAlign w:val="superscript"/>
        </w:rPr>
        <w:t>1</w:t>
      </w:r>
    </w:p>
    <w:p w14:paraId="3FA4F81A" w14:textId="5C545C50" w:rsidR="004C5CD2" w:rsidRPr="00100794" w:rsidRDefault="00D57FAD" w:rsidP="004C5CD2">
      <w:pPr>
        <w:spacing w:line="240" w:lineRule="auto"/>
        <w:jc w:val="center"/>
        <w:rPr>
          <w:sz w:val="20"/>
          <w:szCs w:val="20"/>
        </w:rPr>
      </w:pPr>
      <w:r w:rsidRPr="00D57FAD">
        <w:rPr>
          <w:sz w:val="20"/>
          <w:szCs w:val="20"/>
          <w:vertAlign w:val="superscript"/>
        </w:rPr>
        <w:t>1</w:t>
      </w:r>
      <w:r w:rsidR="00000000" w:rsidRPr="00100794">
        <w:rPr>
          <w:sz w:val="20"/>
          <w:szCs w:val="20"/>
        </w:rPr>
        <w:t>Research Scholar</w:t>
      </w:r>
      <w:r>
        <w:rPr>
          <w:sz w:val="20"/>
          <w:szCs w:val="20"/>
        </w:rPr>
        <w:t xml:space="preserve"> and </w:t>
      </w:r>
      <w:r w:rsidRPr="00D57FAD">
        <w:rPr>
          <w:sz w:val="20"/>
          <w:szCs w:val="20"/>
          <w:vertAlign w:val="superscript"/>
        </w:rPr>
        <w:t>2</w:t>
      </w:r>
      <w:r>
        <w:rPr>
          <w:sz w:val="20"/>
          <w:szCs w:val="20"/>
        </w:rPr>
        <w:t>Senior Scientist</w:t>
      </w:r>
    </w:p>
    <w:p w14:paraId="36CED0C4" w14:textId="77777777" w:rsidR="004C5CD2" w:rsidRPr="00100794" w:rsidRDefault="00000000" w:rsidP="004C5CD2">
      <w:pPr>
        <w:spacing w:after="360" w:line="240" w:lineRule="auto"/>
        <w:jc w:val="center"/>
        <w:rPr>
          <w:sz w:val="20"/>
          <w:szCs w:val="20"/>
        </w:rPr>
      </w:pPr>
      <w:r w:rsidRPr="00100794">
        <w:rPr>
          <w:sz w:val="20"/>
          <w:szCs w:val="20"/>
        </w:rPr>
        <w:t>Dairy Technology Division, ICAR-National Dairy Research Institute Karnal.</w:t>
      </w:r>
    </w:p>
    <w:p w14:paraId="372BC872" w14:textId="77777777" w:rsidR="00E01CD8" w:rsidRPr="00100794" w:rsidRDefault="00000000" w:rsidP="00E54730">
      <w:pPr>
        <w:pStyle w:val="Heading3"/>
        <w:rPr>
          <w:rFonts w:eastAsia="Arial" w:cs="Arial"/>
          <w:sz w:val="20"/>
          <w:szCs w:val="20"/>
          <w:lang w:val="en-IN"/>
        </w:rPr>
      </w:pPr>
      <w:bookmarkStart w:id="0" w:name="_Toc141790387"/>
      <w:r w:rsidRPr="00100794">
        <w:rPr>
          <w:sz w:val="20"/>
          <w:szCs w:val="20"/>
        </w:rPr>
        <w:t>PROBIOTIC</w:t>
      </w:r>
      <w:bookmarkEnd w:id="0"/>
      <w:r w:rsidRPr="00100794">
        <w:rPr>
          <w:sz w:val="20"/>
          <w:szCs w:val="20"/>
        </w:rPr>
        <w:t xml:space="preserve"> </w:t>
      </w:r>
    </w:p>
    <w:p w14:paraId="25B57DB4" w14:textId="77777777" w:rsidR="0044346A" w:rsidRPr="00100794" w:rsidRDefault="00000000" w:rsidP="0044346A">
      <w:pPr>
        <w:rPr>
          <w:color w:val="000000" w:themeColor="text1"/>
          <w:sz w:val="20"/>
          <w:szCs w:val="20"/>
        </w:rPr>
      </w:pPr>
      <w:bookmarkStart w:id="1" w:name="_Hlk144375456"/>
      <w:r w:rsidRPr="00100794">
        <w:rPr>
          <w:color w:val="000000" w:themeColor="text1"/>
          <w:sz w:val="20"/>
          <w:szCs w:val="20"/>
        </w:rPr>
        <w:t xml:space="preserve">Hippocrates famous statement, </w:t>
      </w:r>
      <w:r w:rsidRPr="00100794">
        <w:rPr>
          <w:i/>
          <w:iCs/>
          <w:color w:val="000000" w:themeColor="text1"/>
          <w:sz w:val="20"/>
          <w:szCs w:val="20"/>
        </w:rPr>
        <w:t>“Let food be thy medicine and medicine be thy food”,</w:t>
      </w:r>
      <w:r w:rsidRPr="00100794">
        <w:rPr>
          <w:color w:val="000000" w:themeColor="text1"/>
          <w:sz w:val="20"/>
          <w:szCs w:val="20"/>
        </w:rPr>
        <w:t xml:space="preserve">' embodies the fundamental philosophy embraced by health-conscious individuals. </w:t>
      </w:r>
      <w:bookmarkEnd w:id="1"/>
      <w:r w:rsidRPr="00100794">
        <w:rPr>
          <w:color w:val="000000" w:themeColor="text1"/>
          <w:sz w:val="20"/>
          <w:szCs w:val="20"/>
        </w:rPr>
        <w:t xml:space="preserve">The term 'probiotic' originates in Greek, derived from 'pro' (for) and 'biotic' (life), signifying its relation to promoting life. In the late 19th century, microbiologists made noteworthy observations regarding the disparities in gut flora between healthy and diseased individuals. Nobel laureate Elie Metchnikoff reported the advantageous role of selective bacteria in the gastrointestinal tract. Probiotic organisms are pivotal in enhancing the body's natural defence mechanisms (Getahun </w:t>
      </w:r>
      <w:r w:rsidRPr="00100794">
        <w:rPr>
          <w:i/>
          <w:iCs/>
          <w:color w:val="000000" w:themeColor="text1"/>
          <w:sz w:val="20"/>
          <w:szCs w:val="20"/>
        </w:rPr>
        <w:t>et al.,</w:t>
      </w:r>
      <w:r w:rsidRPr="00100794">
        <w:rPr>
          <w:color w:val="000000" w:themeColor="text1"/>
          <w:sz w:val="20"/>
          <w:szCs w:val="20"/>
        </w:rPr>
        <w:t xml:space="preserve"> 2017). The term 'Probiotics' was initially introduced by Vergin, who was investigating the detrimental effects of antibiotics and similar agents on gut microflora. He observed that 'probiotika' exhibited favorable attributes for the gut microbiota. </w:t>
      </w:r>
      <w:r w:rsidR="00A82A99" w:rsidRPr="00100794">
        <w:rPr>
          <w:color w:val="000000" w:themeColor="text1"/>
          <w:sz w:val="20"/>
          <w:szCs w:val="20"/>
        </w:rPr>
        <w:t>Fuller (1989) postulated that "probiotics" encompass live microbial feed supplements that exert advantageous effects on the host by ameliorating its microbial equilibrium.</w:t>
      </w:r>
      <w:r w:rsidRPr="00100794">
        <w:rPr>
          <w:color w:val="000000" w:themeColor="text1"/>
          <w:sz w:val="20"/>
          <w:szCs w:val="20"/>
        </w:rPr>
        <w:t xml:space="preserve"> The Food and Agriculture Organization (FAO) presents the official elucidation of 'probiotic' as living microorganisms that, when ingested in specific quantities, confer advantageous effects on the consumer's health (FAO/WHO, 2002). For a food product to be classified as 'probiotic,' it is essential to maintain a microbial count of ≥6 log CFU (Colony Forming Units) per milliliter or gram at the </w:t>
      </w:r>
      <w:r w:rsidR="002836D7" w:rsidRPr="00100794">
        <w:rPr>
          <w:color w:val="000000" w:themeColor="text1"/>
          <w:sz w:val="20"/>
          <w:szCs w:val="20"/>
        </w:rPr>
        <w:t>end</w:t>
      </w:r>
      <w:r w:rsidRPr="00100794">
        <w:rPr>
          <w:color w:val="000000" w:themeColor="text1"/>
          <w:sz w:val="20"/>
          <w:szCs w:val="20"/>
        </w:rPr>
        <w:t xml:space="preserve"> of its shelf-life to ensure the claimed health benefits (Ganguly </w:t>
      </w:r>
      <w:r w:rsidRPr="00100794">
        <w:rPr>
          <w:i/>
          <w:iCs/>
          <w:color w:val="000000" w:themeColor="text1"/>
          <w:sz w:val="20"/>
          <w:szCs w:val="20"/>
        </w:rPr>
        <w:t>et al.,</w:t>
      </w:r>
      <w:r w:rsidRPr="00100794">
        <w:rPr>
          <w:color w:val="000000" w:themeColor="text1"/>
          <w:sz w:val="20"/>
          <w:szCs w:val="20"/>
        </w:rPr>
        <w:t xml:space="preserve"> 2019). Recent recommendations propose that a concentration of 8 log CFU/g of product is necessary to </w:t>
      </w:r>
      <w:r w:rsidR="00F91B82" w:rsidRPr="00100794">
        <w:rPr>
          <w:color w:val="000000" w:themeColor="text1"/>
          <w:sz w:val="20"/>
          <w:szCs w:val="20"/>
        </w:rPr>
        <w:t>claim</w:t>
      </w:r>
      <w:r w:rsidRPr="00100794">
        <w:rPr>
          <w:color w:val="000000" w:themeColor="text1"/>
          <w:sz w:val="20"/>
          <w:szCs w:val="20"/>
        </w:rPr>
        <w:t xml:space="preserve"> health-promoting effects on the host (ICMR-DBT, 2011). The utilization of probiotics for disease management and the preservation and enhancement of health is not a novel concept. Nonetheless, there has been a resurgence in interest regarding their application as biotherapeutic agents, primarily driven by consumer demand and media influence. Subsequent research in this domain has unveiled that regular consumption of these beneficial bacteria can impart various health advantages.</w:t>
      </w:r>
    </w:p>
    <w:p w14:paraId="3EA43663" w14:textId="6082D927" w:rsidR="00EA08FB" w:rsidRPr="00100794" w:rsidRDefault="00000000" w:rsidP="00EA08FB">
      <w:pPr>
        <w:rPr>
          <w:color w:val="000000" w:themeColor="text1"/>
          <w:sz w:val="20"/>
          <w:szCs w:val="20"/>
        </w:rPr>
      </w:pPr>
      <w:r w:rsidRPr="00190C77">
        <w:rPr>
          <w:sz w:val="20"/>
          <w:szCs w:val="20"/>
        </w:rPr>
        <w:t>Consumers are now looking for products that offer value addition, meet health requirements beyond nutrition, and can be used as a value addition to food products for specific health benefits like lowering the risk of developing diseases, overall well-being, along with plenty of health benefits in the age of the rapidly expanding population and changing lifestyle</w:t>
      </w:r>
      <w:r>
        <w:rPr>
          <w:sz w:val="20"/>
          <w:szCs w:val="20"/>
        </w:rPr>
        <w:t xml:space="preserve"> </w:t>
      </w:r>
      <w:r w:rsidR="00ED522C" w:rsidRPr="00100794">
        <w:rPr>
          <w:sz w:val="20"/>
          <w:szCs w:val="20"/>
        </w:rPr>
        <w:t xml:space="preserve">(Singh </w:t>
      </w:r>
      <w:r w:rsidR="00ED522C" w:rsidRPr="00100794">
        <w:rPr>
          <w:i/>
          <w:iCs/>
          <w:sz w:val="20"/>
          <w:szCs w:val="20"/>
        </w:rPr>
        <w:t>et al</w:t>
      </w:r>
      <w:r w:rsidR="00ED522C" w:rsidRPr="00100794">
        <w:rPr>
          <w:sz w:val="20"/>
          <w:szCs w:val="20"/>
        </w:rPr>
        <w:t xml:space="preserve">., 2021). </w:t>
      </w:r>
      <w:bookmarkStart w:id="2" w:name="_Hlk144375664"/>
      <w:r w:rsidR="00341A05">
        <w:rPr>
          <w:sz w:val="20"/>
          <w:szCs w:val="20"/>
        </w:rPr>
        <w:t>I</w:t>
      </w:r>
      <w:r w:rsidR="00374A64" w:rsidRPr="00100794">
        <w:rPr>
          <w:color w:val="000000" w:themeColor="text1"/>
          <w:sz w:val="20"/>
          <w:szCs w:val="20"/>
        </w:rPr>
        <w:t>ncorporati</w:t>
      </w:r>
      <w:r w:rsidR="00341A05">
        <w:rPr>
          <w:color w:val="000000" w:themeColor="text1"/>
          <w:sz w:val="20"/>
          <w:szCs w:val="20"/>
        </w:rPr>
        <w:t>ng probiotics</w:t>
      </w:r>
      <w:r w:rsidR="00374A64" w:rsidRPr="00100794">
        <w:rPr>
          <w:color w:val="000000" w:themeColor="text1"/>
          <w:sz w:val="20"/>
          <w:szCs w:val="20"/>
        </w:rPr>
        <w:t xml:space="preserve"> into various food </w:t>
      </w:r>
      <w:r w:rsidR="00515606">
        <w:rPr>
          <w:color w:val="000000" w:themeColor="text1"/>
          <w:sz w:val="20"/>
          <w:szCs w:val="20"/>
        </w:rPr>
        <w:t>item</w:t>
      </w:r>
      <w:r w:rsidR="00374A64" w:rsidRPr="00100794">
        <w:rPr>
          <w:color w:val="000000" w:themeColor="text1"/>
          <w:sz w:val="20"/>
          <w:szCs w:val="20"/>
        </w:rPr>
        <w:t xml:space="preserve">s has led to the popularization of a novel category of functional foods known as 'probiotic </w:t>
      </w:r>
      <w:r w:rsidR="00515606">
        <w:rPr>
          <w:color w:val="000000" w:themeColor="text1"/>
          <w:sz w:val="20"/>
          <w:szCs w:val="20"/>
        </w:rPr>
        <w:t>product</w:t>
      </w:r>
      <w:r w:rsidR="00374A64" w:rsidRPr="00100794">
        <w:rPr>
          <w:color w:val="000000" w:themeColor="text1"/>
          <w:sz w:val="20"/>
          <w:szCs w:val="20"/>
        </w:rPr>
        <w:t xml:space="preserve">s.' </w:t>
      </w:r>
      <w:bookmarkStart w:id="3" w:name="_Hlk144375755"/>
      <w:bookmarkEnd w:id="2"/>
      <w:r w:rsidR="00374A64" w:rsidRPr="00100794">
        <w:rPr>
          <w:color w:val="000000" w:themeColor="text1"/>
          <w:sz w:val="20"/>
          <w:szCs w:val="20"/>
        </w:rPr>
        <w:t xml:space="preserve">Bacteria from </w:t>
      </w:r>
      <w:proofErr w:type="gramStart"/>
      <w:r w:rsidR="00374A64" w:rsidRPr="00100794">
        <w:rPr>
          <w:color w:val="000000" w:themeColor="text1"/>
          <w:sz w:val="20"/>
          <w:szCs w:val="20"/>
        </w:rPr>
        <w:t>the</w:t>
      </w:r>
      <w:r w:rsidR="005D1253">
        <w:rPr>
          <w:color w:val="000000" w:themeColor="text1"/>
          <w:sz w:val="20"/>
          <w:szCs w:val="20"/>
        </w:rPr>
        <w:t xml:space="preserve"> </w:t>
      </w:r>
      <w:r w:rsidR="00374A64" w:rsidRPr="00100794">
        <w:rPr>
          <w:color w:val="000000" w:themeColor="text1"/>
          <w:sz w:val="20"/>
          <w:szCs w:val="20"/>
        </w:rPr>
        <w:t xml:space="preserve"> </w:t>
      </w:r>
      <w:r w:rsidR="005D1253" w:rsidRPr="00100794">
        <w:rPr>
          <w:i/>
          <w:iCs/>
          <w:color w:val="000000" w:themeColor="text1"/>
          <w:sz w:val="20"/>
          <w:szCs w:val="20"/>
        </w:rPr>
        <w:t>Bifidobacterium</w:t>
      </w:r>
      <w:proofErr w:type="gramEnd"/>
      <w:r w:rsidR="005D1253" w:rsidRPr="00100794">
        <w:rPr>
          <w:i/>
          <w:iCs/>
          <w:color w:val="000000" w:themeColor="text1"/>
          <w:sz w:val="20"/>
          <w:szCs w:val="20"/>
        </w:rPr>
        <w:t xml:space="preserve"> </w:t>
      </w:r>
      <w:r w:rsidR="005D1253">
        <w:rPr>
          <w:i/>
          <w:iCs/>
          <w:color w:val="000000" w:themeColor="text1"/>
          <w:sz w:val="20"/>
          <w:szCs w:val="20"/>
        </w:rPr>
        <w:t xml:space="preserve">and </w:t>
      </w:r>
      <w:r w:rsidR="00374A64" w:rsidRPr="00100794">
        <w:rPr>
          <w:i/>
          <w:iCs/>
          <w:color w:val="000000" w:themeColor="text1"/>
          <w:sz w:val="20"/>
          <w:szCs w:val="20"/>
        </w:rPr>
        <w:t>Lactobacillus</w:t>
      </w:r>
      <w:r w:rsidR="00374A64" w:rsidRPr="00100794">
        <w:rPr>
          <w:color w:val="000000" w:themeColor="text1"/>
          <w:sz w:val="20"/>
          <w:szCs w:val="20"/>
        </w:rPr>
        <w:t xml:space="preserve"> genera are considered safe and commonly recognized as probiotics</w:t>
      </w:r>
      <w:bookmarkEnd w:id="3"/>
      <w:r w:rsidR="00374A64" w:rsidRPr="00100794">
        <w:rPr>
          <w:color w:val="000000" w:themeColor="text1"/>
          <w:sz w:val="20"/>
          <w:szCs w:val="20"/>
        </w:rPr>
        <w:t xml:space="preserve">. They exert positive effects on gut health. (Kimoto-Nira </w:t>
      </w:r>
      <w:r w:rsidR="00374A64" w:rsidRPr="00100794">
        <w:rPr>
          <w:i/>
          <w:iCs/>
          <w:color w:val="000000" w:themeColor="text1"/>
          <w:sz w:val="20"/>
          <w:szCs w:val="20"/>
        </w:rPr>
        <w:t>et al.,</w:t>
      </w:r>
      <w:r w:rsidR="00374A64" w:rsidRPr="00100794">
        <w:rPr>
          <w:color w:val="000000" w:themeColor="text1"/>
          <w:sz w:val="20"/>
          <w:szCs w:val="20"/>
        </w:rPr>
        <w:t xml:space="preserve"> 2007). Among the frequently utilized </w:t>
      </w:r>
      <w:r w:rsidR="00374A64" w:rsidRPr="00100794">
        <w:rPr>
          <w:i/>
          <w:iCs/>
          <w:color w:val="000000" w:themeColor="text1"/>
          <w:sz w:val="20"/>
          <w:szCs w:val="20"/>
        </w:rPr>
        <w:t>lactobacilli</w:t>
      </w:r>
      <w:r w:rsidR="00374A64" w:rsidRPr="00100794">
        <w:rPr>
          <w:color w:val="000000" w:themeColor="text1"/>
          <w:sz w:val="20"/>
          <w:szCs w:val="20"/>
        </w:rPr>
        <w:t xml:space="preserve"> strains are </w:t>
      </w:r>
      <w:r w:rsidR="00374A64" w:rsidRPr="00100794">
        <w:rPr>
          <w:i/>
          <w:iCs/>
          <w:color w:val="000000" w:themeColor="text1"/>
          <w:sz w:val="20"/>
          <w:szCs w:val="20"/>
        </w:rPr>
        <w:t>L. acidophilus, L. casei, L. rhamnosus, L. reuteri, L. delbrueckii ssp. bulgaricus, L. plantarum, L. johnsonii, L. brevis, L. cellobiosus, L. fermentum,</w:t>
      </w:r>
      <w:r w:rsidR="00374A64" w:rsidRPr="00100794">
        <w:rPr>
          <w:color w:val="000000" w:themeColor="text1"/>
          <w:sz w:val="20"/>
          <w:szCs w:val="20"/>
        </w:rPr>
        <w:t xml:space="preserve"> and </w:t>
      </w:r>
      <w:r w:rsidR="00374A64" w:rsidRPr="00100794">
        <w:rPr>
          <w:i/>
          <w:iCs/>
          <w:color w:val="000000" w:themeColor="text1"/>
          <w:sz w:val="20"/>
          <w:szCs w:val="20"/>
        </w:rPr>
        <w:t xml:space="preserve">L. </w:t>
      </w:r>
      <w:proofErr w:type="spellStart"/>
      <w:r w:rsidR="00374A64" w:rsidRPr="00100794">
        <w:rPr>
          <w:i/>
          <w:iCs/>
          <w:color w:val="000000" w:themeColor="text1"/>
          <w:sz w:val="20"/>
          <w:szCs w:val="20"/>
        </w:rPr>
        <w:t>gasseri</w:t>
      </w:r>
      <w:proofErr w:type="spellEnd"/>
      <w:r w:rsidR="00374A64" w:rsidRPr="00100794">
        <w:rPr>
          <w:color w:val="000000" w:themeColor="text1"/>
          <w:sz w:val="20"/>
          <w:szCs w:val="20"/>
        </w:rPr>
        <w:t xml:space="preserve"> (</w:t>
      </w:r>
      <w:proofErr w:type="spellStart"/>
      <w:r w:rsidR="00374A64" w:rsidRPr="00100794">
        <w:rPr>
          <w:color w:val="000000" w:themeColor="text1"/>
          <w:sz w:val="20"/>
          <w:szCs w:val="20"/>
        </w:rPr>
        <w:t>Meurman</w:t>
      </w:r>
      <w:proofErr w:type="spellEnd"/>
      <w:r w:rsidR="00374A64" w:rsidRPr="00100794">
        <w:rPr>
          <w:color w:val="000000" w:themeColor="text1"/>
          <w:sz w:val="20"/>
          <w:szCs w:val="20"/>
        </w:rPr>
        <w:t xml:space="preserve"> and </w:t>
      </w:r>
      <w:proofErr w:type="spellStart"/>
      <w:r w:rsidR="00374A64" w:rsidRPr="00100794">
        <w:rPr>
          <w:color w:val="000000" w:themeColor="text1"/>
          <w:sz w:val="20"/>
          <w:szCs w:val="20"/>
        </w:rPr>
        <w:t>Stamatova</w:t>
      </w:r>
      <w:proofErr w:type="spellEnd"/>
      <w:r w:rsidR="00374A64" w:rsidRPr="00100794">
        <w:rPr>
          <w:color w:val="000000" w:themeColor="text1"/>
          <w:sz w:val="20"/>
          <w:szCs w:val="20"/>
        </w:rPr>
        <w:t xml:space="preserve">, 2007). The employed </w:t>
      </w:r>
      <w:r w:rsidR="00374A64" w:rsidRPr="00100794">
        <w:rPr>
          <w:i/>
          <w:iCs/>
          <w:color w:val="000000" w:themeColor="text1"/>
          <w:sz w:val="20"/>
          <w:szCs w:val="20"/>
        </w:rPr>
        <w:t>bifidobacteria</w:t>
      </w:r>
      <w:r w:rsidR="00374A64" w:rsidRPr="00100794">
        <w:rPr>
          <w:color w:val="000000" w:themeColor="text1"/>
          <w:sz w:val="20"/>
          <w:szCs w:val="20"/>
        </w:rPr>
        <w:t xml:space="preserve"> species include </w:t>
      </w:r>
      <w:r w:rsidR="00374A64" w:rsidRPr="00100794">
        <w:rPr>
          <w:i/>
          <w:iCs/>
          <w:color w:val="000000" w:themeColor="text1"/>
          <w:sz w:val="20"/>
          <w:szCs w:val="20"/>
        </w:rPr>
        <w:t>Bifidobacterium</w:t>
      </w:r>
      <w:r w:rsidR="00374A64" w:rsidRPr="00100794">
        <w:rPr>
          <w:color w:val="000000" w:themeColor="text1"/>
          <w:sz w:val="20"/>
          <w:szCs w:val="20"/>
        </w:rPr>
        <w:t xml:space="preserve"> </w:t>
      </w:r>
      <w:r w:rsidR="00374A64" w:rsidRPr="00100794">
        <w:rPr>
          <w:i/>
          <w:iCs/>
          <w:color w:val="000000" w:themeColor="text1"/>
          <w:sz w:val="20"/>
          <w:szCs w:val="20"/>
        </w:rPr>
        <w:t>breve, B. animalis subsp lactis</w:t>
      </w:r>
      <w:r w:rsidR="00374A64" w:rsidRPr="00100794">
        <w:rPr>
          <w:color w:val="000000" w:themeColor="text1"/>
          <w:sz w:val="20"/>
          <w:szCs w:val="20"/>
        </w:rPr>
        <w:t xml:space="preserve">, formerly known as </w:t>
      </w:r>
      <w:r w:rsidR="00374A64" w:rsidRPr="00100794">
        <w:rPr>
          <w:i/>
          <w:iCs/>
          <w:color w:val="000000" w:themeColor="text1"/>
          <w:sz w:val="20"/>
          <w:szCs w:val="20"/>
        </w:rPr>
        <w:t>B. lactis</w:t>
      </w:r>
      <w:r w:rsidR="00374A64" w:rsidRPr="00100794">
        <w:rPr>
          <w:color w:val="000000" w:themeColor="text1"/>
          <w:sz w:val="20"/>
          <w:szCs w:val="20"/>
        </w:rPr>
        <w:t xml:space="preserve"> (Masco </w:t>
      </w:r>
      <w:r w:rsidR="00374A64" w:rsidRPr="00100794">
        <w:rPr>
          <w:i/>
          <w:iCs/>
          <w:color w:val="000000" w:themeColor="text1"/>
          <w:sz w:val="20"/>
          <w:szCs w:val="20"/>
        </w:rPr>
        <w:t>et al.,</w:t>
      </w:r>
      <w:r w:rsidR="00374A64" w:rsidRPr="00100794">
        <w:rPr>
          <w:color w:val="000000" w:themeColor="text1"/>
          <w:sz w:val="20"/>
          <w:szCs w:val="20"/>
        </w:rPr>
        <w:t xml:space="preserve"> 2004), as well as </w:t>
      </w:r>
      <w:r w:rsidR="00374A64" w:rsidRPr="00100794">
        <w:rPr>
          <w:i/>
          <w:iCs/>
          <w:color w:val="000000" w:themeColor="text1"/>
          <w:sz w:val="20"/>
          <w:szCs w:val="20"/>
        </w:rPr>
        <w:t>B. longum</w:t>
      </w:r>
      <w:r w:rsidR="00374A64" w:rsidRPr="00100794">
        <w:rPr>
          <w:color w:val="000000" w:themeColor="text1"/>
          <w:sz w:val="20"/>
          <w:szCs w:val="20"/>
        </w:rPr>
        <w:t xml:space="preserve"> </w:t>
      </w:r>
      <w:r w:rsidR="00374A64" w:rsidRPr="00100794">
        <w:rPr>
          <w:i/>
          <w:iCs/>
          <w:color w:val="000000" w:themeColor="text1"/>
          <w:sz w:val="20"/>
          <w:szCs w:val="20"/>
        </w:rPr>
        <w:t>biotypes infantis</w:t>
      </w:r>
      <w:r w:rsidR="00374A64" w:rsidRPr="00100794">
        <w:rPr>
          <w:color w:val="000000" w:themeColor="text1"/>
          <w:sz w:val="20"/>
          <w:szCs w:val="20"/>
        </w:rPr>
        <w:t xml:space="preserve"> and </w:t>
      </w:r>
      <w:r w:rsidR="00374A64" w:rsidRPr="00100794">
        <w:rPr>
          <w:i/>
          <w:iCs/>
          <w:color w:val="000000" w:themeColor="text1"/>
          <w:sz w:val="20"/>
          <w:szCs w:val="20"/>
        </w:rPr>
        <w:t>longum</w:t>
      </w:r>
      <w:r w:rsidR="00374A64" w:rsidRPr="00100794">
        <w:rPr>
          <w:color w:val="000000" w:themeColor="text1"/>
          <w:sz w:val="20"/>
          <w:szCs w:val="20"/>
        </w:rPr>
        <w:t xml:space="preserve"> (Masco </w:t>
      </w:r>
      <w:r w:rsidR="00374A64" w:rsidRPr="00100794">
        <w:rPr>
          <w:i/>
          <w:iCs/>
          <w:color w:val="000000" w:themeColor="text1"/>
          <w:sz w:val="20"/>
          <w:szCs w:val="20"/>
        </w:rPr>
        <w:t>et al.,</w:t>
      </w:r>
      <w:r w:rsidR="00374A64" w:rsidRPr="00100794">
        <w:rPr>
          <w:color w:val="000000" w:themeColor="text1"/>
          <w:sz w:val="20"/>
          <w:szCs w:val="20"/>
        </w:rPr>
        <w:t xml:space="preserve"> 2005). </w:t>
      </w:r>
      <w:bookmarkStart w:id="4" w:name="_Hlk144375843"/>
      <w:r w:rsidR="00374A64" w:rsidRPr="00100794">
        <w:rPr>
          <w:color w:val="000000" w:themeColor="text1"/>
          <w:sz w:val="20"/>
          <w:szCs w:val="20"/>
        </w:rPr>
        <w:t xml:space="preserve">Other LAB encompassed within the probiotic </w:t>
      </w:r>
      <w:r w:rsidR="00374A64" w:rsidRPr="00100794">
        <w:rPr>
          <w:color w:val="000000" w:themeColor="text1"/>
          <w:sz w:val="20"/>
          <w:szCs w:val="20"/>
        </w:rPr>
        <w:lastRenderedPageBreak/>
        <w:t xml:space="preserve">family are </w:t>
      </w:r>
      <w:r w:rsidR="00374A64" w:rsidRPr="00100794">
        <w:rPr>
          <w:i/>
          <w:iCs/>
          <w:color w:val="000000" w:themeColor="text1"/>
          <w:sz w:val="20"/>
          <w:szCs w:val="20"/>
        </w:rPr>
        <w:t>Streptococcus, Lactococcus, Enterococcus, Leuconostoc, Propionibacterium</w:t>
      </w:r>
      <w:r w:rsidR="00374A64" w:rsidRPr="00100794">
        <w:rPr>
          <w:color w:val="000000" w:themeColor="text1"/>
          <w:sz w:val="20"/>
          <w:szCs w:val="20"/>
        </w:rPr>
        <w:t xml:space="preserve">, and </w:t>
      </w:r>
      <w:r w:rsidR="00374A64" w:rsidRPr="00100794">
        <w:rPr>
          <w:i/>
          <w:iCs/>
          <w:color w:val="000000" w:themeColor="text1"/>
          <w:sz w:val="20"/>
          <w:szCs w:val="20"/>
        </w:rPr>
        <w:t>Pediococcus</w:t>
      </w:r>
      <w:r w:rsidR="00374A64" w:rsidRPr="00100794">
        <w:rPr>
          <w:color w:val="000000" w:themeColor="text1"/>
          <w:sz w:val="20"/>
          <w:szCs w:val="20"/>
        </w:rPr>
        <w:t xml:space="preserve"> </w:t>
      </w:r>
      <w:bookmarkEnd w:id="4"/>
      <w:r w:rsidR="00374A64" w:rsidRPr="00100794">
        <w:rPr>
          <w:color w:val="000000" w:themeColor="text1"/>
          <w:sz w:val="20"/>
          <w:szCs w:val="20"/>
        </w:rPr>
        <w:t xml:space="preserve">(Power </w:t>
      </w:r>
      <w:r w:rsidR="00374A64" w:rsidRPr="00100794">
        <w:rPr>
          <w:i/>
          <w:iCs/>
          <w:color w:val="000000" w:themeColor="text1"/>
          <w:sz w:val="20"/>
          <w:szCs w:val="20"/>
        </w:rPr>
        <w:t>et al.,</w:t>
      </w:r>
      <w:r w:rsidR="00374A64" w:rsidRPr="00100794">
        <w:rPr>
          <w:color w:val="000000" w:themeColor="text1"/>
          <w:sz w:val="20"/>
          <w:szCs w:val="20"/>
        </w:rPr>
        <w:t xml:space="preserve"> 2008).</w:t>
      </w:r>
      <w:r w:rsidRPr="00100794">
        <w:rPr>
          <w:color w:val="000000" w:themeColor="text1"/>
          <w:sz w:val="20"/>
          <w:szCs w:val="20"/>
        </w:rPr>
        <w:t xml:space="preserve"> Some non-related microbial species, have been identified as probiotics, </w:t>
      </w:r>
      <w:r w:rsidR="0057275A">
        <w:rPr>
          <w:color w:val="000000" w:themeColor="text1"/>
          <w:sz w:val="20"/>
          <w:szCs w:val="20"/>
        </w:rPr>
        <w:t>comprised</w:t>
      </w:r>
      <w:r w:rsidR="00FD4064" w:rsidRPr="00100794">
        <w:rPr>
          <w:color w:val="000000" w:themeColor="text1"/>
          <w:sz w:val="20"/>
          <w:szCs w:val="20"/>
        </w:rPr>
        <w:t xml:space="preserve"> </w:t>
      </w:r>
      <w:r w:rsidR="00B80B93" w:rsidRPr="00100794">
        <w:rPr>
          <w:color w:val="000000" w:themeColor="text1"/>
          <w:sz w:val="20"/>
          <w:szCs w:val="20"/>
        </w:rPr>
        <w:t>of non</w:t>
      </w:r>
      <w:r w:rsidRPr="00100794">
        <w:rPr>
          <w:color w:val="000000" w:themeColor="text1"/>
          <w:sz w:val="20"/>
          <w:szCs w:val="20"/>
        </w:rPr>
        <w:t xml:space="preserve">-pathogenic </w:t>
      </w:r>
      <w:r w:rsidRPr="00100794">
        <w:rPr>
          <w:i/>
          <w:iCs/>
          <w:color w:val="000000" w:themeColor="text1"/>
          <w:sz w:val="20"/>
          <w:szCs w:val="20"/>
        </w:rPr>
        <w:t xml:space="preserve">Escherichia coli strain Nissle </w:t>
      </w:r>
      <w:r w:rsidRPr="00100794">
        <w:rPr>
          <w:color w:val="000000" w:themeColor="text1"/>
          <w:sz w:val="20"/>
          <w:szCs w:val="20"/>
        </w:rPr>
        <w:t xml:space="preserve">1917 and </w:t>
      </w:r>
      <w:r w:rsidRPr="00100794">
        <w:rPr>
          <w:i/>
          <w:iCs/>
          <w:color w:val="000000" w:themeColor="text1"/>
          <w:sz w:val="20"/>
          <w:szCs w:val="20"/>
        </w:rPr>
        <w:t>Clostridium butyricum</w:t>
      </w:r>
      <w:r w:rsidRPr="00100794">
        <w:rPr>
          <w:color w:val="000000" w:themeColor="text1"/>
          <w:sz w:val="20"/>
          <w:szCs w:val="20"/>
        </w:rPr>
        <w:t xml:space="preserve"> (Harish and Varghese, 2006), yeast species (</w:t>
      </w:r>
      <w:r w:rsidRPr="00100794">
        <w:rPr>
          <w:i/>
          <w:iCs/>
          <w:color w:val="000000" w:themeColor="text1"/>
          <w:sz w:val="20"/>
          <w:szCs w:val="20"/>
        </w:rPr>
        <w:t>Saccharomyces boulardii</w:t>
      </w:r>
      <w:r w:rsidRPr="00100794">
        <w:rPr>
          <w:color w:val="000000" w:themeColor="text1"/>
          <w:sz w:val="20"/>
          <w:szCs w:val="20"/>
        </w:rPr>
        <w:t>), filamentous fungi (</w:t>
      </w:r>
      <w:r w:rsidRPr="00100794">
        <w:rPr>
          <w:i/>
          <w:iCs/>
          <w:color w:val="000000" w:themeColor="text1"/>
          <w:sz w:val="20"/>
          <w:szCs w:val="20"/>
        </w:rPr>
        <w:t>Aspergillus oryzae</w:t>
      </w:r>
      <w:r w:rsidRPr="00100794">
        <w:rPr>
          <w:color w:val="000000" w:themeColor="text1"/>
          <w:sz w:val="20"/>
          <w:szCs w:val="20"/>
        </w:rPr>
        <w:t xml:space="preserve">), and certain spore-forming </w:t>
      </w:r>
      <w:r w:rsidRPr="00100794">
        <w:rPr>
          <w:i/>
          <w:iCs/>
          <w:color w:val="000000" w:themeColor="text1"/>
          <w:sz w:val="20"/>
          <w:szCs w:val="20"/>
        </w:rPr>
        <w:t>bacilli</w:t>
      </w:r>
      <w:r w:rsidRPr="00100794">
        <w:rPr>
          <w:color w:val="000000" w:themeColor="text1"/>
          <w:sz w:val="20"/>
          <w:szCs w:val="20"/>
        </w:rPr>
        <w:t xml:space="preserve"> (Gibson </w:t>
      </w:r>
      <w:r w:rsidRPr="00100794">
        <w:rPr>
          <w:i/>
          <w:iCs/>
          <w:color w:val="000000" w:themeColor="text1"/>
          <w:sz w:val="20"/>
          <w:szCs w:val="20"/>
        </w:rPr>
        <w:t>et al.,</w:t>
      </w:r>
      <w:r w:rsidRPr="00100794">
        <w:rPr>
          <w:color w:val="000000" w:themeColor="text1"/>
          <w:sz w:val="20"/>
          <w:szCs w:val="20"/>
        </w:rPr>
        <w:t xml:space="preserve"> 2003). </w:t>
      </w:r>
      <w:bookmarkStart w:id="5" w:name="_Hlk144375910"/>
      <w:r w:rsidRPr="00100794">
        <w:rPr>
          <w:color w:val="000000" w:themeColor="text1"/>
          <w:sz w:val="20"/>
          <w:szCs w:val="20"/>
        </w:rPr>
        <w:t xml:space="preserve">To confer health benefits to the host, probiotic organisms must successfully withstand the challenges posed during their passage through the gastric system, including resistance to gastric acid, bile, and gastric enzymes, followed by adequate adherence and colonization within the intestinal epithelium </w:t>
      </w:r>
      <w:bookmarkEnd w:id="5"/>
      <w:r w:rsidRPr="00100794">
        <w:rPr>
          <w:color w:val="000000" w:themeColor="text1"/>
          <w:sz w:val="20"/>
          <w:szCs w:val="20"/>
        </w:rPr>
        <w:t xml:space="preserve">(Huang and Adams, 2004). </w:t>
      </w:r>
    </w:p>
    <w:p w14:paraId="3CC73F32" w14:textId="4CCB8F58" w:rsidR="006201E4" w:rsidRPr="00D75219" w:rsidRDefault="00000000" w:rsidP="008A12F3">
      <w:pPr>
        <w:ind w:firstLine="0"/>
        <w:rPr>
          <w:color w:val="auto"/>
          <w:sz w:val="20"/>
          <w:szCs w:val="20"/>
        </w:rPr>
      </w:pPr>
      <w:r w:rsidRPr="00100794">
        <w:rPr>
          <w:color w:val="000000" w:themeColor="text1"/>
          <w:sz w:val="20"/>
          <w:szCs w:val="20"/>
        </w:rPr>
        <w:t xml:space="preserve">            </w:t>
      </w:r>
      <w:r w:rsidR="00EA08FB" w:rsidRPr="00100794">
        <w:rPr>
          <w:color w:val="000000" w:themeColor="text1"/>
          <w:sz w:val="20"/>
          <w:szCs w:val="20"/>
        </w:rPr>
        <w:t xml:space="preserve">Foods with </w:t>
      </w:r>
      <w:r w:rsidR="00CF77A8">
        <w:rPr>
          <w:color w:val="000000" w:themeColor="text1"/>
          <w:sz w:val="20"/>
          <w:szCs w:val="20"/>
        </w:rPr>
        <w:t>a</w:t>
      </w:r>
      <w:r w:rsidR="00EA08FB" w:rsidRPr="00100794">
        <w:rPr>
          <w:color w:val="000000" w:themeColor="text1"/>
          <w:sz w:val="20"/>
          <w:szCs w:val="20"/>
        </w:rPr>
        <w:t xml:space="preserve"> high buffering capacity</w:t>
      </w:r>
      <w:r w:rsidR="00CF77A8">
        <w:rPr>
          <w:color w:val="000000" w:themeColor="text1"/>
          <w:sz w:val="20"/>
          <w:szCs w:val="20"/>
        </w:rPr>
        <w:t xml:space="preserve"> as well as </w:t>
      </w:r>
      <w:r w:rsidR="00CF77A8" w:rsidRPr="00100794">
        <w:rPr>
          <w:color w:val="000000" w:themeColor="text1"/>
          <w:sz w:val="20"/>
          <w:szCs w:val="20"/>
        </w:rPr>
        <w:t xml:space="preserve">appropriate pH </w:t>
      </w:r>
      <w:r w:rsidR="00EA08FB" w:rsidRPr="00100794">
        <w:rPr>
          <w:color w:val="000000" w:themeColor="text1"/>
          <w:sz w:val="20"/>
          <w:szCs w:val="20"/>
        </w:rPr>
        <w:t xml:space="preserve">can elevate the gastric pH, thereby promoting the stability of probiotics. The viable count of probiotic bacteria present in a food product during consumption is a critical factor influencing their efficacy. </w:t>
      </w:r>
      <w:r w:rsidR="00EA08FB" w:rsidRPr="00D75219">
        <w:rPr>
          <w:color w:val="auto"/>
          <w:sz w:val="20"/>
          <w:szCs w:val="20"/>
        </w:rPr>
        <w:t xml:space="preserve">The survival of probiotics in food products is influenced by various factors, such as post-acidification during storage (in the case of fermented products), product pH, susceptibility to oxygen toxicity, </w:t>
      </w:r>
      <w:r w:rsidR="005B4B2B" w:rsidRPr="00D75219">
        <w:rPr>
          <w:color w:val="auto"/>
          <w:sz w:val="20"/>
          <w:szCs w:val="20"/>
        </w:rPr>
        <w:t>and storage temperatures</w:t>
      </w:r>
      <w:r w:rsidR="00EA08FB" w:rsidRPr="00D75219">
        <w:rPr>
          <w:color w:val="auto"/>
          <w:sz w:val="20"/>
          <w:szCs w:val="20"/>
        </w:rPr>
        <w:t xml:space="preserve"> (Shah, 2000).</w:t>
      </w:r>
    </w:p>
    <w:p w14:paraId="42D022BA" w14:textId="4D7855B5" w:rsidR="004D345A" w:rsidRPr="00100794" w:rsidRDefault="00000000" w:rsidP="00C25E51">
      <w:pPr>
        <w:autoSpaceDE w:val="0"/>
        <w:autoSpaceDN w:val="0"/>
        <w:adjustRightInd w:val="0"/>
        <w:spacing w:after="0"/>
        <w:ind w:firstLine="720"/>
        <w:rPr>
          <w:color w:val="000000" w:themeColor="text1"/>
          <w:sz w:val="20"/>
          <w:szCs w:val="20"/>
        </w:rPr>
      </w:pPr>
      <w:r w:rsidRPr="00D75219">
        <w:rPr>
          <w:color w:val="auto"/>
          <w:sz w:val="20"/>
          <w:szCs w:val="20"/>
        </w:rPr>
        <w:tab/>
      </w:r>
      <w:r w:rsidRPr="00D75219">
        <w:rPr>
          <w:rFonts w:cs="Times New Roman"/>
          <w:color w:val="auto"/>
          <w:sz w:val="20"/>
          <w:szCs w:val="20"/>
        </w:rPr>
        <w:t>A</w:t>
      </w:r>
      <w:r w:rsidR="00E519B6">
        <w:rPr>
          <w:rFonts w:cs="Times New Roman"/>
          <w:color w:val="auto"/>
          <w:sz w:val="20"/>
          <w:szCs w:val="20"/>
        </w:rPr>
        <w:t>s per</w:t>
      </w:r>
      <w:r w:rsidRPr="00D75219">
        <w:rPr>
          <w:rFonts w:cs="Times New Roman"/>
          <w:color w:val="auto"/>
          <w:sz w:val="20"/>
          <w:szCs w:val="20"/>
        </w:rPr>
        <w:t xml:space="preserve"> the</w:t>
      </w:r>
      <w:r w:rsidR="00E519B6">
        <w:rPr>
          <w:rFonts w:cs="Times New Roman"/>
          <w:color w:val="auto"/>
          <w:sz w:val="20"/>
          <w:szCs w:val="20"/>
        </w:rPr>
        <w:t xml:space="preserve"> study conducted by</w:t>
      </w:r>
      <w:r w:rsidRPr="00D75219">
        <w:rPr>
          <w:rFonts w:cs="Times New Roman"/>
          <w:color w:val="auto"/>
          <w:sz w:val="20"/>
          <w:szCs w:val="20"/>
        </w:rPr>
        <w:t xml:space="preserve"> </w:t>
      </w:r>
      <w:r w:rsidR="0057275A">
        <w:rPr>
          <w:rFonts w:cs="Times New Roman"/>
          <w:color w:val="auto"/>
          <w:sz w:val="20"/>
          <w:szCs w:val="20"/>
        </w:rPr>
        <w:t xml:space="preserve">the </w:t>
      </w:r>
      <w:r w:rsidRPr="00D75219">
        <w:rPr>
          <w:rFonts w:cs="Times New Roman"/>
          <w:color w:val="auto"/>
          <w:sz w:val="20"/>
          <w:szCs w:val="20"/>
        </w:rPr>
        <w:t>World Health Organization</w:t>
      </w:r>
      <w:r w:rsidR="00E519B6">
        <w:rPr>
          <w:rFonts w:cs="Times New Roman"/>
          <w:color w:val="auto"/>
          <w:sz w:val="20"/>
          <w:szCs w:val="20"/>
        </w:rPr>
        <w:t xml:space="preserve"> in </w:t>
      </w:r>
      <w:r w:rsidRPr="00D75219">
        <w:rPr>
          <w:rFonts w:cs="Times New Roman"/>
          <w:color w:val="auto"/>
          <w:sz w:val="20"/>
          <w:szCs w:val="20"/>
        </w:rPr>
        <w:t xml:space="preserve">2018, </w:t>
      </w:r>
      <w:r w:rsidR="0057275A">
        <w:rPr>
          <w:rFonts w:cs="Times New Roman"/>
          <w:color w:val="auto"/>
          <w:sz w:val="20"/>
          <w:szCs w:val="20"/>
        </w:rPr>
        <w:t xml:space="preserve">a </w:t>
      </w:r>
      <w:r w:rsidR="00950B55">
        <w:rPr>
          <w:rFonts w:cs="Times New Roman"/>
          <w:color w:val="auto"/>
          <w:sz w:val="20"/>
          <w:szCs w:val="20"/>
        </w:rPr>
        <w:t xml:space="preserve">population greater </w:t>
      </w:r>
      <w:r w:rsidR="0057275A">
        <w:rPr>
          <w:rFonts w:cs="Times New Roman"/>
          <w:color w:val="auto"/>
          <w:sz w:val="20"/>
          <w:szCs w:val="20"/>
        </w:rPr>
        <w:t>than</w:t>
      </w:r>
      <w:r w:rsidR="00950B55">
        <w:rPr>
          <w:rFonts w:cs="Times New Roman"/>
          <w:color w:val="auto"/>
          <w:sz w:val="20"/>
          <w:szCs w:val="20"/>
        </w:rPr>
        <w:t xml:space="preserve"> </w:t>
      </w:r>
      <w:r w:rsidRPr="00D75219">
        <w:rPr>
          <w:rFonts w:cs="Times New Roman"/>
          <w:color w:val="auto"/>
          <w:sz w:val="20"/>
          <w:szCs w:val="20"/>
        </w:rPr>
        <w:t xml:space="preserve">300 million people </w:t>
      </w:r>
      <w:r w:rsidRPr="00100794">
        <w:rPr>
          <w:rFonts w:cs="Times New Roman"/>
          <w:sz w:val="20"/>
          <w:szCs w:val="20"/>
        </w:rPr>
        <w:t xml:space="preserve">worldwide suffer from depression and other mental health issues. </w:t>
      </w:r>
      <w:r w:rsidR="00C25E51" w:rsidRPr="00100794">
        <w:rPr>
          <w:rFonts w:cs="Times New Roman"/>
          <w:sz w:val="20"/>
          <w:szCs w:val="20"/>
        </w:rPr>
        <w:t xml:space="preserve">Anxiety and depression are the two most prevalent mental health issues in the world. People who suffer from mental illness experience a decline in their health and in the quality of their lives. Recently, scientific interest has been increasing in focusing on the gut microbiome to determine how it positively affects our brain and </w:t>
      </w:r>
      <w:r w:rsidR="0057275A">
        <w:rPr>
          <w:rFonts w:cs="Times New Roman"/>
          <w:sz w:val="20"/>
          <w:szCs w:val="20"/>
        </w:rPr>
        <w:t>behavior</w:t>
      </w:r>
      <w:r w:rsidR="00C25E51" w:rsidRPr="00100794">
        <w:rPr>
          <w:rFonts w:cs="Times New Roman"/>
          <w:sz w:val="20"/>
          <w:szCs w:val="20"/>
        </w:rPr>
        <w:t xml:space="preserve">. </w:t>
      </w:r>
      <w:r w:rsidR="00C25E51" w:rsidRPr="00D75219">
        <w:rPr>
          <w:rFonts w:cs="Times New Roman"/>
          <w:color w:val="auto"/>
          <w:sz w:val="20"/>
          <w:szCs w:val="20"/>
        </w:rPr>
        <w:t xml:space="preserve">The use of </w:t>
      </w:r>
      <w:r w:rsidR="00C25E51" w:rsidRPr="00100794">
        <w:rPr>
          <w:rFonts w:cs="Times New Roman"/>
          <w:sz w:val="20"/>
          <w:szCs w:val="20"/>
        </w:rPr>
        <w:t>psychobiotics in treating anxiety and depression is thought to be very promising.</w:t>
      </w:r>
    </w:p>
    <w:p w14:paraId="45D110F0" w14:textId="77777777" w:rsidR="00E01CD8" w:rsidRPr="00100794" w:rsidRDefault="00000000" w:rsidP="006201E4">
      <w:pPr>
        <w:pStyle w:val="Heading4"/>
        <w:rPr>
          <w:color w:val="000000" w:themeColor="text1"/>
          <w:sz w:val="20"/>
          <w:szCs w:val="20"/>
        </w:rPr>
      </w:pPr>
      <w:r w:rsidRPr="00100794">
        <w:rPr>
          <w:color w:val="000000" w:themeColor="text1"/>
          <w:sz w:val="20"/>
          <w:szCs w:val="20"/>
        </w:rPr>
        <w:t xml:space="preserve"> </w:t>
      </w:r>
      <w:bookmarkStart w:id="6" w:name="_Toc141790388"/>
      <w:r w:rsidRPr="00100794">
        <w:rPr>
          <w:color w:val="000000" w:themeColor="text1"/>
          <w:sz w:val="20"/>
          <w:szCs w:val="20"/>
        </w:rPr>
        <w:t>Probiotic organisms</w:t>
      </w:r>
      <w:bookmarkEnd w:id="6"/>
      <w:r w:rsidRPr="00100794">
        <w:rPr>
          <w:color w:val="000000" w:themeColor="text1"/>
          <w:sz w:val="20"/>
          <w:szCs w:val="20"/>
        </w:rPr>
        <w:t xml:space="preserve"> </w:t>
      </w:r>
    </w:p>
    <w:p w14:paraId="00839917" w14:textId="1E605285" w:rsidR="009364F8" w:rsidRPr="00100794" w:rsidRDefault="00000000" w:rsidP="006201E4">
      <w:pPr>
        <w:rPr>
          <w:color w:val="000000" w:themeColor="text1"/>
          <w:sz w:val="20"/>
          <w:szCs w:val="20"/>
        </w:rPr>
      </w:pPr>
      <w:r w:rsidRPr="00100794">
        <w:rPr>
          <w:color w:val="000000" w:themeColor="text1"/>
          <w:sz w:val="20"/>
          <w:szCs w:val="20"/>
        </w:rPr>
        <w:t xml:space="preserve">Numerous strains have been recognized as probiotic microorganisms exhibiting advantageous health effects, primarily characterized by their capacity to reside within the human gastrointestinal (GI) tract naturally. Essential prerequisites for probiotic strain include its </w:t>
      </w:r>
      <w:r w:rsidR="00081D4F">
        <w:rPr>
          <w:color w:val="000000" w:themeColor="text1"/>
          <w:sz w:val="20"/>
          <w:szCs w:val="20"/>
        </w:rPr>
        <w:t>capacity</w:t>
      </w:r>
      <w:r w:rsidRPr="00100794">
        <w:rPr>
          <w:color w:val="000000" w:themeColor="text1"/>
          <w:sz w:val="20"/>
          <w:szCs w:val="20"/>
        </w:rPr>
        <w:t xml:space="preserve"> to endure the challenging conditions of the gastric environment, such as stomach acidity, and to withstand the bile </w:t>
      </w:r>
      <w:r w:rsidR="00C63DC5">
        <w:rPr>
          <w:color w:val="000000" w:themeColor="text1"/>
          <w:sz w:val="20"/>
          <w:szCs w:val="20"/>
        </w:rPr>
        <w:t xml:space="preserve">present </w:t>
      </w:r>
      <w:r w:rsidRPr="00100794">
        <w:rPr>
          <w:color w:val="000000" w:themeColor="text1"/>
          <w:sz w:val="20"/>
          <w:szCs w:val="20"/>
        </w:rPr>
        <w:t xml:space="preserve">within the small intestine, thus enabling the exertion of </w:t>
      </w:r>
      <w:r w:rsidR="00D75219">
        <w:rPr>
          <w:color w:val="000000" w:themeColor="text1"/>
          <w:sz w:val="20"/>
          <w:szCs w:val="20"/>
        </w:rPr>
        <w:t>favorable</w:t>
      </w:r>
      <w:r w:rsidRPr="00100794">
        <w:rPr>
          <w:color w:val="000000" w:themeColor="text1"/>
          <w:sz w:val="20"/>
          <w:szCs w:val="20"/>
        </w:rPr>
        <w:t xml:space="preserve"> influences on the host.</w:t>
      </w:r>
    </w:p>
    <w:p w14:paraId="5394A8EC" w14:textId="77777777" w:rsidR="00E01CD8" w:rsidRPr="00100794" w:rsidRDefault="00000000" w:rsidP="007F5226">
      <w:pPr>
        <w:pStyle w:val="Heading5"/>
        <w:rPr>
          <w:color w:val="000000" w:themeColor="text1"/>
          <w:sz w:val="20"/>
          <w:szCs w:val="20"/>
        </w:rPr>
      </w:pPr>
      <w:bookmarkStart w:id="7" w:name="_Toc141790389"/>
      <w:r w:rsidRPr="00100794">
        <w:rPr>
          <w:color w:val="000000" w:themeColor="text1"/>
          <w:sz w:val="20"/>
          <w:szCs w:val="20"/>
        </w:rPr>
        <w:t>Lactic acid bacteria</w:t>
      </w:r>
      <w:r w:rsidR="006800EB">
        <w:rPr>
          <w:color w:val="000000" w:themeColor="text1"/>
          <w:sz w:val="20"/>
          <w:szCs w:val="20"/>
        </w:rPr>
        <w:t xml:space="preserve"> (LAB)</w:t>
      </w:r>
      <w:r w:rsidRPr="00100794">
        <w:rPr>
          <w:color w:val="000000" w:themeColor="text1"/>
          <w:sz w:val="20"/>
          <w:szCs w:val="20"/>
        </w:rPr>
        <w:t xml:space="preserve"> as probiotic</w:t>
      </w:r>
      <w:bookmarkEnd w:id="7"/>
      <w:r w:rsidRPr="00100794">
        <w:rPr>
          <w:color w:val="000000" w:themeColor="text1"/>
          <w:sz w:val="20"/>
          <w:szCs w:val="20"/>
        </w:rPr>
        <w:t xml:space="preserve"> </w:t>
      </w:r>
    </w:p>
    <w:p w14:paraId="09214DF7" w14:textId="0F3B51AA" w:rsidR="00494D0B" w:rsidRPr="00100794" w:rsidRDefault="00000000" w:rsidP="00494D0B">
      <w:pPr>
        <w:spacing w:after="0"/>
        <w:ind w:left="-3" w:right="60" w:firstLine="720"/>
        <w:rPr>
          <w:color w:val="000000" w:themeColor="text1"/>
          <w:sz w:val="20"/>
          <w:szCs w:val="20"/>
        </w:rPr>
      </w:pPr>
      <w:r w:rsidRPr="00100794">
        <w:rPr>
          <w:color w:val="000000" w:themeColor="text1"/>
          <w:sz w:val="20"/>
          <w:szCs w:val="20"/>
        </w:rPr>
        <w:t>LAB include a diverse array of genera, comprising a substantial number of species. These bacteria are Gram-positive and typically lack catalase activity. They thrive in environments ranging from micro-aerophilic to strictly anaerobic</w:t>
      </w:r>
      <w:r w:rsidR="00991D43">
        <w:rPr>
          <w:color w:val="000000" w:themeColor="text1"/>
          <w:sz w:val="20"/>
          <w:szCs w:val="20"/>
        </w:rPr>
        <w:t xml:space="preserve"> co</w:t>
      </w:r>
      <w:r w:rsidRPr="00100794">
        <w:rPr>
          <w:color w:val="000000" w:themeColor="text1"/>
          <w:sz w:val="20"/>
          <w:szCs w:val="20"/>
        </w:rPr>
        <w:t>nditions, and they do not produce spores. The most notable genera among LAB include</w:t>
      </w:r>
      <w:r w:rsidR="002B3048" w:rsidRPr="002B3048">
        <w:rPr>
          <w:i/>
          <w:iCs/>
          <w:color w:val="000000" w:themeColor="text1"/>
          <w:sz w:val="20"/>
          <w:szCs w:val="20"/>
        </w:rPr>
        <w:t xml:space="preserve"> </w:t>
      </w:r>
      <w:r w:rsidR="002B3048" w:rsidRPr="00100794">
        <w:rPr>
          <w:i/>
          <w:iCs/>
          <w:color w:val="000000" w:themeColor="text1"/>
          <w:sz w:val="20"/>
          <w:szCs w:val="20"/>
        </w:rPr>
        <w:t>Lactococcus,</w:t>
      </w:r>
      <w:r w:rsidRPr="00100794">
        <w:rPr>
          <w:color w:val="000000" w:themeColor="text1"/>
          <w:sz w:val="20"/>
          <w:szCs w:val="20"/>
        </w:rPr>
        <w:t xml:space="preserve"> </w:t>
      </w:r>
      <w:r w:rsidRPr="00100794">
        <w:rPr>
          <w:i/>
          <w:iCs/>
          <w:color w:val="000000" w:themeColor="text1"/>
          <w:sz w:val="20"/>
          <w:szCs w:val="20"/>
        </w:rPr>
        <w:t xml:space="preserve">Lactobacillus, </w:t>
      </w:r>
      <w:proofErr w:type="spellStart"/>
      <w:r w:rsidR="002B3048" w:rsidRPr="00100794">
        <w:rPr>
          <w:i/>
          <w:iCs/>
          <w:color w:val="000000" w:themeColor="text1"/>
          <w:sz w:val="20"/>
          <w:szCs w:val="20"/>
        </w:rPr>
        <w:t>Pediococcus</w:t>
      </w:r>
      <w:proofErr w:type="spellEnd"/>
      <w:r w:rsidR="002B3048" w:rsidRPr="00100794">
        <w:rPr>
          <w:i/>
          <w:iCs/>
          <w:color w:val="000000" w:themeColor="text1"/>
          <w:sz w:val="20"/>
          <w:szCs w:val="20"/>
        </w:rPr>
        <w:t>,</w:t>
      </w:r>
      <w:r w:rsidR="002B3048">
        <w:rPr>
          <w:i/>
          <w:iCs/>
          <w:color w:val="000000" w:themeColor="text1"/>
          <w:sz w:val="20"/>
          <w:szCs w:val="20"/>
        </w:rPr>
        <w:t xml:space="preserve"> </w:t>
      </w:r>
      <w:r w:rsidRPr="00100794">
        <w:rPr>
          <w:i/>
          <w:iCs/>
          <w:color w:val="000000" w:themeColor="text1"/>
          <w:sz w:val="20"/>
          <w:szCs w:val="20"/>
        </w:rPr>
        <w:t xml:space="preserve">Enterococcus, </w:t>
      </w:r>
      <w:proofErr w:type="spellStart"/>
      <w:r w:rsidR="002B3048" w:rsidRPr="00100794">
        <w:rPr>
          <w:i/>
          <w:iCs/>
          <w:color w:val="000000" w:themeColor="text1"/>
          <w:sz w:val="20"/>
          <w:szCs w:val="20"/>
        </w:rPr>
        <w:t>Leuconostoc</w:t>
      </w:r>
      <w:proofErr w:type="spellEnd"/>
      <w:r w:rsidR="002B3048" w:rsidRPr="00100794">
        <w:rPr>
          <w:i/>
          <w:iCs/>
          <w:color w:val="000000" w:themeColor="text1"/>
          <w:sz w:val="20"/>
          <w:szCs w:val="20"/>
        </w:rPr>
        <w:t>,</w:t>
      </w:r>
      <w:r w:rsidR="002B3048">
        <w:rPr>
          <w:i/>
          <w:iCs/>
          <w:color w:val="000000" w:themeColor="text1"/>
          <w:sz w:val="20"/>
          <w:szCs w:val="20"/>
        </w:rPr>
        <w:t xml:space="preserve"> </w:t>
      </w:r>
      <w:r w:rsidRPr="00100794">
        <w:rPr>
          <w:i/>
          <w:iCs/>
          <w:color w:val="000000" w:themeColor="text1"/>
          <w:sz w:val="20"/>
          <w:szCs w:val="20"/>
        </w:rPr>
        <w:t>Streptococcus</w:t>
      </w:r>
      <w:r w:rsidR="007C58D5">
        <w:rPr>
          <w:i/>
          <w:iCs/>
          <w:color w:val="000000" w:themeColor="text1"/>
          <w:sz w:val="20"/>
          <w:szCs w:val="20"/>
        </w:rPr>
        <w:t xml:space="preserve">, </w:t>
      </w:r>
      <w:proofErr w:type="spellStart"/>
      <w:r w:rsidR="00346729" w:rsidRPr="00100794">
        <w:rPr>
          <w:i/>
          <w:iCs/>
          <w:color w:val="000000" w:themeColor="text1"/>
          <w:sz w:val="20"/>
          <w:szCs w:val="20"/>
        </w:rPr>
        <w:t>Carnobacterium</w:t>
      </w:r>
      <w:proofErr w:type="spellEnd"/>
      <w:r w:rsidR="007C58D5">
        <w:rPr>
          <w:i/>
          <w:iCs/>
          <w:color w:val="000000" w:themeColor="text1"/>
          <w:sz w:val="20"/>
          <w:szCs w:val="20"/>
        </w:rPr>
        <w:t xml:space="preserve"> </w:t>
      </w:r>
      <w:r w:rsidRPr="00100794">
        <w:rPr>
          <w:color w:val="000000" w:themeColor="text1"/>
          <w:sz w:val="20"/>
          <w:szCs w:val="20"/>
        </w:rPr>
        <w:t xml:space="preserve">and </w:t>
      </w:r>
      <w:r w:rsidRPr="00100794">
        <w:rPr>
          <w:i/>
          <w:iCs/>
          <w:color w:val="000000" w:themeColor="text1"/>
          <w:sz w:val="20"/>
          <w:szCs w:val="20"/>
        </w:rPr>
        <w:t>Bifidobacterium</w:t>
      </w:r>
      <w:r w:rsidRPr="00100794">
        <w:rPr>
          <w:color w:val="000000" w:themeColor="text1"/>
          <w:sz w:val="20"/>
          <w:szCs w:val="20"/>
        </w:rPr>
        <w:t xml:space="preserve">. Various species from these genera can be found in the gastrointestinal tracts of both humans and animals </w:t>
      </w:r>
      <w:r w:rsidR="00E6023C">
        <w:rPr>
          <w:color w:val="000000" w:themeColor="text1"/>
          <w:sz w:val="20"/>
          <w:szCs w:val="20"/>
        </w:rPr>
        <w:t>as well as</w:t>
      </w:r>
      <w:r w:rsidRPr="00100794">
        <w:rPr>
          <w:color w:val="000000" w:themeColor="text1"/>
          <w:sz w:val="20"/>
          <w:szCs w:val="20"/>
        </w:rPr>
        <w:t xml:space="preserve"> in fermented foods. Notably, strains utilized as probiotics are predominantly affiliated with the genera </w:t>
      </w:r>
      <w:r w:rsidRPr="00100794">
        <w:rPr>
          <w:i/>
          <w:iCs/>
          <w:color w:val="000000" w:themeColor="text1"/>
          <w:sz w:val="20"/>
          <w:szCs w:val="20"/>
        </w:rPr>
        <w:t>Lactobacillus</w:t>
      </w:r>
      <w:r w:rsidRPr="00100794">
        <w:rPr>
          <w:color w:val="000000" w:themeColor="text1"/>
          <w:sz w:val="20"/>
          <w:szCs w:val="20"/>
        </w:rPr>
        <w:t xml:space="preserve">, </w:t>
      </w:r>
      <w:r w:rsidRPr="00100794">
        <w:rPr>
          <w:i/>
          <w:iCs/>
          <w:color w:val="000000" w:themeColor="text1"/>
          <w:sz w:val="20"/>
          <w:szCs w:val="20"/>
        </w:rPr>
        <w:t>Enterococcus</w:t>
      </w:r>
      <w:r w:rsidRPr="00100794">
        <w:rPr>
          <w:color w:val="000000" w:themeColor="text1"/>
          <w:sz w:val="20"/>
          <w:szCs w:val="20"/>
        </w:rPr>
        <w:t xml:space="preserve">, and </w:t>
      </w:r>
      <w:r w:rsidRPr="00100794">
        <w:rPr>
          <w:i/>
          <w:iCs/>
          <w:color w:val="000000" w:themeColor="text1"/>
          <w:sz w:val="20"/>
          <w:szCs w:val="20"/>
        </w:rPr>
        <w:t>Bifidobacterium</w:t>
      </w:r>
      <w:r w:rsidRPr="00100794">
        <w:rPr>
          <w:color w:val="000000" w:themeColor="text1"/>
          <w:sz w:val="20"/>
          <w:szCs w:val="20"/>
        </w:rPr>
        <w:t>.</w:t>
      </w:r>
    </w:p>
    <w:p w14:paraId="5DB8AEB5" w14:textId="1F7174B7" w:rsidR="00494D0B" w:rsidRPr="00100794" w:rsidRDefault="00000000" w:rsidP="00494D0B">
      <w:pPr>
        <w:spacing w:after="0"/>
        <w:ind w:left="-3" w:right="60" w:firstLine="720"/>
        <w:rPr>
          <w:color w:val="000000" w:themeColor="text1"/>
          <w:sz w:val="20"/>
          <w:szCs w:val="20"/>
        </w:rPr>
      </w:pPr>
      <w:r w:rsidRPr="00100794">
        <w:rPr>
          <w:color w:val="000000" w:themeColor="text1"/>
          <w:sz w:val="20"/>
          <w:szCs w:val="20"/>
        </w:rPr>
        <w:t xml:space="preserve">The metabolic attributes of these LAB are primarily chemo-organotrophic, and they ferment carbohydrates </w:t>
      </w:r>
      <w:r w:rsidR="0044572F" w:rsidRPr="00100794">
        <w:rPr>
          <w:color w:val="000000" w:themeColor="text1"/>
          <w:sz w:val="20"/>
          <w:szCs w:val="20"/>
        </w:rPr>
        <w:t>into</w:t>
      </w:r>
      <w:r w:rsidRPr="00100794">
        <w:rPr>
          <w:color w:val="000000" w:themeColor="text1"/>
          <w:sz w:val="20"/>
          <w:szCs w:val="20"/>
        </w:rPr>
        <w:t xml:space="preserve"> lactic acid as a </w:t>
      </w:r>
      <w:r w:rsidR="00357716">
        <w:rPr>
          <w:color w:val="000000" w:themeColor="text1"/>
          <w:sz w:val="20"/>
          <w:szCs w:val="20"/>
        </w:rPr>
        <w:t>primary</w:t>
      </w:r>
      <w:r w:rsidRPr="00100794">
        <w:rPr>
          <w:color w:val="000000" w:themeColor="text1"/>
          <w:sz w:val="20"/>
          <w:szCs w:val="20"/>
        </w:rPr>
        <w:t xml:space="preserve"> </w:t>
      </w:r>
      <w:proofErr w:type="gramStart"/>
      <w:r w:rsidRPr="00100794">
        <w:rPr>
          <w:color w:val="000000" w:themeColor="text1"/>
          <w:sz w:val="20"/>
          <w:szCs w:val="20"/>
        </w:rPr>
        <w:t>end product</w:t>
      </w:r>
      <w:proofErr w:type="gramEnd"/>
      <w:r w:rsidRPr="00100794">
        <w:rPr>
          <w:color w:val="000000" w:themeColor="text1"/>
          <w:sz w:val="20"/>
          <w:szCs w:val="20"/>
        </w:rPr>
        <w:t>. Key physiological characteristics that render them suitable as probiotics include their capacity to survive in the gastrointestinal tract, resistance to low pH and/or bile, and their temperature growth ranges (Fuller, 1989).</w:t>
      </w:r>
      <w:r w:rsidR="0044572F" w:rsidRPr="00100794">
        <w:rPr>
          <w:color w:val="000000" w:themeColor="text1"/>
          <w:sz w:val="20"/>
          <w:szCs w:val="20"/>
        </w:rPr>
        <w:t xml:space="preserve"> </w:t>
      </w:r>
      <w:r w:rsidRPr="00100794">
        <w:rPr>
          <w:color w:val="000000" w:themeColor="text1"/>
          <w:sz w:val="20"/>
          <w:szCs w:val="20"/>
        </w:rPr>
        <w:t xml:space="preserve">For taxonomic considerations, the most significant physiological and biochemical features are related to carbohydrate fermentation patterns, resistance to different salt concentrations, </w:t>
      </w:r>
      <w:r w:rsidRPr="00100794">
        <w:rPr>
          <w:color w:val="000000" w:themeColor="text1"/>
          <w:sz w:val="20"/>
          <w:szCs w:val="20"/>
        </w:rPr>
        <w:lastRenderedPageBreak/>
        <w:t>growth on various nutrient media, growth at defined temperatures, and resistance to antibiotics. These traits are essential for identifying and classifying LAB species accurately.</w:t>
      </w:r>
    </w:p>
    <w:p w14:paraId="11133584" w14:textId="58A9A58F" w:rsidR="00494D0B" w:rsidRPr="00100794" w:rsidRDefault="00CD7417" w:rsidP="00494D0B">
      <w:pPr>
        <w:spacing w:after="0"/>
        <w:ind w:left="-3" w:right="60" w:firstLine="720"/>
        <w:rPr>
          <w:color w:val="000000" w:themeColor="text1"/>
          <w:sz w:val="20"/>
          <w:szCs w:val="20"/>
        </w:rPr>
      </w:pPr>
      <w:r w:rsidRPr="00CD7417">
        <w:rPr>
          <w:color w:val="000000" w:themeColor="text1"/>
          <w:sz w:val="20"/>
          <w:szCs w:val="20"/>
        </w:rPr>
        <w:t>In diverse ecosystems, lactic acid bacteria (LAB) provide advantageous effects by inhibiting the proliferation of pathogenic bacteria via the synthesis of antimicrobial agents like organic acids, hydrogen peroxide, and bacteriocins</w:t>
      </w:r>
      <w:r w:rsidR="00000000" w:rsidRPr="00100794">
        <w:rPr>
          <w:color w:val="000000" w:themeColor="text1"/>
          <w:sz w:val="20"/>
          <w:szCs w:val="20"/>
        </w:rPr>
        <w:t xml:space="preserve"> (Reid </w:t>
      </w:r>
      <w:r w:rsidR="00000000" w:rsidRPr="00100794">
        <w:rPr>
          <w:i/>
          <w:iCs/>
          <w:color w:val="000000" w:themeColor="text1"/>
          <w:sz w:val="20"/>
          <w:szCs w:val="20"/>
        </w:rPr>
        <w:t>et al.,</w:t>
      </w:r>
      <w:r w:rsidR="00000000" w:rsidRPr="00100794">
        <w:rPr>
          <w:color w:val="000000" w:themeColor="text1"/>
          <w:sz w:val="20"/>
          <w:szCs w:val="20"/>
        </w:rPr>
        <w:t xml:space="preserve"> 2001). </w:t>
      </w:r>
      <w:r w:rsidR="00A33503" w:rsidRPr="00A33503">
        <w:rPr>
          <w:color w:val="000000" w:themeColor="text1"/>
          <w:sz w:val="20"/>
          <w:szCs w:val="20"/>
        </w:rPr>
        <w:t>Bacteriocins are compact proteins with bactericidal or bacteriostatic properties (</w:t>
      </w:r>
      <w:proofErr w:type="spellStart"/>
      <w:r w:rsidR="00A33503" w:rsidRPr="00A33503">
        <w:rPr>
          <w:color w:val="000000" w:themeColor="text1"/>
          <w:sz w:val="20"/>
          <w:szCs w:val="20"/>
        </w:rPr>
        <w:t>Klaenhammer</w:t>
      </w:r>
      <w:proofErr w:type="spellEnd"/>
      <w:r w:rsidR="00A33503" w:rsidRPr="00A33503">
        <w:rPr>
          <w:color w:val="000000" w:themeColor="text1"/>
          <w:sz w:val="20"/>
          <w:szCs w:val="20"/>
        </w:rPr>
        <w:t xml:space="preserve"> et al., 1988). Lactobacilli that produce bacteriocins, for example, can function as safeguarding cultures to improve the microbiological safety of food items</w:t>
      </w:r>
      <w:r w:rsidR="00A33503">
        <w:rPr>
          <w:color w:val="000000" w:themeColor="text1"/>
          <w:sz w:val="20"/>
          <w:szCs w:val="20"/>
        </w:rPr>
        <w:t xml:space="preserve"> </w:t>
      </w:r>
      <w:r w:rsidR="00000000" w:rsidRPr="00100794">
        <w:rPr>
          <w:color w:val="000000" w:themeColor="text1"/>
          <w:sz w:val="20"/>
          <w:szCs w:val="20"/>
        </w:rPr>
        <w:t xml:space="preserve">(Olasupo </w:t>
      </w:r>
      <w:r w:rsidR="00000000" w:rsidRPr="00100794">
        <w:rPr>
          <w:i/>
          <w:iCs/>
          <w:color w:val="000000" w:themeColor="text1"/>
          <w:sz w:val="20"/>
          <w:szCs w:val="20"/>
        </w:rPr>
        <w:t>et al.,</w:t>
      </w:r>
      <w:r w:rsidR="00000000" w:rsidRPr="00100794">
        <w:rPr>
          <w:color w:val="000000" w:themeColor="text1"/>
          <w:sz w:val="20"/>
          <w:szCs w:val="20"/>
        </w:rPr>
        <w:t xml:space="preserve"> 1997). </w:t>
      </w:r>
      <w:r w:rsidR="00764DA9" w:rsidRPr="00764DA9">
        <w:rPr>
          <w:color w:val="000000" w:themeColor="text1"/>
          <w:sz w:val="20"/>
          <w:szCs w:val="20"/>
        </w:rPr>
        <w:t xml:space="preserve">Furthermore, bacteriocins demonstrate antagonistic actions against spoilage microorganisms in food (Barbuti et al., 2008), primarily focusing on microbes like </w:t>
      </w:r>
      <w:r w:rsidR="00764DA9" w:rsidRPr="00764DA9">
        <w:rPr>
          <w:i/>
          <w:iCs/>
          <w:color w:val="000000" w:themeColor="text1"/>
          <w:sz w:val="20"/>
          <w:szCs w:val="20"/>
        </w:rPr>
        <w:t>Pseudomonas</w:t>
      </w:r>
      <w:r w:rsidR="00764DA9" w:rsidRPr="00764DA9">
        <w:rPr>
          <w:color w:val="000000" w:themeColor="text1"/>
          <w:sz w:val="20"/>
          <w:szCs w:val="20"/>
        </w:rPr>
        <w:t xml:space="preserve">, </w:t>
      </w:r>
      <w:r w:rsidR="00764DA9" w:rsidRPr="00764DA9">
        <w:rPr>
          <w:i/>
          <w:iCs/>
          <w:color w:val="000000" w:themeColor="text1"/>
          <w:sz w:val="20"/>
          <w:szCs w:val="20"/>
        </w:rPr>
        <w:t>Staphylococcus aureus</w:t>
      </w:r>
      <w:r w:rsidR="00764DA9" w:rsidRPr="00764DA9">
        <w:rPr>
          <w:color w:val="000000" w:themeColor="text1"/>
          <w:sz w:val="20"/>
          <w:szCs w:val="20"/>
        </w:rPr>
        <w:t xml:space="preserve">, </w:t>
      </w:r>
      <w:r w:rsidR="00764DA9" w:rsidRPr="00764DA9">
        <w:rPr>
          <w:i/>
          <w:iCs/>
          <w:color w:val="000000" w:themeColor="text1"/>
          <w:sz w:val="20"/>
          <w:szCs w:val="20"/>
        </w:rPr>
        <w:t>Salmonella sp</w:t>
      </w:r>
      <w:r w:rsidR="00764DA9" w:rsidRPr="00764DA9">
        <w:rPr>
          <w:color w:val="000000" w:themeColor="text1"/>
          <w:sz w:val="20"/>
          <w:szCs w:val="20"/>
        </w:rPr>
        <w:t xml:space="preserve">., and </w:t>
      </w:r>
      <w:r w:rsidR="00764DA9" w:rsidRPr="00764DA9">
        <w:rPr>
          <w:i/>
          <w:iCs/>
          <w:color w:val="000000" w:themeColor="text1"/>
          <w:sz w:val="20"/>
          <w:szCs w:val="20"/>
        </w:rPr>
        <w:t>Listeria monocytogenes.</w:t>
      </w:r>
      <w:r w:rsidR="00764DA9" w:rsidRPr="00764DA9">
        <w:rPr>
          <w:color w:val="000000" w:themeColor="text1"/>
          <w:sz w:val="20"/>
          <w:szCs w:val="20"/>
        </w:rPr>
        <w:t xml:space="preserve"> </w:t>
      </w:r>
      <w:r w:rsidR="00000000" w:rsidRPr="00100794">
        <w:rPr>
          <w:color w:val="000000" w:themeColor="text1"/>
          <w:sz w:val="20"/>
          <w:szCs w:val="20"/>
        </w:rPr>
        <w:t>(</w:t>
      </w:r>
      <w:proofErr w:type="spellStart"/>
      <w:r w:rsidR="00000000" w:rsidRPr="00100794">
        <w:rPr>
          <w:color w:val="000000" w:themeColor="text1"/>
          <w:sz w:val="20"/>
          <w:szCs w:val="20"/>
        </w:rPr>
        <w:t>Chinang</w:t>
      </w:r>
      <w:proofErr w:type="spellEnd"/>
      <w:r w:rsidR="00000000" w:rsidRPr="00100794">
        <w:rPr>
          <w:color w:val="000000" w:themeColor="text1"/>
          <w:sz w:val="20"/>
          <w:szCs w:val="20"/>
        </w:rPr>
        <w:t xml:space="preserve"> </w:t>
      </w:r>
      <w:r w:rsidR="00000000" w:rsidRPr="00100794">
        <w:rPr>
          <w:i/>
          <w:iCs/>
          <w:color w:val="000000" w:themeColor="text1"/>
          <w:sz w:val="20"/>
          <w:szCs w:val="20"/>
        </w:rPr>
        <w:t>et al.,</w:t>
      </w:r>
      <w:r w:rsidR="00000000" w:rsidRPr="00100794">
        <w:rPr>
          <w:color w:val="000000" w:themeColor="text1"/>
          <w:sz w:val="20"/>
          <w:szCs w:val="20"/>
        </w:rPr>
        <w:t xml:space="preserve"> 2000). Consequently, bacteriocins hold considerable potential as bio-preservatives for food (Arokiyamary and Sivakumar, 2011).</w:t>
      </w:r>
    </w:p>
    <w:p w14:paraId="28F8C1AD" w14:textId="77777777" w:rsidR="00E01CD8" w:rsidRPr="00100794" w:rsidRDefault="00000000" w:rsidP="00E92877">
      <w:pPr>
        <w:pStyle w:val="Heading5"/>
        <w:rPr>
          <w:color w:val="000000" w:themeColor="text1"/>
          <w:sz w:val="20"/>
          <w:szCs w:val="20"/>
        </w:rPr>
      </w:pPr>
      <w:bookmarkStart w:id="8" w:name="_Toc141790390"/>
      <w:r w:rsidRPr="00100794">
        <w:rPr>
          <w:color w:val="000000" w:themeColor="text1"/>
          <w:sz w:val="20"/>
          <w:szCs w:val="20"/>
        </w:rPr>
        <w:t xml:space="preserve">Genus </w:t>
      </w:r>
      <w:r w:rsidRPr="00100794">
        <w:rPr>
          <w:i/>
          <w:iCs/>
          <w:color w:val="000000" w:themeColor="text1"/>
          <w:sz w:val="20"/>
          <w:szCs w:val="20"/>
        </w:rPr>
        <w:t>Bifidobacterium</w:t>
      </w:r>
      <w:bookmarkEnd w:id="8"/>
      <w:r w:rsidRPr="00100794">
        <w:rPr>
          <w:color w:val="000000" w:themeColor="text1"/>
          <w:sz w:val="20"/>
          <w:szCs w:val="20"/>
        </w:rPr>
        <w:t xml:space="preserve"> </w:t>
      </w:r>
    </w:p>
    <w:p w14:paraId="6A2AD094" w14:textId="244D86C9" w:rsidR="00744788" w:rsidRPr="00100794" w:rsidRDefault="00000000" w:rsidP="00744788">
      <w:pPr>
        <w:rPr>
          <w:i/>
          <w:color w:val="000000" w:themeColor="text1"/>
          <w:sz w:val="20"/>
          <w:szCs w:val="20"/>
        </w:rPr>
      </w:pPr>
      <w:r w:rsidRPr="00100794">
        <w:rPr>
          <w:color w:val="000000" w:themeColor="text1"/>
          <w:sz w:val="20"/>
          <w:szCs w:val="20"/>
        </w:rPr>
        <w:t xml:space="preserve">In 1899-1990, Tisser isolated Y-shaped bacteria belonging to the </w:t>
      </w:r>
      <w:r w:rsidRPr="00100794">
        <w:rPr>
          <w:i/>
          <w:iCs/>
          <w:color w:val="000000" w:themeColor="text1"/>
          <w:sz w:val="20"/>
          <w:szCs w:val="20"/>
        </w:rPr>
        <w:t>Bifidobacterium</w:t>
      </w:r>
      <w:r w:rsidRPr="00100794">
        <w:rPr>
          <w:color w:val="000000" w:themeColor="text1"/>
          <w:sz w:val="20"/>
          <w:szCs w:val="20"/>
        </w:rPr>
        <w:t xml:space="preserve"> genus from infant feces, which he named </w:t>
      </w:r>
      <w:r w:rsidRPr="00100794">
        <w:rPr>
          <w:i/>
          <w:iCs/>
          <w:color w:val="000000" w:themeColor="text1"/>
          <w:sz w:val="20"/>
          <w:szCs w:val="20"/>
        </w:rPr>
        <w:t>Bacillus bifidus</w:t>
      </w:r>
      <w:r w:rsidRPr="00100794">
        <w:rPr>
          <w:color w:val="000000" w:themeColor="text1"/>
          <w:sz w:val="20"/>
          <w:szCs w:val="20"/>
        </w:rPr>
        <w:t xml:space="preserve">. </w:t>
      </w:r>
      <w:r w:rsidR="005B4B2B">
        <w:rPr>
          <w:color w:val="000000" w:themeColor="text1"/>
          <w:sz w:val="20"/>
          <w:szCs w:val="20"/>
        </w:rPr>
        <w:t>Before</w:t>
      </w:r>
      <w:r w:rsidRPr="00100794">
        <w:rPr>
          <w:color w:val="000000" w:themeColor="text1"/>
          <w:sz w:val="20"/>
          <w:szCs w:val="20"/>
        </w:rPr>
        <w:t xml:space="preserve"> this discovery, </w:t>
      </w:r>
      <w:r w:rsidRPr="00100794">
        <w:rPr>
          <w:i/>
          <w:iCs/>
          <w:color w:val="000000" w:themeColor="text1"/>
          <w:sz w:val="20"/>
          <w:szCs w:val="20"/>
        </w:rPr>
        <w:t>bifidobacteria</w:t>
      </w:r>
      <w:r w:rsidRPr="00100794">
        <w:rPr>
          <w:color w:val="000000" w:themeColor="text1"/>
          <w:sz w:val="20"/>
          <w:szCs w:val="20"/>
        </w:rPr>
        <w:t xml:space="preserve"> were classified as subspecies of </w:t>
      </w:r>
      <w:r w:rsidRPr="00100794">
        <w:rPr>
          <w:i/>
          <w:iCs/>
          <w:color w:val="000000" w:themeColor="text1"/>
          <w:sz w:val="20"/>
          <w:szCs w:val="20"/>
        </w:rPr>
        <w:t>Lactobacillus</w:t>
      </w:r>
      <w:r w:rsidRPr="00100794">
        <w:rPr>
          <w:color w:val="000000" w:themeColor="text1"/>
          <w:sz w:val="20"/>
          <w:szCs w:val="20"/>
        </w:rPr>
        <w:t xml:space="preserve">, but in 1924, they were reclassified as a separate genus, </w:t>
      </w:r>
      <w:r w:rsidRPr="00100794">
        <w:rPr>
          <w:i/>
          <w:iCs/>
          <w:color w:val="000000" w:themeColor="text1"/>
          <w:sz w:val="20"/>
          <w:szCs w:val="20"/>
        </w:rPr>
        <w:t>Bifidobacterium</w:t>
      </w:r>
      <w:r w:rsidRPr="00100794">
        <w:rPr>
          <w:color w:val="000000" w:themeColor="text1"/>
          <w:sz w:val="20"/>
          <w:szCs w:val="20"/>
        </w:rPr>
        <w:t xml:space="preserve">. These microorganisms are characterized as obligate anaerobes, displaying Gram-positive properties, lacking spore formation, being </w:t>
      </w:r>
      <w:r w:rsidR="00EE3065">
        <w:rPr>
          <w:color w:val="000000" w:themeColor="text1"/>
          <w:sz w:val="20"/>
          <w:szCs w:val="20"/>
        </w:rPr>
        <w:t>catalase-negative</w:t>
      </w:r>
      <w:r w:rsidRPr="00100794">
        <w:rPr>
          <w:color w:val="000000" w:themeColor="text1"/>
          <w:sz w:val="20"/>
          <w:szCs w:val="20"/>
        </w:rPr>
        <w:t xml:space="preserve">, and non-motile. Some </w:t>
      </w:r>
      <w:r w:rsidRPr="00100794">
        <w:rPr>
          <w:i/>
          <w:iCs/>
          <w:color w:val="000000" w:themeColor="text1"/>
          <w:sz w:val="20"/>
          <w:szCs w:val="20"/>
        </w:rPr>
        <w:t>bifidobacteria</w:t>
      </w:r>
      <w:r w:rsidRPr="00100794">
        <w:rPr>
          <w:color w:val="000000" w:themeColor="text1"/>
          <w:sz w:val="20"/>
          <w:szCs w:val="20"/>
        </w:rPr>
        <w:t xml:space="preserve"> can tolerate oxygen as such or in the presence of carbon dioxide (Talwalkar and Kailasapathy, 2004). Morphologically, they exhibit pleomorphic shapes, appearing as short, curved rods, club-shaped rods, and bifurcated Y-shaped rods. Numerous species of </w:t>
      </w:r>
      <w:r w:rsidRPr="00100794">
        <w:rPr>
          <w:i/>
          <w:iCs/>
          <w:color w:val="000000" w:themeColor="text1"/>
          <w:sz w:val="20"/>
          <w:szCs w:val="20"/>
        </w:rPr>
        <w:t>Bifidobacterium</w:t>
      </w:r>
      <w:r w:rsidRPr="00100794">
        <w:rPr>
          <w:color w:val="000000" w:themeColor="text1"/>
          <w:sz w:val="20"/>
          <w:szCs w:val="20"/>
        </w:rPr>
        <w:t xml:space="preserve"> have been identified and isolated from various sources, including humans, animals, and insects. </w:t>
      </w:r>
      <w:r w:rsidR="003322B0" w:rsidRPr="003322B0">
        <w:rPr>
          <w:color w:val="000000" w:themeColor="text1"/>
          <w:sz w:val="20"/>
          <w:szCs w:val="20"/>
        </w:rPr>
        <w:t>These microorganisms thrive under ideal conditions, with a temperature range of 37-41°C and a pH range of 6-7. Their growth is entirely inhibited below pH 4.5 and above pH 8.0.</w:t>
      </w:r>
    </w:p>
    <w:p w14:paraId="0790A997" w14:textId="77777777" w:rsidR="00E01CD8" w:rsidRPr="00100794" w:rsidRDefault="00000000" w:rsidP="00744788">
      <w:pPr>
        <w:pStyle w:val="Heading5"/>
        <w:rPr>
          <w:color w:val="000000" w:themeColor="text1"/>
          <w:sz w:val="20"/>
          <w:szCs w:val="20"/>
        </w:rPr>
      </w:pPr>
      <w:bookmarkStart w:id="9" w:name="_Toc141790391"/>
      <w:r w:rsidRPr="00100794">
        <w:rPr>
          <w:color w:val="000000" w:themeColor="text1"/>
          <w:sz w:val="20"/>
          <w:szCs w:val="20"/>
        </w:rPr>
        <w:t xml:space="preserve">Genus </w:t>
      </w:r>
      <w:r w:rsidRPr="00100794">
        <w:rPr>
          <w:i/>
          <w:iCs/>
          <w:color w:val="000000" w:themeColor="text1"/>
          <w:sz w:val="20"/>
          <w:szCs w:val="20"/>
        </w:rPr>
        <w:t>Lactobacillus</w:t>
      </w:r>
      <w:bookmarkEnd w:id="9"/>
      <w:r w:rsidRPr="00100794">
        <w:rPr>
          <w:color w:val="000000" w:themeColor="text1"/>
          <w:sz w:val="20"/>
          <w:szCs w:val="20"/>
        </w:rPr>
        <w:t xml:space="preserve"> </w:t>
      </w:r>
    </w:p>
    <w:p w14:paraId="53C6C7F1" w14:textId="7EDBF327" w:rsidR="00342CBF" w:rsidRPr="00100794" w:rsidRDefault="00000000" w:rsidP="00342CBF">
      <w:pPr>
        <w:rPr>
          <w:color w:val="000000" w:themeColor="text1"/>
          <w:sz w:val="20"/>
          <w:szCs w:val="20"/>
        </w:rPr>
      </w:pPr>
      <w:r w:rsidRPr="00100794">
        <w:rPr>
          <w:color w:val="000000" w:themeColor="text1"/>
          <w:sz w:val="20"/>
          <w:szCs w:val="20"/>
        </w:rPr>
        <w:t xml:space="preserve">Genus </w:t>
      </w:r>
      <w:r w:rsidRPr="00971951">
        <w:rPr>
          <w:i/>
          <w:iCs/>
          <w:color w:val="000000" w:themeColor="text1"/>
          <w:sz w:val="20"/>
          <w:szCs w:val="20"/>
        </w:rPr>
        <w:t>Lactobacilli</w:t>
      </w:r>
      <w:r w:rsidRPr="00100794">
        <w:rPr>
          <w:color w:val="000000" w:themeColor="text1"/>
          <w:sz w:val="20"/>
          <w:szCs w:val="20"/>
        </w:rPr>
        <w:t xml:space="preserve"> comprises non-flagellated rods or coccobacilli with characteristics of being gram-positive, catalase-negative, non-sporing, microaerophilic or anaerobic, and strictly fermentative (Salvetti </w:t>
      </w:r>
      <w:r w:rsidRPr="00100794">
        <w:rPr>
          <w:i/>
          <w:iCs/>
          <w:color w:val="000000" w:themeColor="text1"/>
          <w:sz w:val="20"/>
          <w:szCs w:val="20"/>
        </w:rPr>
        <w:t>et al.,</w:t>
      </w:r>
      <w:r w:rsidRPr="00100794">
        <w:rPr>
          <w:color w:val="000000" w:themeColor="text1"/>
          <w:sz w:val="20"/>
          <w:szCs w:val="20"/>
        </w:rPr>
        <w:t xml:space="preserve"> 2012). Presently, approximately 70 species of </w:t>
      </w:r>
      <w:r w:rsidRPr="00100794">
        <w:rPr>
          <w:i/>
          <w:iCs/>
          <w:color w:val="000000" w:themeColor="text1"/>
          <w:sz w:val="20"/>
          <w:szCs w:val="20"/>
        </w:rPr>
        <w:t>lactobacilli</w:t>
      </w:r>
      <w:r w:rsidRPr="00100794">
        <w:rPr>
          <w:color w:val="000000" w:themeColor="text1"/>
          <w:sz w:val="20"/>
          <w:szCs w:val="20"/>
        </w:rPr>
        <w:t xml:space="preserve"> have been characterized. Among these, the most commonly employed </w:t>
      </w:r>
      <w:r w:rsidRPr="00100794">
        <w:rPr>
          <w:i/>
          <w:iCs/>
          <w:color w:val="000000" w:themeColor="text1"/>
          <w:sz w:val="20"/>
          <w:szCs w:val="20"/>
        </w:rPr>
        <w:t>lactobacilli</w:t>
      </w:r>
      <w:r w:rsidRPr="00100794">
        <w:rPr>
          <w:color w:val="000000" w:themeColor="text1"/>
          <w:sz w:val="20"/>
          <w:szCs w:val="20"/>
        </w:rPr>
        <w:t xml:space="preserve"> in dietary formulations are </w:t>
      </w:r>
      <w:r w:rsidRPr="00100794">
        <w:rPr>
          <w:i/>
          <w:iCs/>
          <w:color w:val="000000" w:themeColor="text1"/>
          <w:sz w:val="20"/>
          <w:szCs w:val="20"/>
        </w:rPr>
        <w:t>L. acidophilus, L. casei, L. paracasei, L. plantarum,</w:t>
      </w:r>
      <w:r w:rsidRPr="00100794">
        <w:rPr>
          <w:color w:val="000000" w:themeColor="text1"/>
          <w:sz w:val="20"/>
          <w:szCs w:val="20"/>
        </w:rPr>
        <w:t xml:space="preserve"> and </w:t>
      </w:r>
      <w:r w:rsidRPr="00100794">
        <w:rPr>
          <w:i/>
          <w:iCs/>
          <w:color w:val="000000" w:themeColor="text1"/>
          <w:sz w:val="20"/>
          <w:szCs w:val="20"/>
        </w:rPr>
        <w:t>L. rhamnosus</w:t>
      </w:r>
      <w:r w:rsidRPr="00100794">
        <w:rPr>
          <w:color w:val="000000" w:themeColor="text1"/>
          <w:sz w:val="20"/>
          <w:szCs w:val="20"/>
        </w:rPr>
        <w:t xml:space="preserve"> (Tannock, 2002). For commercial food products, particularly in yogurt production, commonly used </w:t>
      </w:r>
      <w:r w:rsidRPr="00100794">
        <w:rPr>
          <w:i/>
          <w:iCs/>
          <w:color w:val="000000" w:themeColor="text1"/>
          <w:sz w:val="20"/>
          <w:szCs w:val="20"/>
        </w:rPr>
        <w:t>lactobacilli</w:t>
      </w:r>
      <w:r w:rsidRPr="00100794">
        <w:rPr>
          <w:color w:val="000000" w:themeColor="text1"/>
          <w:sz w:val="20"/>
          <w:szCs w:val="20"/>
        </w:rPr>
        <w:t xml:space="preserve"> strains include </w:t>
      </w:r>
      <w:r w:rsidRPr="00100794">
        <w:rPr>
          <w:i/>
          <w:iCs/>
          <w:color w:val="000000" w:themeColor="text1"/>
          <w:sz w:val="20"/>
          <w:szCs w:val="20"/>
        </w:rPr>
        <w:t>L. acidophilus La-5</w:t>
      </w:r>
      <w:r w:rsidRPr="00100794">
        <w:rPr>
          <w:color w:val="000000" w:themeColor="text1"/>
          <w:sz w:val="20"/>
          <w:szCs w:val="20"/>
        </w:rPr>
        <w:t xml:space="preserve"> (Christian Hansen) and </w:t>
      </w:r>
      <w:r w:rsidRPr="00100794">
        <w:rPr>
          <w:i/>
          <w:iCs/>
          <w:color w:val="000000" w:themeColor="text1"/>
          <w:sz w:val="20"/>
          <w:szCs w:val="20"/>
        </w:rPr>
        <w:t>L. acidophilus</w:t>
      </w:r>
      <w:r w:rsidRPr="00100794">
        <w:rPr>
          <w:color w:val="000000" w:themeColor="text1"/>
          <w:sz w:val="20"/>
          <w:szCs w:val="20"/>
        </w:rPr>
        <w:t xml:space="preserve"> LAFTI L10 (DSM Food Specialties) (Talwalkar and Kailasapathy, 2004).</w:t>
      </w:r>
      <w:r w:rsidR="0089463D" w:rsidRPr="00100794">
        <w:rPr>
          <w:color w:val="000000" w:themeColor="text1"/>
          <w:sz w:val="20"/>
          <w:szCs w:val="20"/>
        </w:rPr>
        <w:t xml:space="preserve"> </w:t>
      </w:r>
      <w:r w:rsidRPr="00100794">
        <w:rPr>
          <w:i/>
          <w:iCs/>
          <w:color w:val="000000" w:themeColor="text1"/>
          <w:sz w:val="20"/>
          <w:szCs w:val="20"/>
        </w:rPr>
        <w:t>Lactobacilli</w:t>
      </w:r>
      <w:r w:rsidRPr="00100794">
        <w:rPr>
          <w:color w:val="000000" w:themeColor="text1"/>
          <w:sz w:val="20"/>
          <w:szCs w:val="20"/>
        </w:rPr>
        <w:t xml:space="preserve"> possess several essential probiotic features, such as the production of digestive enzymes, synthesis of vitamins, breakdown of bile salts, enhancement of immunity, and inhibition of pro-inflammatory mediators. The regular consumption of exogenous </w:t>
      </w:r>
      <w:r w:rsidRPr="00100794">
        <w:rPr>
          <w:i/>
          <w:iCs/>
          <w:color w:val="000000" w:themeColor="text1"/>
          <w:sz w:val="20"/>
          <w:szCs w:val="20"/>
        </w:rPr>
        <w:t>Lactobacillus spp</w:t>
      </w:r>
      <w:r w:rsidRPr="00100794">
        <w:rPr>
          <w:color w:val="000000" w:themeColor="text1"/>
          <w:sz w:val="20"/>
          <w:szCs w:val="20"/>
        </w:rPr>
        <w:t xml:space="preserve">. through the diet can establish colonization in the intestine, in addition to the indigenous </w:t>
      </w:r>
      <w:r w:rsidRPr="00100794">
        <w:rPr>
          <w:i/>
          <w:iCs/>
          <w:color w:val="000000" w:themeColor="text1"/>
          <w:sz w:val="20"/>
          <w:szCs w:val="20"/>
        </w:rPr>
        <w:t>Lactobacillus spp</w:t>
      </w:r>
      <w:r w:rsidRPr="00100794">
        <w:rPr>
          <w:color w:val="000000" w:themeColor="text1"/>
          <w:sz w:val="20"/>
          <w:szCs w:val="20"/>
        </w:rPr>
        <w:t xml:space="preserve">. </w:t>
      </w:r>
      <w:r w:rsidR="00D44529" w:rsidRPr="00100794">
        <w:rPr>
          <w:color w:val="000000" w:themeColor="text1"/>
          <w:sz w:val="20"/>
          <w:szCs w:val="20"/>
        </w:rPr>
        <w:t>Figure</w:t>
      </w:r>
      <w:r w:rsidRPr="00100794">
        <w:rPr>
          <w:color w:val="000000" w:themeColor="text1"/>
          <w:sz w:val="20"/>
          <w:szCs w:val="20"/>
        </w:rPr>
        <w:t xml:space="preserve"> </w:t>
      </w:r>
      <w:r w:rsidR="00D44529" w:rsidRPr="00100794">
        <w:rPr>
          <w:color w:val="000000" w:themeColor="text1"/>
          <w:sz w:val="20"/>
          <w:szCs w:val="20"/>
        </w:rPr>
        <w:t>1</w:t>
      </w:r>
      <w:r w:rsidRPr="00100794">
        <w:rPr>
          <w:color w:val="000000" w:themeColor="text1"/>
          <w:sz w:val="20"/>
          <w:szCs w:val="20"/>
        </w:rPr>
        <w:t xml:space="preserve">.1 illustrates common </w:t>
      </w:r>
      <w:r w:rsidRPr="00971951">
        <w:rPr>
          <w:i/>
          <w:iCs/>
          <w:color w:val="000000" w:themeColor="text1"/>
          <w:sz w:val="20"/>
          <w:szCs w:val="20"/>
        </w:rPr>
        <w:t>lactobacillus</w:t>
      </w:r>
      <w:r w:rsidRPr="00100794">
        <w:rPr>
          <w:color w:val="000000" w:themeColor="text1"/>
          <w:sz w:val="20"/>
          <w:szCs w:val="20"/>
        </w:rPr>
        <w:t xml:space="preserve"> species used as probiotics.</w:t>
      </w:r>
      <w:r w:rsidR="0089463D" w:rsidRPr="00100794">
        <w:rPr>
          <w:color w:val="000000" w:themeColor="text1"/>
          <w:sz w:val="20"/>
          <w:szCs w:val="20"/>
        </w:rPr>
        <w:t xml:space="preserve"> </w:t>
      </w:r>
      <w:r w:rsidR="00B80400" w:rsidRPr="00971951">
        <w:rPr>
          <w:i/>
          <w:iCs/>
          <w:color w:val="000000" w:themeColor="text1"/>
          <w:sz w:val="20"/>
          <w:szCs w:val="20"/>
        </w:rPr>
        <w:t>Lactobacillus acidophilus</w:t>
      </w:r>
      <w:r w:rsidR="00B80400">
        <w:rPr>
          <w:color w:val="000000" w:themeColor="text1"/>
          <w:sz w:val="20"/>
          <w:szCs w:val="20"/>
        </w:rPr>
        <w:t xml:space="preserve"> is a prevalent dietary supplement due to its inherent probiotic potential among the various </w:t>
      </w:r>
      <w:r w:rsidR="00B80400" w:rsidRPr="00971951">
        <w:rPr>
          <w:i/>
          <w:iCs/>
          <w:color w:val="000000" w:themeColor="text1"/>
          <w:sz w:val="20"/>
          <w:szCs w:val="20"/>
        </w:rPr>
        <w:t xml:space="preserve">lactobacillus </w:t>
      </w:r>
      <w:r w:rsidR="00B80400">
        <w:rPr>
          <w:color w:val="000000" w:themeColor="text1"/>
          <w:sz w:val="20"/>
          <w:szCs w:val="20"/>
        </w:rPr>
        <w:t>species</w:t>
      </w:r>
      <w:r w:rsidRPr="00100794">
        <w:rPr>
          <w:color w:val="000000" w:themeColor="text1"/>
          <w:sz w:val="20"/>
          <w:szCs w:val="20"/>
        </w:rPr>
        <w:t xml:space="preserve">. </w:t>
      </w:r>
      <w:r w:rsidRPr="00100794">
        <w:rPr>
          <w:i/>
          <w:iCs/>
          <w:color w:val="000000" w:themeColor="text1"/>
          <w:sz w:val="20"/>
          <w:szCs w:val="20"/>
        </w:rPr>
        <w:t>L. acidophilus</w:t>
      </w:r>
      <w:r w:rsidRPr="00100794">
        <w:rPr>
          <w:color w:val="000000" w:themeColor="text1"/>
          <w:sz w:val="20"/>
          <w:szCs w:val="20"/>
        </w:rPr>
        <w:t xml:space="preserve"> is a </w:t>
      </w:r>
      <w:r w:rsidR="00B80400">
        <w:rPr>
          <w:color w:val="000000" w:themeColor="text1"/>
          <w:sz w:val="20"/>
          <w:szCs w:val="20"/>
        </w:rPr>
        <w:t>non-spore-forming</w:t>
      </w:r>
      <w:r w:rsidRPr="00100794">
        <w:rPr>
          <w:color w:val="000000" w:themeColor="text1"/>
          <w:sz w:val="20"/>
          <w:szCs w:val="20"/>
        </w:rPr>
        <w:t>, gram-positive microorganism occurring as non-flagellated rods singly, in pairs, and in short chains. It predominantly thrives in a microaerophilic environment, and anaerobic conditions support its growth on suitable media</w:t>
      </w:r>
      <w:r w:rsidR="00971951">
        <w:rPr>
          <w:color w:val="000000" w:themeColor="text1"/>
          <w:sz w:val="20"/>
          <w:szCs w:val="20"/>
        </w:rPr>
        <w:t xml:space="preserve">. </w:t>
      </w:r>
      <w:proofErr w:type="spellStart"/>
      <w:r w:rsidR="00971951" w:rsidRPr="00971951">
        <w:rPr>
          <w:i/>
          <w:iCs/>
          <w:color w:val="000000" w:themeColor="text1"/>
          <w:sz w:val="20"/>
          <w:szCs w:val="20"/>
        </w:rPr>
        <w:t>Lactobacillus</w:t>
      </w:r>
      <w:proofErr w:type="spellEnd"/>
      <w:r w:rsidR="00971951" w:rsidRPr="00971951">
        <w:rPr>
          <w:i/>
          <w:iCs/>
          <w:color w:val="000000" w:themeColor="text1"/>
          <w:sz w:val="20"/>
          <w:szCs w:val="20"/>
        </w:rPr>
        <w:t xml:space="preserve"> acidophilus</w:t>
      </w:r>
      <w:r w:rsidR="00971951" w:rsidRPr="00971951">
        <w:rPr>
          <w:color w:val="000000" w:themeColor="text1"/>
          <w:sz w:val="20"/>
          <w:szCs w:val="20"/>
        </w:rPr>
        <w:t xml:space="preserve"> thrives within an ideal temperature range of 35°C to 40°C, with the ability to withstand temperatures as high as 45°C. Its preferred pH range for growth is between 5.0 and 5.6, and </w:t>
      </w:r>
      <w:r w:rsidR="00971951" w:rsidRPr="00971951">
        <w:rPr>
          <w:color w:val="000000" w:themeColor="text1"/>
          <w:sz w:val="20"/>
          <w:szCs w:val="20"/>
        </w:rPr>
        <w:lastRenderedPageBreak/>
        <w:t>it demonstrates tolerance to acidity levels ranging from 0.3% to 1.9% titratable acidity</w:t>
      </w:r>
      <w:r w:rsidR="00971951">
        <w:rPr>
          <w:color w:val="000000" w:themeColor="text1"/>
          <w:sz w:val="20"/>
          <w:szCs w:val="20"/>
        </w:rPr>
        <w:t xml:space="preserve">. </w:t>
      </w:r>
      <w:proofErr w:type="spellStart"/>
      <w:r w:rsidR="0089463D" w:rsidRPr="00100794">
        <w:rPr>
          <w:color w:val="000000" w:themeColor="text1"/>
          <w:sz w:val="20"/>
          <w:szCs w:val="20"/>
        </w:rPr>
        <w:t>Liong</w:t>
      </w:r>
      <w:proofErr w:type="spellEnd"/>
      <w:r w:rsidR="0089463D" w:rsidRPr="00100794">
        <w:rPr>
          <w:color w:val="000000" w:themeColor="text1"/>
          <w:sz w:val="20"/>
          <w:szCs w:val="20"/>
        </w:rPr>
        <w:t xml:space="preserve"> and Shah (2005a) have demonstrated that </w:t>
      </w:r>
      <w:r w:rsidR="0089463D" w:rsidRPr="00100794">
        <w:rPr>
          <w:i/>
          <w:iCs/>
          <w:color w:val="000000" w:themeColor="text1"/>
          <w:sz w:val="20"/>
          <w:szCs w:val="20"/>
        </w:rPr>
        <w:t>L. acidophilus</w:t>
      </w:r>
      <w:r w:rsidR="0089463D" w:rsidRPr="00100794">
        <w:rPr>
          <w:color w:val="000000" w:themeColor="text1"/>
          <w:sz w:val="20"/>
          <w:szCs w:val="20"/>
        </w:rPr>
        <w:t xml:space="preserve"> 33200 displays superior resistance to bile salts and acidic conditions compared to other organisms. Additionally, this strain effectively facilitates the removal of cholesterol from fermentation broths (Liong and Shah, 2005b).</w:t>
      </w:r>
      <w:r w:rsidRPr="00100794">
        <w:rPr>
          <w:color w:val="000000" w:themeColor="text1"/>
          <w:sz w:val="20"/>
          <w:szCs w:val="20"/>
        </w:rPr>
        <w:t xml:space="preserve"> </w:t>
      </w:r>
      <w:r w:rsidR="0089463D" w:rsidRPr="00100794">
        <w:rPr>
          <w:color w:val="000000" w:themeColor="text1"/>
          <w:sz w:val="20"/>
          <w:szCs w:val="20"/>
        </w:rPr>
        <w:t xml:space="preserve">Various strains of </w:t>
      </w:r>
      <w:r w:rsidR="0089463D" w:rsidRPr="00100794">
        <w:rPr>
          <w:i/>
          <w:iCs/>
          <w:color w:val="000000" w:themeColor="text1"/>
          <w:sz w:val="20"/>
          <w:szCs w:val="20"/>
        </w:rPr>
        <w:t>L. acidophilus</w:t>
      </w:r>
      <w:r w:rsidR="0089463D" w:rsidRPr="00100794">
        <w:rPr>
          <w:color w:val="000000" w:themeColor="text1"/>
          <w:sz w:val="20"/>
          <w:szCs w:val="20"/>
        </w:rPr>
        <w:t xml:space="preserve"> are commonly incorporated into food products such as yogurt and buttermilk. These strains include MUH-41, O-61, L-1, 43121, and La-5 (Nighswonger </w:t>
      </w:r>
      <w:r w:rsidR="0089463D" w:rsidRPr="00100794">
        <w:rPr>
          <w:i/>
          <w:iCs/>
          <w:color w:val="000000" w:themeColor="text1"/>
          <w:sz w:val="20"/>
          <w:szCs w:val="20"/>
        </w:rPr>
        <w:t>et al.,</w:t>
      </w:r>
      <w:r w:rsidR="0089463D" w:rsidRPr="00100794">
        <w:rPr>
          <w:color w:val="000000" w:themeColor="text1"/>
          <w:sz w:val="20"/>
          <w:szCs w:val="20"/>
        </w:rPr>
        <w:t xml:space="preserve"> 1996). Moreover, in commercial food products, other frequently used </w:t>
      </w:r>
      <w:r w:rsidR="0089463D" w:rsidRPr="00100794">
        <w:rPr>
          <w:i/>
          <w:iCs/>
          <w:color w:val="000000" w:themeColor="text1"/>
          <w:sz w:val="20"/>
          <w:szCs w:val="20"/>
        </w:rPr>
        <w:t>L. acidophilus</w:t>
      </w:r>
      <w:r w:rsidR="0089463D" w:rsidRPr="00100794">
        <w:rPr>
          <w:color w:val="000000" w:themeColor="text1"/>
          <w:sz w:val="20"/>
          <w:szCs w:val="20"/>
        </w:rPr>
        <w:t xml:space="preserve"> strains are La-5 (Christian Hansen) and </w:t>
      </w:r>
      <w:r w:rsidR="0089463D" w:rsidRPr="00100794">
        <w:rPr>
          <w:i/>
          <w:iCs/>
          <w:color w:val="000000" w:themeColor="text1"/>
          <w:sz w:val="20"/>
          <w:szCs w:val="20"/>
        </w:rPr>
        <w:t>L. acidophilus</w:t>
      </w:r>
      <w:r w:rsidR="0089463D" w:rsidRPr="00100794">
        <w:rPr>
          <w:color w:val="000000" w:themeColor="text1"/>
          <w:sz w:val="20"/>
          <w:szCs w:val="20"/>
        </w:rPr>
        <w:t xml:space="preserve"> LAFTI L10 (DSM Food Specialties) (Talwalkar and Kailasapathy, 2004).</w:t>
      </w:r>
    </w:p>
    <w:p w14:paraId="0BF14A56" w14:textId="77777777" w:rsidR="00342CBF" w:rsidRPr="00100794" w:rsidRDefault="00000000" w:rsidP="00863B36">
      <w:pPr>
        <w:pStyle w:val="Caption"/>
      </w:pPr>
      <w:r w:rsidRPr="00100794">
        <w:t xml:space="preserve">Figure 1. </w:t>
      </w:r>
      <w:r w:rsidRPr="00100794">
        <w:fldChar w:fldCharType="begin"/>
      </w:r>
      <w:r w:rsidRPr="00100794">
        <w:instrText xml:space="preserve"> SEQ Table_2. \* ARABIC </w:instrText>
      </w:r>
      <w:r w:rsidRPr="00100794">
        <w:fldChar w:fldCharType="separate"/>
      </w:r>
      <w:r w:rsidRPr="00100794">
        <w:rPr>
          <w:noProof/>
        </w:rPr>
        <w:t>1</w:t>
      </w:r>
      <w:r w:rsidRPr="00100794">
        <w:fldChar w:fldCharType="end"/>
      </w:r>
      <w:r w:rsidRPr="00100794">
        <w:rPr>
          <w:i/>
        </w:rPr>
        <w:t xml:space="preserve"> Lactobacillus </w:t>
      </w:r>
      <w:r w:rsidRPr="00100794">
        <w:t xml:space="preserve">species used as probiotics  </w:t>
      </w:r>
    </w:p>
    <w:p w14:paraId="42BD7A4B" w14:textId="77777777" w:rsidR="00D020E4" w:rsidRPr="00D020E4" w:rsidRDefault="00000000" w:rsidP="00D020E4">
      <w:r>
        <w:rPr>
          <w:noProof/>
        </w:rPr>
        <w:drawing>
          <wp:anchor distT="0" distB="0" distL="114300" distR="114300" simplePos="0" relativeHeight="251658240" behindDoc="0" locked="0" layoutInCell="1" allowOverlap="1" wp14:anchorId="37D43950" wp14:editId="63A7805C">
            <wp:simplePos x="0" y="0"/>
            <wp:positionH relativeFrom="column">
              <wp:posOffset>0</wp:posOffset>
            </wp:positionH>
            <wp:positionV relativeFrom="paragraph">
              <wp:posOffset>332740</wp:posOffset>
            </wp:positionV>
            <wp:extent cx="5486400" cy="3200400"/>
            <wp:effectExtent l="0" t="0" r="0" b="1905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7A0959CC" w14:textId="77777777" w:rsidR="00E01CD8" w:rsidRPr="00100794" w:rsidRDefault="00000000" w:rsidP="006264D8">
      <w:pPr>
        <w:spacing w:after="237" w:line="256" w:lineRule="auto"/>
        <w:ind w:left="7" w:right="60"/>
        <w:jc w:val="right"/>
        <w:rPr>
          <w:rFonts w:ascii="Arial" w:eastAsia="Arial" w:hAnsi="Arial" w:cs="Arial"/>
          <w:sz w:val="20"/>
          <w:szCs w:val="20"/>
        </w:rPr>
      </w:pPr>
      <w:r w:rsidRPr="00100794">
        <w:rPr>
          <w:sz w:val="20"/>
          <w:szCs w:val="20"/>
        </w:rPr>
        <w:t xml:space="preserve">Source: </w:t>
      </w:r>
      <w:r w:rsidRPr="00100794">
        <w:rPr>
          <w:color w:val="000000" w:themeColor="text1"/>
          <w:sz w:val="20"/>
          <w:szCs w:val="20"/>
        </w:rPr>
        <w:t xml:space="preserve">Sanders and Klaenhammer (2001) </w:t>
      </w:r>
    </w:p>
    <w:p w14:paraId="53C6DD0C" w14:textId="77777777" w:rsidR="00E01CD8" w:rsidRPr="00100794" w:rsidRDefault="00000000" w:rsidP="00E01CD8">
      <w:pPr>
        <w:pStyle w:val="Heading4"/>
        <w:spacing w:after="115" w:line="256" w:lineRule="auto"/>
        <w:ind w:left="-5"/>
        <w:jc w:val="left"/>
        <w:rPr>
          <w:iCs/>
          <w:sz w:val="20"/>
          <w:szCs w:val="20"/>
        </w:rPr>
      </w:pPr>
      <w:bookmarkStart w:id="10" w:name="_Toc141790392"/>
      <w:r w:rsidRPr="00100794">
        <w:rPr>
          <w:iCs/>
          <w:sz w:val="20"/>
          <w:szCs w:val="20"/>
        </w:rPr>
        <w:t>Selection criteria for probiotic organisms</w:t>
      </w:r>
      <w:bookmarkEnd w:id="10"/>
      <w:r w:rsidRPr="00100794">
        <w:rPr>
          <w:iCs/>
          <w:sz w:val="20"/>
          <w:szCs w:val="20"/>
        </w:rPr>
        <w:t xml:space="preserve"> </w:t>
      </w:r>
    </w:p>
    <w:p w14:paraId="0F1AEB9B" w14:textId="77777777" w:rsidR="00F03ACF" w:rsidRPr="00100794" w:rsidRDefault="00000000" w:rsidP="00F03ACF">
      <w:pPr>
        <w:rPr>
          <w:sz w:val="20"/>
          <w:szCs w:val="20"/>
        </w:rPr>
      </w:pPr>
      <w:r w:rsidRPr="00100794">
        <w:rPr>
          <w:sz w:val="20"/>
          <w:szCs w:val="20"/>
        </w:rPr>
        <w:t>The probiotic microorganism must possess the following desirable properties:</w:t>
      </w:r>
    </w:p>
    <w:p w14:paraId="16CD4F69" w14:textId="77777777" w:rsidR="00F03ACF" w:rsidRPr="00100794" w:rsidRDefault="00000000" w:rsidP="00F03ACF">
      <w:pPr>
        <w:ind w:firstLine="0"/>
        <w:rPr>
          <w:sz w:val="20"/>
          <w:szCs w:val="20"/>
        </w:rPr>
      </w:pPr>
      <w:r w:rsidRPr="00100794">
        <w:rPr>
          <w:sz w:val="20"/>
          <w:szCs w:val="20"/>
        </w:rPr>
        <w:t>1) High acid and bile salt tolerance to ensure its viability and survival in the gastrointestinal tract.</w:t>
      </w:r>
    </w:p>
    <w:p w14:paraId="5D6C282A" w14:textId="0DC1F801" w:rsidR="00F03ACF" w:rsidRPr="00100794" w:rsidRDefault="00000000" w:rsidP="00F03ACF">
      <w:pPr>
        <w:ind w:firstLine="0"/>
        <w:rPr>
          <w:sz w:val="20"/>
          <w:szCs w:val="20"/>
        </w:rPr>
      </w:pPr>
      <w:r w:rsidRPr="00100794">
        <w:rPr>
          <w:sz w:val="20"/>
          <w:szCs w:val="20"/>
        </w:rPr>
        <w:t xml:space="preserve">2) </w:t>
      </w:r>
      <w:r w:rsidR="00775CE2" w:rsidRPr="00775CE2">
        <w:rPr>
          <w:sz w:val="20"/>
          <w:szCs w:val="20"/>
        </w:rPr>
        <w:t>The ability to adhere to mucosal and epithelial surfaces helps provide health benefits to the host.</w:t>
      </w:r>
    </w:p>
    <w:p w14:paraId="194DB5DE" w14:textId="77777777" w:rsidR="00F03ACF" w:rsidRPr="00100794" w:rsidRDefault="00000000" w:rsidP="00F03ACF">
      <w:pPr>
        <w:ind w:firstLine="0"/>
        <w:rPr>
          <w:sz w:val="20"/>
          <w:szCs w:val="20"/>
        </w:rPr>
      </w:pPr>
      <w:r w:rsidRPr="00100794">
        <w:rPr>
          <w:sz w:val="20"/>
          <w:szCs w:val="20"/>
        </w:rPr>
        <w:t>3) Exhibiting antimicrobial activity against harmful organisms, thereby contributing to the maintenance of gut health.</w:t>
      </w:r>
    </w:p>
    <w:p w14:paraId="5546BA9F" w14:textId="26C2B3BA" w:rsidR="00F03ACF" w:rsidRPr="00100794" w:rsidRDefault="00000000" w:rsidP="00F03ACF">
      <w:pPr>
        <w:ind w:firstLine="0"/>
        <w:rPr>
          <w:sz w:val="20"/>
          <w:szCs w:val="20"/>
        </w:rPr>
      </w:pPr>
      <w:r w:rsidRPr="00100794">
        <w:rPr>
          <w:sz w:val="20"/>
          <w:szCs w:val="20"/>
        </w:rPr>
        <w:t xml:space="preserve">4) </w:t>
      </w:r>
      <w:r w:rsidR="000408CB" w:rsidRPr="000408CB">
        <w:rPr>
          <w:sz w:val="20"/>
          <w:szCs w:val="20"/>
        </w:rPr>
        <w:t>Exhibiting bile salt hydrolase activity, which contributes to the degradation of bile salts and promotes various digestive processes.</w:t>
      </w:r>
    </w:p>
    <w:p w14:paraId="15724FB7" w14:textId="77777777" w:rsidR="00F03ACF" w:rsidRPr="00100794" w:rsidRDefault="00000000" w:rsidP="00F03ACF">
      <w:pPr>
        <w:ind w:firstLine="0"/>
        <w:rPr>
          <w:sz w:val="20"/>
          <w:szCs w:val="20"/>
        </w:rPr>
      </w:pPr>
      <w:r w:rsidRPr="00100794">
        <w:rPr>
          <w:sz w:val="20"/>
          <w:szCs w:val="20"/>
        </w:rPr>
        <w:t>5) Demonstrating specific cell surface properties that promote probiotic adhesion to host tissues, including cell surface hydrophobicity, aggregation, and adhesion mechanisms.</w:t>
      </w:r>
    </w:p>
    <w:p w14:paraId="5D68CCD0" w14:textId="77777777" w:rsidR="00F03ACF" w:rsidRPr="00100794" w:rsidRDefault="00F03ACF" w:rsidP="00F03ACF">
      <w:pPr>
        <w:ind w:firstLine="0"/>
        <w:rPr>
          <w:sz w:val="20"/>
          <w:szCs w:val="20"/>
        </w:rPr>
      </w:pPr>
    </w:p>
    <w:p w14:paraId="18861D48" w14:textId="6BD21418" w:rsidR="00E01CD8" w:rsidRPr="00100794" w:rsidRDefault="00000000" w:rsidP="00F03ACF">
      <w:pPr>
        <w:pStyle w:val="Heading5"/>
        <w:rPr>
          <w:sz w:val="20"/>
          <w:szCs w:val="20"/>
        </w:rPr>
      </w:pPr>
      <w:r w:rsidRPr="00100794">
        <w:rPr>
          <w:sz w:val="20"/>
          <w:szCs w:val="20"/>
        </w:rPr>
        <w:t xml:space="preserve"> </w:t>
      </w:r>
      <w:bookmarkStart w:id="11" w:name="_Toc141790393"/>
      <w:r w:rsidR="00CD1F9E">
        <w:rPr>
          <w:sz w:val="20"/>
          <w:szCs w:val="20"/>
        </w:rPr>
        <w:t>Contribution</w:t>
      </w:r>
      <w:r w:rsidR="00806A7A" w:rsidRPr="00100794">
        <w:rPr>
          <w:sz w:val="20"/>
          <w:szCs w:val="20"/>
        </w:rPr>
        <w:t xml:space="preserve"> of </w:t>
      </w:r>
      <w:r w:rsidR="00C906C7">
        <w:rPr>
          <w:sz w:val="20"/>
          <w:szCs w:val="20"/>
        </w:rPr>
        <w:t>probiotics</w:t>
      </w:r>
      <w:r w:rsidRPr="00100794">
        <w:rPr>
          <w:sz w:val="20"/>
          <w:szCs w:val="20"/>
        </w:rPr>
        <w:t xml:space="preserve"> in human health</w:t>
      </w:r>
      <w:bookmarkEnd w:id="11"/>
      <w:r w:rsidRPr="00100794">
        <w:rPr>
          <w:sz w:val="20"/>
          <w:szCs w:val="20"/>
        </w:rPr>
        <w:t xml:space="preserve"> </w:t>
      </w:r>
    </w:p>
    <w:p w14:paraId="6C1E2533" w14:textId="77777777" w:rsidR="00E01CD8" w:rsidRPr="00100794" w:rsidRDefault="00000000" w:rsidP="00E01CD8">
      <w:pPr>
        <w:pStyle w:val="Heading5"/>
        <w:ind w:left="-5"/>
        <w:rPr>
          <w:sz w:val="20"/>
          <w:szCs w:val="20"/>
        </w:rPr>
      </w:pPr>
      <w:bookmarkStart w:id="12" w:name="_Toc141790394"/>
      <w:r w:rsidRPr="00100794">
        <w:rPr>
          <w:sz w:val="20"/>
          <w:szCs w:val="20"/>
        </w:rPr>
        <w:lastRenderedPageBreak/>
        <w:t xml:space="preserve">Synthesis and bioavailability of </w:t>
      </w:r>
      <w:r w:rsidR="00806A7A" w:rsidRPr="00100794">
        <w:rPr>
          <w:sz w:val="20"/>
          <w:szCs w:val="20"/>
        </w:rPr>
        <w:t>n</w:t>
      </w:r>
      <w:r w:rsidRPr="00100794">
        <w:rPr>
          <w:sz w:val="20"/>
          <w:szCs w:val="20"/>
        </w:rPr>
        <w:t>utrients</w:t>
      </w:r>
      <w:bookmarkEnd w:id="12"/>
      <w:r w:rsidRPr="00100794">
        <w:rPr>
          <w:b w:val="0"/>
          <w:sz w:val="20"/>
          <w:szCs w:val="20"/>
        </w:rPr>
        <w:t xml:space="preserve">  </w:t>
      </w:r>
    </w:p>
    <w:p w14:paraId="5B8611C2" w14:textId="1DA5146E" w:rsidR="00806A7A" w:rsidRPr="00100794" w:rsidRDefault="005B74DA" w:rsidP="00806A7A">
      <w:pPr>
        <w:rPr>
          <w:b/>
          <w:bCs/>
          <w:color w:val="000000" w:themeColor="text1"/>
          <w:sz w:val="20"/>
          <w:szCs w:val="20"/>
        </w:rPr>
      </w:pPr>
      <w:r w:rsidRPr="005B74DA">
        <w:rPr>
          <w:color w:val="000000" w:themeColor="text1"/>
          <w:sz w:val="20"/>
          <w:szCs w:val="20"/>
        </w:rPr>
        <w:t xml:space="preserve">Probiotic microorganisms have been noted for their positive impact on nutrient availability and digestibility in the fermentation and absorption of fermented foods. </w:t>
      </w:r>
      <w:r w:rsidR="008F1CC7" w:rsidRPr="008F1CC7">
        <w:rPr>
          <w:color w:val="000000" w:themeColor="text1"/>
          <w:sz w:val="20"/>
          <w:szCs w:val="20"/>
        </w:rPr>
        <w:t>Yogurt and other fermented dairy products also play a role in providing folic acid</w:t>
      </w:r>
      <w:r w:rsidR="008F1CC7">
        <w:rPr>
          <w:color w:val="000000" w:themeColor="text1"/>
          <w:sz w:val="20"/>
          <w:szCs w:val="20"/>
        </w:rPr>
        <w:t xml:space="preserve">. </w:t>
      </w:r>
      <w:r w:rsidR="00000000" w:rsidRPr="00100794">
        <w:rPr>
          <w:color w:val="000000" w:themeColor="text1"/>
          <w:sz w:val="20"/>
          <w:szCs w:val="20"/>
        </w:rPr>
        <w:t xml:space="preserve">Additionally, research indicates that yogurt, following fermentation, exhibits higher levels of niacin and riboflavin compared to non-fermented counterparts (Alm, 1982). </w:t>
      </w:r>
      <w:r w:rsidR="006D4EE5" w:rsidRPr="006D4EE5">
        <w:rPr>
          <w:color w:val="000000" w:themeColor="text1"/>
          <w:sz w:val="20"/>
          <w:szCs w:val="20"/>
        </w:rPr>
        <w:t>The release and production of a variety of enzymes and vitamins into the intestinal lumen are pivotal in the process of digestion, mitigating problems related to malabsorption</w:t>
      </w:r>
      <w:r w:rsidR="006D4EE5">
        <w:rPr>
          <w:color w:val="000000" w:themeColor="text1"/>
          <w:sz w:val="20"/>
          <w:szCs w:val="20"/>
        </w:rPr>
        <w:t xml:space="preserve"> </w:t>
      </w:r>
      <w:r w:rsidR="00000000" w:rsidRPr="00100794">
        <w:rPr>
          <w:color w:val="000000" w:themeColor="text1"/>
          <w:sz w:val="20"/>
          <w:szCs w:val="20"/>
        </w:rPr>
        <w:t xml:space="preserve">(Mack </w:t>
      </w:r>
      <w:r w:rsidR="00000000" w:rsidRPr="00100794">
        <w:rPr>
          <w:i/>
          <w:iCs/>
          <w:color w:val="000000" w:themeColor="text1"/>
          <w:sz w:val="20"/>
          <w:szCs w:val="20"/>
        </w:rPr>
        <w:t>et al.,</w:t>
      </w:r>
      <w:r w:rsidR="00000000" w:rsidRPr="00100794">
        <w:rPr>
          <w:color w:val="000000" w:themeColor="text1"/>
          <w:sz w:val="20"/>
          <w:szCs w:val="20"/>
        </w:rPr>
        <w:t xml:space="preserve"> 1999). Probiotic bacteria produce enzymes that facilitate the hydrolysis of proteins and fats, consequently enhancing the bioavailability of these essential nutrients (Fernandes </w:t>
      </w:r>
      <w:r w:rsidR="00000000" w:rsidRPr="00100794">
        <w:rPr>
          <w:i/>
          <w:iCs/>
          <w:color w:val="000000" w:themeColor="text1"/>
          <w:sz w:val="20"/>
          <w:szCs w:val="20"/>
        </w:rPr>
        <w:t>et al.,</w:t>
      </w:r>
      <w:r w:rsidR="00000000" w:rsidRPr="00100794">
        <w:rPr>
          <w:color w:val="000000" w:themeColor="text1"/>
          <w:sz w:val="20"/>
          <w:szCs w:val="20"/>
        </w:rPr>
        <w:t xml:space="preserve"> 1987). Furthermore, the fermentation process increases the production of functional components, such as free amino acids, short-chain fatty acids (SCFA), lactic acid, </w:t>
      </w:r>
      <w:r w:rsidR="00096DCF">
        <w:rPr>
          <w:color w:val="000000" w:themeColor="text1"/>
          <w:sz w:val="20"/>
          <w:szCs w:val="20"/>
        </w:rPr>
        <w:t xml:space="preserve">and </w:t>
      </w:r>
      <w:r w:rsidR="00000000" w:rsidRPr="00100794">
        <w:rPr>
          <w:color w:val="000000" w:themeColor="text1"/>
          <w:sz w:val="20"/>
          <w:szCs w:val="20"/>
        </w:rPr>
        <w:t xml:space="preserve">propionic acid, among others. In the context of lactose intolerance, the presence of lactase, produced by milk </w:t>
      </w:r>
      <w:r w:rsidR="00000000" w:rsidRPr="00100794">
        <w:rPr>
          <w:i/>
          <w:iCs/>
          <w:color w:val="000000" w:themeColor="text1"/>
          <w:sz w:val="20"/>
          <w:szCs w:val="20"/>
        </w:rPr>
        <w:t>Lactobacilli</w:t>
      </w:r>
      <w:r w:rsidR="00000000" w:rsidRPr="00100794">
        <w:rPr>
          <w:color w:val="000000" w:themeColor="text1"/>
          <w:sz w:val="20"/>
          <w:szCs w:val="20"/>
        </w:rPr>
        <w:t xml:space="preserve"> during fermentation, aids in lactose degradation, thus preventing symptoms associated with lactose intolerance (Martini </w:t>
      </w:r>
      <w:r w:rsidR="00000000" w:rsidRPr="00100794">
        <w:rPr>
          <w:i/>
          <w:iCs/>
          <w:color w:val="000000" w:themeColor="text1"/>
          <w:sz w:val="20"/>
          <w:szCs w:val="20"/>
        </w:rPr>
        <w:t>et al.,</w:t>
      </w:r>
      <w:r w:rsidR="00000000" w:rsidRPr="00100794">
        <w:rPr>
          <w:color w:val="000000" w:themeColor="text1"/>
          <w:sz w:val="20"/>
          <w:szCs w:val="20"/>
        </w:rPr>
        <w:t xml:space="preserve"> 1991).</w:t>
      </w:r>
    </w:p>
    <w:p w14:paraId="41641F9C" w14:textId="77777777" w:rsidR="00E01CD8" w:rsidRPr="00100794" w:rsidRDefault="00000000" w:rsidP="00806A7A">
      <w:pPr>
        <w:pStyle w:val="Heading5"/>
        <w:rPr>
          <w:color w:val="000000" w:themeColor="text1"/>
          <w:sz w:val="20"/>
          <w:szCs w:val="20"/>
        </w:rPr>
      </w:pPr>
      <w:bookmarkStart w:id="13" w:name="_Toc141790395"/>
      <w:r w:rsidRPr="00100794">
        <w:rPr>
          <w:color w:val="000000" w:themeColor="text1"/>
          <w:sz w:val="20"/>
          <w:szCs w:val="20"/>
        </w:rPr>
        <w:t xml:space="preserve">Management of </w:t>
      </w:r>
      <w:bookmarkStart w:id="14" w:name="_Hlk144377022"/>
      <w:r w:rsidR="00806A7A" w:rsidRPr="00100794">
        <w:rPr>
          <w:color w:val="000000" w:themeColor="text1"/>
          <w:sz w:val="20"/>
          <w:szCs w:val="20"/>
        </w:rPr>
        <w:t>diarrhea</w:t>
      </w:r>
      <w:bookmarkEnd w:id="13"/>
      <w:r w:rsidRPr="00100794">
        <w:rPr>
          <w:color w:val="000000" w:themeColor="text1"/>
          <w:sz w:val="20"/>
          <w:szCs w:val="20"/>
        </w:rPr>
        <w:t xml:space="preserve"> </w:t>
      </w:r>
    </w:p>
    <w:bookmarkEnd w:id="14"/>
    <w:p w14:paraId="391D7F3C" w14:textId="225496B9" w:rsidR="00636547" w:rsidRPr="00100794" w:rsidRDefault="00000000" w:rsidP="00806A7A">
      <w:pPr>
        <w:ind w:left="-3" w:right="60" w:firstLine="720"/>
        <w:rPr>
          <w:color w:val="000000" w:themeColor="text1"/>
          <w:sz w:val="20"/>
          <w:szCs w:val="20"/>
        </w:rPr>
      </w:pPr>
      <w:r w:rsidRPr="00100794">
        <w:rPr>
          <w:color w:val="000000" w:themeColor="text1"/>
          <w:sz w:val="20"/>
          <w:szCs w:val="20"/>
        </w:rPr>
        <w:t xml:space="preserve">Lactic acid, a metabolic product synthesized by probiotic organisms, exerts a regulatory effect on the intestinal pH, inhibiting growth for invasive pathogens, including </w:t>
      </w:r>
      <w:r w:rsidRPr="00100794">
        <w:rPr>
          <w:i/>
          <w:iCs/>
          <w:color w:val="000000" w:themeColor="text1"/>
          <w:sz w:val="20"/>
          <w:szCs w:val="20"/>
        </w:rPr>
        <w:t>Salmonella spp</w:t>
      </w:r>
      <w:r w:rsidRPr="00100794">
        <w:rPr>
          <w:color w:val="000000" w:themeColor="text1"/>
          <w:sz w:val="20"/>
          <w:szCs w:val="20"/>
        </w:rPr>
        <w:t xml:space="preserve">. and various strains of </w:t>
      </w:r>
      <w:r w:rsidRPr="00100794">
        <w:rPr>
          <w:i/>
          <w:iCs/>
          <w:color w:val="000000" w:themeColor="text1"/>
          <w:sz w:val="20"/>
          <w:szCs w:val="20"/>
        </w:rPr>
        <w:t>Escherichia coli</w:t>
      </w:r>
      <w:r w:rsidRPr="00100794">
        <w:rPr>
          <w:color w:val="000000" w:themeColor="text1"/>
          <w:sz w:val="20"/>
          <w:szCs w:val="20"/>
        </w:rPr>
        <w:t xml:space="preserve"> (Mack </w:t>
      </w:r>
      <w:r w:rsidRPr="00100794">
        <w:rPr>
          <w:i/>
          <w:iCs/>
          <w:color w:val="000000" w:themeColor="text1"/>
          <w:sz w:val="20"/>
          <w:szCs w:val="20"/>
        </w:rPr>
        <w:t>et al.,</w:t>
      </w:r>
      <w:r w:rsidRPr="00100794">
        <w:rPr>
          <w:color w:val="000000" w:themeColor="text1"/>
          <w:sz w:val="20"/>
          <w:szCs w:val="20"/>
        </w:rPr>
        <w:t xml:space="preserve"> 1999). Probiotics are widely recognized for their efficacy in the prevention and management of acute viral and bacterial diarrhea and their ability to mitigate antibiotic-associated diarrhea. Several specific probiotic strains have been documented to provide substantial benefits in the treatment of diarrhea, notable examples being </w:t>
      </w:r>
      <w:r w:rsidRPr="00100794">
        <w:rPr>
          <w:i/>
          <w:iCs/>
          <w:color w:val="000000" w:themeColor="text1"/>
          <w:sz w:val="20"/>
          <w:szCs w:val="20"/>
        </w:rPr>
        <w:t>Lactobacillus GG, Lactobacillus reuteri, Saccharomyces boulardii,</w:t>
      </w:r>
      <w:r w:rsidRPr="00100794">
        <w:rPr>
          <w:color w:val="000000" w:themeColor="text1"/>
          <w:sz w:val="20"/>
          <w:szCs w:val="20"/>
        </w:rPr>
        <w:t xml:space="preserve"> and various </w:t>
      </w:r>
      <w:r w:rsidRPr="00100794">
        <w:rPr>
          <w:i/>
          <w:iCs/>
          <w:color w:val="000000" w:themeColor="text1"/>
          <w:sz w:val="20"/>
          <w:szCs w:val="20"/>
        </w:rPr>
        <w:t>Bifidobacteria spp</w:t>
      </w:r>
      <w:r w:rsidRPr="00100794">
        <w:rPr>
          <w:color w:val="000000" w:themeColor="text1"/>
          <w:sz w:val="20"/>
          <w:szCs w:val="20"/>
        </w:rPr>
        <w:t xml:space="preserve">. (Benchimol and Mack, 2004). These strains have shown particular effectiveness in managing rotavirus-induced </w:t>
      </w:r>
      <w:r w:rsidR="008B1031" w:rsidRPr="00100794">
        <w:rPr>
          <w:color w:val="000000" w:themeColor="text1"/>
          <w:sz w:val="20"/>
          <w:szCs w:val="20"/>
        </w:rPr>
        <w:t>diarrhea in</w:t>
      </w:r>
      <w:r w:rsidRPr="00100794">
        <w:rPr>
          <w:color w:val="000000" w:themeColor="text1"/>
          <w:sz w:val="20"/>
          <w:szCs w:val="20"/>
        </w:rPr>
        <w:t xml:space="preserve"> young children (Vanderhoof, 2000). Noteworthy </w:t>
      </w:r>
      <w:r w:rsidRPr="00100794">
        <w:rPr>
          <w:i/>
          <w:iCs/>
          <w:color w:val="000000" w:themeColor="text1"/>
          <w:sz w:val="20"/>
          <w:szCs w:val="20"/>
        </w:rPr>
        <w:t>lactobacilli</w:t>
      </w:r>
      <w:r w:rsidRPr="00100794">
        <w:rPr>
          <w:color w:val="000000" w:themeColor="text1"/>
          <w:sz w:val="20"/>
          <w:szCs w:val="20"/>
        </w:rPr>
        <w:t xml:space="preserve"> species, such as </w:t>
      </w:r>
      <w:r w:rsidRPr="00100794">
        <w:rPr>
          <w:i/>
          <w:iCs/>
          <w:color w:val="000000" w:themeColor="text1"/>
          <w:sz w:val="20"/>
          <w:szCs w:val="20"/>
        </w:rPr>
        <w:t>L. reuteri, L. casei, S. boulardii, B. bifidum, and S. thermophilus,</w:t>
      </w:r>
      <w:r w:rsidRPr="00100794">
        <w:rPr>
          <w:color w:val="000000" w:themeColor="text1"/>
          <w:sz w:val="20"/>
          <w:szCs w:val="20"/>
        </w:rPr>
        <w:t xml:space="preserve"> are established for their therapeutic potential in the treatment of diarrheal diseases among children (Gorbach, 2000; Solga and Diehl, 2003). The ingestion of probiotics represents a promising approach for addressing antibiotic-associated </w:t>
      </w:r>
      <w:r w:rsidR="00B26DD9" w:rsidRPr="00100794">
        <w:rPr>
          <w:color w:val="000000" w:themeColor="text1"/>
          <w:sz w:val="20"/>
          <w:szCs w:val="20"/>
        </w:rPr>
        <w:t>diarrhea and</w:t>
      </w:r>
      <w:r w:rsidRPr="00100794">
        <w:rPr>
          <w:color w:val="000000" w:themeColor="text1"/>
          <w:sz w:val="20"/>
          <w:szCs w:val="20"/>
        </w:rPr>
        <w:t xml:space="preserve"> infections</w:t>
      </w:r>
      <w:r w:rsidR="00993939">
        <w:rPr>
          <w:color w:val="000000" w:themeColor="text1"/>
          <w:sz w:val="20"/>
          <w:szCs w:val="20"/>
        </w:rPr>
        <w:t xml:space="preserve"> caused by </w:t>
      </w:r>
      <w:r w:rsidR="00993939" w:rsidRPr="00100794">
        <w:rPr>
          <w:i/>
          <w:iCs/>
          <w:color w:val="000000" w:themeColor="text1"/>
          <w:sz w:val="20"/>
          <w:szCs w:val="20"/>
        </w:rPr>
        <w:t>Clostridium</w:t>
      </w:r>
      <w:r w:rsidR="00993939" w:rsidRPr="00100794">
        <w:rPr>
          <w:color w:val="000000" w:themeColor="text1"/>
          <w:sz w:val="20"/>
          <w:szCs w:val="20"/>
        </w:rPr>
        <w:t xml:space="preserve"> </w:t>
      </w:r>
      <w:r w:rsidR="00993939" w:rsidRPr="00993939">
        <w:rPr>
          <w:i/>
          <w:iCs/>
          <w:color w:val="000000" w:themeColor="text1"/>
          <w:sz w:val="20"/>
          <w:szCs w:val="20"/>
        </w:rPr>
        <w:t>difficile</w:t>
      </w:r>
      <w:r w:rsidRPr="00100794">
        <w:rPr>
          <w:color w:val="000000" w:themeColor="text1"/>
          <w:sz w:val="20"/>
          <w:szCs w:val="20"/>
        </w:rPr>
        <w:t xml:space="preserve"> (McFarland, 2009).</w:t>
      </w:r>
    </w:p>
    <w:p w14:paraId="3BA6F94A" w14:textId="5060D02E" w:rsidR="00FB58F2" w:rsidRPr="00100794" w:rsidRDefault="00000000" w:rsidP="00636547">
      <w:pPr>
        <w:rPr>
          <w:color w:val="000000" w:themeColor="text1"/>
          <w:sz w:val="20"/>
          <w:szCs w:val="20"/>
        </w:rPr>
      </w:pPr>
      <w:r w:rsidRPr="00100794">
        <w:rPr>
          <w:color w:val="000000" w:themeColor="text1"/>
          <w:sz w:val="20"/>
          <w:szCs w:val="20"/>
        </w:rPr>
        <w:t xml:space="preserve">The potential mechanism underlying the regulation of diarrhea involves the secretion of diverse enzymes into the intestinal lumen, promoting effective digestion and reducing malabsorption. In pediatrics, probiotics have been observed to confer benefits in cases of viral diarrhea. This is achieved through an augmented production of secretory IgA, which decreases viral shedding and enhances the body's immune response. </w:t>
      </w:r>
      <w:r w:rsidR="00F80ABE" w:rsidRPr="00F80ABE">
        <w:rPr>
          <w:color w:val="000000" w:themeColor="text1"/>
          <w:sz w:val="20"/>
          <w:szCs w:val="20"/>
        </w:rPr>
        <w:t xml:space="preserve">Moreover, probiotics provide a preventive effect against infections by competitively inhibiting pathogens from accessing nutrients and attaching </w:t>
      </w:r>
      <w:r w:rsidR="00F80ABE">
        <w:rPr>
          <w:color w:val="000000" w:themeColor="text1"/>
          <w:sz w:val="20"/>
          <w:szCs w:val="20"/>
        </w:rPr>
        <w:t xml:space="preserve">them </w:t>
      </w:r>
      <w:r w:rsidR="00F80ABE" w:rsidRPr="00F80ABE">
        <w:rPr>
          <w:color w:val="000000" w:themeColor="text1"/>
          <w:sz w:val="20"/>
          <w:szCs w:val="20"/>
        </w:rPr>
        <w:t>to the epithelial cells of the intestines.</w:t>
      </w:r>
      <w:r w:rsidR="00F80ABE">
        <w:rPr>
          <w:color w:val="000000" w:themeColor="text1"/>
          <w:sz w:val="20"/>
          <w:szCs w:val="20"/>
        </w:rPr>
        <w:t xml:space="preserve"> </w:t>
      </w:r>
      <w:r w:rsidRPr="00100794">
        <w:rPr>
          <w:color w:val="000000" w:themeColor="text1"/>
          <w:sz w:val="20"/>
          <w:szCs w:val="20"/>
        </w:rPr>
        <w:t>Moreover, probiotics stimulate intestinal mucin production, further inhibiting enteropathogenic organisms' attachment.</w:t>
      </w:r>
    </w:p>
    <w:p w14:paraId="0FB65338" w14:textId="77777777" w:rsidR="00E01CD8" w:rsidRPr="00100794" w:rsidRDefault="00000000" w:rsidP="00FB58F2">
      <w:pPr>
        <w:pStyle w:val="Heading5"/>
        <w:rPr>
          <w:color w:val="000000" w:themeColor="text1"/>
          <w:sz w:val="20"/>
          <w:szCs w:val="20"/>
        </w:rPr>
      </w:pPr>
      <w:bookmarkStart w:id="15" w:name="_Toc141790396"/>
      <w:r w:rsidRPr="00100794">
        <w:rPr>
          <w:color w:val="000000" w:themeColor="text1"/>
          <w:sz w:val="20"/>
          <w:szCs w:val="20"/>
        </w:rPr>
        <w:t>Alleviation of lactose intolerance</w:t>
      </w:r>
      <w:bookmarkEnd w:id="15"/>
      <w:r w:rsidRPr="00100794">
        <w:rPr>
          <w:color w:val="000000" w:themeColor="text1"/>
          <w:sz w:val="20"/>
          <w:szCs w:val="20"/>
        </w:rPr>
        <w:t xml:space="preserve"> </w:t>
      </w:r>
    </w:p>
    <w:p w14:paraId="60A33BD2" w14:textId="33FBEA22" w:rsidR="00FB58F2" w:rsidRPr="00100794" w:rsidRDefault="005C30A0" w:rsidP="00FB58F2">
      <w:pPr>
        <w:rPr>
          <w:color w:val="000000" w:themeColor="text1"/>
          <w:sz w:val="20"/>
          <w:szCs w:val="20"/>
        </w:rPr>
      </w:pPr>
      <w:r w:rsidRPr="00100794">
        <w:rPr>
          <w:color w:val="000000" w:themeColor="text1"/>
          <w:sz w:val="20"/>
          <w:szCs w:val="20"/>
        </w:rPr>
        <w:t>Probiotics have been demonstrated to alleviate the symptoms of lactose intolerance in individuals with lactase deficiency. This beneficial effect is attributed to the potential of certain probiotic bacteria to enhance lactase activity within the small intestine</w:t>
      </w:r>
      <w:r w:rsidR="00000000" w:rsidRPr="00100794">
        <w:rPr>
          <w:color w:val="000000" w:themeColor="text1"/>
          <w:sz w:val="20"/>
          <w:szCs w:val="20"/>
        </w:rPr>
        <w:t xml:space="preserve"> (Marteau </w:t>
      </w:r>
      <w:r w:rsidR="00000000" w:rsidRPr="00100794">
        <w:rPr>
          <w:i/>
          <w:iCs/>
          <w:color w:val="000000" w:themeColor="text1"/>
          <w:sz w:val="20"/>
          <w:szCs w:val="20"/>
        </w:rPr>
        <w:t>et al.,</w:t>
      </w:r>
      <w:r w:rsidR="00000000" w:rsidRPr="00100794">
        <w:rPr>
          <w:color w:val="000000" w:themeColor="text1"/>
          <w:sz w:val="20"/>
          <w:szCs w:val="20"/>
        </w:rPr>
        <w:t xml:space="preserve"> 1990), thereby improving lactose digestion and alleviating intolerance symptoms (Sanders, 1993).</w:t>
      </w:r>
    </w:p>
    <w:p w14:paraId="713AD522" w14:textId="77777777" w:rsidR="00FB58F2" w:rsidRPr="00100794" w:rsidRDefault="00000000" w:rsidP="00FB58F2">
      <w:pPr>
        <w:rPr>
          <w:color w:val="000000" w:themeColor="text1"/>
          <w:sz w:val="20"/>
          <w:szCs w:val="20"/>
        </w:rPr>
      </w:pPr>
      <w:r w:rsidRPr="00100794">
        <w:rPr>
          <w:color w:val="000000" w:themeColor="text1"/>
          <w:sz w:val="20"/>
          <w:szCs w:val="20"/>
        </w:rPr>
        <w:lastRenderedPageBreak/>
        <w:t>Milk is renowned for its high calcium content, vital for fulfilling the body's calcium requirements. Researchers have verified that lactose deficiency can impair calcium absorption, potentially resulting in osteoporosis. The mechanism behind calcium malabsorption may involve the avoidance of milk consumption due to complications arising from lactose intolerance. Notably, higher calcium absorption occurs in an acidic environment; therefore, lactic acid leads to a decrease in gut pH, favoring calcium absorption.</w:t>
      </w:r>
    </w:p>
    <w:p w14:paraId="790F5E21" w14:textId="77777777" w:rsidR="00415002" w:rsidRPr="00100794" w:rsidRDefault="00000000" w:rsidP="00FB58F2">
      <w:pPr>
        <w:rPr>
          <w:color w:val="000000" w:themeColor="text1"/>
          <w:sz w:val="20"/>
          <w:szCs w:val="20"/>
        </w:rPr>
      </w:pPr>
      <w:r w:rsidRPr="00100794">
        <w:rPr>
          <w:color w:val="000000" w:themeColor="text1"/>
          <w:sz w:val="20"/>
          <w:szCs w:val="20"/>
        </w:rPr>
        <w:t>In individuals afflicted with lactose intolerance, the supplementation of probiotics stimulates the enzymatic breakdown of milk lactose by probiotic species, thereby facilitating efficient lactose assimilation and calcium absorption. This mechanism effectively counteracts calcium malabsorption, consequently contributing to the fulfillment of the body's calcium demands.</w:t>
      </w:r>
    </w:p>
    <w:p w14:paraId="5D9AFDAA" w14:textId="77777777" w:rsidR="00E01CD8" w:rsidRPr="00100794" w:rsidRDefault="00000000" w:rsidP="00415002">
      <w:pPr>
        <w:pStyle w:val="Heading5"/>
        <w:rPr>
          <w:color w:val="000000" w:themeColor="text1"/>
          <w:sz w:val="20"/>
          <w:szCs w:val="20"/>
        </w:rPr>
      </w:pPr>
      <w:r w:rsidRPr="00100794">
        <w:rPr>
          <w:color w:val="000000" w:themeColor="text1"/>
          <w:sz w:val="20"/>
          <w:szCs w:val="20"/>
        </w:rPr>
        <w:t xml:space="preserve"> </w:t>
      </w:r>
      <w:bookmarkStart w:id="16" w:name="_Toc141790397"/>
      <w:bookmarkStart w:id="17" w:name="_Hlk144376646"/>
      <w:r w:rsidRPr="00100794">
        <w:rPr>
          <w:color w:val="000000" w:themeColor="text1"/>
          <w:sz w:val="20"/>
          <w:szCs w:val="20"/>
        </w:rPr>
        <w:t>Hepatic disease</w:t>
      </w:r>
      <w:bookmarkEnd w:id="16"/>
      <w:r w:rsidRPr="00100794">
        <w:rPr>
          <w:color w:val="000000" w:themeColor="text1"/>
          <w:sz w:val="20"/>
          <w:szCs w:val="20"/>
        </w:rPr>
        <w:t xml:space="preserve">  </w:t>
      </w:r>
    </w:p>
    <w:bookmarkEnd w:id="17"/>
    <w:p w14:paraId="1E024F55" w14:textId="77777777" w:rsidR="00216BE3" w:rsidRPr="00100794" w:rsidRDefault="00000000" w:rsidP="00216BE3">
      <w:pPr>
        <w:rPr>
          <w:color w:val="000000" w:themeColor="text1"/>
          <w:sz w:val="20"/>
          <w:szCs w:val="20"/>
        </w:rPr>
      </w:pPr>
      <w:r w:rsidRPr="00100794">
        <w:rPr>
          <w:color w:val="000000" w:themeColor="text1"/>
          <w:sz w:val="20"/>
          <w:szCs w:val="20"/>
        </w:rPr>
        <w:t xml:space="preserve">Hepatic encephalopathy (HE) is a severe liver disorder, yet its precise pathogenesis remains unknown. Probiotic microorganisms, including </w:t>
      </w:r>
      <w:r w:rsidRPr="00100794">
        <w:rPr>
          <w:i/>
          <w:iCs/>
          <w:color w:val="000000" w:themeColor="text1"/>
          <w:sz w:val="20"/>
          <w:szCs w:val="20"/>
        </w:rPr>
        <w:t>Bifidobacteria, L. plantarum, L. casei, L. acidophilus,</w:t>
      </w:r>
      <w:r w:rsidRPr="00100794">
        <w:rPr>
          <w:color w:val="000000" w:themeColor="text1"/>
          <w:sz w:val="20"/>
          <w:szCs w:val="20"/>
        </w:rPr>
        <w:t xml:space="preserve"> have demonstrated diverse preventative and therapeutic properties, exerting their effects through various mechanisms to impede the pathogenesis of Hepatic disease (Solga, 2003).</w:t>
      </w:r>
    </w:p>
    <w:p w14:paraId="59AA2AEC" w14:textId="77777777" w:rsidR="00E01CD8" w:rsidRPr="00100794" w:rsidRDefault="00000000" w:rsidP="00216BE3">
      <w:pPr>
        <w:pStyle w:val="Heading5"/>
        <w:rPr>
          <w:color w:val="000000" w:themeColor="text1"/>
          <w:sz w:val="20"/>
          <w:szCs w:val="20"/>
        </w:rPr>
      </w:pPr>
      <w:r w:rsidRPr="00100794">
        <w:rPr>
          <w:color w:val="000000" w:themeColor="text1"/>
          <w:sz w:val="20"/>
          <w:szCs w:val="20"/>
        </w:rPr>
        <w:t xml:space="preserve"> </w:t>
      </w:r>
      <w:bookmarkStart w:id="18" w:name="_Toc141790398"/>
      <w:r w:rsidRPr="00100794">
        <w:rPr>
          <w:color w:val="000000" w:themeColor="text1"/>
          <w:sz w:val="20"/>
          <w:szCs w:val="20"/>
        </w:rPr>
        <w:t>Inflammation/arthritis</w:t>
      </w:r>
      <w:bookmarkEnd w:id="18"/>
      <w:r w:rsidRPr="00100794">
        <w:rPr>
          <w:color w:val="000000" w:themeColor="text1"/>
          <w:sz w:val="20"/>
          <w:szCs w:val="20"/>
        </w:rPr>
        <w:t xml:space="preserve"> </w:t>
      </w:r>
    </w:p>
    <w:p w14:paraId="703D7EAA" w14:textId="55104DB7" w:rsidR="00216BE3" w:rsidRPr="00100794" w:rsidRDefault="00000000" w:rsidP="00216BE3">
      <w:pPr>
        <w:rPr>
          <w:color w:val="000000" w:themeColor="text1"/>
          <w:sz w:val="20"/>
          <w:szCs w:val="20"/>
        </w:rPr>
      </w:pPr>
      <w:r w:rsidRPr="00100794">
        <w:rPr>
          <w:color w:val="000000" w:themeColor="text1"/>
          <w:sz w:val="20"/>
          <w:szCs w:val="20"/>
        </w:rPr>
        <w:t>Probiotic microorganisms have effectively mitigated inflammation by regulating inflammatory mediators, including cytokines.</w:t>
      </w:r>
      <w:r w:rsidR="00552A12" w:rsidRPr="00552A12">
        <w:t xml:space="preserve"> </w:t>
      </w:r>
      <w:r w:rsidR="00552A12" w:rsidRPr="00552A12">
        <w:rPr>
          <w:color w:val="000000" w:themeColor="text1"/>
          <w:sz w:val="20"/>
          <w:szCs w:val="20"/>
        </w:rPr>
        <w:t>The inflammatory reactions within the gastrointestinal (GI) tract can be controlled by regulating immune markers</w:t>
      </w:r>
      <w:r w:rsidRPr="00100794">
        <w:rPr>
          <w:color w:val="000000" w:themeColor="text1"/>
          <w:sz w:val="20"/>
          <w:szCs w:val="20"/>
        </w:rPr>
        <w:t xml:space="preserve">. The utilization of probiotics has shown potential in the modulation of rheumatoid arthritis (Marteau </w:t>
      </w:r>
      <w:r w:rsidRPr="00100794">
        <w:rPr>
          <w:i/>
          <w:iCs/>
          <w:color w:val="000000" w:themeColor="text1"/>
          <w:sz w:val="20"/>
          <w:szCs w:val="20"/>
        </w:rPr>
        <w:t>et al.,</w:t>
      </w:r>
      <w:r w:rsidRPr="00100794">
        <w:rPr>
          <w:color w:val="000000" w:themeColor="text1"/>
          <w:sz w:val="20"/>
          <w:szCs w:val="20"/>
        </w:rPr>
        <w:t xml:space="preserve"> 2001).</w:t>
      </w:r>
    </w:p>
    <w:p w14:paraId="02314549" w14:textId="77777777" w:rsidR="00E01CD8" w:rsidRPr="00100794" w:rsidRDefault="00000000" w:rsidP="00216BE3">
      <w:pPr>
        <w:pStyle w:val="Heading5"/>
        <w:rPr>
          <w:color w:val="000000" w:themeColor="text1"/>
          <w:sz w:val="20"/>
          <w:szCs w:val="20"/>
        </w:rPr>
      </w:pPr>
      <w:bookmarkStart w:id="19" w:name="_Toc141790399"/>
      <w:r w:rsidRPr="00100794">
        <w:rPr>
          <w:color w:val="000000" w:themeColor="text1"/>
          <w:sz w:val="20"/>
          <w:szCs w:val="20"/>
        </w:rPr>
        <w:t>Allergies/eczema</w:t>
      </w:r>
      <w:bookmarkEnd w:id="19"/>
      <w:r w:rsidRPr="00100794">
        <w:rPr>
          <w:color w:val="000000" w:themeColor="text1"/>
          <w:sz w:val="20"/>
          <w:szCs w:val="20"/>
        </w:rPr>
        <w:t xml:space="preserve"> </w:t>
      </w:r>
    </w:p>
    <w:p w14:paraId="373BA902" w14:textId="52A7B274" w:rsidR="00A53CBF" w:rsidRPr="00100794" w:rsidRDefault="00600380" w:rsidP="00A53CBF">
      <w:pPr>
        <w:rPr>
          <w:color w:val="000000" w:themeColor="text1"/>
          <w:sz w:val="20"/>
          <w:szCs w:val="20"/>
        </w:rPr>
      </w:pPr>
      <w:r w:rsidRPr="00600380">
        <w:rPr>
          <w:color w:val="000000" w:themeColor="text1"/>
          <w:sz w:val="20"/>
          <w:szCs w:val="20"/>
        </w:rPr>
        <w:t>Probiotics contribute to the amelioration of allergic reactions by bolstering the functionality of the mucosal barrier and activating the immune system</w:t>
      </w:r>
      <w:r w:rsidR="00000000" w:rsidRPr="00100794">
        <w:rPr>
          <w:color w:val="000000" w:themeColor="text1"/>
          <w:sz w:val="20"/>
          <w:szCs w:val="20"/>
        </w:rPr>
        <w:t xml:space="preserve"> (MacFarlane and Cummings, 2002). Hypersensitivity reactions, often associated with inflammation in individuals with atopic eczema, and food allergies, can be effectively managed by administering probiotic bacteria (Isolauri, 2004). </w:t>
      </w:r>
      <w:r w:rsidR="0016488C" w:rsidRPr="0016488C">
        <w:rPr>
          <w:color w:val="000000" w:themeColor="text1"/>
          <w:sz w:val="20"/>
          <w:szCs w:val="20"/>
        </w:rPr>
        <w:t xml:space="preserve">The administration of Lactobacillus </w:t>
      </w:r>
      <w:proofErr w:type="spellStart"/>
      <w:r w:rsidR="0016488C" w:rsidRPr="0016488C">
        <w:rPr>
          <w:color w:val="000000" w:themeColor="text1"/>
          <w:sz w:val="20"/>
          <w:szCs w:val="20"/>
        </w:rPr>
        <w:t>rhamnosus</w:t>
      </w:r>
      <w:proofErr w:type="spellEnd"/>
      <w:r w:rsidR="0016488C" w:rsidRPr="0016488C">
        <w:rPr>
          <w:color w:val="000000" w:themeColor="text1"/>
          <w:sz w:val="20"/>
          <w:szCs w:val="20"/>
        </w:rPr>
        <w:t xml:space="preserve"> GG to infants at risk of eczema resulted in a noteworthy 50% reduction in the incidence of eczema.</w:t>
      </w:r>
      <w:r w:rsidR="0016488C" w:rsidRPr="0016488C">
        <w:rPr>
          <w:color w:val="000000" w:themeColor="text1"/>
          <w:sz w:val="20"/>
          <w:szCs w:val="20"/>
        </w:rPr>
        <w:t xml:space="preserve"> </w:t>
      </w:r>
      <w:r w:rsidR="00000000" w:rsidRPr="00100794">
        <w:rPr>
          <w:color w:val="000000" w:themeColor="text1"/>
          <w:sz w:val="20"/>
          <w:szCs w:val="20"/>
        </w:rPr>
        <w:t>(</w:t>
      </w:r>
      <w:proofErr w:type="spellStart"/>
      <w:r w:rsidR="00000000" w:rsidRPr="00100794">
        <w:rPr>
          <w:color w:val="000000" w:themeColor="text1"/>
          <w:sz w:val="20"/>
          <w:szCs w:val="20"/>
        </w:rPr>
        <w:t>Isolauri</w:t>
      </w:r>
      <w:proofErr w:type="spellEnd"/>
      <w:r w:rsidR="00000000" w:rsidRPr="00100794">
        <w:rPr>
          <w:color w:val="000000" w:themeColor="text1"/>
          <w:sz w:val="20"/>
          <w:szCs w:val="20"/>
        </w:rPr>
        <w:t xml:space="preserve"> </w:t>
      </w:r>
      <w:r w:rsidR="00000000" w:rsidRPr="00100794">
        <w:rPr>
          <w:i/>
          <w:iCs/>
          <w:color w:val="000000" w:themeColor="text1"/>
          <w:sz w:val="20"/>
          <w:szCs w:val="20"/>
        </w:rPr>
        <w:t>et al.,</w:t>
      </w:r>
      <w:r w:rsidR="00000000" w:rsidRPr="00100794">
        <w:rPr>
          <w:color w:val="000000" w:themeColor="text1"/>
          <w:sz w:val="20"/>
          <w:szCs w:val="20"/>
        </w:rPr>
        <w:t xml:space="preserve"> 2000). In the early stages of life, the colonization of probiotic organisms in the previously sterile gut of newborns has long-term effects on immunoregulation and the development of atopic disorders. Probiotics play a crucial role in enhancing the endogenous barrier mechanisms of the gut, thus mitigating intestinal inflammation.</w:t>
      </w:r>
    </w:p>
    <w:p w14:paraId="06CF8102" w14:textId="40FDBDE5" w:rsidR="00A53CBF" w:rsidRPr="00100794" w:rsidRDefault="00000000" w:rsidP="00A53CBF">
      <w:pPr>
        <w:rPr>
          <w:color w:val="000000" w:themeColor="text1"/>
          <w:sz w:val="20"/>
          <w:szCs w:val="20"/>
        </w:rPr>
      </w:pPr>
      <w:r w:rsidRPr="00100794">
        <w:rPr>
          <w:color w:val="000000" w:themeColor="text1"/>
          <w:sz w:val="20"/>
          <w:szCs w:val="20"/>
        </w:rPr>
        <w:t xml:space="preserve">Consequently, they represent a valuable therapeutic approach in treating food allergies (MacFarlane and Cummings, 2002). Furthermore, probiotic organisms have shown efficacy in alleviating symptoms associated with milk protein-related food allergies. </w:t>
      </w:r>
      <w:r w:rsidR="003C33BA" w:rsidRPr="003C33BA">
        <w:rPr>
          <w:color w:val="000000" w:themeColor="text1"/>
          <w:sz w:val="20"/>
          <w:szCs w:val="20"/>
        </w:rPr>
        <w:t>This outcome is ascribed to the breakdown of milk proteins into smaller peptides and amino acids, which subsequently alleviates symptoms of atopic dermatitis</w:t>
      </w:r>
      <w:r w:rsidR="003C33BA">
        <w:rPr>
          <w:color w:val="000000" w:themeColor="text1"/>
          <w:sz w:val="20"/>
          <w:szCs w:val="20"/>
        </w:rPr>
        <w:t xml:space="preserve"> </w:t>
      </w:r>
      <w:r w:rsidRPr="00100794">
        <w:rPr>
          <w:color w:val="000000" w:themeColor="text1"/>
          <w:sz w:val="20"/>
          <w:szCs w:val="20"/>
        </w:rPr>
        <w:t>(</w:t>
      </w:r>
      <w:proofErr w:type="spellStart"/>
      <w:r w:rsidRPr="00100794">
        <w:rPr>
          <w:color w:val="000000" w:themeColor="text1"/>
          <w:sz w:val="20"/>
          <w:szCs w:val="20"/>
        </w:rPr>
        <w:t>Majamaa</w:t>
      </w:r>
      <w:proofErr w:type="spellEnd"/>
      <w:r w:rsidRPr="00100794">
        <w:rPr>
          <w:color w:val="000000" w:themeColor="text1"/>
          <w:sz w:val="20"/>
          <w:szCs w:val="20"/>
        </w:rPr>
        <w:t xml:space="preserve"> and </w:t>
      </w:r>
      <w:proofErr w:type="spellStart"/>
      <w:r w:rsidRPr="00100794">
        <w:rPr>
          <w:color w:val="000000" w:themeColor="text1"/>
          <w:sz w:val="20"/>
          <w:szCs w:val="20"/>
        </w:rPr>
        <w:t>Isolauri</w:t>
      </w:r>
      <w:proofErr w:type="spellEnd"/>
      <w:r w:rsidRPr="00100794">
        <w:rPr>
          <w:color w:val="000000" w:themeColor="text1"/>
          <w:sz w:val="20"/>
          <w:szCs w:val="20"/>
        </w:rPr>
        <w:t>, 1997).</w:t>
      </w:r>
      <w:r w:rsidR="00E01CD8" w:rsidRPr="00100794">
        <w:rPr>
          <w:color w:val="000000" w:themeColor="text1"/>
          <w:sz w:val="20"/>
          <w:szCs w:val="20"/>
        </w:rPr>
        <w:t xml:space="preserve"> </w:t>
      </w:r>
    </w:p>
    <w:p w14:paraId="6194D495" w14:textId="77777777" w:rsidR="00E01CD8" w:rsidRPr="00100794" w:rsidRDefault="00000000" w:rsidP="00216BE3">
      <w:pPr>
        <w:pStyle w:val="Heading5"/>
        <w:rPr>
          <w:color w:val="000000" w:themeColor="text1"/>
          <w:sz w:val="20"/>
          <w:szCs w:val="20"/>
        </w:rPr>
      </w:pPr>
      <w:bookmarkStart w:id="20" w:name="_Toc141790400"/>
      <w:r w:rsidRPr="00100794">
        <w:rPr>
          <w:color w:val="000000" w:themeColor="text1"/>
          <w:sz w:val="20"/>
          <w:szCs w:val="20"/>
        </w:rPr>
        <w:t>HIV and immune function</w:t>
      </w:r>
      <w:bookmarkEnd w:id="20"/>
      <w:r w:rsidRPr="00100794">
        <w:rPr>
          <w:color w:val="000000" w:themeColor="text1"/>
          <w:sz w:val="20"/>
          <w:szCs w:val="20"/>
        </w:rPr>
        <w:t xml:space="preserve"> </w:t>
      </w:r>
    </w:p>
    <w:p w14:paraId="25AC5470" w14:textId="72A9E2AB" w:rsidR="00E01CD8" w:rsidRPr="00100794" w:rsidRDefault="00000000" w:rsidP="00A53CBF">
      <w:pPr>
        <w:rPr>
          <w:color w:val="000000" w:themeColor="text1"/>
          <w:sz w:val="20"/>
          <w:szCs w:val="20"/>
        </w:rPr>
      </w:pPr>
      <w:r w:rsidRPr="00100794">
        <w:rPr>
          <w:color w:val="000000" w:themeColor="text1"/>
          <w:sz w:val="20"/>
          <w:szCs w:val="20"/>
        </w:rPr>
        <w:t>The utilization of probiotics represents a promising approach for improving the immune system in individuals with compromised immunity, as they exhibit the potential to modulate immune responses. Consuming a combination of probiotic organisms in synergy may further enhance the immune response (Cunningham-</w:t>
      </w:r>
      <w:r w:rsidRPr="00100794">
        <w:rPr>
          <w:color w:val="000000" w:themeColor="text1"/>
          <w:sz w:val="20"/>
          <w:szCs w:val="20"/>
        </w:rPr>
        <w:lastRenderedPageBreak/>
        <w:t xml:space="preserve">Rundles </w:t>
      </w:r>
      <w:r w:rsidRPr="00100794">
        <w:rPr>
          <w:i/>
          <w:iCs/>
          <w:color w:val="000000" w:themeColor="text1"/>
          <w:sz w:val="20"/>
          <w:szCs w:val="20"/>
        </w:rPr>
        <w:t>et al.,</w:t>
      </w:r>
      <w:r w:rsidRPr="00100794">
        <w:rPr>
          <w:color w:val="000000" w:themeColor="text1"/>
          <w:sz w:val="20"/>
          <w:szCs w:val="20"/>
        </w:rPr>
        <w:t xml:space="preserve"> 2000). Evidence from studies conducted in vitro, in vivo, and on humans suggests that probiotics </w:t>
      </w:r>
      <w:r w:rsidR="004B4372">
        <w:rPr>
          <w:color w:val="000000" w:themeColor="text1"/>
          <w:sz w:val="20"/>
          <w:szCs w:val="20"/>
        </w:rPr>
        <w:t>can</w:t>
      </w:r>
      <w:r w:rsidRPr="00100794">
        <w:rPr>
          <w:color w:val="000000" w:themeColor="text1"/>
          <w:sz w:val="20"/>
          <w:szCs w:val="20"/>
        </w:rPr>
        <w:t xml:space="preserve"> augment specific and nonspecific immune responses (McNaught </w:t>
      </w:r>
      <w:r w:rsidRPr="00100794">
        <w:rPr>
          <w:i/>
          <w:iCs/>
          <w:color w:val="000000" w:themeColor="text1"/>
          <w:sz w:val="20"/>
          <w:szCs w:val="20"/>
        </w:rPr>
        <w:t>et al.,</w:t>
      </w:r>
      <w:r w:rsidRPr="00100794">
        <w:rPr>
          <w:color w:val="000000" w:themeColor="text1"/>
          <w:sz w:val="20"/>
          <w:szCs w:val="20"/>
        </w:rPr>
        <w:t xml:space="preserve"> 2005). </w:t>
      </w:r>
      <w:r w:rsidR="00214025" w:rsidRPr="00214025">
        <w:rPr>
          <w:color w:val="000000" w:themeColor="text1"/>
          <w:sz w:val="20"/>
          <w:szCs w:val="20"/>
        </w:rPr>
        <w:t>These positive effects are thought to occur through a range of mechanisms, including the activation of macrophages, modulation of cytokine levels, augmentation of natural killer cell activity, and increased production of immunoglobulins</w:t>
      </w:r>
      <w:r w:rsidR="00214025">
        <w:rPr>
          <w:color w:val="000000" w:themeColor="text1"/>
          <w:sz w:val="20"/>
          <w:szCs w:val="20"/>
        </w:rPr>
        <w:t xml:space="preserve"> </w:t>
      </w:r>
      <w:r w:rsidRPr="00100794">
        <w:rPr>
          <w:color w:val="000000" w:themeColor="text1"/>
          <w:sz w:val="20"/>
          <w:szCs w:val="20"/>
        </w:rPr>
        <w:t xml:space="preserve">(Ouwehand </w:t>
      </w:r>
      <w:r w:rsidRPr="00100794">
        <w:rPr>
          <w:i/>
          <w:iCs/>
          <w:color w:val="000000" w:themeColor="text1"/>
          <w:sz w:val="20"/>
          <w:szCs w:val="20"/>
        </w:rPr>
        <w:t>et al.,</w:t>
      </w:r>
      <w:r w:rsidRPr="00100794">
        <w:rPr>
          <w:color w:val="000000" w:themeColor="text1"/>
          <w:sz w:val="20"/>
          <w:szCs w:val="20"/>
        </w:rPr>
        <w:t xml:space="preserve"> 2002).</w:t>
      </w:r>
      <w:r w:rsidRPr="00100794">
        <w:rPr>
          <w:b/>
          <w:i/>
          <w:color w:val="000000" w:themeColor="text1"/>
          <w:sz w:val="20"/>
          <w:szCs w:val="20"/>
        </w:rPr>
        <w:t xml:space="preserve"> </w:t>
      </w:r>
    </w:p>
    <w:p w14:paraId="5F300D46" w14:textId="77777777" w:rsidR="00E01CD8" w:rsidRPr="00100794" w:rsidRDefault="00000000" w:rsidP="00E01CD8">
      <w:pPr>
        <w:spacing w:after="0" w:line="256" w:lineRule="auto"/>
        <w:ind w:firstLine="0"/>
        <w:jc w:val="left"/>
        <w:rPr>
          <w:color w:val="000000" w:themeColor="text1"/>
          <w:sz w:val="20"/>
          <w:szCs w:val="20"/>
        </w:rPr>
      </w:pPr>
      <w:r w:rsidRPr="00100794">
        <w:rPr>
          <w:b/>
          <w:i/>
          <w:color w:val="000000" w:themeColor="text1"/>
          <w:sz w:val="20"/>
          <w:szCs w:val="20"/>
        </w:rPr>
        <w:t xml:space="preserve"> </w:t>
      </w:r>
    </w:p>
    <w:p w14:paraId="517A264C" w14:textId="77777777" w:rsidR="00E01CD8" w:rsidRPr="00100794" w:rsidRDefault="00000000" w:rsidP="00E01CD8">
      <w:pPr>
        <w:pStyle w:val="Heading5"/>
        <w:ind w:left="-5"/>
        <w:rPr>
          <w:color w:val="000000" w:themeColor="text1"/>
          <w:sz w:val="20"/>
          <w:szCs w:val="20"/>
        </w:rPr>
      </w:pPr>
      <w:bookmarkStart w:id="21" w:name="_Toc141790401"/>
      <w:r w:rsidRPr="00100794">
        <w:rPr>
          <w:color w:val="000000" w:themeColor="text1"/>
          <w:sz w:val="20"/>
          <w:szCs w:val="20"/>
        </w:rPr>
        <w:t>Immuno-modulatory activity</w:t>
      </w:r>
      <w:bookmarkEnd w:id="21"/>
      <w:r w:rsidRPr="00100794">
        <w:rPr>
          <w:color w:val="000000" w:themeColor="text1"/>
          <w:sz w:val="20"/>
          <w:szCs w:val="20"/>
        </w:rPr>
        <w:t xml:space="preserve">  </w:t>
      </w:r>
    </w:p>
    <w:p w14:paraId="561C12B7" w14:textId="29299995" w:rsidR="00A53CBF" w:rsidRPr="00100794" w:rsidRDefault="00000000" w:rsidP="00A53CBF">
      <w:pPr>
        <w:rPr>
          <w:color w:val="000000" w:themeColor="text1"/>
          <w:sz w:val="20"/>
          <w:szCs w:val="20"/>
        </w:rPr>
      </w:pPr>
      <w:r w:rsidRPr="00100794">
        <w:rPr>
          <w:color w:val="000000" w:themeColor="text1"/>
          <w:sz w:val="20"/>
          <w:szCs w:val="20"/>
        </w:rPr>
        <w:t>Zoumpopoulou et al. (2009) demonstrated that probiotic microorganisms manifest inhibitory actions on inflammatory responses in various experimental colitis models.</w:t>
      </w:r>
      <w:r w:rsidR="00BB31DF" w:rsidRPr="00100794">
        <w:rPr>
          <w:color w:val="000000" w:themeColor="text1"/>
          <w:sz w:val="20"/>
          <w:szCs w:val="20"/>
        </w:rPr>
        <w:t xml:space="preserve"> </w:t>
      </w:r>
      <w:r w:rsidRPr="00100794">
        <w:rPr>
          <w:color w:val="000000" w:themeColor="text1"/>
          <w:sz w:val="20"/>
          <w:szCs w:val="20"/>
        </w:rPr>
        <w:t xml:space="preserve">These probiotic organisms hold potential for application in treating chronic bacterial infections, as indicated by the same study. </w:t>
      </w:r>
      <w:r w:rsidR="00F95B40" w:rsidRPr="00F95B40">
        <w:rPr>
          <w:color w:val="000000" w:themeColor="text1"/>
          <w:sz w:val="20"/>
          <w:szCs w:val="20"/>
        </w:rPr>
        <w:t>The activation of gut immunity by probiotic microorganisms encompasses vital mechanisms, including the expansion of immunoglobulin-producing cells, enhancement of the immune response, and the initiation of either upregulation or downregulation of the innate immune response.</w:t>
      </w:r>
      <w:r w:rsidRPr="00100794">
        <w:rPr>
          <w:color w:val="000000" w:themeColor="text1"/>
          <w:sz w:val="20"/>
          <w:szCs w:val="20"/>
        </w:rPr>
        <w:t xml:space="preserve"> </w:t>
      </w:r>
      <w:r w:rsidR="00A105C2" w:rsidRPr="00100794">
        <w:rPr>
          <w:color w:val="000000" w:themeColor="text1"/>
          <w:sz w:val="20"/>
          <w:szCs w:val="20"/>
        </w:rPr>
        <w:t xml:space="preserve">Galdeano </w:t>
      </w:r>
      <w:r w:rsidR="00A105C2" w:rsidRPr="00B840E2">
        <w:rPr>
          <w:i/>
          <w:iCs/>
          <w:color w:val="000000" w:themeColor="text1"/>
          <w:sz w:val="20"/>
          <w:szCs w:val="20"/>
        </w:rPr>
        <w:t>et al</w:t>
      </w:r>
      <w:r w:rsidR="00A105C2" w:rsidRPr="00100794">
        <w:rPr>
          <w:color w:val="000000" w:themeColor="text1"/>
          <w:sz w:val="20"/>
          <w:szCs w:val="20"/>
        </w:rPr>
        <w:t>. (2007) discussed that these processes collectively contribute to preserving intestinal homeostasis.</w:t>
      </w:r>
      <w:r w:rsidR="00BB31DF" w:rsidRPr="00100794">
        <w:rPr>
          <w:color w:val="000000" w:themeColor="text1"/>
          <w:sz w:val="20"/>
          <w:szCs w:val="20"/>
        </w:rPr>
        <w:t xml:space="preserve"> </w:t>
      </w:r>
      <w:r w:rsidRPr="00100794">
        <w:rPr>
          <w:color w:val="000000" w:themeColor="text1"/>
          <w:sz w:val="20"/>
          <w:szCs w:val="20"/>
        </w:rPr>
        <w:t>Furthermore, the impact of probiotic organisms on cytokine production also plays a significant role in modulating immune responses</w:t>
      </w:r>
      <w:r w:rsidRPr="006B466A">
        <w:rPr>
          <w:i/>
          <w:iCs/>
          <w:color w:val="000000" w:themeColor="text1"/>
          <w:sz w:val="20"/>
          <w:szCs w:val="20"/>
        </w:rPr>
        <w:t>.</w:t>
      </w:r>
      <w:r w:rsidR="00E01CD8" w:rsidRPr="006B466A">
        <w:rPr>
          <w:i/>
          <w:iCs/>
          <w:color w:val="000000" w:themeColor="text1"/>
          <w:sz w:val="20"/>
          <w:szCs w:val="20"/>
        </w:rPr>
        <w:t xml:space="preserve"> </w:t>
      </w:r>
      <w:proofErr w:type="gramStart"/>
      <w:r w:rsidR="006B466A" w:rsidRPr="006B466A">
        <w:rPr>
          <w:color w:val="000000" w:themeColor="text1"/>
          <w:sz w:val="20"/>
          <w:szCs w:val="20"/>
        </w:rPr>
        <w:t>It's</w:t>
      </w:r>
      <w:proofErr w:type="gramEnd"/>
      <w:r w:rsidR="006B466A" w:rsidRPr="006B466A">
        <w:rPr>
          <w:color w:val="000000" w:themeColor="text1"/>
          <w:sz w:val="20"/>
          <w:szCs w:val="20"/>
        </w:rPr>
        <w:t xml:space="preserve"> important to recognize that the impact of probiotic microorganisms on the immune system may display strain-specific attributes and the possibility for synergistic interactions</w:t>
      </w:r>
      <w:r w:rsidR="006B466A" w:rsidRPr="006B466A">
        <w:rPr>
          <w:i/>
          <w:color w:val="000000" w:themeColor="text1"/>
          <w:sz w:val="20"/>
          <w:szCs w:val="20"/>
        </w:rPr>
        <w:t>.</w:t>
      </w:r>
    </w:p>
    <w:p w14:paraId="0E06DFE8" w14:textId="77777777" w:rsidR="00E01CD8" w:rsidRPr="00100794" w:rsidRDefault="00000000" w:rsidP="00A53CBF">
      <w:pPr>
        <w:pStyle w:val="Heading5"/>
        <w:rPr>
          <w:color w:val="000000" w:themeColor="text1"/>
          <w:sz w:val="20"/>
          <w:szCs w:val="20"/>
        </w:rPr>
      </w:pPr>
      <w:r w:rsidRPr="00100794">
        <w:rPr>
          <w:color w:val="000000" w:themeColor="text1"/>
          <w:sz w:val="20"/>
          <w:szCs w:val="20"/>
        </w:rPr>
        <w:t xml:space="preserve"> </w:t>
      </w:r>
      <w:bookmarkStart w:id="22" w:name="_Toc141790402"/>
      <w:r w:rsidRPr="00100794">
        <w:rPr>
          <w:color w:val="000000" w:themeColor="text1"/>
          <w:sz w:val="20"/>
          <w:szCs w:val="20"/>
        </w:rPr>
        <w:t xml:space="preserve">Control of </w:t>
      </w:r>
      <w:bookmarkStart w:id="23" w:name="_Hlk144376842"/>
      <w:r w:rsidRPr="00100794">
        <w:rPr>
          <w:color w:val="000000" w:themeColor="text1"/>
          <w:sz w:val="20"/>
          <w:szCs w:val="20"/>
        </w:rPr>
        <w:t xml:space="preserve">blood cholesterol and </w:t>
      </w:r>
      <w:r w:rsidR="00A53CBF" w:rsidRPr="00100794">
        <w:rPr>
          <w:color w:val="000000" w:themeColor="text1"/>
          <w:sz w:val="20"/>
          <w:szCs w:val="20"/>
        </w:rPr>
        <w:t>hyperlipidemia</w:t>
      </w:r>
      <w:bookmarkEnd w:id="22"/>
      <w:r w:rsidRPr="00100794">
        <w:rPr>
          <w:color w:val="000000" w:themeColor="text1"/>
          <w:sz w:val="20"/>
          <w:szCs w:val="20"/>
        </w:rPr>
        <w:t xml:space="preserve"> </w:t>
      </w:r>
      <w:bookmarkEnd w:id="23"/>
    </w:p>
    <w:p w14:paraId="38C89090" w14:textId="0B7A7B1D" w:rsidR="002F5756" w:rsidRPr="00100794" w:rsidRDefault="00AD0B78" w:rsidP="002F5756">
      <w:pPr>
        <w:rPr>
          <w:color w:val="000000" w:themeColor="text1"/>
          <w:sz w:val="20"/>
          <w:szCs w:val="20"/>
        </w:rPr>
      </w:pPr>
      <w:r w:rsidRPr="00AD0B78">
        <w:rPr>
          <w:color w:val="000000" w:themeColor="text1"/>
          <w:sz w:val="20"/>
          <w:szCs w:val="20"/>
        </w:rPr>
        <w:t>Cholesterol plays a critical role in human physiology, serving as a crucial precursor for numerous hormones and vitamins</w:t>
      </w:r>
      <w:r w:rsidR="00000000" w:rsidRPr="00100794">
        <w:rPr>
          <w:color w:val="000000" w:themeColor="text1"/>
          <w:sz w:val="20"/>
          <w:szCs w:val="20"/>
        </w:rPr>
        <w:t>. Additionally, it constitutes an integral part of cell membranes and the nervous system.</w:t>
      </w:r>
      <w:r w:rsidR="003E19E4" w:rsidRPr="003E19E4">
        <w:t xml:space="preserve"> </w:t>
      </w:r>
      <w:r w:rsidR="003E19E4" w:rsidRPr="003E19E4">
        <w:rPr>
          <w:color w:val="000000" w:themeColor="text1"/>
          <w:sz w:val="20"/>
          <w:szCs w:val="20"/>
        </w:rPr>
        <w:t>Increased levels of total blood cholesterol have been associated with a higher risk of coronary heart disease. The regulation of serum cholesterol levels is significantly influenced by dietary factors</w:t>
      </w:r>
      <w:r w:rsidR="00000000" w:rsidRPr="00100794">
        <w:rPr>
          <w:color w:val="000000" w:themeColor="text1"/>
          <w:sz w:val="20"/>
          <w:szCs w:val="20"/>
        </w:rPr>
        <w:t>.</w:t>
      </w:r>
      <w:r w:rsidR="002146FD" w:rsidRPr="002146FD">
        <w:t xml:space="preserve"> </w:t>
      </w:r>
      <w:r w:rsidR="002146FD" w:rsidRPr="002146FD">
        <w:rPr>
          <w:color w:val="000000" w:themeColor="text1"/>
          <w:sz w:val="20"/>
          <w:szCs w:val="20"/>
        </w:rPr>
        <w:t>The ingestion of probiotics has been linked to beneficial effects on blood lipid profiles</w:t>
      </w:r>
      <w:r w:rsidR="00000000" w:rsidRPr="00100794">
        <w:rPr>
          <w:color w:val="000000" w:themeColor="text1"/>
          <w:sz w:val="20"/>
          <w:szCs w:val="20"/>
        </w:rPr>
        <w:t xml:space="preserve">. </w:t>
      </w:r>
      <w:r w:rsidR="002146FD" w:rsidRPr="002146FD">
        <w:rPr>
          <w:color w:val="000000" w:themeColor="text1"/>
          <w:sz w:val="20"/>
          <w:szCs w:val="20"/>
        </w:rPr>
        <w:t xml:space="preserve">In an animal model with elevated cholesterol levels, the administration of a low dose of </w:t>
      </w:r>
      <w:r w:rsidR="002146FD" w:rsidRPr="0098489F">
        <w:rPr>
          <w:i/>
          <w:iCs/>
          <w:color w:val="000000" w:themeColor="text1"/>
          <w:sz w:val="20"/>
          <w:szCs w:val="20"/>
        </w:rPr>
        <w:t xml:space="preserve">L. </w:t>
      </w:r>
      <w:proofErr w:type="spellStart"/>
      <w:r w:rsidR="002146FD" w:rsidRPr="0098489F">
        <w:rPr>
          <w:i/>
          <w:iCs/>
          <w:color w:val="000000" w:themeColor="text1"/>
          <w:sz w:val="20"/>
          <w:szCs w:val="20"/>
        </w:rPr>
        <w:t>reuteri</w:t>
      </w:r>
      <w:proofErr w:type="spellEnd"/>
      <w:r w:rsidR="002146FD" w:rsidRPr="002146FD">
        <w:rPr>
          <w:color w:val="000000" w:themeColor="text1"/>
          <w:sz w:val="20"/>
          <w:szCs w:val="20"/>
        </w:rPr>
        <w:t xml:space="preserve"> for seven days resulted in a substantial reduction of both total cholesterol and triglyceride levels, with decreases of 38% and 40%, respectively. Additionally, this treatment demonstrated a significant 20% increase in the high-density lipoprotein (HDL) to low-density lipoprotein (LDL) ratio.</w:t>
      </w:r>
      <w:r w:rsidR="002146FD" w:rsidRPr="002146FD">
        <w:rPr>
          <w:color w:val="000000" w:themeColor="text1"/>
          <w:sz w:val="20"/>
          <w:szCs w:val="20"/>
        </w:rPr>
        <w:t xml:space="preserve"> </w:t>
      </w:r>
      <w:r w:rsidR="00000000" w:rsidRPr="00100794">
        <w:rPr>
          <w:color w:val="000000" w:themeColor="text1"/>
          <w:sz w:val="20"/>
          <w:szCs w:val="20"/>
        </w:rPr>
        <w:t xml:space="preserve">(Taranto </w:t>
      </w:r>
      <w:r w:rsidR="00000000" w:rsidRPr="00100794">
        <w:rPr>
          <w:i/>
          <w:iCs/>
          <w:color w:val="000000" w:themeColor="text1"/>
          <w:sz w:val="20"/>
          <w:szCs w:val="20"/>
        </w:rPr>
        <w:t>et al.,</w:t>
      </w:r>
      <w:r w:rsidR="00000000" w:rsidRPr="00100794">
        <w:rPr>
          <w:color w:val="000000" w:themeColor="text1"/>
          <w:sz w:val="20"/>
          <w:szCs w:val="20"/>
        </w:rPr>
        <w:t xml:space="preserve"> 1998).</w:t>
      </w:r>
    </w:p>
    <w:p w14:paraId="015EB085" w14:textId="77777777" w:rsidR="00E01CD8" w:rsidRPr="00100794" w:rsidRDefault="00000000" w:rsidP="00A53CBF">
      <w:pPr>
        <w:pStyle w:val="Heading5"/>
        <w:rPr>
          <w:color w:val="000000" w:themeColor="text1"/>
          <w:sz w:val="20"/>
          <w:szCs w:val="20"/>
        </w:rPr>
      </w:pPr>
      <w:r w:rsidRPr="00100794">
        <w:rPr>
          <w:color w:val="000000" w:themeColor="text1"/>
          <w:sz w:val="20"/>
          <w:szCs w:val="20"/>
        </w:rPr>
        <w:t xml:space="preserve"> </w:t>
      </w:r>
      <w:bookmarkStart w:id="24" w:name="_Toc141790403"/>
      <w:r w:rsidRPr="0098489F">
        <w:rPr>
          <w:i/>
          <w:iCs/>
          <w:color w:val="000000" w:themeColor="text1"/>
          <w:sz w:val="20"/>
          <w:szCs w:val="20"/>
        </w:rPr>
        <w:t>Helicobacter pylori</w:t>
      </w:r>
      <w:r w:rsidRPr="00100794">
        <w:rPr>
          <w:color w:val="000000" w:themeColor="text1"/>
          <w:sz w:val="20"/>
          <w:szCs w:val="20"/>
        </w:rPr>
        <w:t xml:space="preserve"> infections</w:t>
      </w:r>
      <w:bookmarkEnd w:id="24"/>
      <w:r w:rsidRPr="00100794">
        <w:rPr>
          <w:color w:val="000000" w:themeColor="text1"/>
          <w:sz w:val="20"/>
          <w:szCs w:val="20"/>
        </w:rPr>
        <w:t xml:space="preserve"> </w:t>
      </w:r>
    </w:p>
    <w:p w14:paraId="28A68761" w14:textId="76777888" w:rsidR="002F5756" w:rsidRPr="00100794" w:rsidRDefault="007670EF" w:rsidP="002F5756">
      <w:pPr>
        <w:rPr>
          <w:b/>
          <w:bCs/>
          <w:color w:val="000000" w:themeColor="text1"/>
          <w:sz w:val="20"/>
          <w:szCs w:val="20"/>
        </w:rPr>
      </w:pPr>
      <w:r w:rsidRPr="007670EF">
        <w:rPr>
          <w:color w:val="000000" w:themeColor="text1"/>
          <w:sz w:val="20"/>
          <w:szCs w:val="20"/>
        </w:rPr>
        <w:t xml:space="preserve">In laboratory experiments, the significant production of lactic acid by </w:t>
      </w:r>
      <w:r w:rsidRPr="00B2739B">
        <w:rPr>
          <w:i/>
          <w:iCs/>
          <w:color w:val="000000" w:themeColor="text1"/>
          <w:sz w:val="20"/>
          <w:szCs w:val="20"/>
        </w:rPr>
        <w:t xml:space="preserve">Lactobacillus </w:t>
      </w:r>
      <w:proofErr w:type="spellStart"/>
      <w:r w:rsidRPr="00B2739B">
        <w:rPr>
          <w:i/>
          <w:iCs/>
          <w:color w:val="000000" w:themeColor="text1"/>
          <w:sz w:val="20"/>
          <w:szCs w:val="20"/>
        </w:rPr>
        <w:t>salivarius</w:t>
      </w:r>
      <w:proofErr w:type="spellEnd"/>
      <w:r w:rsidRPr="007670EF">
        <w:rPr>
          <w:color w:val="000000" w:themeColor="text1"/>
          <w:sz w:val="20"/>
          <w:szCs w:val="20"/>
        </w:rPr>
        <w:t xml:space="preserve"> was demonstrated to be highly effective in inhibiting the growth of </w:t>
      </w:r>
      <w:r w:rsidRPr="00B2739B">
        <w:rPr>
          <w:i/>
          <w:iCs/>
          <w:color w:val="000000" w:themeColor="text1"/>
          <w:sz w:val="20"/>
          <w:szCs w:val="20"/>
        </w:rPr>
        <w:t>Helicobacter pylori</w:t>
      </w:r>
      <w:r w:rsidR="00000000" w:rsidRPr="00100794">
        <w:rPr>
          <w:color w:val="000000" w:themeColor="text1"/>
          <w:sz w:val="20"/>
          <w:szCs w:val="20"/>
        </w:rPr>
        <w:t xml:space="preserve"> (Ai-</w:t>
      </w:r>
      <w:proofErr w:type="spellStart"/>
      <w:r w:rsidR="00000000" w:rsidRPr="00100794">
        <w:rPr>
          <w:color w:val="000000" w:themeColor="text1"/>
          <w:sz w:val="20"/>
          <w:szCs w:val="20"/>
        </w:rPr>
        <w:t>ba</w:t>
      </w:r>
      <w:proofErr w:type="spellEnd"/>
      <w:r w:rsidR="00000000" w:rsidRPr="00100794">
        <w:rPr>
          <w:color w:val="000000" w:themeColor="text1"/>
          <w:sz w:val="20"/>
          <w:szCs w:val="20"/>
        </w:rPr>
        <w:t xml:space="preserve"> </w:t>
      </w:r>
      <w:r w:rsidR="00000000" w:rsidRPr="00100794">
        <w:rPr>
          <w:i/>
          <w:iCs/>
          <w:color w:val="000000" w:themeColor="text1"/>
          <w:sz w:val="20"/>
          <w:szCs w:val="20"/>
        </w:rPr>
        <w:t>et al.,</w:t>
      </w:r>
      <w:r w:rsidR="00000000" w:rsidRPr="00100794">
        <w:rPr>
          <w:color w:val="000000" w:themeColor="text1"/>
          <w:sz w:val="20"/>
          <w:szCs w:val="20"/>
        </w:rPr>
        <w:t xml:space="preserve"> 1998). Conversely, </w:t>
      </w:r>
      <w:r w:rsidR="00000000" w:rsidRPr="00100794">
        <w:rPr>
          <w:i/>
          <w:iCs/>
          <w:color w:val="000000" w:themeColor="text1"/>
          <w:sz w:val="20"/>
          <w:szCs w:val="20"/>
        </w:rPr>
        <w:t xml:space="preserve">Lactobacillus acidophilus, Lactobacillus casei, </w:t>
      </w:r>
      <w:r w:rsidR="00000000" w:rsidRPr="00100794">
        <w:rPr>
          <w:color w:val="000000" w:themeColor="text1"/>
          <w:sz w:val="20"/>
          <w:szCs w:val="20"/>
        </w:rPr>
        <w:t xml:space="preserve">and </w:t>
      </w:r>
      <w:r w:rsidR="00000000" w:rsidRPr="00100794">
        <w:rPr>
          <w:i/>
          <w:iCs/>
          <w:color w:val="000000" w:themeColor="text1"/>
          <w:sz w:val="20"/>
          <w:szCs w:val="20"/>
        </w:rPr>
        <w:t>Lactobacillus salivarius</w:t>
      </w:r>
      <w:r w:rsidR="00000000" w:rsidRPr="00100794">
        <w:rPr>
          <w:color w:val="000000" w:themeColor="text1"/>
          <w:sz w:val="20"/>
          <w:szCs w:val="20"/>
        </w:rPr>
        <w:t xml:space="preserve"> exhibited poor colonization and growth in the stomach, leading to lower lactic acid production and an inability to inhibit the growth of </w:t>
      </w:r>
      <w:r w:rsidR="00000000" w:rsidRPr="00100794">
        <w:rPr>
          <w:i/>
          <w:iCs/>
          <w:color w:val="000000" w:themeColor="text1"/>
          <w:sz w:val="20"/>
          <w:szCs w:val="20"/>
        </w:rPr>
        <w:t>H. pylori</w:t>
      </w:r>
      <w:r w:rsidR="00000000" w:rsidRPr="00100794">
        <w:rPr>
          <w:color w:val="000000" w:themeColor="text1"/>
          <w:sz w:val="20"/>
          <w:szCs w:val="20"/>
        </w:rPr>
        <w:t xml:space="preserve"> (Bazzoli </w:t>
      </w:r>
      <w:r w:rsidR="00000000" w:rsidRPr="00100794">
        <w:rPr>
          <w:i/>
          <w:iCs/>
          <w:color w:val="000000" w:themeColor="text1"/>
          <w:sz w:val="20"/>
          <w:szCs w:val="20"/>
        </w:rPr>
        <w:t>et al.,</w:t>
      </w:r>
      <w:r w:rsidR="00000000" w:rsidRPr="00100794">
        <w:rPr>
          <w:color w:val="000000" w:themeColor="text1"/>
          <w:sz w:val="20"/>
          <w:szCs w:val="20"/>
        </w:rPr>
        <w:t xml:space="preserve"> 1992). </w:t>
      </w:r>
      <w:r w:rsidR="006C6AA1" w:rsidRPr="006C6AA1">
        <w:rPr>
          <w:color w:val="000000" w:themeColor="text1"/>
          <w:sz w:val="20"/>
          <w:szCs w:val="20"/>
        </w:rPr>
        <w:t xml:space="preserve">Probiotic bacteria have been observed to hinder the colonization and activity of H. pylori, particularly in conjunction with the management of gastric or peptic ulcers. Both laboratory (in vitro) and live (in vivo) studies have showcased </w:t>
      </w:r>
      <w:r w:rsidR="006C6AA1" w:rsidRPr="006C6AA1">
        <w:rPr>
          <w:i/>
          <w:iCs/>
          <w:color w:val="000000" w:themeColor="text1"/>
          <w:sz w:val="20"/>
          <w:szCs w:val="20"/>
        </w:rPr>
        <w:t xml:space="preserve">L. </w:t>
      </w:r>
      <w:proofErr w:type="spellStart"/>
      <w:r w:rsidR="006C6AA1" w:rsidRPr="006C6AA1">
        <w:rPr>
          <w:i/>
          <w:iCs/>
          <w:color w:val="000000" w:themeColor="text1"/>
          <w:sz w:val="20"/>
          <w:szCs w:val="20"/>
        </w:rPr>
        <w:t>salivarius</w:t>
      </w:r>
      <w:proofErr w:type="spellEnd"/>
      <w:r w:rsidR="006C6AA1">
        <w:rPr>
          <w:color w:val="000000" w:themeColor="text1"/>
          <w:sz w:val="20"/>
          <w:szCs w:val="20"/>
        </w:rPr>
        <w:t xml:space="preserve"> </w:t>
      </w:r>
      <w:r w:rsidR="006C6AA1" w:rsidRPr="006C6AA1">
        <w:rPr>
          <w:color w:val="000000" w:themeColor="text1"/>
          <w:sz w:val="20"/>
          <w:szCs w:val="20"/>
        </w:rPr>
        <w:t xml:space="preserve">capability to prevent the colonization of </w:t>
      </w:r>
      <w:r w:rsidR="006C6AA1" w:rsidRPr="006C6AA1">
        <w:rPr>
          <w:i/>
          <w:iCs/>
          <w:color w:val="000000" w:themeColor="text1"/>
          <w:sz w:val="20"/>
          <w:szCs w:val="20"/>
        </w:rPr>
        <w:t>H. pylori</w:t>
      </w:r>
      <w:r w:rsidR="006C6AA1">
        <w:rPr>
          <w:color w:val="000000" w:themeColor="text1"/>
          <w:sz w:val="20"/>
          <w:szCs w:val="20"/>
        </w:rPr>
        <w:t xml:space="preserve"> </w:t>
      </w:r>
      <w:r w:rsidR="00000000" w:rsidRPr="00100794">
        <w:rPr>
          <w:color w:val="000000" w:themeColor="text1"/>
          <w:sz w:val="20"/>
          <w:szCs w:val="20"/>
        </w:rPr>
        <w:t>(</w:t>
      </w:r>
      <w:proofErr w:type="spellStart"/>
      <w:r w:rsidR="00000000" w:rsidRPr="00100794">
        <w:rPr>
          <w:color w:val="000000" w:themeColor="text1"/>
          <w:sz w:val="20"/>
          <w:szCs w:val="20"/>
        </w:rPr>
        <w:t>Aiba</w:t>
      </w:r>
      <w:proofErr w:type="spellEnd"/>
      <w:r w:rsidR="00000000" w:rsidRPr="00100794">
        <w:rPr>
          <w:color w:val="000000" w:themeColor="text1"/>
          <w:sz w:val="20"/>
          <w:szCs w:val="20"/>
        </w:rPr>
        <w:t xml:space="preserve"> </w:t>
      </w:r>
      <w:r w:rsidR="00000000" w:rsidRPr="00100794">
        <w:rPr>
          <w:i/>
          <w:iCs/>
          <w:color w:val="000000" w:themeColor="text1"/>
          <w:sz w:val="20"/>
          <w:szCs w:val="20"/>
        </w:rPr>
        <w:t>et al.,</w:t>
      </w:r>
      <w:r w:rsidR="00000000" w:rsidRPr="00100794">
        <w:rPr>
          <w:color w:val="000000" w:themeColor="text1"/>
          <w:sz w:val="20"/>
          <w:szCs w:val="20"/>
        </w:rPr>
        <w:t xml:space="preserve"> 1998; MacFarlane and Cummings, 2002). </w:t>
      </w:r>
      <w:r w:rsidR="00B2739B" w:rsidRPr="00B2739B">
        <w:rPr>
          <w:color w:val="000000" w:themeColor="text1"/>
          <w:sz w:val="20"/>
          <w:szCs w:val="20"/>
        </w:rPr>
        <w:t xml:space="preserve">Given the potential advantages, the use of probiotics has been proposed to enhance eradication rates, enhance tolerability, and decrease the necessity for multiple antibiotic treatments in </w:t>
      </w:r>
      <w:r w:rsidR="00B2739B" w:rsidRPr="00B2739B">
        <w:rPr>
          <w:color w:val="000000" w:themeColor="text1"/>
          <w:sz w:val="20"/>
          <w:szCs w:val="20"/>
        </w:rPr>
        <w:lastRenderedPageBreak/>
        <w:t xml:space="preserve">cases of </w:t>
      </w:r>
      <w:r w:rsidR="00B2739B" w:rsidRPr="00B2739B">
        <w:rPr>
          <w:i/>
          <w:iCs/>
          <w:color w:val="000000" w:themeColor="text1"/>
          <w:sz w:val="20"/>
          <w:szCs w:val="20"/>
        </w:rPr>
        <w:t>H. pylori</w:t>
      </w:r>
      <w:r w:rsidR="00B2739B" w:rsidRPr="00B2739B">
        <w:rPr>
          <w:color w:val="000000" w:themeColor="text1"/>
          <w:sz w:val="20"/>
          <w:szCs w:val="20"/>
        </w:rPr>
        <w:t xml:space="preserve"> infections.</w:t>
      </w:r>
      <w:r w:rsidR="00B2739B" w:rsidRPr="00B2739B">
        <w:rPr>
          <w:color w:val="000000" w:themeColor="text1"/>
          <w:sz w:val="20"/>
          <w:szCs w:val="20"/>
        </w:rPr>
        <w:t xml:space="preserve"> </w:t>
      </w:r>
      <w:r w:rsidR="00000000" w:rsidRPr="00100794">
        <w:rPr>
          <w:color w:val="000000" w:themeColor="text1"/>
          <w:sz w:val="20"/>
          <w:szCs w:val="20"/>
        </w:rPr>
        <w:t xml:space="preserve">(Bazzoli </w:t>
      </w:r>
      <w:r w:rsidR="00000000" w:rsidRPr="00100794">
        <w:rPr>
          <w:i/>
          <w:iCs/>
          <w:color w:val="000000" w:themeColor="text1"/>
          <w:sz w:val="20"/>
          <w:szCs w:val="20"/>
        </w:rPr>
        <w:t>et al.,</w:t>
      </w:r>
      <w:r w:rsidR="00000000" w:rsidRPr="00100794">
        <w:rPr>
          <w:color w:val="000000" w:themeColor="text1"/>
          <w:sz w:val="20"/>
          <w:szCs w:val="20"/>
        </w:rPr>
        <w:t xml:space="preserve"> 1992). Additionally, the consumption of </w:t>
      </w:r>
      <w:r w:rsidR="00000000" w:rsidRPr="00100794">
        <w:rPr>
          <w:i/>
          <w:iCs/>
          <w:color w:val="000000" w:themeColor="text1"/>
          <w:sz w:val="20"/>
          <w:szCs w:val="20"/>
        </w:rPr>
        <w:t>Lactobacillus johnsonii</w:t>
      </w:r>
      <w:r w:rsidR="00000000" w:rsidRPr="00100794">
        <w:rPr>
          <w:color w:val="000000" w:themeColor="text1"/>
          <w:sz w:val="20"/>
          <w:szCs w:val="20"/>
        </w:rPr>
        <w:t xml:space="preserve"> has also exhibited inhibitory effects against </w:t>
      </w:r>
      <w:r w:rsidR="00000000" w:rsidRPr="00100794">
        <w:rPr>
          <w:i/>
          <w:iCs/>
          <w:color w:val="000000" w:themeColor="text1"/>
          <w:sz w:val="20"/>
          <w:szCs w:val="20"/>
        </w:rPr>
        <w:t>H. pylori</w:t>
      </w:r>
      <w:r w:rsidR="00000000" w:rsidRPr="00100794">
        <w:rPr>
          <w:color w:val="000000" w:themeColor="text1"/>
          <w:sz w:val="20"/>
          <w:szCs w:val="20"/>
        </w:rPr>
        <w:t xml:space="preserve"> (Marteau </w:t>
      </w:r>
      <w:r w:rsidR="00000000" w:rsidRPr="00100794">
        <w:rPr>
          <w:i/>
          <w:iCs/>
          <w:color w:val="000000" w:themeColor="text1"/>
          <w:sz w:val="20"/>
          <w:szCs w:val="20"/>
        </w:rPr>
        <w:t>et al.,</w:t>
      </w:r>
      <w:r w:rsidR="00000000" w:rsidRPr="00100794">
        <w:rPr>
          <w:color w:val="000000" w:themeColor="text1"/>
          <w:sz w:val="20"/>
          <w:szCs w:val="20"/>
        </w:rPr>
        <w:t xml:space="preserve"> 2001).</w:t>
      </w:r>
    </w:p>
    <w:p w14:paraId="17A45C66" w14:textId="77777777" w:rsidR="00E01CD8" w:rsidRPr="00100794" w:rsidRDefault="00000000" w:rsidP="002F5756">
      <w:pPr>
        <w:pStyle w:val="Heading5"/>
        <w:rPr>
          <w:color w:val="000000" w:themeColor="text1"/>
          <w:sz w:val="20"/>
          <w:szCs w:val="20"/>
        </w:rPr>
      </w:pPr>
      <w:bookmarkStart w:id="25" w:name="_Toc141790404"/>
      <w:r w:rsidRPr="00100794">
        <w:rPr>
          <w:color w:val="000000" w:themeColor="text1"/>
          <w:sz w:val="20"/>
          <w:szCs w:val="20"/>
        </w:rPr>
        <w:t>Inflammatory bowel disease (IBD)</w:t>
      </w:r>
      <w:bookmarkEnd w:id="25"/>
      <w:r w:rsidRPr="00100794">
        <w:rPr>
          <w:color w:val="000000" w:themeColor="text1"/>
          <w:sz w:val="20"/>
          <w:szCs w:val="20"/>
        </w:rPr>
        <w:t xml:space="preserve"> </w:t>
      </w:r>
    </w:p>
    <w:p w14:paraId="177970F6" w14:textId="1408B302" w:rsidR="002F5756" w:rsidRPr="00100794" w:rsidRDefault="004F61B4" w:rsidP="002F5756">
      <w:pPr>
        <w:rPr>
          <w:b/>
          <w:bCs/>
          <w:color w:val="000000" w:themeColor="text1"/>
          <w:sz w:val="20"/>
          <w:szCs w:val="20"/>
        </w:rPr>
      </w:pPr>
      <w:r w:rsidRPr="004F61B4">
        <w:rPr>
          <w:color w:val="000000" w:themeColor="text1"/>
          <w:sz w:val="20"/>
          <w:szCs w:val="20"/>
        </w:rPr>
        <w:t xml:space="preserve">Specific strains of lactobacilli have shown positive effects in relieving symptoms linked to Inflammatory Bowel Disease (IBD), </w:t>
      </w:r>
      <w:proofErr w:type="spellStart"/>
      <w:r w:rsidRPr="004F61B4">
        <w:rPr>
          <w:color w:val="000000" w:themeColor="text1"/>
          <w:sz w:val="20"/>
          <w:szCs w:val="20"/>
        </w:rPr>
        <w:t>pouchitis</w:t>
      </w:r>
      <w:proofErr w:type="spellEnd"/>
      <w:r w:rsidRPr="004F61B4">
        <w:rPr>
          <w:color w:val="000000" w:themeColor="text1"/>
          <w:sz w:val="20"/>
          <w:szCs w:val="20"/>
        </w:rPr>
        <w:t>, and ulcerative colitis</w:t>
      </w:r>
      <w:r w:rsidR="00000000" w:rsidRPr="00100794">
        <w:rPr>
          <w:color w:val="000000" w:themeColor="text1"/>
          <w:sz w:val="20"/>
          <w:szCs w:val="20"/>
        </w:rPr>
        <w:t xml:space="preserve"> (Schultz and Sartor, 2000). </w:t>
      </w:r>
      <w:r w:rsidR="00B34B38" w:rsidRPr="00B34B38">
        <w:rPr>
          <w:color w:val="000000" w:themeColor="text1"/>
          <w:sz w:val="20"/>
          <w:szCs w:val="20"/>
        </w:rPr>
        <w:t>Probiotic bacteria have exhibited the capability to enhance intestinal motility and relieve constipation, which is likely achieved by lowering the pH in the gut</w:t>
      </w:r>
      <w:r w:rsidR="00B34B38">
        <w:rPr>
          <w:color w:val="000000" w:themeColor="text1"/>
          <w:sz w:val="20"/>
          <w:szCs w:val="20"/>
        </w:rPr>
        <w:t xml:space="preserve"> </w:t>
      </w:r>
      <w:r w:rsidR="00000000" w:rsidRPr="00100794">
        <w:rPr>
          <w:color w:val="000000" w:themeColor="text1"/>
          <w:sz w:val="20"/>
          <w:szCs w:val="20"/>
        </w:rPr>
        <w:t xml:space="preserve">(Sanders and </w:t>
      </w:r>
      <w:proofErr w:type="spellStart"/>
      <w:r w:rsidR="00000000" w:rsidRPr="00100794">
        <w:rPr>
          <w:color w:val="000000" w:themeColor="text1"/>
          <w:sz w:val="20"/>
          <w:szCs w:val="20"/>
        </w:rPr>
        <w:t>Klaenhammer</w:t>
      </w:r>
      <w:proofErr w:type="spellEnd"/>
      <w:r w:rsidR="00000000" w:rsidRPr="00100794">
        <w:rPr>
          <w:color w:val="000000" w:themeColor="text1"/>
          <w:sz w:val="20"/>
          <w:szCs w:val="20"/>
        </w:rPr>
        <w:t xml:space="preserve">, 2001). </w:t>
      </w:r>
      <w:r w:rsidR="00F034B8" w:rsidRPr="00F034B8">
        <w:rPr>
          <w:color w:val="000000" w:themeColor="text1"/>
          <w:sz w:val="20"/>
          <w:szCs w:val="20"/>
        </w:rPr>
        <w:t>The combination of probiotic treatments has demonstrated benefits for individuals with Inflammatory Bowel Disease (IBD)</w:t>
      </w:r>
      <w:r w:rsidR="00F034B8">
        <w:rPr>
          <w:color w:val="000000" w:themeColor="text1"/>
          <w:sz w:val="20"/>
          <w:szCs w:val="20"/>
        </w:rPr>
        <w:t xml:space="preserve"> </w:t>
      </w:r>
      <w:r w:rsidR="00000000" w:rsidRPr="00100794">
        <w:rPr>
          <w:color w:val="000000" w:themeColor="text1"/>
          <w:sz w:val="20"/>
          <w:szCs w:val="20"/>
        </w:rPr>
        <w:t>(Schultz and Sartor, 2000; Shanahan, 2001).</w:t>
      </w:r>
      <w:r w:rsidR="008D77B3" w:rsidRPr="008D77B3">
        <w:t xml:space="preserve"> </w:t>
      </w:r>
      <w:r w:rsidR="008D77B3" w:rsidRPr="008D77B3">
        <w:rPr>
          <w:i/>
          <w:iCs/>
          <w:color w:val="000000" w:themeColor="text1"/>
          <w:sz w:val="20"/>
          <w:szCs w:val="20"/>
        </w:rPr>
        <w:t xml:space="preserve">S. </w:t>
      </w:r>
      <w:proofErr w:type="spellStart"/>
      <w:r w:rsidR="008D77B3" w:rsidRPr="008D77B3">
        <w:rPr>
          <w:i/>
          <w:iCs/>
          <w:color w:val="000000" w:themeColor="text1"/>
          <w:sz w:val="20"/>
          <w:szCs w:val="20"/>
        </w:rPr>
        <w:t>boulardii</w:t>
      </w:r>
      <w:proofErr w:type="spellEnd"/>
      <w:r w:rsidR="008D77B3" w:rsidRPr="008D77B3">
        <w:rPr>
          <w:color w:val="000000" w:themeColor="text1"/>
          <w:sz w:val="20"/>
          <w:szCs w:val="20"/>
        </w:rPr>
        <w:t xml:space="preserve"> and </w:t>
      </w:r>
      <w:r w:rsidR="008D77B3" w:rsidRPr="008D77B3">
        <w:rPr>
          <w:i/>
          <w:iCs/>
          <w:color w:val="000000" w:themeColor="text1"/>
          <w:sz w:val="20"/>
          <w:szCs w:val="20"/>
        </w:rPr>
        <w:t>LGG</w:t>
      </w:r>
      <w:r w:rsidR="008D77B3" w:rsidRPr="008D77B3">
        <w:rPr>
          <w:color w:val="000000" w:themeColor="text1"/>
          <w:sz w:val="20"/>
          <w:szCs w:val="20"/>
        </w:rPr>
        <w:t xml:space="preserve"> have both been noted to elevate secretory IgA levels in the gastrointestinal tract, offering advantages in cases of Inflammatory Bowel Disease (IBD</w:t>
      </w:r>
      <w:proofErr w:type="gramStart"/>
      <w:r w:rsidR="008D77B3" w:rsidRPr="008D77B3">
        <w:rPr>
          <w:color w:val="000000" w:themeColor="text1"/>
          <w:sz w:val="20"/>
          <w:szCs w:val="20"/>
        </w:rPr>
        <w:t>).</w:t>
      </w:r>
      <w:r w:rsidR="00000000" w:rsidRPr="00100794">
        <w:rPr>
          <w:color w:val="000000" w:themeColor="text1"/>
          <w:sz w:val="20"/>
          <w:szCs w:val="20"/>
        </w:rPr>
        <w:t>.</w:t>
      </w:r>
      <w:proofErr w:type="gramEnd"/>
    </w:p>
    <w:p w14:paraId="28EF5C88" w14:textId="77777777" w:rsidR="00E01CD8" w:rsidRPr="00100794" w:rsidRDefault="00000000" w:rsidP="00E01CD8">
      <w:pPr>
        <w:pStyle w:val="Heading5"/>
        <w:ind w:left="-5"/>
        <w:rPr>
          <w:color w:val="000000" w:themeColor="text1"/>
          <w:sz w:val="20"/>
          <w:szCs w:val="20"/>
        </w:rPr>
      </w:pPr>
      <w:bookmarkStart w:id="26" w:name="_Toc141790405"/>
      <w:r w:rsidRPr="00100794">
        <w:rPr>
          <w:color w:val="000000" w:themeColor="text1"/>
          <w:sz w:val="20"/>
          <w:szCs w:val="20"/>
        </w:rPr>
        <w:t>Irritable bowel syndrome  (IBS)</w:t>
      </w:r>
      <w:bookmarkEnd w:id="26"/>
      <w:r w:rsidRPr="00100794">
        <w:rPr>
          <w:color w:val="000000" w:themeColor="text1"/>
          <w:sz w:val="20"/>
          <w:szCs w:val="20"/>
        </w:rPr>
        <w:t xml:space="preserve"> </w:t>
      </w:r>
    </w:p>
    <w:p w14:paraId="01BD905C" w14:textId="4BC29DD6" w:rsidR="0066020A" w:rsidRPr="00100794" w:rsidRDefault="0061291E" w:rsidP="00341A05">
      <w:pPr>
        <w:rPr>
          <w:color w:val="000000" w:themeColor="text1"/>
          <w:sz w:val="20"/>
          <w:szCs w:val="20"/>
        </w:rPr>
      </w:pPr>
      <w:r w:rsidRPr="0061291E">
        <w:rPr>
          <w:color w:val="000000" w:themeColor="text1"/>
          <w:sz w:val="20"/>
          <w:szCs w:val="20"/>
        </w:rPr>
        <w:t>Probiotic treatment has shown positive outcomes in the management of inflammatory and functional bowel disorders.</w:t>
      </w:r>
      <w:r w:rsidRPr="0061291E">
        <w:rPr>
          <w:color w:val="000000" w:themeColor="text1"/>
          <w:sz w:val="20"/>
          <w:szCs w:val="20"/>
        </w:rPr>
        <w:t xml:space="preserve"> </w:t>
      </w:r>
      <w:r w:rsidR="00307760" w:rsidRPr="00307760">
        <w:rPr>
          <w:color w:val="000000" w:themeColor="text1"/>
          <w:sz w:val="20"/>
          <w:szCs w:val="20"/>
        </w:rPr>
        <w:t xml:space="preserve">In a clinical study, the effects of </w:t>
      </w:r>
      <w:r w:rsidR="00307760" w:rsidRPr="008D77B3">
        <w:rPr>
          <w:i/>
          <w:iCs/>
          <w:color w:val="000000" w:themeColor="text1"/>
          <w:sz w:val="20"/>
          <w:szCs w:val="20"/>
        </w:rPr>
        <w:t>L. plantarum</w:t>
      </w:r>
      <w:r w:rsidR="00307760" w:rsidRPr="00307760">
        <w:rPr>
          <w:color w:val="000000" w:themeColor="text1"/>
          <w:sz w:val="20"/>
          <w:szCs w:val="20"/>
        </w:rPr>
        <w:t xml:space="preserve"> 299 v and DSM 9843 strains on patients with irritable bowel syndrome (IBS) were examined, revealing their efficacy in reducing symptoms like abdominal pain, bloating, flatulence, and constipation</w:t>
      </w:r>
      <w:r w:rsidR="008141A0">
        <w:rPr>
          <w:color w:val="000000" w:themeColor="text1"/>
          <w:sz w:val="20"/>
          <w:szCs w:val="20"/>
        </w:rPr>
        <w:t xml:space="preserve"> </w:t>
      </w:r>
      <w:r w:rsidR="00000000" w:rsidRPr="00100794">
        <w:rPr>
          <w:color w:val="000000" w:themeColor="text1"/>
          <w:sz w:val="20"/>
          <w:szCs w:val="20"/>
        </w:rPr>
        <w:t xml:space="preserve">(MacFarlane and Cummings, 2002). Another probiotic, </w:t>
      </w:r>
      <w:r w:rsidR="00000000" w:rsidRPr="00100794">
        <w:rPr>
          <w:i/>
          <w:iCs/>
          <w:color w:val="000000" w:themeColor="text1"/>
          <w:sz w:val="20"/>
          <w:szCs w:val="20"/>
        </w:rPr>
        <w:t>Saccharomyces boulardii</w:t>
      </w:r>
      <w:r w:rsidR="00000000" w:rsidRPr="00100794">
        <w:rPr>
          <w:color w:val="000000" w:themeColor="text1"/>
          <w:sz w:val="20"/>
          <w:szCs w:val="20"/>
        </w:rPr>
        <w:t xml:space="preserve">, effectively reduced diarrhea in IBS, but did not show significant control over other symptoms associated with the syndrome (Marteau </w:t>
      </w:r>
      <w:r w:rsidR="00000000" w:rsidRPr="00100794">
        <w:rPr>
          <w:i/>
          <w:iCs/>
          <w:color w:val="000000" w:themeColor="text1"/>
          <w:sz w:val="20"/>
          <w:szCs w:val="20"/>
        </w:rPr>
        <w:t>et al.,</w:t>
      </w:r>
      <w:r w:rsidR="00000000" w:rsidRPr="00100794">
        <w:rPr>
          <w:color w:val="000000" w:themeColor="text1"/>
          <w:sz w:val="20"/>
          <w:szCs w:val="20"/>
        </w:rPr>
        <w:t xml:space="preserve"> 2001). </w:t>
      </w:r>
      <w:r w:rsidR="00E84FEF" w:rsidRPr="00E84FEF">
        <w:rPr>
          <w:color w:val="000000" w:themeColor="text1"/>
          <w:sz w:val="20"/>
          <w:szCs w:val="20"/>
        </w:rPr>
        <w:t>Recent studies have illuminated the possible involvement of gut microbiota in diminishing inflammation within both the intestines and joints. The interplay between intestinal microbes and gastrointestinal (GI) tissues plays a vital role in regulating regular gut functions, affecting processes like motility, absorption, secretion, and intestinal permeability</w:t>
      </w:r>
      <w:r w:rsidR="00000000" w:rsidRPr="00100794">
        <w:rPr>
          <w:color w:val="000000" w:themeColor="text1"/>
          <w:sz w:val="20"/>
          <w:szCs w:val="20"/>
        </w:rPr>
        <w:t xml:space="preserve"> (Verdu and Collins, 2005).</w:t>
      </w:r>
    </w:p>
    <w:p w14:paraId="6057C511" w14:textId="0FF89154" w:rsidR="0066020A" w:rsidRPr="00100794" w:rsidRDefault="00F451E9" w:rsidP="0066020A">
      <w:pPr>
        <w:rPr>
          <w:color w:val="000000" w:themeColor="text1"/>
          <w:sz w:val="20"/>
          <w:szCs w:val="20"/>
        </w:rPr>
      </w:pPr>
      <w:r w:rsidRPr="00F451E9">
        <w:rPr>
          <w:color w:val="000000" w:themeColor="text1"/>
          <w:sz w:val="20"/>
          <w:szCs w:val="20"/>
        </w:rPr>
        <w:t xml:space="preserve">Many probiotics have undergone scrutiny for their efficacy in the management of IBS, and among these, </w:t>
      </w:r>
      <w:r w:rsidRPr="006C0BD7">
        <w:rPr>
          <w:i/>
          <w:iCs/>
          <w:color w:val="000000" w:themeColor="text1"/>
          <w:sz w:val="20"/>
          <w:szCs w:val="20"/>
        </w:rPr>
        <w:t xml:space="preserve">Bifidobacterium </w:t>
      </w:r>
      <w:proofErr w:type="spellStart"/>
      <w:r w:rsidRPr="006C0BD7">
        <w:rPr>
          <w:i/>
          <w:iCs/>
          <w:color w:val="000000" w:themeColor="text1"/>
          <w:sz w:val="20"/>
          <w:szCs w:val="20"/>
        </w:rPr>
        <w:t>infantis</w:t>
      </w:r>
      <w:proofErr w:type="spellEnd"/>
      <w:r w:rsidRPr="00F451E9">
        <w:rPr>
          <w:color w:val="000000" w:themeColor="text1"/>
          <w:sz w:val="20"/>
          <w:szCs w:val="20"/>
        </w:rPr>
        <w:t xml:space="preserve"> has been identified as notably effective</w:t>
      </w:r>
      <w:r w:rsidR="00000000" w:rsidRPr="00100794">
        <w:rPr>
          <w:color w:val="000000" w:themeColor="text1"/>
          <w:sz w:val="20"/>
          <w:szCs w:val="20"/>
        </w:rPr>
        <w:t xml:space="preserve"> (Brenner </w:t>
      </w:r>
      <w:r w:rsidR="00000000" w:rsidRPr="00100794">
        <w:rPr>
          <w:i/>
          <w:iCs/>
          <w:color w:val="000000" w:themeColor="text1"/>
          <w:sz w:val="20"/>
          <w:szCs w:val="20"/>
        </w:rPr>
        <w:t>et al.,</w:t>
      </w:r>
      <w:r w:rsidR="00000000" w:rsidRPr="00100794">
        <w:rPr>
          <w:color w:val="000000" w:themeColor="text1"/>
          <w:sz w:val="20"/>
          <w:szCs w:val="20"/>
        </w:rPr>
        <w:t xml:space="preserve"> 2009; Niedzielin </w:t>
      </w:r>
      <w:r w:rsidR="00000000" w:rsidRPr="00100794">
        <w:rPr>
          <w:i/>
          <w:iCs/>
          <w:color w:val="000000" w:themeColor="text1"/>
          <w:sz w:val="20"/>
          <w:szCs w:val="20"/>
        </w:rPr>
        <w:t>et al.,</w:t>
      </w:r>
      <w:r w:rsidR="00000000" w:rsidRPr="00100794">
        <w:rPr>
          <w:color w:val="000000" w:themeColor="text1"/>
          <w:sz w:val="20"/>
          <w:szCs w:val="20"/>
        </w:rPr>
        <w:t xml:space="preserve"> 2001).</w:t>
      </w:r>
    </w:p>
    <w:p w14:paraId="223002BF" w14:textId="77777777" w:rsidR="00E01CD8" w:rsidRPr="00100794" w:rsidRDefault="00000000" w:rsidP="0066020A">
      <w:pPr>
        <w:pStyle w:val="Heading5"/>
        <w:rPr>
          <w:color w:val="000000" w:themeColor="text1"/>
          <w:sz w:val="20"/>
          <w:szCs w:val="20"/>
        </w:rPr>
      </w:pPr>
      <w:bookmarkStart w:id="27" w:name="_Toc141790406"/>
      <w:r w:rsidRPr="00100794">
        <w:rPr>
          <w:color w:val="000000" w:themeColor="text1"/>
          <w:sz w:val="20"/>
          <w:szCs w:val="20"/>
        </w:rPr>
        <w:t>Colon cancer</w:t>
      </w:r>
      <w:bookmarkEnd w:id="27"/>
      <w:r w:rsidRPr="00100794">
        <w:rPr>
          <w:color w:val="000000" w:themeColor="text1"/>
          <w:sz w:val="20"/>
          <w:szCs w:val="20"/>
        </w:rPr>
        <w:t xml:space="preserve"> </w:t>
      </w:r>
    </w:p>
    <w:p w14:paraId="26E618DA" w14:textId="020C06BD" w:rsidR="00CA7C48" w:rsidRPr="00100794" w:rsidRDefault="003B1D15" w:rsidP="0020290E">
      <w:pPr>
        <w:rPr>
          <w:color w:val="000000" w:themeColor="text1"/>
          <w:sz w:val="20"/>
          <w:szCs w:val="20"/>
        </w:rPr>
      </w:pPr>
      <w:r w:rsidRPr="003B1D15">
        <w:rPr>
          <w:color w:val="000000" w:themeColor="text1"/>
          <w:sz w:val="20"/>
          <w:szCs w:val="20"/>
        </w:rPr>
        <w:t>Cancer stands as the primary cause of death in industrialized nations and holds the second-highest position in terms of mortality in developing countries, according to the World Health Organization's 2008 report</w:t>
      </w:r>
      <w:r w:rsidR="00000000" w:rsidRPr="00100794">
        <w:rPr>
          <w:color w:val="000000" w:themeColor="text1"/>
          <w:sz w:val="20"/>
          <w:szCs w:val="20"/>
        </w:rPr>
        <w:t>.</w:t>
      </w:r>
      <w:r w:rsidR="00F16970" w:rsidRPr="00F16970">
        <w:t xml:space="preserve"> </w:t>
      </w:r>
      <w:r w:rsidR="00F16970" w:rsidRPr="00F16970">
        <w:rPr>
          <w:color w:val="000000" w:themeColor="text1"/>
          <w:sz w:val="20"/>
          <w:szCs w:val="20"/>
        </w:rPr>
        <w:t xml:space="preserve">As reported by Jemal </w:t>
      </w:r>
      <w:r w:rsidR="00F16970" w:rsidRPr="00B840E2">
        <w:rPr>
          <w:i/>
          <w:iCs/>
          <w:color w:val="000000" w:themeColor="text1"/>
          <w:sz w:val="20"/>
          <w:szCs w:val="20"/>
        </w:rPr>
        <w:t>et al</w:t>
      </w:r>
      <w:r w:rsidR="00F16970" w:rsidRPr="00F16970">
        <w:rPr>
          <w:color w:val="000000" w:themeColor="text1"/>
          <w:sz w:val="20"/>
          <w:szCs w:val="20"/>
        </w:rPr>
        <w:t xml:space="preserve">. </w:t>
      </w:r>
      <w:r w:rsidR="00F16970">
        <w:rPr>
          <w:color w:val="000000" w:themeColor="text1"/>
          <w:sz w:val="20"/>
          <w:szCs w:val="20"/>
        </w:rPr>
        <w:t>(</w:t>
      </w:r>
      <w:r w:rsidR="00F16970" w:rsidRPr="00F16970">
        <w:rPr>
          <w:color w:val="000000" w:themeColor="text1"/>
          <w:sz w:val="20"/>
          <w:szCs w:val="20"/>
        </w:rPr>
        <w:t>2011</w:t>
      </w:r>
      <w:r w:rsidR="00F16970">
        <w:rPr>
          <w:color w:val="000000" w:themeColor="text1"/>
          <w:sz w:val="20"/>
          <w:szCs w:val="20"/>
        </w:rPr>
        <w:t>)</w:t>
      </w:r>
      <w:r w:rsidR="00F16970" w:rsidRPr="00F16970">
        <w:rPr>
          <w:color w:val="000000" w:themeColor="text1"/>
          <w:sz w:val="20"/>
          <w:szCs w:val="20"/>
        </w:rPr>
        <w:t>, colorectal cancer (CRC) ranks as the third most prevalent cancer in men worldwide and the second most common in women</w:t>
      </w:r>
      <w:r w:rsidR="0020290E" w:rsidRPr="00100794">
        <w:rPr>
          <w:color w:val="000000" w:themeColor="text1"/>
          <w:sz w:val="20"/>
          <w:szCs w:val="20"/>
        </w:rPr>
        <w:t xml:space="preserve">. </w:t>
      </w:r>
      <w:r w:rsidR="00000000" w:rsidRPr="00100794">
        <w:rPr>
          <w:color w:val="000000" w:themeColor="text1"/>
          <w:sz w:val="20"/>
          <w:szCs w:val="20"/>
        </w:rPr>
        <w:t xml:space="preserve">The development of colon cancer exhibits a strong correlation with dietary patterns and environmental factors. </w:t>
      </w:r>
      <w:r w:rsidR="00780288" w:rsidRPr="00100794">
        <w:rPr>
          <w:color w:val="000000" w:themeColor="text1"/>
          <w:sz w:val="20"/>
          <w:szCs w:val="20"/>
        </w:rPr>
        <w:t>Huycke and Gaskins (2004) observed that significant colorectal neoplasms develop sporadically from adenomatous polyps due to the gradual accumulation of mutations in oncogenes such as APC, K-ras, and TP53.</w:t>
      </w:r>
      <w:r w:rsidR="00000000" w:rsidRPr="00100794">
        <w:rPr>
          <w:color w:val="000000" w:themeColor="text1"/>
          <w:sz w:val="20"/>
          <w:szCs w:val="20"/>
        </w:rPr>
        <w:t xml:space="preserve"> The current management of CRC entails a combination of surgical interventions, chemotherapy, and radiation therapy, but these approaches often lead to a notable decline in the patient's quality of life. In recent studies, probiotic therapy has shown considerable promise in the context of colorectal cancer, as outlined in </w:t>
      </w:r>
      <w:r w:rsidR="00000000" w:rsidRPr="00100794">
        <w:rPr>
          <w:color w:val="000000" w:themeColor="text1"/>
          <w:sz w:val="20"/>
          <w:szCs w:val="20"/>
        </w:rPr>
        <w:fldChar w:fldCharType="begin"/>
      </w:r>
      <w:r w:rsidR="00000000" w:rsidRPr="00100794">
        <w:rPr>
          <w:color w:val="000000" w:themeColor="text1"/>
          <w:sz w:val="20"/>
          <w:szCs w:val="20"/>
        </w:rPr>
        <w:instrText xml:space="preserve"> REF _Ref141789703 \h </w:instrText>
      </w:r>
      <w:r w:rsidR="00100794">
        <w:rPr>
          <w:color w:val="000000" w:themeColor="text1"/>
          <w:sz w:val="20"/>
          <w:szCs w:val="20"/>
        </w:rPr>
        <w:instrText xml:space="preserve"> \* MERGEFORMAT </w:instrText>
      </w:r>
      <w:r w:rsidR="00000000" w:rsidRPr="00100794">
        <w:rPr>
          <w:color w:val="000000" w:themeColor="text1"/>
          <w:sz w:val="20"/>
          <w:szCs w:val="20"/>
        </w:rPr>
      </w:r>
      <w:r w:rsidR="00000000" w:rsidRPr="00100794">
        <w:rPr>
          <w:color w:val="000000" w:themeColor="text1"/>
          <w:sz w:val="20"/>
          <w:szCs w:val="20"/>
        </w:rPr>
        <w:fldChar w:fldCharType="separate"/>
      </w:r>
      <w:r w:rsidR="00000000" w:rsidRPr="00100794">
        <w:rPr>
          <w:color w:val="000000" w:themeColor="text1"/>
          <w:sz w:val="20"/>
          <w:szCs w:val="20"/>
        </w:rPr>
        <w:t xml:space="preserve">Table 1. </w:t>
      </w:r>
      <w:r w:rsidR="00000000" w:rsidRPr="00100794">
        <w:rPr>
          <w:noProof/>
          <w:color w:val="000000" w:themeColor="text1"/>
          <w:sz w:val="20"/>
          <w:szCs w:val="20"/>
        </w:rPr>
        <w:t>1</w:t>
      </w:r>
      <w:r w:rsidR="00000000" w:rsidRPr="00100794">
        <w:rPr>
          <w:color w:val="000000" w:themeColor="text1"/>
          <w:sz w:val="20"/>
          <w:szCs w:val="20"/>
        </w:rPr>
        <w:fldChar w:fldCharType="end"/>
      </w:r>
      <w:r w:rsidR="00000000" w:rsidRPr="00100794">
        <w:rPr>
          <w:color w:val="000000" w:themeColor="text1"/>
          <w:sz w:val="20"/>
          <w:szCs w:val="20"/>
        </w:rPr>
        <w:t xml:space="preserve">. </w:t>
      </w:r>
    </w:p>
    <w:p w14:paraId="64543743" w14:textId="327E6A03" w:rsidR="00D90239" w:rsidRPr="00100794" w:rsidRDefault="00000000" w:rsidP="00D90239">
      <w:pPr>
        <w:ind w:firstLine="0"/>
        <w:rPr>
          <w:color w:val="000000" w:themeColor="text1"/>
          <w:sz w:val="20"/>
          <w:szCs w:val="20"/>
        </w:rPr>
      </w:pPr>
      <w:r w:rsidRPr="00100794">
        <w:rPr>
          <w:color w:val="000000" w:themeColor="text1"/>
          <w:sz w:val="20"/>
          <w:szCs w:val="20"/>
        </w:rPr>
        <w:t xml:space="preserve">The mechanisms </w:t>
      </w:r>
      <w:r w:rsidR="00E474FE">
        <w:rPr>
          <w:color w:val="000000" w:themeColor="text1"/>
          <w:sz w:val="20"/>
          <w:szCs w:val="20"/>
        </w:rPr>
        <w:t>involving</w:t>
      </w:r>
      <w:r w:rsidRPr="00100794">
        <w:rPr>
          <w:color w:val="000000" w:themeColor="text1"/>
          <w:sz w:val="20"/>
          <w:szCs w:val="20"/>
        </w:rPr>
        <w:t xml:space="preserve"> the preventive effects of CRC encompass several aspects: </w:t>
      </w:r>
    </w:p>
    <w:p w14:paraId="0DD8FDE7" w14:textId="77777777" w:rsidR="00D90239" w:rsidRPr="00100794" w:rsidRDefault="00000000" w:rsidP="00D90239">
      <w:pPr>
        <w:pStyle w:val="ListParagraph"/>
        <w:numPr>
          <w:ilvl w:val="0"/>
          <w:numId w:val="10"/>
        </w:numPr>
        <w:rPr>
          <w:color w:val="000000" w:themeColor="text1"/>
          <w:sz w:val="20"/>
          <w:szCs w:val="20"/>
        </w:rPr>
      </w:pPr>
      <w:r w:rsidRPr="00100794">
        <w:rPr>
          <w:color w:val="000000" w:themeColor="text1"/>
          <w:sz w:val="20"/>
          <w:szCs w:val="20"/>
        </w:rPr>
        <w:t xml:space="preserve">The modulation of intestinal micro-ecology, </w:t>
      </w:r>
    </w:p>
    <w:p w14:paraId="5891445C" w14:textId="77777777" w:rsidR="00D90239" w:rsidRPr="00100794" w:rsidRDefault="00000000" w:rsidP="00D90239">
      <w:pPr>
        <w:pStyle w:val="ListParagraph"/>
        <w:numPr>
          <w:ilvl w:val="0"/>
          <w:numId w:val="10"/>
        </w:numPr>
        <w:rPr>
          <w:color w:val="000000" w:themeColor="text1"/>
          <w:sz w:val="20"/>
          <w:szCs w:val="20"/>
        </w:rPr>
      </w:pPr>
      <w:r w:rsidRPr="00100794">
        <w:rPr>
          <w:color w:val="000000" w:themeColor="text1"/>
          <w:sz w:val="20"/>
          <w:szCs w:val="20"/>
        </w:rPr>
        <w:t>A</w:t>
      </w:r>
      <w:r w:rsidR="0066020A" w:rsidRPr="00100794">
        <w:rPr>
          <w:color w:val="000000" w:themeColor="text1"/>
          <w:sz w:val="20"/>
          <w:szCs w:val="20"/>
        </w:rPr>
        <w:t xml:space="preserve"> reduction in the production of carcinogenic enzymes within the fecal matter</w:t>
      </w:r>
    </w:p>
    <w:p w14:paraId="57F85529" w14:textId="77777777" w:rsidR="00D90239" w:rsidRPr="00100794" w:rsidRDefault="00000000" w:rsidP="00D90239">
      <w:pPr>
        <w:pStyle w:val="ListParagraph"/>
        <w:numPr>
          <w:ilvl w:val="0"/>
          <w:numId w:val="10"/>
        </w:numPr>
        <w:rPr>
          <w:color w:val="000000" w:themeColor="text1"/>
          <w:sz w:val="20"/>
          <w:szCs w:val="20"/>
        </w:rPr>
      </w:pPr>
      <w:r w:rsidRPr="00100794">
        <w:rPr>
          <w:color w:val="000000" w:themeColor="text1"/>
          <w:sz w:val="20"/>
          <w:szCs w:val="20"/>
        </w:rPr>
        <w:lastRenderedPageBreak/>
        <w:t>T</w:t>
      </w:r>
      <w:r w:rsidR="0066020A" w:rsidRPr="00100794">
        <w:rPr>
          <w:color w:val="000000" w:themeColor="text1"/>
          <w:sz w:val="20"/>
          <w:szCs w:val="20"/>
        </w:rPr>
        <w:t>he attenuation of toxigenic and mutagenic reactions within the gut, iv</w:t>
      </w:r>
    </w:p>
    <w:p w14:paraId="1A86F28B" w14:textId="4C221169" w:rsidR="0066020A" w:rsidRPr="00800093" w:rsidRDefault="00AD2876" w:rsidP="00BF23E9">
      <w:pPr>
        <w:pStyle w:val="ListParagraph"/>
        <w:numPr>
          <w:ilvl w:val="0"/>
          <w:numId w:val="10"/>
        </w:numPr>
        <w:ind w:left="900" w:hanging="64"/>
        <w:rPr>
          <w:color w:val="000000" w:themeColor="text1"/>
          <w:sz w:val="20"/>
          <w:szCs w:val="20"/>
        </w:rPr>
      </w:pPr>
      <w:r w:rsidRPr="00800093">
        <w:rPr>
          <w:color w:val="000000" w:themeColor="text1"/>
          <w:sz w:val="20"/>
          <w:szCs w:val="20"/>
        </w:rPr>
        <w:t>Protecting against DNA damage by generating short-chain fatty acids (SCFA)</w:t>
      </w:r>
      <w:r w:rsidR="00800093">
        <w:rPr>
          <w:color w:val="000000" w:themeColor="text1"/>
          <w:sz w:val="20"/>
          <w:szCs w:val="20"/>
        </w:rPr>
        <w:t xml:space="preserve"> </w:t>
      </w:r>
      <w:r w:rsidR="00000000" w:rsidRPr="00800093">
        <w:rPr>
          <w:color w:val="000000" w:themeColor="text1"/>
          <w:sz w:val="20"/>
          <w:szCs w:val="20"/>
        </w:rPr>
        <w:t xml:space="preserve">by Park </w:t>
      </w:r>
      <w:r w:rsidR="00000000" w:rsidRPr="00B840E2">
        <w:rPr>
          <w:i/>
          <w:iCs/>
          <w:color w:val="000000" w:themeColor="text1"/>
          <w:sz w:val="20"/>
          <w:szCs w:val="20"/>
        </w:rPr>
        <w:t>et al</w:t>
      </w:r>
      <w:r w:rsidR="00000000" w:rsidRPr="00800093">
        <w:rPr>
          <w:color w:val="000000" w:themeColor="text1"/>
          <w:sz w:val="20"/>
          <w:szCs w:val="20"/>
        </w:rPr>
        <w:t>. in 2005.</w:t>
      </w:r>
    </w:p>
    <w:p w14:paraId="4613824E" w14:textId="77777777" w:rsidR="00E01CD8" w:rsidRPr="00100794" w:rsidRDefault="00000000" w:rsidP="0066020A">
      <w:pPr>
        <w:pStyle w:val="Heading3"/>
        <w:rPr>
          <w:color w:val="000000" w:themeColor="text1"/>
          <w:sz w:val="20"/>
          <w:szCs w:val="20"/>
        </w:rPr>
      </w:pPr>
      <w:r w:rsidRPr="00100794">
        <w:rPr>
          <w:color w:val="000000" w:themeColor="text1"/>
          <w:sz w:val="20"/>
          <w:szCs w:val="20"/>
        </w:rPr>
        <w:t xml:space="preserve"> </w:t>
      </w:r>
      <w:bookmarkStart w:id="28" w:name="_Toc141790407"/>
      <w:r w:rsidRPr="00100794">
        <w:rPr>
          <w:color w:val="000000" w:themeColor="text1"/>
          <w:sz w:val="20"/>
          <w:szCs w:val="20"/>
        </w:rPr>
        <w:t>HUMAN GASTROINTESTINAL ECOLOGY</w:t>
      </w:r>
      <w:bookmarkEnd w:id="28"/>
      <w:r w:rsidRPr="00100794">
        <w:rPr>
          <w:color w:val="000000" w:themeColor="text1"/>
          <w:sz w:val="20"/>
          <w:szCs w:val="20"/>
        </w:rPr>
        <w:t xml:space="preserve"> </w:t>
      </w:r>
    </w:p>
    <w:p w14:paraId="757AD2EF" w14:textId="21F32BCB" w:rsidR="00CA7C48" w:rsidRPr="00100794" w:rsidRDefault="00000000" w:rsidP="00D90239">
      <w:pPr>
        <w:rPr>
          <w:color w:val="000000" w:themeColor="text1"/>
          <w:sz w:val="20"/>
          <w:szCs w:val="20"/>
        </w:rPr>
      </w:pPr>
      <w:r w:rsidRPr="00100794">
        <w:rPr>
          <w:color w:val="000000" w:themeColor="text1"/>
          <w:sz w:val="20"/>
          <w:szCs w:val="20"/>
        </w:rPr>
        <w:t xml:space="preserve">Most of the microbial population inhabits the large intestine or colon of the gastrointestinal (GI) tract in humans. </w:t>
      </w:r>
      <w:r w:rsidR="005D55E3" w:rsidRPr="005D55E3">
        <w:rPr>
          <w:color w:val="000000" w:themeColor="text1"/>
          <w:sz w:val="20"/>
          <w:szCs w:val="20"/>
        </w:rPr>
        <w:t xml:space="preserve">The colonic microflora performs diverse roles in the process of digestion. </w:t>
      </w:r>
      <w:proofErr w:type="gramStart"/>
      <w:r w:rsidR="005D55E3" w:rsidRPr="005D55E3">
        <w:rPr>
          <w:color w:val="000000" w:themeColor="text1"/>
          <w:sz w:val="20"/>
          <w:szCs w:val="20"/>
        </w:rPr>
        <w:t>It's</w:t>
      </w:r>
      <w:proofErr w:type="gramEnd"/>
      <w:r w:rsidR="005D55E3" w:rsidRPr="005D55E3">
        <w:rPr>
          <w:color w:val="000000" w:themeColor="text1"/>
          <w:sz w:val="20"/>
          <w:szCs w:val="20"/>
        </w:rPr>
        <w:t xml:space="preserve"> estimated that a person's intestines typically house around 100 trillion live bacteria from over 100 distinct bacterial species.</w:t>
      </w:r>
      <w:r w:rsidR="00EC5FA2">
        <w:rPr>
          <w:color w:val="000000" w:themeColor="text1"/>
          <w:sz w:val="20"/>
          <w:szCs w:val="20"/>
        </w:rPr>
        <w:t xml:space="preserve"> </w:t>
      </w:r>
      <w:r w:rsidRPr="00100794">
        <w:rPr>
          <w:color w:val="000000" w:themeColor="text1"/>
          <w:sz w:val="20"/>
          <w:szCs w:val="20"/>
        </w:rPr>
        <w:t>(Mitsuoka, 1982).</w:t>
      </w:r>
      <w:r w:rsidRPr="00100794">
        <w:rPr>
          <w:b/>
          <w:bCs/>
          <w:iCs/>
          <w:color w:val="000000" w:themeColor="text1"/>
          <w:sz w:val="20"/>
          <w:szCs w:val="20"/>
        </w:rPr>
        <w:t xml:space="preserve"> </w:t>
      </w:r>
      <w:r w:rsidRPr="00100794">
        <w:rPr>
          <w:color w:val="000000" w:themeColor="text1"/>
          <w:sz w:val="20"/>
          <w:szCs w:val="20"/>
        </w:rPr>
        <w:t xml:space="preserve">Microbial colonization of the human intestine begins immediately after birth (Gronlund </w:t>
      </w:r>
      <w:r w:rsidRPr="00100794">
        <w:rPr>
          <w:i/>
          <w:iCs/>
          <w:color w:val="000000" w:themeColor="text1"/>
          <w:sz w:val="20"/>
          <w:szCs w:val="20"/>
        </w:rPr>
        <w:t>et al.,</w:t>
      </w:r>
      <w:r w:rsidRPr="00100794">
        <w:rPr>
          <w:color w:val="000000" w:themeColor="text1"/>
          <w:sz w:val="20"/>
          <w:szCs w:val="20"/>
        </w:rPr>
        <w:t xml:space="preserve"> 2000). </w:t>
      </w:r>
      <w:r w:rsidR="00B25AB7" w:rsidRPr="00B25AB7">
        <w:rPr>
          <w:color w:val="000000" w:themeColor="text1"/>
          <w:sz w:val="20"/>
          <w:szCs w:val="20"/>
        </w:rPr>
        <w:t>The gastrointestinal (GI) tract consists of a varied microbial community that includes both facultative and obligate anaerobic microorganisms.</w:t>
      </w:r>
      <w:r w:rsidR="00B25AB7" w:rsidRPr="00B25AB7">
        <w:rPr>
          <w:color w:val="000000" w:themeColor="text1"/>
          <w:sz w:val="20"/>
          <w:szCs w:val="20"/>
        </w:rPr>
        <w:t xml:space="preserve"> </w:t>
      </w:r>
      <w:r w:rsidRPr="00100794">
        <w:rPr>
          <w:color w:val="000000" w:themeColor="text1"/>
          <w:sz w:val="20"/>
          <w:szCs w:val="20"/>
        </w:rPr>
        <w:t xml:space="preserve">(Tannock, 2001). The primary source of bacteria that colonize a baby's intestine is the vaginal and intestinal flora of the mother. Initially, the colon of a newborn is mainly populated by </w:t>
      </w:r>
      <w:r w:rsidRPr="00100794">
        <w:rPr>
          <w:i/>
          <w:iCs/>
          <w:color w:val="000000" w:themeColor="text1"/>
          <w:sz w:val="20"/>
          <w:szCs w:val="20"/>
        </w:rPr>
        <w:t>Enterobacteriaceae</w:t>
      </w:r>
      <w:r w:rsidRPr="00100794">
        <w:rPr>
          <w:color w:val="000000" w:themeColor="text1"/>
          <w:sz w:val="20"/>
          <w:szCs w:val="20"/>
        </w:rPr>
        <w:t xml:space="preserve"> and enteric </w:t>
      </w:r>
      <w:r w:rsidRPr="00100794">
        <w:rPr>
          <w:i/>
          <w:iCs/>
          <w:color w:val="000000" w:themeColor="text1"/>
          <w:sz w:val="20"/>
          <w:szCs w:val="20"/>
        </w:rPr>
        <w:t>streptococci</w:t>
      </w:r>
      <w:r w:rsidRPr="00100794">
        <w:rPr>
          <w:color w:val="000000" w:themeColor="text1"/>
          <w:sz w:val="20"/>
          <w:szCs w:val="20"/>
        </w:rPr>
        <w:t xml:space="preserve">. Subsequently, microorganisms such as </w:t>
      </w:r>
      <w:r w:rsidRPr="00100794">
        <w:rPr>
          <w:i/>
          <w:iCs/>
          <w:color w:val="000000" w:themeColor="text1"/>
          <w:sz w:val="20"/>
          <w:szCs w:val="20"/>
        </w:rPr>
        <w:t>Lactobacillus, Clostridium, Bacteroides</w:t>
      </w:r>
      <w:r w:rsidRPr="00100794">
        <w:rPr>
          <w:color w:val="000000" w:themeColor="text1"/>
          <w:sz w:val="20"/>
          <w:szCs w:val="20"/>
        </w:rPr>
        <w:t xml:space="preserve">, and </w:t>
      </w:r>
      <w:r w:rsidRPr="00100794">
        <w:rPr>
          <w:i/>
          <w:iCs/>
          <w:color w:val="000000" w:themeColor="text1"/>
          <w:sz w:val="20"/>
          <w:szCs w:val="20"/>
        </w:rPr>
        <w:t>Bifidobacterium</w:t>
      </w:r>
      <w:r w:rsidRPr="00100794">
        <w:rPr>
          <w:color w:val="000000" w:themeColor="text1"/>
          <w:sz w:val="20"/>
          <w:szCs w:val="20"/>
        </w:rPr>
        <w:t xml:space="preserve"> genera appear within the first week of life. </w:t>
      </w:r>
      <w:proofErr w:type="spellStart"/>
      <w:r w:rsidR="00A64A86" w:rsidRPr="00126125">
        <w:rPr>
          <w:i/>
          <w:iCs/>
          <w:color w:val="000000" w:themeColor="text1"/>
          <w:sz w:val="20"/>
          <w:szCs w:val="20"/>
        </w:rPr>
        <w:t>Bifidobacteria</w:t>
      </w:r>
      <w:proofErr w:type="spellEnd"/>
      <w:proofErr w:type="gramStart"/>
      <w:r w:rsidR="00A64A86" w:rsidRPr="00A64A86">
        <w:rPr>
          <w:color w:val="000000" w:themeColor="text1"/>
          <w:sz w:val="20"/>
          <w:szCs w:val="20"/>
        </w:rPr>
        <w:t>, in particular, play</w:t>
      </w:r>
      <w:proofErr w:type="gramEnd"/>
      <w:r w:rsidR="00A64A86" w:rsidRPr="00A64A86">
        <w:rPr>
          <w:color w:val="000000" w:themeColor="text1"/>
          <w:sz w:val="20"/>
          <w:szCs w:val="20"/>
        </w:rPr>
        <w:t xml:space="preserve"> a pivotal role in </w:t>
      </w:r>
      <w:r w:rsidR="00A64A86">
        <w:rPr>
          <w:color w:val="000000" w:themeColor="text1"/>
          <w:sz w:val="20"/>
          <w:szCs w:val="20"/>
        </w:rPr>
        <w:t>coloniz</w:t>
      </w:r>
      <w:r w:rsidR="00A64A86" w:rsidRPr="00A64A86">
        <w:rPr>
          <w:color w:val="000000" w:themeColor="text1"/>
          <w:sz w:val="20"/>
          <w:szCs w:val="20"/>
        </w:rPr>
        <w:t>ing the infant's gut and typically establish themselves within the first 4-7 days after birth, reaching concentrations of 10 billion colony-forming units per gram of feces in breastfed infants</w:t>
      </w:r>
      <w:r w:rsidR="00A64A86">
        <w:rPr>
          <w:color w:val="000000" w:themeColor="text1"/>
          <w:sz w:val="20"/>
          <w:szCs w:val="20"/>
        </w:rPr>
        <w:t xml:space="preserve">. </w:t>
      </w:r>
      <w:r w:rsidRPr="00100794">
        <w:rPr>
          <w:color w:val="000000" w:themeColor="text1"/>
          <w:sz w:val="20"/>
          <w:szCs w:val="20"/>
        </w:rPr>
        <w:t xml:space="preserve">This colonization becomes stable after the first 6-10 months of infancy. These organisms profoundly influence the normal growth of gut microbiota and gut maturation (Saarela </w:t>
      </w:r>
      <w:r w:rsidRPr="00100794">
        <w:rPr>
          <w:i/>
          <w:iCs/>
          <w:color w:val="000000" w:themeColor="text1"/>
          <w:sz w:val="20"/>
          <w:szCs w:val="20"/>
        </w:rPr>
        <w:t>et al.,</w:t>
      </w:r>
      <w:r w:rsidRPr="00100794">
        <w:rPr>
          <w:color w:val="000000" w:themeColor="text1"/>
          <w:sz w:val="20"/>
          <w:szCs w:val="20"/>
        </w:rPr>
        <w:t xml:space="preserve"> 2000). The indigenous gut flora provides protection to the host against exogenous pathogenic infections and opportunistic bacteria in the gut (Guarner, 2006; Mitsuoka, 1992). Certain inherent colonic bacteria, such as </w:t>
      </w:r>
      <w:r w:rsidRPr="00100794">
        <w:rPr>
          <w:i/>
          <w:iCs/>
          <w:color w:val="000000" w:themeColor="text1"/>
          <w:sz w:val="20"/>
          <w:szCs w:val="20"/>
        </w:rPr>
        <w:t>lactobacilli</w:t>
      </w:r>
      <w:r w:rsidRPr="00100794">
        <w:rPr>
          <w:color w:val="000000" w:themeColor="text1"/>
          <w:sz w:val="20"/>
          <w:szCs w:val="20"/>
        </w:rPr>
        <w:t xml:space="preserve"> and </w:t>
      </w:r>
      <w:r w:rsidR="00DE6642" w:rsidRPr="00100794">
        <w:rPr>
          <w:i/>
          <w:iCs/>
          <w:color w:val="000000" w:themeColor="text1"/>
          <w:sz w:val="20"/>
          <w:szCs w:val="20"/>
        </w:rPr>
        <w:t>Bifidobacteria</w:t>
      </w:r>
      <w:r w:rsidRPr="00100794">
        <w:rPr>
          <w:color w:val="000000" w:themeColor="text1"/>
          <w:sz w:val="20"/>
          <w:szCs w:val="20"/>
        </w:rPr>
        <w:t xml:space="preserve">, are considered beneficial to health. </w:t>
      </w:r>
      <w:r w:rsidR="00532EBC" w:rsidRPr="00532EBC">
        <w:rPr>
          <w:color w:val="000000" w:themeColor="text1"/>
          <w:sz w:val="20"/>
          <w:szCs w:val="20"/>
        </w:rPr>
        <w:t>The microorganisms in the colon contribute to promoting health through various mechanisms, such as colonizing the gut, aiding in digestion, generating short-chain fatty acids (SCFA), countering the effects of toxins, and bolstering the immune system</w:t>
      </w:r>
      <w:r w:rsidR="00532EBC">
        <w:rPr>
          <w:color w:val="000000" w:themeColor="text1"/>
          <w:sz w:val="20"/>
          <w:szCs w:val="20"/>
        </w:rPr>
        <w:t xml:space="preserve"> </w:t>
      </w:r>
      <w:r w:rsidRPr="00100794">
        <w:rPr>
          <w:color w:val="000000" w:themeColor="text1"/>
          <w:sz w:val="20"/>
          <w:szCs w:val="20"/>
        </w:rPr>
        <w:t>(</w:t>
      </w:r>
      <w:proofErr w:type="spellStart"/>
      <w:r w:rsidRPr="00100794">
        <w:rPr>
          <w:color w:val="000000" w:themeColor="text1"/>
          <w:sz w:val="20"/>
          <w:szCs w:val="20"/>
        </w:rPr>
        <w:t>Guarner</w:t>
      </w:r>
      <w:proofErr w:type="spellEnd"/>
      <w:r w:rsidRPr="00100794">
        <w:rPr>
          <w:color w:val="000000" w:themeColor="text1"/>
          <w:sz w:val="20"/>
          <w:szCs w:val="20"/>
        </w:rPr>
        <w:t xml:space="preserve"> and </w:t>
      </w:r>
      <w:proofErr w:type="spellStart"/>
      <w:r w:rsidRPr="00100794">
        <w:rPr>
          <w:color w:val="000000" w:themeColor="text1"/>
          <w:sz w:val="20"/>
          <w:szCs w:val="20"/>
        </w:rPr>
        <w:t>Malagelada</w:t>
      </w:r>
      <w:proofErr w:type="spellEnd"/>
      <w:r w:rsidRPr="00100794">
        <w:rPr>
          <w:color w:val="000000" w:themeColor="text1"/>
          <w:sz w:val="20"/>
          <w:szCs w:val="20"/>
        </w:rPr>
        <w:t>, 2003).</w:t>
      </w:r>
    </w:p>
    <w:p w14:paraId="03FB0A8C" w14:textId="77777777" w:rsidR="00CA7C48" w:rsidRPr="00100794" w:rsidRDefault="00CA7C48" w:rsidP="00863B36">
      <w:pPr>
        <w:pStyle w:val="Caption"/>
      </w:pPr>
    </w:p>
    <w:p w14:paraId="50D049BE" w14:textId="77777777" w:rsidR="00CA7C48" w:rsidRPr="00100794" w:rsidRDefault="00000000" w:rsidP="00863B36">
      <w:pPr>
        <w:pStyle w:val="Caption"/>
      </w:pPr>
      <w:bookmarkStart w:id="29" w:name="_Ref141789703"/>
      <w:r w:rsidRPr="00100794">
        <w:t xml:space="preserve">Table 1. </w:t>
      </w:r>
      <w:r w:rsidRPr="00100794">
        <w:fldChar w:fldCharType="begin"/>
      </w:r>
      <w:r w:rsidRPr="00100794">
        <w:instrText xml:space="preserve"> SEQ Table_1. \* ARABIC </w:instrText>
      </w:r>
      <w:r w:rsidRPr="00100794">
        <w:fldChar w:fldCharType="separate"/>
      </w:r>
      <w:r w:rsidRPr="00100794">
        <w:rPr>
          <w:noProof/>
        </w:rPr>
        <w:t>1</w:t>
      </w:r>
      <w:r w:rsidRPr="00100794">
        <w:fldChar w:fldCharType="end"/>
      </w:r>
      <w:bookmarkEnd w:id="29"/>
      <w:r w:rsidRPr="00100794">
        <w:t xml:space="preserve"> Application of probiotics in colorectal cancer</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8" w:type="dxa"/>
          <w:left w:w="108" w:type="dxa"/>
          <w:right w:w="41" w:type="dxa"/>
        </w:tblCellMar>
        <w:tblLook w:val="04A0" w:firstRow="1" w:lastRow="0" w:firstColumn="1" w:lastColumn="0" w:noHBand="0" w:noVBand="1"/>
      </w:tblPr>
      <w:tblGrid>
        <w:gridCol w:w="2290"/>
        <w:gridCol w:w="4294"/>
        <w:gridCol w:w="2433"/>
      </w:tblGrid>
      <w:tr w:rsidR="00F61149" w14:paraId="36827CDB" w14:textId="77777777" w:rsidTr="0088118B">
        <w:trPr>
          <w:trHeight w:val="20"/>
        </w:trPr>
        <w:tc>
          <w:tcPr>
            <w:tcW w:w="1270" w:type="pct"/>
            <w:hideMark/>
          </w:tcPr>
          <w:p w14:paraId="61A9D04B" w14:textId="77777777" w:rsidR="00E01CD8" w:rsidRPr="00100794" w:rsidRDefault="00000000" w:rsidP="00CA7C48">
            <w:pPr>
              <w:spacing w:after="0"/>
              <w:ind w:firstLine="0"/>
              <w:jc w:val="left"/>
              <w:rPr>
                <w:color w:val="000000" w:themeColor="text1"/>
                <w:sz w:val="20"/>
                <w:szCs w:val="18"/>
              </w:rPr>
            </w:pPr>
            <w:r w:rsidRPr="00100794">
              <w:rPr>
                <w:b/>
                <w:color w:val="000000" w:themeColor="text1"/>
                <w:sz w:val="20"/>
                <w:szCs w:val="18"/>
              </w:rPr>
              <w:t>Diseases</w:t>
            </w:r>
          </w:p>
          <w:p w14:paraId="4AA8B805" w14:textId="77777777" w:rsidR="00E01CD8" w:rsidRPr="00100794" w:rsidRDefault="00E01CD8" w:rsidP="00CA7C48">
            <w:pPr>
              <w:spacing w:after="0"/>
              <w:ind w:firstLine="0"/>
              <w:jc w:val="left"/>
              <w:rPr>
                <w:color w:val="000000" w:themeColor="text1"/>
                <w:sz w:val="20"/>
                <w:szCs w:val="18"/>
              </w:rPr>
            </w:pPr>
          </w:p>
        </w:tc>
        <w:tc>
          <w:tcPr>
            <w:tcW w:w="2381" w:type="pct"/>
            <w:hideMark/>
          </w:tcPr>
          <w:p w14:paraId="45A86B70" w14:textId="77777777" w:rsidR="00E01CD8" w:rsidRPr="00100794" w:rsidRDefault="00000000" w:rsidP="00CA7C48">
            <w:pPr>
              <w:spacing w:after="0"/>
              <w:ind w:firstLine="0"/>
              <w:jc w:val="left"/>
              <w:rPr>
                <w:color w:val="000000" w:themeColor="text1"/>
                <w:sz w:val="20"/>
                <w:szCs w:val="18"/>
              </w:rPr>
            </w:pPr>
            <w:r w:rsidRPr="00100794">
              <w:rPr>
                <w:b/>
                <w:color w:val="000000" w:themeColor="text1"/>
                <w:sz w:val="20"/>
                <w:szCs w:val="18"/>
              </w:rPr>
              <w:t>Function</w:t>
            </w:r>
          </w:p>
        </w:tc>
        <w:tc>
          <w:tcPr>
            <w:tcW w:w="1349" w:type="pct"/>
            <w:hideMark/>
          </w:tcPr>
          <w:p w14:paraId="692E766F" w14:textId="77777777" w:rsidR="00E01CD8" w:rsidRPr="00100794" w:rsidRDefault="00000000" w:rsidP="00CA7C48">
            <w:pPr>
              <w:spacing w:after="0"/>
              <w:ind w:firstLine="0"/>
              <w:jc w:val="left"/>
              <w:rPr>
                <w:color w:val="000000" w:themeColor="text1"/>
                <w:sz w:val="20"/>
                <w:szCs w:val="18"/>
              </w:rPr>
            </w:pPr>
            <w:r w:rsidRPr="00100794">
              <w:rPr>
                <w:b/>
                <w:color w:val="000000" w:themeColor="text1"/>
                <w:sz w:val="20"/>
                <w:szCs w:val="18"/>
              </w:rPr>
              <w:t>References</w:t>
            </w:r>
          </w:p>
        </w:tc>
      </w:tr>
      <w:tr w:rsidR="00F61149" w14:paraId="3754E561" w14:textId="77777777" w:rsidTr="0088118B">
        <w:trPr>
          <w:trHeight w:val="20"/>
        </w:trPr>
        <w:tc>
          <w:tcPr>
            <w:tcW w:w="1270" w:type="pct"/>
            <w:hideMark/>
          </w:tcPr>
          <w:p w14:paraId="46FCB30D" w14:textId="77777777" w:rsidR="00E01CD8" w:rsidRPr="00100794" w:rsidRDefault="00000000" w:rsidP="00CA7C48">
            <w:pPr>
              <w:spacing w:after="0"/>
              <w:ind w:firstLine="0"/>
              <w:jc w:val="left"/>
              <w:rPr>
                <w:color w:val="000000" w:themeColor="text1"/>
                <w:sz w:val="20"/>
                <w:szCs w:val="18"/>
              </w:rPr>
            </w:pPr>
            <w:r w:rsidRPr="00100794">
              <w:rPr>
                <w:color w:val="000000" w:themeColor="text1"/>
                <w:sz w:val="20"/>
                <w:szCs w:val="18"/>
              </w:rPr>
              <w:t>Colon Cancer</w:t>
            </w:r>
          </w:p>
          <w:p w14:paraId="676DDD3A" w14:textId="77777777" w:rsidR="00E01CD8" w:rsidRPr="00100794" w:rsidRDefault="00E01CD8" w:rsidP="00CA7C48">
            <w:pPr>
              <w:spacing w:after="0"/>
              <w:ind w:firstLine="0"/>
              <w:jc w:val="left"/>
              <w:rPr>
                <w:color w:val="000000" w:themeColor="text1"/>
                <w:sz w:val="20"/>
                <w:szCs w:val="18"/>
              </w:rPr>
            </w:pPr>
          </w:p>
        </w:tc>
        <w:tc>
          <w:tcPr>
            <w:tcW w:w="2381" w:type="pct"/>
            <w:hideMark/>
          </w:tcPr>
          <w:p w14:paraId="7CCCDC4C" w14:textId="77777777" w:rsidR="00E01CD8" w:rsidRPr="00100794" w:rsidRDefault="00000000" w:rsidP="00CA7C48">
            <w:pPr>
              <w:spacing w:after="0"/>
              <w:ind w:firstLine="0"/>
              <w:jc w:val="left"/>
              <w:rPr>
                <w:color w:val="000000" w:themeColor="text1"/>
                <w:sz w:val="20"/>
                <w:szCs w:val="18"/>
              </w:rPr>
            </w:pPr>
            <w:r w:rsidRPr="00100794">
              <w:rPr>
                <w:color w:val="000000" w:themeColor="text1"/>
                <w:sz w:val="20"/>
                <w:szCs w:val="18"/>
              </w:rPr>
              <w:t>Antimutagenic effects</w:t>
            </w:r>
          </w:p>
          <w:p w14:paraId="5A2C54D5" w14:textId="77777777" w:rsidR="00E01CD8" w:rsidRPr="00100794" w:rsidRDefault="00E01CD8" w:rsidP="00CA7C48">
            <w:pPr>
              <w:spacing w:after="0"/>
              <w:ind w:firstLine="0"/>
              <w:jc w:val="left"/>
              <w:rPr>
                <w:color w:val="000000" w:themeColor="text1"/>
                <w:sz w:val="20"/>
                <w:szCs w:val="18"/>
              </w:rPr>
            </w:pPr>
          </w:p>
        </w:tc>
        <w:tc>
          <w:tcPr>
            <w:tcW w:w="1349" w:type="pct"/>
            <w:hideMark/>
          </w:tcPr>
          <w:p w14:paraId="795B1C2D" w14:textId="77777777" w:rsidR="00E01CD8" w:rsidRPr="00100794" w:rsidRDefault="00000000" w:rsidP="00CA7C48">
            <w:pPr>
              <w:spacing w:after="0"/>
              <w:ind w:firstLine="0"/>
              <w:jc w:val="left"/>
              <w:rPr>
                <w:color w:val="000000" w:themeColor="text1"/>
                <w:sz w:val="20"/>
                <w:szCs w:val="18"/>
              </w:rPr>
            </w:pPr>
            <w:r w:rsidRPr="00100794">
              <w:rPr>
                <w:color w:val="000000" w:themeColor="text1"/>
                <w:sz w:val="20"/>
                <w:szCs w:val="18"/>
              </w:rPr>
              <w:t xml:space="preserve">Marotta </w:t>
            </w:r>
            <w:r w:rsidRPr="00100794">
              <w:rPr>
                <w:i/>
                <w:iCs/>
                <w:color w:val="000000" w:themeColor="text1"/>
                <w:sz w:val="20"/>
                <w:szCs w:val="18"/>
              </w:rPr>
              <w:t>et al.,</w:t>
            </w:r>
            <w:r w:rsidRPr="00100794">
              <w:rPr>
                <w:i/>
                <w:color w:val="000000" w:themeColor="text1"/>
                <w:sz w:val="20"/>
                <w:szCs w:val="18"/>
              </w:rPr>
              <w:t xml:space="preserve"> </w:t>
            </w:r>
            <w:r w:rsidRPr="00100794">
              <w:rPr>
                <w:color w:val="000000" w:themeColor="text1"/>
                <w:sz w:val="20"/>
                <w:szCs w:val="18"/>
              </w:rPr>
              <w:t>2003</w:t>
            </w:r>
          </w:p>
        </w:tc>
      </w:tr>
      <w:tr w:rsidR="00F61149" w14:paraId="04651AD6" w14:textId="77777777" w:rsidTr="0088118B">
        <w:trPr>
          <w:trHeight w:val="20"/>
        </w:trPr>
        <w:tc>
          <w:tcPr>
            <w:tcW w:w="1270" w:type="pct"/>
            <w:hideMark/>
          </w:tcPr>
          <w:p w14:paraId="4EF09DF8" w14:textId="77777777" w:rsidR="00E01CD8" w:rsidRPr="00100794" w:rsidRDefault="00000000" w:rsidP="00CA7C48">
            <w:pPr>
              <w:spacing w:after="0"/>
              <w:ind w:firstLine="0"/>
              <w:jc w:val="left"/>
              <w:rPr>
                <w:color w:val="000000" w:themeColor="text1"/>
                <w:sz w:val="20"/>
                <w:szCs w:val="18"/>
              </w:rPr>
            </w:pPr>
            <w:r w:rsidRPr="00100794">
              <w:rPr>
                <w:color w:val="000000" w:themeColor="text1"/>
                <w:sz w:val="20"/>
                <w:szCs w:val="18"/>
              </w:rPr>
              <w:t>Colon Cancer</w:t>
            </w:r>
          </w:p>
        </w:tc>
        <w:tc>
          <w:tcPr>
            <w:tcW w:w="2381" w:type="pct"/>
            <w:hideMark/>
          </w:tcPr>
          <w:p w14:paraId="7FE903DD" w14:textId="0FC6A452" w:rsidR="00E01CD8" w:rsidRPr="00100794" w:rsidRDefault="001513AD" w:rsidP="00CA7C48">
            <w:pPr>
              <w:spacing w:after="0"/>
              <w:ind w:firstLine="0"/>
              <w:jc w:val="left"/>
              <w:rPr>
                <w:color w:val="000000" w:themeColor="text1"/>
                <w:sz w:val="20"/>
                <w:szCs w:val="18"/>
              </w:rPr>
            </w:pPr>
            <w:r w:rsidRPr="001513AD">
              <w:rPr>
                <w:color w:val="000000" w:themeColor="text1"/>
                <w:sz w:val="20"/>
                <w:szCs w:val="18"/>
              </w:rPr>
              <w:t>Diminishing the likelihood of colon cancer by inhibiting the DNA damage induced by carcinogens.</w:t>
            </w:r>
          </w:p>
        </w:tc>
        <w:tc>
          <w:tcPr>
            <w:tcW w:w="1349" w:type="pct"/>
            <w:hideMark/>
          </w:tcPr>
          <w:p w14:paraId="29462E25" w14:textId="77777777" w:rsidR="00E01CD8" w:rsidRPr="00100794" w:rsidRDefault="00000000" w:rsidP="00CA7C48">
            <w:pPr>
              <w:spacing w:after="0"/>
              <w:ind w:firstLine="0"/>
              <w:jc w:val="left"/>
              <w:rPr>
                <w:color w:val="000000" w:themeColor="text1"/>
                <w:sz w:val="20"/>
                <w:szCs w:val="18"/>
              </w:rPr>
            </w:pPr>
            <w:r w:rsidRPr="00100794">
              <w:rPr>
                <w:color w:val="000000" w:themeColor="text1"/>
                <w:sz w:val="20"/>
                <w:szCs w:val="18"/>
              </w:rPr>
              <w:t xml:space="preserve">Pool-Zobel </w:t>
            </w:r>
            <w:r w:rsidRPr="00100794">
              <w:rPr>
                <w:i/>
                <w:iCs/>
                <w:color w:val="000000" w:themeColor="text1"/>
                <w:sz w:val="20"/>
                <w:szCs w:val="18"/>
              </w:rPr>
              <w:t>et al.,</w:t>
            </w:r>
            <w:r w:rsidRPr="00100794">
              <w:rPr>
                <w:color w:val="000000" w:themeColor="text1"/>
                <w:sz w:val="20"/>
                <w:szCs w:val="18"/>
              </w:rPr>
              <w:t xml:space="preserve"> 1996</w:t>
            </w:r>
          </w:p>
        </w:tc>
      </w:tr>
      <w:tr w:rsidR="00F61149" w14:paraId="69C8B159" w14:textId="77777777" w:rsidTr="0088118B">
        <w:trPr>
          <w:trHeight w:val="20"/>
        </w:trPr>
        <w:tc>
          <w:tcPr>
            <w:tcW w:w="1270" w:type="pct"/>
            <w:hideMark/>
          </w:tcPr>
          <w:p w14:paraId="35C32B9B" w14:textId="77777777" w:rsidR="00E01CD8" w:rsidRPr="00100794" w:rsidRDefault="00000000" w:rsidP="00CA7C48">
            <w:pPr>
              <w:spacing w:after="0"/>
              <w:ind w:firstLine="0"/>
              <w:jc w:val="left"/>
              <w:rPr>
                <w:color w:val="000000" w:themeColor="text1"/>
                <w:sz w:val="20"/>
                <w:szCs w:val="18"/>
              </w:rPr>
            </w:pPr>
            <w:r w:rsidRPr="00100794">
              <w:rPr>
                <w:color w:val="000000" w:themeColor="text1"/>
                <w:sz w:val="20"/>
                <w:szCs w:val="18"/>
              </w:rPr>
              <w:t>Antimutagenic</w:t>
            </w:r>
          </w:p>
        </w:tc>
        <w:tc>
          <w:tcPr>
            <w:tcW w:w="2381" w:type="pct"/>
            <w:hideMark/>
          </w:tcPr>
          <w:p w14:paraId="320522CA" w14:textId="059AB8FE" w:rsidR="00E01CD8" w:rsidRPr="00100794" w:rsidRDefault="00E66B96" w:rsidP="00CA7C48">
            <w:pPr>
              <w:spacing w:after="0"/>
              <w:ind w:firstLine="0"/>
              <w:jc w:val="left"/>
              <w:rPr>
                <w:color w:val="000000" w:themeColor="text1"/>
                <w:sz w:val="20"/>
                <w:szCs w:val="18"/>
              </w:rPr>
            </w:pPr>
            <w:r w:rsidRPr="00E66B96">
              <w:rPr>
                <w:color w:val="000000" w:themeColor="text1"/>
                <w:sz w:val="20"/>
                <w:szCs w:val="18"/>
              </w:rPr>
              <w:t xml:space="preserve">Stimulation of immune cells following the oral administration of </w:t>
            </w:r>
            <w:r w:rsidRPr="001513AD">
              <w:rPr>
                <w:i/>
                <w:iCs/>
                <w:color w:val="000000" w:themeColor="text1"/>
                <w:sz w:val="20"/>
                <w:szCs w:val="18"/>
              </w:rPr>
              <w:t>L. casei</w:t>
            </w:r>
            <w:r w:rsidRPr="00E66B96">
              <w:rPr>
                <w:color w:val="000000" w:themeColor="text1"/>
                <w:sz w:val="20"/>
                <w:szCs w:val="18"/>
              </w:rPr>
              <w:t xml:space="preserve"> to mice.</w:t>
            </w:r>
          </w:p>
        </w:tc>
        <w:tc>
          <w:tcPr>
            <w:tcW w:w="1349" w:type="pct"/>
            <w:hideMark/>
          </w:tcPr>
          <w:p w14:paraId="0A148045" w14:textId="77777777" w:rsidR="00E01CD8" w:rsidRPr="00100794" w:rsidRDefault="00000000" w:rsidP="00CA7C48">
            <w:pPr>
              <w:tabs>
                <w:tab w:val="right" w:pos="2261"/>
              </w:tabs>
              <w:spacing w:after="0"/>
              <w:ind w:firstLine="0"/>
              <w:jc w:val="left"/>
              <w:rPr>
                <w:color w:val="000000" w:themeColor="text1"/>
                <w:sz w:val="20"/>
                <w:szCs w:val="18"/>
              </w:rPr>
            </w:pPr>
            <w:r w:rsidRPr="00100794">
              <w:rPr>
                <w:color w:val="000000" w:themeColor="text1"/>
                <w:sz w:val="20"/>
                <w:szCs w:val="18"/>
              </w:rPr>
              <w:t xml:space="preserve">Galdeano </w:t>
            </w:r>
            <w:r w:rsidRPr="00100794">
              <w:rPr>
                <w:color w:val="000000" w:themeColor="text1"/>
                <w:sz w:val="20"/>
                <w:szCs w:val="18"/>
              </w:rPr>
              <w:tab/>
              <w:t>and</w:t>
            </w:r>
          </w:p>
          <w:p w14:paraId="4F898539" w14:textId="77777777" w:rsidR="00E01CD8" w:rsidRPr="00100794" w:rsidRDefault="00000000" w:rsidP="00CA7C48">
            <w:pPr>
              <w:spacing w:after="0"/>
              <w:ind w:firstLine="0"/>
              <w:jc w:val="left"/>
              <w:rPr>
                <w:color w:val="000000" w:themeColor="text1"/>
                <w:sz w:val="20"/>
                <w:szCs w:val="18"/>
              </w:rPr>
            </w:pPr>
            <w:r w:rsidRPr="00100794">
              <w:rPr>
                <w:color w:val="000000" w:themeColor="text1"/>
                <w:sz w:val="20"/>
                <w:szCs w:val="18"/>
              </w:rPr>
              <w:t>Perdigon (2006)</w:t>
            </w:r>
          </w:p>
        </w:tc>
      </w:tr>
      <w:tr w:rsidR="00F61149" w14:paraId="4C4834DA" w14:textId="77777777" w:rsidTr="0088118B">
        <w:trPr>
          <w:trHeight w:val="20"/>
        </w:trPr>
        <w:tc>
          <w:tcPr>
            <w:tcW w:w="1270" w:type="pct"/>
            <w:hideMark/>
          </w:tcPr>
          <w:p w14:paraId="534894C6" w14:textId="77777777" w:rsidR="00E01CD8" w:rsidRPr="00100794" w:rsidRDefault="00000000" w:rsidP="00CA7C48">
            <w:pPr>
              <w:spacing w:after="0"/>
              <w:ind w:firstLine="0"/>
              <w:jc w:val="left"/>
              <w:rPr>
                <w:color w:val="000000" w:themeColor="text1"/>
                <w:sz w:val="20"/>
                <w:szCs w:val="18"/>
              </w:rPr>
            </w:pPr>
            <w:r w:rsidRPr="00100794">
              <w:rPr>
                <w:color w:val="000000" w:themeColor="text1"/>
                <w:sz w:val="20"/>
                <w:szCs w:val="18"/>
              </w:rPr>
              <w:t>Colon carcinogenesis</w:t>
            </w:r>
          </w:p>
          <w:p w14:paraId="228049EC" w14:textId="77777777" w:rsidR="00E01CD8" w:rsidRPr="00100794" w:rsidRDefault="00E01CD8" w:rsidP="00CA7C48">
            <w:pPr>
              <w:spacing w:after="0"/>
              <w:ind w:firstLine="0"/>
              <w:jc w:val="left"/>
              <w:rPr>
                <w:color w:val="000000" w:themeColor="text1"/>
                <w:sz w:val="20"/>
                <w:szCs w:val="18"/>
              </w:rPr>
            </w:pPr>
          </w:p>
        </w:tc>
        <w:tc>
          <w:tcPr>
            <w:tcW w:w="2381" w:type="pct"/>
            <w:hideMark/>
          </w:tcPr>
          <w:p w14:paraId="2EA09BFB" w14:textId="5C49ABF4" w:rsidR="00E01CD8" w:rsidRPr="00100794" w:rsidRDefault="003007EC" w:rsidP="00CA7C48">
            <w:pPr>
              <w:spacing w:after="0"/>
              <w:ind w:firstLine="0"/>
              <w:jc w:val="left"/>
              <w:rPr>
                <w:color w:val="000000" w:themeColor="text1"/>
                <w:sz w:val="20"/>
                <w:szCs w:val="18"/>
              </w:rPr>
            </w:pPr>
            <w:r w:rsidRPr="003007EC">
              <w:rPr>
                <w:color w:val="000000" w:themeColor="text1"/>
                <w:sz w:val="20"/>
                <w:szCs w:val="18"/>
              </w:rPr>
              <w:t xml:space="preserve">The probiotics Lactobacillus </w:t>
            </w:r>
            <w:proofErr w:type="spellStart"/>
            <w:r w:rsidRPr="003007EC">
              <w:rPr>
                <w:color w:val="000000" w:themeColor="text1"/>
                <w:sz w:val="20"/>
                <w:szCs w:val="18"/>
              </w:rPr>
              <w:t>rhamnosus</w:t>
            </w:r>
            <w:proofErr w:type="spellEnd"/>
            <w:r w:rsidRPr="003007EC">
              <w:rPr>
                <w:color w:val="000000" w:themeColor="text1"/>
                <w:sz w:val="20"/>
                <w:szCs w:val="18"/>
              </w:rPr>
              <w:t xml:space="preserve"> GG and Lactobacillus acidophilus effectively restrain pro-carcinogenic fecal enzymes induced by DMH and the development of preneoplastic aberrant crypt foci during the early stages of colon carcinogenesis in Sprague-Dawley rats.</w:t>
            </w:r>
          </w:p>
        </w:tc>
        <w:tc>
          <w:tcPr>
            <w:tcW w:w="1349" w:type="pct"/>
            <w:hideMark/>
          </w:tcPr>
          <w:p w14:paraId="628CBD54" w14:textId="77777777" w:rsidR="00E01CD8" w:rsidRPr="00100794" w:rsidRDefault="00000000" w:rsidP="00CA7C48">
            <w:pPr>
              <w:spacing w:after="0"/>
              <w:ind w:firstLine="0"/>
              <w:jc w:val="left"/>
              <w:rPr>
                <w:color w:val="000000" w:themeColor="text1"/>
                <w:sz w:val="20"/>
                <w:szCs w:val="18"/>
              </w:rPr>
            </w:pPr>
            <w:r w:rsidRPr="00100794">
              <w:rPr>
                <w:color w:val="000000" w:themeColor="text1"/>
                <w:sz w:val="20"/>
                <w:szCs w:val="18"/>
              </w:rPr>
              <w:t>Verma and Shukla, 2013</w:t>
            </w:r>
          </w:p>
        </w:tc>
      </w:tr>
      <w:tr w:rsidR="00F61149" w14:paraId="567DEAD1" w14:textId="77777777" w:rsidTr="0088118B">
        <w:trPr>
          <w:trHeight w:val="20"/>
        </w:trPr>
        <w:tc>
          <w:tcPr>
            <w:tcW w:w="1270" w:type="pct"/>
            <w:hideMark/>
          </w:tcPr>
          <w:p w14:paraId="09207A46" w14:textId="77777777" w:rsidR="00E01CD8" w:rsidRPr="00100794" w:rsidRDefault="00000000" w:rsidP="00CA7C48">
            <w:pPr>
              <w:spacing w:after="0"/>
              <w:ind w:firstLine="0"/>
              <w:jc w:val="left"/>
              <w:rPr>
                <w:color w:val="000000" w:themeColor="text1"/>
                <w:sz w:val="20"/>
                <w:szCs w:val="18"/>
              </w:rPr>
            </w:pPr>
            <w:r w:rsidRPr="00100794">
              <w:rPr>
                <w:color w:val="000000" w:themeColor="text1"/>
                <w:sz w:val="20"/>
                <w:szCs w:val="18"/>
              </w:rPr>
              <w:t>Colon Cancer</w:t>
            </w:r>
          </w:p>
          <w:p w14:paraId="3DFF7232" w14:textId="77777777" w:rsidR="00E01CD8" w:rsidRPr="00100794" w:rsidRDefault="00E01CD8" w:rsidP="00CA7C48">
            <w:pPr>
              <w:spacing w:after="0"/>
              <w:ind w:firstLine="0"/>
              <w:jc w:val="left"/>
              <w:rPr>
                <w:color w:val="000000" w:themeColor="text1"/>
                <w:sz w:val="20"/>
                <w:szCs w:val="18"/>
              </w:rPr>
            </w:pPr>
          </w:p>
        </w:tc>
        <w:tc>
          <w:tcPr>
            <w:tcW w:w="2381" w:type="pct"/>
            <w:hideMark/>
          </w:tcPr>
          <w:p w14:paraId="4AD95F69" w14:textId="19C71B89" w:rsidR="00E01CD8" w:rsidRPr="00100794" w:rsidRDefault="007D63AE" w:rsidP="00CA7C48">
            <w:pPr>
              <w:spacing w:after="0"/>
              <w:ind w:firstLine="0"/>
              <w:jc w:val="left"/>
              <w:rPr>
                <w:color w:val="000000" w:themeColor="text1"/>
                <w:sz w:val="20"/>
                <w:szCs w:val="18"/>
              </w:rPr>
            </w:pPr>
            <w:r w:rsidRPr="007D63AE">
              <w:rPr>
                <w:color w:val="000000" w:themeColor="text1"/>
                <w:sz w:val="20"/>
                <w:szCs w:val="18"/>
              </w:rPr>
              <w:t>Consumption of probiotic yogurt has been shown to lower the risk of developing large adenomas in human intervention studies within the colon.</w:t>
            </w:r>
          </w:p>
        </w:tc>
        <w:tc>
          <w:tcPr>
            <w:tcW w:w="1349" w:type="pct"/>
            <w:hideMark/>
          </w:tcPr>
          <w:p w14:paraId="102E2CEB" w14:textId="77777777" w:rsidR="00E01CD8" w:rsidRPr="00100794" w:rsidRDefault="00000000" w:rsidP="00CA7C48">
            <w:pPr>
              <w:keepNext/>
              <w:spacing w:after="0"/>
              <w:ind w:firstLine="0"/>
              <w:jc w:val="left"/>
              <w:rPr>
                <w:color w:val="000000" w:themeColor="text1"/>
                <w:sz w:val="20"/>
                <w:szCs w:val="18"/>
              </w:rPr>
            </w:pPr>
            <w:r w:rsidRPr="00100794">
              <w:rPr>
                <w:color w:val="000000" w:themeColor="text1"/>
                <w:sz w:val="20"/>
                <w:szCs w:val="18"/>
              </w:rPr>
              <w:t>Burns and Rowland, 2000</w:t>
            </w:r>
          </w:p>
        </w:tc>
      </w:tr>
    </w:tbl>
    <w:p w14:paraId="37A63DA7" w14:textId="77777777" w:rsidR="00CA7C48" w:rsidRPr="00923098" w:rsidRDefault="00CA7C48" w:rsidP="00863B36">
      <w:pPr>
        <w:pStyle w:val="Caption"/>
      </w:pPr>
    </w:p>
    <w:p w14:paraId="7F97EE74" w14:textId="77777777" w:rsidR="00E01CD8" w:rsidRPr="00923098" w:rsidRDefault="00000000" w:rsidP="00E01CD8">
      <w:pPr>
        <w:spacing w:after="235" w:line="256" w:lineRule="auto"/>
        <w:ind w:firstLine="0"/>
        <w:jc w:val="left"/>
        <w:rPr>
          <w:rFonts w:ascii="Arial" w:eastAsia="Arial" w:hAnsi="Arial" w:cs="Arial"/>
          <w:color w:val="000000" w:themeColor="text1"/>
        </w:rPr>
      </w:pPr>
      <w:r w:rsidRPr="00923098">
        <w:rPr>
          <w:b/>
          <w:color w:val="000000" w:themeColor="text1"/>
        </w:rPr>
        <w:t xml:space="preserve">  </w:t>
      </w:r>
    </w:p>
    <w:p w14:paraId="02A3E097" w14:textId="77777777" w:rsidR="00E01CD8" w:rsidRPr="00100794" w:rsidRDefault="00000000" w:rsidP="00E01CD8">
      <w:pPr>
        <w:pStyle w:val="Heading4"/>
        <w:spacing w:after="245"/>
        <w:ind w:left="7" w:right="55"/>
        <w:rPr>
          <w:color w:val="000000" w:themeColor="text1"/>
          <w:sz w:val="20"/>
          <w:szCs w:val="18"/>
        </w:rPr>
      </w:pPr>
      <w:bookmarkStart w:id="30" w:name="_Toc141790408"/>
      <w:r w:rsidRPr="00100794">
        <w:rPr>
          <w:color w:val="000000" w:themeColor="text1"/>
          <w:sz w:val="20"/>
          <w:szCs w:val="18"/>
        </w:rPr>
        <w:t>Therapeutic modulation of gut flora</w:t>
      </w:r>
      <w:bookmarkEnd w:id="30"/>
      <w:r w:rsidRPr="00100794">
        <w:rPr>
          <w:b w:val="0"/>
          <w:color w:val="000000" w:themeColor="text1"/>
          <w:sz w:val="20"/>
          <w:szCs w:val="18"/>
        </w:rPr>
        <w:t xml:space="preserve"> </w:t>
      </w:r>
    </w:p>
    <w:p w14:paraId="63EBAB7D" w14:textId="09774EF9" w:rsidR="00394EFF" w:rsidRPr="00100794" w:rsidRDefault="00000000" w:rsidP="00DE6642">
      <w:pPr>
        <w:rPr>
          <w:color w:val="000000" w:themeColor="text1"/>
          <w:sz w:val="20"/>
          <w:szCs w:val="18"/>
        </w:rPr>
      </w:pPr>
      <w:r w:rsidRPr="00100794">
        <w:rPr>
          <w:color w:val="000000" w:themeColor="text1"/>
          <w:sz w:val="20"/>
          <w:szCs w:val="18"/>
        </w:rPr>
        <w:lastRenderedPageBreak/>
        <w:t xml:space="preserve">The normal gut microbiota constitutes a significant and metabolically active component of the intestinal defense system (Isolauri </w:t>
      </w:r>
      <w:r w:rsidRPr="00100794">
        <w:rPr>
          <w:i/>
          <w:iCs/>
          <w:color w:val="000000" w:themeColor="text1"/>
          <w:sz w:val="20"/>
          <w:szCs w:val="18"/>
        </w:rPr>
        <w:t>et al.,</w:t>
      </w:r>
      <w:r w:rsidRPr="00100794">
        <w:rPr>
          <w:color w:val="000000" w:themeColor="text1"/>
          <w:sz w:val="20"/>
          <w:szCs w:val="18"/>
        </w:rPr>
        <w:t xml:space="preserve"> 2001). This gut flora actively prevents the proliferation of potential pathogenic microorganisms within the gastrointestinal tract (Ziemer and Gibson, 1998). Consumption of probiotic foods can introduce novel microbial species into the gastrointestinal tract, leading to the proper maintenance and modulation of the gut microbiota (Kajander </w:t>
      </w:r>
      <w:r w:rsidRPr="00100794">
        <w:rPr>
          <w:i/>
          <w:iCs/>
          <w:color w:val="000000" w:themeColor="text1"/>
          <w:sz w:val="20"/>
          <w:szCs w:val="18"/>
        </w:rPr>
        <w:t>et al.,</w:t>
      </w:r>
      <w:r w:rsidRPr="00100794">
        <w:rPr>
          <w:color w:val="000000" w:themeColor="text1"/>
          <w:sz w:val="20"/>
          <w:szCs w:val="18"/>
        </w:rPr>
        <w:t xml:space="preserve"> 2005). Specifically, the introduction of probiotic strains like </w:t>
      </w:r>
      <w:r w:rsidRPr="00100794">
        <w:rPr>
          <w:i/>
          <w:iCs/>
          <w:color w:val="000000" w:themeColor="text1"/>
          <w:sz w:val="20"/>
          <w:szCs w:val="18"/>
        </w:rPr>
        <w:t>Bifidobacterium</w:t>
      </w:r>
      <w:r w:rsidRPr="00100794">
        <w:rPr>
          <w:color w:val="000000" w:themeColor="text1"/>
          <w:sz w:val="20"/>
          <w:szCs w:val="18"/>
        </w:rPr>
        <w:t xml:space="preserve"> and </w:t>
      </w:r>
      <w:r w:rsidRPr="00100794">
        <w:rPr>
          <w:i/>
          <w:iCs/>
          <w:color w:val="000000" w:themeColor="text1"/>
          <w:sz w:val="20"/>
          <w:szCs w:val="18"/>
        </w:rPr>
        <w:t>Lactobacillus spp</w:t>
      </w:r>
      <w:r w:rsidRPr="00100794">
        <w:rPr>
          <w:color w:val="000000" w:themeColor="text1"/>
          <w:sz w:val="20"/>
          <w:szCs w:val="18"/>
        </w:rPr>
        <w:t xml:space="preserve">. into the gastrointestinal tract holds considerable potential in promoting human health (Salminen and Gueimonde, 2004). </w:t>
      </w:r>
      <w:r w:rsidR="002B32F9" w:rsidRPr="002B32F9">
        <w:rPr>
          <w:color w:val="000000" w:themeColor="text1"/>
          <w:sz w:val="20"/>
          <w:szCs w:val="18"/>
        </w:rPr>
        <w:t>Furthermore, the inclusion of probiotic-rich foods in one's diet has resulted in a decreased occurrence of irregular and imbalanced gut microecology, improved immune barrier functions, and alleviated intestinal inflammatory reactions</w:t>
      </w:r>
      <w:r w:rsidR="002B32F9">
        <w:rPr>
          <w:color w:val="000000" w:themeColor="text1"/>
          <w:sz w:val="20"/>
          <w:szCs w:val="18"/>
        </w:rPr>
        <w:t xml:space="preserve"> </w:t>
      </w:r>
      <w:r w:rsidRPr="00100794">
        <w:rPr>
          <w:color w:val="000000" w:themeColor="text1"/>
          <w:sz w:val="20"/>
          <w:szCs w:val="18"/>
        </w:rPr>
        <w:t xml:space="preserve">(Saarela </w:t>
      </w:r>
      <w:r w:rsidRPr="00100794">
        <w:rPr>
          <w:i/>
          <w:iCs/>
          <w:color w:val="000000" w:themeColor="text1"/>
          <w:sz w:val="20"/>
          <w:szCs w:val="18"/>
        </w:rPr>
        <w:t>et al.,</w:t>
      </w:r>
      <w:r w:rsidRPr="00100794">
        <w:rPr>
          <w:color w:val="000000" w:themeColor="text1"/>
          <w:sz w:val="20"/>
          <w:szCs w:val="18"/>
        </w:rPr>
        <w:t xml:space="preserve"> 2000).</w:t>
      </w:r>
    </w:p>
    <w:p w14:paraId="631EC1D0" w14:textId="77777777" w:rsidR="0031575B" w:rsidRPr="00100794" w:rsidRDefault="00000000" w:rsidP="0031575B">
      <w:pPr>
        <w:ind w:firstLine="0"/>
        <w:rPr>
          <w:b/>
          <w:bCs/>
          <w:color w:val="000000" w:themeColor="text1"/>
          <w:sz w:val="20"/>
          <w:szCs w:val="18"/>
        </w:rPr>
      </w:pPr>
      <w:r w:rsidRPr="00100794">
        <w:rPr>
          <w:b/>
          <w:bCs/>
          <w:color w:val="000000" w:themeColor="text1"/>
          <w:sz w:val="20"/>
          <w:szCs w:val="18"/>
        </w:rPr>
        <w:t>1.2.2 Psychobiotics: Probiotics for mental health</w:t>
      </w:r>
    </w:p>
    <w:p w14:paraId="2DFE2C85" w14:textId="11281F20" w:rsidR="0031575B" w:rsidRPr="00100794" w:rsidRDefault="00D41BA7" w:rsidP="0031575B">
      <w:pPr>
        <w:autoSpaceDE w:val="0"/>
        <w:autoSpaceDN w:val="0"/>
        <w:adjustRightInd w:val="0"/>
        <w:spacing w:after="0"/>
        <w:ind w:firstLine="720"/>
        <w:rPr>
          <w:sz w:val="20"/>
          <w:szCs w:val="18"/>
        </w:rPr>
      </w:pPr>
      <w:proofErr w:type="spellStart"/>
      <w:r w:rsidRPr="00D41BA7">
        <w:rPr>
          <w:rFonts w:cs="Times New Roman"/>
          <w:sz w:val="20"/>
          <w:szCs w:val="20"/>
        </w:rPr>
        <w:t>Psychobiotics</w:t>
      </w:r>
      <w:proofErr w:type="spellEnd"/>
      <w:r w:rsidRPr="00D41BA7">
        <w:rPr>
          <w:rFonts w:cs="Times New Roman"/>
          <w:sz w:val="20"/>
          <w:szCs w:val="20"/>
        </w:rPr>
        <w:t xml:space="preserve"> are probiotics that, when consumed in sufficient quantities, have a positive impact on mental health. These </w:t>
      </w:r>
      <w:proofErr w:type="spellStart"/>
      <w:r w:rsidRPr="00D41BA7">
        <w:rPr>
          <w:rFonts w:cs="Times New Roman"/>
          <w:sz w:val="20"/>
          <w:szCs w:val="20"/>
        </w:rPr>
        <w:t>psychobiotics</w:t>
      </w:r>
      <w:proofErr w:type="spellEnd"/>
      <w:r w:rsidRPr="00D41BA7">
        <w:rPr>
          <w:rFonts w:cs="Times New Roman"/>
          <w:sz w:val="20"/>
          <w:szCs w:val="20"/>
        </w:rPr>
        <w:t xml:space="preserve"> influence the microbiota-gut-brain axis (MGBA), which governs the two-way communication between the gut microbiota and the central nervous system (CNS). Substantial evidence from animal studies now substantiates the notion that the MGBA's ability to modulate brain chemistry and function is achieved through alterations in factors like intestinal permeability and inflammation, as well as the levels of neurotransmitters and other neurotrophic factors, including serotonin and brain-derived neurotrophic factor (BDNF</w:t>
      </w:r>
      <w:proofErr w:type="gramStart"/>
      <w:r w:rsidRPr="00D41BA7">
        <w:rPr>
          <w:rFonts w:cs="Times New Roman"/>
          <w:sz w:val="20"/>
          <w:szCs w:val="20"/>
        </w:rPr>
        <w:t>).</w:t>
      </w:r>
      <w:r w:rsidR="00000000" w:rsidRPr="00100794">
        <w:rPr>
          <w:rFonts w:cs="Times New Roman"/>
          <w:sz w:val="20"/>
          <w:szCs w:val="20"/>
        </w:rPr>
        <w:t>.</w:t>
      </w:r>
      <w:proofErr w:type="gramEnd"/>
      <w:r w:rsidR="00000000" w:rsidRPr="00100794">
        <w:rPr>
          <w:rFonts w:cs="Times New Roman"/>
          <w:sz w:val="20"/>
          <w:szCs w:val="20"/>
        </w:rPr>
        <w:t xml:space="preserve"> (Cryan &amp; Dinan, 2012)</w:t>
      </w:r>
      <w:r w:rsidR="00000000" w:rsidRPr="00100794">
        <w:rPr>
          <w:sz w:val="20"/>
          <w:szCs w:val="18"/>
        </w:rPr>
        <w:t xml:space="preserve"> </w:t>
      </w:r>
    </w:p>
    <w:p w14:paraId="0AFEA9A2" w14:textId="3DF6FF46" w:rsidR="0080314E" w:rsidRPr="00100794" w:rsidRDefault="00711163" w:rsidP="00272CF8">
      <w:pPr>
        <w:autoSpaceDE w:val="0"/>
        <w:autoSpaceDN w:val="0"/>
        <w:adjustRightInd w:val="0"/>
        <w:spacing w:after="0"/>
        <w:ind w:firstLine="720"/>
        <w:rPr>
          <w:rFonts w:cs="Times New Roman"/>
          <w:sz w:val="20"/>
          <w:szCs w:val="16"/>
        </w:rPr>
      </w:pPr>
      <w:proofErr w:type="spellStart"/>
      <w:r w:rsidRPr="00711163">
        <w:rPr>
          <w:rFonts w:cs="Times New Roman"/>
          <w:sz w:val="20"/>
          <w:szCs w:val="16"/>
        </w:rPr>
        <w:t>Psychobiotics</w:t>
      </w:r>
      <w:proofErr w:type="spellEnd"/>
      <w:r w:rsidRPr="00711163">
        <w:rPr>
          <w:rFonts w:cs="Times New Roman"/>
          <w:sz w:val="20"/>
          <w:szCs w:val="16"/>
        </w:rPr>
        <w:t xml:space="preserve"> are a category of probiotics capable of generating and delivering neuroactive compounds such as gamma-aminobutyric acid (GABA) and serotonin (often referred to as the "happy" chemical), which exert their effects through the brain-gut axis. Additionally, they have the capacity to reduce cortisol (the "stress" hormone) levels and elevate oxytocin levels</w:t>
      </w:r>
      <w:r>
        <w:rPr>
          <w:rFonts w:cs="Times New Roman"/>
          <w:sz w:val="20"/>
          <w:szCs w:val="16"/>
        </w:rPr>
        <w:t xml:space="preserve">. </w:t>
      </w:r>
      <w:proofErr w:type="spellStart"/>
      <w:r w:rsidR="00000000" w:rsidRPr="00100794">
        <w:rPr>
          <w:rFonts w:cs="Times New Roman"/>
          <w:sz w:val="20"/>
          <w:szCs w:val="16"/>
        </w:rPr>
        <w:t>Logan</w:t>
      </w:r>
      <w:proofErr w:type="spellEnd"/>
      <w:r w:rsidR="00000000" w:rsidRPr="00100794">
        <w:rPr>
          <w:rFonts w:cs="Times New Roman"/>
          <w:sz w:val="20"/>
          <w:szCs w:val="16"/>
        </w:rPr>
        <w:t xml:space="preserve"> and Katzman first suggested using probiotics as adjunct therapy in managing depression. Probiotics act as carriers for neuroactive compounds and can potentially be psychotropic agents. As a result, it is hypothesized that a wide variety of bacteria produce and secrete neurochemicals. Lactobacillus and Bifidobacterium strains secrete gamma-aminobutyric acid (GABA). </w:t>
      </w:r>
      <w:r w:rsidR="00A14068" w:rsidRPr="00A14068">
        <w:rPr>
          <w:rFonts w:cs="Times New Roman"/>
          <w:sz w:val="20"/>
          <w:szCs w:val="16"/>
        </w:rPr>
        <w:t>This neurotransmitter is the primary inhibitory agent in the brain, overseeing a wide range of physiological and psychological functions. Dy</w:t>
      </w:r>
      <w:r w:rsidR="00A14068">
        <w:rPr>
          <w:rFonts w:cs="Times New Roman"/>
          <w:sz w:val="20"/>
          <w:szCs w:val="16"/>
        </w:rPr>
        <w:t>sfunc</w:t>
      </w:r>
      <w:r w:rsidR="00A14068" w:rsidRPr="00A14068">
        <w:rPr>
          <w:rFonts w:cs="Times New Roman"/>
          <w:sz w:val="20"/>
          <w:szCs w:val="16"/>
        </w:rPr>
        <w:t>tion of this system has been associated with anxiety and depression. In this article, we will delve into psycho-biotic strains, their mechanisms of action, and their impact on neuropsychological disorders.</w:t>
      </w:r>
      <w:r w:rsidR="00A14068" w:rsidRPr="00A14068">
        <w:rPr>
          <w:rFonts w:cs="Times New Roman"/>
          <w:sz w:val="20"/>
          <w:szCs w:val="16"/>
        </w:rPr>
        <w:t xml:space="preserve"> </w:t>
      </w:r>
      <w:r w:rsidR="00000000" w:rsidRPr="00100794">
        <w:rPr>
          <w:rFonts w:cs="Times New Roman"/>
          <w:sz w:val="20"/>
          <w:szCs w:val="16"/>
        </w:rPr>
        <w:t xml:space="preserve">(by using some studies conducted on animal models). (Barbosa </w:t>
      </w:r>
      <w:r w:rsidR="00000000" w:rsidRPr="00100794">
        <w:rPr>
          <w:rFonts w:cs="Times New Roman"/>
          <w:i/>
          <w:iCs/>
          <w:sz w:val="20"/>
          <w:szCs w:val="16"/>
        </w:rPr>
        <w:t>et al.,</w:t>
      </w:r>
      <w:r w:rsidR="00000000" w:rsidRPr="00100794">
        <w:rPr>
          <w:rFonts w:cs="Times New Roman"/>
          <w:sz w:val="20"/>
          <w:szCs w:val="16"/>
        </w:rPr>
        <w:t xml:space="preserve"> 2020)</w:t>
      </w:r>
    </w:p>
    <w:p w14:paraId="66BE71FB" w14:textId="77777777" w:rsidR="00272CF8" w:rsidRPr="00100794" w:rsidRDefault="00272CF8" w:rsidP="00272CF8">
      <w:pPr>
        <w:autoSpaceDE w:val="0"/>
        <w:autoSpaceDN w:val="0"/>
        <w:adjustRightInd w:val="0"/>
        <w:spacing w:after="0"/>
        <w:ind w:firstLine="720"/>
        <w:rPr>
          <w:rFonts w:cs="Times New Roman"/>
          <w:sz w:val="20"/>
          <w:szCs w:val="16"/>
        </w:rPr>
      </w:pPr>
    </w:p>
    <w:p w14:paraId="3327AAFD" w14:textId="77777777" w:rsidR="00B0069F" w:rsidRPr="00100794" w:rsidRDefault="00000000" w:rsidP="00272CF8">
      <w:pPr>
        <w:ind w:firstLine="0"/>
        <w:rPr>
          <w:b/>
          <w:bCs/>
          <w:color w:val="000000" w:themeColor="text1"/>
          <w:sz w:val="20"/>
          <w:szCs w:val="18"/>
        </w:rPr>
      </w:pPr>
      <w:r w:rsidRPr="00100794">
        <w:rPr>
          <w:rFonts w:cs="Times New Roman"/>
          <w:b/>
          <w:bCs/>
          <w:sz w:val="20"/>
          <w:szCs w:val="12"/>
        </w:rPr>
        <w:t>Table: -</w:t>
      </w:r>
      <w:r w:rsidR="00272CF8" w:rsidRPr="00100794">
        <w:rPr>
          <w:rFonts w:cs="Times New Roman"/>
          <w:b/>
          <w:bCs/>
          <w:sz w:val="20"/>
          <w:szCs w:val="12"/>
        </w:rPr>
        <w:t xml:space="preserve"> Pyscobiotics used in different neurological conditions.</w:t>
      </w:r>
    </w:p>
    <w:tbl>
      <w:tblPr>
        <w:tblStyle w:val="TableGrid0"/>
        <w:tblW w:w="0" w:type="auto"/>
        <w:tblInd w:w="490" w:type="dxa"/>
        <w:tblLook w:val="04A0" w:firstRow="1" w:lastRow="0" w:firstColumn="1" w:lastColumn="0" w:noHBand="0" w:noVBand="1"/>
      </w:tblPr>
      <w:tblGrid>
        <w:gridCol w:w="1798"/>
        <w:gridCol w:w="2404"/>
        <w:gridCol w:w="3457"/>
      </w:tblGrid>
      <w:tr w:rsidR="00F61149" w14:paraId="0FB17DEA" w14:textId="77777777" w:rsidTr="003C34FD">
        <w:trPr>
          <w:trHeight w:val="756"/>
        </w:trPr>
        <w:tc>
          <w:tcPr>
            <w:tcW w:w="1798" w:type="dxa"/>
          </w:tcPr>
          <w:p w14:paraId="13D7689B" w14:textId="77777777" w:rsidR="003C34FD" w:rsidRPr="00100794" w:rsidRDefault="00000000" w:rsidP="00272CF8">
            <w:pPr>
              <w:spacing w:after="0" w:line="360" w:lineRule="auto"/>
              <w:ind w:left="717" w:right="60" w:hanging="720"/>
              <w:rPr>
                <w:b/>
                <w:color w:val="000000" w:themeColor="text1"/>
                <w:sz w:val="20"/>
                <w:szCs w:val="18"/>
              </w:rPr>
            </w:pPr>
            <w:r w:rsidRPr="00100794">
              <w:rPr>
                <w:b/>
                <w:color w:val="000000" w:themeColor="text1"/>
                <w:sz w:val="20"/>
                <w:szCs w:val="18"/>
              </w:rPr>
              <w:t xml:space="preserve">Neurological </w:t>
            </w:r>
          </w:p>
          <w:p w14:paraId="49D4BABB" w14:textId="77777777" w:rsidR="00272CF8" w:rsidRPr="00100794" w:rsidRDefault="00000000" w:rsidP="00272CF8">
            <w:pPr>
              <w:spacing w:after="0" w:line="360" w:lineRule="auto"/>
              <w:ind w:left="717" w:right="60" w:hanging="720"/>
              <w:rPr>
                <w:b/>
                <w:color w:val="000000" w:themeColor="text1"/>
                <w:sz w:val="20"/>
                <w:szCs w:val="18"/>
              </w:rPr>
            </w:pPr>
            <w:r w:rsidRPr="00100794">
              <w:rPr>
                <w:b/>
                <w:color w:val="000000" w:themeColor="text1"/>
                <w:sz w:val="20"/>
                <w:szCs w:val="18"/>
              </w:rPr>
              <w:t xml:space="preserve">Condition </w:t>
            </w:r>
          </w:p>
        </w:tc>
        <w:tc>
          <w:tcPr>
            <w:tcW w:w="2404" w:type="dxa"/>
          </w:tcPr>
          <w:p w14:paraId="010C6929" w14:textId="77777777" w:rsidR="00272CF8" w:rsidRPr="00100794" w:rsidRDefault="00000000" w:rsidP="00272CF8">
            <w:pPr>
              <w:spacing w:after="0" w:line="360" w:lineRule="auto"/>
              <w:ind w:left="717" w:right="60" w:hanging="720"/>
              <w:rPr>
                <w:b/>
                <w:color w:val="000000" w:themeColor="text1"/>
                <w:sz w:val="20"/>
                <w:szCs w:val="18"/>
              </w:rPr>
            </w:pPr>
            <w:r w:rsidRPr="00100794">
              <w:rPr>
                <w:b/>
                <w:color w:val="000000" w:themeColor="text1"/>
                <w:sz w:val="20"/>
                <w:szCs w:val="18"/>
              </w:rPr>
              <w:t xml:space="preserve">Gut microbes </w:t>
            </w:r>
          </w:p>
        </w:tc>
        <w:tc>
          <w:tcPr>
            <w:tcW w:w="3457" w:type="dxa"/>
          </w:tcPr>
          <w:p w14:paraId="542AF979" w14:textId="77777777" w:rsidR="00272CF8" w:rsidRPr="00100794" w:rsidRDefault="00000000" w:rsidP="00272CF8">
            <w:pPr>
              <w:spacing w:after="0" w:line="360" w:lineRule="auto"/>
              <w:ind w:left="717" w:right="60" w:hanging="720"/>
              <w:rPr>
                <w:b/>
                <w:color w:val="000000" w:themeColor="text1"/>
                <w:sz w:val="20"/>
                <w:szCs w:val="18"/>
              </w:rPr>
            </w:pPr>
            <w:r w:rsidRPr="00100794">
              <w:rPr>
                <w:b/>
                <w:color w:val="000000" w:themeColor="text1"/>
                <w:sz w:val="20"/>
                <w:szCs w:val="18"/>
              </w:rPr>
              <w:t>Psychobiotic Strains</w:t>
            </w:r>
          </w:p>
        </w:tc>
      </w:tr>
      <w:tr w:rsidR="00F61149" w14:paraId="74A2A1D7" w14:textId="77777777" w:rsidTr="003C34FD">
        <w:trPr>
          <w:trHeight w:val="371"/>
        </w:trPr>
        <w:tc>
          <w:tcPr>
            <w:tcW w:w="1798" w:type="dxa"/>
            <w:vMerge w:val="restart"/>
          </w:tcPr>
          <w:p w14:paraId="2738289D" w14:textId="77777777" w:rsidR="00272CF8" w:rsidRPr="00100794" w:rsidRDefault="00000000" w:rsidP="00272CF8">
            <w:pPr>
              <w:spacing w:after="0" w:line="360" w:lineRule="auto"/>
              <w:ind w:left="717" w:right="60" w:hanging="720"/>
              <w:rPr>
                <w:color w:val="000000" w:themeColor="text1"/>
                <w:sz w:val="20"/>
                <w:szCs w:val="18"/>
              </w:rPr>
            </w:pPr>
            <w:r w:rsidRPr="00100794">
              <w:rPr>
                <w:color w:val="000000" w:themeColor="text1"/>
                <w:sz w:val="20"/>
                <w:szCs w:val="18"/>
              </w:rPr>
              <w:t xml:space="preserve">Anxiety </w:t>
            </w:r>
          </w:p>
        </w:tc>
        <w:tc>
          <w:tcPr>
            <w:tcW w:w="2404" w:type="dxa"/>
            <w:vMerge w:val="restart"/>
          </w:tcPr>
          <w:p w14:paraId="307AE820" w14:textId="77777777" w:rsidR="00272CF8" w:rsidRPr="00100794" w:rsidRDefault="00000000" w:rsidP="00272CF8">
            <w:pPr>
              <w:spacing w:after="0" w:line="360" w:lineRule="auto"/>
              <w:ind w:left="717" w:right="60" w:hanging="720"/>
              <w:rPr>
                <w:color w:val="000000" w:themeColor="text1"/>
                <w:sz w:val="20"/>
                <w:szCs w:val="18"/>
              </w:rPr>
            </w:pPr>
            <w:r w:rsidRPr="00100794">
              <w:rPr>
                <w:i/>
                <w:iCs/>
                <w:color w:val="000000" w:themeColor="text1"/>
                <w:sz w:val="20"/>
                <w:szCs w:val="18"/>
              </w:rPr>
              <w:t>Lactobacillus</w:t>
            </w:r>
            <w:r w:rsidRPr="00100794">
              <w:rPr>
                <w:color w:val="000000" w:themeColor="text1"/>
                <w:sz w:val="20"/>
                <w:szCs w:val="18"/>
              </w:rPr>
              <w:t xml:space="preserve"> spp</w:t>
            </w:r>
          </w:p>
        </w:tc>
        <w:tc>
          <w:tcPr>
            <w:tcW w:w="3457" w:type="dxa"/>
          </w:tcPr>
          <w:p w14:paraId="7627EC56" w14:textId="77777777" w:rsidR="00272CF8" w:rsidRPr="00100794" w:rsidRDefault="00000000" w:rsidP="00272CF8">
            <w:pPr>
              <w:spacing w:after="0" w:line="360" w:lineRule="auto"/>
              <w:ind w:left="717" w:right="60" w:hanging="720"/>
              <w:rPr>
                <w:i/>
                <w:color w:val="000000" w:themeColor="text1"/>
                <w:sz w:val="20"/>
                <w:szCs w:val="18"/>
              </w:rPr>
            </w:pPr>
            <w:r w:rsidRPr="00100794">
              <w:rPr>
                <w:i/>
                <w:color w:val="000000" w:themeColor="text1"/>
                <w:sz w:val="20"/>
                <w:szCs w:val="18"/>
              </w:rPr>
              <w:t>Lactobacillus casei</w:t>
            </w:r>
            <w:r w:rsidR="003C34FD" w:rsidRPr="00100794">
              <w:rPr>
                <w:i/>
                <w:color w:val="000000" w:themeColor="text1"/>
                <w:sz w:val="20"/>
                <w:szCs w:val="18"/>
              </w:rPr>
              <w:t xml:space="preserve"> </w:t>
            </w:r>
            <w:r w:rsidR="003C34FD" w:rsidRPr="00100794">
              <w:rPr>
                <w:iCs/>
                <w:color w:val="000000" w:themeColor="text1"/>
                <w:sz w:val="20"/>
                <w:szCs w:val="18"/>
              </w:rPr>
              <w:t>spp</w:t>
            </w:r>
            <w:r w:rsidRPr="00100794">
              <w:rPr>
                <w:i/>
                <w:color w:val="000000" w:themeColor="text1"/>
                <w:sz w:val="20"/>
                <w:szCs w:val="18"/>
              </w:rPr>
              <w:t xml:space="preserve"> </w:t>
            </w:r>
            <w:r w:rsidR="003C34FD" w:rsidRPr="00100794">
              <w:rPr>
                <w:i/>
                <w:color w:val="000000" w:themeColor="text1"/>
                <w:sz w:val="20"/>
                <w:szCs w:val="18"/>
              </w:rPr>
              <w:t>s</w:t>
            </w:r>
            <w:r w:rsidRPr="00100794">
              <w:rPr>
                <w:i/>
                <w:color w:val="000000" w:themeColor="text1"/>
                <w:sz w:val="20"/>
                <w:szCs w:val="18"/>
              </w:rPr>
              <w:t>hirota</w:t>
            </w:r>
          </w:p>
        </w:tc>
      </w:tr>
      <w:tr w:rsidR="00F61149" w14:paraId="642CFED1" w14:textId="77777777" w:rsidTr="003C34FD">
        <w:trPr>
          <w:trHeight w:val="132"/>
        </w:trPr>
        <w:tc>
          <w:tcPr>
            <w:tcW w:w="1798" w:type="dxa"/>
            <w:vMerge/>
          </w:tcPr>
          <w:p w14:paraId="1E27A606"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tcPr>
          <w:p w14:paraId="721903D3" w14:textId="77777777" w:rsidR="00272CF8" w:rsidRPr="00100794" w:rsidRDefault="00272CF8" w:rsidP="00272CF8">
            <w:pPr>
              <w:spacing w:after="0" w:line="360" w:lineRule="auto"/>
              <w:ind w:left="717" w:right="60" w:hanging="720"/>
              <w:rPr>
                <w:color w:val="000000" w:themeColor="text1"/>
                <w:sz w:val="20"/>
                <w:szCs w:val="18"/>
              </w:rPr>
            </w:pPr>
          </w:p>
        </w:tc>
        <w:tc>
          <w:tcPr>
            <w:tcW w:w="3457" w:type="dxa"/>
          </w:tcPr>
          <w:p w14:paraId="44B4B914" w14:textId="77777777" w:rsidR="00272CF8" w:rsidRPr="00100794" w:rsidRDefault="00000000"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L. helveticus </w:t>
            </w:r>
            <w:r w:rsidRPr="00100794">
              <w:rPr>
                <w:color w:val="000000" w:themeColor="text1"/>
                <w:sz w:val="20"/>
                <w:szCs w:val="18"/>
              </w:rPr>
              <w:t>ROO52</w:t>
            </w:r>
          </w:p>
        </w:tc>
      </w:tr>
      <w:tr w:rsidR="00F61149" w14:paraId="1A7E1078" w14:textId="77777777" w:rsidTr="003C34FD">
        <w:trPr>
          <w:trHeight w:val="132"/>
        </w:trPr>
        <w:tc>
          <w:tcPr>
            <w:tcW w:w="1798" w:type="dxa"/>
            <w:vMerge/>
          </w:tcPr>
          <w:p w14:paraId="2D388DDD"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val="restart"/>
          </w:tcPr>
          <w:p w14:paraId="6DA72D60" w14:textId="77777777" w:rsidR="00272CF8" w:rsidRPr="00100794" w:rsidRDefault="00000000" w:rsidP="00272CF8">
            <w:pPr>
              <w:spacing w:after="0" w:line="360" w:lineRule="auto"/>
              <w:ind w:left="717" w:right="60" w:hanging="720"/>
              <w:rPr>
                <w:color w:val="000000" w:themeColor="text1"/>
                <w:sz w:val="20"/>
                <w:szCs w:val="18"/>
              </w:rPr>
            </w:pPr>
            <w:r w:rsidRPr="00100794">
              <w:rPr>
                <w:i/>
                <w:iCs/>
                <w:color w:val="000000" w:themeColor="text1"/>
                <w:sz w:val="20"/>
                <w:szCs w:val="18"/>
              </w:rPr>
              <w:t xml:space="preserve">Bifidobacterium </w:t>
            </w:r>
            <w:r w:rsidRPr="00100794">
              <w:rPr>
                <w:color w:val="000000" w:themeColor="text1"/>
                <w:sz w:val="20"/>
                <w:szCs w:val="18"/>
              </w:rPr>
              <w:t>spp</w:t>
            </w:r>
          </w:p>
        </w:tc>
        <w:tc>
          <w:tcPr>
            <w:tcW w:w="3457" w:type="dxa"/>
          </w:tcPr>
          <w:p w14:paraId="4184B0C3" w14:textId="77777777" w:rsidR="00272CF8" w:rsidRPr="00100794" w:rsidRDefault="00000000"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B. longum </w:t>
            </w:r>
            <w:r w:rsidRPr="00100794">
              <w:rPr>
                <w:color w:val="000000" w:themeColor="text1"/>
                <w:sz w:val="20"/>
                <w:szCs w:val="18"/>
              </w:rPr>
              <w:t>1714</w:t>
            </w:r>
          </w:p>
        </w:tc>
      </w:tr>
      <w:tr w:rsidR="00F61149" w14:paraId="34A62C85" w14:textId="77777777" w:rsidTr="003C34FD">
        <w:trPr>
          <w:trHeight w:val="469"/>
        </w:trPr>
        <w:tc>
          <w:tcPr>
            <w:tcW w:w="1798" w:type="dxa"/>
            <w:vMerge/>
          </w:tcPr>
          <w:p w14:paraId="714A8716"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tcPr>
          <w:p w14:paraId="532D395F" w14:textId="77777777" w:rsidR="00272CF8" w:rsidRPr="00100794" w:rsidRDefault="00272CF8" w:rsidP="00272CF8">
            <w:pPr>
              <w:spacing w:after="0" w:line="360" w:lineRule="auto"/>
              <w:ind w:left="717" w:right="60" w:hanging="720"/>
              <w:rPr>
                <w:color w:val="000000" w:themeColor="text1"/>
                <w:sz w:val="20"/>
                <w:szCs w:val="18"/>
              </w:rPr>
            </w:pPr>
          </w:p>
        </w:tc>
        <w:tc>
          <w:tcPr>
            <w:tcW w:w="3457" w:type="dxa"/>
          </w:tcPr>
          <w:p w14:paraId="08FEDE63" w14:textId="77777777" w:rsidR="00272CF8" w:rsidRPr="00100794" w:rsidRDefault="00000000"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B. breve </w:t>
            </w:r>
            <w:r w:rsidRPr="00100794">
              <w:rPr>
                <w:color w:val="000000" w:themeColor="text1"/>
                <w:sz w:val="20"/>
                <w:szCs w:val="18"/>
              </w:rPr>
              <w:t>1205</w:t>
            </w:r>
          </w:p>
        </w:tc>
      </w:tr>
      <w:tr w:rsidR="00F61149" w14:paraId="3536B190" w14:textId="77777777" w:rsidTr="003C34FD">
        <w:trPr>
          <w:trHeight w:val="385"/>
        </w:trPr>
        <w:tc>
          <w:tcPr>
            <w:tcW w:w="1798" w:type="dxa"/>
            <w:vMerge w:val="restart"/>
          </w:tcPr>
          <w:p w14:paraId="6606B8C4" w14:textId="77777777" w:rsidR="00272CF8" w:rsidRPr="00100794" w:rsidRDefault="00000000" w:rsidP="00272CF8">
            <w:pPr>
              <w:spacing w:after="0" w:line="360" w:lineRule="auto"/>
              <w:ind w:left="717" w:right="60" w:hanging="720"/>
              <w:rPr>
                <w:color w:val="000000" w:themeColor="text1"/>
                <w:sz w:val="20"/>
                <w:szCs w:val="18"/>
              </w:rPr>
            </w:pPr>
            <w:r w:rsidRPr="00100794">
              <w:rPr>
                <w:color w:val="000000" w:themeColor="text1"/>
                <w:sz w:val="20"/>
                <w:szCs w:val="18"/>
              </w:rPr>
              <w:t>Depression</w:t>
            </w:r>
          </w:p>
        </w:tc>
        <w:tc>
          <w:tcPr>
            <w:tcW w:w="2404" w:type="dxa"/>
            <w:vMerge w:val="restart"/>
          </w:tcPr>
          <w:p w14:paraId="2AEB17DD" w14:textId="77777777" w:rsidR="00272CF8" w:rsidRPr="00100794" w:rsidRDefault="00000000" w:rsidP="00272CF8">
            <w:pPr>
              <w:spacing w:after="0" w:line="360" w:lineRule="auto"/>
              <w:ind w:left="717" w:right="60" w:hanging="720"/>
              <w:rPr>
                <w:color w:val="000000" w:themeColor="text1"/>
                <w:sz w:val="20"/>
                <w:szCs w:val="18"/>
              </w:rPr>
            </w:pPr>
            <w:r w:rsidRPr="00100794">
              <w:rPr>
                <w:i/>
                <w:iCs/>
                <w:color w:val="000000" w:themeColor="text1"/>
                <w:sz w:val="20"/>
                <w:szCs w:val="18"/>
              </w:rPr>
              <w:t>Lactobacillus</w:t>
            </w:r>
            <w:r w:rsidRPr="00100794">
              <w:rPr>
                <w:color w:val="000000" w:themeColor="text1"/>
                <w:sz w:val="20"/>
                <w:szCs w:val="18"/>
              </w:rPr>
              <w:t xml:space="preserve"> spp</w:t>
            </w:r>
          </w:p>
        </w:tc>
        <w:tc>
          <w:tcPr>
            <w:tcW w:w="3457" w:type="dxa"/>
          </w:tcPr>
          <w:p w14:paraId="17FF38E7" w14:textId="77777777" w:rsidR="00272CF8" w:rsidRPr="00100794" w:rsidRDefault="00000000"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L. acidophilus </w:t>
            </w:r>
            <w:r w:rsidRPr="00100794">
              <w:rPr>
                <w:color w:val="000000" w:themeColor="text1"/>
                <w:sz w:val="20"/>
                <w:szCs w:val="18"/>
              </w:rPr>
              <w:t>W37</w:t>
            </w:r>
          </w:p>
        </w:tc>
      </w:tr>
      <w:tr w:rsidR="00F61149" w14:paraId="39B7F060" w14:textId="77777777" w:rsidTr="003C34FD">
        <w:trPr>
          <w:trHeight w:val="132"/>
        </w:trPr>
        <w:tc>
          <w:tcPr>
            <w:tcW w:w="1798" w:type="dxa"/>
            <w:vMerge/>
          </w:tcPr>
          <w:p w14:paraId="0E46AB45"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tcPr>
          <w:p w14:paraId="48253442" w14:textId="77777777" w:rsidR="00272CF8" w:rsidRPr="00100794" w:rsidRDefault="00272CF8" w:rsidP="00272CF8">
            <w:pPr>
              <w:spacing w:after="0" w:line="360" w:lineRule="auto"/>
              <w:ind w:left="717" w:right="60" w:hanging="720"/>
              <w:rPr>
                <w:color w:val="000000" w:themeColor="text1"/>
                <w:sz w:val="20"/>
                <w:szCs w:val="18"/>
              </w:rPr>
            </w:pPr>
          </w:p>
        </w:tc>
        <w:tc>
          <w:tcPr>
            <w:tcW w:w="3457" w:type="dxa"/>
          </w:tcPr>
          <w:p w14:paraId="565298AC" w14:textId="77777777" w:rsidR="00272CF8" w:rsidRPr="00100794" w:rsidRDefault="00000000"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L. brevis </w:t>
            </w:r>
            <w:r w:rsidRPr="00100794">
              <w:rPr>
                <w:color w:val="000000" w:themeColor="text1"/>
                <w:sz w:val="20"/>
                <w:szCs w:val="18"/>
              </w:rPr>
              <w:t>W63</w:t>
            </w:r>
          </w:p>
        </w:tc>
      </w:tr>
      <w:tr w:rsidR="00F61149" w14:paraId="03035CE9" w14:textId="77777777" w:rsidTr="003C34FD">
        <w:trPr>
          <w:trHeight w:val="132"/>
        </w:trPr>
        <w:tc>
          <w:tcPr>
            <w:tcW w:w="1798" w:type="dxa"/>
            <w:vMerge/>
          </w:tcPr>
          <w:p w14:paraId="608D704F"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val="restart"/>
          </w:tcPr>
          <w:p w14:paraId="2D1A73F2" w14:textId="77777777" w:rsidR="00272CF8" w:rsidRPr="00100794" w:rsidRDefault="00000000" w:rsidP="00272CF8">
            <w:pPr>
              <w:spacing w:after="0" w:line="360" w:lineRule="auto"/>
              <w:ind w:left="717" w:right="60" w:hanging="720"/>
              <w:rPr>
                <w:color w:val="000000" w:themeColor="text1"/>
                <w:sz w:val="20"/>
                <w:szCs w:val="18"/>
              </w:rPr>
            </w:pPr>
            <w:r w:rsidRPr="00100794">
              <w:rPr>
                <w:i/>
                <w:iCs/>
                <w:color w:val="000000" w:themeColor="text1"/>
                <w:sz w:val="20"/>
                <w:szCs w:val="18"/>
              </w:rPr>
              <w:t xml:space="preserve">Lactococcus </w:t>
            </w:r>
            <w:r w:rsidRPr="00100794">
              <w:rPr>
                <w:color w:val="000000" w:themeColor="text1"/>
                <w:sz w:val="20"/>
                <w:szCs w:val="18"/>
              </w:rPr>
              <w:t>spp</w:t>
            </w:r>
          </w:p>
        </w:tc>
        <w:tc>
          <w:tcPr>
            <w:tcW w:w="3457" w:type="dxa"/>
          </w:tcPr>
          <w:p w14:paraId="6ADEDE4F" w14:textId="77777777" w:rsidR="00272CF8" w:rsidRPr="00100794" w:rsidRDefault="00000000"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L. lactis </w:t>
            </w:r>
            <w:r w:rsidRPr="00100794">
              <w:rPr>
                <w:color w:val="000000" w:themeColor="text1"/>
                <w:sz w:val="20"/>
                <w:szCs w:val="18"/>
              </w:rPr>
              <w:t>W19</w:t>
            </w:r>
          </w:p>
        </w:tc>
      </w:tr>
      <w:tr w:rsidR="00F61149" w14:paraId="2AF97606" w14:textId="77777777" w:rsidTr="003C34FD">
        <w:trPr>
          <w:trHeight w:val="132"/>
        </w:trPr>
        <w:tc>
          <w:tcPr>
            <w:tcW w:w="1798" w:type="dxa"/>
            <w:vMerge/>
          </w:tcPr>
          <w:p w14:paraId="331012D0"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tcPr>
          <w:p w14:paraId="0AAE89F0" w14:textId="77777777" w:rsidR="00272CF8" w:rsidRPr="00100794" w:rsidRDefault="00272CF8" w:rsidP="00272CF8">
            <w:pPr>
              <w:spacing w:after="0" w:line="360" w:lineRule="auto"/>
              <w:ind w:left="717" w:right="60" w:hanging="720"/>
              <w:rPr>
                <w:color w:val="000000" w:themeColor="text1"/>
                <w:sz w:val="20"/>
                <w:szCs w:val="18"/>
              </w:rPr>
            </w:pPr>
          </w:p>
        </w:tc>
        <w:tc>
          <w:tcPr>
            <w:tcW w:w="3457" w:type="dxa"/>
          </w:tcPr>
          <w:p w14:paraId="64EE7488" w14:textId="77777777" w:rsidR="00272CF8" w:rsidRPr="00100794" w:rsidRDefault="00000000"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L.lactis </w:t>
            </w:r>
            <w:r w:rsidRPr="00100794">
              <w:rPr>
                <w:color w:val="000000" w:themeColor="text1"/>
                <w:sz w:val="20"/>
                <w:szCs w:val="18"/>
              </w:rPr>
              <w:t>W58</w:t>
            </w:r>
          </w:p>
        </w:tc>
      </w:tr>
      <w:tr w:rsidR="00F61149" w14:paraId="599D2A4E" w14:textId="77777777" w:rsidTr="003C34FD">
        <w:trPr>
          <w:trHeight w:val="132"/>
        </w:trPr>
        <w:tc>
          <w:tcPr>
            <w:tcW w:w="1798" w:type="dxa"/>
            <w:vMerge/>
          </w:tcPr>
          <w:p w14:paraId="3F319E3E"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val="restart"/>
          </w:tcPr>
          <w:p w14:paraId="6D909719" w14:textId="77777777" w:rsidR="00272CF8" w:rsidRPr="00100794" w:rsidRDefault="00000000" w:rsidP="00272CF8">
            <w:pPr>
              <w:spacing w:after="0" w:line="360" w:lineRule="auto"/>
              <w:ind w:left="717" w:right="60" w:hanging="720"/>
              <w:rPr>
                <w:color w:val="000000" w:themeColor="text1"/>
                <w:sz w:val="20"/>
                <w:szCs w:val="18"/>
              </w:rPr>
            </w:pPr>
            <w:r w:rsidRPr="00100794">
              <w:rPr>
                <w:i/>
                <w:iCs/>
                <w:color w:val="000000" w:themeColor="text1"/>
                <w:sz w:val="20"/>
                <w:szCs w:val="18"/>
              </w:rPr>
              <w:t xml:space="preserve">Bifidobacterium </w:t>
            </w:r>
            <w:r w:rsidRPr="00100794">
              <w:rPr>
                <w:color w:val="000000" w:themeColor="text1"/>
                <w:sz w:val="20"/>
                <w:szCs w:val="18"/>
              </w:rPr>
              <w:t>spp</w:t>
            </w:r>
          </w:p>
        </w:tc>
        <w:tc>
          <w:tcPr>
            <w:tcW w:w="3457" w:type="dxa"/>
          </w:tcPr>
          <w:p w14:paraId="5F018D78" w14:textId="77777777" w:rsidR="00272CF8" w:rsidRPr="00100794" w:rsidRDefault="00000000"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B. bifidum </w:t>
            </w:r>
            <w:r w:rsidRPr="00100794">
              <w:rPr>
                <w:color w:val="000000" w:themeColor="text1"/>
                <w:sz w:val="20"/>
                <w:szCs w:val="18"/>
              </w:rPr>
              <w:t>W23</w:t>
            </w:r>
          </w:p>
        </w:tc>
      </w:tr>
      <w:tr w:rsidR="00F61149" w14:paraId="09779576" w14:textId="77777777" w:rsidTr="003C34FD">
        <w:trPr>
          <w:trHeight w:val="132"/>
        </w:trPr>
        <w:tc>
          <w:tcPr>
            <w:tcW w:w="1798" w:type="dxa"/>
            <w:vMerge/>
          </w:tcPr>
          <w:p w14:paraId="7D6CD9E2"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tcPr>
          <w:p w14:paraId="53EFB45A" w14:textId="77777777" w:rsidR="00272CF8" w:rsidRPr="00100794" w:rsidRDefault="00272CF8" w:rsidP="00272CF8">
            <w:pPr>
              <w:spacing w:after="0" w:line="360" w:lineRule="auto"/>
              <w:ind w:left="717" w:right="60" w:hanging="720"/>
              <w:rPr>
                <w:color w:val="000000" w:themeColor="text1"/>
                <w:sz w:val="20"/>
                <w:szCs w:val="18"/>
              </w:rPr>
            </w:pPr>
          </w:p>
        </w:tc>
        <w:tc>
          <w:tcPr>
            <w:tcW w:w="3457" w:type="dxa"/>
          </w:tcPr>
          <w:p w14:paraId="2DE6C746" w14:textId="77777777" w:rsidR="00272CF8" w:rsidRPr="00100794" w:rsidRDefault="00000000"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B. lactis </w:t>
            </w:r>
            <w:r w:rsidRPr="00100794">
              <w:rPr>
                <w:color w:val="000000" w:themeColor="text1"/>
                <w:sz w:val="20"/>
                <w:szCs w:val="18"/>
              </w:rPr>
              <w:t>W52</w:t>
            </w:r>
          </w:p>
        </w:tc>
      </w:tr>
      <w:tr w:rsidR="00F61149" w14:paraId="72F9AFEE" w14:textId="77777777" w:rsidTr="003C34FD">
        <w:trPr>
          <w:trHeight w:val="371"/>
        </w:trPr>
        <w:tc>
          <w:tcPr>
            <w:tcW w:w="1798" w:type="dxa"/>
            <w:vMerge w:val="restart"/>
          </w:tcPr>
          <w:p w14:paraId="4BAD78DA" w14:textId="77777777" w:rsidR="00272CF8" w:rsidRPr="00100794" w:rsidRDefault="00000000" w:rsidP="00272CF8">
            <w:pPr>
              <w:spacing w:after="0" w:line="360" w:lineRule="auto"/>
              <w:ind w:left="717" w:right="60" w:hanging="720"/>
              <w:rPr>
                <w:color w:val="000000" w:themeColor="text1"/>
                <w:sz w:val="20"/>
                <w:szCs w:val="18"/>
              </w:rPr>
            </w:pPr>
            <w:r w:rsidRPr="00100794">
              <w:rPr>
                <w:color w:val="000000" w:themeColor="text1"/>
                <w:sz w:val="20"/>
                <w:szCs w:val="18"/>
              </w:rPr>
              <w:t>Stress</w:t>
            </w:r>
          </w:p>
        </w:tc>
        <w:tc>
          <w:tcPr>
            <w:tcW w:w="2404" w:type="dxa"/>
            <w:vMerge w:val="restart"/>
          </w:tcPr>
          <w:p w14:paraId="59022ABF" w14:textId="77777777" w:rsidR="00272CF8" w:rsidRPr="00100794" w:rsidRDefault="00000000" w:rsidP="00272CF8">
            <w:pPr>
              <w:spacing w:after="0" w:line="360" w:lineRule="auto"/>
              <w:ind w:left="717" w:right="60" w:hanging="720"/>
              <w:rPr>
                <w:color w:val="000000" w:themeColor="text1"/>
                <w:sz w:val="20"/>
                <w:szCs w:val="18"/>
              </w:rPr>
            </w:pPr>
            <w:r w:rsidRPr="00100794">
              <w:rPr>
                <w:i/>
                <w:iCs/>
                <w:color w:val="000000" w:themeColor="text1"/>
                <w:sz w:val="20"/>
                <w:szCs w:val="18"/>
              </w:rPr>
              <w:t>Lactobacillus s</w:t>
            </w:r>
            <w:r w:rsidRPr="00100794">
              <w:rPr>
                <w:color w:val="000000" w:themeColor="text1"/>
                <w:sz w:val="20"/>
                <w:szCs w:val="18"/>
              </w:rPr>
              <w:t>pp</w:t>
            </w:r>
          </w:p>
        </w:tc>
        <w:tc>
          <w:tcPr>
            <w:tcW w:w="3457" w:type="dxa"/>
          </w:tcPr>
          <w:p w14:paraId="432EBC46" w14:textId="77777777" w:rsidR="00272CF8" w:rsidRPr="00100794" w:rsidRDefault="00000000"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L. plantarum </w:t>
            </w:r>
            <w:r w:rsidRPr="00100794">
              <w:rPr>
                <w:color w:val="000000" w:themeColor="text1"/>
                <w:sz w:val="20"/>
                <w:szCs w:val="18"/>
              </w:rPr>
              <w:t>PS128</w:t>
            </w:r>
          </w:p>
        </w:tc>
      </w:tr>
      <w:tr w:rsidR="00F61149" w14:paraId="406AD427" w14:textId="77777777" w:rsidTr="003C34FD">
        <w:trPr>
          <w:trHeight w:val="132"/>
        </w:trPr>
        <w:tc>
          <w:tcPr>
            <w:tcW w:w="1798" w:type="dxa"/>
            <w:vMerge/>
          </w:tcPr>
          <w:p w14:paraId="6FDF29E1"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tcPr>
          <w:p w14:paraId="5F5696A5" w14:textId="77777777" w:rsidR="00272CF8" w:rsidRPr="00100794" w:rsidRDefault="00272CF8" w:rsidP="00272CF8">
            <w:pPr>
              <w:spacing w:after="0" w:line="360" w:lineRule="auto"/>
              <w:ind w:left="717" w:right="60" w:hanging="720"/>
              <w:rPr>
                <w:color w:val="000000" w:themeColor="text1"/>
                <w:sz w:val="20"/>
                <w:szCs w:val="18"/>
              </w:rPr>
            </w:pPr>
          </w:p>
        </w:tc>
        <w:tc>
          <w:tcPr>
            <w:tcW w:w="3457" w:type="dxa"/>
          </w:tcPr>
          <w:p w14:paraId="17DE262A" w14:textId="77777777" w:rsidR="00272CF8" w:rsidRPr="00100794" w:rsidRDefault="00000000" w:rsidP="00272CF8">
            <w:pPr>
              <w:spacing w:after="0" w:line="360" w:lineRule="auto"/>
              <w:ind w:left="717" w:right="60" w:hanging="720"/>
              <w:rPr>
                <w:i/>
                <w:color w:val="000000" w:themeColor="text1"/>
                <w:sz w:val="20"/>
                <w:szCs w:val="18"/>
              </w:rPr>
            </w:pPr>
            <w:r w:rsidRPr="00100794">
              <w:rPr>
                <w:i/>
                <w:color w:val="000000" w:themeColor="text1"/>
                <w:sz w:val="20"/>
                <w:szCs w:val="18"/>
              </w:rPr>
              <w:t>L. rhamnosus</w:t>
            </w:r>
          </w:p>
        </w:tc>
      </w:tr>
      <w:tr w:rsidR="00F61149" w14:paraId="559861B6" w14:textId="77777777" w:rsidTr="003C34FD">
        <w:trPr>
          <w:trHeight w:val="132"/>
        </w:trPr>
        <w:tc>
          <w:tcPr>
            <w:tcW w:w="1798" w:type="dxa"/>
            <w:vMerge/>
          </w:tcPr>
          <w:p w14:paraId="5D59AD2A"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val="restart"/>
          </w:tcPr>
          <w:p w14:paraId="54550BA8" w14:textId="77777777" w:rsidR="00272CF8" w:rsidRPr="00100794" w:rsidRDefault="00000000" w:rsidP="00272CF8">
            <w:pPr>
              <w:spacing w:after="0" w:line="360" w:lineRule="auto"/>
              <w:ind w:left="717" w:right="60" w:hanging="720"/>
              <w:rPr>
                <w:color w:val="000000" w:themeColor="text1"/>
                <w:sz w:val="20"/>
                <w:szCs w:val="18"/>
              </w:rPr>
            </w:pPr>
            <w:r w:rsidRPr="00100794">
              <w:rPr>
                <w:i/>
                <w:iCs/>
                <w:color w:val="000000" w:themeColor="text1"/>
                <w:sz w:val="20"/>
                <w:szCs w:val="18"/>
              </w:rPr>
              <w:t>Bifidobacterium</w:t>
            </w:r>
            <w:r w:rsidRPr="00100794">
              <w:rPr>
                <w:color w:val="000000" w:themeColor="text1"/>
                <w:sz w:val="20"/>
                <w:szCs w:val="18"/>
              </w:rPr>
              <w:t xml:space="preserve"> spp</w:t>
            </w:r>
          </w:p>
        </w:tc>
        <w:tc>
          <w:tcPr>
            <w:tcW w:w="3457" w:type="dxa"/>
          </w:tcPr>
          <w:p w14:paraId="5DAD1F58" w14:textId="77777777" w:rsidR="00272CF8" w:rsidRPr="00100794" w:rsidRDefault="00000000" w:rsidP="00272CF8">
            <w:pPr>
              <w:spacing w:after="0" w:line="360" w:lineRule="auto"/>
              <w:ind w:left="717" w:right="60" w:hanging="720"/>
              <w:rPr>
                <w:i/>
                <w:color w:val="000000" w:themeColor="text1"/>
                <w:sz w:val="20"/>
                <w:szCs w:val="18"/>
              </w:rPr>
            </w:pPr>
            <w:r w:rsidRPr="00100794">
              <w:rPr>
                <w:i/>
                <w:color w:val="000000" w:themeColor="text1"/>
                <w:sz w:val="20"/>
                <w:szCs w:val="18"/>
              </w:rPr>
              <w:t>B. infantis</w:t>
            </w:r>
          </w:p>
        </w:tc>
      </w:tr>
      <w:tr w:rsidR="00F61149" w14:paraId="6B3D04A5" w14:textId="77777777" w:rsidTr="003C34FD">
        <w:trPr>
          <w:trHeight w:val="132"/>
        </w:trPr>
        <w:tc>
          <w:tcPr>
            <w:tcW w:w="1798" w:type="dxa"/>
            <w:vMerge/>
          </w:tcPr>
          <w:p w14:paraId="51E96ECA"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tcPr>
          <w:p w14:paraId="034C15E6" w14:textId="77777777" w:rsidR="00272CF8" w:rsidRPr="00100794" w:rsidRDefault="00272CF8" w:rsidP="00272CF8">
            <w:pPr>
              <w:spacing w:after="0" w:line="360" w:lineRule="auto"/>
              <w:ind w:left="717" w:right="60" w:hanging="720"/>
              <w:rPr>
                <w:color w:val="000000" w:themeColor="text1"/>
                <w:sz w:val="20"/>
                <w:szCs w:val="18"/>
              </w:rPr>
            </w:pPr>
          </w:p>
        </w:tc>
        <w:tc>
          <w:tcPr>
            <w:tcW w:w="3457" w:type="dxa"/>
          </w:tcPr>
          <w:p w14:paraId="18F0DC38" w14:textId="77777777" w:rsidR="00272CF8" w:rsidRPr="00100794" w:rsidRDefault="00000000"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B. longum </w:t>
            </w:r>
            <w:r w:rsidRPr="00100794">
              <w:rPr>
                <w:color w:val="000000" w:themeColor="text1"/>
                <w:sz w:val="20"/>
                <w:szCs w:val="18"/>
              </w:rPr>
              <w:t>R0175</w:t>
            </w:r>
          </w:p>
        </w:tc>
      </w:tr>
    </w:tbl>
    <w:p w14:paraId="1EE8168B" w14:textId="77777777" w:rsidR="00ED522C" w:rsidRDefault="00ED522C" w:rsidP="00EB4C8F">
      <w:pPr>
        <w:spacing w:after="0"/>
        <w:ind w:right="60" w:firstLine="0"/>
        <w:rPr>
          <w:color w:val="000000" w:themeColor="text1"/>
        </w:rPr>
      </w:pPr>
    </w:p>
    <w:p w14:paraId="48B59BDA" w14:textId="77777777" w:rsidR="00B0069F" w:rsidRPr="00100794" w:rsidRDefault="00000000" w:rsidP="0080314E">
      <w:pPr>
        <w:spacing w:after="0"/>
        <w:ind w:left="717" w:right="60" w:hanging="720"/>
        <w:rPr>
          <w:b/>
          <w:bCs/>
          <w:color w:val="000000" w:themeColor="text1"/>
          <w:sz w:val="20"/>
          <w:szCs w:val="18"/>
        </w:rPr>
      </w:pPr>
      <w:r w:rsidRPr="00100794">
        <w:rPr>
          <w:b/>
          <w:bCs/>
          <w:color w:val="000000" w:themeColor="text1"/>
          <w:sz w:val="20"/>
          <w:szCs w:val="18"/>
        </w:rPr>
        <w:t>Conclusion</w:t>
      </w:r>
    </w:p>
    <w:p w14:paraId="7A28CD5D" w14:textId="1323572C" w:rsidR="00F22FFD" w:rsidRPr="00F22FFD" w:rsidRDefault="00000000" w:rsidP="00B23B1F">
      <w:pPr>
        <w:spacing w:after="0"/>
        <w:ind w:left="-3" w:right="60" w:firstLine="0"/>
        <w:rPr>
          <w:color w:val="000000" w:themeColor="text1"/>
          <w:sz w:val="20"/>
          <w:szCs w:val="18"/>
        </w:rPr>
      </w:pPr>
      <w:r w:rsidRPr="00100794">
        <w:rPr>
          <w:color w:val="000000" w:themeColor="text1"/>
          <w:sz w:val="20"/>
          <w:szCs w:val="18"/>
          <w:lang w:val="en-IN"/>
        </w:rPr>
        <w:t xml:space="preserve">Here, we discussed various aspects of probiotics, including their history, classification, benefits, and potential applications in human health. It highlights the </w:t>
      </w:r>
      <w:r w:rsidR="00D804FC">
        <w:rPr>
          <w:color w:val="000000" w:themeColor="text1"/>
          <w:sz w:val="20"/>
          <w:szCs w:val="18"/>
          <w:lang w:val="en-IN"/>
        </w:rPr>
        <w:t>function</w:t>
      </w:r>
      <w:r w:rsidRPr="00100794">
        <w:rPr>
          <w:color w:val="000000" w:themeColor="text1"/>
          <w:sz w:val="20"/>
          <w:szCs w:val="18"/>
          <w:lang w:val="en-IN"/>
        </w:rPr>
        <w:t xml:space="preserve"> of probiotics in </w:t>
      </w:r>
      <w:r w:rsidR="00D804FC">
        <w:rPr>
          <w:color w:val="000000" w:themeColor="text1"/>
          <w:sz w:val="20"/>
          <w:szCs w:val="18"/>
          <w:lang w:val="en-IN"/>
        </w:rPr>
        <w:t>enhancing</w:t>
      </w:r>
      <w:r w:rsidRPr="00100794">
        <w:rPr>
          <w:color w:val="000000" w:themeColor="text1"/>
          <w:sz w:val="20"/>
          <w:szCs w:val="18"/>
          <w:lang w:val="en-IN"/>
        </w:rPr>
        <w:t xml:space="preserve"> gut health, improving digestion, </w:t>
      </w:r>
      <w:r w:rsidR="000C3B48">
        <w:rPr>
          <w:color w:val="000000" w:themeColor="text1"/>
          <w:sz w:val="20"/>
          <w:szCs w:val="18"/>
          <w:lang w:val="en-IN"/>
        </w:rPr>
        <w:t>maintaining</w:t>
      </w:r>
      <w:r w:rsidRPr="00100794">
        <w:rPr>
          <w:color w:val="000000" w:themeColor="text1"/>
          <w:sz w:val="20"/>
          <w:szCs w:val="18"/>
          <w:lang w:val="en-IN"/>
        </w:rPr>
        <w:t xml:space="preserve"> various health conditions such as diarrhea, lactose intolerance, allergies, immune function, and even their potential use in mental health (psychobiotics). </w:t>
      </w:r>
      <w:r w:rsidR="00441B09" w:rsidRPr="00441B09">
        <w:rPr>
          <w:color w:val="000000" w:themeColor="text1"/>
          <w:sz w:val="20"/>
          <w:szCs w:val="18"/>
          <w:lang w:val="en-IN"/>
        </w:rPr>
        <w:t>It explores the factors considered when choosing probiotic organisms, such as their ability to withstand acidic and bile conditions, adhere to mucosal surfaces, exhibit antimicrobial properties, engage in bile salt hydrolase activity, and possess distinct cell surface characteristics</w:t>
      </w:r>
      <w:r w:rsidR="00B02D7F">
        <w:rPr>
          <w:color w:val="000000" w:themeColor="text1"/>
          <w:sz w:val="20"/>
          <w:szCs w:val="18"/>
          <w:lang w:val="en-IN"/>
        </w:rPr>
        <w:t xml:space="preserve">. </w:t>
      </w:r>
      <w:r w:rsidR="00241507" w:rsidRPr="00241507">
        <w:rPr>
          <w:color w:val="000000" w:themeColor="text1"/>
          <w:sz w:val="20"/>
          <w:szCs w:val="18"/>
          <w:lang w:val="en-IN"/>
        </w:rPr>
        <w:t>Furthermore, it highlights the significance of probiotics' ability to modulate the immune system and their role in preserving the balance of the intestinal environment.</w:t>
      </w:r>
      <w:r w:rsidRPr="00100794">
        <w:rPr>
          <w:color w:val="000000" w:themeColor="text1"/>
          <w:sz w:val="20"/>
          <w:szCs w:val="18"/>
          <w:lang w:val="en-IN"/>
        </w:rPr>
        <w:t xml:space="preserve"> </w:t>
      </w:r>
      <w:r w:rsidRPr="00F22FFD">
        <w:rPr>
          <w:color w:val="000000" w:themeColor="text1"/>
          <w:sz w:val="20"/>
          <w:szCs w:val="18"/>
          <w:lang w:val="en-IN"/>
        </w:rPr>
        <w:t xml:space="preserve">The </w:t>
      </w:r>
      <w:r w:rsidRPr="00100794">
        <w:rPr>
          <w:color w:val="000000" w:themeColor="text1"/>
          <w:sz w:val="20"/>
          <w:szCs w:val="18"/>
          <w:lang w:val="en-IN"/>
        </w:rPr>
        <w:t xml:space="preserve">chapter </w:t>
      </w:r>
      <w:r w:rsidRPr="00F22FFD">
        <w:rPr>
          <w:color w:val="000000" w:themeColor="text1"/>
          <w:sz w:val="20"/>
          <w:szCs w:val="18"/>
          <w:lang w:val="en-IN"/>
        </w:rPr>
        <w:t>also mentions the significant part of the gut microbiota in human health and digestion. It explains how gut flora develops from birth and how introducing probiotics into the diet can help modulate and maintain a healthy gut microbiome.</w:t>
      </w:r>
      <w:r w:rsidRPr="00100794">
        <w:rPr>
          <w:color w:val="000000" w:themeColor="text1"/>
          <w:sz w:val="20"/>
          <w:szCs w:val="18"/>
          <w:lang w:val="en-IN"/>
        </w:rPr>
        <w:t xml:space="preserve"> </w:t>
      </w:r>
      <w:r w:rsidRPr="00F22FFD">
        <w:rPr>
          <w:color w:val="000000" w:themeColor="text1"/>
          <w:sz w:val="20"/>
          <w:szCs w:val="18"/>
          <w:lang w:val="en-IN"/>
        </w:rPr>
        <w:t xml:space="preserve">Additionally, psychobiotics is introduced, where certain probiotics are suggested to </w:t>
      </w:r>
      <w:r w:rsidR="003A1474">
        <w:rPr>
          <w:color w:val="000000" w:themeColor="text1"/>
          <w:sz w:val="20"/>
          <w:szCs w:val="18"/>
          <w:lang w:val="en-IN"/>
        </w:rPr>
        <w:t>beneficial</w:t>
      </w:r>
      <w:r w:rsidRPr="00F22FFD">
        <w:rPr>
          <w:color w:val="000000" w:themeColor="text1"/>
          <w:sz w:val="20"/>
          <w:szCs w:val="18"/>
          <w:lang w:val="en-IN"/>
        </w:rPr>
        <w:t xml:space="preserve"> </w:t>
      </w:r>
      <w:r w:rsidR="003A1474">
        <w:rPr>
          <w:color w:val="000000" w:themeColor="text1"/>
          <w:sz w:val="20"/>
          <w:szCs w:val="18"/>
          <w:lang w:val="en-IN"/>
        </w:rPr>
        <w:t>affect</w:t>
      </w:r>
      <w:r w:rsidRPr="00F22FFD">
        <w:rPr>
          <w:color w:val="000000" w:themeColor="text1"/>
          <w:sz w:val="20"/>
          <w:szCs w:val="18"/>
          <w:lang w:val="en-IN"/>
        </w:rPr>
        <w:t xml:space="preserve"> mental healt</w:t>
      </w:r>
      <w:r w:rsidR="003A1474">
        <w:rPr>
          <w:color w:val="000000" w:themeColor="text1"/>
          <w:sz w:val="20"/>
          <w:szCs w:val="18"/>
          <w:lang w:val="en-IN"/>
        </w:rPr>
        <w:t>h</w:t>
      </w:r>
      <w:r w:rsidRPr="00F22FFD">
        <w:rPr>
          <w:color w:val="000000" w:themeColor="text1"/>
          <w:sz w:val="20"/>
          <w:szCs w:val="18"/>
          <w:lang w:val="en-IN"/>
        </w:rPr>
        <w:t xml:space="preserve"> by influencing the gut-brain axis and affecting neurotransmitter levels.</w:t>
      </w:r>
      <w:r w:rsidR="00B23B1F" w:rsidRPr="00100794">
        <w:rPr>
          <w:color w:val="000000" w:themeColor="text1"/>
          <w:sz w:val="20"/>
          <w:szCs w:val="18"/>
        </w:rPr>
        <w:t xml:space="preserve"> Overall, probiotic bacteria are beneficial for gut health and also help to improve immunity and boost health.</w:t>
      </w:r>
    </w:p>
    <w:p w14:paraId="0A5B5A74" w14:textId="77777777" w:rsidR="00F22FFD" w:rsidRDefault="00F22FFD" w:rsidP="0080314E">
      <w:pPr>
        <w:spacing w:after="0"/>
        <w:ind w:left="717" w:right="60" w:hanging="720"/>
        <w:rPr>
          <w:b/>
          <w:bCs/>
          <w:color w:val="000000" w:themeColor="text1"/>
        </w:rPr>
      </w:pPr>
    </w:p>
    <w:p w14:paraId="6DA9DCBE" w14:textId="77777777" w:rsidR="00B0069F" w:rsidRPr="00ED522C" w:rsidRDefault="00000000" w:rsidP="0080314E">
      <w:pPr>
        <w:spacing w:after="0"/>
        <w:ind w:left="717" w:right="60" w:hanging="720"/>
        <w:rPr>
          <w:rFonts w:cs="Times New Roman"/>
          <w:b/>
          <w:bCs/>
          <w:color w:val="000000" w:themeColor="text1"/>
          <w:sz w:val="16"/>
          <w:szCs w:val="16"/>
        </w:rPr>
      </w:pPr>
      <w:r w:rsidRPr="00ED522C">
        <w:rPr>
          <w:rFonts w:cs="Times New Roman"/>
          <w:b/>
          <w:bCs/>
          <w:color w:val="000000" w:themeColor="text1"/>
          <w:sz w:val="16"/>
          <w:szCs w:val="16"/>
        </w:rPr>
        <w:t>References</w:t>
      </w:r>
    </w:p>
    <w:p w14:paraId="2886659A"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Aiba, Y., Suzuki, N., Kabir, A. M., Takagi, A. and Koga, Y. (1998). Lactic acidmediated suppression of </w:t>
      </w:r>
      <w:r w:rsidRPr="00ED522C">
        <w:rPr>
          <w:rFonts w:cs="Times New Roman"/>
          <w:i/>
          <w:color w:val="000000" w:themeColor="text1"/>
          <w:sz w:val="16"/>
          <w:szCs w:val="16"/>
        </w:rPr>
        <w:t>Helicobacter pylori</w:t>
      </w:r>
      <w:r w:rsidRPr="00ED522C">
        <w:rPr>
          <w:rFonts w:cs="Times New Roman"/>
          <w:color w:val="000000" w:themeColor="text1"/>
          <w:sz w:val="16"/>
          <w:szCs w:val="16"/>
        </w:rPr>
        <w:t xml:space="preserve"> by the oral administration of </w:t>
      </w:r>
      <w:r w:rsidRPr="00ED522C">
        <w:rPr>
          <w:rFonts w:cs="Times New Roman"/>
          <w:i/>
          <w:color w:val="000000" w:themeColor="text1"/>
          <w:sz w:val="16"/>
          <w:szCs w:val="16"/>
        </w:rPr>
        <w:t>Lactobacillus salivarius</w:t>
      </w:r>
      <w:r w:rsidRPr="00ED522C">
        <w:rPr>
          <w:rFonts w:cs="Times New Roman"/>
          <w:color w:val="000000" w:themeColor="text1"/>
          <w:sz w:val="16"/>
          <w:szCs w:val="16"/>
        </w:rPr>
        <w:t xml:space="preserve"> as a probiotic in a gnotobiotic murine model. </w:t>
      </w:r>
      <w:r w:rsidRPr="00ED522C">
        <w:rPr>
          <w:rFonts w:cs="Times New Roman"/>
          <w:i/>
          <w:color w:val="000000" w:themeColor="text1"/>
          <w:sz w:val="16"/>
          <w:szCs w:val="16"/>
        </w:rPr>
        <w:t>The American Journal of Gastroenterology</w:t>
      </w:r>
      <w:r w:rsidRPr="00ED522C">
        <w:rPr>
          <w:rFonts w:cs="Times New Roman"/>
          <w:color w:val="000000" w:themeColor="text1"/>
          <w:sz w:val="16"/>
          <w:szCs w:val="16"/>
        </w:rPr>
        <w:t xml:space="preserve">, </w:t>
      </w:r>
      <w:r w:rsidRPr="00ED522C">
        <w:rPr>
          <w:rFonts w:cs="Times New Roman"/>
          <w:b/>
          <w:i/>
          <w:color w:val="000000" w:themeColor="text1"/>
          <w:sz w:val="16"/>
          <w:szCs w:val="16"/>
        </w:rPr>
        <w:t>93</w:t>
      </w:r>
      <w:r w:rsidRPr="00ED522C">
        <w:rPr>
          <w:rFonts w:cs="Times New Roman"/>
          <w:b/>
          <w:color w:val="000000" w:themeColor="text1"/>
          <w:sz w:val="16"/>
          <w:szCs w:val="16"/>
        </w:rPr>
        <w:t>(11)</w:t>
      </w:r>
      <w:r w:rsidRPr="00ED522C">
        <w:rPr>
          <w:rFonts w:cs="Times New Roman"/>
          <w:color w:val="000000" w:themeColor="text1"/>
          <w:sz w:val="16"/>
          <w:szCs w:val="16"/>
        </w:rPr>
        <w:t xml:space="preserve">, 2097-2101. </w:t>
      </w:r>
    </w:p>
    <w:p w14:paraId="46F49318"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Alm, L. (1982). Effect of fermentation on lactose, glucose, and galactose content in milk and suitability of fermented milk products for lactose intolerant individuals. </w:t>
      </w:r>
      <w:r w:rsidRPr="00ED522C">
        <w:rPr>
          <w:rFonts w:cs="Times New Roman"/>
          <w:i/>
          <w:color w:val="000000" w:themeColor="text1"/>
          <w:sz w:val="16"/>
          <w:szCs w:val="16"/>
        </w:rPr>
        <w:t>Journal of Dairy Science</w:t>
      </w:r>
      <w:r w:rsidRPr="00ED522C">
        <w:rPr>
          <w:rFonts w:cs="Times New Roman"/>
          <w:color w:val="000000" w:themeColor="text1"/>
          <w:sz w:val="16"/>
          <w:szCs w:val="16"/>
        </w:rPr>
        <w:t xml:space="preserve">, </w:t>
      </w:r>
      <w:r w:rsidRPr="00ED522C">
        <w:rPr>
          <w:rFonts w:cs="Times New Roman"/>
          <w:b/>
          <w:i/>
          <w:color w:val="000000" w:themeColor="text1"/>
          <w:sz w:val="16"/>
          <w:szCs w:val="16"/>
        </w:rPr>
        <w:t>65</w:t>
      </w:r>
      <w:r w:rsidRPr="00ED522C">
        <w:rPr>
          <w:rFonts w:cs="Times New Roman"/>
          <w:b/>
          <w:color w:val="000000" w:themeColor="text1"/>
          <w:sz w:val="16"/>
          <w:szCs w:val="16"/>
        </w:rPr>
        <w:t>(3),</w:t>
      </w:r>
      <w:r w:rsidRPr="00ED522C">
        <w:rPr>
          <w:rFonts w:cs="Times New Roman"/>
          <w:color w:val="000000" w:themeColor="text1"/>
          <w:sz w:val="16"/>
          <w:szCs w:val="16"/>
        </w:rPr>
        <w:t xml:space="preserve"> 346-352. </w:t>
      </w:r>
    </w:p>
    <w:p w14:paraId="2FBBEADE"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Arokiyamary, A., and Sivakumar, P. K. (2011). Antibacterial activity of Bacterocin producing </w:t>
      </w:r>
      <w:r w:rsidRPr="00ED522C">
        <w:rPr>
          <w:rFonts w:cs="Times New Roman"/>
          <w:i/>
          <w:color w:val="000000" w:themeColor="text1"/>
          <w:sz w:val="16"/>
          <w:szCs w:val="16"/>
        </w:rPr>
        <w:t>Lactobacillus sp.,</w:t>
      </w:r>
      <w:r w:rsidRPr="00ED522C">
        <w:rPr>
          <w:rFonts w:cs="Times New Roman"/>
          <w:color w:val="000000" w:themeColor="text1"/>
          <w:sz w:val="16"/>
          <w:szCs w:val="16"/>
        </w:rPr>
        <w:t xml:space="preserve"> isolated from traditional milk products. </w:t>
      </w:r>
      <w:r w:rsidRPr="00ED522C">
        <w:rPr>
          <w:rFonts w:cs="Times New Roman"/>
          <w:i/>
          <w:color w:val="000000" w:themeColor="text1"/>
          <w:sz w:val="16"/>
          <w:szCs w:val="16"/>
        </w:rPr>
        <w:t>Current Botany,</w:t>
      </w:r>
      <w:r w:rsidRPr="00ED522C">
        <w:rPr>
          <w:rFonts w:cs="Times New Roman"/>
          <w:color w:val="000000" w:themeColor="text1"/>
          <w:sz w:val="16"/>
          <w:szCs w:val="16"/>
        </w:rPr>
        <w:t xml:space="preserve"> </w:t>
      </w:r>
      <w:r w:rsidRPr="00ED522C">
        <w:rPr>
          <w:rFonts w:cs="Times New Roman"/>
          <w:b/>
          <w:color w:val="000000" w:themeColor="text1"/>
          <w:sz w:val="16"/>
          <w:szCs w:val="16"/>
        </w:rPr>
        <w:t>2</w:t>
      </w:r>
      <w:r w:rsidRPr="00ED522C">
        <w:rPr>
          <w:rFonts w:cs="Times New Roman"/>
          <w:color w:val="000000" w:themeColor="text1"/>
          <w:sz w:val="16"/>
          <w:szCs w:val="16"/>
        </w:rPr>
        <w:t xml:space="preserve">(3). </w:t>
      </w:r>
    </w:p>
    <w:p w14:paraId="572E16BF" w14:textId="77777777" w:rsidR="00B23B1F" w:rsidRPr="00ED522C" w:rsidRDefault="00000000" w:rsidP="0031575B">
      <w:pPr>
        <w:autoSpaceDE w:val="0"/>
        <w:autoSpaceDN w:val="0"/>
        <w:adjustRightInd w:val="0"/>
        <w:spacing w:after="0"/>
        <w:ind w:left="720" w:hanging="720"/>
        <w:rPr>
          <w:rFonts w:cs="Times New Roman"/>
          <w:color w:val="0D0D0D" w:themeColor="text1" w:themeTint="F2"/>
          <w:sz w:val="16"/>
          <w:szCs w:val="16"/>
          <w:lang w:bidi="hi-IN"/>
        </w:rPr>
      </w:pPr>
      <w:r w:rsidRPr="00ED522C">
        <w:rPr>
          <w:rFonts w:cs="Times New Roman"/>
          <w:color w:val="0D0D0D" w:themeColor="text1" w:themeTint="F2"/>
          <w:sz w:val="16"/>
          <w:szCs w:val="16"/>
          <w:lang w:bidi="hi-IN"/>
        </w:rPr>
        <w:t xml:space="preserve">Barbosa, M. D. T., Romero, A. H., Amezquita, L. E. G. and Cayuela, T. G. 2020. Psychobiotics: mechanisms of action, evaluation methods and effectiveness in applications with food products. </w:t>
      </w:r>
      <w:r w:rsidRPr="00ED522C">
        <w:rPr>
          <w:rFonts w:cs="Times New Roman"/>
          <w:i/>
          <w:iCs/>
          <w:color w:val="0D0D0D" w:themeColor="text1" w:themeTint="F2"/>
          <w:sz w:val="16"/>
          <w:szCs w:val="16"/>
          <w:lang w:bidi="hi-IN"/>
        </w:rPr>
        <w:t xml:space="preserve">Nutrients </w:t>
      </w:r>
      <w:r w:rsidRPr="00ED522C">
        <w:rPr>
          <w:rFonts w:cs="Times New Roman"/>
          <w:b/>
          <w:bCs/>
          <w:color w:val="0D0D0D" w:themeColor="text1" w:themeTint="F2"/>
          <w:sz w:val="16"/>
          <w:szCs w:val="16"/>
          <w:lang w:bidi="hi-IN"/>
        </w:rPr>
        <w:t xml:space="preserve">12: </w:t>
      </w:r>
      <w:r w:rsidRPr="00ED522C">
        <w:rPr>
          <w:rFonts w:cs="Times New Roman"/>
          <w:color w:val="0D0D0D" w:themeColor="text1" w:themeTint="F2"/>
          <w:sz w:val="16"/>
          <w:szCs w:val="16"/>
          <w:lang w:bidi="hi-IN"/>
        </w:rPr>
        <w:t>1-31.</w:t>
      </w:r>
    </w:p>
    <w:p w14:paraId="1E2B7DE6" w14:textId="77777777" w:rsidR="00B23B1F" w:rsidRPr="00ED522C" w:rsidRDefault="00000000" w:rsidP="00916955">
      <w:pPr>
        <w:autoSpaceDE w:val="0"/>
        <w:autoSpaceDN w:val="0"/>
        <w:adjustRightInd w:val="0"/>
        <w:spacing w:after="0"/>
        <w:ind w:left="720" w:hanging="720"/>
        <w:rPr>
          <w:rFonts w:cs="Times New Roman"/>
          <w:color w:val="0D0D0D" w:themeColor="text1" w:themeTint="F2"/>
          <w:sz w:val="16"/>
          <w:szCs w:val="16"/>
        </w:rPr>
      </w:pPr>
      <w:r w:rsidRPr="00ED522C">
        <w:rPr>
          <w:rFonts w:cs="Times New Roman"/>
          <w:color w:val="0D0D0D" w:themeColor="text1" w:themeTint="F2"/>
          <w:sz w:val="16"/>
          <w:szCs w:val="16"/>
        </w:rPr>
        <w:t xml:space="preserve">Barrett, E., Ross, R. P., O’Toole, P. W., Fitzgerald, G. F.  and C. Stanton. 2012. Y-Aminobutyric acid production by culturable bacteria from the human intestine. </w:t>
      </w:r>
      <w:r w:rsidRPr="00ED522C">
        <w:rPr>
          <w:rFonts w:cs="Times New Roman"/>
          <w:i/>
          <w:iCs/>
          <w:color w:val="0D0D0D" w:themeColor="text1" w:themeTint="F2"/>
          <w:sz w:val="16"/>
          <w:szCs w:val="16"/>
        </w:rPr>
        <w:t>J. Appl. Microbiol.</w:t>
      </w:r>
      <w:r w:rsidRPr="00ED522C">
        <w:rPr>
          <w:rFonts w:cs="Times New Roman"/>
          <w:color w:val="0D0D0D" w:themeColor="text1" w:themeTint="F2"/>
          <w:sz w:val="16"/>
          <w:szCs w:val="16"/>
        </w:rPr>
        <w:t xml:space="preserve"> </w:t>
      </w:r>
      <w:r w:rsidRPr="00ED522C">
        <w:rPr>
          <w:rFonts w:cs="Times New Roman"/>
          <w:b/>
          <w:bCs/>
          <w:color w:val="0D0D0D" w:themeColor="text1" w:themeTint="F2"/>
          <w:sz w:val="16"/>
          <w:szCs w:val="16"/>
        </w:rPr>
        <w:t>113</w:t>
      </w:r>
      <w:r w:rsidRPr="00ED522C">
        <w:rPr>
          <w:rFonts w:cs="Times New Roman"/>
          <w:color w:val="0D0D0D" w:themeColor="text1" w:themeTint="F2"/>
          <w:sz w:val="16"/>
          <w:szCs w:val="16"/>
        </w:rPr>
        <w:t>:411–17.</w:t>
      </w:r>
    </w:p>
    <w:p w14:paraId="0589923C"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Bazzoli, F., Zagari, R. M., Pozzato, P., Fossi, S., Alampi, G., Scottili, S., Simoni, P., Roda, A. and Roda, E. (1994). 13C-Urea-breath-test to quantify Helicobacter pylori colonization of gastric mucosa and association with severity of inflammation. </w:t>
      </w:r>
      <w:r w:rsidRPr="00ED522C">
        <w:rPr>
          <w:rFonts w:cs="Times New Roman"/>
          <w:i/>
          <w:color w:val="000000" w:themeColor="text1"/>
          <w:sz w:val="16"/>
          <w:szCs w:val="16"/>
        </w:rPr>
        <w:t>Gastroenterology</w:t>
      </w:r>
      <w:r w:rsidRPr="00ED522C">
        <w:rPr>
          <w:rFonts w:cs="Times New Roman"/>
          <w:color w:val="000000" w:themeColor="text1"/>
          <w:sz w:val="16"/>
          <w:szCs w:val="16"/>
        </w:rPr>
        <w:t xml:space="preserve">, </w:t>
      </w:r>
      <w:r w:rsidRPr="00ED522C">
        <w:rPr>
          <w:rFonts w:cs="Times New Roman"/>
          <w:b/>
          <w:color w:val="000000" w:themeColor="text1"/>
          <w:sz w:val="16"/>
          <w:szCs w:val="16"/>
        </w:rPr>
        <w:t>106</w:t>
      </w:r>
      <w:r w:rsidRPr="00ED522C">
        <w:rPr>
          <w:rFonts w:cs="Times New Roman"/>
          <w:color w:val="000000" w:themeColor="text1"/>
          <w:sz w:val="16"/>
          <w:szCs w:val="16"/>
        </w:rPr>
        <w:t xml:space="preserve">, A48. </w:t>
      </w:r>
    </w:p>
    <w:p w14:paraId="09BBCBB0"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Benchimol, E. I., and Mack, D. R. (2004). Probiotics in relapsing and chronic diarrhoea. </w:t>
      </w:r>
      <w:r w:rsidRPr="00ED522C">
        <w:rPr>
          <w:rFonts w:cs="Times New Roman"/>
          <w:i/>
          <w:color w:val="000000" w:themeColor="text1"/>
          <w:sz w:val="16"/>
          <w:szCs w:val="16"/>
        </w:rPr>
        <w:t>Journal of Paediatric Haematology/Oncology</w:t>
      </w:r>
      <w:r w:rsidRPr="00ED522C">
        <w:rPr>
          <w:rFonts w:cs="Times New Roman"/>
          <w:color w:val="000000" w:themeColor="text1"/>
          <w:sz w:val="16"/>
          <w:szCs w:val="16"/>
        </w:rPr>
        <w:t xml:space="preserve">. </w:t>
      </w:r>
      <w:r w:rsidRPr="00ED522C">
        <w:rPr>
          <w:rFonts w:cs="Times New Roman"/>
          <w:b/>
          <w:i/>
          <w:color w:val="000000" w:themeColor="text1"/>
          <w:sz w:val="16"/>
          <w:szCs w:val="16"/>
        </w:rPr>
        <w:t>26</w:t>
      </w:r>
      <w:r w:rsidRPr="00ED522C">
        <w:rPr>
          <w:rFonts w:cs="Times New Roman"/>
          <w:b/>
          <w:color w:val="000000" w:themeColor="text1"/>
          <w:sz w:val="16"/>
          <w:szCs w:val="16"/>
        </w:rPr>
        <w:t>(8)</w:t>
      </w:r>
      <w:r w:rsidRPr="00ED522C">
        <w:rPr>
          <w:rFonts w:cs="Times New Roman"/>
          <w:color w:val="000000" w:themeColor="text1"/>
          <w:sz w:val="16"/>
          <w:szCs w:val="16"/>
        </w:rPr>
        <w:t xml:space="preserve">, 515-517. </w:t>
      </w:r>
    </w:p>
    <w:p w14:paraId="0481C1C8" w14:textId="77777777" w:rsidR="00B23B1F" w:rsidRPr="00ED522C" w:rsidRDefault="00000000" w:rsidP="0080314E">
      <w:pPr>
        <w:ind w:left="717" w:right="60" w:hanging="720"/>
        <w:rPr>
          <w:rFonts w:cs="Times New Roman"/>
          <w:color w:val="000000" w:themeColor="text1"/>
          <w:sz w:val="16"/>
          <w:szCs w:val="16"/>
        </w:rPr>
      </w:pPr>
      <w:hyperlink r:id="rId13">
        <w:r w:rsidRPr="00ED522C">
          <w:rPr>
            <w:rFonts w:cs="Times New Roman"/>
            <w:color w:val="000000" w:themeColor="text1"/>
            <w:sz w:val="16"/>
            <w:szCs w:val="16"/>
          </w:rPr>
          <w:t>Burns, A. J.</w:t>
        </w:r>
      </w:hyperlink>
      <w:r w:rsidRPr="00ED522C">
        <w:rPr>
          <w:rFonts w:cs="Times New Roman"/>
          <w:color w:val="000000" w:themeColor="text1"/>
          <w:sz w:val="16"/>
          <w:szCs w:val="16"/>
        </w:rPr>
        <w:t>, and</w:t>
      </w:r>
      <w:hyperlink r:id="rId14">
        <w:r w:rsidRPr="00ED522C">
          <w:rPr>
            <w:rFonts w:cs="Times New Roman"/>
            <w:color w:val="000000" w:themeColor="text1"/>
            <w:sz w:val="16"/>
            <w:szCs w:val="16"/>
          </w:rPr>
          <w:t xml:space="preserve"> </w:t>
        </w:r>
      </w:hyperlink>
      <w:hyperlink r:id="rId15">
        <w:r w:rsidRPr="00ED522C">
          <w:rPr>
            <w:rFonts w:cs="Times New Roman"/>
            <w:color w:val="000000" w:themeColor="text1"/>
            <w:sz w:val="16"/>
            <w:szCs w:val="16"/>
          </w:rPr>
          <w:t>Rowland, I. R.</w:t>
        </w:r>
      </w:hyperlink>
      <w:r w:rsidRPr="00ED522C">
        <w:rPr>
          <w:rFonts w:cs="Times New Roman"/>
          <w:color w:val="000000" w:themeColor="text1"/>
          <w:sz w:val="16"/>
          <w:szCs w:val="16"/>
        </w:rPr>
        <w:t xml:space="preserve"> (2000). Anti-carcinogenicity of probiotics and prebiotics.</w:t>
      </w:r>
      <w:r w:rsidRPr="00ED522C">
        <w:rPr>
          <w:rFonts w:cs="Times New Roman"/>
          <w:i/>
          <w:color w:val="000000" w:themeColor="text1"/>
          <w:sz w:val="16"/>
          <w:szCs w:val="16"/>
        </w:rPr>
        <w:t xml:space="preserve"> Current Issues in Intestinal Microbiology</w:t>
      </w:r>
      <w:r w:rsidRPr="00ED522C">
        <w:rPr>
          <w:rFonts w:cs="Times New Roman"/>
          <w:color w:val="000000" w:themeColor="text1"/>
          <w:sz w:val="16"/>
          <w:szCs w:val="16"/>
        </w:rPr>
        <w:t xml:space="preserve">, 1(1), 13-24. </w:t>
      </w:r>
    </w:p>
    <w:p w14:paraId="00F3DAE5"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Chinang, B. L., Sheih, Y. B., Wang, L. H., Lino, C. K., and Gill, H. S. (2000). Enhancing immunity by dietary optimization and definition of cellular immune responses. </w:t>
      </w:r>
      <w:r w:rsidRPr="00ED522C">
        <w:rPr>
          <w:rFonts w:cs="Times New Roman"/>
          <w:i/>
          <w:color w:val="000000" w:themeColor="text1"/>
          <w:sz w:val="16"/>
          <w:szCs w:val="16"/>
        </w:rPr>
        <w:t>European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54</w:t>
      </w:r>
      <w:r w:rsidRPr="00ED522C">
        <w:rPr>
          <w:rFonts w:cs="Times New Roman"/>
          <w:color w:val="000000" w:themeColor="text1"/>
          <w:sz w:val="16"/>
          <w:szCs w:val="16"/>
        </w:rPr>
        <w:t xml:space="preserve">(11), 849855.  </w:t>
      </w:r>
    </w:p>
    <w:p w14:paraId="26213060" w14:textId="77777777" w:rsidR="00B23B1F" w:rsidRPr="00ED522C" w:rsidRDefault="00000000" w:rsidP="0031575B">
      <w:pPr>
        <w:autoSpaceDE w:val="0"/>
        <w:autoSpaceDN w:val="0"/>
        <w:adjustRightInd w:val="0"/>
        <w:spacing w:after="0"/>
        <w:ind w:left="720" w:hanging="720"/>
        <w:rPr>
          <w:rFonts w:cs="Times New Roman"/>
          <w:color w:val="0D0D0D" w:themeColor="text1" w:themeTint="F2"/>
          <w:sz w:val="16"/>
          <w:szCs w:val="16"/>
          <w:lang w:bidi="hi-IN"/>
        </w:rPr>
      </w:pPr>
      <w:r w:rsidRPr="00ED522C">
        <w:rPr>
          <w:rFonts w:cs="Times New Roman"/>
          <w:color w:val="0D0D0D" w:themeColor="text1" w:themeTint="F2"/>
          <w:sz w:val="16"/>
          <w:szCs w:val="16"/>
          <w:lang w:bidi="hi-IN"/>
        </w:rPr>
        <w:t xml:space="preserve">Cryan, J. F., and Dinan, T. G. 2012. Mind-altering microorganisms: The impact of the gut microbiota on brain and behaviour. </w:t>
      </w:r>
      <w:r w:rsidRPr="00ED522C">
        <w:rPr>
          <w:rFonts w:cs="Times New Roman"/>
          <w:i/>
          <w:iCs/>
          <w:color w:val="0D0D0D" w:themeColor="text1" w:themeTint="F2"/>
          <w:sz w:val="16"/>
          <w:szCs w:val="16"/>
          <w:lang w:bidi="hi-IN"/>
        </w:rPr>
        <w:t>Nat. Rev. Neurosci</w:t>
      </w:r>
      <w:r w:rsidRPr="00ED522C">
        <w:rPr>
          <w:rFonts w:cs="Times New Roman"/>
          <w:color w:val="0D0D0D" w:themeColor="text1" w:themeTint="F2"/>
          <w:sz w:val="16"/>
          <w:szCs w:val="16"/>
          <w:lang w:bidi="hi-IN"/>
        </w:rPr>
        <w:t xml:space="preserve">. </w:t>
      </w:r>
      <w:r w:rsidRPr="00ED522C">
        <w:rPr>
          <w:rFonts w:cs="Times New Roman"/>
          <w:b/>
          <w:bCs/>
          <w:color w:val="0D0D0D" w:themeColor="text1" w:themeTint="F2"/>
          <w:sz w:val="16"/>
          <w:szCs w:val="16"/>
          <w:lang w:bidi="hi-IN"/>
        </w:rPr>
        <w:t>13</w:t>
      </w:r>
      <w:r w:rsidRPr="00ED522C">
        <w:rPr>
          <w:rFonts w:cs="Times New Roman"/>
          <w:color w:val="0D0D0D" w:themeColor="text1" w:themeTint="F2"/>
          <w:sz w:val="16"/>
          <w:szCs w:val="16"/>
          <w:lang w:bidi="hi-IN"/>
        </w:rPr>
        <w:t>:701–712.</w:t>
      </w:r>
    </w:p>
    <w:p w14:paraId="62499AA8" w14:textId="77777777" w:rsidR="00B23B1F" w:rsidRPr="00ED522C" w:rsidRDefault="00000000" w:rsidP="0025602B">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Cunningham-Rundles, S., Ahrne, S., Bengmark, S., Johann-Liang, R., Marshall, F., Metakis, L. and Cervia, J. (2000). Probiotics and immune response. </w:t>
      </w:r>
      <w:r w:rsidRPr="00ED522C">
        <w:rPr>
          <w:rFonts w:cs="Times New Roman"/>
          <w:i/>
          <w:color w:val="000000" w:themeColor="text1"/>
          <w:sz w:val="16"/>
          <w:szCs w:val="16"/>
        </w:rPr>
        <w:t>The American Journal of Gastro-enterology</w:t>
      </w:r>
      <w:r w:rsidRPr="00ED522C">
        <w:rPr>
          <w:rFonts w:cs="Times New Roman"/>
          <w:color w:val="000000" w:themeColor="text1"/>
          <w:sz w:val="16"/>
          <w:szCs w:val="16"/>
        </w:rPr>
        <w:t xml:space="preserve">, </w:t>
      </w:r>
      <w:r w:rsidRPr="00ED522C">
        <w:rPr>
          <w:rFonts w:cs="Times New Roman"/>
          <w:b/>
          <w:i/>
          <w:color w:val="000000" w:themeColor="text1"/>
          <w:sz w:val="16"/>
          <w:szCs w:val="16"/>
        </w:rPr>
        <w:t>95</w:t>
      </w:r>
      <w:r w:rsidRPr="00ED522C">
        <w:rPr>
          <w:rFonts w:cs="Times New Roman"/>
          <w:b/>
          <w:color w:val="000000" w:themeColor="text1"/>
          <w:sz w:val="16"/>
          <w:szCs w:val="16"/>
        </w:rPr>
        <w:t>(1),</w:t>
      </w:r>
      <w:r w:rsidRPr="00ED522C">
        <w:rPr>
          <w:rFonts w:cs="Times New Roman"/>
          <w:color w:val="000000" w:themeColor="text1"/>
          <w:sz w:val="16"/>
          <w:szCs w:val="16"/>
        </w:rPr>
        <w:t xml:space="preserve"> S22-S25.  </w:t>
      </w:r>
    </w:p>
    <w:p w14:paraId="3CBF04D2" w14:textId="77777777" w:rsidR="00B23B1F" w:rsidRPr="00ED522C" w:rsidRDefault="00000000" w:rsidP="00916955">
      <w:pPr>
        <w:spacing w:after="0"/>
        <w:ind w:left="720" w:hanging="720"/>
        <w:rPr>
          <w:rFonts w:cs="Times New Roman"/>
          <w:color w:val="0D0D0D" w:themeColor="text1" w:themeTint="F2"/>
          <w:sz w:val="16"/>
          <w:szCs w:val="16"/>
        </w:rPr>
      </w:pPr>
      <w:r w:rsidRPr="00ED522C">
        <w:rPr>
          <w:rFonts w:cs="Times New Roman"/>
          <w:color w:val="0D0D0D" w:themeColor="text1" w:themeTint="F2"/>
          <w:sz w:val="16"/>
          <w:szCs w:val="16"/>
        </w:rPr>
        <w:t xml:space="preserve">Davis, D. J., Doerr, H. M., Grzelak, A. K., Busi, S. B., Jasarevic, E., Ericsson, A. C. and Bryda, E. C. 2016. </w:t>
      </w:r>
      <w:r w:rsidRPr="00ED522C">
        <w:rPr>
          <w:rFonts w:cs="Times New Roman"/>
          <w:i/>
          <w:iCs/>
          <w:color w:val="0D0D0D" w:themeColor="text1" w:themeTint="F2"/>
          <w:sz w:val="16"/>
          <w:szCs w:val="16"/>
        </w:rPr>
        <w:t xml:space="preserve">Lactobacillus plantarum </w:t>
      </w:r>
      <w:r w:rsidRPr="00ED522C">
        <w:rPr>
          <w:rFonts w:cs="Times New Roman"/>
          <w:color w:val="0D0D0D" w:themeColor="text1" w:themeTint="F2"/>
          <w:sz w:val="16"/>
          <w:szCs w:val="16"/>
        </w:rPr>
        <w:t xml:space="preserve">attenuates anxiety-related behavior and protects against stress-induced dysbiosis in adult zebrafish. </w:t>
      </w:r>
      <w:r w:rsidRPr="00ED522C">
        <w:rPr>
          <w:rFonts w:cs="Times New Roman"/>
          <w:i/>
          <w:iCs/>
          <w:color w:val="0D0D0D" w:themeColor="text1" w:themeTint="F2"/>
          <w:sz w:val="16"/>
          <w:szCs w:val="16"/>
        </w:rPr>
        <w:t>Scientific Reports</w:t>
      </w:r>
      <w:r w:rsidRPr="00ED522C">
        <w:rPr>
          <w:rFonts w:cs="Times New Roman"/>
          <w:color w:val="0D0D0D" w:themeColor="text1" w:themeTint="F2"/>
          <w:sz w:val="16"/>
          <w:szCs w:val="16"/>
        </w:rPr>
        <w:t xml:space="preserve"> :1-11.</w:t>
      </w:r>
    </w:p>
    <w:p w14:paraId="0728D019"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Doron, S. and Gorbach, S. L. (2006). Probiotics: their role in the treatment and prevention of disease. </w:t>
      </w:r>
      <w:r w:rsidRPr="00ED522C">
        <w:rPr>
          <w:rFonts w:cs="Times New Roman"/>
          <w:i/>
          <w:color w:val="000000" w:themeColor="text1"/>
          <w:sz w:val="16"/>
          <w:szCs w:val="16"/>
        </w:rPr>
        <w:t>Expert Review of Anti-Infective Therapy</w:t>
      </w:r>
      <w:r w:rsidRPr="00ED522C">
        <w:rPr>
          <w:rFonts w:cs="Times New Roman"/>
          <w:b/>
          <w:color w:val="000000" w:themeColor="text1"/>
          <w:sz w:val="16"/>
          <w:szCs w:val="16"/>
        </w:rPr>
        <w:t>, 4</w:t>
      </w:r>
      <w:r w:rsidRPr="00ED522C">
        <w:rPr>
          <w:rFonts w:cs="Times New Roman"/>
          <w:color w:val="000000" w:themeColor="text1"/>
          <w:sz w:val="16"/>
          <w:szCs w:val="16"/>
        </w:rPr>
        <w:t>(2),</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261-275. </w:t>
      </w:r>
    </w:p>
    <w:p w14:paraId="43C40076" w14:textId="77777777" w:rsidR="00B23B1F" w:rsidRPr="00ED522C" w:rsidRDefault="00000000" w:rsidP="00B0069F">
      <w:pPr>
        <w:ind w:left="720" w:right="60" w:hanging="720"/>
        <w:rPr>
          <w:rFonts w:cs="Times New Roman"/>
          <w:color w:val="000000" w:themeColor="text1"/>
          <w:sz w:val="16"/>
          <w:szCs w:val="16"/>
        </w:rPr>
      </w:pPr>
      <w:r w:rsidRPr="00ED522C">
        <w:rPr>
          <w:rFonts w:cs="Times New Roman"/>
          <w:color w:val="000000" w:themeColor="text1"/>
          <w:sz w:val="16"/>
          <w:szCs w:val="16"/>
        </w:rPr>
        <w:t xml:space="preserve">FAO/WHO. (2002). Guidelines for evaluation of probiotics in food. London, Ontario: Food and Agriculture Organization of the United Nations and World Health Organization Working Group Report Pp:1-34.  </w:t>
      </w:r>
    </w:p>
    <w:p w14:paraId="51527D3E" w14:textId="77777777" w:rsidR="00B23B1F" w:rsidRPr="00ED522C" w:rsidRDefault="00000000" w:rsidP="009038C8">
      <w:pPr>
        <w:ind w:left="730" w:right="60" w:firstLine="0"/>
        <w:rPr>
          <w:rFonts w:cs="Times New Roman"/>
          <w:color w:val="000000" w:themeColor="text1"/>
          <w:sz w:val="16"/>
          <w:szCs w:val="16"/>
        </w:rPr>
      </w:pPr>
      <w:r w:rsidRPr="00ED522C">
        <w:rPr>
          <w:rFonts w:cs="Times New Roman"/>
          <w:color w:val="000000" w:themeColor="text1"/>
          <w:sz w:val="16"/>
          <w:szCs w:val="16"/>
        </w:rPr>
        <w:t xml:space="preserve">from rationale to clinical use. </w:t>
      </w:r>
      <w:r w:rsidRPr="00ED522C">
        <w:rPr>
          <w:rFonts w:cs="Times New Roman"/>
          <w:i/>
          <w:color w:val="000000" w:themeColor="text1"/>
          <w:sz w:val="16"/>
          <w:szCs w:val="16"/>
        </w:rPr>
        <w:t>Current Opinion in Gastroenterology,</w:t>
      </w:r>
      <w:r w:rsidRPr="00ED522C">
        <w:rPr>
          <w:rFonts w:cs="Times New Roman"/>
          <w:color w:val="000000" w:themeColor="text1"/>
          <w:sz w:val="16"/>
          <w:szCs w:val="16"/>
        </w:rPr>
        <w:t xml:space="preserve"> </w:t>
      </w:r>
      <w:r w:rsidRPr="00ED522C">
        <w:rPr>
          <w:rFonts w:cs="Times New Roman"/>
          <w:b/>
          <w:color w:val="000000" w:themeColor="text1"/>
          <w:sz w:val="16"/>
          <w:szCs w:val="16"/>
        </w:rPr>
        <w:t>21</w:t>
      </w:r>
      <w:r w:rsidRPr="00ED522C">
        <w:rPr>
          <w:rFonts w:cs="Times New Roman"/>
          <w:color w:val="000000" w:themeColor="text1"/>
          <w:sz w:val="16"/>
          <w:szCs w:val="16"/>
        </w:rPr>
        <w:t xml:space="preserve">(6), 697-701.  </w:t>
      </w:r>
    </w:p>
    <w:p w14:paraId="649B8D36" w14:textId="77777777" w:rsidR="00B23B1F" w:rsidRPr="00ED522C" w:rsidRDefault="00000000" w:rsidP="00E00056">
      <w:pPr>
        <w:shd w:val="clear" w:color="auto" w:fill="FCFCFC"/>
        <w:spacing w:after="117" w:line="259" w:lineRule="auto"/>
        <w:ind w:left="720" w:hanging="720"/>
        <w:jc w:val="left"/>
        <w:rPr>
          <w:rFonts w:cs="Times New Roman"/>
          <w:color w:val="000000" w:themeColor="text1"/>
          <w:sz w:val="16"/>
          <w:szCs w:val="16"/>
        </w:rPr>
      </w:pPr>
      <w:r w:rsidRPr="00ED522C">
        <w:rPr>
          <w:rFonts w:cs="Times New Roman"/>
          <w:color w:val="000000" w:themeColor="text1"/>
          <w:sz w:val="16"/>
          <w:szCs w:val="16"/>
        </w:rPr>
        <w:t xml:space="preserve">Fuller, R. (1989). Probiotics in man and animals. </w:t>
      </w:r>
      <w:r w:rsidRPr="00ED522C">
        <w:rPr>
          <w:rFonts w:cs="Times New Roman"/>
          <w:i/>
          <w:color w:val="000000" w:themeColor="text1"/>
          <w:sz w:val="16"/>
          <w:szCs w:val="16"/>
        </w:rPr>
        <w:t xml:space="preserve">Journal of Applied Bacteriology, </w:t>
      </w:r>
      <w:r w:rsidRPr="00ED522C">
        <w:rPr>
          <w:rFonts w:cs="Times New Roman"/>
          <w:b/>
          <w:color w:val="000000" w:themeColor="text1"/>
          <w:sz w:val="16"/>
          <w:szCs w:val="16"/>
        </w:rPr>
        <w:t>66,</w:t>
      </w:r>
      <w:r w:rsidRPr="00ED522C">
        <w:rPr>
          <w:rFonts w:cs="Times New Roman"/>
          <w:color w:val="000000" w:themeColor="text1"/>
          <w:sz w:val="16"/>
          <w:szCs w:val="16"/>
        </w:rPr>
        <w:t xml:space="preserve"> 365–78. </w:t>
      </w:r>
    </w:p>
    <w:p w14:paraId="3E853AB7"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Galdeano, C. M., De Leblanc, A. D. M., Vinderola, G., Bonet, M. B. and Perdigon, G. (2007). Proposed model: mechanisms of immunomodulation induced by probiotic bacteria. </w:t>
      </w:r>
      <w:r w:rsidRPr="00ED522C">
        <w:rPr>
          <w:rFonts w:cs="Times New Roman"/>
          <w:i/>
          <w:color w:val="000000" w:themeColor="text1"/>
          <w:sz w:val="16"/>
          <w:szCs w:val="16"/>
        </w:rPr>
        <w:t>Clinical and Vaccine Immunology</w:t>
      </w:r>
      <w:r w:rsidRPr="00ED522C">
        <w:rPr>
          <w:rFonts w:cs="Times New Roman"/>
          <w:color w:val="000000" w:themeColor="text1"/>
          <w:sz w:val="16"/>
          <w:szCs w:val="16"/>
        </w:rPr>
        <w:t xml:space="preserve">. </w:t>
      </w:r>
      <w:r w:rsidRPr="00ED522C">
        <w:rPr>
          <w:rFonts w:cs="Times New Roman"/>
          <w:b/>
          <w:i/>
          <w:color w:val="000000" w:themeColor="text1"/>
          <w:sz w:val="16"/>
          <w:szCs w:val="16"/>
        </w:rPr>
        <w:t>14</w:t>
      </w:r>
      <w:r w:rsidRPr="00ED522C">
        <w:rPr>
          <w:rFonts w:cs="Times New Roman"/>
          <w:b/>
          <w:color w:val="000000" w:themeColor="text1"/>
          <w:sz w:val="16"/>
          <w:szCs w:val="16"/>
        </w:rPr>
        <w:t>(5),</w:t>
      </w:r>
      <w:r w:rsidRPr="00ED522C">
        <w:rPr>
          <w:rFonts w:cs="Times New Roman"/>
          <w:color w:val="000000" w:themeColor="text1"/>
          <w:sz w:val="16"/>
          <w:szCs w:val="16"/>
        </w:rPr>
        <w:t xml:space="preserve"> 485-492. </w:t>
      </w:r>
    </w:p>
    <w:p w14:paraId="182A601D"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Ganguly, S., Sabikhi, L., and Singh, A. K. (2019). Effect of whey-pearl milletbarley based probiotic beverage on Shigella-induced pathogenicity in murine model. </w:t>
      </w:r>
      <w:r w:rsidRPr="00ED522C">
        <w:rPr>
          <w:rFonts w:cs="Times New Roman"/>
          <w:i/>
          <w:color w:val="000000" w:themeColor="text1"/>
          <w:sz w:val="16"/>
          <w:szCs w:val="16"/>
        </w:rPr>
        <w:t xml:space="preserve">Journal of Functional Foods, </w:t>
      </w:r>
      <w:r w:rsidRPr="00ED522C">
        <w:rPr>
          <w:rFonts w:cs="Times New Roman"/>
          <w:b/>
          <w:color w:val="000000" w:themeColor="text1"/>
          <w:sz w:val="16"/>
          <w:szCs w:val="16"/>
        </w:rPr>
        <w:t>54</w:t>
      </w:r>
      <w:r w:rsidRPr="00ED522C">
        <w:rPr>
          <w:rFonts w:cs="Times New Roman"/>
          <w:color w:val="000000" w:themeColor="text1"/>
          <w:sz w:val="16"/>
          <w:szCs w:val="16"/>
        </w:rPr>
        <w:t xml:space="preserve">, 498-505. </w:t>
      </w:r>
    </w:p>
    <w:p w14:paraId="2CB60603"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Getahun, L., Tesfaye, A. and Muleta, D. (2017). Investigation of the Potential Benefits and Risks of Probiotics and Prebiotics and their Synergy in Fermented Foods. </w:t>
      </w:r>
      <w:r w:rsidRPr="00ED522C">
        <w:rPr>
          <w:rFonts w:cs="Times New Roman"/>
          <w:i/>
          <w:color w:val="000000" w:themeColor="text1"/>
          <w:sz w:val="16"/>
          <w:szCs w:val="16"/>
        </w:rPr>
        <w:t>Singapore Journal of Chemical Biology</w:t>
      </w:r>
      <w:r w:rsidRPr="00ED522C">
        <w:rPr>
          <w:rFonts w:cs="Times New Roman"/>
          <w:color w:val="000000" w:themeColor="text1"/>
          <w:sz w:val="16"/>
          <w:szCs w:val="16"/>
        </w:rPr>
        <w:t xml:space="preserve">, </w:t>
      </w:r>
      <w:r w:rsidRPr="00ED522C">
        <w:rPr>
          <w:rFonts w:cs="Times New Roman"/>
          <w:b/>
          <w:i/>
          <w:color w:val="000000" w:themeColor="text1"/>
          <w:sz w:val="16"/>
          <w:szCs w:val="16"/>
        </w:rPr>
        <w:t>6</w:t>
      </w:r>
      <w:r w:rsidRPr="00ED522C">
        <w:rPr>
          <w:rFonts w:cs="Times New Roman"/>
          <w:b/>
          <w:color w:val="000000" w:themeColor="text1"/>
          <w:sz w:val="16"/>
          <w:szCs w:val="16"/>
        </w:rPr>
        <w:t>,</w:t>
      </w:r>
      <w:r w:rsidRPr="00ED522C">
        <w:rPr>
          <w:rFonts w:cs="Times New Roman"/>
          <w:color w:val="000000" w:themeColor="text1"/>
          <w:sz w:val="16"/>
          <w:szCs w:val="16"/>
        </w:rPr>
        <w:t xml:space="preserve"> 1-16. </w:t>
      </w:r>
    </w:p>
    <w:p w14:paraId="5E1173E2" w14:textId="77777777" w:rsidR="00B23B1F" w:rsidRPr="00ED522C" w:rsidRDefault="00000000" w:rsidP="004839A2">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Gibson, G. R., Rastall, R. A., &amp; Fuller, R. (2003). The health benefits of probiotics and prebiotics. </w:t>
      </w:r>
      <w:r w:rsidRPr="00ED522C">
        <w:rPr>
          <w:rFonts w:cs="Times New Roman"/>
          <w:i/>
          <w:color w:val="000000" w:themeColor="text1"/>
          <w:sz w:val="16"/>
          <w:szCs w:val="16"/>
        </w:rPr>
        <w:t>Gut flora, nutrition, immunity and health</w:t>
      </w:r>
      <w:r w:rsidRPr="00ED522C">
        <w:rPr>
          <w:rFonts w:cs="Times New Roman"/>
          <w:color w:val="000000" w:themeColor="text1"/>
          <w:sz w:val="16"/>
          <w:szCs w:val="16"/>
        </w:rPr>
        <w:t xml:space="preserve">, 52-76. </w:t>
      </w:r>
    </w:p>
    <w:p w14:paraId="5E979A4A"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Gorbach, S. L. (2000). Probiotics and gastrointestinal health. </w:t>
      </w:r>
      <w:r w:rsidRPr="00ED522C">
        <w:rPr>
          <w:rFonts w:cs="Times New Roman"/>
          <w:i/>
          <w:color w:val="000000" w:themeColor="text1"/>
          <w:sz w:val="16"/>
          <w:szCs w:val="16"/>
        </w:rPr>
        <w:t>The American Journal of Gastroenterology</w:t>
      </w:r>
      <w:r w:rsidRPr="00ED522C">
        <w:rPr>
          <w:rFonts w:cs="Times New Roman"/>
          <w:color w:val="000000" w:themeColor="text1"/>
          <w:sz w:val="16"/>
          <w:szCs w:val="16"/>
        </w:rPr>
        <w:t xml:space="preserve">. </w:t>
      </w:r>
      <w:r w:rsidRPr="00ED522C">
        <w:rPr>
          <w:rFonts w:cs="Times New Roman"/>
          <w:b/>
          <w:i/>
          <w:color w:val="000000" w:themeColor="text1"/>
          <w:sz w:val="16"/>
          <w:szCs w:val="16"/>
        </w:rPr>
        <w:t>95</w:t>
      </w:r>
      <w:r w:rsidRPr="00ED522C">
        <w:rPr>
          <w:rFonts w:cs="Times New Roman"/>
          <w:color w:val="000000" w:themeColor="text1"/>
          <w:sz w:val="16"/>
          <w:szCs w:val="16"/>
        </w:rPr>
        <w:t xml:space="preserve">(1), S2-S4. </w:t>
      </w:r>
    </w:p>
    <w:p w14:paraId="7906E604"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Gronlund, M. M., Arvilommi, H., Kero, P., Lehtonen, O. P., &amp; Isolauri, E. (2000). Importance of intestinal colonisation in the maturation of humoral immunity in early infancy: a prospective follow up study of healthy infants aged 0–6 months. </w:t>
      </w:r>
      <w:r w:rsidRPr="00ED522C">
        <w:rPr>
          <w:rFonts w:cs="Times New Roman"/>
          <w:i/>
          <w:color w:val="000000" w:themeColor="text1"/>
          <w:sz w:val="16"/>
          <w:szCs w:val="16"/>
        </w:rPr>
        <w:t>Archives of Disease in Childhood-Fetal and Neonatal Edition</w:t>
      </w:r>
      <w:r w:rsidRPr="00ED522C">
        <w:rPr>
          <w:rFonts w:cs="Times New Roman"/>
          <w:color w:val="000000" w:themeColor="text1"/>
          <w:sz w:val="16"/>
          <w:szCs w:val="16"/>
        </w:rPr>
        <w:t xml:space="preserve">, </w:t>
      </w:r>
      <w:r w:rsidRPr="00ED522C">
        <w:rPr>
          <w:rFonts w:cs="Times New Roman"/>
          <w:b/>
          <w:color w:val="000000" w:themeColor="text1"/>
          <w:sz w:val="16"/>
          <w:szCs w:val="16"/>
        </w:rPr>
        <w:t>83</w:t>
      </w:r>
      <w:r w:rsidRPr="00ED522C">
        <w:rPr>
          <w:rFonts w:cs="Times New Roman"/>
          <w:color w:val="000000" w:themeColor="text1"/>
          <w:sz w:val="16"/>
          <w:szCs w:val="16"/>
        </w:rPr>
        <w:t xml:space="preserve">(3), F186-F192. </w:t>
      </w:r>
    </w:p>
    <w:p w14:paraId="18B31F31"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Guarner, F. and Malagelada, J. R. (2003). Gut flora in health and disease. </w:t>
      </w:r>
      <w:r w:rsidRPr="00ED522C">
        <w:rPr>
          <w:rFonts w:cs="Times New Roman"/>
          <w:i/>
          <w:color w:val="000000" w:themeColor="text1"/>
          <w:sz w:val="16"/>
          <w:szCs w:val="16"/>
        </w:rPr>
        <w:t>The Lancet</w:t>
      </w:r>
      <w:r w:rsidRPr="00ED522C">
        <w:rPr>
          <w:rFonts w:cs="Times New Roman"/>
          <w:color w:val="000000" w:themeColor="text1"/>
          <w:sz w:val="16"/>
          <w:szCs w:val="16"/>
        </w:rPr>
        <w:t xml:space="preserve">. </w:t>
      </w:r>
      <w:r w:rsidRPr="00ED522C">
        <w:rPr>
          <w:rFonts w:cs="Times New Roman"/>
          <w:b/>
          <w:color w:val="000000" w:themeColor="text1"/>
          <w:sz w:val="16"/>
          <w:szCs w:val="16"/>
        </w:rPr>
        <w:t>361</w:t>
      </w:r>
      <w:r w:rsidRPr="00ED522C">
        <w:rPr>
          <w:rFonts w:cs="Times New Roman"/>
          <w:color w:val="000000" w:themeColor="text1"/>
          <w:sz w:val="16"/>
          <w:szCs w:val="16"/>
        </w:rPr>
        <w:t xml:space="preserve">(9356), 512-519. </w:t>
      </w:r>
    </w:p>
    <w:p w14:paraId="2AC05878"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Guarner, F., Bourdet-Sicard, R., Brandtzaeg, P., Gill, H. S., McGuirk, P., Van Eden, W., &amp; Rook, G. A. (2006). Mechanisms of disease: the hygiene hypothesis revisited. </w:t>
      </w:r>
      <w:r w:rsidRPr="00ED522C">
        <w:rPr>
          <w:rFonts w:cs="Times New Roman"/>
          <w:i/>
          <w:color w:val="000000" w:themeColor="text1"/>
          <w:sz w:val="16"/>
          <w:szCs w:val="16"/>
        </w:rPr>
        <w:t>Nature Reviews Gastroenterology and Hepatology</w:t>
      </w:r>
      <w:r w:rsidRPr="00ED522C">
        <w:rPr>
          <w:rFonts w:cs="Times New Roman"/>
          <w:color w:val="000000" w:themeColor="text1"/>
          <w:sz w:val="16"/>
          <w:szCs w:val="16"/>
        </w:rPr>
        <w:t xml:space="preserve">, </w:t>
      </w:r>
      <w:r w:rsidRPr="00ED522C">
        <w:rPr>
          <w:rFonts w:cs="Times New Roman"/>
          <w:i/>
          <w:color w:val="000000" w:themeColor="text1"/>
          <w:sz w:val="16"/>
          <w:szCs w:val="16"/>
        </w:rPr>
        <w:t>3</w:t>
      </w:r>
      <w:r w:rsidRPr="00ED522C">
        <w:rPr>
          <w:rFonts w:cs="Times New Roman"/>
          <w:color w:val="000000" w:themeColor="text1"/>
          <w:sz w:val="16"/>
          <w:szCs w:val="16"/>
        </w:rPr>
        <w:t xml:space="preserve">(5), 275. </w:t>
      </w:r>
    </w:p>
    <w:p w14:paraId="300EB9E1"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Harish, K. and Varghese, T. (2006). Probiotics in humans–evidence-based review. </w:t>
      </w:r>
      <w:r w:rsidRPr="00ED522C">
        <w:rPr>
          <w:rFonts w:cs="Times New Roman"/>
          <w:i/>
          <w:color w:val="000000" w:themeColor="text1"/>
          <w:sz w:val="16"/>
          <w:szCs w:val="16"/>
        </w:rPr>
        <w:t>Calicut Medical Journal.</w:t>
      </w:r>
      <w:r w:rsidRPr="00ED522C">
        <w:rPr>
          <w:rFonts w:cs="Times New Roman"/>
          <w:color w:val="000000" w:themeColor="text1"/>
          <w:sz w:val="16"/>
          <w:szCs w:val="16"/>
        </w:rPr>
        <w:t xml:space="preserve"> </w:t>
      </w:r>
      <w:r w:rsidRPr="00ED522C">
        <w:rPr>
          <w:rFonts w:cs="Times New Roman"/>
          <w:b/>
          <w:color w:val="000000" w:themeColor="text1"/>
          <w:sz w:val="16"/>
          <w:szCs w:val="16"/>
        </w:rPr>
        <w:t>4</w:t>
      </w:r>
      <w:r w:rsidRPr="00ED522C">
        <w:rPr>
          <w:rFonts w:cs="Times New Roman"/>
          <w:color w:val="000000" w:themeColor="text1"/>
          <w:sz w:val="16"/>
          <w:szCs w:val="16"/>
        </w:rPr>
        <w:t>(4),</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e3. </w:t>
      </w:r>
    </w:p>
    <w:p w14:paraId="3FFDAEC0"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Hirayama, K. and Rafter, J. (2000). The role of probiotic bacteria in cancer prevention. </w:t>
      </w:r>
      <w:r w:rsidRPr="00ED522C">
        <w:rPr>
          <w:rFonts w:cs="Times New Roman"/>
          <w:i/>
          <w:color w:val="000000" w:themeColor="text1"/>
          <w:sz w:val="16"/>
          <w:szCs w:val="16"/>
        </w:rPr>
        <w:t>Microbes and Infection</w:t>
      </w:r>
      <w:r w:rsidRPr="00ED522C">
        <w:rPr>
          <w:rFonts w:cs="Times New Roman"/>
          <w:color w:val="000000" w:themeColor="text1"/>
          <w:sz w:val="16"/>
          <w:szCs w:val="16"/>
        </w:rPr>
        <w:t xml:space="preserve">, </w:t>
      </w:r>
      <w:r w:rsidRPr="00ED522C">
        <w:rPr>
          <w:rFonts w:cs="Times New Roman"/>
          <w:b/>
          <w:color w:val="000000" w:themeColor="text1"/>
          <w:sz w:val="16"/>
          <w:szCs w:val="16"/>
        </w:rPr>
        <w:t>2</w:t>
      </w:r>
      <w:r w:rsidRPr="00ED522C">
        <w:rPr>
          <w:rFonts w:cs="Times New Roman"/>
          <w:color w:val="000000" w:themeColor="text1"/>
          <w:sz w:val="16"/>
          <w:szCs w:val="16"/>
        </w:rPr>
        <w:t xml:space="preserve">(6), 681-686. </w:t>
      </w:r>
    </w:p>
    <w:p w14:paraId="0225D691"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Huang, Y. and Adams, M. C. (2004). In vitro assessment of the upper gastrointestinal tolerance of potential probiotic dairy propionibacteria. </w:t>
      </w:r>
      <w:r w:rsidRPr="00ED522C">
        <w:rPr>
          <w:rFonts w:cs="Times New Roman"/>
          <w:i/>
          <w:color w:val="000000" w:themeColor="text1"/>
          <w:sz w:val="16"/>
          <w:szCs w:val="16"/>
        </w:rPr>
        <w:t>International Journal of Food Microbiology</w:t>
      </w:r>
      <w:r w:rsidRPr="00ED522C">
        <w:rPr>
          <w:rFonts w:cs="Times New Roman"/>
          <w:color w:val="000000" w:themeColor="text1"/>
          <w:sz w:val="16"/>
          <w:szCs w:val="16"/>
        </w:rPr>
        <w:t xml:space="preserve">, </w:t>
      </w:r>
      <w:r w:rsidRPr="00ED522C">
        <w:rPr>
          <w:rFonts w:cs="Times New Roman"/>
          <w:b/>
          <w:color w:val="000000" w:themeColor="text1"/>
          <w:sz w:val="16"/>
          <w:szCs w:val="16"/>
        </w:rPr>
        <w:t>91</w:t>
      </w:r>
      <w:r w:rsidRPr="00ED522C">
        <w:rPr>
          <w:rFonts w:cs="Times New Roman"/>
          <w:color w:val="000000" w:themeColor="text1"/>
          <w:sz w:val="16"/>
          <w:szCs w:val="16"/>
        </w:rPr>
        <w:t>(3)</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253-260. </w:t>
      </w:r>
    </w:p>
    <w:p w14:paraId="00A531DA"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Huycke, M. M. and Gaskins, H. R. (2004). Commensal bacteria, redox stress, and colorectal cancer: mechanisms and models. </w:t>
      </w:r>
      <w:r w:rsidRPr="00ED522C">
        <w:rPr>
          <w:rFonts w:cs="Times New Roman"/>
          <w:i/>
          <w:color w:val="000000" w:themeColor="text1"/>
          <w:sz w:val="16"/>
          <w:szCs w:val="16"/>
        </w:rPr>
        <w:t>Experiment Biological Medicine (Maywood)</w:t>
      </w:r>
      <w:r w:rsidRPr="00ED522C">
        <w:rPr>
          <w:rFonts w:cs="Times New Roman"/>
          <w:color w:val="000000" w:themeColor="text1"/>
          <w:sz w:val="16"/>
          <w:szCs w:val="16"/>
        </w:rPr>
        <w:t xml:space="preserve">, </w:t>
      </w:r>
      <w:r w:rsidRPr="00ED522C">
        <w:rPr>
          <w:rFonts w:cs="Times New Roman"/>
          <w:b/>
          <w:color w:val="000000" w:themeColor="text1"/>
          <w:sz w:val="16"/>
          <w:szCs w:val="16"/>
        </w:rPr>
        <w:t>229</w:t>
      </w:r>
      <w:r w:rsidRPr="00ED522C">
        <w:rPr>
          <w:rFonts w:cs="Times New Roman"/>
          <w:color w:val="000000" w:themeColor="text1"/>
          <w:sz w:val="16"/>
          <w:szCs w:val="16"/>
        </w:rPr>
        <w:t xml:space="preserve">, 586-97. </w:t>
      </w:r>
    </w:p>
    <w:p w14:paraId="5C761C03"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Isolauri, E. T. Y. E. S., Arvola, T., Sütas, Y., Moilanen, E. and Salminen, S. (2000). Probiotics in the management of atopic eczema. </w:t>
      </w:r>
      <w:r w:rsidRPr="00ED522C">
        <w:rPr>
          <w:rFonts w:cs="Times New Roman"/>
          <w:i/>
          <w:color w:val="000000" w:themeColor="text1"/>
          <w:sz w:val="16"/>
          <w:szCs w:val="16"/>
        </w:rPr>
        <w:t>Clinical and Experimental Allergy</w:t>
      </w:r>
      <w:r w:rsidRPr="00ED522C">
        <w:rPr>
          <w:rFonts w:cs="Times New Roman"/>
          <w:color w:val="000000" w:themeColor="text1"/>
          <w:sz w:val="16"/>
          <w:szCs w:val="16"/>
        </w:rPr>
        <w:t xml:space="preserve">, </w:t>
      </w:r>
      <w:r w:rsidRPr="00ED522C">
        <w:rPr>
          <w:rFonts w:cs="Times New Roman"/>
          <w:b/>
          <w:color w:val="000000" w:themeColor="text1"/>
          <w:sz w:val="16"/>
          <w:szCs w:val="16"/>
        </w:rPr>
        <w:t>30</w:t>
      </w:r>
      <w:r w:rsidRPr="00ED522C">
        <w:rPr>
          <w:rFonts w:cs="Times New Roman"/>
          <w:color w:val="000000" w:themeColor="text1"/>
          <w:sz w:val="16"/>
          <w:szCs w:val="16"/>
        </w:rPr>
        <w:t xml:space="preserve">(11), 1605-1610. </w:t>
      </w:r>
    </w:p>
    <w:p w14:paraId="3A1D892F"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Isolauri, E., Salminen, S. and Ouwehand, A. C. (2004). Probiotics. </w:t>
      </w:r>
      <w:r w:rsidRPr="00ED522C">
        <w:rPr>
          <w:rFonts w:cs="Times New Roman"/>
          <w:i/>
          <w:color w:val="000000" w:themeColor="text1"/>
          <w:sz w:val="16"/>
          <w:szCs w:val="16"/>
        </w:rPr>
        <w:t>Best Practice and Research Clinical Gastroenterology</w:t>
      </w:r>
      <w:r w:rsidRPr="00ED522C">
        <w:rPr>
          <w:rFonts w:cs="Times New Roman"/>
          <w:color w:val="000000" w:themeColor="text1"/>
          <w:sz w:val="16"/>
          <w:szCs w:val="16"/>
        </w:rPr>
        <w:t xml:space="preserve">, </w:t>
      </w:r>
      <w:r w:rsidRPr="00ED522C">
        <w:rPr>
          <w:rFonts w:cs="Times New Roman"/>
          <w:b/>
          <w:color w:val="000000" w:themeColor="text1"/>
          <w:sz w:val="16"/>
          <w:szCs w:val="16"/>
        </w:rPr>
        <w:t>18</w:t>
      </w:r>
      <w:r w:rsidRPr="00ED522C">
        <w:rPr>
          <w:rFonts w:cs="Times New Roman"/>
          <w:color w:val="000000" w:themeColor="text1"/>
          <w:sz w:val="16"/>
          <w:szCs w:val="16"/>
        </w:rPr>
        <w:t xml:space="preserve">(2), 299-313. </w:t>
      </w:r>
    </w:p>
    <w:p w14:paraId="1A249E9A" w14:textId="77777777" w:rsidR="00B23B1F" w:rsidRPr="00ED522C" w:rsidRDefault="00000000" w:rsidP="00B0069F">
      <w:pPr>
        <w:ind w:left="720" w:right="60" w:hanging="720"/>
        <w:rPr>
          <w:rFonts w:cs="Times New Roman"/>
          <w:color w:val="000000" w:themeColor="text1"/>
          <w:sz w:val="16"/>
          <w:szCs w:val="16"/>
        </w:rPr>
      </w:pPr>
      <w:r w:rsidRPr="00ED522C">
        <w:rPr>
          <w:rFonts w:cs="Times New Roman"/>
          <w:color w:val="000000" w:themeColor="text1"/>
          <w:sz w:val="16"/>
          <w:szCs w:val="16"/>
        </w:rPr>
        <w:t xml:space="preserve">Jemal, A., Bray, F., Center, M. M., Ferlay, J., Ward, E. and Forman, D. (2011). Global cancer   statistics. </w:t>
      </w:r>
      <w:r w:rsidRPr="00ED522C">
        <w:rPr>
          <w:rFonts w:cs="Times New Roman"/>
          <w:i/>
          <w:color w:val="000000" w:themeColor="text1"/>
          <w:sz w:val="16"/>
          <w:szCs w:val="16"/>
        </w:rPr>
        <w:t>A Cancer Journal for Clinicians</w:t>
      </w:r>
      <w:r w:rsidRPr="00ED522C">
        <w:rPr>
          <w:rFonts w:cs="Times New Roman"/>
          <w:color w:val="000000" w:themeColor="text1"/>
          <w:sz w:val="16"/>
          <w:szCs w:val="16"/>
        </w:rPr>
        <w:t xml:space="preserve">, </w:t>
      </w:r>
      <w:r w:rsidRPr="00ED522C">
        <w:rPr>
          <w:rFonts w:cs="Times New Roman"/>
          <w:b/>
          <w:color w:val="000000" w:themeColor="text1"/>
          <w:sz w:val="16"/>
          <w:szCs w:val="16"/>
        </w:rPr>
        <w:t>61</w:t>
      </w:r>
      <w:r w:rsidRPr="00ED522C">
        <w:rPr>
          <w:rFonts w:cs="Times New Roman"/>
          <w:color w:val="000000" w:themeColor="text1"/>
          <w:sz w:val="16"/>
          <w:szCs w:val="16"/>
        </w:rPr>
        <w:t xml:space="preserve">(2), 69-90. </w:t>
      </w:r>
    </w:p>
    <w:p w14:paraId="09E53B36"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Kajander, K., Hatakka, K., Poussa, T., Färkkilä, M., &amp; Korpela, R. (2005). A probiotic mixture alleviates symptoms in irritable bowel syndrome patients: a controlled 6</w:t>
      </w:r>
      <w:r w:rsidRPr="00ED522C">
        <w:rPr>
          <w:rFonts w:cs="Times New Roman"/>
          <w:noProof/>
          <w:color w:val="000000" w:themeColor="text1"/>
          <w:sz w:val="16"/>
          <w:szCs w:val="16"/>
        </w:rPr>
        <w:drawing>
          <wp:inline distT="0" distB="0" distL="0" distR="0" wp14:anchorId="2BF44282" wp14:editId="54A83D15">
            <wp:extent cx="39624" cy="18288"/>
            <wp:effectExtent l="0" t="0" r="0" b="0"/>
            <wp:docPr id="372474" name="Picture 372474"/>
            <wp:cNvGraphicFramePr/>
            <a:graphic xmlns:a="http://schemas.openxmlformats.org/drawingml/2006/main">
              <a:graphicData uri="http://schemas.openxmlformats.org/drawingml/2006/picture">
                <pic:pic xmlns:pic="http://schemas.openxmlformats.org/drawingml/2006/picture">
                  <pic:nvPicPr>
                    <pic:cNvPr id="372474" name="Picture 372474"/>
                    <pic:cNvPicPr/>
                  </pic:nvPicPr>
                  <pic:blipFill>
                    <a:blip r:embed="rId16"/>
                    <a:stretch>
                      <a:fillRect/>
                    </a:stretch>
                  </pic:blipFill>
                  <pic:spPr>
                    <a:xfrm>
                      <a:off x="0" y="0"/>
                      <a:ext cx="39624" cy="18288"/>
                    </a:xfrm>
                    <a:prstGeom prst="rect">
                      <a:avLst/>
                    </a:prstGeom>
                  </pic:spPr>
                </pic:pic>
              </a:graphicData>
            </a:graphic>
          </wp:inline>
        </w:drawing>
      </w:r>
      <w:r w:rsidRPr="00ED522C">
        <w:rPr>
          <w:rFonts w:cs="Times New Roman"/>
          <w:color w:val="000000" w:themeColor="text1"/>
          <w:sz w:val="16"/>
          <w:szCs w:val="16"/>
        </w:rPr>
        <w:t xml:space="preserve">month intervention. </w:t>
      </w:r>
      <w:r w:rsidRPr="00ED522C">
        <w:rPr>
          <w:rFonts w:cs="Times New Roman"/>
          <w:i/>
          <w:color w:val="000000" w:themeColor="text1"/>
          <w:sz w:val="16"/>
          <w:szCs w:val="16"/>
        </w:rPr>
        <w:t>Alimentary Pharmacology and Therapeutics</w:t>
      </w:r>
      <w:r w:rsidRPr="00ED522C">
        <w:rPr>
          <w:rFonts w:cs="Times New Roman"/>
          <w:color w:val="000000" w:themeColor="text1"/>
          <w:sz w:val="16"/>
          <w:szCs w:val="16"/>
        </w:rPr>
        <w:t xml:space="preserve">, </w:t>
      </w:r>
      <w:r w:rsidRPr="00ED522C">
        <w:rPr>
          <w:rFonts w:cs="Times New Roman"/>
          <w:b/>
          <w:i/>
          <w:color w:val="000000" w:themeColor="text1"/>
          <w:sz w:val="16"/>
          <w:szCs w:val="16"/>
        </w:rPr>
        <w:t>22</w:t>
      </w:r>
      <w:r w:rsidRPr="00ED522C">
        <w:rPr>
          <w:rFonts w:cs="Times New Roman"/>
          <w:color w:val="000000" w:themeColor="text1"/>
          <w:sz w:val="16"/>
          <w:szCs w:val="16"/>
        </w:rPr>
        <w:t xml:space="preserve">(5), 387-394. </w:t>
      </w:r>
    </w:p>
    <w:p w14:paraId="3A1D421C"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lastRenderedPageBreak/>
        <w:t xml:space="preserve">Kimoto-Nira, H., Mizumachi, K., Nomura, M., Kobayashi, M., Fujita, Y., Okamoto, T. and Ohmomo, S. (2007). </w:t>
      </w:r>
      <w:r w:rsidRPr="00ED522C">
        <w:rPr>
          <w:rFonts w:cs="Times New Roman"/>
          <w:i/>
          <w:color w:val="000000" w:themeColor="text1"/>
          <w:sz w:val="16"/>
          <w:szCs w:val="16"/>
        </w:rPr>
        <w:t>Lactococcus sp</w:t>
      </w:r>
      <w:r w:rsidRPr="00ED522C">
        <w:rPr>
          <w:rFonts w:cs="Times New Roman"/>
          <w:color w:val="000000" w:themeColor="text1"/>
          <w:sz w:val="16"/>
          <w:szCs w:val="16"/>
        </w:rPr>
        <w:t xml:space="preserve">. as potential probiotic lactic acid bacteria. </w:t>
      </w:r>
      <w:r w:rsidRPr="00ED522C">
        <w:rPr>
          <w:rFonts w:cs="Times New Roman"/>
          <w:i/>
          <w:color w:val="000000" w:themeColor="text1"/>
          <w:sz w:val="16"/>
          <w:szCs w:val="16"/>
        </w:rPr>
        <w:t>Japan Agricultural Research Quarterly,</w:t>
      </w:r>
      <w:r w:rsidRPr="00ED522C">
        <w:rPr>
          <w:rFonts w:cs="Times New Roman"/>
          <w:color w:val="000000" w:themeColor="text1"/>
          <w:sz w:val="16"/>
          <w:szCs w:val="16"/>
        </w:rPr>
        <w:t xml:space="preserve"> </w:t>
      </w:r>
      <w:r w:rsidRPr="00ED522C">
        <w:rPr>
          <w:rFonts w:cs="Times New Roman"/>
          <w:b/>
          <w:color w:val="000000" w:themeColor="text1"/>
          <w:sz w:val="16"/>
          <w:szCs w:val="16"/>
        </w:rPr>
        <w:t>41</w:t>
      </w:r>
      <w:r w:rsidRPr="00ED522C">
        <w:rPr>
          <w:rFonts w:cs="Times New Roman"/>
          <w:color w:val="000000" w:themeColor="text1"/>
          <w:sz w:val="16"/>
          <w:szCs w:val="16"/>
        </w:rPr>
        <w:t xml:space="preserve">(3), 181-189. </w:t>
      </w:r>
    </w:p>
    <w:p w14:paraId="0F7E0E8E"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Klaenhammer, T. R. (1988). Bacteriocins of lactic acid bacteria. </w:t>
      </w:r>
      <w:r w:rsidRPr="00ED522C">
        <w:rPr>
          <w:rFonts w:cs="Times New Roman"/>
          <w:i/>
          <w:color w:val="000000" w:themeColor="text1"/>
          <w:sz w:val="16"/>
          <w:szCs w:val="16"/>
        </w:rPr>
        <w:t>Biochimie</w:t>
      </w:r>
      <w:r w:rsidRPr="00ED522C">
        <w:rPr>
          <w:rFonts w:cs="Times New Roman"/>
          <w:color w:val="000000" w:themeColor="text1"/>
          <w:sz w:val="16"/>
          <w:szCs w:val="16"/>
        </w:rPr>
        <w:t xml:space="preserve">, </w:t>
      </w:r>
      <w:r w:rsidRPr="00ED522C">
        <w:rPr>
          <w:rFonts w:cs="Times New Roman"/>
          <w:b/>
          <w:color w:val="000000" w:themeColor="text1"/>
          <w:sz w:val="16"/>
          <w:szCs w:val="16"/>
        </w:rPr>
        <w:t>70</w:t>
      </w:r>
      <w:r w:rsidRPr="00ED522C">
        <w:rPr>
          <w:rFonts w:cs="Times New Roman"/>
          <w:color w:val="000000" w:themeColor="text1"/>
          <w:sz w:val="16"/>
          <w:szCs w:val="16"/>
        </w:rPr>
        <w:t xml:space="preserve">(3), 337-349.  </w:t>
      </w:r>
    </w:p>
    <w:p w14:paraId="72012404" w14:textId="77777777" w:rsidR="00B23B1F" w:rsidRPr="00ED522C" w:rsidRDefault="00000000" w:rsidP="004839A2">
      <w:pPr>
        <w:ind w:left="717" w:right="124" w:hanging="720"/>
        <w:rPr>
          <w:rFonts w:cs="Times New Roman"/>
          <w:color w:val="000000" w:themeColor="text1"/>
          <w:sz w:val="16"/>
          <w:szCs w:val="16"/>
        </w:rPr>
      </w:pPr>
      <w:r w:rsidRPr="00ED522C">
        <w:rPr>
          <w:rFonts w:cs="Times New Roman"/>
          <w:color w:val="000000" w:themeColor="text1"/>
          <w:sz w:val="16"/>
          <w:szCs w:val="16"/>
        </w:rPr>
        <w:t xml:space="preserve"> Liong, M. T. and Shah, N. P. (2005b). Acid and bile tolerance and cholesterol removal ability of lactobacilli strains. </w:t>
      </w:r>
      <w:r w:rsidRPr="00ED522C">
        <w:rPr>
          <w:rFonts w:cs="Times New Roman"/>
          <w:i/>
          <w:color w:val="000000" w:themeColor="text1"/>
          <w:sz w:val="16"/>
          <w:szCs w:val="16"/>
        </w:rPr>
        <w:t>Journal of Dairy Science</w:t>
      </w:r>
      <w:r w:rsidRPr="00ED522C">
        <w:rPr>
          <w:rFonts w:cs="Times New Roman"/>
          <w:color w:val="000000" w:themeColor="text1"/>
          <w:sz w:val="16"/>
          <w:szCs w:val="16"/>
        </w:rPr>
        <w:t xml:space="preserve">, </w:t>
      </w:r>
      <w:r w:rsidRPr="00ED522C">
        <w:rPr>
          <w:rFonts w:cs="Times New Roman"/>
          <w:b/>
          <w:color w:val="000000" w:themeColor="text1"/>
          <w:sz w:val="16"/>
          <w:szCs w:val="16"/>
        </w:rPr>
        <w:t>88</w:t>
      </w:r>
      <w:r w:rsidRPr="00ED522C">
        <w:rPr>
          <w:rFonts w:cs="Times New Roman"/>
          <w:color w:val="000000" w:themeColor="text1"/>
          <w:sz w:val="16"/>
          <w:szCs w:val="16"/>
        </w:rPr>
        <w:t xml:space="preserve">(1), 55-66. </w:t>
      </w:r>
    </w:p>
    <w:p w14:paraId="30CFA3C4"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Macfarlane, G. T. and Cummings, J. H. (2002). Probiotics, infection and immunity. </w:t>
      </w:r>
      <w:r w:rsidRPr="00ED522C">
        <w:rPr>
          <w:rFonts w:cs="Times New Roman"/>
          <w:i/>
          <w:color w:val="000000" w:themeColor="text1"/>
          <w:sz w:val="16"/>
          <w:szCs w:val="16"/>
        </w:rPr>
        <w:t>Current Opinion in Infectious Diseases,</w:t>
      </w:r>
      <w:r w:rsidRPr="00ED522C">
        <w:rPr>
          <w:rFonts w:cs="Times New Roman"/>
          <w:color w:val="000000" w:themeColor="text1"/>
          <w:sz w:val="16"/>
          <w:szCs w:val="16"/>
        </w:rPr>
        <w:t xml:space="preserve"> </w:t>
      </w:r>
      <w:r w:rsidRPr="00ED522C">
        <w:rPr>
          <w:rFonts w:cs="Times New Roman"/>
          <w:b/>
          <w:color w:val="000000" w:themeColor="text1"/>
          <w:sz w:val="16"/>
          <w:szCs w:val="16"/>
        </w:rPr>
        <w:t>15</w:t>
      </w:r>
      <w:r w:rsidRPr="00ED522C">
        <w:rPr>
          <w:rFonts w:cs="Times New Roman"/>
          <w:color w:val="000000" w:themeColor="text1"/>
          <w:sz w:val="16"/>
          <w:szCs w:val="16"/>
        </w:rPr>
        <w:t xml:space="preserve">(5), 501-506. </w:t>
      </w:r>
    </w:p>
    <w:p w14:paraId="28CA68DA"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Mack, D. R., Michail, S., Wei, S., McDougall, L. and Hollingsworth, M. A. (1999). Probiotics inhibit enteropathogenic </w:t>
      </w:r>
      <w:r w:rsidRPr="00ED522C">
        <w:rPr>
          <w:rFonts w:cs="Times New Roman"/>
          <w:i/>
          <w:color w:val="000000" w:themeColor="text1"/>
          <w:sz w:val="16"/>
          <w:szCs w:val="16"/>
        </w:rPr>
        <w:t>E. coli</w:t>
      </w:r>
      <w:r w:rsidRPr="00ED522C">
        <w:rPr>
          <w:rFonts w:cs="Times New Roman"/>
          <w:color w:val="000000" w:themeColor="text1"/>
          <w:sz w:val="16"/>
          <w:szCs w:val="16"/>
        </w:rPr>
        <w:t xml:space="preserve"> adherence in vitro by inducing intestinal mucin gene expression. </w:t>
      </w:r>
      <w:r w:rsidRPr="00ED522C">
        <w:rPr>
          <w:rFonts w:cs="Times New Roman"/>
          <w:i/>
          <w:color w:val="000000" w:themeColor="text1"/>
          <w:sz w:val="16"/>
          <w:szCs w:val="16"/>
        </w:rPr>
        <w:t>American Journal of PhysiologyGastrointestinal and Liver Physiology</w:t>
      </w:r>
      <w:r w:rsidRPr="00ED522C">
        <w:rPr>
          <w:rFonts w:cs="Times New Roman"/>
          <w:color w:val="000000" w:themeColor="text1"/>
          <w:sz w:val="16"/>
          <w:szCs w:val="16"/>
        </w:rPr>
        <w:t xml:space="preserve">, </w:t>
      </w:r>
      <w:r w:rsidRPr="00ED522C">
        <w:rPr>
          <w:rFonts w:cs="Times New Roman"/>
          <w:b/>
          <w:color w:val="000000" w:themeColor="text1"/>
          <w:sz w:val="16"/>
          <w:szCs w:val="16"/>
        </w:rPr>
        <w:t>276</w:t>
      </w:r>
      <w:r w:rsidRPr="00ED522C">
        <w:rPr>
          <w:rFonts w:cs="Times New Roman"/>
          <w:color w:val="000000" w:themeColor="text1"/>
          <w:sz w:val="16"/>
          <w:szCs w:val="16"/>
        </w:rPr>
        <w:t xml:space="preserve">(4), G941-G950. </w:t>
      </w:r>
    </w:p>
    <w:p w14:paraId="78253415"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Majamaa, H., and Isolauri, E. (1997). Probiotics: a novel approach in the management of food allergy. </w:t>
      </w:r>
      <w:r w:rsidRPr="00ED522C">
        <w:rPr>
          <w:rFonts w:cs="Times New Roman"/>
          <w:i/>
          <w:color w:val="000000" w:themeColor="text1"/>
          <w:sz w:val="16"/>
          <w:szCs w:val="16"/>
        </w:rPr>
        <w:t>Journal of Allergy and Clinical Immunology</w:t>
      </w:r>
      <w:r w:rsidRPr="00ED522C">
        <w:rPr>
          <w:rFonts w:cs="Times New Roman"/>
          <w:color w:val="000000" w:themeColor="text1"/>
          <w:sz w:val="16"/>
          <w:szCs w:val="16"/>
        </w:rPr>
        <w:t xml:space="preserve">, </w:t>
      </w:r>
      <w:r w:rsidRPr="00ED522C">
        <w:rPr>
          <w:rFonts w:cs="Times New Roman"/>
          <w:b/>
          <w:color w:val="000000" w:themeColor="text1"/>
          <w:sz w:val="16"/>
          <w:szCs w:val="16"/>
        </w:rPr>
        <w:t>99</w:t>
      </w:r>
      <w:r w:rsidRPr="00ED522C">
        <w:rPr>
          <w:rFonts w:cs="Times New Roman"/>
          <w:color w:val="000000" w:themeColor="text1"/>
          <w:sz w:val="16"/>
          <w:szCs w:val="16"/>
        </w:rPr>
        <w:t xml:space="preserve">(2), 179-185. </w:t>
      </w:r>
    </w:p>
    <w:p w14:paraId="464BEF02"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Marotta, F., Naito, Y., Minelli, E., Tajiri, H., Bertuccelli, J., Wu, C.C., Min, C.H., Hotten, P. and Fesce, E. (2003). Chemoprotective effect of a probiotic preparation on development of preneoplastic and neoplastic colonic lesions: an experimental study. </w:t>
      </w:r>
      <w:r w:rsidRPr="00ED522C">
        <w:rPr>
          <w:rFonts w:cs="Times New Roman"/>
          <w:i/>
          <w:color w:val="000000" w:themeColor="text1"/>
          <w:sz w:val="16"/>
          <w:szCs w:val="16"/>
        </w:rPr>
        <w:t>Hepato-gastroenterology</w:t>
      </w:r>
      <w:r w:rsidRPr="00ED522C">
        <w:rPr>
          <w:rFonts w:cs="Times New Roman"/>
          <w:color w:val="000000" w:themeColor="text1"/>
          <w:sz w:val="16"/>
          <w:szCs w:val="16"/>
        </w:rPr>
        <w:t xml:space="preserve">, </w:t>
      </w:r>
      <w:r w:rsidRPr="00ED522C">
        <w:rPr>
          <w:rFonts w:cs="Times New Roman"/>
          <w:b/>
          <w:color w:val="000000" w:themeColor="text1"/>
          <w:sz w:val="16"/>
          <w:szCs w:val="16"/>
        </w:rPr>
        <w:t xml:space="preserve">50 </w:t>
      </w:r>
      <w:r w:rsidRPr="00ED522C">
        <w:rPr>
          <w:rFonts w:cs="Times New Roman"/>
          <w:color w:val="000000" w:themeColor="text1"/>
          <w:sz w:val="16"/>
          <w:szCs w:val="16"/>
        </w:rPr>
        <w:t xml:space="preserve">(54), 19141918. </w:t>
      </w:r>
    </w:p>
    <w:p w14:paraId="6A1CF06C"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Marteau, P. R., Vrese, M. D., Cellier, C. J. and Schrezenmeir, J. (2001). Protection from gastrointestinal diseases with the use of probiotics. </w:t>
      </w:r>
      <w:r w:rsidRPr="00ED522C">
        <w:rPr>
          <w:rFonts w:cs="Times New Roman"/>
          <w:i/>
          <w:color w:val="000000" w:themeColor="text1"/>
          <w:sz w:val="16"/>
          <w:szCs w:val="16"/>
        </w:rPr>
        <w:t>The American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73</w:t>
      </w:r>
      <w:r w:rsidRPr="00ED522C">
        <w:rPr>
          <w:rFonts w:cs="Times New Roman"/>
          <w:color w:val="000000" w:themeColor="text1"/>
          <w:sz w:val="16"/>
          <w:szCs w:val="16"/>
        </w:rPr>
        <w:t xml:space="preserve">(2), 430s-436s. </w:t>
      </w:r>
    </w:p>
    <w:p w14:paraId="7340511F"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Marteau, P., Pochart, P., Flourie, B., Pellier, P., Santos, L., Desjeux, J. F. and Rambaud, J. C. (1990). Effect of chronic ingestion of a fermented dairy product containing Lactobacillus acidophilus and Bifidobacterium bifidum on metabolic activities of the colonic flora in humans. </w:t>
      </w:r>
      <w:r w:rsidRPr="00ED522C">
        <w:rPr>
          <w:rFonts w:cs="Times New Roman"/>
          <w:i/>
          <w:color w:val="000000" w:themeColor="text1"/>
          <w:sz w:val="16"/>
          <w:szCs w:val="16"/>
        </w:rPr>
        <w:t>The American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52</w:t>
      </w:r>
      <w:r w:rsidRPr="00ED522C">
        <w:rPr>
          <w:rFonts w:cs="Times New Roman"/>
          <w:color w:val="000000" w:themeColor="text1"/>
          <w:sz w:val="16"/>
          <w:szCs w:val="16"/>
        </w:rPr>
        <w:t xml:space="preserve">(4), 685-688. </w:t>
      </w:r>
    </w:p>
    <w:p w14:paraId="05751611"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Martini, M. C., Lerebours, E. C., Lin, W. J., Harlander, S. K., Berrada, N. M., Antoine, J. M.,  and Savaiano, D. A. (1991). Strains and species of lactic acid bacteria in fermented milks (yogurts): effect on in vivo lactose digestion. </w:t>
      </w:r>
      <w:r w:rsidRPr="00ED522C">
        <w:rPr>
          <w:rFonts w:cs="Times New Roman"/>
          <w:i/>
          <w:color w:val="000000" w:themeColor="text1"/>
          <w:sz w:val="16"/>
          <w:szCs w:val="16"/>
        </w:rPr>
        <w:t>The American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54</w:t>
      </w:r>
      <w:r w:rsidRPr="00ED522C">
        <w:rPr>
          <w:rFonts w:cs="Times New Roman"/>
          <w:color w:val="000000" w:themeColor="text1"/>
          <w:sz w:val="16"/>
          <w:szCs w:val="16"/>
        </w:rPr>
        <w:t xml:space="preserve">(6), 1041-1046.  </w:t>
      </w:r>
    </w:p>
    <w:p w14:paraId="77DC2AC4"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Martini, M. C., Lerebours, E. C., Lin, W. J., Harlander, S. K., Berrada, N. M., Antoine, J. M.,  and Savaiano, D. A. (1991). Strains and species of lactic acid bacteria in fermented milks (yogurts): effect on in vivo lactose digestion. </w:t>
      </w:r>
      <w:r w:rsidRPr="00ED522C">
        <w:rPr>
          <w:rFonts w:cs="Times New Roman"/>
          <w:i/>
          <w:color w:val="000000" w:themeColor="text1"/>
          <w:sz w:val="16"/>
          <w:szCs w:val="16"/>
        </w:rPr>
        <w:t>The American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54</w:t>
      </w:r>
      <w:r w:rsidRPr="00ED522C">
        <w:rPr>
          <w:rFonts w:cs="Times New Roman"/>
          <w:color w:val="000000" w:themeColor="text1"/>
          <w:sz w:val="16"/>
          <w:szCs w:val="16"/>
        </w:rPr>
        <w:t xml:space="preserve">(6), 1041-1046.  </w:t>
      </w:r>
    </w:p>
    <w:p w14:paraId="5461A1EE" w14:textId="77777777" w:rsidR="00B23B1F" w:rsidRPr="00ED522C" w:rsidRDefault="00000000" w:rsidP="0080314E">
      <w:pPr>
        <w:spacing w:after="4"/>
        <w:ind w:left="720" w:right="53" w:hanging="720"/>
        <w:rPr>
          <w:rFonts w:cs="Times New Roman"/>
          <w:color w:val="000000" w:themeColor="text1"/>
          <w:sz w:val="16"/>
          <w:szCs w:val="16"/>
        </w:rPr>
      </w:pPr>
      <w:r w:rsidRPr="00ED522C">
        <w:rPr>
          <w:rFonts w:cs="Times New Roman"/>
          <w:color w:val="000000" w:themeColor="text1"/>
          <w:sz w:val="16"/>
          <w:szCs w:val="16"/>
        </w:rPr>
        <w:t xml:space="preserve">Masco, L., Ventura, M., Zink, R., Huys, G. and Swings, J. (2004). Polyphasic taxonomic analysis of </w:t>
      </w:r>
      <w:r w:rsidRPr="00ED522C">
        <w:rPr>
          <w:rFonts w:cs="Times New Roman"/>
          <w:i/>
          <w:color w:val="000000" w:themeColor="text1"/>
          <w:sz w:val="16"/>
          <w:szCs w:val="16"/>
        </w:rPr>
        <w:t>Bifidobacterium animalis</w:t>
      </w:r>
      <w:r w:rsidRPr="00ED522C">
        <w:rPr>
          <w:rFonts w:cs="Times New Roman"/>
          <w:color w:val="000000" w:themeColor="text1"/>
          <w:sz w:val="16"/>
          <w:szCs w:val="16"/>
        </w:rPr>
        <w:t xml:space="preserve"> and </w:t>
      </w:r>
      <w:r w:rsidRPr="00ED522C">
        <w:rPr>
          <w:rFonts w:cs="Times New Roman"/>
          <w:i/>
          <w:color w:val="000000" w:themeColor="text1"/>
          <w:sz w:val="16"/>
          <w:szCs w:val="16"/>
        </w:rPr>
        <w:t>Bifidobacterium lactis</w:t>
      </w:r>
      <w:r w:rsidRPr="00ED522C">
        <w:rPr>
          <w:rFonts w:cs="Times New Roman"/>
          <w:color w:val="000000" w:themeColor="text1"/>
          <w:sz w:val="16"/>
          <w:szCs w:val="16"/>
        </w:rPr>
        <w:t xml:space="preserve"> reveals relatedness at the subspecies level: reclassification of </w:t>
      </w:r>
      <w:r w:rsidRPr="00ED522C">
        <w:rPr>
          <w:rFonts w:cs="Times New Roman"/>
          <w:i/>
          <w:color w:val="000000" w:themeColor="text1"/>
          <w:sz w:val="16"/>
          <w:szCs w:val="16"/>
        </w:rPr>
        <w:t>Bifidobacterium animalis</w:t>
      </w:r>
      <w:r w:rsidRPr="00ED522C">
        <w:rPr>
          <w:rFonts w:cs="Times New Roman"/>
          <w:color w:val="000000" w:themeColor="text1"/>
          <w:sz w:val="16"/>
          <w:szCs w:val="16"/>
        </w:rPr>
        <w:t xml:space="preserve"> as </w:t>
      </w:r>
      <w:r w:rsidRPr="00ED522C">
        <w:rPr>
          <w:rFonts w:cs="Times New Roman"/>
          <w:i/>
          <w:color w:val="000000" w:themeColor="text1"/>
          <w:sz w:val="16"/>
          <w:szCs w:val="16"/>
        </w:rPr>
        <w:t>Bifidobacterium animalis subsp. animalis subsp. nov.</w:t>
      </w:r>
      <w:r w:rsidRPr="00ED522C">
        <w:rPr>
          <w:rFonts w:cs="Times New Roman"/>
          <w:color w:val="000000" w:themeColor="text1"/>
          <w:sz w:val="16"/>
          <w:szCs w:val="16"/>
        </w:rPr>
        <w:t xml:space="preserve"> and </w:t>
      </w:r>
      <w:r w:rsidRPr="00ED522C">
        <w:rPr>
          <w:rFonts w:cs="Times New Roman"/>
          <w:i/>
          <w:color w:val="000000" w:themeColor="text1"/>
          <w:sz w:val="16"/>
          <w:szCs w:val="16"/>
        </w:rPr>
        <w:t>Bifidobacterium lactis</w:t>
      </w:r>
      <w:r w:rsidRPr="00ED522C">
        <w:rPr>
          <w:rFonts w:cs="Times New Roman"/>
          <w:color w:val="000000" w:themeColor="text1"/>
          <w:sz w:val="16"/>
          <w:szCs w:val="16"/>
        </w:rPr>
        <w:t xml:space="preserve"> as </w:t>
      </w:r>
      <w:r w:rsidRPr="00ED522C">
        <w:rPr>
          <w:rFonts w:cs="Times New Roman"/>
          <w:i/>
          <w:color w:val="000000" w:themeColor="text1"/>
          <w:sz w:val="16"/>
          <w:szCs w:val="16"/>
        </w:rPr>
        <w:t>Bifidobacterium animalis subsp. lactis subsp. nov.</w:t>
      </w:r>
      <w:r w:rsidRPr="00ED522C">
        <w:rPr>
          <w:rFonts w:cs="Times New Roman"/>
          <w:color w:val="000000" w:themeColor="text1"/>
          <w:sz w:val="16"/>
          <w:szCs w:val="16"/>
        </w:rPr>
        <w:t xml:space="preserve"> </w:t>
      </w:r>
      <w:r w:rsidRPr="00ED522C">
        <w:rPr>
          <w:rFonts w:cs="Times New Roman"/>
          <w:i/>
          <w:color w:val="000000" w:themeColor="text1"/>
          <w:sz w:val="16"/>
          <w:szCs w:val="16"/>
        </w:rPr>
        <w:t>International Journal of Systematic and Evolutionary Microbiology,</w:t>
      </w:r>
      <w:r w:rsidRPr="00ED522C">
        <w:rPr>
          <w:rFonts w:cs="Times New Roman"/>
          <w:color w:val="000000" w:themeColor="text1"/>
          <w:sz w:val="16"/>
          <w:szCs w:val="16"/>
        </w:rPr>
        <w:t xml:space="preserve"> </w:t>
      </w:r>
      <w:r w:rsidRPr="00ED522C">
        <w:rPr>
          <w:rFonts w:cs="Times New Roman"/>
          <w:b/>
          <w:color w:val="000000" w:themeColor="text1"/>
          <w:sz w:val="16"/>
          <w:szCs w:val="16"/>
        </w:rPr>
        <w:t>54</w:t>
      </w:r>
      <w:r w:rsidRPr="00ED522C">
        <w:rPr>
          <w:rFonts w:cs="Times New Roman"/>
          <w:color w:val="000000" w:themeColor="text1"/>
          <w:sz w:val="16"/>
          <w:szCs w:val="16"/>
        </w:rPr>
        <w:t xml:space="preserve">(4), 1137-1143.  </w:t>
      </w:r>
    </w:p>
    <w:p w14:paraId="408E03B3"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McFarland, L. V. (2009). Evidence-based review of probiotics for antibioticassociated diarrhea and Clostridium difficile infections. </w:t>
      </w:r>
      <w:r w:rsidRPr="00ED522C">
        <w:rPr>
          <w:rFonts w:cs="Times New Roman"/>
          <w:i/>
          <w:color w:val="000000" w:themeColor="text1"/>
          <w:sz w:val="16"/>
          <w:szCs w:val="16"/>
        </w:rPr>
        <w:t>Anaerobe</w:t>
      </w:r>
      <w:r w:rsidRPr="00ED522C">
        <w:rPr>
          <w:rFonts w:cs="Times New Roman"/>
          <w:color w:val="000000" w:themeColor="text1"/>
          <w:sz w:val="16"/>
          <w:szCs w:val="16"/>
        </w:rPr>
        <w:t xml:space="preserve">, </w:t>
      </w:r>
      <w:r w:rsidRPr="00ED522C">
        <w:rPr>
          <w:rFonts w:cs="Times New Roman"/>
          <w:b/>
          <w:color w:val="000000" w:themeColor="text1"/>
          <w:sz w:val="16"/>
          <w:szCs w:val="16"/>
        </w:rPr>
        <w:t>15</w:t>
      </w:r>
      <w:r w:rsidRPr="00ED522C">
        <w:rPr>
          <w:rFonts w:cs="Times New Roman"/>
          <w:color w:val="000000" w:themeColor="text1"/>
          <w:sz w:val="16"/>
          <w:szCs w:val="16"/>
        </w:rPr>
        <w:t>(6),</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274-280. </w:t>
      </w:r>
    </w:p>
    <w:p w14:paraId="2330B482"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McNaught, C. E., Woodcock, N. P., Anderson, A. D. and MacFie, J. (2005). A prospective randomised trial of probiotics in critically ill patients. </w:t>
      </w:r>
      <w:r w:rsidRPr="00ED522C">
        <w:rPr>
          <w:rFonts w:cs="Times New Roman"/>
          <w:i/>
          <w:color w:val="000000" w:themeColor="text1"/>
          <w:sz w:val="16"/>
          <w:szCs w:val="16"/>
        </w:rPr>
        <w:t>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24</w:t>
      </w:r>
      <w:r w:rsidRPr="00ED522C">
        <w:rPr>
          <w:rFonts w:cs="Times New Roman"/>
          <w:color w:val="000000" w:themeColor="text1"/>
          <w:sz w:val="16"/>
          <w:szCs w:val="16"/>
        </w:rPr>
        <w:t xml:space="preserve">(2), 211-219. </w:t>
      </w:r>
    </w:p>
    <w:p w14:paraId="1E89A7D6"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Meurman, J. H. and Stamatova, I. (2007). Probiotics: contributions to oral health. </w:t>
      </w:r>
      <w:r w:rsidRPr="00ED522C">
        <w:rPr>
          <w:rFonts w:cs="Times New Roman"/>
          <w:i/>
          <w:color w:val="000000" w:themeColor="text1"/>
          <w:sz w:val="16"/>
          <w:szCs w:val="16"/>
        </w:rPr>
        <w:t>Oral Diseases</w:t>
      </w:r>
      <w:r w:rsidRPr="00ED522C">
        <w:rPr>
          <w:rFonts w:cs="Times New Roman"/>
          <w:color w:val="000000" w:themeColor="text1"/>
          <w:sz w:val="16"/>
          <w:szCs w:val="16"/>
        </w:rPr>
        <w:t xml:space="preserve">, </w:t>
      </w:r>
      <w:r w:rsidRPr="00ED522C">
        <w:rPr>
          <w:rFonts w:cs="Times New Roman"/>
          <w:b/>
          <w:color w:val="000000" w:themeColor="text1"/>
          <w:sz w:val="16"/>
          <w:szCs w:val="16"/>
        </w:rPr>
        <w:t>13</w:t>
      </w:r>
      <w:r w:rsidRPr="00ED522C">
        <w:rPr>
          <w:rFonts w:cs="Times New Roman"/>
          <w:color w:val="000000" w:themeColor="text1"/>
          <w:sz w:val="16"/>
          <w:szCs w:val="16"/>
        </w:rPr>
        <w:t xml:space="preserve">(5), 443-451. </w:t>
      </w:r>
    </w:p>
    <w:p w14:paraId="21F87098"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Mitsuoka, T. (1982). Recent trends in research on intestinal flora. </w:t>
      </w:r>
      <w:r w:rsidRPr="00ED522C">
        <w:rPr>
          <w:rFonts w:cs="Times New Roman"/>
          <w:i/>
          <w:color w:val="000000" w:themeColor="text1"/>
          <w:sz w:val="16"/>
          <w:szCs w:val="16"/>
        </w:rPr>
        <w:t>Bifidobacteria and Microflora</w:t>
      </w:r>
      <w:r w:rsidRPr="00ED522C">
        <w:rPr>
          <w:rFonts w:cs="Times New Roman"/>
          <w:color w:val="000000" w:themeColor="text1"/>
          <w:sz w:val="16"/>
          <w:szCs w:val="16"/>
        </w:rPr>
        <w:t xml:space="preserve">, </w:t>
      </w:r>
      <w:r w:rsidRPr="00ED522C">
        <w:rPr>
          <w:rFonts w:cs="Times New Roman"/>
          <w:b/>
          <w:color w:val="000000" w:themeColor="text1"/>
          <w:sz w:val="16"/>
          <w:szCs w:val="16"/>
        </w:rPr>
        <w:t>1</w:t>
      </w:r>
      <w:r w:rsidRPr="00ED522C">
        <w:rPr>
          <w:rFonts w:cs="Times New Roman"/>
          <w:color w:val="000000" w:themeColor="text1"/>
          <w:sz w:val="16"/>
          <w:szCs w:val="16"/>
        </w:rPr>
        <w:t xml:space="preserve">(1), 3-24. </w:t>
      </w:r>
    </w:p>
    <w:p w14:paraId="5304455E"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Niedzielin, K., Kordecki, H. and Birkenfeld, B. A. (2001). Controlled, doubleblind, randomized study on the efficacy of </w:t>
      </w:r>
      <w:r w:rsidRPr="00ED522C">
        <w:rPr>
          <w:rFonts w:cs="Times New Roman"/>
          <w:i/>
          <w:color w:val="000000" w:themeColor="text1"/>
          <w:sz w:val="16"/>
          <w:szCs w:val="16"/>
        </w:rPr>
        <w:t xml:space="preserve">Lacobacillusplantarum </w:t>
      </w:r>
      <w:r w:rsidRPr="00ED522C">
        <w:rPr>
          <w:rFonts w:cs="Times New Roman"/>
          <w:color w:val="000000" w:themeColor="text1"/>
          <w:sz w:val="16"/>
          <w:szCs w:val="16"/>
        </w:rPr>
        <w:t xml:space="preserve">299V in patients with irritable bowel syndrome. </w:t>
      </w:r>
      <w:r w:rsidRPr="00ED522C">
        <w:rPr>
          <w:rFonts w:cs="Times New Roman"/>
          <w:i/>
          <w:color w:val="000000" w:themeColor="text1"/>
          <w:sz w:val="16"/>
          <w:szCs w:val="16"/>
        </w:rPr>
        <w:t xml:space="preserve">European Journal of Gastroenterology and Hepatology, </w:t>
      </w:r>
      <w:r w:rsidRPr="00ED522C">
        <w:rPr>
          <w:rFonts w:cs="Times New Roman"/>
          <w:b/>
          <w:color w:val="000000" w:themeColor="text1"/>
          <w:sz w:val="16"/>
          <w:szCs w:val="16"/>
        </w:rPr>
        <w:t>13</w:t>
      </w:r>
      <w:r w:rsidRPr="00ED522C">
        <w:rPr>
          <w:rFonts w:cs="Times New Roman"/>
          <w:color w:val="000000" w:themeColor="text1"/>
          <w:sz w:val="16"/>
          <w:szCs w:val="16"/>
        </w:rPr>
        <w:t xml:space="preserve">(10), 1143-1147. </w:t>
      </w:r>
    </w:p>
    <w:p w14:paraId="65E6124B"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Olasupo, N. A., Olukoya, D. K., &amp; Odunfa, S. A. (1997). Assessment of a bacteriocin-producing Lactobacillus strain in the control of spoilage of a cereal-based African fermented food. </w:t>
      </w:r>
      <w:r w:rsidRPr="00ED522C">
        <w:rPr>
          <w:rFonts w:cs="Times New Roman"/>
          <w:i/>
          <w:color w:val="000000" w:themeColor="text1"/>
          <w:sz w:val="16"/>
          <w:szCs w:val="16"/>
        </w:rPr>
        <w:t>Folia microbiologica</w:t>
      </w:r>
      <w:r w:rsidRPr="00ED522C">
        <w:rPr>
          <w:rFonts w:cs="Times New Roman"/>
          <w:color w:val="000000" w:themeColor="text1"/>
          <w:sz w:val="16"/>
          <w:szCs w:val="16"/>
        </w:rPr>
        <w:t xml:space="preserve">, </w:t>
      </w:r>
      <w:r w:rsidRPr="00ED522C">
        <w:rPr>
          <w:rFonts w:cs="Times New Roman"/>
          <w:b/>
          <w:color w:val="000000" w:themeColor="text1"/>
          <w:sz w:val="16"/>
          <w:szCs w:val="16"/>
        </w:rPr>
        <w:t>42</w:t>
      </w:r>
      <w:r w:rsidRPr="00ED522C">
        <w:rPr>
          <w:rFonts w:cs="Times New Roman"/>
          <w:color w:val="000000" w:themeColor="text1"/>
          <w:sz w:val="16"/>
          <w:szCs w:val="16"/>
        </w:rPr>
        <w:t xml:space="preserve">(1), 31. </w:t>
      </w:r>
    </w:p>
    <w:p w14:paraId="4658BDB5"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Ouwehand, A. C., Salminen, S. and Isolauri, E. (2002). Probiotics: An overview of beneficial effects. </w:t>
      </w:r>
      <w:r w:rsidRPr="00ED522C">
        <w:rPr>
          <w:rFonts w:cs="Times New Roman"/>
          <w:i/>
          <w:color w:val="000000" w:themeColor="text1"/>
          <w:sz w:val="16"/>
          <w:szCs w:val="16"/>
        </w:rPr>
        <w:t xml:space="preserve">Antonie Van Leeuwenhoek, </w:t>
      </w:r>
      <w:r w:rsidRPr="00ED522C">
        <w:rPr>
          <w:rFonts w:cs="Times New Roman"/>
          <w:b/>
          <w:color w:val="000000" w:themeColor="text1"/>
          <w:sz w:val="16"/>
          <w:szCs w:val="16"/>
        </w:rPr>
        <w:t>82</w:t>
      </w:r>
      <w:r w:rsidRPr="00ED522C">
        <w:rPr>
          <w:rFonts w:cs="Times New Roman"/>
          <w:color w:val="000000" w:themeColor="text1"/>
          <w:sz w:val="16"/>
          <w:szCs w:val="16"/>
        </w:rPr>
        <w:t xml:space="preserve">(1-4), 279–289. </w:t>
      </w:r>
    </w:p>
    <w:p w14:paraId="5572A943" w14:textId="77777777" w:rsidR="00B23B1F" w:rsidRPr="00ED522C" w:rsidRDefault="00000000" w:rsidP="00B0069F">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Park, Y., Hunter, D.J. and Spiegelman, D. (2005). Dietary fiber intake and risk of colorectal cancer: a pooled analysis of prospective cohort studies. </w:t>
      </w:r>
      <w:r w:rsidRPr="00ED522C">
        <w:rPr>
          <w:rFonts w:cs="Times New Roman"/>
          <w:i/>
          <w:color w:val="000000" w:themeColor="text1"/>
          <w:sz w:val="16"/>
          <w:szCs w:val="16"/>
        </w:rPr>
        <w:t>Journal of American Medical Association,</w:t>
      </w:r>
      <w:r w:rsidRPr="00ED522C">
        <w:rPr>
          <w:rFonts w:cs="Times New Roman"/>
          <w:color w:val="000000" w:themeColor="text1"/>
          <w:sz w:val="16"/>
          <w:szCs w:val="16"/>
        </w:rPr>
        <w:t xml:space="preserve"> </w:t>
      </w:r>
      <w:r w:rsidRPr="00ED522C">
        <w:rPr>
          <w:rFonts w:cs="Times New Roman"/>
          <w:b/>
          <w:color w:val="000000" w:themeColor="text1"/>
          <w:sz w:val="16"/>
          <w:szCs w:val="16"/>
        </w:rPr>
        <w:t>294</w:t>
      </w:r>
      <w:r w:rsidRPr="00ED522C">
        <w:rPr>
          <w:rFonts w:cs="Times New Roman"/>
          <w:color w:val="000000" w:themeColor="text1"/>
          <w:sz w:val="16"/>
          <w:szCs w:val="16"/>
        </w:rPr>
        <w:t xml:space="preserve"> (22), 2849–2857. </w:t>
      </w:r>
    </w:p>
    <w:p w14:paraId="2AD44762"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Pool-Zobel, B.L., Neudecker, C., Domizlaff, I., et al. (1996). </w:t>
      </w:r>
      <w:r w:rsidRPr="00ED522C">
        <w:rPr>
          <w:rFonts w:cs="Times New Roman"/>
          <w:i/>
          <w:color w:val="000000" w:themeColor="text1"/>
          <w:sz w:val="16"/>
          <w:szCs w:val="16"/>
        </w:rPr>
        <w:t>Lactobacillus</w:t>
      </w:r>
      <w:r w:rsidRPr="00ED522C">
        <w:rPr>
          <w:rFonts w:cs="Times New Roman"/>
          <w:color w:val="000000" w:themeColor="text1"/>
          <w:sz w:val="16"/>
          <w:szCs w:val="16"/>
        </w:rPr>
        <w:t xml:space="preserve">- and </w:t>
      </w:r>
      <w:r w:rsidRPr="00ED522C">
        <w:rPr>
          <w:rFonts w:cs="Times New Roman"/>
          <w:i/>
          <w:color w:val="000000" w:themeColor="text1"/>
          <w:sz w:val="16"/>
          <w:szCs w:val="16"/>
        </w:rPr>
        <w:t>Bifidobacterium</w:t>
      </w:r>
      <w:r w:rsidRPr="00ED522C">
        <w:rPr>
          <w:rFonts w:cs="Times New Roman"/>
          <w:color w:val="000000" w:themeColor="text1"/>
          <w:sz w:val="16"/>
          <w:szCs w:val="16"/>
        </w:rPr>
        <w:t xml:space="preserve">-mediated antigenotoxicity in the colon of rats. </w:t>
      </w:r>
      <w:r w:rsidRPr="00ED522C">
        <w:rPr>
          <w:rFonts w:cs="Times New Roman"/>
          <w:i/>
          <w:color w:val="000000" w:themeColor="text1"/>
          <w:sz w:val="16"/>
          <w:szCs w:val="16"/>
        </w:rPr>
        <w:t xml:space="preserve">Nutrition and Cancer, </w:t>
      </w:r>
      <w:r w:rsidRPr="00ED522C">
        <w:rPr>
          <w:rFonts w:cs="Times New Roman"/>
          <w:b/>
          <w:color w:val="000000" w:themeColor="text1"/>
          <w:sz w:val="16"/>
          <w:szCs w:val="16"/>
        </w:rPr>
        <w:t>26</w:t>
      </w:r>
      <w:r w:rsidRPr="00ED522C">
        <w:rPr>
          <w:rFonts w:cs="Times New Roman"/>
          <w:color w:val="000000" w:themeColor="text1"/>
          <w:sz w:val="16"/>
          <w:szCs w:val="16"/>
        </w:rPr>
        <w:t xml:space="preserve">, 365–80.   </w:t>
      </w:r>
    </w:p>
    <w:p w14:paraId="2CC33E7D"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lastRenderedPageBreak/>
        <w:t xml:space="preserve">Power, D. A., Burton, J. P., Chilcott, C. N., Dawes, P. J., &amp; Tagg, J. R. (2008). Preliminary investigations of the colonisation of upper respiratory tract tissues of infants using a paediatric formulation of the oral probiotic Streptococcus salivarius K12. </w:t>
      </w:r>
      <w:r w:rsidRPr="00ED522C">
        <w:rPr>
          <w:rFonts w:cs="Times New Roman"/>
          <w:i/>
          <w:color w:val="000000" w:themeColor="text1"/>
          <w:sz w:val="16"/>
          <w:szCs w:val="16"/>
        </w:rPr>
        <w:t>European Journal of Clinical Microbiology and Infectious Diseases</w:t>
      </w:r>
      <w:r w:rsidRPr="00ED522C">
        <w:rPr>
          <w:rFonts w:cs="Times New Roman"/>
          <w:color w:val="000000" w:themeColor="text1"/>
          <w:sz w:val="16"/>
          <w:szCs w:val="16"/>
        </w:rPr>
        <w:t xml:space="preserve">, </w:t>
      </w:r>
      <w:r w:rsidRPr="00ED522C">
        <w:rPr>
          <w:rFonts w:cs="Times New Roman"/>
          <w:b/>
          <w:color w:val="000000" w:themeColor="text1"/>
          <w:sz w:val="16"/>
          <w:szCs w:val="16"/>
        </w:rPr>
        <w:t>27</w:t>
      </w:r>
      <w:r w:rsidRPr="00ED522C">
        <w:rPr>
          <w:rFonts w:cs="Times New Roman"/>
          <w:color w:val="000000" w:themeColor="text1"/>
          <w:sz w:val="16"/>
          <w:szCs w:val="16"/>
        </w:rPr>
        <w:t xml:space="preserve">(12), 1261. </w:t>
      </w:r>
    </w:p>
    <w:p w14:paraId="59410A9D" w14:textId="77777777" w:rsidR="00B23B1F" w:rsidRPr="00ED522C" w:rsidRDefault="00000000" w:rsidP="00B0069F">
      <w:pPr>
        <w:ind w:left="720" w:right="60" w:hanging="720"/>
        <w:rPr>
          <w:rFonts w:cs="Times New Roman"/>
          <w:color w:val="000000" w:themeColor="text1"/>
          <w:sz w:val="16"/>
          <w:szCs w:val="16"/>
        </w:rPr>
      </w:pPr>
      <w:r w:rsidRPr="00ED522C">
        <w:rPr>
          <w:rFonts w:cs="Times New Roman"/>
          <w:color w:val="000000" w:themeColor="text1"/>
          <w:sz w:val="16"/>
          <w:szCs w:val="16"/>
        </w:rPr>
        <w:t xml:space="preserve">Reid, G. (1999). The Scientific Basis for Probiotic Strains of </w:t>
      </w:r>
      <w:r w:rsidRPr="00ED522C">
        <w:rPr>
          <w:rFonts w:cs="Times New Roman"/>
          <w:i/>
          <w:color w:val="000000" w:themeColor="text1"/>
          <w:sz w:val="16"/>
          <w:szCs w:val="16"/>
        </w:rPr>
        <w:t>Lactobacillus</w:t>
      </w:r>
      <w:r w:rsidRPr="00ED522C">
        <w:rPr>
          <w:rFonts w:cs="Times New Roman"/>
          <w:color w:val="000000" w:themeColor="text1"/>
          <w:sz w:val="16"/>
          <w:szCs w:val="16"/>
        </w:rPr>
        <w:t xml:space="preserve">. </w:t>
      </w:r>
      <w:r w:rsidRPr="00ED522C">
        <w:rPr>
          <w:rFonts w:cs="Times New Roman"/>
          <w:i/>
          <w:color w:val="000000" w:themeColor="text1"/>
          <w:sz w:val="16"/>
          <w:szCs w:val="16"/>
        </w:rPr>
        <w:t xml:space="preserve">Applied and Environmental Microbiology, </w:t>
      </w:r>
      <w:r w:rsidRPr="00ED522C">
        <w:rPr>
          <w:rFonts w:cs="Times New Roman"/>
          <w:b/>
          <w:color w:val="000000" w:themeColor="text1"/>
          <w:sz w:val="16"/>
          <w:szCs w:val="16"/>
        </w:rPr>
        <w:t>65</w:t>
      </w:r>
      <w:r w:rsidRPr="00ED522C">
        <w:rPr>
          <w:rFonts w:cs="Times New Roman"/>
          <w:color w:val="000000" w:themeColor="text1"/>
          <w:sz w:val="16"/>
          <w:szCs w:val="16"/>
        </w:rPr>
        <w:t xml:space="preserve"> (9), 3763–3766. </w:t>
      </w:r>
    </w:p>
    <w:p w14:paraId="2F4114A2" w14:textId="77777777" w:rsidR="00B23B1F" w:rsidRPr="00ED522C" w:rsidRDefault="00000000" w:rsidP="00B0069F">
      <w:pPr>
        <w:ind w:left="720" w:right="60" w:hanging="720"/>
        <w:rPr>
          <w:rFonts w:cs="Times New Roman"/>
          <w:color w:val="000000" w:themeColor="text1"/>
          <w:sz w:val="16"/>
          <w:szCs w:val="16"/>
        </w:rPr>
      </w:pPr>
      <w:r w:rsidRPr="00ED522C">
        <w:rPr>
          <w:rFonts w:cs="Times New Roman"/>
          <w:color w:val="000000" w:themeColor="text1"/>
          <w:sz w:val="16"/>
          <w:szCs w:val="16"/>
        </w:rPr>
        <w:t xml:space="preserve">Reid, G. (2001). Probiotic agents to protect the urogenital tract against infection. </w:t>
      </w:r>
      <w:r w:rsidRPr="00ED522C">
        <w:rPr>
          <w:rFonts w:cs="Times New Roman"/>
          <w:i/>
          <w:color w:val="000000" w:themeColor="text1"/>
          <w:sz w:val="16"/>
          <w:szCs w:val="16"/>
        </w:rPr>
        <w:t>American</w:t>
      </w:r>
      <w:r w:rsidRPr="00ED522C">
        <w:rPr>
          <w:rFonts w:cs="Times New Roman"/>
          <w:color w:val="000000" w:themeColor="text1"/>
          <w:sz w:val="16"/>
          <w:szCs w:val="16"/>
        </w:rPr>
        <w:t xml:space="preserve"> </w:t>
      </w:r>
      <w:r w:rsidRPr="00ED522C">
        <w:rPr>
          <w:rFonts w:cs="Times New Roman"/>
          <w:i/>
          <w:color w:val="000000" w:themeColor="text1"/>
          <w:sz w:val="16"/>
          <w:szCs w:val="16"/>
        </w:rPr>
        <w:t>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73</w:t>
      </w:r>
      <w:r w:rsidRPr="00ED522C">
        <w:rPr>
          <w:rFonts w:cs="Times New Roman"/>
          <w:color w:val="000000" w:themeColor="text1"/>
          <w:sz w:val="16"/>
          <w:szCs w:val="16"/>
        </w:rPr>
        <w:t xml:space="preserve">, 437S - 443S </w:t>
      </w:r>
    </w:p>
    <w:p w14:paraId="6EC15E65" w14:textId="77777777" w:rsidR="00B23B1F" w:rsidRPr="00ED522C" w:rsidRDefault="00000000" w:rsidP="00E03D03">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Saarela, M., Mogensen, G., Fonden, R., Matto, J. and Mattilia-Sandholm, T. (2000) Probiotic bacteria: Safety functional and technological properties. </w:t>
      </w:r>
      <w:r w:rsidRPr="00ED522C">
        <w:rPr>
          <w:rFonts w:cs="Times New Roman"/>
          <w:i/>
          <w:color w:val="000000" w:themeColor="text1"/>
          <w:sz w:val="16"/>
          <w:szCs w:val="16"/>
        </w:rPr>
        <w:t xml:space="preserve">Journal of Biotechnology, </w:t>
      </w:r>
      <w:r w:rsidRPr="00ED522C">
        <w:rPr>
          <w:rFonts w:cs="Times New Roman"/>
          <w:b/>
          <w:color w:val="000000" w:themeColor="text1"/>
          <w:sz w:val="16"/>
          <w:szCs w:val="16"/>
        </w:rPr>
        <w:t>84</w:t>
      </w:r>
      <w:r w:rsidRPr="00ED522C">
        <w:rPr>
          <w:rFonts w:cs="Times New Roman"/>
          <w:color w:val="000000" w:themeColor="text1"/>
          <w:sz w:val="16"/>
          <w:szCs w:val="16"/>
        </w:rPr>
        <w:t xml:space="preserve"> (3), 197-215. </w:t>
      </w:r>
    </w:p>
    <w:p w14:paraId="0B4F36D7"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Salminen, S. and Gueimonde, M. (2004). Human studies on probiotics: what is scientifically proven. </w:t>
      </w:r>
      <w:r w:rsidRPr="00ED522C">
        <w:rPr>
          <w:rFonts w:cs="Times New Roman"/>
          <w:i/>
          <w:color w:val="000000" w:themeColor="text1"/>
          <w:sz w:val="16"/>
          <w:szCs w:val="16"/>
        </w:rPr>
        <w:t>Journal of Food Science</w:t>
      </w:r>
      <w:r w:rsidRPr="00ED522C">
        <w:rPr>
          <w:rFonts w:cs="Times New Roman"/>
          <w:color w:val="000000" w:themeColor="text1"/>
          <w:sz w:val="16"/>
          <w:szCs w:val="16"/>
        </w:rPr>
        <w:t xml:space="preserve">, </w:t>
      </w:r>
      <w:r w:rsidRPr="00ED522C">
        <w:rPr>
          <w:rFonts w:cs="Times New Roman"/>
          <w:b/>
          <w:color w:val="000000" w:themeColor="text1"/>
          <w:sz w:val="16"/>
          <w:szCs w:val="16"/>
        </w:rPr>
        <w:t>69</w:t>
      </w:r>
      <w:r w:rsidRPr="00ED522C">
        <w:rPr>
          <w:rFonts w:cs="Times New Roman"/>
          <w:color w:val="000000" w:themeColor="text1"/>
          <w:sz w:val="16"/>
          <w:szCs w:val="16"/>
        </w:rPr>
        <w:t xml:space="preserve">(5), M137-M140. </w:t>
      </w:r>
    </w:p>
    <w:p w14:paraId="78F78A2D" w14:textId="77777777" w:rsidR="00B23B1F" w:rsidRPr="00ED522C" w:rsidRDefault="00000000" w:rsidP="0080314E">
      <w:pPr>
        <w:spacing w:line="361" w:lineRule="auto"/>
        <w:ind w:left="720" w:right="53" w:hanging="720"/>
        <w:rPr>
          <w:rFonts w:cs="Times New Roman"/>
          <w:color w:val="000000" w:themeColor="text1"/>
          <w:sz w:val="16"/>
          <w:szCs w:val="16"/>
        </w:rPr>
      </w:pPr>
      <w:r w:rsidRPr="00ED522C">
        <w:rPr>
          <w:rFonts w:cs="Times New Roman"/>
          <w:color w:val="000000" w:themeColor="text1"/>
          <w:sz w:val="16"/>
          <w:szCs w:val="16"/>
        </w:rPr>
        <w:t xml:space="preserve">Salminen, S., and Von Wright, A. (2004). </w:t>
      </w:r>
      <w:r w:rsidRPr="00ED522C">
        <w:rPr>
          <w:rFonts w:cs="Times New Roman"/>
          <w:i/>
          <w:color w:val="000000" w:themeColor="text1"/>
          <w:sz w:val="16"/>
          <w:szCs w:val="16"/>
        </w:rPr>
        <w:t>Lactic acid bacteria: microbiological and functional aspects</w:t>
      </w:r>
      <w:r w:rsidRPr="00ED522C">
        <w:rPr>
          <w:rFonts w:cs="Times New Roman"/>
          <w:color w:val="000000" w:themeColor="text1"/>
          <w:sz w:val="16"/>
          <w:szCs w:val="16"/>
        </w:rPr>
        <w:t xml:space="preserve">. CRC Press. </w:t>
      </w:r>
    </w:p>
    <w:p w14:paraId="4B7CE9C4"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Salvetti, E., Torriani, S. and Felis, G. E. (2012). The genus Lactobacillus: a taxonomic update. </w:t>
      </w:r>
      <w:r w:rsidRPr="00ED522C">
        <w:rPr>
          <w:rFonts w:cs="Times New Roman"/>
          <w:i/>
          <w:color w:val="000000" w:themeColor="text1"/>
          <w:sz w:val="16"/>
          <w:szCs w:val="16"/>
        </w:rPr>
        <w:t>Probiotics and Antimicrobial Proteins,</w:t>
      </w:r>
      <w:r w:rsidRPr="00ED522C">
        <w:rPr>
          <w:rFonts w:cs="Times New Roman"/>
          <w:b/>
          <w:color w:val="000000" w:themeColor="text1"/>
          <w:sz w:val="16"/>
          <w:szCs w:val="16"/>
        </w:rPr>
        <w:t xml:space="preserve"> 4</w:t>
      </w:r>
      <w:r w:rsidRPr="00ED522C">
        <w:rPr>
          <w:rFonts w:cs="Times New Roman"/>
          <w:color w:val="000000" w:themeColor="text1"/>
          <w:sz w:val="16"/>
          <w:szCs w:val="16"/>
        </w:rPr>
        <w:t>(4),</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217-226. </w:t>
      </w:r>
    </w:p>
    <w:p w14:paraId="1220E324" w14:textId="77777777" w:rsidR="00B23B1F" w:rsidRPr="00ED522C" w:rsidRDefault="00000000" w:rsidP="0031575B">
      <w:pPr>
        <w:spacing w:line="259" w:lineRule="auto"/>
        <w:ind w:left="720" w:right="60" w:hanging="720"/>
        <w:rPr>
          <w:rFonts w:cs="Times New Roman"/>
          <w:color w:val="000000" w:themeColor="text1"/>
          <w:sz w:val="16"/>
          <w:szCs w:val="16"/>
        </w:rPr>
      </w:pPr>
      <w:r w:rsidRPr="00ED522C">
        <w:rPr>
          <w:rFonts w:cs="Times New Roman"/>
          <w:color w:val="000000" w:themeColor="text1"/>
          <w:sz w:val="16"/>
          <w:szCs w:val="16"/>
        </w:rPr>
        <w:t xml:space="preserve">Sanders, M. E. (1993). Effect of consumption of lactic cultures on human health. </w:t>
      </w:r>
      <w:r w:rsidRPr="00ED522C">
        <w:rPr>
          <w:rFonts w:cs="Times New Roman"/>
          <w:i/>
          <w:color w:val="000000" w:themeColor="text1"/>
          <w:sz w:val="16"/>
          <w:szCs w:val="16"/>
        </w:rPr>
        <w:t>Advances in Food and Nutrition Research</w:t>
      </w:r>
      <w:r w:rsidRPr="00ED522C">
        <w:rPr>
          <w:rFonts w:cs="Times New Roman"/>
          <w:color w:val="000000" w:themeColor="text1"/>
          <w:sz w:val="16"/>
          <w:szCs w:val="16"/>
        </w:rPr>
        <w:t>,</w:t>
      </w:r>
      <w:r w:rsidRPr="00ED522C">
        <w:rPr>
          <w:rFonts w:cs="Times New Roman"/>
          <w:i/>
          <w:color w:val="000000" w:themeColor="text1"/>
          <w:sz w:val="16"/>
          <w:szCs w:val="16"/>
        </w:rPr>
        <w:t xml:space="preserve"> </w:t>
      </w:r>
      <w:r w:rsidRPr="00ED522C">
        <w:rPr>
          <w:rFonts w:cs="Times New Roman"/>
          <w:b/>
          <w:color w:val="000000" w:themeColor="text1"/>
          <w:sz w:val="16"/>
          <w:szCs w:val="16"/>
        </w:rPr>
        <w:t>37</w:t>
      </w:r>
      <w:r w:rsidRPr="00ED522C">
        <w:rPr>
          <w:rFonts w:cs="Times New Roman"/>
          <w:color w:val="000000" w:themeColor="text1"/>
          <w:sz w:val="16"/>
          <w:szCs w:val="16"/>
        </w:rPr>
        <w:t xml:space="preserve">, 67-130.  </w:t>
      </w:r>
    </w:p>
    <w:p w14:paraId="12B694E0"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Sanders, M. E. and Klaenhammer, T. R. (2001). Invited review: the scientific basis of </w:t>
      </w:r>
      <w:r w:rsidRPr="00ED522C">
        <w:rPr>
          <w:rFonts w:cs="Times New Roman"/>
          <w:i/>
          <w:color w:val="000000" w:themeColor="text1"/>
          <w:sz w:val="16"/>
          <w:szCs w:val="16"/>
        </w:rPr>
        <w:t>Lactobacillus acidophilus</w:t>
      </w:r>
      <w:r w:rsidRPr="00ED522C">
        <w:rPr>
          <w:rFonts w:cs="Times New Roman"/>
          <w:color w:val="000000" w:themeColor="text1"/>
          <w:sz w:val="16"/>
          <w:szCs w:val="16"/>
        </w:rPr>
        <w:t xml:space="preserve"> NCFM functionality as a probiotic. </w:t>
      </w:r>
      <w:r w:rsidRPr="00ED522C">
        <w:rPr>
          <w:rFonts w:cs="Times New Roman"/>
          <w:i/>
          <w:color w:val="000000" w:themeColor="text1"/>
          <w:sz w:val="16"/>
          <w:szCs w:val="16"/>
        </w:rPr>
        <w:t>Journal of Dairy Science</w:t>
      </w:r>
      <w:r w:rsidRPr="00ED522C">
        <w:rPr>
          <w:rFonts w:cs="Times New Roman"/>
          <w:color w:val="000000" w:themeColor="text1"/>
          <w:sz w:val="16"/>
          <w:szCs w:val="16"/>
        </w:rPr>
        <w:t xml:space="preserve">, </w:t>
      </w:r>
      <w:r w:rsidRPr="00ED522C">
        <w:rPr>
          <w:rFonts w:cs="Times New Roman"/>
          <w:b/>
          <w:color w:val="000000" w:themeColor="text1"/>
          <w:sz w:val="16"/>
          <w:szCs w:val="16"/>
        </w:rPr>
        <w:t>84</w:t>
      </w:r>
      <w:r w:rsidRPr="00ED522C">
        <w:rPr>
          <w:rFonts w:cs="Times New Roman"/>
          <w:color w:val="000000" w:themeColor="text1"/>
          <w:sz w:val="16"/>
          <w:szCs w:val="16"/>
        </w:rPr>
        <w:t>(2),</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319-331.  </w:t>
      </w:r>
    </w:p>
    <w:p w14:paraId="017A2314"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Schultz, M. and Sartor, R. B. (2000). Probiotics and inflammatory bowel diseases. </w:t>
      </w:r>
      <w:r w:rsidRPr="00ED522C">
        <w:rPr>
          <w:rFonts w:cs="Times New Roman"/>
          <w:i/>
          <w:color w:val="000000" w:themeColor="text1"/>
          <w:sz w:val="16"/>
          <w:szCs w:val="16"/>
        </w:rPr>
        <w:t>The American Journal of Gastroenterology</w:t>
      </w:r>
      <w:r w:rsidRPr="00ED522C">
        <w:rPr>
          <w:rFonts w:cs="Times New Roman"/>
          <w:color w:val="000000" w:themeColor="text1"/>
          <w:sz w:val="16"/>
          <w:szCs w:val="16"/>
        </w:rPr>
        <w:t xml:space="preserve">, </w:t>
      </w:r>
      <w:r w:rsidRPr="00ED522C">
        <w:rPr>
          <w:rFonts w:cs="Times New Roman"/>
          <w:b/>
          <w:color w:val="000000" w:themeColor="text1"/>
          <w:sz w:val="16"/>
          <w:szCs w:val="16"/>
        </w:rPr>
        <w:t>95</w:t>
      </w:r>
      <w:r w:rsidRPr="00ED522C">
        <w:rPr>
          <w:rFonts w:cs="Times New Roman"/>
          <w:color w:val="000000" w:themeColor="text1"/>
          <w:sz w:val="16"/>
          <w:szCs w:val="16"/>
        </w:rPr>
        <w:t>(1)</w:t>
      </w:r>
      <w:r w:rsidRPr="00ED522C">
        <w:rPr>
          <w:rFonts w:cs="Times New Roman"/>
          <w:b/>
          <w:color w:val="000000" w:themeColor="text1"/>
          <w:sz w:val="16"/>
          <w:szCs w:val="16"/>
        </w:rPr>
        <w:t>,</w:t>
      </w:r>
      <w:r w:rsidRPr="00ED522C">
        <w:rPr>
          <w:rFonts w:cs="Times New Roman"/>
          <w:color w:val="000000" w:themeColor="text1"/>
          <w:sz w:val="16"/>
          <w:szCs w:val="16"/>
        </w:rPr>
        <w:t xml:space="preserve"> S19-S21. </w:t>
      </w:r>
    </w:p>
    <w:p w14:paraId="45A0779A"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Shah, N. P. (2000). Probiotic bacteria: selective enumeration and survival in dairy foods. </w:t>
      </w:r>
      <w:r w:rsidRPr="00ED522C">
        <w:rPr>
          <w:rFonts w:cs="Times New Roman"/>
          <w:i/>
          <w:color w:val="000000" w:themeColor="text1"/>
          <w:sz w:val="16"/>
          <w:szCs w:val="16"/>
        </w:rPr>
        <w:t>Journal of Dairy Science</w:t>
      </w:r>
      <w:r w:rsidRPr="00ED522C">
        <w:rPr>
          <w:rFonts w:cs="Times New Roman"/>
          <w:color w:val="000000" w:themeColor="text1"/>
          <w:sz w:val="16"/>
          <w:szCs w:val="16"/>
        </w:rPr>
        <w:t xml:space="preserve">, </w:t>
      </w:r>
      <w:r w:rsidRPr="00ED522C">
        <w:rPr>
          <w:rFonts w:cs="Times New Roman"/>
          <w:b/>
          <w:color w:val="000000" w:themeColor="text1"/>
          <w:sz w:val="16"/>
          <w:szCs w:val="16"/>
        </w:rPr>
        <w:t>83</w:t>
      </w:r>
      <w:r w:rsidRPr="00ED522C">
        <w:rPr>
          <w:rFonts w:cs="Times New Roman"/>
          <w:color w:val="000000" w:themeColor="text1"/>
          <w:sz w:val="16"/>
          <w:szCs w:val="16"/>
        </w:rPr>
        <w:t xml:space="preserve">(4), 894-907. </w:t>
      </w:r>
    </w:p>
    <w:p w14:paraId="381937C6" w14:textId="77777777" w:rsidR="00B23B1F" w:rsidRPr="00ED522C" w:rsidRDefault="00000000" w:rsidP="00B23B1F">
      <w:pPr>
        <w:spacing w:after="0"/>
        <w:ind w:left="717" w:right="60" w:hanging="720"/>
        <w:rPr>
          <w:rFonts w:cs="Times New Roman"/>
          <w:color w:val="000000" w:themeColor="text1"/>
          <w:sz w:val="16"/>
          <w:szCs w:val="16"/>
        </w:rPr>
      </w:pPr>
      <w:r w:rsidRPr="00ED522C">
        <w:rPr>
          <w:rFonts w:cs="Times New Roman"/>
          <w:sz w:val="16"/>
          <w:szCs w:val="16"/>
          <w:shd w:val="clear" w:color="auto" w:fill="FFFFFF"/>
        </w:rPr>
        <w:t>Singh, H.K., Puranik, D.B., Poornima and Sain, M. (2021)</w:t>
      </w:r>
      <w:r w:rsidRPr="00ED522C">
        <w:rPr>
          <w:rFonts w:cs="Times New Roman"/>
          <w:color w:val="000000" w:themeColor="text1"/>
          <w:sz w:val="16"/>
          <w:szCs w:val="16"/>
        </w:rPr>
        <w:t xml:space="preserve"> </w:t>
      </w:r>
      <w:r w:rsidRPr="00ED522C">
        <w:rPr>
          <w:rFonts w:cs="Times New Roman"/>
          <w:sz w:val="16"/>
          <w:szCs w:val="16"/>
          <w:shd w:val="clear" w:color="auto" w:fill="FFFFFF"/>
        </w:rPr>
        <w:t xml:space="preserve">Process optimisation for the production of papaya leaf extract based therapeutic whey beverage. </w:t>
      </w:r>
      <w:r w:rsidRPr="00ED522C">
        <w:rPr>
          <w:rFonts w:cs="Times New Roman"/>
          <w:i/>
          <w:iCs/>
          <w:sz w:val="16"/>
          <w:szCs w:val="16"/>
          <w:shd w:val="clear" w:color="auto" w:fill="FFFFFF"/>
        </w:rPr>
        <w:t>Environment Conservation Journal</w:t>
      </w:r>
      <w:r w:rsidRPr="00ED522C">
        <w:rPr>
          <w:rFonts w:cs="Times New Roman"/>
          <w:sz w:val="16"/>
          <w:szCs w:val="16"/>
          <w:shd w:val="clear" w:color="auto" w:fill="FFFFFF"/>
        </w:rPr>
        <w:t xml:space="preserve">, </w:t>
      </w:r>
      <w:r w:rsidRPr="00ED522C">
        <w:rPr>
          <w:rFonts w:cs="Times New Roman"/>
          <w:b/>
          <w:bCs/>
          <w:sz w:val="16"/>
          <w:szCs w:val="16"/>
          <w:shd w:val="clear" w:color="auto" w:fill="FFFFFF"/>
        </w:rPr>
        <w:t xml:space="preserve">22 </w:t>
      </w:r>
      <w:r w:rsidRPr="00ED522C">
        <w:rPr>
          <w:rFonts w:cs="Times New Roman"/>
          <w:sz w:val="16"/>
          <w:szCs w:val="16"/>
          <w:shd w:val="clear" w:color="auto" w:fill="FFFFFF"/>
        </w:rPr>
        <w:t>(1&amp;2): 153-158.</w:t>
      </w:r>
    </w:p>
    <w:p w14:paraId="3A7D6A4A"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Solga, S. F. and Diehl, A. M. (2003). Non-alcoholic fatty liver disease: lumenliver interactions and possible role for probiotics. </w:t>
      </w:r>
      <w:r w:rsidRPr="00ED522C">
        <w:rPr>
          <w:rFonts w:cs="Times New Roman"/>
          <w:i/>
          <w:color w:val="000000" w:themeColor="text1"/>
          <w:sz w:val="16"/>
          <w:szCs w:val="16"/>
        </w:rPr>
        <w:t>Journal of Hepatology</w:t>
      </w:r>
      <w:r w:rsidRPr="00ED522C">
        <w:rPr>
          <w:rFonts w:cs="Times New Roman"/>
          <w:color w:val="000000" w:themeColor="text1"/>
          <w:sz w:val="16"/>
          <w:szCs w:val="16"/>
        </w:rPr>
        <w:t xml:space="preserve">, </w:t>
      </w:r>
      <w:r w:rsidRPr="00ED522C">
        <w:rPr>
          <w:rFonts w:cs="Times New Roman"/>
          <w:b/>
          <w:color w:val="000000" w:themeColor="text1"/>
          <w:sz w:val="16"/>
          <w:szCs w:val="16"/>
        </w:rPr>
        <w:t>38</w:t>
      </w:r>
      <w:r w:rsidRPr="00ED522C">
        <w:rPr>
          <w:rFonts w:cs="Times New Roman"/>
          <w:color w:val="000000" w:themeColor="text1"/>
          <w:sz w:val="16"/>
          <w:szCs w:val="16"/>
        </w:rPr>
        <w:t xml:space="preserve">(5), 681-687. </w:t>
      </w:r>
    </w:p>
    <w:p w14:paraId="78637E08"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Talwalkar, A. and Kailasapathy, K. (2004). A review of oxygen toxicity in probiotic yogurts: Influence on the survival of probiotic bacteria and protective techniques. </w:t>
      </w:r>
      <w:r w:rsidRPr="00ED522C">
        <w:rPr>
          <w:rFonts w:cs="Times New Roman"/>
          <w:i/>
          <w:color w:val="000000" w:themeColor="text1"/>
          <w:sz w:val="16"/>
          <w:szCs w:val="16"/>
        </w:rPr>
        <w:t>Comprehensive Reviews in Food Science and Food Safety</w:t>
      </w:r>
      <w:r w:rsidRPr="00ED522C">
        <w:rPr>
          <w:rFonts w:cs="Times New Roman"/>
          <w:color w:val="000000" w:themeColor="text1"/>
          <w:sz w:val="16"/>
          <w:szCs w:val="16"/>
        </w:rPr>
        <w:t xml:space="preserve">, </w:t>
      </w:r>
      <w:r w:rsidRPr="00ED522C">
        <w:rPr>
          <w:rFonts w:cs="Times New Roman"/>
          <w:b/>
          <w:color w:val="000000" w:themeColor="text1"/>
          <w:sz w:val="16"/>
          <w:szCs w:val="16"/>
        </w:rPr>
        <w:t>3</w:t>
      </w:r>
      <w:r w:rsidRPr="00ED522C">
        <w:rPr>
          <w:rFonts w:cs="Times New Roman"/>
          <w:color w:val="000000" w:themeColor="text1"/>
          <w:sz w:val="16"/>
          <w:szCs w:val="16"/>
        </w:rPr>
        <w:t>(3),</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117-124. </w:t>
      </w:r>
    </w:p>
    <w:p w14:paraId="1BE7015A"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Tannock, G. W. (2001). Molecular assessment of intestinal microflora. </w:t>
      </w:r>
      <w:r w:rsidRPr="00ED522C">
        <w:rPr>
          <w:rFonts w:cs="Times New Roman"/>
          <w:i/>
          <w:color w:val="000000" w:themeColor="text1"/>
          <w:sz w:val="16"/>
          <w:szCs w:val="16"/>
        </w:rPr>
        <w:t>The American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73</w:t>
      </w:r>
      <w:r w:rsidRPr="00ED522C">
        <w:rPr>
          <w:rFonts w:cs="Times New Roman"/>
          <w:color w:val="000000" w:themeColor="text1"/>
          <w:sz w:val="16"/>
          <w:szCs w:val="16"/>
        </w:rPr>
        <w:t xml:space="preserve">(2), 410s-414s. </w:t>
      </w:r>
    </w:p>
    <w:p w14:paraId="082BAAB2"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Tannock, G. W. (2002). The bifidobacterial and Lactobacillus microflora of humans. </w:t>
      </w:r>
      <w:r w:rsidRPr="00ED522C">
        <w:rPr>
          <w:rFonts w:cs="Times New Roman"/>
          <w:i/>
          <w:color w:val="000000" w:themeColor="text1"/>
          <w:sz w:val="16"/>
          <w:szCs w:val="16"/>
        </w:rPr>
        <w:t>Clinical Reviews in Allergy and Immunology</w:t>
      </w:r>
      <w:r w:rsidRPr="00ED522C">
        <w:rPr>
          <w:rFonts w:cs="Times New Roman"/>
          <w:color w:val="000000" w:themeColor="text1"/>
          <w:sz w:val="16"/>
          <w:szCs w:val="16"/>
        </w:rPr>
        <w:t xml:space="preserve">. </w:t>
      </w:r>
      <w:r w:rsidRPr="00ED522C">
        <w:rPr>
          <w:rFonts w:cs="Times New Roman"/>
          <w:b/>
          <w:color w:val="000000" w:themeColor="text1"/>
          <w:sz w:val="16"/>
          <w:szCs w:val="16"/>
        </w:rPr>
        <w:t>22</w:t>
      </w:r>
      <w:r w:rsidRPr="00ED522C">
        <w:rPr>
          <w:rFonts w:cs="Times New Roman"/>
          <w:color w:val="000000" w:themeColor="text1"/>
          <w:sz w:val="16"/>
          <w:szCs w:val="16"/>
        </w:rPr>
        <w:t xml:space="preserve">(3), 231-253. </w:t>
      </w:r>
    </w:p>
    <w:p w14:paraId="0E402FB5"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Taranto, M. P., Medici, M., Perdigon, G., Holgado, A. R. and Valdez, G. F. (1998). Evidence for hypocholesterolemic effect of Lactobacillus reuteri in hypercholesterolemic mice. </w:t>
      </w:r>
      <w:r w:rsidRPr="00ED522C">
        <w:rPr>
          <w:rFonts w:cs="Times New Roman"/>
          <w:i/>
          <w:color w:val="000000" w:themeColor="text1"/>
          <w:sz w:val="16"/>
          <w:szCs w:val="16"/>
        </w:rPr>
        <w:t>Journal of Dairy Science</w:t>
      </w:r>
      <w:r w:rsidRPr="00ED522C">
        <w:rPr>
          <w:rFonts w:cs="Times New Roman"/>
          <w:color w:val="000000" w:themeColor="text1"/>
          <w:sz w:val="16"/>
          <w:szCs w:val="16"/>
        </w:rPr>
        <w:t xml:space="preserve">, </w:t>
      </w:r>
      <w:r w:rsidRPr="00ED522C">
        <w:rPr>
          <w:rFonts w:cs="Times New Roman"/>
          <w:b/>
          <w:color w:val="000000" w:themeColor="text1"/>
          <w:sz w:val="16"/>
          <w:szCs w:val="16"/>
        </w:rPr>
        <w:t>81</w:t>
      </w:r>
      <w:r w:rsidRPr="00ED522C">
        <w:rPr>
          <w:rFonts w:cs="Times New Roman"/>
          <w:color w:val="000000" w:themeColor="text1"/>
          <w:sz w:val="16"/>
          <w:szCs w:val="16"/>
        </w:rPr>
        <w:t xml:space="preserve">(9), 23362340. </w:t>
      </w:r>
    </w:p>
    <w:p w14:paraId="4F72D957"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Tisser, H. (1906). Traitement des infections intestinales par la methode de la flore bacterienne de l’intestin. C.R. Soc. Biol, 60, 359-361. </w:t>
      </w:r>
    </w:p>
    <w:p w14:paraId="0408CD5A" w14:textId="77777777" w:rsidR="00B23B1F" w:rsidRPr="00ED522C" w:rsidRDefault="00000000" w:rsidP="009038C8">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Vanderhoof, J. A. (2000). Probiotics and intestinal inflammatory disorders in infants and children. </w:t>
      </w:r>
      <w:r w:rsidRPr="00ED522C">
        <w:rPr>
          <w:rFonts w:cs="Times New Roman"/>
          <w:i/>
          <w:color w:val="000000" w:themeColor="text1"/>
          <w:sz w:val="16"/>
          <w:szCs w:val="16"/>
        </w:rPr>
        <w:t>Journal of Pediatric Gastroenterology and Nutrition</w:t>
      </w:r>
      <w:r w:rsidRPr="00ED522C">
        <w:rPr>
          <w:rFonts w:cs="Times New Roman"/>
          <w:color w:val="000000" w:themeColor="text1"/>
          <w:sz w:val="16"/>
          <w:szCs w:val="16"/>
        </w:rPr>
        <w:t xml:space="preserve">, </w:t>
      </w:r>
      <w:r w:rsidRPr="00ED522C">
        <w:rPr>
          <w:rFonts w:cs="Times New Roman"/>
          <w:b/>
          <w:color w:val="000000" w:themeColor="text1"/>
          <w:sz w:val="16"/>
          <w:szCs w:val="16"/>
        </w:rPr>
        <w:t>30,</w:t>
      </w:r>
      <w:r w:rsidRPr="00ED522C">
        <w:rPr>
          <w:rFonts w:cs="Times New Roman"/>
          <w:color w:val="000000" w:themeColor="text1"/>
          <w:sz w:val="16"/>
          <w:szCs w:val="16"/>
        </w:rPr>
        <w:t xml:space="preserve"> S34-S38.  </w:t>
      </w:r>
    </w:p>
    <w:p w14:paraId="60BABB01" w14:textId="77777777" w:rsidR="00B23B1F" w:rsidRPr="00ED522C" w:rsidRDefault="00000000" w:rsidP="009038C8">
      <w:pPr>
        <w:spacing w:line="259" w:lineRule="auto"/>
        <w:ind w:right="60" w:firstLine="0"/>
        <w:rPr>
          <w:rFonts w:cs="Times New Roman"/>
          <w:color w:val="000000" w:themeColor="text1"/>
          <w:sz w:val="16"/>
          <w:szCs w:val="16"/>
        </w:rPr>
      </w:pPr>
      <w:r w:rsidRPr="00ED522C">
        <w:rPr>
          <w:rFonts w:cs="Times New Roman"/>
          <w:color w:val="000000" w:themeColor="text1"/>
          <w:sz w:val="16"/>
          <w:szCs w:val="16"/>
        </w:rPr>
        <w:t xml:space="preserve">Verdu, E. F., &amp; Collins, S. M. (2005). Irritable bowel syndrome and probiotics: </w:t>
      </w:r>
    </w:p>
    <w:p w14:paraId="76A4EFE0"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Verma, A. and Shukla, G. (2013). Administration of prebiotic inulin suppresses 1, 2 dimethylhydrazine dihydrochloride induced procarcinogenic biomarkers faecal enzymes and preneoplastic lesions in early colon carcinogenesis in Sprague Dawley rats. </w:t>
      </w:r>
      <w:r w:rsidRPr="00ED522C">
        <w:rPr>
          <w:rFonts w:cs="Times New Roman"/>
          <w:i/>
          <w:color w:val="000000" w:themeColor="text1"/>
          <w:sz w:val="16"/>
          <w:szCs w:val="16"/>
        </w:rPr>
        <w:t xml:space="preserve">Journal of Functional Foods, </w:t>
      </w:r>
      <w:r w:rsidRPr="00ED522C">
        <w:rPr>
          <w:rFonts w:cs="Times New Roman"/>
          <w:b/>
          <w:color w:val="000000" w:themeColor="text1"/>
          <w:sz w:val="16"/>
          <w:szCs w:val="16"/>
        </w:rPr>
        <w:t>5</w:t>
      </w:r>
      <w:r w:rsidRPr="00ED522C">
        <w:rPr>
          <w:rFonts w:cs="Times New Roman"/>
          <w:color w:val="000000" w:themeColor="text1"/>
          <w:sz w:val="16"/>
          <w:szCs w:val="16"/>
        </w:rPr>
        <w:t xml:space="preserve">(2), 991-996. </w:t>
      </w:r>
    </w:p>
    <w:p w14:paraId="30934E66" w14:textId="77777777" w:rsidR="00B23B1F" w:rsidRPr="00ED522C" w:rsidRDefault="00000000"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Ziemer, C. J. and Gibson, G. R. (1998). An overview of probiotics, prebiotics and synbiotics in the functional food concept: perspectives and future strategies. </w:t>
      </w:r>
      <w:r w:rsidRPr="00ED522C">
        <w:rPr>
          <w:rFonts w:cs="Times New Roman"/>
          <w:i/>
          <w:color w:val="000000" w:themeColor="text1"/>
          <w:sz w:val="16"/>
          <w:szCs w:val="16"/>
        </w:rPr>
        <w:t>International Dairy Journal</w:t>
      </w:r>
      <w:r w:rsidRPr="00ED522C">
        <w:rPr>
          <w:rFonts w:cs="Times New Roman"/>
          <w:color w:val="000000" w:themeColor="text1"/>
          <w:sz w:val="16"/>
          <w:szCs w:val="16"/>
        </w:rPr>
        <w:t xml:space="preserve">, </w:t>
      </w:r>
      <w:r w:rsidRPr="00ED522C">
        <w:rPr>
          <w:rFonts w:cs="Times New Roman"/>
          <w:b/>
          <w:i/>
          <w:color w:val="000000" w:themeColor="text1"/>
          <w:sz w:val="16"/>
          <w:szCs w:val="16"/>
        </w:rPr>
        <w:t>8</w:t>
      </w:r>
      <w:r w:rsidRPr="00ED522C">
        <w:rPr>
          <w:rFonts w:cs="Times New Roman"/>
          <w:color w:val="000000" w:themeColor="text1"/>
          <w:sz w:val="16"/>
          <w:szCs w:val="16"/>
        </w:rPr>
        <w:t xml:space="preserve">(5-6), 473-479. </w:t>
      </w:r>
    </w:p>
    <w:p w14:paraId="1E3379CC" w14:textId="77777777" w:rsidR="00B23B1F" w:rsidRPr="00ED522C" w:rsidRDefault="00000000"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Zoumpopoulou, G., Tsakalidou, E., Dewulf, J., Pot, B., &amp; Grangette, C. (2009). Differential crosstalk between epithelial cells, dendritic cells and bacteria in a co-culture model. </w:t>
      </w:r>
      <w:r w:rsidRPr="00ED522C">
        <w:rPr>
          <w:rFonts w:cs="Times New Roman"/>
          <w:i/>
          <w:color w:val="000000" w:themeColor="text1"/>
          <w:sz w:val="16"/>
          <w:szCs w:val="16"/>
        </w:rPr>
        <w:t>International Journal of Food Microbiology</w:t>
      </w:r>
      <w:r w:rsidRPr="00ED522C">
        <w:rPr>
          <w:rFonts w:cs="Times New Roman"/>
          <w:color w:val="000000" w:themeColor="text1"/>
          <w:sz w:val="16"/>
          <w:szCs w:val="16"/>
        </w:rPr>
        <w:t xml:space="preserve">, </w:t>
      </w:r>
      <w:r w:rsidRPr="00ED522C">
        <w:rPr>
          <w:rFonts w:cs="Times New Roman"/>
          <w:b/>
          <w:color w:val="000000" w:themeColor="text1"/>
          <w:sz w:val="16"/>
          <w:szCs w:val="16"/>
        </w:rPr>
        <w:t>131</w:t>
      </w:r>
      <w:r w:rsidRPr="00ED522C">
        <w:rPr>
          <w:rFonts w:cs="Times New Roman"/>
          <w:color w:val="000000" w:themeColor="text1"/>
          <w:sz w:val="16"/>
          <w:szCs w:val="16"/>
        </w:rPr>
        <w:t xml:space="preserve">(1), 40-51. </w:t>
      </w:r>
    </w:p>
    <w:sectPr w:rsidR="00B23B1F" w:rsidRPr="00ED522C" w:rsidSect="00F03ACF">
      <w:headerReference w:type="even" r:id="rId17"/>
      <w:headerReference w:type="default" r:id="rId18"/>
      <w:footerReference w:type="even" r:id="rId19"/>
      <w:footerReference w:type="default" r:id="rId20"/>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C978" w14:textId="77777777" w:rsidR="003E460F" w:rsidRDefault="003E460F">
      <w:pPr>
        <w:spacing w:line="240" w:lineRule="auto"/>
      </w:pPr>
      <w:r>
        <w:separator/>
      </w:r>
    </w:p>
    <w:p w14:paraId="288BFA21" w14:textId="77777777" w:rsidR="003E460F" w:rsidRDefault="003E460F"/>
    <w:p w14:paraId="1D078F4B" w14:textId="77777777" w:rsidR="003E460F" w:rsidRDefault="003E460F"/>
  </w:endnote>
  <w:endnote w:type="continuationSeparator" w:id="0">
    <w:p w14:paraId="1424BD8B" w14:textId="77777777" w:rsidR="003E460F" w:rsidRDefault="003E460F">
      <w:pPr>
        <w:spacing w:line="240" w:lineRule="auto"/>
      </w:pPr>
      <w:r>
        <w:continuationSeparator/>
      </w:r>
    </w:p>
    <w:p w14:paraId="60882967" w14:textId="77777777" w:rsidR="003E460F" w:rsidRDefault="003E460F"/>
    <w:p w14:paraId="62A93F30" w14:textId="77777777" w:rsidR="003E460F" w:rsidRDefault="003E4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CaslonOldFace B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596492"/>
      <w:docPartObj>
        <w:docPartGallery w:val="Page Numbers (Bottom of Page)"/>
        <w:docPartUnique/>
      </w:docPartObj>
    </w:sdtPr>
    <w:sdtEndPr>
      <w:rPr>
        <w:noProof/>
      </w:rPr>
    </w:sdtEndPr>
    <w:sdtContent>
      <w:p w14:paraId="7C807B33" w14:textId="77777777" w:rsidR="00B754F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034F75" w14:textId="77777777" w:rsidR="00B754F0" w:rsidRDefault="00B75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545537"/>
      <w:docPartObj>
        <w:docPartGallery w:val="Page Numbers (Bottom of Page)"/>
        <w:docPartUnique/>
      </w:docPartObj>
    </w:sdtPr>
    <w:sdtEndPr>
      <w:rPr>
        <w:noProof/>
      </w:rPr>
    </w:sdtEndPr>
    <w:sdtContent>
      <w:p w14:paraId="071F85AD" w14:textId="77777777" w:rsidR="007862B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57EE79" w14:textId="77777777" w:rsidR="00B754F0" w:rsidRDefault="00B75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D04F" w14:textId="77777777" w:rsidR="003E460F" w:rsidRDefault="003E460F">
      <w:pPr>
        <w:spacing w:line="240" w:lineRule="auto"/>
      </w:pPr>
      <w:r>
        <w:separator/>
      </w:r>
    </w:p>
    <w:p w14:paraId="4E495358" w14:textId="77777777" w:rsidR="003E460F" w:rsidRDefault="003E460F"/>
    <w:p w14:paraId="6E0F3F7E" w14:textId="77777777" w:rsidR="003E460F" w:rsidRDefault="003E460F"/>
  </w:footnote>
  <w:footnote w:type="continuationSeparator" w:id="0">
    <w:p w14:paraId="5A24C51F" w14:textId="77777777" w:rsidR="003E460F" w:rsidRDefault="003E460F">
      <w:pPr>
        <w:spacing w:line="240" w:lineRule="auto"/>
      </w:pPr>
      <w:r>
        <w:continuationSeparator/>
      </w:r>
    </w:p>
    <w:p w14:paraId="4FAB0F20" w14:textId="77777777" w:rsidR="003E460F" w:rsidRDefault="003E460F"/>
    <w:p w14:paraId="707028CC" w14:textId="77777777" w:rsidR="003E460F" w:rsidRDefault="003E46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366F" w14:textId="77777777" w:rsidR="003232AA" w:rsidRPr="003232AA" w:rsidRDefault="00000000" w:rsidP="003232AA">
    <w:pPr>
      <w:ind w:right="57"/>
      <w:jc w:val="right"/>
      <w:rPr>
        <w:i/>
        <w:iCs/>
      </w:rPr>
    </w:pPr>
    <w:r w:rsidRPr="003232AA">
      <w:rPr>
        <w:i/>
        <w:iCs/>
      </w:rPr>
      <w:t>Result</w:t>
    </w:r>
    <w:r>
      <w:rPr>
        <w:i/>
        <w:iCs/>
      </w:rPr>
      <w:t>s</w:t>
    </w:r>
    <w:r w:rsidRPr="003232AA">
      <w:rPr>
        <w:i/>
        <w:iCs/>
      </w:rPr>
      <w:t xml:space="preserve"> &amp; Discussion</w:t>
    </w:r>
  </w:p>
  <w:p w14:paraId="3697EE2E" w14:textId="77777777" w:rsidR="00090073" w:rsidRDefault="000900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4C07" w14:textId="77777777" w:rsidR="00655E5A" w:rsidRPr="003232AA" w:rsidRDefault="00655E5A" w:rsidP="003232AA">
    <w:pPr>
      <w:ind w:right="57"/>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26A5"/>
    <w:multiLevelType w:val="hybridMultilevel"/>
    <w:tmpl w:val="AC98C2E2"/>
    <w:lvl w:ilvl="0" w:tplc="5F34B470">
      <w:start w:val="1"/>
      <w:numFmt w:val="upperLetter"/>
      <w:lvlText w:val="(%1)"/>
      <w:lvlJc w:val="left"/>
      <w:pPr>
        <w:ind w:left="1211" w:hanging="360"/>
      </w:pPr>
      <w:rPr>
        <w:rFonts w:hint="default"/>
      </w:rPr>
    </w:lvl>
    <w:lvl w:ilvl="1" w:tplc="CBDA11A4" w:tentative="1">
      <w:start w:val="1"/>
      <w:numFmt w:val="lowerLetter"/>
      <w:lvlText w:val="%2."/>
      <w:lvlJc w:val="left"/>
      <w:pPr>
        <w:ind w:left="1931" w:hanging="360"/>
      </w:pPr>
    </w:lvl>
    <w:lvl w:ilvl="2" w:tplc="0082D9BA" w:tentative="1">
      <w:start w:val="1"/>
      <w:numFmt w:val="lowerRoman"/>
      <w:lvlText w:val="%3."/>
      <w:lvlJc w:val="right"/>
      <w:pPr>
        <w:ind w:left="2651" w:hanging="180"/>
      </w:pPr>
    </w:lvl>
    <w:lvl w:ilvl="3" w:tplc="56380DE6" w:tentative="1">
      <w:start w:val="1"/>
      <w:numFmt w:val="decimal"/>
      <w:lvlText w:val="%4."/>
      <w:lvlJc w:val="left"/>
      <w:pPr>
        <w:ind w:left="3371" w:hanging="360"/>
      </w:pPr>
    </w:lvl>
    <w:lvl w:ilvl="4" w:tplc="7356456C" w:tentative="1">
      <w:start w:val="1"/>
      <w:numFmt w:val="lowerLetter"/>
      <w:lvlText w:val="%5."/>
      <w:lvlJc w:val="left"/>
      <w:pPr>
        <w:ind w:left="4091" w:hanging="360"/>
      </w:pPr>
    </w:lvl>
    <w:lvl w:ilvl="5" w:tplc="BD306446" w:tentative="1">
      <w:start w:val="1"/>
      <w:numFmt w:val="lowerRoman"/>
      <w:lvlText w:val="%6."/>
      <w:lvlJc w:val="right"/>
      <w:pPr>
        <w:ind w:left="4811" w:hanging="180"/>
      </w:pPr>
    </w:lvl>
    <w:lvl w:ilvl="6" w:tplc="6B7608CA" w:tentative="1">
      <w:start w:val="1"/>
      <w:numFmt w:val="decimal"/>
      <w:lvlText w:val="%7."/>
      <w:lvlJc w:val="left"/>
      <w:pPr>
        <w:ind w:left="5531" w:hanging="360"/>
      </w:pPr>
    </w:lvl>
    <w:lvl w:ilvl="7" w:tplc="75666CDE" w:tentative="1">
      <w:start w:val="1"/>
      <w:numFmt w:val="lowerLetter"/>
      <w:lvlText w:val="%8."/>
      <w:lvlJc w:val="left"/>
      <w:pPr>
        <w:ind w:left="6251" w:hanging="360"/>
      </w:pPr>
    </w:lvl>
    <w:lvl w:ilvl="8" w:tplc="E3A02428" w:tentative="1">
      <w:start w:val="1"/>
      <w:numFmt w:val="lowerRoman"/>
      <w:lvlText w:val="%9."/>
      <w:lvlJc w:val="right"/>
      <w:pPr>
        <w:ind w:left="6971" w:hanging="180"/>
      </w:pPr>
    </w:lvl>
  </w:abstractNum>
  <w:abstractNum w:abstractNumId="1" w15:restartNumberingAfterBreak="0">
    <w:nsid w:val="0F13715D"/>
    <w:multiLevelType w:val="hybridMultilevel"/>
    <w:tmpl w:val="B8CABF94"/>
    <w:lvl w:ilvl="0" w:tplc="98BCE150">
      <w:start w:val="1"/>
      <w:numFmt w:val="upperLetter"/>
      <w:lvlText w:val="(%1)"/>
      <w:lvlJc w:val="left"/>
      <w:pPr>
        <w:ind w:left="1211" w:hanging="360"/>
      </w:pPr>
      <w:rPr>
        <w:rFonts w:hint="default"/>
      </w:rPr>
    </w:lvl>
    <w:lvl w:ilvl="1" w:tplc="670223E8" w:tentative="1">
      <w:start w:val="1"/>
      <w:numFmt w:val="lowerLetter"/>
      <w:lvlText w:val="%2."/>
      <w:lvlJc w:val="left"/>
      <w:pPr>
        <w:ind w:left="1931" w:hanging="360"/>
      </w:pPr>
    </w:lvl>
    <w:lvl w:ilvl="2" w:tplc="C8D888F0" w:tentative="1">
      <w:start w:val="1"/>
      <w:numFmt w:val="lowerRoman"/>
      <w:lvlText w:val="%3."/>
      <w:lvlJc w:val="right"/>
      <w:pPr>
        <w:ind w:left="2651" w:hanging="180"/>
      </w:pPr>
    </w:lvl>
    <w:lvl w:ilvl="3" w:tplc="C3C602E6" w:tentative="1">
      <w:start w:val="1"/>
      <w:numFmt w:val="decimal"/>
      <w:lvlText w:val="%4."/>
      <w:lvlJc w:val="left"/>
      <w:pPr>
        <w:ind w:left="3371" w:hanging="360"/>
      </w:pPr>
    </w:lvl>
    <w:lvl w:ilvl="4" w:tplc="AD00837C" w:tentative="1">
      <w:start w:val="1"/>
      <w:numFmt w:val="lowerLetter"/>
      <w:lvlText w:val="%5."/>
      <w:lvlJc w:val="left"/>
      <w:pPr>
        <w:ind w:left="4091" w:hanging="360"/>
      </w:pPr>
    </w:lvl>
    <w:lvl w:ilvl="5" w:tplc="D040D29C" w:tentative="1">
      <w:start w:val="1"/>
      <w:numFmt w:val="lowerRoman"/>
      <w:lvlText w:val="%6."/>
      <w:lvlJc w:val="right"/>
      <w:pPr>
        <w:ind w:left="4811" w:hanging="180"/>
      </w:pPr>
    </w:lvl>
    <w:lvl w:ilvl="6" w:tplc="559CCFAC" w:tentative="1">
      <w:start w:val="1"/>
      <w:numFmt w:val="decimal"/>
      <w:lvlText w:val="%7."/>
      <w:lvlJc w:val="left"/>
      <w:pPr>
        <w:ind w:left="5531" w:hanging="360"/>
      </w:pPr>
    </w:lvl>
    <w:lvl w:ilvl="7" w:tplc="85EE7478" w:tentative="1">
      <w:start w:val="1"/>
      <w:numFmt w:val="lowerLetter"/>
      <w:lvlText w:val="%8."/>
      <w:lvlJc w:val="left"/>
      <w:pPr>
        <w:ind w:left="6251" w:hanging="360"/>
      </w:pPr>
    </w:lvl>
    <w:lvl w:ilvl="8" w:tplc="9B50BB88" w:tentative="1">
      <w:start w:val="1"/>
      <w:numFmt w:val="lowerRoman"/>
      <w:lvlText w:val="%9."/>
      <w:lvlJc w:val="right"/>
      <w:pPr>
        <w:ind w:left="6971" w:hanging="180"/>
      </w:pPr>
    </w:lvl>
  </w:abstractNum>
  <w:abstractNum w:abstractNumId="2" w15:restartNumberingAfterBreak="0">
    <w:nsid w:val="12A31D92"/>
    <w:multiLevelType w:val="hybridMultilevel"/>
    <w:tmpl w:val="5E1A76D2"/>
    <w:lvl w:ilvl="0" w:tplc="477CACDC">
      <w:start w:val="1"/>
      <w:numFmt w:val="bullet"/>
      <w:lvlText w:val=""/>
      <w:lvlJc w:val="left"/>
      <w:pPr>
        <w:ind w:left="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B74225A">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3C54CC">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AC54C8">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C22C76">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A9E38F2">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848AA2">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2A118A">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D8A014">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C056EA"/>
    <w:multiLevelType w:val="hybridMultilevel"/>
    <w:tmpl w:val="0F2A397C"/>
    <w:lvl w:ilvl="0" w:tplc="A33231FE">
      <w:start w:val="24"/>
      <w:numFmt w:val="upperLetter"/>
      <w:lvlText w:val="%1"/>
      <w:lvlJc w:val="left"/>
      <w:pPr>
        <w:ind w:left="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62A2B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0A6F1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98728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96A14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CE0FD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2AE02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C0D23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260B5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581CFC"/>
    <w:multiLevelType w:val="hybridMultilevel"/>
    <w:tmpl w:val="F672153A"/>
    <w:lvl w:ilvl="0" w:tplc="34CCC732">
      <w:start w:val="1"/>
      <w:numFmt w:val="upperLetter"/>
      <w:lvlText w:val="(%1)"/>
      <w:lvlJc w:val="left"/>
      <w:pPr>
        <w:ind w:left="1211" w:hanging="360"/>
      </w:pPr>
      <w:rPr>
        <w:rFonts w:hint="default"/>
      </w:rPr>
    </w:lvl>
    <w:lvl w:ilvl="1" w:tplc="61BCDD86" w:tentative="1">
      <w:start w:val="1"/>
      <w:numFmt w:val="lowerLetter"/>
      <w:lvlText w:val="%2."/>
      <w:lvlJc w:val="left"/>
      <w:pPr>
        <w:ind w:left="1931" w:hanging="360"/>
      </w:pPr>
    </w:lvl>
    <w:lvl w:ilvl="2" w:tplc="FED034D8" w:tentative="1">
      <w:start w:val="1"/>
      <w:numFmt w:val="lowerRoman"/>
      <w:lvlText w:val="%3."/>
      <w:lvlJc w:val="right"/>
      <w:pPr>
        <w:ind w:left="2651" w:hanging="180"/>
      </w:pPr>
    </w:lvl>
    <w:lvl w:ilvl="3" w:tplc="AC6E9FFE" w:tentative="1">
      <w:start w:val="1"/>
      <w:numFmt w:val="decimal"/>
      <w:lvlText w:val="%4."/>
      <w:lvlJc w:val="left"/>
      <w:pPr>
        <w:ind w:left="3371" w:hanging="360"/>
      </w:pPr>
    </w:lvl>
    <w:lvl w:ilvl="4" w:tplc="4DE2341A" w:tentative="1">
      <w:start w:val="1"/>
      <w:numFmt w:val="lowerLetter"/>
      <w:lvlText w:val="%5."/>
      <w:lvlJc w:val="left"/>
      <w:pPr>
        <w:ind w:left="4091" w:hanging="360"/>
      </w:pPr>
    </w:lvl>
    <w:lvl w:ilvl="5" w:tplc="119038C4" w:tentative="1">
      <w:start w:val="1"/>
      <w:numFmt w:val="lowerRoman"/>
      <w:lvlText w:val="%6."/>
      <w:lvlJc w:val="right"/>
      <w:pPr>
        <w:ind w:left="4811" w:hanging="180"/>
      </w:pPr>
    </w:lvl>
    <w:lvl w:ilvl="6" w:tplc="13785FEC" w:tentative="1">
      <w:start w:val="1"/>
      <w:numFmt w:val="decimal"/>
      <w:lvlText w:val="%7."/>
      <w:lvlJc w:val="left"/>
      <w:pPr>
        <w:ind w:left="5531" w:hanging="360"/>
      </w:pPr>
    </w:lvl>
    <w:lvl w:ilvl="7" w:tplc="522AAB8C" w:tentative="1">
      <w:start w:val="1"/>
      <w:numFmt w:val="lowerLetter"/>
      <w:lvlText w:val="%8."/>
      <w:lvlJc w:val="left"/>
      <w:pPr>
        <w:ind w:left="6251" w:hanging="360"/>
      </w:pPr>
    </w:lvl>
    <w:lvl w:ilvl="8" w:tplc="AF2012C0" w:tentative="1">
      <w:start w:val="1"/>
      <w:numFmt w:val="lowerRoman"/>
      <w:lvlText w:val="%9."/>
      <w:lvlJc w:val="right"/>
      <w:pPr>
        <w:ind w:left="6971" w:hanging="180"/>
      </w:pPr>
    </w:lvl>
  </w:abstractNum>
  <w:abstractNum w:abstractNumId="5" w15:restartNumberingAfterBreak="0">
    <w:nsid w:val="22A7234E"/>
    <w:multiLevelType w:val="hybridMultilevel"/>
    <w:tmpl w:val="1E58632A"/>
    <w:lvl w:ilvl="0" w:tplc="671AD06A">
      <w:start w:val="1"/>
      <w:numFmt w:val="bullet"/>
      <w:lvlText w:val=""/>
      <w:lvlJc w:val="left"/>
      <w:pPr>
        <w:ind w:left="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B8CB4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6CA9F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B0D7C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E239E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A98E20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04DBA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78C6BE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29E97F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313202"/>
    <w:multiLevelType w:val="hybridMultilevel"/>
    <w:tmpl w:val="38A0B2C6"/>
    <w:lvl w:ilvl="0" w:tplc="3AB80162">
      <w:start w:val="1"/>
      <w:numFmt w:val="upperLetter"/>
      <w:lvlText w:val="(%1)"/>
      <w:lvlJc w:val="left"/>
      <w:pPr>
        <w:ind w:left="450" w:hanging="390"/>
      </w:pPr>
      <w:rPr>
        <w:rFonts w:hint="default"/>
      </w:rPr>
    </w:lvl>
    <w:lvl w:ilvl="1" w:tplc="890E44C4" w:tentative="1">
      <w:start w:val="1"/>
      <w:numFmt w:val="lowerLetter"/>
      <w:lvlText w:val="%2."/>
      <w:lvlJc w:val="left"/>
      <w:pPr>
        <w:ind w:left="1140" w:hanging="360"/>
      </w:pPr>
    </w:lvl>
    <w:lvl w:ilvl="2" w:tplc="9A68FEA6" w:tentative="1">
      <w:start w:val="1"/>
      <w:numFmt w:val="lowerRoman"/>
      <w:lvlText w:val="%3."/>
      <w:lvlJc w:val="right"/>
      <w:pPr>
        <w:ind w:left="1860" w:hanging="180"/>
      </w:pPr>
    </w:lvl>
    <w:lvl w:ilvl="3" w:tplc="C3DA1142" w:tentative="1">
      <w:start w:val="1"/>
      <w:numFmt w:val="decimal"/>
      <w:lvlText w:val="%4."/>
      <w:lvlJc w:val="left"/>
      <w:pPr>
        <w:ind w:left="2580" w:hanging="360"/>
      </w:pPr>
    </w:lvl>
    <w:lvl w:ilvl="4" w:tplc="57081E80" w:tentative="1">
      <w:start w:val="1"/>
      <w:numFmt w:val="lowerLetter"/>
      <w:lvlText w:val="%5."/>
      <w:lvlJc w:val="left"/>
      <w:pPr>
        <w:ind w:left="3300" w:hanging="360"/>
      </w:pPr>
    </w:lvl>
    <w:lvl w:ilvl="5" w:tplc="56D49810" w:tentative="1">
      <w:start w:val="1"/>
      <w:numFmt w:val="lowerRoman"/>
      <w:lvlText w:val="%6."/>
      <w:lvlJc w:val="right"/>
      <w:pPr>
        <w:ind w:left="4020" w:hanging="180"/>
      </w:pPr>
    </w:lvl>
    <w:lvl w:ilvl="6" w:tplc="0742ECEE" w:tentative="1">
      <w:start w:val="1"/>
      <w:numFmt w:val="decimal"/>
      <w:lvlText w:val="%7."/>
      <w:lvlJc w:val="left"/>
      <w:pPr>
        <w:ind w:left="4740" w:hanging="360"/>
      </w:pPr>
    </w:lvl>
    <w:lvl w:ilvl="7" w:tplc="2CCE41F8" w:tentative="1">
      <w:start w:val="1"/>
      <w:numFmt w:val="lowerLetter"/>
      <w:lvlText w:val="%8."/>
      <w:lvlJc w:val="left"/>
      <w:pPr>
        <w:ind w:left="5460" w:hanging="360"/>
      </w:pPr>
    </w:lvl>
    <w:lvl w:ilvl="8" w:tplc="16C4C850" w:tentative="1">
      <w:start w:val="1"/>
      <w:numFmt w:val="lowerRoman"/>
      <w:lvlText w:val="%9."/>
      <w:lvlJc w:val="right"/>
      <w:pPr>
        <w:ind w:left="6180" w:hanging="180"/>
      </w:pPr>
    </w:lvl>
  </w:abstractNum>
  <w:abstractNum w:abstractNumId="7" w15:restartNumberingAfterBreak="0">
    <w:nsid w:val="40D569B6"/>
    <w:multiLevelType w:val="hybridMultilevel"/>
    <w:tmpl w:val="98A6AC8A"/>
    <w:lvl w:ilvl="0" w:tplc="E64C6F5A">
      <w:start w:val="1"/>
      <w:numFmt w:val="upperLetter"/>
      <w:lvlText w:val="(%1)"/>
      <w:lvlJc w:val="left"/>
      <w:pPr>
        <w:ind w:left="420" w:hanging="360"/>
      </w:pPr>
      <w:rPr>
        <w:rFonts w:hint="default"/>
        <w:sz w:val="24"/>
      </w:rPr>
    </w:lvl>
    <w:lvl w:ilvl="1" w:tplc="5FA6F698" w:tentative="1">
      <w:start w:val="1"/>
      <w:numFmt w:val="lowerLetter"/>
      <w:lvlText w:val="%2."/>
      <w:lvlJc w:val="left"/>
      <w:pPr>
        <w:ind w:left="1140" w:hanging="360"/>
      </w:pPr>
    </w:lvl>
    <w:lvl w:ilvl="2" w:tplc="C2724B72" w:tentative="1">
      <w:start w:val="1"/>
      <w:numFmt w:val="lowerRoman"/>
      <w:lvlText w:val="%3."/>
      <w:lvlJc w:val="right"/>
      <w:pPr>
        <w:ind w:left="1860" w:hanging="180"/>
      </w:pPr>
    </w:lvl>
    <w:lvl w:ilvl="3" w:tplc="C124234C" w:tentative="1">
      <w:start w:val="1"/>
      <w:numFmt w:val="decimal"/>
      <w:lvlText w:val="%4."/>
      <w:lvlJc w:val="left"/>
      <w:pPr>
        <w:ind w:left="2580" w:hanging="360"/>
      </w:pPr>
    </w:lvl>
    <w:lvl w:ilvl="4" w:tplc="70D8A5DA" w:tentative="1">
      <w:start w:val="1"/>
      <w:numFmt w:val="lowerLetter"/>
      <w:lvlText w:val="%5."/>
      <w:lvlJc w:val="left"/>
      <w:pPr>
        <w:ind w:left="3300" w:hanging="360"/>
      </w:pPr>
    </w:lvl>
    <w:lvl w:ilvl="5" w:tplc="47B8EA72" w:tentative="1">
      <w:start w:val="1"/>
      <w:numFmt w:val="lowerRoman"/>
      <w:lvlText w:val="%6."/>
      <w:lvlJc w:val="right"/>
      <w:pPr>
        <w:ind w:left="4020" w:hanging="180"/>
      </w:pPr>
    </w:lvl>
    <w:lvl w:ilvl="6" w:tplc="DA14C5C6" w:tentative="1">
      <w:start w:val="1"/>
      <w:numFmt w:val="decimal"/>
      <w:lvlText w:val="%7."/>
      <w:lvlJc w:val="left"/>
      <w:pPr>
        <w:ind w:left="4740" w:hanging="360"/>
      </w:pPr>
    </w:lvl>
    <w:lvl w:ilvl="7" w:tplc="C046E29E" w:tentative="1">
      <w:start w:val="1"/>
      <w:numFmt w:val="lowerLetter"/>
      <w:lvlText w:val="%8."/>
      <w:lvlJc w:val="left"/>
      <w:pPr>
        <w:ind w:left="5460" w:hanging="360"/>
      </w:pPr>
    </w:lvl>
    <w:lvl w:ilvl="8" w:tplc="596ACCF2" w:tentative="1">
      <w:start w:val="1"/>
      <w:numFmt w:val="lowerRoman"/>
      <w:lvlText w:val="%9."/>
      <w:lvlJc w:val="right"/>
      <w:pPr>
        <w:ind w:left="6180" w:hanging="180"/>
      </w:pPr>
    </w:lvl>
  </w:abstractNum>
  <w:abstractNum w:abstractNumId="8" w15:restartNumberingAfterBreak="0">
    <w:nsid w:val="41407D2A"/>
    <w:multiLevelType w:val="hybridMultilevel"/>
    <w:tmpl w:val="FBCE98BE"/>
    <w:lvl w:ilvl="0" w:tplc="1BC22C62">
      <w:start w:val="1"/>
      <w:numFmt w:val="decimal"/>
      <w:lvlText w:val="%1)"/>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FDE2732">
      <w:start w:val="1"/>
      <w:numFmt w:val="lowerLetter"/>
      <w:lvlText w:val="%2"/>
      <w:lvlJc w:val="left"/>
      <w:pPr>
        <w:ind w:left="143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8A299C8">
      <w:start w:val="1"/>
      <w:numFmt w:val="lowerRoman"/>
      <w:lvlText w:val="%3"/>
      <w:lvlJc w:val="left"/>
      <w:pPr>
        <w:ind w:left="215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C4E343C">
      <w:start w:val="1"/>
      <w:numFmt w:val="decimal"/>
      <w:lvlText w:val="%4"/>
      <w:lvlJc w:val="left"/>
      <w:pPr>
        <w:ind w:left="287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83074A6">
      <w:start w:val="1"/>
      <w:numFmt w:val="lowerLetter"/>
      <w:lvlText w:val="%5"/>
      <w:lvlJc w:val="left"/>
      <w:pPr>
        <w:ind w:left="35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4365AC8">
      <w:start w:val="1"/>
      <w:numFmt w:val="lowerRoman"/>
      <w:lvlText w:val="%6"/>
      <w:lvlJc w:val="left"/>
      <w:pPr>
        <w:ind w:left="43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2BA8AF0">
      <w:start w:val="1"/>
      <w:numFmt w:val="decimal"/>
      <w:lvlText w:val="%7"/>
      <w:lvlJc w:val="left"/>
      <w:pPr>
        <w:ind w:left="503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B04C404">
      <w:start w:val="1"/>
      <w:numFmt w:val="lowerLetter"/>
      <w:lvlText w:val="%8"/>
      <w:lvlJc w:val="left"/>
      <w:pPr>
        <w:ind w:left="575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5B44690">
      <w:start w:val="1"/>
      <w:numFmt w:val="lowerRoman"/>
      <w:lvlText w:val="%9"/>
      <w:lvlJc w:val="left"/>
      <w:pPr>
        <w:ind w:left="647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4DE3F1E"/>
    <w:multiLevelType w:val="multilevel"/>
    <w:tmpl w:val="0554DB24"/>
    <w:lvl w:ilvl="0">
      <w:start w:val="1"/>
      <w:numFmt w:val="decimal"/>
      <w:pStyle w:val="Heading2"/>
      <w:suff w:val="space"/>
      <w:lvlText w:val="Chapter %1"/>
      <w:lvlJc w:val="left"/>
      <w:pPr>
        <w:ind w:left="0" w:firstLine="0"/>
      </w:pPr>
      <w:rPr>
        <w:rFonts w:hint="default"/>
      </w:rPr>
    </w:lvl>
    <w:lvl w:ilvl="1">
      <w:start w:val="1"/>
      <w:numFmt w:val="decimal"/>
      <w:pStyle w:val="Heading3"/>
      <w:suff w:val="space"/>
      <w:lvlText w:val="1.%2"/>
      <w:lvlJc w:val="left"/>
      <w:pPr>
        <w:ind w:left="0" w:firstLine="0"/>
      </w:pPr>
      <w:rPr>
        <w:rFonts w:hint="default"/>
        <w:i w:val="0"/>
        <w:iCs/>
      </w:rPr>
    </w:lvl>
    <w:lvl w:ilvl="2">
      <w:start w:val="1"/>
      <w:numFmt w:val="decimal"/>
      <w:pStyle w:val="Heading4"/>
      <w:suff w:val="space"/>
      <w:lvlText w:val="1.%2.%3"/>
      <w:lvlJc w:val="left"/>
      <w:pPr>
        <w:ind w:left="0" w:firstLine="0"/>
      </w:pPr>
      <w:rPr>
        <w:rFonts w:hint="default"/>
      </w:rPr>
    </w:lvl>
    <w:lvl w:ilvl="3">
      <w:start w:val="1"/>
      <w:numFmt w:val="decimal"/>
      <w:pStyle w:val="Heading5"/>
      <w:suff w:val="space"/>
      <w:lvlText w:val="1.%2.%3.%4"/>
      <w:lvlJc w:val="left"/>
      <w:pPr>
        <w:ind w:left="0" w:firstLine="0"/>
      </w:pPr>
      <w:rPr>
        <w:rFonts w:hint="default"/>
        <w:i w:val="0"/>
        <w:iCs/>
      </w:rPr>
    </w:lvl>
    <w:lvl w:ilvl="4">
      <w:start w:val="1"/>
      <w:numFmt w:val="decimal"/>
      <w:pStyle w:val="Heading6"/>
      <w:suff w:val="space"/>
      <w:lvlText w:val="1.%2.%3.%4.%5"/>
      <w:lvlJc w:val="left"/>
      <w:pPr>
        <w:ind w:left="0" w:firstLine="0"/>
      </w:pPr>
      <w:rPr>
        <w:rFonts w:hint="default"/>
      </w:rPr>
    </w:lvl>
    <w:lvl w:ilvl="5">
      <w:start w:val="1"/>
      <w:numFmt w:val="decimal"/>
      <w:pStyle w:val="Heading7"/>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54366E43"/>
    <w:multiLevelType w:val="hybridMultilevel"/>
    <w:tmpl w:val="AAB46F48"/>
    <w:lvl w:ilvl="0" w:tplc="814A8E1E">
      <w:start w:val="1"/>
      <w:numFmt w:val="decimal"/>
      <w:lvlText w:val="%1"/>
      <w:lvlJc w:val="left"/>
      <w:pPr>
        <w:ind w:left="2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6A8F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7C6E4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8017A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E992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816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2BD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0EAC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3E55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C60E37"/>
    <w:multiLevelType w:val="multilevel"/>
    <w:tmpl w:val="1320305E"/>
    <w:lvl w:ilvl="0">
      <w:start w:val="1"/>
      <w:numFmt w:val="lowerRoman"/>
      <w:suff w:val="space"/>
      <w:lvlText w:val="%1)"/>
      <w:lvlJc w:val="left"/>
      <w:pPr>
        <w:ind w:left="964" w:hanging="113"/>
      </w:pPr>
      <w:rPr>
        <w:rFonts w:hint="default"/>
      </w:rPr>
    </w:lvl>
    <w:lvl w:ilvl="1">
      <w:start w:val="1"/>
      <w:numFmt w:val="lowerLetter"/>
      <w:lvlText w:val="%2."/>
      <w:lvlJc w:val="left"/>
      <w:pPr>
        <w:ind w:left="964" w:hanging="113"/>
      </w:pPr>
      <w:rPr>
        <w:rFonts w:hint="default"/>
      </w:rPr>
    </w:lvl>
    <w:lvl w:ilvl="2">
      <w:start w:val="1"/>
      <w:numFmt w:val="lowerRoman"/>
      <w:lvlText w:val="%3."/>
      <w:lvlJc w:val="right"/>
      <w:pPr>
        <w:ind w:left="964" w:hanging="113"/>
      </w:pPr>
      <w:rPr>
        <w:rFonts w:hint="default"/>
      </w:rPr>
    </w:lvl>
    <w:lvl w:ilvl="3">
      <w:start w:val="1"/>
      <w:numFmt w:val="decimal"/>
      <w:lvlText w:val="%4."/>
      <w:lvlJc w:val="left"/>
      <w:pPr>
        <w:ind w:left="964" w:hanging="113"/>
      </w:pPr>
      <w:rPr>
        <w:rFonts w:hint="default"/>
      </w:rPr>
    </w:lvl>
    <w:lvl w:ilvl="4">
      <w:start w:val="1"/>
      <w:numFmt w:val="lowerLetter"/>
      <w:lvlText w:val="%5."/>
      <w:lvlJc w:val="left"/>
      <w:pPr>
        <w:ind w:left="964" w:hanging="113"/>
      </w:pPr>
      <w:rPr>
        <w:rFonts w:hint="default"/>
      </w:rPr>
    </w:lvl>
    <w:lvl w:ilvl="5">
      <w:start w:val="1"/>
      <w:numFmt w:val="lowerRoman"/>
      <w:lvlText w:val="%6."/>
      <w:lvlJc w:val="right"/>
      <w:pPr>
        <w:ind w:left="964" w:hanging="113"/>
      </w:pPr>
      <w:rPr>
        <w:rFonts w:hint="default"/>
      </w:rPr>
    </w:lvl>
    <w:lvl w:ilvl="6">
      <w:start w:val="1"/>
      <w:numFmt w:val="decimal"/>
      <w:lvlText w:val="%7."/>
      <w:lvlJc w:val="left"/>
      <w:pPr>
        <w:ind w:left="964" w:hanging="113"/>
      </w:pPr>
      <w:rPr>
        <w:rFonts w:hint="default"/>
      </w:rPr>
    </w:lvl>
    <w:lvl w:ilvl="7">
      <w:start w:val="1"/>
      <w:numFmt w:val="lowerLetter"/>
      <w:lvlText w:val="%8."/>
      <w:lvlJc w:val="left"/>
      <w:pPr>
        <w:ind w:left="964" w:hanging="113"/>
      </w:pPr>
      <w:rPr>
        <w:rFonts w:hint="default"/>
      </w:rPr>
    </w:lvl>
    <w:lvl w:ilvl="8">
      <w:start w:val="1"/>
      <w:numFmt w:val="lowerRoman"/>
      <w:lvlText w:val="%9."/>
      <w:lvlJc w:val="right"/>
      <w:pPr>
        <w:ind w:left="964" w:hanging="113"/>
      </w:pPr>
      <w:rPr>
        <w:rFonts w:hint="default"/>
      </w:rPr>
    </w:lvl>
  </w:abstractNum>
  <w:abstractNum w:abstractNumId="12" w15:restartNumberingAfterBreak="0">
    <w:nsid w:val="659C5EF0"/>
    <w:multiLevelType w:val="hybridMultilevel"/>
    <w:tmpl w:val="EC8C4556"/>
    <w:lvl w:ilvl="0" w:tplc="1CD6BE8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C324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78265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A6D16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1AFDE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8602C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C8782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2EEC2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2167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5E7279"/>
    <w:multiLevelType w:val="hybridMultilevel"/>
    <w:tmpl w:val="D11EEB84"/>
    <w:lvl w:ilvl="0" w:tplc="04FECEFA">
      <w:start w:val="1"/>
      <w:numFmt w:val="upperLetter"/>
      <w:lvlText w:val="(%1)"/>
      <w:lvlJc w:val="left"/>
      <w:pPr>
        <w:ind w:left="420" w:hanging="360"/>
      </w:pPr>
      <w:rPr>
        <w:rFonts w:hint="default"/>
      </w:rPr>
    </w:lvl>
    <w:lvl w:ilvl="1" w:tplc="E7263EF6" w:tentative="1">
      <w:start w:val="1"/>
      <w:numFmt w:val="lowerLetter"/>
      <w:lvlText w:val="%2."/>
      <w:lvlJc w:val="left"/>
      <w:pPr>
        <w:ind w:left="1140" w:hanging="360"/>
      </w:pPr>
    </w:lvl>
    <w:lvl w:ilvl="2" w:tplc="C7BABD30" w:tentative="1">
      <w:start w:val="1"/>
      <w:numFmt w:val="lowerRoman"/>
      <w:lvlText w:val="%3."/>
      <w:lvlJc w:val="right"/>
      <w:pPr>
        <w:ind w:left="1860" w:hanging="180"/>
      </w:pPr>
    </w:lvl>
    <w:lvl w:ilvl="3" w:tplc="569CF560" w:tentative="1">
      <w:start w:val="1"/>
      <w:numFmt w:val="decimal"/>
      <w:lvlText w:val="%4."/>
      <w:lvlJc w:val="left"/>
      <w:pPr>
        <w:ind w:left="2580" w:hanging="360"/>
      </w:pPr>
    </w:lvl>
    <w:lvl w:ilvl="4" w:tplc="F44CA762" w:tentative="1">
      <w:start w:val="1"/>
      <w:numFmt w:val="lowerLetter"/>
      <w:lvlText w:val="%5."/>
      <w:lvlJc w:val="left"/>
      <w:pPr>
        <w:ind w:left="3300" w:hanging="360"/>
      </w:pPr>
    </w:lvl>
    <w:lvl w:ilvl="5" w:tplc="04185286" w:tentative="1">
      <w:start w:val="1"/>
      <w:numFmt w:val="lowerRoman"/>
      <w:lvlText w:val="%6."/>
      <w:lvlJc w:val="right"/>
      <w:pPr>
        <w:ind w:left="4020" w:hanging="180"/>
      </w:pPr>
    </w:lvl>
    <w:lvl w:ilvl="6" w:tplc="52D2CC22" w:tentative="1">
      <w:start w:val="1"/>
      <w:numFmt w:val="decimal"/>
      <w:lvlText w:val="%7."/>
      <w:lvlJc w:val="left"/>
      <w:pPr>
        <w:ind w:left="4740" w:hanging="360"/>
      </w:pPr>
    </w:lvl>
    <w:lvl w:ilvl="7" w:tplc="B290EB14" w:tentative="1">
      <w:start w:val="1"/>
      <w:numFmt w:val="lowerLetter"/>
      <w:lvlText w:val="%8."/>
      <w:lvlJc w:val="left"/>
      <w:pPr>
        <w:ind w:left="5460" w:hanging="360"/>
      </w:pPr>
    </w:lvl>
    <w:lvl w:ilvl="8" w:tplc="EB2CB4A8" w:tentative="1">
      <w:start w:val="1"/>
      <w:numFmt w:val="lowerRoman"/>
      <w:lvlText w:val="%9."/>
      <w:lvlJc w:val="right"/>
      <w:pPr>
        <w:ind w:left="6180" w:hanging="180"/>
      </w:pPr>
    </w:lvl>
  </w:abstractNum>
  <w:num w:numId="1" w16cid:durableId="68769863">
    <w:abstractNumId w:val="9"/>
  </w:num>
  <w:num w:numId="2" w16cid:durableId="708526683">
    <w:abstractNumId w:val="4"/>
  </w:num>
  <w:num w:numId="3" w16cid:durableId="1380789507">
    <w:abstractNumId w:val="1"/>
  </w:num>
  <w:num w:numId="4" w16cid:durableId="1769110539">
    <w:abstractNumId w:val="0"/>
  </w:num>
  <w:num w:numId="5" w16cid:durableId="510264012">
    <w:abstractNumId w:val="7"/>
  </w:num>
  <w:num w:numId="6" w16cid:durableId="1460300855">
    <w:abstractNumId w:val="6"/>
  </w:num>
  <w:num w:numId="7" w16cid:durableId="211159354">
    <w:abstractNumId w:val="13"/>
  </w:num>
  <w:num w:numId="8" w16cid:durableId="390080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6148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3132069">
    <w:abstractNumId w:val="11"/>
  </w:num>
  <w:num w:numId="11" w16cid:durableId="1630940628">
    <w:abstractNumId w:val="5"/>
  </w:num>
  <w:num w:numId="12" w16cid:durableId="1320232794">
    <w:abstractNumId w:val="8"/>
  </w:num>
  <w:num w:numId="13" w16cid:durableId="1662389781">
    <w:abstractNumId w:val="3"/>
  </w:num>
  <w:num w:numId="14" w16cid:durableId="1574118477">
    <w:abstractNumId w:val="10"/>
  </w:num>
  <w:num w:numId="15" w16cid:durableId="1764767222">
    <w:abstractNumId w:val="12"/>
  </w:num>
  <w:num w:numId="16" w16cid:durableId="145235526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mirrorMargin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NDCzMLO0tDAzMjZX0lEKTi0uzszPAykwMawFAJ4hyBQtAAAA"/>
  </w:docVars>
  <w:rsids>
    <w:rsidRoot w:val="007A2CD1"/>
    <w:rsid w:val="00004204"/>
    <w:rsid w:val="00004FFD"/>
    <w:rsid w:val="00010C33"/>
    <w:rsid w:val="00011CE3"/>
    <w:rsid w:val="000142C4"/>
    <w:rsid w:val="00017007"/>
    <w:rsid w:val="000250F6"/>
    <w:rsid w:val="000329F4"/>
    <w:rsid w:val="00034B4C"/>
    <w:rsid w:val="000408CB"/>
    <w:rsid w:val="00043246"/>
    <w:rsid w:val="00044CD1"/>
    <w:rsid w:val="00050244"/>
    <w:rsid w:val="000513AC"/>
    <w:rsid w:val="00051AE5"/>
    <w:rsid w:val="00053148"/>
    <w:rsid w:val="000533B3"/>
    <w:rsid w:val="0006050E"/>
    <w:rsid w:val="00063BD4"/>
    <w:rsid w:val="00064716"/>
    <w:rsid w:val="000659E9"/>
    <w:rsid w:val="00066AD6"/>
    <w:rsid w:val="0006733B"/>
    <w:rsid w:val="000674AC"/>
    <w:rsid w:val="00077849"/>
    <w:rsid w:val="00077A0A"/>
    <w:rsid w:val="00081307"/>
    <w:rsid w:val="00081543"/>
    <w:rsid w:val="00081A45"/>
    <w:rsid w:val="00081D4F"/>
    <w:rsid w:val="000827D0"/>
    <w:rsid w:val="00083515"/>
    <w:rsid w:val="00090073"/>
    <w:rsid w:val="00096DCF"/>
    <w:rsid w:val="00097219"/>
    <w:rsid w:val="000976DB"/>
    <w:rsid w:val="00097DE2"/>
    <w:rsid w:val="000A0739"/>
    <w:rsid w:val="000A0BB6"/>
    <w:rsid w:val="000A2606"/>
    <w:rsid w:val="000A5D9B"/>
    <w:rsid w:val="000B04E0"/>
    <w:rsid w:val="000B080E"/>
    <w:rsid w:val="000B44D7"/>
    <w:rsid w:val="000B5DA8"/>
    <w:rsid w:val="000C1630"/>
    <w:rsid w:val="000C3B48"/>
    <w:rsid w:val="000D071F"/>
    <w:rsid w:val="000D1A03"/>
    <w:rsid w:val="000D43EE"/>
    <w:rsid w:val="000D4FAB"/>
    <w:rsid w:val="000D6A4F"/>
    <w:rsid w:val="000E245B"/>
    <w:rsid w:val="000E2CA1"/>
    <w:rsid w:val="000F09DB"/>
    <w:rsid w:val="000F0E6B"/>
    <w:rsid w:val="000F6B39"/>
    <w:rsid w:val="00100794"/>
    <w:rsid w:val="0010317C"/>
    <w:rsid w:val="001037A4"/>
    <w:rsid w:val="00104D7A"/>
    <w:rsid w:val="00105CA8"/>
    <w:rsid w:val="00111558"/>
    <w:rsid w:val="001131BF"/>
    <w:rsid w:val="0012147A"/>
    <w:rsid w:val="0012322E"/>
    <w:rsid w:val="00124FD0"/>
    <w:rsid w:val="00125E22"/>
    <w:rsid w:val="00126125"/>
    <w:rsid w:val="00127DA9"/>
    <w:rsid w:val="00131F4A"/>
    <w:rsid w:val="001358F2"/>
    <w:rsid w:val="001420E9"/>
    <w:rsid w:val="00142A0E"/>
    <w:rsid w:val="00144AB5"/>
    <w:rsid w:val="001513AD"/>
    <w:rsid w:val="001515FC"/>
    <w:rsid w:val="00153E27"/>
    <w:rsid w:val="00155401"/>
    <w:rsid w:val="00155E54"/>
    <w:rsid w:val="0016488C"/>
    <w:rsid w:val="001655F5"/>
    <w:rsid w:val="00166BE3"/>
    <w:rsid w:val="001674FF"/>
    <w:rsid w:val="00171031"/>
    <w:rsid w:val="00173D75"/>
    <w:rsid w:val="00174B60"/>
    <w:rsid w:val="001763C9"/>
    <w:rsid w:val="0018629D"/>
    <w:rsid w:val="00190C77"/>
    <w:rsid w:val="00191518"/>
    <w:rsid w:val="0019521D"/>
    <w:rsid w:val="00197033"/>
    <w:rsid w:val="001A0DE4"/>
    <w:rsid w:val="001A1782"/>
    <w:rsid w:val="001A3226"/>
    <w:rsid w:val="001A3E15"/>
    <w:rsid w:val="001A422A"/>
    <w:rsid w:val="001A7407"/>
    <w:rsid w:val="001B70C5"/>
    <w:rsid w:val="001B76BA"/>
    <w:rsid w:val="001C1148"/>
    <w:rsid w:val="001C3108"/>
    <w:rsid w:val="001C77C8"/>
    <w:rsid w:val="001C79F6"/>
    <w:rsid w:val="001D3CC2"/>
    <w:rsid w:val="001D7258"/>
    <w:rsid w:val="001E03DD"/>
    <w:rsid w:val="001E0FED"/>
    <w:rsid w:val="001E6984"/>
    <w:rsid w:val="001E74F8"/>
    <w:rsid w:val="001F2418"/>
    <w:rsid w:val="001F397E"/>
    <w:rsid w:val="001F3A11"/>
    <w:rsid w:val="001F5DF2"/>
    <w:rsid w:val="001F7D7D"/>
    <w:rsid w:val="00201096"/>
    <w:rsid w:val="0020290E"/>
    <w:rsid w:val="00203014"/>
    <w:rsid w:val="002030E1"/>
    <w:rsid w:val="0020601F"/>
    <w:rsid w:val="00210DE4"/>
    <w:rsid w:val="00214025"/>
    <w:rsid w:val="002146FD"/>
    <w:rsid w:val="0021515B"/>
    <w:rsid w:val="00216BE3"/>
    <w:rsid w:val="00216D38"/>
    <w:rsid w:val="00220348"/>
    <w:rsid w:val="00226316"/>
    <w:rsid w:val="0022740A"/>
    <w:rsid w:val="002301A2"/>
    <w:rsid w:val="002309E5"/>
    <w:rsid w:val="00232741"/>
    <w:rsid w:val="00235FAD"/>
    <w:rsid w:val="0024133E"/>
    <w:rsid w:val="00241507"/>
    <w:rsid w:val="002507AA"/>
    <w:rsid w:val="00250BBB"/>
    <w:rsid w:val="00251186"/>
    <w:rsid w:val="00252C04"/>
    <w:rsid w:val="00252E3E"/>
    <w:rsid w:val="002550AA"/>
    <w:rsid w:val="0025602B"/>
    <w:rsid w:val="00261BD5"/>
    <w:rsid w:val="00263C03"/>
    <w:rsid w:val="002675E4"/>
    <w:rsid w:val="00270517"/>
    <w:rsid w:val="00271AD0"/>
    <w:rsid w:val="00272CF8"/>
    <w:rsid w:val="002735E1"/>
    <w:rsid w:val="00273ED7"/>
    <w:rsid w:val="0027519E"/>
    <w:rsid w:val="00277264"/>
    <w:rsid w:val="00277991"/>
    <w:rsid w:val="00280933"/>
    <w:rsid w:val="002812CC"/>
    <w:rsid w:val="002836D7"/>
    <w:rsid w:val="00286E1A"/>
    <w:rsid w:val="00293980"/>
    <w:rsid w:val="002A200C"/>
    <w:rsid w:val="002A2C81"/>
    <w:rsid w:val="002A4A47"/>
    <w:rsid w:val="002A746A"/>
    <w:rsid w:val="002A7651"/>
    <w:rsid w:val="002B24EF"/>
    <w:rsid w:val="002B3048"/>
    <w:rsid w:val="002B32F9"/>
    <w:rsid w:val="002C19F9"/>
    <w:rsid w:val="002C26DB"/>
    <w:rsid w:val="002C6055"/>
    <w:rsid w:val="002D246D"/>
    <w:rsid w:val="002D2CDD"/>
    <w:rsid w:val="002E109F"/>
    <w:rsid w:val="002E1778"/>
    <w:rsid w:val="002E21A6"/>
    <w:rsid w:val="002E5422"/>
    <w:rsid w:val="002E7127"/>
    <w:rsid w:val="002F5756"/>
    <w:rsid w:val="002F602C"/>
    <w:rsid w:val="002F7F56"/>
    <w:rsid w:val="003007EC"/>
    <w:rsid w:val="00307760"/>
    <w:rsid w:val="00310302"/>
    <w:rsid w:val="00310D9E"/>
    <w:rsid w:val="00311CC3"/>
    <w:rsid w:val="0031575B"/>
    <w:rsid w:val="0031628D"/>
    <w:rsid w:val="00317278"/>
    <w:rsid w:val="00321C3E"/>
    <w:rsid w:val="003232AA"/>
    <w:rsid w:val="00324146"/>
    <w:rsid w:val="00324B8A"/>
    <w:rsid w:val="00326122"/>
    <w:rsid w:val="0032733D"/>
    <w:rsid w:val="00331C82"/>
    <w:rsid w:val="00331EB0"/>
    <w:rsid w:val="003322B0"/>
    <w:rsid w:val="00341A05"/>
    <w:rsid w:val="0034217F"/>
    <w:rsid w:val="00342CBF"/>
    <w:rsid w:val="003457C1"/>
    <w:rsid w:val="00346729"/>
    <w:rsid w:val="00347241"/>
    <w:rsid w:val="00350AE2"/>
    <w:rsid w:val="003574FB"/>
    <w:rsid w:val="00357716"/>
    <w:rsid w:val="00361FBE"/>
    <w:rsid w:val="00362528"/>
    <w:rsid w:val="00362A93"/>
    <w:rsid w:val="0036599A"/>
    <w:rsid w:val="0037220D"/>
    <w:rsid w:val="0037362B"/>
    <w:rsid w:val="00374A64"/>
    <w:rsid w:val="00374FB6"/>
    <w:rsid w:val="00377CC8"/>
    <w:rsid w:val="00382D14"/>
    <w:rsid w:val="00390C04"/>
    <w:rsid w:val="003919F3"/>
    <w:rsid w:val="003922B9"/>
    <w:rsid w:val="00394EFF"/>
    <w:rsid w:val="00396469"/>
    <w:rsid w:val="003A1474"/>
    <w:rsid w:val="003A14D1"/>
    <w:rsid w:val="003A21D4"/>
    <w:rsid w:val="003A3F19"/>
    <w:rsid w:val="003B0CBA"/>
    <w:rsid w:val="003B1D15"/>
    <w:rsid w:val="003B1E03"/>
    <w:rsid w:val="003B224E"/>
    <w:rsid w:val="003B258F"/>
    <w:rsid w:val="003B5DA3"/>
    <w:rsid w:val="003B7970"/>
    <w:rsid w:val="003C0C49"/>
    <w:rsid w:val="003C31D7"/>
    <w:rsid w:val="003C33BA"/>
    <w:rsid w:val="003C34FD"/>
    <w:rsid w:val="003C4B96"/>
    <w:rsid w:val="003C6023"/>
    <w:rsid w:val="003C7406"/>
    <w:rsid w:val="003E19E4"/>
    <w:rsid w:val="003E37B6"/>
    <w:rsid w:val="003E460F"/>
    <w:rsid w:val="003E4627"/>
    <w:rsid w:val="003E6D7A"/>
    <w:rsid w:val="003F075F"/>
    <w:rsid w:val="003F095B"/>
    <w:rsid w:val="003F0A6B"/>
    <w:rsid w:val="003F260B"/>
    <w:rsid w:val="003F2684"/>
    <w:rsid w:val="00401121"/>
    <w:rsid w:val="0040125D"/>
    <w:rsid w:val="0041151B"/>
    <w:rsid w:val="00411563"/>
    <w:rsid w:val="00412E6E"/>
    <w:rsid w:val="00414A38"/>
    <w:rsid w:val="00415002"/>
    <w:rsid w:val="004214A8"/>
    <w:rsid w:val="00422EDF"/>
    <w:rsid w:val="00424193"/>
    <w:rsid w:val="004259D0"/>
    <w:rsid w:val="0043018A"/>
    <w:rsid w:val="00431F69"/>
    <w:rsid w:val="00433A5F"/>
    <w:rsid w:val="00441B09"/>
    <w:rsid w:val="00442342"/>
    <w:rsid w:val="004432C4"/>
    <w:rsid w:val="0044346A"/>
    <w:rsid w:val="0044572F"/>
    <w:rsid w:val="004507E1"/>
    <w:rsid w:val="00452124"/>
    <w:rsid w:val="00455B08"/>
    <w:rsid w:val="00456766"/>
    <w:rsid w:val="00456A9E"/>
    <w:rsid w:val="00460218"/>
    <w:rsid w:val="00464E41"/>
    <w:rsid w:val="00466668"/>
    <w:rsid w:val="00467423"/>
    <w:rsid w:val="00475606"/>
    <w:rsid w:val="0048187F"/>
    <w:rsid w:val="00482E25"/>
    <w:rsid w:val="00483884"/>
    <w:rsid w:val="004839A2"/>
    <w:rsid w:val="00484010"/>
    <w:rsid w:val="004873F8"/>
    <w:rsid w:val="00494D0B"/>
    <w:rsid w:val="004972BC"/>
    <w:rsid w:val="004A0A56"/>
    <w:rsid w:val="004A77BB"/>
    <w:rsid w:val="004A7D00"/>
    <w:rsid w:val="004B0402"/>
    <w:rsid w:val="004B1570"/>
    <w:rsid w:val="004B4372"/>
    <w:rsid w:val="004B5388"/>
    <w:rsid w:val="004B5CB4"/>
    <w:rsid w:val="004C0873"/>
    <w:rsid w:val="004C3686"/>
    <w:rsid w:val="004C44EE"/>
    <w:rsid w:val="004C543D"/>
    <w:rsid w:val="004C5CD2"/>
    <w:rsid w:val="004C670A"/>
    <w:rsid w:val="004D262E"/>
    <w:rsid w:val="004D345A"/>
    <w:rsid w:val="004D3EEF"/>
    <w:rsid w:val="004E07B3"/>
    <w:rsid w:val="004E3876"/>
    <w:rsid w:val="004F06E6"/>
    <w:rsid w:val="004F1832"/>
    <w:rsid w:val="004F24B2"/>
    <w:rsid w:val="004F2637"/>
    <w:rsid w:val="004F2E6B"/>
    <w:rsid w:val="004F5318"/>
    <w:rsid w:val="004F5FBE"/>
    <w:rsid w:val="004F61B4"/>
    <w:rsid w:val="0050323F"/>
    <w:rsid w:val="005051D8"/>
    <w:rsid w:val="0051357E"/>
    <w:rsid w:val="00514927"/>
    <w:rsid w:val="00514A12"/>
    <w:rsid w:val="00514EB2"/>
    <w:rsid w:val="00515606"/>
    <w:rsid w:val="0051709B"/>
    <w:rsid w:val="00517DDD"/>
    <w:rsid w:val="00520C35"/>
    <w:rsid w:val="00532EBC"/>
    <w:rsid w:val="00534046"/>
    <w:rsid w:val="00535BB6"/>
    <w:rsid w:val="00541D8D"/>
    <w:rsid w:val="00550608"/>
    <w:rsid w:val="005526C2"/>
    <w:rsid w:val="00552A12"/>
    <w:rsid w:val="0055401A"/>
    <w:rsid w:val="00555DF7"/>
    <w:rsid w:val="00563B01"/>
    <w:rsid w:val="00564595"/>
    <w:rsid w:val="00565C6F"/>
    <w:rsid w:val="00565F68"/>
    <w:rsid w:val="005671DF"/>
    <w:rsid w:val="005707DC"/>
    <w:rsid w:val="0057275A"/>
    <w:rsid w:val="00573B6D"/>
    <w:rsid w:val="00573C26"/>
    <w:rsid w:val="00577849"/>
    <w:rsid w:val="00581B82"/>
    <w:rsid w:val="00587438"/>
    <w:rsid w:val="00587B01"/>
    <w:rsid w:val="00591097"/>
    <w:rsid w:val="00591B98"/>
    <w:rsid w:val="00592400"/>
    <w:rsid w:val="005951E0"/>
    <w:rsid w:val="00597BD5"/>
    <w:rsid w:val="005A0435"/>
    <w:rsid w:val="005B0875"/>
    <w:rsid w:val="005B4B2B"/>
    <w:rsid w:val="005B74DA"/>
    <w:rsid w:val="005B75FC"/>
    <w:rsid w:val="005C138E"/>
    <w:rsid w:val="005C13C4"/>
    <w:rsid w:val="005C30A0"/>
    <w:rsid w:val="005D0C27"/>
    <w:rsid w:val="005D1253"/>
    <w:rsid w:val="005D5408"/>
    <w:rsid w:val="005D55E3"/>
    <w:rsid w:val="005D5BC7"/>
    <w:rsid w:val="005E4D96"/>
    <w:rsid w:val="005E53AB"/>
    <w:rsid w:val="005E5B04"/>
    <w:rsid w:val="005E75C4"/>
    <w:rsid w:val="005F7E83"/>
    <w:rsid w:val="00600380"/>
    <w:rsid w:val="00600852"/>
    <w:rsid w:val="006008DB"/>
    <w:rsid w:val="00600D63"/>
    <w:rsid w:val="00601D53"/>
    <w:rsid w:val="006022A9"/>
    <w:rsid w:val="006032C1"/>
    <w:rsid w:val="00603F4E"/>
    <w:rsid w:val="0061291E"/>
    <w:rsid w:val="0061301B"/>
    <w:rsid w:val="00614BFF"/>
    <w:rsid w:val="00616029"/>
    <w:rsid w:val="00617292"/>
    <w:rsid w:val="00617E3A"/>
    <w:rsid w:val="00617FB1"/>
    <w:rsid w:val="006201E4"/>
    <w:rsid w:val="0062060B"/>
    <w:rsid w:val="00621DF1"/>
    <w:rsid w:val="006240B1"/>
    <w:rsid w:val="006264D8"/>
    <w:rsid w:val="00626E85"/>
    <w:rsid w:val="0063027A"/>
    <w:rsid w:val="00636547"/>
    <w:rsid w:val="006418AB"/>
    <w:rsid w:val="00654662"/>
    <w:rsid w:val="00655E5A"/>
    <w:rsid w:val="0066020A"/>
    <w:rsid w:val="00664F5D"/>
    <w:rsid w:val="00667F36"/>
    <w:rsid w:val="006800EB"/>
    <w:rsid w:val="00682FC7"/>
    <w:rsid w:val="00685C8C"/>
    <w:rsid w:val="00685CF5"/>
    <w:rsid w:val="006877CB"/>
    <w:rsid w:val="006915C6"/>
    <w:rsid w:val="006928AB"/>
    <w:rsid w:val="006951A2"/>
    <w:rsid w:val="00696D58"/>
    <w:rsid w:val="006976D0"/>
    <w:rsid w:val="006A458D"/>
    <w:rsid w:val="006A4A4A"/>
    <w:rsid w:val="006A4B68"/>
    <w:rsid w:val="006A4BED"/>
    <w:rsid w:val="006A6764"/>
    <w:rsid w:val="006B16F2"/>
    <w:rsid w:val="006B2EB3"/>
    <w:rsid w:val="006B466A"/>
    <w:rsid w:val="006B5852"/>
    <w:rsid w:val="006C0BD7"/>
    <w:rsid w:val="006C2EED"/>
    <w:rsid w:val="006C4730"/>
    <w:rsid w:val="006C6AA1"/>
    <w:rsid w:val="006D00BA"/>
    <w:rsid w:val="006D4EE5"/>
    <w:rsid w:val="006D5807"/>
    <w:rsid w:val="006D68D9"/>
    <w:rsid w:val="006D7879"/>
    <w:rsid w:val="006D7DA7"/>
    <w:rsid w:val="006E28FB"/>
    <w:rsid w:val="006E389E"/>
    <w:rsid w:val="006E55A7"/>
    <w:rsid w:val="006E65EF"/>
    <w:rsid w:val="006F14C5"/>
    <w:rsid w:val="006F1EAB"/>
    <w:rsid w:val="006F1F36"/>
    <w:rsid w:val="0070215A"/>
    <w:rsid w:val="00704D37"/>
    <w:rsid w:val="0070794C"/>
    <w:rsid w:val="00707B42"/>
    <w:rsid w:val="00711163"/>
    <w:rsid w:val="0071301E"/>
    <w:rsid w:val="00714370"/>
    <w:rsid w:val="00716999"/>
    <w:rsid w:val="007226F8"/>
    <w:rsid w:val="00722DDE"/>
    <w:rsid w:val="00724ED0"/>
    <w:rsid w:val="007301BB"/>
    <w:rsid w:val="00733C01"/>
    <w:rsid w:val="00734100"/>
    <w:rsid w:val="00734A78"/>
    <w:rsid w:val="007357C0"/>
    <w:rsid w:val="007370E1"/>
    <w:rsid w:val="00742619"/>
    <w:rsid w:val="00744788"/>
    <w:rsid w:val="00745060"/>
    <w:rsid w:val="0075365A"/>
    <w:rsid w:val="00753B47"/>
    <w:rsid w:val="007605DC"/>
    <w:rsid w:val="00764DA9"/>
    <w:rsid w:val="00765434"/>
    <w:rsid w:val="007670EF"/>
    <w:rsid w:val="00770607"/>
    <w:rsid w:val="007715C9"/>
    <w:rsid w:val="00775CE2"/>
    <w:rsid w:val="007779AF"/>
    <w:rsid w:val="00780201"/>
    <w:rsid w:val="00780288"/>
    <w:rsid w:val="00783BFF"/>
    <w:rsid w:val="007862B2"/>
    <w:rsid w:val="00790653"/>
    <w:rsid w:val="00790F1A"/>
    <w:rsid w:val="00791C25"/>
    <w:rsid w:val="00796F99"/>
    <w:rsid w:val="007A2CD1"/>
    <w:rsid w:val="007A46A7"/>
    <w:rsid w:val="007B587E"/>
    <w:rsid w:val="007B6734"/>
    <w:rsid w:val="007C06CB"/>
    <w:rsid w:val="007C095C"/>
    <w:rsid w:val="007C44B0"/>
    <w:rsid w:val="007C58D5"/>
    <w:rsid w:val="007D61F6"/>
    <w:rsid w:val="007D63AE"/>
    <w:rsid w:val="007E3AA7"/>
    <w:rsid w:val="007E529A"/>
    <w:rsid w:val="007E590C"/>
    <w:rsid w:val="007F072D"/>
    <w:rsid w:val="007F1400"/>
    <w:rsid w:val="007F2297"/>
    <w:rsid w:val="007F2858"/>
    <w:rsid w:val="007F4BDC"/>
    <w:rsid w:val="007F5226"/>
    <w:rsid w:val="007F7216"/>
    <w:rsid w:val="00800093"/>
    <w:rsid w:val="0080056E"/>
    <w:rsid w:val="0080314E"/>
    <w:rsid w:val="00804324"/>
    <w:rsid w:val="00806A7A"/>
    <w:rsid w:val="00810BDF"/>
    <w:rsid w:val="008141A0"/>
    <w:rsid w:val="00815AC0"/>
    <w:rsid w:val="00825643"/>
    <w:rsid w:val="00830784"/>
    <w:rsid w:val="00833D54"/>
    <w:rsid w:val="00834D18"/>
    <w:rsid w:val="00835468"/>
    <w:rsid w:val="008402F3"/>
    <w:rsid w:val="00842EAE"/>
    <w:rsid w:val="0084557A"/>
    <w:rsid w:val="008520D1"/>
    <w:rsid w:val="0085519A"/>
    <w:rsid w:val="00861F7C"/>
    <w:rsid w:val="00862CC6"/>
    <w:rsid w:val="00863B36"/>
    <w:rsid w:val="0086722D"/>
    <w:rsid w:val="008678BA"/>
    <w:rsid w:val="00872C1D"/>
    <w:rsid w:val="00874E48"/>
    <w:rsid w:val="0088118B"/>
    <w:rsid w:val="00884D26"/>
    <w:rsid w:val="008901BB"/>
    <w:rsid w:val="008938E0"/>
    <w:rsid w:val="0089463D"/>
    <w:rsid w:val="008A12F3"/>
    <w:rsid w:val="008A2230"/>
    <w:rsid w:val="008A2950"/>
    <w:rsid w:val="008A5449"/>
    <w:rsid w:val="008A75F0"/>
    <w:rsid w:val="008B1031"/>
    <w:rsid w:val="008B2B05"/>
    <w:rsid w:val="008B7135"/>
    <w:rsid w:val="008C16CA"/>
    <w:rsid w:val="008D36A4"/>
    <w:rsid w:val="008D77B3"/>
    <w:rsid w:val="008E2896"/>
    <w:rsid w:val="008F06B3"/>
    <w:rsid w:val="008F1CC7"/>
    <w:rsid w:val="008F1D7F"/>
    <w:rsid w:val="008F28E2"/>
    <w:rsid w:val="008F7721"/>
    <w:rsid w:val="008F791A"/>
    <w:rsid w:val="009038C8"/>
    <w:rsid w:val="00910251"/>
    <w:rsid w:val="0091188C"/>
    <w:rsid w:val="00911AA3"/>
    <w:rsid w:val="00912920"/>
    <w:rsid w:val="009132A7"/>
    <w:rsid w:val="00916955"/>
    <w:rsid w:val="00917C54"/>
    <w:rsid w:val="00923098"/>
    <w:rsid w:val="0092543E"/>
    <w:rsid w:val="009266E5"/>
    <w:rsid w:val="00931D5C"/>
    <w:rsid w:val="00933896"/>
    <w:rsid w:val="009364F8"/>
    <w:rsid w:val="009436B9"/>
    <w:rsid w:val="00947629"/>
    <w:rsid w:val="00947E42"/>
    <w:rsid w:val="00950B55"/>
    <w:rsid w:val="00953C71"/>
    <w:rsid w:val="00956659"/>
    <w:rsid w:val="009617FA"/>
    <w:rsid w:val="00966592"/>
    <w:rsid w:val="00970411"/>
    <w:rsid w:val="00971226"/>
    <w:rsid w:val="00971951"/>
    <w:rsid w:val="00975814"/>
    <w:rsid w:val="0097635A"/>
    <w:rsid w:val="00981B1D"/>
    <w:rsid w:val="009822A3"/>
    <w:rsid w:val="009829F6"/>
    <w:rsid w:val="00982E04"/>
    <w:rsid w:val="00983D31"/>
    <w:rsid w:val="0098489F"/>
    <w:rsid w:val="009853C7"/>
    <w:rsid w:val="00991D43"/>
    <w:rsid w:val="00993939"/>
    <w:rsid w:val="009948BC"/>
    <w:rsid w:val="009976FA"/>
    <w:rsid w:val="009A06D3"/>
    <w:rsid w:val="009A0DE2"/>
    <w:rsid w:val="009A292B"/>
    <w:rsid w:val="009A5803"/>
    <w:rsid w:val="009A6B8F"/>
    <w:rsid w:val="009B151B"/>
    <w:rsid w:val="009B5DDE"/>
    <w:rsid w:val="009C6B75"/>
    <w:rsid w:val="009D0A6C"/>
    <w:rsid w:val="009D21C3"/>
    <w:rsid w:val="009D7215"/>
    <w:rsid w:val="009E696E"/>
    <w:rsid w:val="009F0A27"/>
    <w:rsid w:val="009F5D50"/>
    <w:rsid w:val="00A06E58"/>
    <w:rsid w:val="00A105C2"/>
    <w:rsid w:val="00A13E11"/>
    <w:rsid w:val="00A14068"/>
    <w:rsid w:val="00A16041"/>
    <w:rsid w:val="00A213FD"/>
    <w:rsid w:val="00A24EBC"/>
    <w:rsid w:val="00A265C1"/>
    <w:rsid w:val="00A31A9D"/>
    <w:rsid w:val="00A33503"/>
    <w:rsid w:val="00A368B4"/>
    <w:rsid w:val="00A40704"/>
    <w:rsid w:val="00A42A1D"/>
    <w:rsid w:val="00A440AE"/>
    <w:rsid w:val="00A44368"/>
    <w:rsid w:val="00A513B2"/>
    <w:rsid w:val="00A52CB5"/>
    <w:rsid w:val="00A532D4"/>
    <w:rsid w:val="00A53CBF"/>
    <w:rsid w:val="00A56527"/>
    <w:rsid w:val="00A5653B"/>
    <w:rsid w:val="00A575D4"/>
    <w:rsid w:val="00A64A86"/>
    <w:rsid w:val="00A66478"/>
    <w:rsid w:val="00A7111D"/>
    <w:rsid w:val="00A75698"/>
    <w:rsid w:val="00A804AA"/>
    <w:rsid w:val="00A82A99"/>
    <w:rsid w:val="00A87CCD"/>
    <w:rsid w:val="00A91785"/>
    <w:rsid w:val="00A94C6B"/>
    <w:rsid w:val="00AA3BC0"/>
    <w:rsid w:val="00AA42A4"/>
    <w:rsid w:val="00AB3288"/>
    <w:rsid w:val="00AC1CBD"/>
    <w:rsid w:val="00AC53FD"/>
    <w:rsid w:val="00AC7382"/>
    <w:rsid w:val="00AD0B78"/>
    <w:rsid w:val="00AD2876"/>
    <w:rsid w:val="00AD3FBA"/>
    <w:rsid w:val="00AD45F8"/>
    <w:rsid w:val="00AD6120"/>
    <w:rsid w:val="00AD66A9"/>
    <w:rsid w:val="00AE0838"/>
    <w:rsid w:val="00AE4A93"/>
    <w:rsid w:val="00AE544A"/>
    <w:rsid w:val="00AF0C5B"/>
    <w:rsid w:val="00AF1B28"/>
    <w:rsid w:val="00AF3127"/>
    <w:rsid w:val="00AF3977"/>
    <w:rsid w:val="00AF5191"/>
    <w:rsid w:val="00AF58D9"/>
    <w:rsid w:val="00B0069F"/>
    <w:rsid w:val="00B00F9E"/>
    <w:rsid w:val="00B02D7F"/>
    <w:rsid w:val="00B11C8D"/>
    <w:rsid w:val="00B142E7"/>
    <w:rsid w:val="00B14608"/>
    <w:rsid w:val="00B23B1F"/>
    <w:rsid w:val="00B2473B"/>
    <w:rsid w:val="00B25AB7"/>
    <w:rsid w:val="00B26DD9"/>
    <w:rsid w:val="00B2739B"/>
    <w:rsid w:val="00B32916"/>
    <w:rsid w:val="00B34378"/>
    <w:rsid w:val="00B34B38"/>
    <w:rsid w:val="00B3595D"/>
    <w:rsid w:val="00B37F52"/>
    <w:rsid w:val="00B4162C"/>
    <w:rsid w:val="00B454F9"/>
    <w:rsid w:val="00B4599E"/>
    <w:rsid w:val="00B4617D"/>
    <w:rsid w:val="00B50672"/>
    <w:rsid w:val="00B50D63"/>
    <w:rsid w:val="00B53029"/>
    <w:rsid w:val="00B53F03"/>
    <w:rsid w:val="00B60499"/>
    <w:rsid w:val="00B629F9"/>
    <w:rsid w:val="00B65234"/>
    <w:rsid w:val="00B66B32"/>
    <w:rsid w:val="00B702FB"/>
    <w:rsid w:val="00B7185A"/>
    <w:rsid w:val="00B754F0"/>
    <w:rsid w:val="00B7614B"/>
    <w:rsid w:val="00B80400"/>
    <w:rsid w:val="00B80B93"/>
    <w:rsid w:val="00B81E3C"/>
    <w:rsid w:val="00B8354A"/>
    <w:rsid w:val="00B840E2"/>
    <w:rsid w:val="00B845DB"/>
    <w:rsid w:val="00B84704"/>
    <w:rsid w:val="00B92EB5"/>
    <w:rsid w:val="00B95779"/>
    <w:rsid w:val="00B967CD"/>
    <w:rsid w:val="00B9776C"/>
    <w:rsid w:val="00BA6D43"/>
    <w:rsid w:val="00BA78A2"/>
    <w:rsid w:val="00BB31DF"/>
    <w:rsid w:val="00BB6CA3"/>
    <w:rsid w:val="00BC04BA"/>
    <w:rsid w:val="00BC0A2D"/>
    <w:rsid w:val="00BC0FD2"/>
    <w:rsid w:val="00BC4CEA"/>
    <w:rsid w:val="00BC7893"/>
    <w:rsid w:val="00BD3C4B"/>
    <w:rsid w:val="00BD585F"/>
    <w:rsid w:val="00BD7107"/>
    <w:rsid w:val="00BE067C"/>
    <w:rsid w:val="00BE0A6C"/>
    <w:rsid w:val="00BE261E"/>
    <w:rsid w:val="00BE349E"/>
    <w:rsid w:val="00BE37D9"/>
    <w:rsid w:val="00BE6418"/>
    <w:rsid w:val="00BF23E9"/>
    <w:rsid w:val="00BF299D"/>
    <w:rsid w:val="00BF2EF0"/>
    <w:rsid w:val="00BF7049"/>
    <w:rsid w:val="00C00BB2"/>
    <w:rsid w:val="00C01772"/>
    <w:rsid w:val="00C06EAA"/>
    <w:rsid w:val="00C11916"/>
    <w:rsid w:val="00C141C4"/>
    <w:rsid w:val="00C149F0"/>
    <w:rsid w:val="00C15EBB"/>
    <w:rsid w:val="00C16E67"/>
    <w:rsid w:val="00C21A5C"/>
    <w:rsid w:val="00C22666"/>
    <w:rsid w:val="00C22BD2"/>
    <w:rsid w:val="00C25DDA"/>
    <w:rsid w:val="00C25E51"/>
    <w:rsid w:val="00C26B75"/>
    <w:rsid w:val="00C343EB"/>
    <w:rsid w:val="00C359BA"/>
    <w:rsid w:val="00C443EB"/>
    <w:rsid w:val="00C52F93"/>
    <w:rsid w:val="00C53C4D"/>
    <w:rsid w:val="00C5466C"/>
    <w:rsid w:val="00C54721"/>
    <w:rsid w:val="00C6180E"/>
    <w:rsid w:val="00C62C96"/>
    <w:rsid w:val="00C63DC5"/>
    <w:rsid w:val="00C6518C"/>
    <w:rsid w:val="00C7122F"/>
    <w:rsid w:val="00C81B15"/>
    <w:rsid w:val="00C81C3A"/>
    <w:rsid w:val="00C906C7"/>
    <w:rsid w:val="00C910E4"/>
    <w:rsid w:val="00C93ACE"/>
    <w:rsid w:val="00C97A61"/>
    <w:rsid w:val="00C97A6A"/>
    <w:rsid w:val="00CA4ED9"/>
    <w:rsid w:val="00CA799C"/>
    <w:rsid w:val="00CA7C48"/>
    <w:rsid w:val="00CB3236"/>
    <w:rsid w:val="00CB7852"/>
    <w:rsid w:val="00CC1485"/>
    <w:rsid w:val="00CC17AF"/>
    <w:rsid w:val="00CC38FB"/>
    <w:rsid w:val="00CC5E90"/>
    <w:rsid w:val="00CC616B"/>
    <w:rsid w:val="00CC6C86"/>
    <w:rsid w:val="00CC733A"/>
    <w:rsid w:val="00CD1F9E"/>
    <w:rsid w:val="00CD4FF7"/>
    <w:rsid w:val="00CD7417"/>
    <w:rsid w:val="00CE2705"/>
    <w:rsid w:val="00CE28D2"/>
    <w:rsid w:val="00CE60C8"/>
    <w:rsid w:val="00CE66C0"/>
    <w:rsid w:val="00CE7CB2"/>
    <w:rsid w:val="00CF1768"/>
    <w:rsid w:val="00CF629E"/>
    <w:rsid w:val="00CF77A8"/>
    <w:rsid w:val="00D01A80"/>
    <w:rsid w:val="00D020E4"/>
    <w:rsid w:val="00D03DEE"/>
    <w:rsid w:val="00D106C1"/>
    <w:rsid w:val="00D1145F"/>
    <w:rsid w:val="00D12C60"/>
    <w:rsid w:val="00D13CB0"/>
    <w:rsid w:val="00D170FF"/>
    <w:rsid w:val="00D22218"/>
    <w:rsid w:val="00D24D37"/>
    <w:rsid w:val="00D25597"/>
    <w:rsid w:val="00D25BE9"/>
    <w:rsid w:val="00D26D45"/>
    <w:rsid w:val="00D276E6"/>
    <w:rsid w:val="00D324D4"/>
    <w:rsid w:val="00D332C5"/>
    <w:rsid w:val="00D35349"/>
    <w:rsid w:val="00D41BA7"/>
    <w:rsid w:val="00D42884"/>
    <w:rsid w:val="00D441E6"/>
    <w:rsid w:val="00D44529"/>
    <w:rsid w:val="00D462DC"/>
    <w:rsid w:val="00D50960"/>
    <w:rsid w:val="00D51D3F"/>
    <w:rsid w:val="00D52389"/>
    <w:rsid w:val="00D52B90"/>
    <w:rsid w:val="00D547B8"/>
    <w:rsid w:val="00D55CF6"/>
    <w:rsid w:val="00D57FAD"/>
    <w:rsid w:val="00D608B2"/>
    <w:rsid w:val="00D60F3E"/>
    <w:rsid w:val="00D61FDF"/>
    <w:rsid w:val="00D66D3C"/>
    <w:rsid w:val="00D7073F"/>
    <w:rsid w:val="00D733AC"/>
    <w:rsid w:val="00D75219"/>
    <w:rsid w:val="00D804FC"/>
    <w:rsid w:val="00D8177B"/>
    <w:rsid w:val="00D8389E"/>
    <w:rsid w:val="00D84E6C"/>
    <w:rsid w:val="00D853B0"/>
    <w:rsid w:val="00D90239"/>
    <w:rsid w:val="00D9147B"/>
    <w:rsid w:val="00D92854"/>
    <w:rsid w:val="00D9669F"/>
    <w:rsid w:val="00D97165"/>
    <w:rsid w:val="00D974B1"/>
    <w:rsid w:val="00D9799A"/>
    <w:rsid w:val="00DA0F5D"/>
    <w:rsid w:val="00DA54A1"/>
    <w:rsid w:val="00DA74F3"/>
    <w:rsid w:val="00DB6059"/>
    <w:rsid w:val="00DC63C5"/>
    <w:rsid w:val="00DC7334"/>
    <w:rsid w:val="00DD4776"/>
    <w:rsid w:val="00DD4957"/>
    <w:rsid w:val="00DD7100"/>
    <w:rsid w:val="00DE1796"/>
    <w:rsid w:val="00DE1E2E"/>
    <w:rsid w:val="00DE2A7B"/>
    <w:rsid w:val="00DE4B50"/>
    <w:rsid w:val="00DE5639"/>
    <w:rsid w:val="00DE6642"/>
    <w:rsid w:val="00DE7A5B"/>
    <w:rsid w:val="00DF53C7"/>
    <w:rsid w:val="00DF617C"/>
    <w:rsid w:val="00DF7B17"/>
    <w:rsid w:val="00E00056"/>
    <w:rsid w:val="00E01CD8"/>
    <w:rsid w:val="00E021BB"/>
    <w:rsid w:val="00E03D03"/>
    <w:rsid w:val="00E03EC2"/>
    <w:rsid w:val="00E06A81"/>
    <w:rsid w:val="00E1186D"/>
    <w:rsid w:val="00E14F85"/>
    <w:rsid w:val="00E21B4A"/>
    <w:rsid w:val="00E255E1"/>
    <w:rsid w:val="00E27AEC"/>
    <w:rsid w:val="00E31FF5"/>
    <w:rsid w:val="00E3299D"/>
    <w:rsid w:val="00E35698"/>
    <w:rsid w:val="00E401E9"/>
    <w:rsid w:val="00E40B54"/>
    <w:rsid w:val="00E40D33"/>
    <w:rsid w:val="00E40D6B"/>
    <w:rsid w:val="00E413CF"/>
    <w:rsid w:val="00E43EE6"/>
    <w:rsid w:val="00E461A7"/>
    <w:rsid w:val="00E474FE"/>
    <w:rsid w:val="00E519B6"/>
    <w:rsid w:val="00E540D1"/>
    <w:rsid w:val="00E54730"/>
    <w:rsid w:val="00E6023C"/>
    <w:rsid w:val="00E61696"/>
    <w:rsid w:val="00E63DAC"/>
    <w:rsid w:val="00E66B96"/>
    <w:rsid w:val="00E66F43"/>
    <w:rsid w:val="00E779C5"/>
    <w:rsid w:val="00E84FEF"/>
    <w:rsid w:val="00E866D5"/>
    <w:rsid w:val="00E91753"/>
    <w:rsid w:val="00E92877"/>
    <w:rsid w:val="00EA08FB"/>
    <w:rsid w:val="00EA09AF"/>
    <w:rsid w:val="00EA699F"/>
    <w:rsid w:val="00EB4C8F"/>
    <w:rsid w:val="00EB71AD"/>
    <w:rsid w:val="00EC036D"/>
    <w:rsid w:val="00EC2318"/>
    <w:rsid w:val="00EC5890"/>
    <w:rsid w:val="00EC5FA2"/>
    <w:rsid w:val="00EC5FCE"/>
    <w:rsid w:val="00ED522C"/>
    <w:rsid w:val="00ED532B"/>
    <w:rsid w:val="00ED694C"/>
    <w:rsid w:val="00EE3065"/>
    <w:rsid w:val="00EE322F"/>
    <w:rsid w:val="00EE4AFD"/>
    <w:rsid w:val="00EE7380"/>
    <w:rsid w:val="00EF76FA"/>
    <w:rsid w:val="00EF777F"/>
    <w:rsid w:val="00F034B8"/>
    <w:rsid w:val="00F03ACF"/>
    <w:rsid w:val="00F04828"/>
    <w:rsid w:val="00F11382"/>
    <w:rsid w:val="00F164B0"/>
    <w:rsid w:val="00F16970"/>
    <w:rsid w:val="00F22FFD"/>
    <w:rsid w:val="00F265CD"/>
    <w:rsid w:val="00F32CE4"/>
    <w:rsid w:val="00F33149"/>
    <w:rsid w:val="00F354F7"/>
    <w:rsid w:val="00F35CA3"/>
    <w:rsid w:val="00F36B87"/>
    <w:rsid w:val="00F36EFD"/>
    <w:rsid w:val="00F451E9"/>
    <w:rsid w:val="00F504F8"/>
    <w:rsid w:val="00F54771"/>
    <w:rsid w:val="00F54A36"/>
    <w:rsid w:val="00F55338"/>
    <w:rsid w:val="00F56981"/>
    <w:rsid w:val="00F61149"/>
    <w:rsid w:val="00F6386A"/>
    <w:rsid w:val="00F64422"/>
    <w:rsid w:val="00F679E4"/>
    <w:rsid w:val="00F712E7"/>
    <w:rsid w:val="00F74E15"/>
    <w:rsid w:val="00F758B7"/>
    <w:rsid w:val="00F80ABE"/>
    <w:rsid w:val="00F80D50"/>
    <w:rsid w:val="00F866CA"/>
    <w:rsid w:val="00F91B82"/>
    <w:rsid w:val="00F95B40"/>
    <w:rsid w:val="00FA52DB"/>
    <w:rsid w:val="00FA6012"/>
    <w:rsid w:val="00FA7E4D"/>
    <w:rsid w:val="00FB16EC"/>
    <w:rsid w:val="00FB4F91"/>
    <w:rsid w:val="00FB58F2"/>
    <w:rsid w:val="00FB73EF"/>
    <w:rsid w:val="00FB76BC"/>
    <w:rsid w:val="00FC138A"/>
    <w:rsid w:val="00FC1425"/>
    <w:rsid w:val="00FC3B7F"/>
    <w:rsid w:val="00FC5AD9"/>
    <w:rsid w:val="00FD4064"/>
    <w:rsid w:val="00FE155E"/>
    <w:rsid w:val="00FE2935"/>
    <w:rsid w:val="00FE2E13"/>
    <w:rsid w:val="00FE4140"/>
    <w:rsid w:val="00FF049E"/>
    <w:rsid w:val="00FF0609"/>
    <w:rsid w:val="00FF37DA"/>
    <w:rsid w:val="00FF594E"/>
    <w:rsid w:val="00FF6B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1AA37"/>
  <w15:docId w15:val="{6689758C-93B5-4684-94D1-FFFBB43F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20"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D50"/>
    <w:rPr>
      <w:rFonts w:ascii="Times New Roman" w:eastAsia="Cambria" w:hAnsi="Times New Roman" w:cs="Cambria"/>
      <w:color w:val="000000"/>
      <w:sz w:val="24"/>
      <w:lang w:val="en-US"/>
    </w:rPr>
  </w:style>
  <w:style w:type="paragraph" w:styleId="Heading1">
    <w:name w:val="heading 1"/>
    <w:next w:val="Normal"/>
    <w:link w:val="Heading1Char"/>
    <w:uiPriority w:val="9"/>
    <w:qFormat/>
    <w:rsid w:val="00B2473B"/>
    <w:pPr>
      <w:keepNext/>
      <w:keepLines/>
      <w:spacing w:after="129"/>
      <w:ind w:right="380"/>
      <w:jc w:val="center"/>
      <w:outlineLvl w:val="0"/>
    </w:pPr>
    <w:rPr>
      <w:rFonts w:ascii="Algerian" w:eastAsia="Arial" w:hAnsi="Algerian" w:cs="Times New Roman"/>
      <w:b/>
      <w:color w:val="000000"/>
      <w:sz w:val="52"/>
      <w:szCs w:val="36"/>
    </w:rPr>
  </w:style>
  <w:style w:type="paragraph" w:styleId="Heading2">
    <w:name w:val="heading 2"/>
    <w:next w:val="Normal"/>
    <w:link w:val="Heading2Char"/>
    <w:uiPriority w:val="9"/>
    <w:unhideWhenUsed/>
    <w:qFormat/>
    <w:rsid w:val="00FE155E"/>
    <w:pPr>
      <w:keepNext/>
      <w:keepLines/>
      <w:numPr>
        <w:numId w:val="1"/>
      </w:numPr>
      <w:jc w:val="center"/>
      <w:outlineLvl w:val="1"/>
    </w:pPr>
    <w:rPr>
      <w:rFonts w:ascii="Times New Roman" w:eastAsia="Algerian" w:hAnsi="Times New Roman" w:cs="Times New Roman"/>
      <w:b/>
      <w:bCs/>
      <w:color w:val="000000"/>
      <w:sz w:val="32"/>
      <w:szCs w:val="32"/>
    </w:rPr>
  </w:style>
  <w:style w:type="paragraph" w:styleId="Heading3">
    <w:name w:val="heading 3"/>
    <w:basedOn w:val="ListParagraph"/>
    <w:next w:val="Normal"/>
    <w:link w:val="Heading3Char"/>
    <w:uiPriority w:val="9"/>
    <w:unhideWhenUsed/>
    <w:qFormat/>
    <w:rsid w:val="00B9776C"/>
    <w:pPr>
      <w:numPr>
        <w:ilvl w:val="1"/>
        <w:numId w:val="1"/>
      </w:numPr>
      <w:outlineLvl w:val="2"/>
    </w:pPr>
    <w:rPr>
      <w:b/>
      <w:bCs/>
    </w:rPr>
  </w:style>
  <w:style w:type="paragraph" w:styleId="Heading4">
    <w:name w:val="heading 4"/>
    <w:basedOn w:val="ListParagraph"/>
    <w:next w:val="Normal"/>
    <w:link w:val="Heading4Char"/>
    <w:uiPriority w:val="9"/>
    <w:unhideWhenUsed/>
    <w:qFormat/>
    <w:rsid w:val="00780201"/>
    <w:pPr>
      <w:numPr>
        <w:ilvl w:val="2"/>
        <w:numId w:val="1"/>
      </w:numPr>
      <w:outlineLvl w:val="3"/>
    </w:pPr>
    <w:rPr>
      <w:b/>
      <w:bCs/>
    </w:rPr>
  </w:style>
  <w:style w:type="paragraph" w:styleId="Heading5">
    <w:name w:val="heading 5"/>
    <w:basedOn w:val="ListParagraph"/>
    <w:next w:val="Normal"/>
    <w:link w:val="Heading5Char"/>
    <w:uiPriority w:val="9"/>
    <w:unhideWhenUsed/>
    <w:qFormat/>
    <w:rsid w:val="00144AB5"/>
    <w:pPr>
      <w:numPr>
        <w:ilvl w:val="3"/>
        <w:numId w:val="1"/>
      </w:numPr>
      <w:outlineLvl w:val="4"/>
    </w:pPr>
    <w:rPr>
      <w:b/>
      <w:bCs/>
    </w:rPr>
  </w:style>
  <w:style w:type="paragraph" w:styleId="Heading6">
    <w:name w:val="heading 6"/>
    <w:basedOn w:val="ListParagraph"/>
    <w:next w:val="Normal"/>
    <w:link w:val="Heading6Char"/>
    <w:uiPriority w:val="9"/>
    <w:unhideWhenUsed/>
    <w:qFormat/>
    <w:rsid w:val="00144AB5"/>
    <w:pPr>
      <w:numPr>
        <w:ilvl w:val="4"/>
        <w:numId w:val="1"/>
      </w:numPr>
      <w:outlineLvl w:val="5"/>
    </w:pPr>
    <w:rPr>
      <w:b/>
      <w:bCs/>
    </w:rPr>
  </w:style>
  <w:style w:type="paragraph" w:styleId="Heading7">
    <w:name w:val="heading 7"/>
    <w:basedOn w:val="Normal"/>
    <w:next w:val="Normal"/>
    <w:link w:val="Heading7Char"/>
    <w:autoRedefine/>
    <w:uiPriority w:val="9"/>
    <w:unhideWhenUsed/>
    <w:qFormat/>
    <w:rsid w:val="00277991"/>
    <w:pPr>
      <w:keepNext/>
      <w:keepLines/>
      <w:numPr>
        <w:ilvl w:val="5"/>
        <w:numId w:val="1"/>
      </w:numPr>
      <w:spacing w:before="40"/>
      <w:outlineLvl w:val="6"/>
    </w:pPr>
    <w:rPr>
      <w:rFonts w:eastAsiaTheme="majorEastAsia" w:cstheme="majorBidi"/>
      <w:b/>
      <w:iCs/>
      <w:color w:val="000000" w:themeColor="text1"/>
    </w:rPr>
  </w:style>
  <w:style w:type="paragraph" w:styleId="Heading8">
    <w:name w:val="heading 8"/>
    <w:basedOn w:val="Normal"/>
    <w:next w:val="Normal"/>
    <w:link w:val="Heading8Char"/>
    <w:uiPriority w:val="9"/>
    <w:unhideWhenUsed/>
    <w:qFormat/>
    <w:rsid w:val="002928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3B"/>
    <w:rPr>
      <w:rFonts w:ascii="Algerian" w:eastAsia="Arial" w:hAnsi="Algerian" w:cs="Times New Roman"/>
      <w:b/>
      <w:color w:val="000000"/>
      <w:sz w:val="52"/>
      <w:szCs w:val="36"/>
    </w:rPr>
  </w:style>
  <w:style w:type="character" w:customStyle="1" w:styleId="Heading2Char">
    <w:name w:val="Heading 2 Char"/>
    <w:link w:val="Heading2"/>
    <w:uiPriority w:val="9"/>
    <w:rsid w:val="00FE155E"/>
    <w:rPr>
      <w:rFonts w:ascii="Times New Roman" w:eastAsia="Algerian" w:hAnsi="Times New Roman" w:cs="Times New Roman"/>
      <w:b/>
      <w:bCs/>
      <w:color w:val="000000"/>
      <w:sz w:val="32"/>
      <w:szCs w:val="32"/>
    </w:rPr>
  </w:style>
  <w:style w:type="paragraph" w:styleId="ListParagraph">
    <w:name w:val="List Paragraph"/>
    <w:basedOn w:val="Normal"/>
    <w:uiPriority w:val="34"/>
    <w:qFormat/>
    <w:rsid w:val="009E3F86"/>
    <w:pPr>
      <w:ind w:left="720"/>
      <w:contextualSpacing/>
    </w:pPr>
  </w:style>
  <w:style w:type="character" w:customStyle="1" w:styleId="Heading3Char">
    <w:name w:val="Heading 3 Char"/>
    <w:link w:val="Heading3"/>
    <w:uiPriority w:val="9"/>
    <w:rsid w:val="00B9776C"/>
    <w:rPr>
      <w:rFonts w:ascii="Times New Roman" w:eastAsia="Cambria" w:hAnsi="Times New Roman" w:cs="Cambria"/>
      <w:b/>
      <w:bCs/>
      <w:color w:val="000000"/>
      <w:sz w:val="24"/>
      <w:lang w:val="en-US"/>
    </w:rPr>
  </w:style>
  <w:style w:type="character" w:customStyle="1" w:styleId="Heading4Char">
    <w:name w:val="Heading 4 Char"/>
    <w:link w:val="Heading4"/>
    <w:uiPriority w:val="9"/>
    <w:rsid w:val="00780201"/>
    <w:rPr>
      <w:rFonts w:ascii="Times New Roman" w:eastAsia="Cambria" w:hAnsi="Times New Roman" w:cs="Cambria"/>
      <w:b/>
      <w:bCs/>
      <w:color w:val="000000"/>
      <w:sz w:val="24"/>
      <w:lang w:val="en-US"/>
    </w:rPr>
  </w:style>
  <w:style w:type="character" w:customStyle="1" w:styleId="Heading5Char">
    <w:name w:val="Heading 5 Char"/>
    <w:link w:val="Heading5"/>
    <w:uiPriority w:val="9"/>
    <w:rsid w:val="00144AB5"/>
    <w:rPr>
      <w:rFonts w:ascii="Times New Roman" w:eastAsia="Cambria" w:hAnsi="Times New Roman" w:cs="Cambria"/>
      <w:b/>
      <w:bCs/>
      <w:color w:val="000000"/>
      <w:sz w:val="24"/>
      <w:lang w:val="en-US"/>
    </w:rPr>
  </w:style>
  <w:style w:type="character" w:customStyle="1" w:styleId="Heading6Char">
    <w:name w:val="Heading 6 Char"/>
    <w:link w:val="Heading6"/>
    <w:uiPriority w:val="9"/>
    <w:rsid w:val="00144AB5"/>
    <w:rPr>
      <w:rFonts w:ascii="Times New Roman" w:eastAsia="Cambria" w:hAnsi="Times New Roman" w:cs="Cambria"/>
      <w:b/>
      <w:bCs/>
      <w:color w:val="000000"/>
      <w:sz w:val="24"/>
      <w:lang w:val="en-US"/>
    </w:rPr>
  </w:style>
  <w:style w:type="character" w:customStyle="1" w:styleId="Heading7Char">
    <w:name w:val="Heading 7 Char"/>
    <w:basedOn w:val="DefaultParagraphFont"/>
    <w:link w:val="Heading7"/>
    <w:uiPriority w:val="9"/>
    <w:rsid w:val="00277991"/>
    <w:rPr>
      <w:rFonts w:ascii="Times New Roman" w:eastAsiaTheme="majorEastAsia" w:hAnsi="Times New Roman" w:cstheme="majorBidi"/>
      <w:b/>
      <w:iCs/>
      <w:color w:val="000000" w:themeColor="text1"/>
      <w:sz w:val="24"/>
      <w:lang w:val="en-US"/>
    </w:rPr>
  </w:style>
  <w:style w:type="character" w:customStyle="1" w:styleId="Heading8Char">
    <w:name w:val="Heading 8 Char"/>
    <w:basedOn w:val="DefaultParagraphFont"/>
    <w:link w:val="Heading8"/>
    <w:uiPriority w:val="9"/>
    <w:rsid w:val="002928A2"/>
    <w:rPr>
      <w:rFonts w:asciiTheme="majorHAnsi" w:eastAsiaTheme="majorEastAsia" w:hAnsiTheme="majorHAnsi" w:cstheme="majorBidi"/>
      <w:color w:val="272727" w:themeColor="text1" w:themeTint="D8"/>
      <w:sz w:val="21"/>
      <w:szCs w:val="21"/>
    </w:rPr>
  </w:style>
  <w:style w:type="table" w:customStyle="1" w:styleId="TableGrid">
    <w:name w:val="TableGrid"/>
    <w:pPr>
      <w:spacing w:line="240" w:lineRule="auto"/>
    </w:pPr>
    <w:tblPr>
      <w:tblCellMar>
        <w:top w:w="0" w:type="dxa"/>
        <w:left w:w="0" w:type="dxa"/>
        <w:bottom w:w="0" w:type="dxa"/>
        <w:right w:w="0" w:type="dxa"/>
      </w:tblCellMar>
    </w:tblPr>
  </w:style>
  <w:style w:type="paragraph" w:styleId="NoSpacing">
    <w:name w:val="No Spacing"/>
    <w:link w:val="NoSpacingChar"/>
    <w:uiPriority w:val="1"/>
    <w:qFormat/>
    <w:rsid w:val="00D76B48"/>
    <w:pPr>
      <w:spacing w:line="240" w:lineRule="auto"/>
      <w:ind w:firstLine="2"/>
    </w:pPr>
    <w:rPr>
      <w:rFonts w:ascii="Cambria" w:eastAsia="Cambria" w:hAnsi="Cambria" w:cs="Cambria"/>
      <w:color w:val="000000"/>
      <w:sz w:val="24"/>
    </w:rPr>
  </w:style>
  <w:style w:type="character" w:customStyle="1" w:styleId="NoSpacingChar">
    <w:name w:val="No Spacing Char"/>
    <w:basedOn w:val="DefaultParagraphFont"/>
    <w:link w:val="NoSpacing"/>
    <w:uiPriority w:val="1"/>
    <w:rsid w:val="00FF5C90"/>
    <w:rPr>
      <w:rFonts w:ascii="Cambria" w:eastAsia="Cambria" w:hAnsi="Cambria" w:cs="Cambria"/>
      <w:color w:val="000000"/>
      <w:sz w:val="24"/>
    </w:rPr>
  </w:style>
  <w:style w:type="paragraph" w:styleId="Header">
    <w:name w:val="header"/>
    <w:basedOn w:val="Normal"/>
    <w:link w:val="HeaderChar"/>
    <w:uiPriority w:val="99"/>
    <w:unhideWhenUsed/>
    <w:rsid w:val="001E1EA8"/>
    <w:pPr>
      <w:tabs>
        <w:tab w:val="center" w:pos="4513"/>
        <w:tab w:val="right" w:pos="9026"/>
      </w:tabs>
      <w:spacing w:line="240" w:lineRule="auto"/>
    </w:pPr>
  </w:style>
  <w:style w:type="character" w:customStyle="1" w:styleId="HeaderChar">
    <w:name w:val="Header Char"/>
    <w:basedOn w:val="DefaultParagraphFont"/>
    <w:link w:val="Header"/>
    <w:uiPriority w:val="99"/>
    <w:rsid w:val="001E1EA8"/>
    <w:rPr>
      <w:rFonts w:ascii="Cambria" w:eastAsia="Cambria" w:hAnsi="Cambria" w:cs="Cambria"/>
      <w:color w:val="000000"/>
      <w:sz w:val="24"/>
    </w:rPr>
  </w:style>
  <w:style w:type="character" w:styleId="IntenseReference">
    <w:name w:val="Intense Reference"/>
    <w:basedOn w:val="DefaultParagraphFont"/>
    <w:uiPriority w:val="32"/>
    <w:qFormat/>
    <w:rsid w:val="00D368C3"/>
    <w:rPr>
      <w:b/>
      <w:bCs/>
      <w:smallCaps/>
      <w:color w:val="4472C4" w:themeColor="accent1"/>
      <w:spacing w:val="5"/>
    </w:rPr>
  </w:style>
  <w:style w:type="character" w:styleId="PlaceholderText">
    <w:name w:val="Placeholder Text"/>
    <w:basedOn w:val="DefaultParagraphFont"/>
    <w:uiPriority w:val="99"/>
    <w:semiHidden/>
    <w:rsid w:val="00DF708F"/>
    <w:rPr>
      <w:color w:val="808080"/>
    </w:rPr>
  </w:style>
  <w:style w:type="paragraph" w:styleId="BodyText">
    <w:name w:val="Body Text"/>
    <w:basedOn w:val="Normal"/>
    <w:link w:val="BodyTextChar"/>
    <w:uiPriority w:val="1"/>
    <w:qFormat/>
    <w:rsid w:val="002928A2"/>
    <w:pPr>
      <w:widowControl w:val="0"/>
      <w:autoSpaceDE w:val="0"/>
      <w:autoSpaceDN w:val="0"/>
      <w:spacing w:line="240" w:lineRule="auto"/>
      <w:jc w:val="left"/>
    </w:pPr>
    <w:rPr>
      <w:rFonts w:ascii="Arial MT" w:eastAsia="Arial MT" w:hAnsi="Arial MT" w:cs="Arial MT"/>
      <w:color w:val="auto"/>
      <w:sz w:val="22"/>
      <w:lang w:eastAsia="en-US"/>
    </w:rPr>
  </w:style>
  <w:style w:type="character" w:customStyle="1" w:styleId="BodyTextChar">
    <w:name w:val="Body Text Char"/>
    <w:basedOn w:val="DefaultParagraphFont"/>
    <w:link w:val="BodyText"/>
    <w:uiPriority w:val="1"/>
    <w:rsid w:val="002928A2"/>
    <w:rPr>
      <w:rFonts w:ascii="Arial MT" w:eastAsia="Arial MT" w:hAnsi="Arial MT" w:cs="Arial MT"/>
      <w:lang w:val="en-US" w:eastAsia="en-US"/>
    </w:rPr>
  </w:style>
  <w:style w:type="table" w:styleId="TableGrid0">
    <w:name w:val="Table Grid"/>
    <w:basedOn w:val="TableNormal"/>
    <w:uiPriority w:val="39"/>
    <w:rsid w:val="00D974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4133E"/>
  </w:style>
  <w:style w:type="paragraph" w:styleId="Caption">
    <w:name w:val="caption"/>
    <w:basedOn w:val="Normal"/>
    <w:next w:val="Normal"/>
    <w:autoRedefine/>
    <w:uiPriority w:val="35"/>
    <w:unhideWhenUsed/>
    <w:qFormat/>
    <w:rsid w:val="00863B36"/>
    <w:pPr>
      <w:keepNext/>
      <w:spacing w:line="240" w:lineRule="auto"/>
      <w:ind w:left="60" w:firstLine="0"/>
      <w:jc w:val="center"/>
    </w:pPr>
    <w:rPr>
      <w:b/>
      <w:bCs/>
      <w:iCs/>
      <w:color w:val="auto"/>
      <w:szCs w:val="18"/>
    </w:rPr>
  </w:style>
  <w:style w:type="paragraph" w:styleId="Footer">
    <w:name w:val="footer"/>
    <w:basedOn w:val="Normal"/>
    <w:link w:val="FooterChar"/>
    <w:uiPriority w:val="99"/>
    <w:unhideWhenUsed/>
    <w:rsid w:val="00555DF7"/>
    <w:pPr>
      <w:tabs>
        <w:tab w:val="center" w:pos="4680"/>
        <w:tab w:val="right" w:pos="9360"/>
      </w:tabs>
      <w:spacing w:line="240" w:lineRule="auto"/>
      <w:jc w:val="left"/>
    </w:pPr>
    <w:rPr>
      <w:rFonts w:asciiTheme="minorHAnsi" w:eastAsiaTheme="minorEastAsia" w:hAnsiTheme="minorHAnsi" w:cs="Times New Roman"/>
      <w:color w:val="auto"/>
      <w:sz w:val="22"/>
      <w:lang w:eastAsia="en-US"/>
    </w:rPr>
  </w:style>
  <w:style w:type="character" w:customStyle="1" w:styleId="FooterChar">
    <w:name w:val="Footer Char"/>
    <w:basedOn w:val="DefaultParagraphFont"/>
    <w:link w:val="Footer"/>
    <w:uiPriority w:val="99"/>
    <w:rsid w:val="00555DF7"/>
    <w:rPr>
      <w:rFonts w:cs="Times New Roman"/>
      <w:lang w:val="en-US" w:eastAsia="en-US"/>
    </w:rPr>
  </w:style>
  <w:style w:type="paragraph" w:customStyle="1" w:styleId="Newchapter">
    <w:name w:val="New chapter"/>
    <w:basedOn w:val="Heading1"/>
    <w:link w:val="NewchapterChar"/>
    <w:autoRedefine/>
    <w:qFormat/>
    <w:rsid w:val="0084557A"/>
    <w:pPr>
      <w:widowControl w:val="0"/>
      <w:spacing w:after="0"/>
      <w:jc w:val="left"/>
    </w:pPr>
    <w:rPr>
      <w:rFonts w:ascii="Arial Black" w:hAnsi="Arial Black"/>
    </w:rPr>
  </w:style>
  <w:style w:type="character" w:customStyle="1" w:styleId="NewchapterChar">
    <w:name w:val="New chapter Char"/>
    <w:basedOn w:val="Heading1Char"/>
    <w:link w:val="Newchapter"/>
    <w:rsid w:val="0084557A"/>
    <w:rPr>
      <w:rFonts w:ascii="Arial Black" w:eastAsia="Arial" w:hAnsi="Arial Black" w:cs="Times New Roman"/>
      <w:b/>
      <w:color w:val="000000"/>
      <w:sz w:val="52"/>
      <w:szCs w:val="36"/>
    </w:rPr>
  </w:style>
  <w:style w:type="paragraph" w:styleId="Title">
    <w:name w:val="Title"/>
    <w:basedOn w:val="Normal"/>
    <w:next w:val="Normal"/>
    <w:link w:val="TitleChar"/>
    <w:uiPriority w:val="10"/>
    <w:qFormat/>
    <w:rsid w:val="005707DC"/>
    <w:pPr>
      <w:spacing w:line="240" w:lineRule="auto"/>
      <w:contextualSpacing/>
      <w:jc w:val="center"/>
    </w:pPr>
    <w:rPr>
      <w:rFonts w:eastAsiaTheme="majorEastAsia" w:cs="Times New Roman"/>
      <w:b/>
      <w:bCs/>
      <w:color w:val="auto"/>
      <w:spacing w:val="-10"/>
      <w:kern w:val="28"/>
      <w:sz w:val="28"/>
      <w:szCs w:val="28"/>
      <w:u w:val="single"/>
    </w:rPr>
  </w:style>
  <w:style w:type="character" w:customStyle="1" w:styleId="TitleChar">
    <w:name w:val="Title Char"/>
    <w:basedOn w:val="DefaultParagraphFont"/>
    <w:link w:val="Title"/>
    <w:uiPriority w:val="10"/>
    <w:rsid w:val="005707DC"/>
    <w:rPr>
      <w:rFonts w:ascii="Times New Roman" w:eastAsiaTheme="majorEastAsia" w:hAnsi="Times New Roman" w:cs="Times New Roman"/>
      <w:b/>
      <w:bCs/>
      <w:spacing w:val="-10"/>
      <w:kern w:val="28"/>
      <w:sz w:val="28"/>
      <w:szCs w:val="28"/>
      <w:u w:val="single"/>
    </w:rPr>
  </w:style>
  <w:style w:type="paragraph" w:styleId="Subtitle">
    <w:name w:val="Subtitle"/>
    <w:basedOn w:val="Normal"/>
    <w:next w:val="Normal"/>
    <w:link w:val="SubtitleChar"/>
    <w:uiPriority w:val="11"/>
    <w:qFormat/>
    <w:rsid w:val="005707DC"/>
    <w:pPr>
      <w:numPr>
        <w:ilvl w:val="1"/>
      </w:numPr>
      <w:spacing w:after="160"/>
      <w:ind w:firstLine="851"/>
      <w:jc w:val="center"/>
    </w:pPr>
    <w:rPr>
      <w:rFonts w:asciiTheme="minorHAnsi" w:eastAsiaTheme="minorEastAsia" w:hAnsiTheme="minorHAnsi" w:cstheme="minorBidi"/>
      <w:b/>
      <w:bCs/>
      <w:color w:val="5A5A5A" w:themeColor="text1" w:themeTint="A5"/>
      <w:spacing w:val="15"/>
      <w:szCs w:val="24"/>
      <w:u w:val="single"/>
    </w:rPr>
  </w:style>
  <w:style w:type="character" w:customStyle="1" w:styleId="SubtitleChar">
    <w:name w:val="Subtitle Char"/>
    <w:basedOn w:val="DefaultParagraphFont"/>
    <w:link w:val="Subtitle"/>
    <w:uiPriority w:val="11"/>
    <w:rsid w:val="005707DC"/>
    <w:rPr>
      <w:b/>
      <w:bCs/>
      <w:color w:val="5A5A5A" w:themeColor="text1" w:themeTint="A5"/>
      <w:spacing w:val="15"/>
      <w:sz w:val="24"/>
      <w:szCs w:val="24"/>
      <w:u w:val="single"/>
    </w:rPr>
  </w:style>
  <w:style w:type="character" w:styleId="Hyperlink">
    <w:name w:val="Hyperlink"/>
    <w:basedOn w:val="DefaultParagraphFont"/>
    <w:uiPriority w:val="99"/>
    <w:unhideWhenUsed/>
    <w:rsid w:val="008B7135"/>
    <w:rPr>
      <w:color w:val="0563C1" w:themeColor="hyperlink"/>
      <w:u w:val="single"/>
    </w:rPr>
  </w:style>
  <w:style w:type="character" w:styleId="UnresolvedMention">
    <w:name w:val="Unresolved Mention"/>
    <w:basedOn w:val="DefaultParagraphFont"/>
    <w:uiPriority w:val="99"/>
    <w:rsid w:val="008B7135"/>
    <w:rPr>
      <w:color w:val="605E5C"/>
      <w:shd w:val="clear" w:color="auto" w:fill="E1DFDD"/>
    </w:rPr>
  </w:style>
  <w:style w:type="paragraph" w:styleId="NormalWeb">
    <w:name w:val="Normal (Web)"/>
    <w:basedOn w:val="Normal"/>
    <w:uiPriority w:val="99"/>
    <w:semiHidden/>
    <w:unhideWhenUsed/>
    <w:rsid w:val="00F758B7"/>
    <w:pPr>
      <w:spacing w:before="100" w:beforeAutospacing="1" w:after="100" w:afterAutospacing="1" w:line="240" w:lineRule="auto"/>
      <w:jc w:val="left"/>
    </w:pPr>
    <w:rPr>
      <w:rFonts w:eastAsia="Times New Roman" w:cs="Times New Roman"/>
      <w:color w:val="auto"/>
      <w:szCs w:val="24"/>
    </w:rPr>
  </w:style>
  <w:style w:type="character" w:styleId="FollowedHyperlink">
    <w:name w:val="FollowedHyperlink"/>
    <w:basedOn w:val="DefaultParagraphFont"/>
    <w:uiPriority w:val="99"/>
    <w:semiHidden/>
    <w:unhideWhenUsed/>
    <w:rsid w:val="00780201"/>
    <w:rPr>
      <w:color w:val="954F72" w:themeColor="followedHyperlink"/>
      <w:u w:val="single"/>
    </w:rPr>
  </w:style>
  <w:style w:type="character" w:styleId="Strong">
    <w:name w:val="Strong"/>
    <w:basedOn w:val="DefaultParagraphFont"/>
    <w:uiPriority w:val="22"/>
    <w:qFormat/>
    <w:rsid w:val="00D24D37"/>
    <w:rPr>
      <w:b/>
      <w:bCs/>
    </w:rPr>
  </w:style>
  <w:style w:type="character" w:customStyle="1" w:styleId="anchor-text">
    <w:name w:val="anchor-text"/>
    <w:basedOn w:val="DefaultParagraphFont"/>
    <w:rsid w:val="00E35698"/>
  </w:style>
  <w:style w:type="paragraph" w:styleId="TOCHeading">
    <w:name w:val="TOC Heading"/>
    <w:basedOn w:val="Heading1"/>
    <w:next w:val="Normal"/>
    <w:uiPriority w:val="39"/>
    <w:unhideWhenUsed/>
    <w:qFormat/>
    <w:rsid w:val="00970411"/>
    <w:pPr>
      <w:spacing w:before="240" w:after="0" w:line="259" w:lineRule="auto"/>
      <w:ind w:right="0" w:firstLine="0"/>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970411"/>
    <w:pPr>
      <w:spacing w:after="0"/>
      <w:ind w:firstLine="0"/>
    </w:pPr>
  </w:style>
  <w:style w:type="paragraph" w:styleId="TOC3">
    <w:name w:val="toc 3"/>
    <w:basedOn w:val="Normal"/>
    <w:next w:val="Normal"/>
    <w:autoRedefine/>
    <w:uiPriority w:val="39"/>
    <w:unhideWhenUsed/>
    <w:rsid w:val="00970411"/>
    <w:pPr>
      <w:spacing w:after="100"/>
      <w:ind w:left="480"/>
    </w:pPr>
  </w:style>
  <w:style w:type="paragraph" w:styleId="TOC2">
    <w:name w:val="toc 2"/>
    <w:basedOn w:val="Normal"/>
    <w:next w:val="Normal"/>
    <w:autoRedefine/>
    <w:uiPriority w:val="39"/>
    <w:unhideWhenUsed/>
    <w:rsid w:val="00970411"/>
    <w:pPr>
      <w:spacing w:after="100" w:line="259" w:lineRule="auto"/>
      <w:ind w:left="220" w:firstLine="0"/>
      <w:jc w:val="left"/>
    </w:pPr>
    <w:rPr>
      <w:rFonts w:asciiTheme="minorHAnsi" w:eastAsiaTheme="minorEastAsia" w:hAnsiTheme="minorHAnsi" w:cs="Times New Roman"/>
      <w:color w:val="auto"/>
      <w:sz w:val="22"/>
      <w:lang w:eastAsia="en-US"/>
    </w:rPr>
  </w:style>
  <w:style w:type="paragraph" w:styleId="TOC4">
    <w:name w:val="toc 4"/>
    <w:basedOn w:val="Normal"/>
    <w:next w:val="Normal"/>
    <w:autoRedefine/>
    <w:uiPriority w:val="39"/>
    <w:unhideWhenUsed/>
    <w:rsid w:val="00970411"/>
    <w:pPr>
      <w:spacing w:after="100"/>
      <w:ind w:left="720"/>
    </w:pPr>
  </w:style>
  <w:style w:type="paragraph" w:styleId="TOC5">
    <w:name w:val="toc 5"/>
    <w:basedOn w:val="Normal"/>
    <w:next w:val="Normal"/>
    <w:autoRedefine/>
    <w:uiPriority w:val="39"/>
    <w:unhideWhenUsed/>
    <w:rsid w:val="00970411"/>
    <w:pPr>
      <w:spacing w:after="100"/>
      <w:ind w:left="960"/>
    </w:pPr>
  </w:style>
  <w:style w:type="character" w:customStyle="1" w:styleId="A11">
    <w:name w:val="A11"/>
    <w:uiPriority w:val="99"/>
    <w:rsid w:val="0031575B"/>
    <w:rPr>
      <w:rFonts w:cs="CaslonOldFace B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ncbi.nlm.nih.gov/pubmed/?term=Burns%20AJ%5BAuthor%5D&amp;cauthor=true&amp;cauthor_uid=1170985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ncbi.nlm.nih.gov/pubmed/?term=Rowland%20IR%5BAuthor%5D&amp;cauthor=true&amp;cauthor_uid=11709850"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ncbi.nlm.nih.gov/pubmed/?term=Rowland%20IR%5BAuthor%5D&amp;cauthor=true&amp;cauthor_uid=11709850"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396C63-88BE-44A4-928B-FED376566A27}" type="doc">
      <dgm:prSet loTypeId="urn:microsoft.com/office/officeart/2005/8/layout/hierarchy1#1" loCatId="hierarchy" qsTypeId="urn:microsoft.com/office/officeart/2005/8/quickstyle/simple1" qsCatId="simple" csTypeId="urn:microsoft.com/office/officeart/2005/8/colors/accent1_2" csCatId="accent1" phldr="1"/>
      <dgm:spPr/>
      <dgm:t>
        <a:bodyPr/>
        <a:lstStyle/>
        <a:p>
          <a:endParaRPr lang="en-IN"/>
        </a:p>
      </dgm:t>
    </dgm:pt>
    <dgm:pt modelId="{DDEED195-DE66-4F95-B237-DD014770AC9A}">
      <dgm:prSet phldrT="[Text]" custT="1"/>
      <dgm:spPr/>
      <dgm:t>
        <a:bodyPr/>
        <a:lstStyle/>
        <a:p>
          <a:r>
            <a:rPr lang="en-US" sz="1200" i="1">
              <a:latin typeface="Times New Roman" panose="02020603050405020304" pitchFamily="18" charset="0"/>
              <a:cs typeface="Times New Roman" panose="02020603050405020304" pitchFamily="18" charset="0"/>
            </a:rPr>
            <a:t>Lactobacillus </a:t>
          </a:r>
          <a:r>
            <a:rPr lang="en-US" sz="1200">
              <a:latin typeface="Times New Roman" panose="02020603050405020304" pitchFamily="18" charset="0"/>
              <a:cs typeface="Times New Roman" panose="02020603050405020304" pitchFamily="18" charset="0"/>
            </a:rPr>
            <a:t>species </a:t>
          </a:r>
          <a:endParaRPr lang="en-IN" sz="1200">
            <a:latin typeface="Times New Roman" panose="02020603050405020304" pitchFamily="18" charset="0"/>
            <a:cs typeface="Times New Roman" panose="02020603050405020304" pitchFamily="18" charset="0"/>
          </a:endParaRPr>
        </a:p>
      </dgm:t>
    </dgm:pt>
    <dgm:pt modelId="{E734EEF6-8A23-478F-9566-A579922A75C4}" type="parTrans" cxnId="{F1AB89D6-DFCA-402F-8714-39753E31CB4B}">
      <dgm:prSet/>
      <dgm:spPr/>
      <dgm:t>
        <a:bodyPr/>
        <a:lstStyle/>
        <a:p>
          <a:endParaRPr lang="en-IN"/>
        </a:p>
      </dgm:t>
    </dgm:pt>
    <dgm:pt modelId="{308CF731-ED99-4EC3-A0BD-455FA81449F9}" type="sibTrans" cxnId="{F1AB89D6-DFCA-402F-8714-39753E31CB4B}">
      <dgm:prSet/>
      <dgm:spPr/>
      <dgm:t>
        <a:bodyPr/>
        <a:lstStyle/>
        <a:p>
          <a:endParaRPr lang="en-IN"/>
        </a:p>
      </dgm:t>
    </dgm:pt>
    <dgm:pt modelId="{A2BECA57-AF96-4AA9-805B-DD1B8D8B0190}">
      <dgm:prSet phldrT="[Text]" custT="1"/>
      <dgm:spPr/>
      <dgm:t>
        <a:bodyPr/>
        <a:lstStyle/>
        <a:p>
          <a:r>
            <a:rPr lang="en-US" sz="1200" b="1">
              <a:latin typeface="Times New Roman" panose="02020603050405020304" pitchFamily="18" charset="0"/>
              <a:cs typeface="Times New Roman" panose="02020603050405020304" pitchFamily="18" charset="0"/>
            </a:rPr>
            <a:t>Obligatory homofermentative</a:t>
          </a:r>
          <a:endParaRPr lang="en-IN" sz="1200">
            <a:latin typeface="Times New Roman" panose="02020603050405020304" pitchFamily="18" charset="0"/>
            <a:cs typeface="Times New Roman" panose="02020603050405020304" pitchFamily="18" charset="0"/>
          </a:endParaRPr>
        </a:p>
      </dgm:t>
    </dgm:pt>
    <dgm:pt modelId="{ABAC2D88-31E7-4247-9605-39FF012ABDA1}" type="parTrans" cxnId="{BC4D7D1D-392B-4CFB-99DE-01DA96F1B1B3}">
      <dgm:prSet/>
      <dgm:spPr/>
      <dgm:t>
        <a:bodyPr/>
        <a:lstStyle/>
        <a:p>
          <a:endParaRPr lang="en-IN"/>
        </a:p>
      </dgm:t>
    </dgm:pt>
    <dgm:pt modelId="{662A1245-83EB-4F52-9AC7-8E867A2DB6AC}" type="sibTrans" cxnId="{BC4D7D1D-392B-4CFB-99DE-01DA96F1B1B3}">
      <dgm:prSet/>
      <dgm:spPr/>
      <dgm:t>
        <a:bodyPr/>
        <a:lstStyle/>
        <a:p>
          <a:endParaRPr lang="en-IN"/>
        </a:p>
      </dgm:t>
    </dgm:pt>
    <dgm:pt modelId="{7682BB20-DF47-4FDE-940B-C5D522B9C0E8}">
      <dgm:prSet phldrT="[Text]" custT="1"/>
      <dgm:spPr/>
      <dgm:t>
        <a:bodyPr/>
        <a:lstStyle/>
        <a:p>
          <a:r>
            <a:rPr lang="en-US" sz="1200" b="1">
              <a:latin typeface="Times New Roman" panose="02020603050405020304" pitchFamily="18" charset="0"/>
              <a:cs typeface="Times New Roman" panose="02020603050405020304" pitchFamily="18" charset="0"/>
            </a:rPr>
            <a:t>Facultatively heterofermentative</a:t>
          </a:r>
          <a:endParaRPr lang="en-IN" sz="1200">
            <a:latin typeface="Times New Roman" panose="02020603050405020304" pitchFamily="18" charset="0"/>
            <a:cs typeface="Times New Roman" panose="02020603050405020304" pitchFamily="18" charset="0"/>
          </a:endParaRPr>
        </a:p>
      </dgm:t>
    </dgm:pt>
    <dgm:pt modelId="{A812CFEC-A64B-45E1-934F-C63AF74C2CE5}" type="parTrans" cxnId="{09F4906C-9043-4C1F-9BBE-5FA8CD2BDAC4}">
      <dgm:prSet/>
      <dgm:spPr/>
      <dgm:t>
        <a:bodyPr/>
        <a:lstStyle/>
        <a:p>
          <a:endParaRPr lang="en-IN"/>
        </a:p>
      </dgm:t>
    </dgm:pt>
    <dgm:pt modelId="{38EE361B-BB85-4F88-9C27-4F23F095A52E}" type="sibTrans" cxnId="{09F4906C-9043-4C1F-9BBE-5FA8CD2BDAC4}">
      <dgm:prSet/>
      <dgm:spPr/>
      <dgm:t>
        <a:bodyPr/>
        <a:lstStyle/>
        <a:p>
          <a:endParaRPr lang="en-IN"/>
        </a:p>
      </dgm:t>
    </dgm:pt>
    <dgm:pt modelId="{895A340C-7AA6-4DF5-8073-F51D1991B7D8}">
      <dgm:prSet custT="1"/>
      <dgm:spPr/>
      <dgm:t>
        <a:bodyPr/>
        <a:lstStyle/>
        <a:p>
          <a:r>
            <a:rPr lang="en-US" sz="1200" b="1">
              <a:latin typeface="Times New Roman" panose="02020603050405020304" pitchFamily="18" charset="0"/>
              <a:cs typeface="Times New Roman" panose="02020603050405020304" pitchFamily="18" charset="0"/>
            </a:rPr>
            <a:t>Obligatory heterofermentative</a:t>
          </a:r>
          <a:endParaRPr lang="en-IN" sz="1200">
            <a:latin typeface="Times New Roman" panose="02020603050405020304" pitchFamily="18" charset="0"/>
            <a:cs typeface="Times New Roman" panose="02020603050405020304" pitchFamily="18" charset="0"/>
          </a:endParaRPr>
        </a:p>
      </dgm:t>
    </dgm:pt>
    <dgm:pt modelId="{2A2DA904-8219-49D5-ADE5-DF1C7AC0A8C0}" type="parTrans" cxnId="{6A13FA8F-DE46-4E7B-8482-8217446EDCDA}">
      <dgm:prSet/>
      <dgm:spPr/>
      <dgm:t>
        <a:bodyPr/>
        <a:lstStyle/>
        <a:p>
          <a:endParaRPr lang="en-IN"/>
        </a:p>
      </dgm:t>
    </dgm:pt>
    <dgm:pt modelId="{ADBB1342-C826-4EA7-8831-89E5DCFAC450}" type="sibTrans" cxnId="{6A13FA8F-DE46-4E7B-8482-8217446EDCDA}">
      <dgm:prSet/>
      <dgm:spPr/>
      <dgm:t>
        <a:bodyPr/>
        <a:lstStyle/>
        <a:p>
          <a:endParaRPr lang="en-IN"/>
        </a:p>
      </dgm:t>
    </dgm:pt>
    <dgm:pt modelId="{D577301A-F78D-4FD7-8F75-BB61CBEB0777}">
      <dgm:prSet phldrT="[Text]" custT="1"/>
      <dgm:spPr/>
      <dgm:t>
        <a:bodyPr/>
        <a:lstStyle/>
        <a:p>
          <a:pPr algn="l">
            <a:spcAft>
              <a:spcPts val="0"/>
            </a:spcAft>
          </a:pPr>
          <a:r>
            <a:rPr lang="en-IN" sz="1200" i="1">
              <a:latin typeface="Times New Roman" panose="02020603050405020304" pitchFamily="18" charset="0"/>
              <a:cs typeface="Times New Roman" panose="02020603050405020304" pitchFamily="18" charset="0"/>
            </a:rPr>
            <a:t>L. acidophilus</a:t>
          </a:r>
        </a:p>
        <a:p>
          <a:pPr algn="l">
            <a:spcAft>
              <a:spcPts val="0"/>
            </a:spcAft>
          </a:pPr>
          <a:r>
            <a:rPr lang="en-IN" sz="1200" i="1">
              <a:latin typeface="Times New Roman" panose="02020603050405020304" pitchFamily="18" charset="0"/>
              <a:cs typeface="Times New Roman" panose="02020603050405020304" pitchFamily="18" charset="0"/>
            </a:rPr>
            <a:t> L. acidophilus </a:t>
          </a:r>
        </a:p>
        <a:p>
          <a:pPr algn="l">
            <a:spcAft>
              <a:spcPts val="0"/>
            </a:spcAft>
          </a:pPr>
          <a:r>
            <a:rPr lang="en-IN" sz="1200" i="1">
              <a:latin typeface="Times New Roman" panose="02020603050405020304" pitchFamily="18" charset="0"/>
              <a:cs typeface="Times New Roman" panose="02020603050405020304" pitchFamily="18" charset="0"/>
            </a:rPr>
            <a:t>L. crispatus </a:t>
          </a:r>
        </a:p>
        <a:p>
          <a:pPr algn="l">
            <a:spcAft>
              <a:spcPts val="0"/>
            </a:spcAft>
          </a:pPr>
          <a:r>
            <a:rPr lang="en-IN" sz="1200" i="1">
              <a:latin typeface="Times New Roman" panose="02020603050405020304" pitchFamily="18" charset="0"/>
              <a:cs typeface="Times New Roman" panose="02020603050405020304" pitchFamily="18" charset="0"/>
            </a:rPr>
            <a:t>L. amylovarus </a:t>
          </a:r>
        </a:p>
        <a:p>
          <a:pPr algn="l">
            <a:spcAft>
              <a:spcPts val="0"/>
            </a:spcAft>
          </a:pPr>
          <a:r>
            <a:rPr lang="en-IN" sz="1200" i="1">
              <a:latin typeface="Times New Roman" panose="02020603050405020304" pitchFamily="18" charset="0"/>
              <a:cs typeface="Times New Roman" panose="02020603050405020304" pitchFamily="18" charset="0"/>
            </a:rPr>
            <a:t>L. gallinarum </a:t>
          </a:r>
        </a:p>
        <a:p>
          <a:pPr algn="l">
            <a:spcAft>
              <a:spcPts val="0"/>
            </a:spcAft>
          </a:pPr>
          <a:r>
            <a:rPr lang="en-IN" sz="1200" i="1">
              <a:latin typeface="Times New Roman" panose="02020603050405020304" pitchFamily="18" charset="0"/>
              <a:cs typeface="Times New Roman" panose="02020603050405020304" pitchFamily="18" charset="0"/>
            </a:rPr>
            <a:t>L. gasseri </a:t>
          </a:r>
        </a:p>
        <a:p>
          <a:pPr algn="l">
            <a:spcAft>
              <a:spcPts val="0"/>
            </a:spcAft>
          </a:pPr>
          <a:r>
            <a:rPr lang="en-IN" sz="1200" i="1">
              <a:latin typeface="Times New Roman" panose="02020603050405020304" pitchFamily="18" charset="0"/>
              <a:cs typeface="Times New Roman" panose="02020603050405020304" pitchFamily="18" charset="0"/>
            </a:rPr>
            <a:t>L. johnsonii  </a:t>
          </a:r>
        </a:p>
      </dgm:t>
    </dgm:pt>
    <dgm:pt modelId="{A2ECA5D1-1712-43C8-8565-54A3FD31598C}" type="parTrans" cxnId="{16DADECF-7326-4732-AB07-F82CA24599D3}">
      <dgm:prSet/>
      <dgm:spPr/>
      <dgm:t>
        <a:bodyPr/>
        <a:lstStyle/>
        <a:p>
          <a:endParaRPr lang="en-IN"/>
        </a:p>
      </dgm:t>
    </dgm:pt>
    <dgm:pt modelId="{4B7BA644-E691-4E97-A736-76DC4664E85C}" type="sibTrans" cxnId="{16DADECF-7326-4732-AB07-F82CA24599D3}">
      <dgm:prSet/>
      <dgm:spPr/>
      <dgm:t>
        <a:bodyPr/>
        <a:lstStyle/>
        <a:p>
          <a:endParaRPr lang="en-IN"/>
        </a:p>
      </dgm:t>
    </dgm:pt>
    <dgm:pt modelId="{13BFD5C3-BB68-493A-BA17-41B321925E02}">
      <dgm:prSet custT="1"/>
      <dgm:spPr/>
      <dgm:t>
        <a:bodyPr/>
        <a:lstStyle/>
        <a:p>
          <a:pPr algn="l"/>
          <a:r>
            <a:rPr lang="en-US" sz="1200" i="1">
              <a:latin typeface="Times New Roman" panose="02020603050405020304" pitchFamily="18" charset="0"/>
              <a:cs typeface="Times New Roman" panose="02020603050405020304" pitchFamily="18" charset="0"/>
            </a:rPr>
            <a:t>L. fermentum </a:t>
          </a:r>
        </a:p>
        <a:p>
          <a:pPr algn="l"/>
          <a:r>
            <a:rPr lang="en-US" sz="1200" i="1">
              <a:latin typeface="Times New Roman" panose="02020603050405020304" pitchFamily="18" charset="0"/>
              <a:cs typeface="Times New Roman" panose="02020603050405020304" pitchFamily="18" charset="0"/>
            </a:rPr>
            <a:t>L. reuteri</a:t>
          </a:r>
          <a:r>
            <a:rPr lang="en-US" sz="1200">
              <a:latin typeface="Times New Roman" panose="02020603050405020304" pitchFamily="18" charset="0"/>
              <a:cs typeface="Times New Roman" panose="02020603050405020304" pitchFamily="18" charset="0"/>
            </a:rPr>
            <a:t> </a:t>
          </a:r>
          <a:endParaRPr lang="en-IN" sz="1200">
            <a:latin typeface="Times New Roman" panose="02020603050405020304" pitchFamily="18" charset="0"/>
            <a:cs typeface="Times New Roman" panose="02020603050405020304" pitchFamily="18" charset="0"/>
          </a:endParaRPr>
        </a:p>
      </dgm:t>
    </dgm:pt>
    <dgm:pt modelId="{EEE1C198-F01C-4939-AA0A-6F05B58584AB}" type="parTrans" cxnId="{44ACC6FB-A2FE-4CB3-B475-3576DC25B743}">
      <dgm:prSet/>
      <dgm:spPr/>
      <dgm:t>
        <a:bodyPr/>
        <a:lstStyle/>
        <a:p>
          <a:endParaRPr lang="en-IN"/>
        </a:p>
      </dgm:t>
    </dgm:pt>
    <dgm:pt modelId="{7DF3BB8B-3475-4DA5-9497-3711DDC32C40}" type="sibTrans" cxnId="{44ACC6FB-A2FE-4CB3-B475-3576DC25B743}">
      <dgm:prSet/>
      <dgm:spPr/>
      <dgm:t>
        <a:bodyPr/>
        <a:lstStyle/>
        <a:p>
          <a:endParaRPr lang="en-IN"/>
        </a:p>
      </dgm:t>
    </dgm:pt>
    <dgm:pt modelId="{06D819EE-E7CD-43BB-B4C3-D26B5ECE2890}">
      <dgm:prSet phldrT="[Text]" custT="1"/>
      <dgm:spPr/>
      <dgm:t>
        <a:bodyPr/>
        <a:lstStyle/>
        <a:p>
          <a:pPr algn="l">
            <a:lnSpc>
              <a:spcPct val="90000"/>
            </a:lnSpc>
            <a:spcAft>
              <a:spcPts val="0"/>
            </a:spcAft>
          </a:pPr>
          <a:r>
            <a:rPr lang="en-US" sz="1200" i="1">
              <a:latin typeface="Times New Roman" panose="02020603050405020304" pitchFamily="18" charset="0"/>
              <a:cs typeface="Times New Roman" panose="02020603050405020304" pitchFamily="18" charset="0"/>
            </a:rPr>
            <a:t>L. casei </a:t>
          </a:r>
          <a:endParaRPr lang="en-IN" sz="1200">
            <a:latin typeface="Times New Roman" panose="02020603050405020304" pitchFamily="18" charset="0"/>
            <a:cs typeface="Times New Roman" panose="02020603050405020304" pitchFamily="18" charset="0"/>
          </a:endParaRPr>
        </a:p>
        <a:p>
          <a:pPr algn="l">
            <a:lnSpc>
              <a:spcPct val="90000"/>
            </a:lnSpc>
            <a:spcAft>
              <a:spcPts val="0"/>
            </a:spcAft>
          </a:pPr>
          <a:r>
            <a:rPr lang="en-US" sz="1200" i="1">
              <a:latin typeface="Times New Roman" panose="02020603050405020304" pitchFamily="18" charset="0"/>
              <a:cs typeface="Times New Roman" panose="02020603050405020304" pitchFamily="18" charset="0"/>
            </a:rPr>
            <a:t>L. paracasei </a:t>
          </a:r>
          <a:r>
            <a:rPr lang="en-US" sz="1200">
              <a:latin typeface="Times New Roman" panose="02020603050405020304" pitchFamily="18" charset="0"/>
              <a:cs typeface="Times New Roman" panose="02020603050405020304" pitchFamily="18" charset="0"/>
            </a:rPr>
            <a:t>ssp. </a:t>
          </a:r>
          <a:endParaRPr lang="en-IN" sz="1200">
            <a:latin typeface="Times New Roman" panose="02020603050405020304" pitchFamily="18" charset="0"/>
            <a:cs typeface="Times New Roman" panose="02020603050405020304" pitchFamily="18" charset="0"/>
          </a:endParaRPr>
        </a:p>
        <a:p>
          <a:pPr algn="l">
            <a:lnSpc>
              <a:spcPct val="90000"/>
            </a:lnSpc>
            <a:spcAft>
              <a:spcPts val="0"/>
            </a:spcAft>
          </a:pPr>
          <a:r>
            <a:rPr lang="en-US" sz="1200" i="1">
              <a:latin typeface="Times New Roman" panose="02020603050405020304" pitchFamily="18" charset="0"/>
              <a:cs typeface="Times New Roman" panose="02020603050405020304" pitchFamily="18" charset="0"/>
            </a:rPr>
            <a:t>Paracasei </a:t>
          </a:r>
          <a:endParaRPr lang="en-IN" sz="1200">
            <a:latin typeface="Times New Roman" panose="02020603050405020304" pitchFamily="18" charset="0"/>
            <a:cs typeface="Times New Roman" panose="02020603050405020304" pitchFamily="18" charset="0"/>
          </a:endParaRPr>
        </a:p>
        <a:p>
          <a:pPr algn="l">
            <a:lnSpc>
              <a:spcPct val="90000"/>
            </a:lnSpc>
            <a:spcAft>
              <a:spcPts val="0"/>
            </a:spcAft>
          </a:pPr>
          <a:r>
            <a:rPr lang="en-US" sz="1200" i="1">
              <a:latin typeface="Times New Roman" panose="02020603050405020304" pitchFamily="18" charset="0"/>
              <a:cs typeface="Times New Roman" panose="02020603050405020304" pitchFamily="18" charset="0"/>
            </a:rPr>
            <a:t>L. paracasei </a:t>
          </a:r>
          <a:r>
            <a:rPr lang="en-US" sz="1200">
              <a:latin typeface="Times New Roman" panose="02020603050405020304" pitchFamily="18" charset="0"/>
              <a:cs typeface="Times New Roman" panose="02020603050405020304" pitchFamily="18" charset="0"/>
            </a:rPr>
            <a:t>ssp. </a:t>
          </a:r>
          <a:r>
            <a:rPr lang="en-US" sz="1200" i="1">
              <a:latin typeface="Times New Roman" panose="02020603050405020304" pitchFamily="18" charset="0"/>
              <a:cs typeface="Times New Roman" panose="02020603050405020304" pitchFamily="18" charset="0"/>
            </a:rPr>
            <a:t>tolerans </a:t>
          </a:r>
          <a:endParaRPr lang="en-IN" sz="1200">
            <a:latin typeface="Times New Roman" panose="02020603050405020304" pitchFamily="18" charset="0"/>
            <a:cs typeface="Times New Roman" panose="02020603050405020304" pitchFamily="18" charset="0"/>
          </a:endParaRPr>
        </a:p>
        <a:p>
          <a:pPr algn="l">
            <a:lnSpc>
              <a:spcPct val="90000"/>
            </a:lnSpc>
            <a:spcAft>
              <a:spcPts val="0"/>
            </a:spcAft>
          </a:pPr>
          <a:r>
            <a:rPr lang="en-US" sz="1200" i="1">
              <a:latin typeface="Times New Roman" panose="02020603050405020304" pitchFamily="18" charset="0"/>
              <a:cs typeface="Times New Roman" panose="02020603050405020304" pitchFamily="18" charset="0"/>
            </a:rPr>
            <a:t>L. plantarum </a:t>
          </a:r>
          <a:endParaRPr lang="en-IN" sz="1200">
            <a:latin typeface="Times New Roman" panose="02020603050405020304" pitchFamily="18" charset="0"/>
            <a:cs typeface="Times New Roman" panose="02020603050405020304" pitchFamily="18" charset="0"/>
          </a:endParaRPr>
        </a:p>
        <a:p>
          <a:pPr algn="l">
            <a:lnSpc>
              <a:spcPct val="90000"/>
            </a:lnSpc>
            <a:spcAft>
              <a:spcPts val="0"/>
            </a:spcAft>
          </a:pPr>
          <a:r>
            <a:rPr lang="en-US" sz="1200" i="1">
              <a:latin typeface="Times New Roman" panose="02020603050405020304" pitchFamily="18" charset="0"/>
              <a:cs typeface="Times New Roman" panose="02020603050405020304" pitchFamily="18" charset="0"/>
            </a:rPr>
            <a:t>L. rhamnosus</a:t>
          </a:r>
          <a:r>
            <a:rPr lang="en-US" sz="1200">
              <a:latin typeface="Times New Roman" panose="02020603050405020304" pitchFamily="18" charset="0"/>
              <a:cs typeface="Times New Roman" panose="02020603050405020304" pitchFamily="18" charset="0"/>
            </a:rPr>
            <a:t> </a:t>
          </a:r>
          <a:r>
            <a:rPr lang="en-IN" sz="1200">
              <a:latin typeface="Times New Roman" panose="02020603050405020304" pitchFamily="18" charset="0"/>
              <a:cs typeface="Times New Roman" panose="02020603050405020304" pitchFamily="18" charset="0"/>
            </a:rPr>
            <a:t>  </a:t>
          </a:r>
        </a:p>
      </dgm:t>
    </dgm:pt>
    <dgm:pt modelId="{11384E20-5134-48C5-B383-17EFA1918DE0}" type="sibTrans" cxnId="{CB3DE88C-B602-4A5C-B0BA-084FB86F5EC7}">
      <dgm:prSet/>
      <dgm:spPr/>
      <dgm:t>
        <a:bodyPr/>
        <a:lstStyle/>
        <a:p>
          <a:endParaRPr lang="en-IN"/>
        </a:p>
      </dgm:t>
    </dgm:pt>
    <dgm:pt modelId="{F6CC2DEA-E0DA-48CB-A71E-30AD496D06F9}" type="parTrans" cxnId="{CB3DE88C-B602-4A5C-B0BA-084FB86F5EC7}">
      <dgm:prSet/>
      <dgm:spPr/>
      <dgm:t>
        <a:bodyPr/>
        <a:lstStyle/>
        <a:p>
          <a:endParaRPr lang="en-IN"/>
        </a:p>
      </dgm:t>
    </dgm:pt>
    <dgm:pt modelId="{9137B5CB-9B2B-449F-898A-9AE6FDCA77DD}" type="pres">
      <dgm:prSet presAssocID="{22396C63-88BE-44A4-928B-FED376566A27}" presName="hierChild1" presStyleCnt="0">
        <dgm:presLayoutVars>
          <dgm:chPref val="1"/>
          <dgm:dir/>
          <dgm:animOne val="branch"/>
          <dgm:animLvl val="lvl"/>
          <dgm:resizeHandles/>
        </dgm:presLayoutVars>
      </dgm:prSet>
      <dgm:spPr/>
    </dgm:pt>
    <dgm:pt modelId="{FAF24E84-F80B-4764-A16C-5D4839900986}" type="pres">
      <dgm:prSet presAssocID="{DDEED195-DE66-4F95-B237-DD014770AC9A}" presName="hierRoot1" presStyleCnt="0"/>
      <dgm:spPr/>
    </dgm:pt>
    <dgm:pt modelId="{B6B704C5-F449-42FB-8A74-25ADD13F049D}" type="pres">
      <dgm:prSet presAssocID="{DDEED195-DE66-4F95-B237-DD014770AC9A}" presName="composite" presStyleCnt="0"/>
      <dgm:spPr/>
    </dgm:pt>
    <dgm:pt modelId="{9B62C035-684D-4C87-A089-2176010D2CFC}" type="pres">
      <dgm:prSet presAssocID="{DDEED195-DE66-4F95-B237-DD014770AC9A}" presName="background" presStyleLbl="node0" presStyleIdx="0" presStyleCnt="1"/>
      <dgm:spPr/>
    </dgm:pt>
    <dgm:pt modelId="{04914A05-A140-4FA0-966A-0C20E2838DA3}" type="pres">
      <dgm:prSet presAssocID="{DDEED195-DE66-4F95-B237-DD014770AC9A}" presName="text" presStyleLbl="fgAcc0" presStyleIdx="0" presStyleCnt="1" custScaleX="145327" custScaleY="87677">
        <dgm:presLayoutVars>
          <dgm:chPref val="3"/>
        </dgm:presLayoutVars>
      </dgm:prSet>
      <dgm:spPr/>
    </dgm:pt>
    <dgm:pt modelId="{72EB4C18-12A6-4379-88AF-20974A426250}" type="pres">
      <dgm:prSet presAssocID="{DDEED195-DE66-4F95-B237-DD014770AC9A}" presName="hierChild2" presStyleCnt="0"/>
      <dgm:spPr/>
    </dgm:pt>
    <dgm:pt modelId="{E8E2E222-3207-49CB-8951-D230A899723F}" type="pres">
      <dgm:prSet presAssocID="{ABAC2D88-31E7-4247-9605-39FF012ABDA1}" presName="Name10" presStyleLbl="parChTrans1D2" presStyleIdx="0" presStyleCnt="3"/>
      <dgm:spPr/>
    </dgm:pt>
    <dgm:pt modelId="{05FF3A3E-5006-4680-9336-218A1DC923F4}" type="pres">
      <dgm:prSet presAssocID="{A2BECA57-AF96-4AA9-805B-DD1B8D8B0190}" presName="hierRoot2" presStyleCnt="0"/>
      <dgm:spPr/>
    </dgm:pt>
    <dgm:pt modelId="{597DFE6C-347F-4987-AB97-F69FFD2665FF}" type="pres">
      <dgm:prSet presAssocID="{A2BECA57-AF96-4AA9-805B-DD1B8D8B0190}" presName="composite2" presStyleCnt="0"/>
      <dgm:spPr/>
    </dgm:pt>
    <dgm:pt modelId="{E32020B6-FEE8-4892-9673-44892D6E624B}" type="pres">
      <dgm:prSet presAssocID="{A2BECA57-AF96-4AA9-805B-DD1B8D8B0190}" presName="background2" presStyleLbl="node2" presStyleIdx="0" presStyleCnt="3"/>
      <dgm:spPr/>
    </dgm:pt>
    <dgm:pt modelId="{797D069C-84C4-4A02-A95A-6954E3404A04}" type="pres">
      <dgm:prSet presAssocID="{A2BECA57-AF96-4AA9-805B-DD1B8D8B0190}" presName="text2" presStyleLbl="fgAcc2" presStyleIdx="0" presStyleCnt="3" custScaleX="188136" custScaleY="101460">
        <dgm:presLayoutVars>
          <dgm:chPref val="3"/>
        </dgm:presLayoutVars>
      </dgm:prSet>
      <dgm:spPr/>
    </dgm:pt>
    <dgm:pt modelId="{280082BD-852D-4678-9E68-DF469599D30B}" type="pres">
      <dgm:prSet presAssocID="{A2BECA57-AF96-4AA9-805B-DD1B8D8B0190}" presName="hierChild3" presStyleCnt="0"/>
      <dgm:spPr/>
    </dgm:pt>
    <dgm:pt modelId="{FFD64600-03FC-4377-8867-2046C4A73E8A}" type="pres">
      <dgm:prSet presAssocID="{A2ECA5D1-1712-43C8-8565-54A3FD31598C}" presName="Name17" presStyleLbl="parChTrans1D3" presStyleIdx="0" presStyleCnt="3"/>
      <dgm:spPr/>
    </dgm:pt>
    <dgm:pt modelId="{E688B2F9-A6C5-40BB-AE28-BF6E9965FCF7}" type="pres">
      <dgm:prSet presAssocID="{D577301A-F78D-4FD7-8F75-BB61CBEB0777}" presName="hierRoot3" presStyleCnt="0"/>
      <dgm:spPr/>
    </dgm:pt>
    <dgm:pt modelId="{75E173B9-4FAD-4667-AE21-619479C34B8D}" type="pres">
      <dgm:prSet presAssocID="{D577301A-F78D-4FD7-8F75-BB61CBEB0777}" presName="composite3" presStyleCnt="0"/>
      <dgm:spPr/>
    </dgm:pt>
    <dgm:pt modelId="{54126072-8864-41A2-A408-F31C3BB59519}" type="pres">
      <dgm:prSet presAssocID="{D577301A-F78D-4FD7-8F75-BB61CBEB0777}" presName="background3" presStyleLbl="node3" presStyleIdx="0" presStyleCnt="3"/>
      <dgm:spPr/>
    </dgm:pt>
    <dgm:pt modelId="{074365F4-5C42-4246-9FA1-65B755E179EA}" type="pres">
      <dgm:prSet presAssocID="{D577301A-F78D-4FD7-8F75-BB61CBEB0777}" presName="text3" presStyleLbl="fgAcc3" presStyleIdx="0" presStyleCnt="3" custScaleX="170050" custScaleY="289298">
        <dgm:presLayoutVars>
          <dgm:chPref val="3"/>
        </dgm:presLayoutVars>
      </dgm:prSet>
      <dgm:spPr/>
    </dgm:pt>
    <dgm:pt modelId="{0E31A13F-C81B-439C-8BAE-76032F1A3D67}" type="pres">
      <dgm:prSet presAssocID="{D577301A-F78D-4FD7-8F75-BB61CBEB0777}" presName="hierChild4" presStyleCnt="0"/>
      <dgm:spPr/>
    </dgm:pt>
    <dgm:pt modelId="{DEA860B8-B9B0-4D03-87A2-F199B464173C}" type="pres">
      <dgm:prSet presAssocID="{A812CFEC-A64B-45E1-934F-C63AF74C2CE5}" presName="Name10" presStyleLbl="parChTrans1D2" presStyleIdx="1" presStyleCnt="3"/>
      <dgm:spPr/>
    </dgm:pt>
    <dgm:pt modelId="{D07A53EB-B8DD-4EE8-9BAB-9C037FD48479}" type="pres">
      <dgm:prSet presAssocID="{7682BB20-DF47-4FDE-940B-C5D522B9C0E8}" presName="hierRoot2" presStyleCnt="0"/>
      <dgm:spPr/>
    </dgm:pt>
    <dgm:pt modelId="{835B79F4-9983-48D3-B47A-AFDFADA2841C}" type="pres">
      <dgm:prSet presAssocID="{7682BB20-DF47-4FDE-940B-C5D522B9C0E8}" presName="composite2" presStyleCnt="0"/>
      <dgm:spPr/>
    </dgm:pt>
    <dgm:pt modelId="{4255E520-EF0B-4080-A607-81831896CE03}" type="pres">
      <dgm:prSet presAssocID="{7682BB20-DF47-4FDE-940B-C5D522B9C0E8}" presName="background2" presStyleLbl="node2" presStyleIdx="1" presStyleCnt="3"/>
      <dgm:spPr/>
    </dgm:pt>
    <dgm:pt modelId="{7B1A5D3A-4543-4062-8C64-F36018817F65}" type="pres">
      <dgm:prSet presAssocID="{7682BB20-DF47-4FDE-940B-C5D522B9C0E8}" presName="text2" presStyleLbl="fgAcc2" presStyleIdx="1" presStyleCnt="3" custScaleX="174810" custScaleY="108580">
        <dgm:presLayoutVars>
          <dgm:chPref val="3"/>
        </dgm:presLayoutVars>
      </dgm:prSet>
      <dgm:spPr/>
    </dgm:pt>
    <dgm:pt modelId="{79ACD711-CFDA-4D4D-AA28-4B22A553D1D0}" type="pres">
      <dgm:prSet presAssocID="{7682BB20-DF47-4FDE-940B-C5D522B9C0E8}" presName="hierChild3" presStyleCnt="0"/>
      <dgm:spPr/>
    </dgm:pt>
    <dgm:pt modelId="{04FDA082-06E3-4DE8-9890-D7D2D61286B6}" type="pres">
      <dgm:prSet presAssocID="{F6CC2DEA-E0DA-48CB-A71E-30AD496D06F9}" presName="Name17" presStyleLbl="parChTrans1D3" presStyleIdx="1" presStyleCnt="3"/>
      <dgm:spPr/>
    </dgm:pt>
    <dgm:pt modelId="{17C4DCE1-5F03-4E0E-A482-03178888D3DA}" type="pres">
      <dgm:prSet presAssocID="{06D819EE-E7CD-43BB-B4C3-D26B5ECE2890}" presName="hierRoot3" presStyleCnt="0"/>
      <dgm:spPr/>
    </dgm:pt>
    <dgm:pt modelId="{342EC40B-B1FE-43A9-A6EB-AF2A2B75CD17}" type="pres">
      <dgm:prSet presAssocID="{06D819EE-E7CD-43BB-B4C3-D26B5ECE2890}" presName="composite3" presStyleCnt="0"/>
      <dgm:spPr/>
    </dgm:pt>
    <dgm:pt modelId="{96E50D08-AA9F-45B5-9EE1-2BB05550E89F}" type="pres">
      <dgm:prSet presAssocID="{06D819EE-E7CD-43BB-B4C3-D26B5ECE2890}" presName="background3" presStyleLbl="node3" presStyleIdx="1" presStyleCnt="3"/>
      <dgm:spPr/>
    </dgm:pt>
    <dgm:pt modelId="{DB0276B7-9E43-4314-AF3D-F2E87B7D7CEB}" type="pres">
      <dgm:prSet presAssocID="{06D819EE-E7CD-43BB-B4C3-D26B5ECE2890}" presName="text3" presStyleLbl="fgAcc3" presStyleIdx="1" presStyleCnt="3" custScaleX="199089" custScaleY="272991">
        <dgm:presLayoutVars>
          <dgm:chPref val="3"/>
        </dgm:presLayoutVars>
      </dgm:prSet>
      <dgm:spPr/>
    </dgm:pt>
    <dgm:pt modelId="{AE3926D7-8403-4CF1-91AA-5722BB68B1CB}" type="pres">
      <dgm:prSet presAssocID="{06D819EE-E7CD-43BB-B4C3-D26B5ECE2890}" presName="hierChild4" presStyleCnt="0"/>
      <dgm:spPr/>
    </dgm:pt>
    <dgm:pt modelId="{BE4A9DDB-5A29-4BAF-84A0-433FBFBC45D5}" type="pres">
      <dgm:prSet presAssocID="{2A2DA904-8219-49D5-ADE5-DF1C7AC0A8C0}" presName="Name10" presStyleLbl="parChTrans1D2" presStyleIdx="2" presStyleCnt="3"/>
      <dgm:spPr/>
    </dgm:pt>
    <dgm:pt modelId="{23D26832-23A4-426B-9032-62FAA19A0981}" type="pres">
      <dgm:prSet presAssocID="{895A340C-7AA6-4DF5-8073-F51D1991B7D8}" presName="hierRoot2" presStyleCnt="0"/>
      <dgm:spPr/>
    </dgm:pt>
    <dgm:pt modelId="{2FBA5F3E-94D4-4670-BF52-35621C4AEC2A}" type="pres">
      <dgm:prSet presAssocID="{895A340C-7AA6-4DF5-8073-F51D1991B7D8}" presName="composite2" presStyleCnt="0"/>
      <dgm:spPr/>
    </dgm:pt>
    <dgm:pt modelId="{C289C13E-392B-4166-8605-2A4683779028}" type="pres">
      <dgm:prSet presAssocID="{895A340C-7AA6-4DF5-8073-F51D1991B7D8}" presName="background2" presStyleLbl="node2" presStyleIdx="2" presStyleCnt="3"/>
      <dgm:spPr/>
    </dgm:pt>
    <dgm:pt modelId="{20FE8F1D-9C06-492D-B42E-AE819E9ACC26}" type="pres">
      <dgm:prSet presAssocID="{895A340C-7AA6-4DF5-8073-F51D1991B7D8}" presName="text2" presStyleLbl="fgAcc2" presStyleIdx="2" presStyleCnt="3" custScaleX="167074" custScaleY="116518">
        <dgm:presLayoutVars>
          <dgm:chPref val="3"/>
        </dgm:presLayoutVars>
      </dgm:prSet>
      <dgm:spPr/>
    </dgm:pt>
    <dgm:pt modelId="{8B216BC4-6778-4A38-B410-5D83730C8797}" type="pres">
      <dgm:prSet presAssocID="{895A340C-7AA6-4DF5-8073-F51D1991B7D8}" presName="hierChild3" presStyleCnt="0"/>
      <dgm:spPr/>
    </dgm:pt>
    <dgm:pt modelId="{95A673CD-1CB7-44A6-8A45-7E049BB2F756}" type="pres">
      <dgm:prSet presAssocID="{EEE1C198-F01C-4939-AA0A-6F05B58584AB}" presName="Name17" presStyleLbl="parChTrans1D3" presStyleIdx="2" presStyleCnt="3"/>
      <dgm:spPr/>
    </dgm:pt>
    <dgm:pt modelId="{AED6B4B0-90ED-497A-8AAE-09546FFC6AF4}" type="pres">
      <dgm:prSet presAssocID="{13BFD5C3-BB68-493A-BA17-41B321925E02}" presName="hierRoot3" presStyleCnt="0"/>
      <dgm:spPr/>
    </dgm:pt>
    <dgm:pt modelId="{DB61E563-431B-4143-98F8-E0462A9076FC}" type="pres">
      <dgm:prSet presAssocID="{13BFD5C3-BB68-493A-BA17-41B321925E02}" presName="composite3" presStyleCnt="0"/>
      <dgm:spPr/>
    </dgm:pt>
    <dgm:pt modelId="{7E93235B-9E55-44D6-B67A-C25AB608A4CD}" type="pres">
      <dgm:prSet presAssocID="{13BFD5C3-BB68-493A-BA17-41B321925E02}" presName="background3" presStyleLbl="node3" presStyleIdx="2" presStyleCnt="3"/>
      <dgm:spPr/>
    </dgm:pt>
    <dgm:pt modelId="{11F2E9B7-99C7-4E87-82DA-608A7B19F175}" type="pres">
      <dgm:prSet presAssocID="{13BFD5C3-BB68-493A-BA17-41B321925E02}" presName="text3" presStyleLbl="fgAcc3" presStyleIdx="2" presStyleCnt="3" custScaleX="150136">
        <dgm:presLayoutVars>
          <dgm:chPref val="3"/>
        </dgm:presLayoutVars>
      </dgm:prSet>
      <dgm:spPr/>
    </dgm:pt>
    <dgm:pt modelId="{14F5A327-D25F-4248-B2AC-FB21FD601F10}" type="pres">
      <dgm:prSet presAssocID="{13BFD5C3-BB68-493A-BA17-41B321925E02}" presName="hierChild4" presStyleCnt="0"/>
      <dgm:spPr/>
    </dgm:pt>
  </dgm:ptLst>
  <dgm:cxnLst>
    <dgm:cxn modelId="{015E0410-75C9-4A32-BC45-F75AF8425783}" type="presOf" srcId="{ABAC2D88-31E7-4247-9605-39FF012ABDA1}" destId="{E8E2E222-3207-49CB-8951-D230A899723F}" srcOrd="0" destOrd="0" presId="urn:microsoft.com/office/officeart/2005/8/layout/hierarchy1#1"/>
    <dgm:cxn modelId="{BC4D7D1D-392B-4CFB-99DE-01DA96F1B1B3}" srcId="{DDEED195-DE66-4F95-B237-DD014770AC9A}" destId="{A2BECA57-AF96-4AA9-805B-DD1B8D8B0190}" srcOrd="0" destOrd="0" parTransId="{ABAC2D88-31E7-4247-9605-39FF012ABDA1}" sibTransId="{662A1245-83EB-4F52-9AC7-8E867A2DB6AC}"/>
    <dgm:cxn modelId="{AF894F1E-95F5-4740-9B6E-A59B44A15EE4}" type="presOf" srcId="{06D819EE-E7CD-43BB-B4C3-D26B5ECE2890}" destId="{DB0276B7-9E43-4314-AF3D-F2E87B7D7CEB}" srcOrd="0" destOrd="0" presId="urn:microsoft.com/office/officeart/2005/8/layout/hierarchy1#1"/>
    <dgm:cxn modelId="{7E4F9824-86AF-4FF9-931F-60224ADA11B5}" type="presOf" srcId="{2A2DA904-8219-49D5-ADE5-DF1C7AC0A8C0}" destId="{BE4A9DDB-5A29-4BAF-84A0-433FBFBC45D5}" srcOrd="0" destOrd="0" presId="urn:microsoft.com/office/officeart/2005/8/layout/hierarchy1#1"/>
    <dgm:cxn modelId="{96562536-33D9-43D1-9EF7-2779B27A73F5}" type="presOf" srcId="{A2ECA5D1-1712-43C8-8565-54A3FD31598C}" destId="{FFD64600-03FC-4377-8867-2046C4A73E8A}" srcOrd="0" destOrd="0" presId="urn:microsoft.com/office/officeart/2005/8/layout/hierarchy1#1"/>
    <dgm:cxn modelId="{662D0C37-4B1F-4F90-9FBC-8715091CCD29}" type="presOf" srcId="{13BFD5C3-BB68-493A-BA17-41B321925E02}" destId="{11F2E9B7-99C7-4E87-82DA-608A7B19F175}" srcOrd="0" destOrd="0" presId="urn:microsoft.com/office/officeart/2005/8/layout/hierarchy1#1"/>
    <dgm:cxn modelId="{E8CBB461-D20F-46F0-AB64-BB5DA0138D15}" type="presOf" srcId="{7682BB20-DF47-4FDE-940B-C5D522B9C0E8}" destId="{7B1A5D3A-4543-4062-8C64-F36018817F65}" srcOrd="0" destOrd="0" presId="urn:microsoft.com/office/officeart/2005/8/layout/hierarchy1#1"/>
    <dgm:cxn modelId="{7F29AC69-1B6A-4647-88A9-2D4384B4BE9A}" type="presOf" srcId="{D577301A-F78D-4FD7-8F75-BB61CBEB0777}" destId="{074365F4-5C42-4246-9FA1-65B755E179EA}" srcOrd="0" destOrd="0" presId="urn:microsoft.com/office/officeart/2005/8/layout/hierarchy1#1"/>
    <dgm:cxn modelId="{99B0FD6B-B1F7-4CA8-905F-39A2673451B5}" type="presOf" srcId="{22396C63-88BE-44A4-928B-FED376566A27}" destId="{9137B5CB-9B2B-449F-898A-9AE6FDCA77DD}" srcOrd="0" destOrd="0" presId="urn:microsoft.com/office/officeart/2005/8/layout/hierarchy1#1"/>
    <dgm:cxn modelId="{09F4906C-9043-4C1F-9BBE-5FA8CD2BDAC4}" srcId="{DDEED195-DE66-4F95-B237-DD014770AC9A}" destId="{7682BB20-DF47-4FDE-940B-C5D522B9C0E8}" srcOrd="1" destOrd="0" parTransId="{A812CFEC-A64B-45E1-934F-C63AF74C2CE5}" sibTransId="{38EE361B-BB85-4F88-9C27-4F23F095A52E}"/>
    <dgm:cxn modelId="{E89E996E-590B-4B28-ADE9-9613021C5F97}" type="presOf" srcId="{A812CFEC-A64B-45E1-934F-C63AF74C2CE5}" destId="{DEA860B8-B9B0-4D03-87A2-F199B464173C}" srcOrd="0" destOrd="0" presId="urn:microsoft.com/office/officeart/2005/8/layout/hierarchy1#1"/>
    <dgm:cxn modelId="{D91FB05A-0D77-4896-9C4A-0742E7B0E3EA}" type="presOf" srcId="{A2BECA57-AF96-4AA9-805B-DD1B8D8B0190}" destId="{797D069C-84C4-4A02-A95A-6954E3404A04}" srcOrd="0" destOrd="0" presId="urn:microsoft.com/office/officeart/2005/8/layout/hierarchy1#1"/>
    <dgm:cxn modelId="{C84C3389-1277-472B-8E40-262BC079010E}" type="presOf" srcId="{F6CC2DEA-E0DA-48CB-A71E-30AD496D06F9}" destId="{04FDA082-06E3-4DE8-9890-D7D2D61286B6}" srcOrd="0" destOrd="0" presId="urn:microsoft.com/office/officeart/2005/8/layout/hierarchy1#1"/>
    <dgm:cxn modelId="{CB3DE88C-B602-4A5C-B0BA-084FB86F5EC7}" srcId="{7682BB20-DF47-4FDE-940B-C5D522B9C0E8}" destId="{06D819EE-E7CD-43BB-B4C3-D26B5ECE2890}" srcOrd="0" destOrd="0" parTransId="{F6CC2DEA-E0DA-48CB-A71E-30AD496D06F9}" sibTransId="{11384E20-5134-48C5-B383-17EFA1918DE0}"/>
    <dgm:cxn modelId="{6A13FA8F-DE46-4E7B-8482-8217446EDCDA}" srcId="{DDEED195-DE66-4F95-B237-DD014770AC9A}" destId="{895A340C-7AA6-4DF5-8073-F51D1991B7D8}" srcOrd="2" destOrd="0" parTransId="{2A2DA904-8219-49D5-ADE5-DF1C7AC0A8C0}" sibTransId="{ADBB1342-C826-4EA7-8831-89E5DCFAC450}"/>
    <dgm:cxn modelId="{CB2EC2A1-723D-4082-81FE-A84B45AE0A11}" type="presOf" srcId="{895A340C-7AA6-4DF5-8073-F51D1991B7D8}" destId="{20FE8F1D-9C06-492D-B42E-AE819E9ACC26}" srcOrd="0" destOrd="0" presId="urn:microsoft.com/office/officeart/2005/8/layout/hierarchy1#1"/>
    <dgm:cxn modelId="{01ACFCCB-141C-47DC-A13B-6A5239A930B2}" type="presOf" srcId="{EEE1C198-F01C-4939-AA0A-6F05B58584AB}" destId="{95A673CD-1CB7-44A6-8A45-7E049BB2F756}" srcOrd="0" destOrd="0" presId="urn:microsoft.com/office/officeart/2005/8/layout/hierarchy1#1"/>
    <dgm:cxn modelId="{16DADECF-7326-4732-AB07-F82CA24599D3}" srcId="{A2BECA57-AF96-4AA9-805B-DD1B8D8B0190}" destId="{D577301A-F78D-4FD7-8F75-BB61CBEB0777}" srcOrd="0" destOrd="0" parTransId="{A2ECA5D1-1712-43C8-8565-54A3FD31598C}" sibTransId="{4B7BA644-E691-4E97-A736-76DC4664E85C}"/>
    <dgm:cxn modelId="{F1AB89D6-DFCA-402F-8714-39753E31CB4B}" srcId="{22396C63-88BE-44A4-928B-FED376566A27}" destId="{DDEED195-DE66-4F95-B237-DD014770AC9A}" srcOrd="0" destOrd="0" parTransId="{E734EEF6-8A23-478F-9566-A579922A75C4}" sibTransId="{308CF731-ED99-4EC3-A0BD-455FA81449F9}"/>
    <dgm:cxn modelId="{1630B6F0-A126-4901-923B-CC82A74404EC}" type="presOf" srcId="{DDEED195-DE66-4F95-B237-DD014770AC9A}" destId="{04914A05-A140-4FA0-966A-0C20E2838DA3}" srcOrd="0" destOrd="0" presId="urn:microsoft.com/office/officeart/2005/8/layout/hierarchy1#1"/>
    <dgm:cxn modelId="{44ACC6FB-A2FE-4CB3-B475-3576DC25B743}" srcId="{895A340C-7AA6-4DF5-8073-F51D1991B7D8}" destId="{13BFD5C3-BB68-493A-BA17-41B321925E02}" srcOrd="0" destOrd="0" parTransId="{EEE1C198-F01C-4939-AA0A-6F05B58584AB}" sibTransId="{7DF3BB8B-3475-4DA5-9497-3711DDC32C40}"/>
    <dgm:cxn modelId="{603D05B5-E1CC-4810-B24C-DC89DA3F0F47}" type="presParOf" srcId="{9137B5CB-9B2B-449F-898A-9AE6FDCA77DD}" destId="{FAF24E84-F80B-4764-A16C-5D4839900986}" srcOrd="0" destOrd="0" presId="urn:microsoft.com/office/officeart/2005/8/layout/hierarchy1#1"/>
    <dgm:cxn modelId="{6D026130-FA43-44C2-B060-9D394094C3D6}" type="presParOf" srcId="{FAF24E84-F80B-4764-A16C-5D4839900986}" destId="{B6B704C5-F449-42FB-8A74-25ADD13F049D}" srcOrd="0" destOrd="0" presId="urn:microsoft.com/office/officeart/2005/8/layout/hierarchy1#1"/>
    <dgm:cxn modelId="{31B72BF8-A3D5-439A-AE8F-FDF4EBAADBF4}" type="presParOf" srcId="{B6B704C5-F449-42FB-8A74-25ADD13F049D}" destId="{9B62C035-684D-4C87-A089-2176010D2CFC}" srcOrd="0" destOrd="0" presId="urn:microsoft.com/office/officeart/2005/8/layout/hierarchy1#1"/>
    <dgm:cxn modelId="{1E3A4F55-F65B-418B-87C3-FD06D683CEE3}" type="presParOf" srcId="{B6B704C5-F449-42FB-8A74-25ADD13F049D}" destId="{04914A05-A140-4FA0-966A-0C20E2838DA3}" srcOrd="1" destOrd="0" presId="urn:microsoft.com/office/officeart/2005/8/layout/hierarchy1#1"/>
    <dgm:cxn modelId="{C3C0629E-3D36-42D9-BF7F-40199708524B}" type="presParOf" srcId="{FAF24E84-F80B-4764-A16C-5D4839900986}" destId="{72EB4C18-12A6-4379-88AF-20974A426250}" srcOrd="1" destOrd="0" presId="urn:microsoft.com/office/officeart/2005/8/layout/hierarchy1#1"/>
    <dgm:cxn modelId="{07E3ED78-A231-45EE-9A28-F285A0C25D26}" type="presParOf" srcId="{72EB4C18-12A6-4379-88AF-20974A426250}" destId="{E8E2E222-3207-49CB-8951-D230A899723F}" srcOrd="0" destOrd="0" presId="urn:microsoft.com/office/officeart/2005/8/layout/hierarchy1#1"/>
    <dgm:cxn modelId="{3A27270F-169F-4948-9646-8ABFAD510F2E}" type="presParOf" srcId="{72EB4C18-12A6-4379-88AF-20974A426250}" destId="{05FF3A3E-5006-4680-9336-218A1DC923F4}" srcOrd="1" destOrd="0" presId="urn:microsoft.com/office/officeart/2005/8/layout/hierarchy1#1"/>
    <dgm:cxn modelId="{33B82B5A-A0C3-4361-A9B6-14886613593B}" type="presParOf" srcId="{05FF3A3E-5006-4680-9336-218A1DC923F4}" destId="{597DFE6C-347F-4987-AB97-F69FFD2665FF}" srcOrd="0" destOrd="0" presId="urn:microsoft.com/office/officeart/2005/8/layout/hierarchy1#1"/>
    <dgm:cxn modelId="{8F95065A-9F32-4254-9338-AFB2A7C23473}" type="presParOf" srcId="{597DFE6C-347F-4987-AB97-F69FFD2665FF}" destId="{E32020B6-FEE8-4892-9673-44892D6E624B}" srcOrd="0" destOrd="0" presId="urn:microsoft.com/office/officeart/2005/8/layout/hierarchy1#1"/>
    <dgm:cxn modelId="{381B1B3F-C14D-4D08-9C15-EBAB84E0B4A6}" type="presParOf" srcId="{597DFE6C-347F-4987-AB97-F69FFD2665FF}" destId="{797D069C-84C4-4A02-A95A-6954E3404A04}" srcOrd="1" destOrd="0" presId="urn:microsoft.com/office/officeart/2005/8/layout/hierarchy1#1"/>
    <dgm:cxn modelId="{3B17FE5F-A30B-4366-9662-88F0BDF7CA8E}" type="presParOf" srcId="{05FF3A3E-5006-4680-9336-218A1DC923F4}" destId="{280082BD-852D-4678-9E68-DF469599D30B}" srcOrd="1" destOrd="0" presId="urn:microsoft.com/office/officeart/2005/8/layout/hierarchy1#1"/>
    <dgm:cxn modelId="{8F867D2C-71C9-466A-AD23-408DC0C2ACF6}" type="presParOf" srcId="{280082BD-852D-4678-9E68-DF469599D30B}" destId="{FFD64600-03FC-4377-8867-2046C4A73E8A}" srcOrd="0" destOrd="0" presId="urn:microsoft.com/office/officeart/2005/8/layout/hierarchy1#1"/>
    <dgm:cxn modelId="{0FF0ADF5-9A34-479A-8138-819839CC78F8}" type="presParOf" srcId="{280082BD-852D-4678-9E68-DF469599D30B}" destId="{E688B2F9-A6C5-40BB-AE28-BF6E9965FCF7}" srcOrd="1" destOrd="0" presId="urn:microsoft.com/office/officeart/2005/8/layout/hierarchy1#1"/>
    <dgm:cxn modelId="{86D02D2E-AE06-4627-A177-D1AD98A436DB}" type="presParOf" srcId="{E688B2F9-A6C5-40BB-AE28-BF6E9965FCF7}" destId="{75E173B9-4FAD-4667-AE21-619479C34B8D}" srcOrd="0" destOrd="0" presId="urn:microsoft.com/office/officeart/2005/8/layout/hierarchy1#1"/>
    <dgm:cxn modelId="{8FD2D279-4B8F-49D3-8916-F58007998952}" type="presParOf" srcId="{75E173B9-4FAD-4667-AE21-619479C34B8D}" destId="{54126072-8864-41A2-A408-F31C3BB59519}" srcOrd="0" destOrd="0" presId="urn:microsoft.com/office/officeart/2005/8/layout/hierarchy1#1"/>
    <dgm:cxn modelId="{E645D814-14AA-40F7-B2CE-2536A7EBBAD8}" type="presParOf" srcId="{75E173B9-4FAD-4667-AE21-619479C34B8D}" destId="{074365F4-5C42-4246-9FA1-65B755E179EA}" srcOrd="1" destOrd="0" presId="urn:microsoft.com/office/officeart/2005/8/layout/hierarchy1#1"/>
    <dgm:cxn modelId="{B2C7130E-16A1-4860-9BE1-0BB137F3C791}" type="presParOf" srcId="{E688B2F9-A6C5-40BB-AE28-BF6E9965FCF7}" destId="{0E31A13F-C81B-439C-8BAE-76032F1A3D67}" srcOrd="1" destOrd="0" presId="urn:microsoft.com/office/officeart/2005/8/layout/hierarchy1#1"/>
    <dgm:cxn modelId="{5F4BA94E-1401-4DDD-903C-3CEFEF4ADE7F}" type="presParOf" srcId="{72EB4C18-12A6-4379-88AF-20974A426250}" destId="{DEA860B8-B9B0-4D03-87A2-F199B464173C}" srcOrd="2" destOrd="0" presId="urn:microsoft.com/office/officeart/2005/8/layout/hierarchy1#1"/>
    <dgm:cxn modelId="{AA7BDE60-F43E-48B0-8DCE-AA95A3CFA500}" type="presParOf" srcId="{72EB4C18-12A6-4379-88AF-20974A426250}" destId="{D07A53EB-B8DD-4EE8-9BAB-9C037FD48479}" srcOrd="3" destOrd="0" presId="urn:microsoft.com/office/officeart/2005/8/layout/hierarchy1#1"/>
    <dgm:cxn modelId="{94907135-3E9F-428D-B3CF-596F21B01588}" type="presParOf" srcId="{D07A53EB-B8DD-4EE8-9BAB-9C037FD48479}" destId="{835B79F4-9983-48D3-B47A-AFDFADA2841C}" srcOrd="0" destOrd="0" presId="urn:microsoft.com/office/officeart/2005/8/layout/hierarchy1#1"/>
    <dgm:cxn modelId="{1E7E575F-5095-4D00-B2EC-3B52B0D8E96C}" type="presParOf" srcId="{835B79F4-9983-48D3-B47A-AFDFADA2841C}" destId="{4255E520-EF0B-4080-A607-81831896CE03}" srcOrd="0" destOrd="0" presId="urn:microsoft.com/office/officeart/2005/8/layout/hierarchy1#1"/>
    <dgm:cxn modelId="{61DB7598-249E-4D1C-8961-36EF955EF25D}" type="presParOf" srcId="{835B79F4-9983-48D3-B47A-AFDFADA2841C}" destId="{7B1A5D3A-4543-4062-8C64-F36018817F65}" srcOrd="1" destOrd="0" presId="urn:microsoft.com/office/officeart/2005/8/layout/hierarchy1#1"/>
    <dgm:cxn modelId="{040E305F-70CF-45C9-A8D1-C0E1C2346464}" type="presParOf" srcId="{D07A53EB-B8DD-4EE8-9BAB-9C037FD48479}" destId="{79ACD711-CFDA-4D4D-AA28-4B22A553D1D0}" srcOrd="1" destOrd="0" presId="urn:microsoft.com/office/officeart/2005/8/layout/hierarchy1#1"/>
    <dgm:cxn modelId="{6AB46F6E-582A-4B63-939C-00D5369487BA}" type="presParOf" srcId="{79ACD711-CFDA-4D4D-AA28-4B22A553D1D0}" destId="{04FDA082-06E3-4DE8-9890-D7D2D61286B6}" srcOrd="0" destOrd="0" presId="urn:microsoft.com/office/officeart/2005/8/layout/hierarchy1#1"/>
    <dgm:cxn modelId="{44EC4D0A-D86D-4E4B-BE00-AF7DD8629B3C}" type="presParOf" srcId="{79ACD711-CFDA-4D4D-AA28-4B22A553D1D0}" destId="{17C4DCE1-5F03-4E0E-A482-03178888D3DA}" srcOrd="1" destOrd="0" presId="urn:microsoft.com/office/officeart/2005/8/layout/hierarchy1#1"/>
    <dgm:cxn modelId="{A1DDF76A-40C8-426A-B3FB-EEB0F99CEEF6}" type="presParOf" srcId="{17C4DCE1-5F03-4E0E-A482-03178888D3DA}" destId="{342EC40B-B1FE-43A9-A6EB-AF2A2B75CD17}" srcOrd="0" destOrd="0" presId="urn:microsoft.com/office/officeart/2005/8/layout/hierarchy1#1"/>
    <dgm:cxn modelId="{774E5751-BE8D-4B74-999D-51A179B04C74}" type="presParOf" srcId="{342EC40B-B1FE-43A9-A6EB-AF2A2B75CD17}" destId="{96E50D08-AA9F-45B5-9EE1-2BB05550E89F}" srcOrd="0" destOrd="0" presId="urn:microsoft.com/office/officeart/2005/8/layout/hierarchy1#1"/>
    <dgm:cxn modelId="{5AD0E34D-EF49-4806-93F6-02C841D4FE83}" type="presParOf" srcId="{342EC40B-B1FE-43A9-A6EB-AF2A2B75CD17}" destId="{DB0276B7-9E43-4314-AF3D-F2E87B7D7CEB}" srcOrd="1" destOrd="0" presId="urn:microsoft.com/office/officeart/2005/8/layout/hierarchy1#1"/>
    <dgm:cxn modelId="{C33CCCFA-194B-4965-9C6B-E037244CFD89}" type="presParOf" srcId="{17C4DCE1-5F03-4E0E-A482-03178888D3DA}" destId="{AE3926D7-8403-4CF1-91AA-5722BB68B1CB}" srcOrd="1" destOrd="0" presId="urn:microsoft.com/office/officeart/2005/8/layout/hierarchy1#1"/>
    <dgm:cxn modelId="{B8E5DCCB-E9E1-4FFE-B5D0-74886940E1F7}" type="presParOf" srcId="{72EB4C18-12A6-4379-88AF-20974A426250}" destId="{BE4A9DDB-5A29-4BAF-84A0-433FBFBC45D5}" srcOrd="4" destOrd="0" presId="urn:microsoft.com/office/officeart/2005/8/layout/hierarchy1#1"/>
    <dgm:cxn modelId="{2B753DF8-6583-42CD-A43B-5F817509E1D5}" type="presParOf" srcId="{72EB4C18-12A6-4379-88AF-20974A426250}" destId="{23D26832-23A4-426B-9032-62FAA19A0981}" srcOrd="5" destOrd="0" presId="urn:microsoft.com/office/officeart/2005/8/layout/hierarchy1#1"/>
    <dgm:cxn modelId="{E69F0F2A-1551-4A81-959A-D3E199882CD9}" type="presParOf" srcId="{23D26832-23A4-426B-9032-62FAA19A0981}" destId="{2FBA5F3E-94D4-4670-BF52-35621C4AEC2A}" srcOrd="0" destOrd="0" presId="urn:microsoft.com/office/officeart/2005/8/layout/hierarchy1#1"/>
    <dgm:cxn modelId="{05DD5F4D-4DB0-4FD0-B965-8B0CD5154F32}" type="presParOf" srcId="{2FBA5F3E-94D4-4670-BF52-35621C4AEC2A}" destId="{C289C13E-392B-4166-8605-2A4683779028}" srcOrd="0" destOrd="0" presId="urn:microsoft.com/office/officeart/2005/8/layout/hierarchy1#1"/>
    <dgm:cxn modelId="{D285227C-6CA1-4670-B9FA-B2933D6A84F0}" type="presParOf" srcId="{2FBA5F3E-94D4-4670-BF52-35621C4AEC2A}" destId="{20FE8F1D-9C06-492D-B42E-AE819E9ACC26}" srcOrd="1" destOrd="0" presId="urn:microsoft.com/office/officeart/2005/8/layout/hierarchy1#1"/>
    <dgm:cxn modelId="{A02C76AD-4537-4957-AA23-EC4E7B1AB590}" type="presParOf" srcId="{23D26832-23A4-426B-9032-62FAA19A0981}" destId="{8B216BC4-6778-4A38-B410-5D83730C8797}" srcOrd="1" destOrd="0" presId="urn:microsoft.com/office/officeart/2005/8/layout/hierarchy1#1"/>
    <dgm:cxn modelId="{6BF4DADA-47CD-4A2A-9551-26AF885A82CA}" type="presParOf" srcId="{8B216BC4-6778-4A38-B410-5D83730C8797}" destId="{95A673CD-1CB7-44A6-8A45-7E049BB2F756}" srcOrd="0" destOrd="0" presId="urn:microsoft.com/office/officeart/2005/8/layout/hierarchy1#1"/>
    <dgm:cxn modelId="{1AE07DED-D565-4C94-98F9-D9092937838F}" type="presParOf" srcId="{8B216BC4-6778-4A38-B410-5D83730C8797}" destId="{AED6B4B0-90ED-497A-8AAE-09546FFC6AF4}" srcOrd="1" destOrd="0" presId="urn:microsoft.com/office/officeart/2005/8/layout/hierarchy1#1"/>
    <dgm:cxn modelId="{7BA5CBC1-99DF-4F1F-9C53-3B8AC7291B15}" type="presParOf" srcId="{AED6B4B0-90ED-497A-8AAE-09546FFC6AF4}" destId="{DB61E563-431B-4143-98F8-E0462A9076FC}" srcOrd="0" destOrd="0" presId="urn:microsoft.com/office/officeart/2005/8/layout/hierarchy1#1"/>
    <dgm:cxn modelId="{37F74FBE-B482-4CBF-97B5-53DFF4BF4098}" type="presParOf" srcId="{DB61E563-431B-4143-98F8-E0462A9076FC}" destId="{7E93235B-9E55-44D6-B67A-C25AB608A4CD}" srcOrd="0" destOrd="0" presId="urn:microsoft.com/office/officeart/2005/8/layout/hierarchy1#1"/>
    <dgm:cxn modelId="{AA3AF03E-53C4-42C5-8884-FF367338BDF6}" type="presParOf" srcId="{DB61E563-431B-4143-98F8-E0462A9076FC}" destId="{11F2E9B7-99C7-4E87-82DA-608A7B19F175}" srcOrd="1" destOrd="0" presId="urn:microsoft.com/office/officeart/2005/8/layout/hierarchy1#1"/>
    <dgm:cxn modelId="{51E8E382-DA17-4ED7-9255-FD4CED5BF17E}" type="presParOf" srcId="{AED6B4B0-90ED-497A-8AAE-09546FFC6AF4}" destId="{14F5A327-D25F-4248-B2AC-FB21FD601F10}" srcOrd="1" destOrd="0" presId="urn:microsoft.com/office/officeart/2005/8/layout/hierarchy1#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A673CD-1CB7-44A6-8A45-7E049BB2F756}">
      <dsp:nvSpPr>
        <dsp:cNvPr id="0" name=""/>
        <dsp:cNvSpPr/>
      </dsp:nvSpPr>
      <dsp:spPr>
        <a:xfrm>
          <a:off x="4427196" y="1364015"/>
          <a:ext cx="91440" cy="249628"/>
        </a:xfrm>
        <a:custGeom>
          <a:avLst/>
          <a:gdLst/>
          <a:ahLst/>
          <a:cxnLst/>
          <a:rect l="0" t="0" r="0" b="0"/>
          <a:pathLst>
            <a:path>
              <a:moveTo>
                <a:pt x="45720" y="0"/>
              </a:moveTo>
              <a:lnTo>
                <a:pt x="45720" y="2496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4A9DDB-5A29-4BAF-84A0-433FBFBC45D5}">
      <dsp:nvSpPr>
        <dsp:cNvPr id="0" name=""/>
        <dsp:cNvSpPr/>
      </dsp:nvSpPr>
      <dsp:spPr>
        <a:xfrm>
          <a:off x="2695515" y="479323"/>
          <a:ext cx="1777401" cy="249628"/>
        </a:xfrm>
        <a:custGeom>
          <a:avLst/>
          <a:gdLst/>
          <a:ahLst/>
          <a:cxnLst/>
          <a:rect l="0" t="0" r="0" b="0"/>
          <a:pathLst>
            <a:path>
              <a:moveTo>
                <a:pt x="0" y="0"/>
              </a:moveTo>
              <a:lnTo>
                <a:pt x="0" y="170114"/>
              </a:lnTo>
              <a:lnTo>
                <a:pt x="1777401" y="170114"/>
              </a:lnTo>
              <a:lnTo>
                <a:pt x="1777401" y="2496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FDA082-06E3-4DE8-9890-D7D2D61286B6}">
      <dsp:nvSpPr>
        <dsp:cNvPr id="0" name=""/>
        <dsp:cNvSpPr/>
      </dsp:nvSpPr>
      <dsp:spPr>
        <a:xfrm>
          <a:off x="2737721" y="1320750"/>
          <a:ext cx="91440" cy="249628"/>
        </a:xfrm>
        <a:custGeom>
          <a:avLst/>
          <a:gdLst/>
          <a:ahLst/>
          <a:cxnLst/>
          <a:rect l="0" t="0" r="0" b="0"/>
          <a:pathLst>
            <a:path>
              <a:moveTo>
                <a:pt x="45720" y="0"/>
              </a:moveTo>
              <a:lnTo>
                <a:pt x="45720" y="2496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A860B8-B9B0-4D03-87A2-F199B464173C}">
      <dsp:nvSpPr>
        <dsp:cNvPr id="0" name=""/>
        <dsp:cNvSpPr/>
      </dsp:nvSpPr>
      <dsp:spPr>
        <a:xfrm>
          <a:off x="2649795" y="479323"/>
          <a:ext cx="91440" cy="249628"/>
        </a:xfrm>
        <a:custGeom>
          <a:avLst/>
          <a:gdLst/>
          <a:ahLst/>
          <a:cxnLst/>
          <a:rect l="0" t="0" r="0" b="0"/>
          <a:pathLst>
            <a:path>
              <a:moveTo>
                <a:pt x="45720" y="0"/>
              </a:moveTo>
              <a:lnTo>
                <a:pt x="45720" y="170114"/>
              </a:lnTo>
              <a:lnTo>
                <a:pt x="133646" y="170114"/>
              </a:lnTo>
              <a:lnTo>
                <a:pt x="133646" y="2496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D64600-03FC-4377-8867-2046C4A73E8A}">
      <dsp:nvSpPr>
        <dsp:cNvPr id="0" name=""/>
        <dsp:cNvSpPr/>
      </dsp:nvSpPr>
      <dsp:spPr>
        <a:xfrm>
          <a:off x="962783" y="1281943"/>
          <a:ext cx="91440" cy="249628"/>
        </a:xfrm>
        <a:custGeom>
          <a:avLst/>
          <a:gdLst/>
          <a:ahLst/>
          <a:cxnLst/>
          <a:rect l="0" t="0" r="0" b="0"/>
          <a:pathLst>
            <a:path>
              <a:moveTo>
                <a:pt x="45720" y="0"/>
              </a:moveTo>
              <a:lnTo>
                <a:pt x="45720" y="2496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E2E222-3207-49CB-8951-D230A899723F}">
      <dsp:nvSpPr>
        <dsp:cNvPr id="0" name=""/>
        <dsp:cNvSpPr/>
      </dsp:nvSpPr>
      <dsp:spPr>
        <a:xfrm>
          <a:off x="1008503" y="479323"/>
          <a:ext cx="1687011" cy="249628"/>
        </a:xfrm>
        <a:custGeom>
          <a:avLst/>
          <a:gdLst/>
          <a:ahLst/>
          <a:cxnLst/>
          <a:rect l="0" t="0" r="0" b="0"/>
          <a:pathLst>
            <a:path>
              <a:moveTo>
                <a:pt x="1687011" y="0"/>
              </a:moveTo>
              <a:lnTo>
                <a:pt x="1687011" y="170114"/>
              </a:lnTo>
              <a:lnTo>
                <a:pt x="0" y="170114"/>
              </a:lnTo>
              <a:lnTo>
                <a:pt x="0" y="2496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62C035-684D-4C87-A089-2176010D2CFC}">
      <dsp:nvSpPr>
        <dsp:cNvPr id="0" name=""/>
        <dsp:cNvSpPr/>
      </dsp:nvSpPr>
      <dsp:spPr>
        <a:xfrm>
          <a:off x="2071828" y="1454"/>
          <a:ext cx="1247372" cy="477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914A05-A140-4FA0-966A-0C20E2838DA3}">
      <dsp:nvSpPr>
        <dsp:cNvPr id="0" name=""/>
        <dsp:cNvSpPr/>
      </dsp:nvSpPr>
      <dsp:spPr>
        <a:xfrm>
          <a:off x="2167198" y="92054"/>
          <a:ext cx="1247372" cy="477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Lactobacillus </a:t>
          </a:r>
          <a:r>
            <a:rPr lang="en-US" sz="1200" kern="1200">
              <a:latin typeface="Times New Roman" panose="02020603050405020304" pitchFamily="18" charset="0"/>
              <a:cs typeface="Times New Roman" panose="02020603050405020304" pitchFamily="18" charset="0"/>
            </a:rPr>
            <a:t>species </a:t>
          </a:r>
          <a:endParaRPr lang="en-IN" sz="1200" kern="1200">
            <a:latin typeface="Times New Roman" panose="02020603050405020304" pitchFamily="18" charset="0"/>
            <a:cs typeface="Times New Roman" panose="02020603050405020304" pitchFamily="18" charset="0"/>
          </a:endParaRPr>
        </a:p>
      </dsp:txBody>
      <dsp:txXfrm>
        <a:off x="2181194" y="106050"/>
        <a:ext cx="1219380" cy="449877"/>
      </dsp:txXfrm>
    </dsp:sp>
    <dsp:sp modelId="{E32020B6-FEE8-4892-9673-44892D6E624B}">
      <dsp:nvSpPr>
        <dsp:cNvPr id="0" name=""/>
        <dsp:cNvSpPr/>
      </dsp:nvSpPr>
      <dsp:spPr>
        <a:xfrm>
          <a:off x="201098" y="728952"/>
          <a:ext cx="1614811" cy="5529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7D069C-84C4-4A02-A95A-6954E3404A04}">
      <dsp:nvSpPr>
        <dsp:cNvPr id="0" name=""/>
        <dsp:cNvSpPr/>
      </dsp:nvSpPr>
      <dsp:spPr>
        <a:xfrm>
          <a:off x="296467" y="819552"/>
          <a:ext cx="1614811" cy="55299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Obligatory homofermentative</a:t>
          </a:r>
          <a:endParaRPr lang="en-IN" sz="1200" kern="1200">
            <a:latin typeface="Times New Roman" panose="02020603050405020304" pitchFamily="18" charset="0"/>
            <a:cs typeface="Times New Roman" panose="02020603050405020304" pitchFamily="18" charset="0"/>
          </a:endParaRPr>
        </a:p>
      </dsp:txBody>
      <dsp:txXfrm>
        <a:off x="312664" y="835749"/>
        <a:ext cx="1582417" cy="520597"/>
      </dsp:txXfrm>
    </dsp:sp>
    <dsp:sp modelId="{54126072-8864-41A2-A408-F31C3BB59519}">
      <dsp:nvSpPr>
        <dsp:cNvPr id="0" name=""/>
        <dsp:cNvSpPr/>
      </dsp:nvSpPr>
      <dsp:spPr>
        <a:xfrm>
          <a:off x="278716" y="1531572"/>
          <a:ext cx="1459575" cy="15767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4365F4-5C42-4246-9FA1-65B755E179EA}">
      <dsp:nvSpPr>
        <dsp:cNvPr id="0" name=""/>
        <dsp:cNvSpPr/>
      </dsp:nvSpPr>
      <dsp:spPr>
        <a:xfrm>
          <a:off x="374085" y="1622172"/>
          <a:ext cx="1459575" cy="157677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acidophilus</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 L. acidophilus </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crispatus </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amylovarus </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gallinarum </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gasseri </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johnsonii  </a:t>
          </a:r>
        </a:p>
      </dsp:txBody>
      <dsp:txXfrm>
        <a:off x="416834" y="1664921"/>
        <a:ext cx="1374077" cy="1491275"/>
      </dsp:txXfrm>
    </dsp:sp>
    <dsp:sp modelId="{4255E520-EF0B-4080-A607-81831896CE03}">
      <dsp:nvSpPr>
        <dsp:cNvPr id="0" name=""/>
        <dsp:cNvSpPr/>
      </dsp:nvSpPr>
      <dsp:spPr>
        <a:xfrm>
          <a:off x="2033225" y="728952"/>
          <a:ext cx="1500431" cy="5917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B1A5D3A-4543-4062-8C64-F36018817F65}">
      <dsp:nvSpPr>
        <dsp:cNvPr id="0" name=""/>
        <dsp:cNvSpPr/>
      </dsp:nvSpPr>
      <dsp:spPr>
        <a:xfrm>
          <a:off x="2128595" y="819552"/>
          <a:ext cx="1500431" cy="5917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Facultatively heterofermentative</a:t>
          </a:r>
          <a:endParaRPr lang="en-IN" sz="1200" kern="1200">
            <a:latin typeface="Times New Roman" panose="02020603050405020304" pitchFamily="18" charset="0"/>
            <a:cs typeface="Times New Roman" panose="02020603050405020304" pitchFamily="18" charset="0"/>
          </a:endParaRPr>
        </a:p>
      </dsp:txBody>
      <dsp:txXfrm>
        <a:off x="2145928" y="836885"/>
        <a:ext cx="1465765" cy="557132"/>
      </dsp:txXfrm>
    </dsp:sp>
    <dsp:sp modelId="{96E50D08-AA9F-45B5-9EE1-2BB05550E89F}">
      <dsp:nvSpPr>
        <dsp:cNvPr id="0" name=""/>
        <dsp:cNvSpPr/>
      </dsp:nvSpPr>
      <dsp:spPr>
        <a:xfrm>
          <a:off x="1929030" y="1570378"/>
          <a:ext cx="1708823" cy="14878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0276B7-9E43-4314-AF3D-F2E87B7D7CEB}">
      <dsp:nvSpPr>
        <dsp:cNvPr id="0" name=""/>
        <dsp:cNvSpPr/>
      </dsp:nvSpPr>
      <dsp:spPr>
        <a:xfrm>
          <a:off x="2024399" y="1660979"/>
          <a:ext cx="1708823" cy="148789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L. casei </a:t>
          </a:r>
          <a:endParaRPr lang="en-IN" sz="1200"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L. paracasei </a:t>
          </a:r>
          <a:r>
            <a:rPr lang="en-US" sz="1200" kern="1200">
              <a:latin typeface="Times New Roman" panose="02020603050405020304" pitchFamily="18" charset="0"/>
              <a:cs typeface="Times New Roman" panose="02020603050405020304" pitchFamily="18" charset="0"/>
            </a:rPr>
            <a:t>ssp. </a:t>
          </a:r>
          <a:endParaRPr lang="en-IN" sz="1200"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Paracasei </a:t>
          </a:r>
          <a:endParaRPr lang="en-IN" sz="1200"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L. paracasei </a:t>
          </a:r>
          <a:r>
            <a:rPr lang="en-US" sz="1200" kern="1200">
              <a:latin typeface="Times New Roman" panose="02020603050405020304" pitchFamily="18" charset="0"/>
              <a:cs typeface="Times New Roman" panose="02020603050405020304" pitchFamily="18" charset="0"/>
            </a:rPr>
            <a:t>ssp. </a:t>
          </a:r>
          <a:r>
            <a:rPr lang="en-US" sz="1200" i="1" kern="1200">
              <a:latin typeface="Times New Roman" panose="02020603050405020304" pitchFamily="18" charset="0"/>
              <a:cs typeface="Times New Roman" panose="02020603050405020304" pitchFamily="18" charset="0"/>
            </a:rPr>
            <a:t>tolerans </a:t>
          </a:r>
          <a:endParaRPr lang="en-IN" sz="1200"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L. plantarum </a:t>
          </a:r>
          <a:endParaRPr lang="en-IN" sz="1200"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L. rhamnosus</a:t>
          </a:r>
          <a:r>
            <a:rPr lang="en-US" sz="1200" kern="1200">
              <a:latin typeface="Times New Roman" panose="02020603050405020304" pitchFamily="18" charset="0"/>
              <a:cs typeface="Times New Roman" panose="02020603050405020304" pitchFamily="18" charset="0"/>
            </a:rPr>
            <a:t> </a:t>
          </a:r>
          <a:r>
            <a:rPr lang="en-IN" sz="1200" kern="1200">
              <a:latin typeface="Times New Roman" panose="02020603050405020304" pitchFamily="18" charset="0"/>
              <a:cs typeface="Times New Roman" panose="02020603050405020304" pitchFamily="18" charset="0"/>
            </a:rPr>
            <a:t>  </a:t>
          </a:r>
        </a:p>
      </dsp:txBody>
      <dsp:txXfrm>
        <a:off x="2067978" y="1704558"/>
        <a:ext cx="1621665" cy="1400736"/>
      </dsp:txXfrm>
    </dsp:sp>
    <dsp:sp modelId="{C289C13E-392B-4166-8605-2A4683779028}">
      <dsp:nvSpPr>
        <dsp:cNvPr id="0" name=""/>
        <dsp:cNvSpPr/>
      </dsp:nvSpPr>
      <dsp:spPr>
        <a:xfrm>
          <a:off x="3755900" y="728952"/>
          <a:ext cx="1434032" cy="635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FE8F1D-9C06-492D-B42E-AE819E9ACC26}">
      <dsp:nvSpPr>
        <dsp:cNvPr id="0" name=""/>
        <dsp:cNvSpPr/>
      </dsp:nvSpPr>
      <dsp:spPr>
        <a:xfrm>
          <a:off x="3851269" y="819552"/>
          <a:ext cx="1434032" cy="6350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Obligatory heterofermentative</a:t>
          </a:r>
          <a:endParaRPr lang="en-IN" sz="1200" kern="1200">
            <a:latin typeface="Times New Roman" panose="02020603050405020304" pitchFamily="18" charset="0"/>
            <a:cs typeface="Times New Roman" panose="02020603050405020304" pitchFamily="18" charset="0"/>
          </a:endParaRPr>
        </a:p>
      </dsp:txBody>
      <dsp:txXfrm>
        <a:off x="3869869" y="838152"/>
        <a:ext cx="1396832" cy="597862"/>
      </dsp:txXfrm>
    </dsp:sp>
    <dsp:sp modelId="{7E93235B-9E55-44D6-B67A-C25AB608A4CD}">
      <dsp:nvSpPr>
        <dsp:cNvPr id="0" name=""/>
        <dsp:cNvSpPr/>
      </dsp:nvSpPr>
      <dsp:spPr>
        <a:xfrm>
          <a:off x="3828591" y="1613643"/>
          <a:ext cx="1288649" cy="5450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F2E9B7-99C7-4E87-82DA-608A7B19F175}">
      <dsp:nvSpPr>
        <dsp:cNvPr id="0" name=""/>
        <dsp:cNvSpPr/>
      </dsp:nvSpPr>
      <dsp:spPr>
        <a:xfrm>
          <a:off x="3923961" y="1704244"/>
          <a:ext cx="1288649" cy="54503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L. fermentum </a:t>
          </a:r>
        </a:p>
        <a:p>
          <a:pPr marL="0" lvl="0" indent="0" algn="l"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L. reuteri</a:t>
          </a:r>
          <a:r>
            <a:rPr lang="en-US" sz="1200" kern="1200">
              <a:latin typeface="Times New Roman" panose="02020603050405020304" pitchFamily="18" charset="0"/>
              <a:cs typeface="Times New Roman" panose="02020603050405020304" pitchFamily="18" charset="0"/>
            </a:rPr>
            <a:t> </a:t>
          </a:r>
          <a:endParaRPr lang="en-IN" sz="1200" kern="1200">
            <a:latin typeface="Times New Roman" panose="02020603050405020304" pitchFamily="18" charset="0"/>
            <a:cs typeface="Times New Roman" panose="02020603050405020304" pitchFamily="18" charset="0"/>
          </a:endParaRPr>
        </a:p>
      </dsp:txBody>
      <dsp:txXfrm>
        <a:off x="3939925" y="1720208"/>
        <a:ext cx="1256721" cy="5131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8" Type="http://schemas.microsoft.com/office/2011/relationships/webextension" Target="webextension8.xml"/><Relationship Id="rId3" Type="http://schemas.microsoft.com/office/2011/relationships/webextension" Target="webextension3.xml"/><Relationship Id="rId7" Type="http://schemas.microsoft.com/office/2011/relationships/webextension" Target="webextension7.xml"/><Relationship Id="rId12" Type="http://schemas.microsoft.com/office/2011/relationships/webextension" Target="webextension12.xml"/><Relationship Id="rId2" Type="http://schemas.microsoft.com/office/2011/relationships/webextension" Target="webextension2.xml"/><Relationship Id="rId1" Type="http://schemas.microsoft.com/office/2011/relationships/webextension" Target="webextension1.xml"/><Relationship Id="rId6" Type="http://schemas.microsoft.com/office/2011/relationships/webextension" Target="webextension6.xml"/><Relationship Id="rId11" Type="http://schemas.microsoft.com/office/2011/relationships/webextension" Target="webextension11.xml"/><Relationship Id="rId5" Type="http://schemas.microsoft.com/office/2011/relationships/webextension" Target="webextension5.xml"/><Relationship Id="rId10" Type="http://schemas.microsoft.com/office/2011/relationships/webextension" Target="webextension10.xml"/><Relationship Id="rId4" Type="http://schemas.microsoft.com/office/2011/relationships/webextension" Target="webextension4.xml"/><Relationship Id="rId9" Type="http://schemas.microsoft.com/office/2011/relationships/webextension" Target="webextension9.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123" row="5">
    <wetp:webextensionref xmlns:r="http://schemas.openxmlformats.org/officeDocument/2006/relationships" r:id="rId2"/>
  </wetp:taskpane>
  <wetp:taskpane dockstate="right" visibility="0" width="350" row="3">
    <wetp:webextensionref xmlns:r="http://schemas.openxmlformats.org/officeDocument/2006/relationships" r:id="rId3"/>
  </wetp:taskpane>
  <wetp:taskpane dockstate="right" visibility="0" width="350" row="8">
    <wetp:webextensionref xmlns:r="http://schemas.openxmlformats.org/officeDocument/2006/relationships" r:id="rId4"/>
  </wetp:taskpane>
  <wetp:taskpane dockstate="right" visibility="0" width="181" row="9">
    <wetp:webextensionref xmlns:r="http://schemas.openxmlformats.org/officeDocument/2006/relationships" r:id="rId5"/>
  </wetp:taskpane>
  <wetp:taskpane dockstate="right" visibility="0" width="350" row="10">
    <wetp:webextensionref xmlns:r="http://schemas.openxmlformats.org/officeDocument/2006/relationships" r:id="rId6"/>
  </wetp:taskpane>
  <wetp:taskpane dockstate="right" visibility="0" width="350" row="3">
    <wetp:webextensionref xmlns:r="http://schemas.openxmlformats.org/officeDocument/2006/relationships" r:id="rId7"/>
  </wetp:taskpane>
  <wetp:taskpane dockstate="right" visibility="0" width="350" row="15">
    <wetp:webextensionref xmlns:r="http://schemas.openxmlformats.org/officeDocument/2006/relationships" r:id="rId8"/>
  </wetp:taskpane>
  <wetp:taskpane dockstate="right" visibility="0" width="350" row="4">
    <wetp:webextensionref xmlns:r="http://schemas.openxmlformats.org/officeDocument/2006/relationships" r:id="rId9"/>
  </wetp:taskpane>
  <wetp:taskpane dockstate="right" visibility="0" width="254" row="3">
    <wetp:webextensionref xmlns:r="http://schemas.openxmlformats.org/officeDocument/2006/relationships" r:id="rId10"/>
  </wetp:taskpane>
  <wetp:taskpane dockstate="right" visibility="0" width="350" row="3">
    <wetp:webextensionref xmlns:r="http://schemas.openxmlformats.org/officeDocument/2006/relationships" r:id="rId11"/>
  </wetp:taskpane>
  <wetp:taskpane dockstate="right" visibility="0" width="350" row="4">
    <wetp:webextensionref xmlns:r="http://schemas.openxmlformats.org/officeDocument/2006/relationships" r:id="rId12"/>
  </wetp:taskpane>
</wetp:taskpanes>
</file>

<file path=word/webextensions/webextension1.xml><?xml version="1.0" encoding="utf-8"?>
<we:webextension xmlns:we="http://schemas.microsoft.com/office/webextensions/webextension/2010/11" id="{F527E484-07AD-4D91-8C1F-66DA6B2675AC}">
  <we:reference id="wa104379673" version="1.1.0.0" store="en-US" storeType="omex"/>
  <we:alternateReferences>
    <we:reference id="wa104379673" version="1.1.0.0" store="wa104379673" storeType="omex"/>
  </we:alternateReferences>
  <we:properties/>
  <we:bindings/>
  <we:snapshot xmlns:r="http://schemas.openxmlformats.org/officeDocument/2006/relationships"/>
</we:webextension>
</file>

<file path=word/webextensions/webextension10.xml><?xml version="1.0" encoding="utf-8"?>
<we:webextension xmlns:we="http://schemas.microsoft.com/office/webextensions/webextension/2010/11" id="{C56D8FC0-4FEC-40BD-9BD7-C743B53639D9}">
  <we:reference id="wa200000199" version="8.1.0.0" store="en-US" storeType="omex"/>
  <we:alternateReferences>
    <we:reference id="wa200000199" version="8.1.0.0" store="WA200000199" storeType="omex"/>
  </we:alternateReferences>
  <we:properties/>
  <we:bindings/>
  <we:snapshot xmlns:r="http://schemas.openxmlformats.org/officeDocument/2006/relationships"/>
</we:webextension>
</file>

<file path=word/webextensions/webextension11.xml><?xml version="1.0" encoding="utf-8"?>
<we:webextension xmlns:we="http://schemas.microsoft.com/office/webextensions/webextension/2010/11" id="{DA8FE787-E117-44C4-B63B-6BB58F44B20E}">
  <we:reference id="wa104192851" version="1.0.0.0" store="en-US" storeType="omex"/>
  <we:alternateReferences>
    <we:reference id="WA104192851" version="1.0.0.0" store="WA104192851" storeType="omex"/>
  </we:alternateReferences>
  <we:properties/>
  <we:bindings/>
  <we:snapshot xmlns:r="http://schemas.openxmlformats.org/officeDocument/2006/relationships"/>
</we:webextension>
</file>

<file path=word/webextensions/webextension12.xml><?xml version="1.0" encoding="utf-8"?>
<we:webextension xmlns:we="http://schemas.microsoft.com/office/webextensions/webextension/2010/11" id="{9A954682-5A6E-40EF-A93C-D5EE097AD613}">
  <we:reference id="wa104381905" version="2.0.1.0" store="en-US" storeType="omex"/>
  <we:alternateReferences>
    <we:reference id="wa104381905" version="2.0.1.0" store="WA104381905"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7F7D5C6-22D9-423E-BF76-4E2992484833}">
  <we:reference id="wa104382081" version="1.46.0.0" store="en-US" storeType="omex"/>
  <we:alternateReferences>
    <we:reference id="WA104382081" version="1.46.0.0" store="" storeType="omex"/>
  </we:alternateReferences>
  <we:properties>
    <we:property name="MENDELEY_CITATIONS" value="[{&quot;citationID&quot;:&quot;MENDELEY_CITATION_3e8d7040-b2d3-42dd-911e-25976bce3119&quot;,&quot;properties&quot;:{&quot;noteIndex&quot;:0},&quot;isEdited&quot;:false,&quot;manualOverride&quot;:{&quot;isManuallyOverridden&quot;:true,&quot;citeprocText&quot;:&quot;(Maftoonazad &amp;#38; Ramaswamy, 2019)&quot;,&quot;manualOverrideText&quot;:&quot;(Maftoonazad &amp; Ramaswamy, 2019; Goudarz et al., 2023&quot;},&quot;citationTag&quot;:&quot;MENDELEY_CITATION_v3_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&quot;,&quot;citationItems&quot;:[{&quot;id&quot;:&quot;15c6c375-09d1-3d1b-a6eb-ed97cb27239f&quot;,&quot;itemData&quot;:{&quot;type&quot;:&quot;article-journal&quot;,&quot;id&quot;:&quot;15c6c375-09d1-3d1b-a6eb-ed97cb27239f&quot;,&quot;title&quot;:&quot;Design and testing of an electrospun nanofiber mat as a pH biosensor and monitor the pH associated quality in fresh date fruit (Rutab)&quot;,&quot;author&quot;:[{&quot;family&quot;:&quot;Maftoonazad&quot;,&quot;given&quot;:&quot;Neda&quot;,&quot;parse-names&quot;:false,&quot;dropping-particle&quot;:&quot;&quot;,&quot;non-dropping-particle&quot;:&quot;&quot;},{&quot;family&quot;:&quot;Ramaswamy&quot;,&quot;given&quot;:&quot;Hosahalli&quot;,&quot;parse-names&quot;:false,&quot;dropping-particle&quot;:&quot;&quot;,&quot;non-dropping-particle&quot;:&quot;&quot;}],&quot;container-title&quot;:&quot;Polymer Testing&quot;,&quot;container-title-short&quot;:&quot;Polym Test&quot;,&quot;DOI&quot;:&quot;10.1016/j.polymertesting.2019.01.011&quot;,&quot;ISSN&quot;:&quot;01429418&quot;,&quot;issued&quot;:{&quot;date-parts&quot;:[[2019,5,1]]},&quot;page&quot;:&quot;76-84&quot;,&quot;abstract&quot;:&quot;An electrospun nanofiber mat was prepared based on polyvinyl acohol and a natural pigment from red cabbage (Brassica oleracea L.) extract (RCE) to function as a pH biosensor. Morphological properties of the nanofiber mats were characterized using scanning electron microscopy and the chemical structure was studied using FTIR. The pH sensitivity of the nanofibers was tested using a series of different pH solutions and the color spectrum of nanofiber mats at different pH values were calibrated using a colorimeter. Results showed that the designed mat could be used as a pH sensor and indicate pH values in the 2–12 range. The mat colors were reversible according to the changing pH value and hence transient changes could be monitored. Trials on fresh date fruit (Rutab) demonstrated that the pH mat responses correlated well with pH changes in packaged dates, thus enabling real-time monitoring of pH-linked changes within the package.&quot;,&quot;publisher&quot;:&quot;Elsevier Ltd&quot;,&quot;volume&quot;:&quot;75&quot;},&quot;isTemporary&quot;:false}]},{&quot;citationID&quot;:&quot;MENDELEY_CITATION_9da080e0-41a1-4928-b07e-5d4ef436231f&quot;,&quot;properties&quot;:{&quot;noteIndex&quot;:0},&quot;isEdited&quot;:false,&quot;manualOverride&quot;:{&quot;isManuallyOverridden&quot;:true,&quot;citeprocText&quot;:&quot;(Duan et al., 2021; Maftoonazad &amp;#38; Ramaswamy, 2019)&quot;,&quot;manualOverrideText&quot;:&quot; Duan et al., 2021; Maftoonazad &amp; Ramaswamy, 2019)&quot;},&quot;citationTag&quot;:&quot;MENDELEY_CITATION_v3_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&quot;,&quot;citationItems&quot;:[{&quot;id&quot;:&quot;52dbe728-8eac-3df1-b2fe-394f3d9d4f4f&quot;,&quot;itemData&quot;:{&quot;type&quot;:&quot;article-journal&quot;,&quot;id&quot;:&quot;52dbe728-8eac-3df1-b2fe-394f3d9d4f4f&quot;,&quot;title&quot;:&quot;Development and characterization of electrospun nanofibers based on pullulan/chitin nanofibers containing curcumin and anthocyanins for active-intelligent food packaging&quot;,&quot;author&quot;:[{&quot;family&quot;:&quot;Duan&quot;,&quot;given&quot;:&quot;Mengxia&quot;,&quot;parse-names&quot;:false,&quot;dropping-particle&quot;:&quot;&quot;,&quot;non-dropping-particle&quot;:&quot;&quot;},{&quot;family&quot;:&quot;Yu&quot;,&quot;given&quot;:&quot;Shan&quot;,&quot;parse-names&quot;:false,&quot;dropping-particle&quot;:&quot;&quot;,&quot;non-dropping-particle&quot;:&quot;&quot;},{&quot;family&quot;:&quot;Sun&quot;,&quot;given&quot;:&quot;Jishuai&quot;,&quot;parse-names&quot;:false,&quot;dropping-particle&quot;:&quot;&quot;,&quot;non-dropping-particle&quot;:&quot;&quot;},{&quot;family&quot;:&quot;Jiang&quot;,&quot;given&quot;:&quot;Haixin&quot;,&quot;parse-names&quot;:false,&quot;dropping-particle&quot;:&quot;&quot;,&quot;non-dropping-particle&quot;:&quot;&quot;},{&quot;family&quot;:&quot;Zhao&quot;,&quot;given&quot;:&quot;Jianbo&quot;,&quot;parse-names&quot;:false,&quot;dropping-particle&quot;:&quot;&quot;,&quot;non-dropping-particle&quot;:&quot;&quot;},{&quot;family&quot;:&quot;Tong&quot;,&quot;given&quot;:&quot;Cailing&quot;,&quot;parse-names&quot;:false,&quot;dropping-particle&quot;:&quot;&quot;,&quot;non-dropping-particle&quot;:&quot;&quot;},{&quot;family&quot;:&quot;Hu&quot;,&quot;given&quot;:&quot;Yaqin&quot;,&quot;parse-names&quot;:false,&quot;dropping-particle&quot;:&quot;&quot;,&quot;non-dropping-particle&quot;:&quot;&quot;},{&quot;family&quot;:&quot;Pang&quot;,&quot;given&quot;:&quot;Jie&quot;,&quot;parse-names&quot;:false,&quot;dropping-particle&quot;:&quot;&quot;,&quot;non-dropping-particle&quot;:&quot;&quot;},{&quot;family&quot;:&quot;Wu&quot;,&quot;given&quot;:&quot;Chunhua&quot;,&quot;parse-names&quot;:false,&quot;dropping-particle&quot;:&quot;&quot;,&quot;non-dropping-particle&quot;:&quot;&quot;}],&quot;container-title&quot;:&quot;International Journal of Biological Macromolecules&quot;,&quot;container-title-short&quot;:&quot;Int J Biol Macromol&quot;,&quot;DOI&quot;:&quot;10.1016/j.ijbiomac.2021.07.140&quot;,&quot;ISSN&quot;:&quot;18790003&quot;,&quot;PMID&quot;:&quot;34303741&quot;,&quot;issued&quot;:{&quot;date-parts&quot;:[[2021,9,30]]},&quot;page&quot;:&quot;332-340&quot;,&quot;abstract&quot;:&quot;An electrospun nanofiber based on pullulan/chitin nanofibers (PCN) containing curcumin (CR) and anthocyanins (ATH) was developed using an electrospinning technique for active-intelligent food packaging. The results of scanning electron microscopy and attenuated total reflection Fourier transform infrared spectroscopy indicated that CR and ATH were successfully immobilized on the film-forming substrate based on PCN. The physical and chemical properties of nanofibers with no colorant, a single colorant, and double colorants were compared. The nanofiber containing ATH and CR (PCN/CR/ATH) had stronger antioxidant and antimicrobial activities than those of nanofibers containing CR (PCN/CR) or ATH (PCN/ATH). With respect to pH sensitivity, the color of the PCN/CR nanofibers did not change obviously, but the color of the PCN/ATH and PCN/CR/ATH nanofibers changed significantly with the change in pH. Furthermore, the PCN/CR/ATH nanofibers clearly changed color with the progressive spoilage of Plectorhynchus cinctus at room temperature. Therefore, the electrospun PCN/CR/ATH nanofiber have great application potential in active–intelligent food packaging.&quot;,&quot;publisher&quot;:&quot;Elsevier B.V.&quot;,&quot;volume&quot;:&quot;187&quot;},&quot;isTemporary&quot;:false},{&quot;id&quot;:&quot;15c6c375-09d1-3d1b-a6eb-ed97cb27239f&quot;,&quot;itemData&quot;:{&quot;type&quot;:&quot;article-journal&quot;,&quot;id&quot;:&quot;15c6c375-09d1-3d1b-a6eb-ed97cb27239f&quot;,&quot;title&quot;:&quot;Design and testing of an electrospun nanofiber mat as a pH biosensor and monitor the pH associated quality in fresh date fruit (Rutab)&quot;,&quot;author&quot;:[{&quot;family&quot;:&quot;Maftoonazad&quot;,&quot;given&quot;:&quot;Neda&quot;,&quot;parse-names&quot;:false,&quot;dropping-particle&quot;:&quot;&quot;,&quot;non-dropping-particle&quot;:&quot;&quot;},{&quot;family&quot;:&quot;Ramaswamy&quot;,&quot;given&quot;:&quot;Hosahalli&quot;,&quot;parse-names&quot;:false,&quot;dropping-particle&quot;:&quot;&quot;,&quot;non-dropping-particle&quot;:&quot;&quot;}],&quot;container-title&quot;:&quot;Polymer Testing&quot;,&quot;container-title-short&quot;:&quot;Polym Test&quot;,&quot;DOI&quot;:&quot;10.1016/j.polymertesting.2019.01.011&quot;,&quot;ISSN&quot;:&quot;01429418&quot;,&quot;issued&quot;:{&quot;date-parts&quot;:[[2019,5,1]]},&quot;page&quot;:&quot;76-84&quot;,&quot;abstract&quot;:&quot;An electrospun nanofiber mat was prepared based on polyvinyl acohol and a natural pigment from red cabbage (Brassica oleracea L.) extract (RCE) to function as a pH biosensor. Morphological properties of the nanofiber mats were characterized using scanning electron microscopy and the chemical structure was studied using FTIR. The pH sensitivity of the nanofibers was tested using a series of different pH solutions and the color spectrum of nanofiber mats at different pH values were calibrated using a colorimeter. Results showed that the designed mat could be used as a pH sensor and indicate pH values in the 2–12 range. The mat colors were reversible according to the changing pH value and hence transient changes could be monitored. Trials on fresh date fruit (Rutab) demonstrated that the pH mat responses correlated well with pH changes in packaged dates, thus enabling real-time monitoring of pH-linked changes within the package.&quot;,&quot;publisher&quot;:&quot;Elsevier Ltd&quot;,&quot;volume&quot;:&quot;75&quot;},&quot;isTemporary&quot;:false}]},{&quot;citationID&quot;:&quot;MENDELEY_CITATION_c58903d3-db12-460e-a9ac-779a5bd2dfbd&quot;,&quot;properties&quot;:{&quot;noteIndex&quot;:0},&quot;isEdited&quot;:false,&quot;manualOverride&quot;:{&quot;isManuallyOverridden&quot;:true,&quot;citeprocText&quot;:&quot;(Singh et al., 2021)&quot;,&quot;manualOverrideText&quot;:&quot;Singh et al., 2021)&quot;},&quot;citationTag&quot;:&quot;MENDELEY_CITATION_v3_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&quot;,&quot;citationItems&quot;:[{&quot;id&quot;:&quot;08aae942-77d5-3ffc-bdc3-321de5abbd56&quot;,&quot;itemData&quot;:{&quot;type&quot;:&quot;article-journal&quot;,&quot;id&quot;:&quot;08aae942-77d5-3ffc-bdc3-321de5abbd56&quot;,&quot;title&quot;:&quot;Studying the Properties of Edible Packaging for Milk Cake and its Effect during Refrigerated Storage&quot;,&quot;author&quot;:[{&quot;family&quot;:&quot;Singh&quot;,&quot;given&quot;:&quot;Navdeep&quot;,&quot;parse-names&quot;:false,&quot;dropping-particle&quot;:&quot;&quot;,&quot;non-dropping-particle&quot;:&quot;&quot;},{&quot;family&quot;:&quot;Chawla&quot;,&quot;given&quot;:&quot;Rekha&quot;,&quot;parse-names&quot;:false,&quot;dropping-particle&quot;:&quot;&quot;,&quot;non-dropping-particle&quot;:&quot;&quot;},{&quot;family&quot;:&quot;Sivakumar&quot;,&quot;given&quot;:&quot;S.&quot;,&quot;parse-names&quot;:false,&quot;dropping-particle&quot;:&quot;&quot;,&quot;non-dropping-particle&quot;:&quot;&quot;}],&quot;container-title&quot;:&quot;Journal of Packaging Technology and Research&quot;,&quot;container-title-short&quot;:&quot;J Packag Technol Res&quot;,&quot;DOI&quot;:&quot;10.1007/s41783-020-00102-z&quot;,&quot;ISSN&quot;:&quot;2520-1034&quot;,&quot;issued&quot;:{&quot;date-parts&quot;:[[2021,3]]},&quot;page&quot;:&quot;29-40&quot;,&quot;abstract&quot;:&quot;The current investigation was undertaken to evaluate the storage stability of milk cake wrapped in corn starch-based edible films and to check the role of the developed film as a protective sheath for milk cake or as a favorable substrate for microbial growth during refrigerated storage (4 ± 2&amp;nbsp;°C). During study, it was observed that the developed films were of low thickness with homogenous dense structure. Also, films showed significant (p ≤ 0.05) increase in water vapor transmission rate, thickness, moisture content, water activity and solubility whereas mechanical properties and transmittance value declined significantly (p ≤ 0.05) during storage. The sensory properties of wrapped and control samples remained almost similar, indicating acceptability of edible film. A significant (p ≤ 0.05) decrease in the moisture, pH, ash content and a simultaneous increase in hydroxyl methyl furfural, tyrosine, free fatty acids, and peroxide value of the milk cake was recorded. Standard plate count, and yeast and mold count increased during storage, however remained under permissible limits approved by FSSAI. The study was terminated due to coliform growth detected only on last day of storage; however, edible film did not lessen the expected storage stability of the milk cake. Thus, the study proved that corn starch-based edible films can be successfully employed for packaging of dairy products.&quot;,&quot;publisher&quot;:&quot;Springer Science and Business Media LLC&quot;,&quot;issue&quot;:&quot;1&quot;,&quot;volume&quot;:&quot;5&quot;},&quot;isTemporary&quot;:false}]},{&quot;citationID&quot;:&quot;MENDELEY_CITATION_2f8b1e8a-b17b-4600-8a9b-1d16cba702b3&quot;,&quot;properties&quot;:{&quot;noteIndex&quot;:0},&quot;isEdited&quot;:false,&quot;manualOverride&quot;:{&quot;isManuallyOverridden&quot;:false,&quot;citeprocText&quot;:&quot;(Silva et al., 2019)&quot;,&quot;manualOverrideText&quot;:&quot;&quot;},&quot;citationTag&quot;:&quot;MENDELEY_CITATION_v3_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&quot;,&quot;citationItems&quot;:[{&quot;id&quot;:&quot;ace372e5-fa15-399e-814e-69dc259901df&quot;,&quot;itemData&quot;:{&quot;type&quot;:&quot;article-journal&quot;,&quot;id&quot;:&quot;ace372e5-fa15-399e-814e-69dc259901df&quot;,&quot;title&quot;:&quot;Innovative pH sensors developed from ultrafine fibers containing açaí (Euterpe oleracea) extract&quot;,&quot;author&quot;:[{&quot;family&quot;:&quot;Silva&quot;,&quot;given&quot;:&quot;Cleber Klasener&quot;,&quot;parse-names&quot;:false,&quot;dropping-particle&quot;:&quot;da&quot;,&quot;non-dropping-particle&quot;:&quot;&quot;},{&quot;family&quot;:&quot;Mastrantonio&quot;,&quot;given&quot;:&quot;Duna Joanol da Silveira&quot;,&quot;parse-names&quot;:false,&quot;dropping-particle&quot;:&quot;&quot;,&quot;non-dropping-particle&quot;:&quot;&quot;},{&quot;family&quot;:&quot;Costa&quot;,&quot;given&quot;:&quot;Jorge Alberto Vieira&quot;,&quot;parse-names&quot;:false,&quot;dropping-particle&quot;:&quot;&quot;,&quot;non-dropping-particle&quot;:&quot;&quot;},{&quot;family&quot;:&quot;Morais&quot;,&quot;given&quot;:&quot;Michele Greque&quot;,&quot;parse-names&quot;:false,&quot;dropping-particle&quot;:&quot;&quot;,&quot;non-dropping-particle&quot;:&quot;de&quot;}],&quot;container-title&quot;:&quot;Food Chemistry&quot;,&quot;container-title-short&quot;:&quot;Food Chem&quot;,&quot;DOI&quot;:&quot;10.1016/j.foodchem.2019.05.059&quot;,&quot;ISSN&quot;:&quot;18737072&quot;,&quot;PMID&quot;:&quot;31126480&quot;,&quot;issued&quot;:{&quot;date-parts&quot;:[[2019,10,1]]},&quot;page&quot;:&quot;397-404&quot;,&quot;abstract&quot;:&quot;This work describes the development of ultrafine fibers with açaí (Euterpe oleracea Mart.) extract (AE) for use as pH sensors with potential applications in the food industry. The fibers were produced by electrospinning with polymeric solutions composed of 7% (w v−1) polycaprolactone, 2% (w v−1) polyethylene oxide and 3% (w v−1) AE solubilized in chloroform and methanol (3:1). The mean diameter of the fibers was 1635 ± 277 nm, with hydrophilic characteristics (contact angle &lt; 90°), a melting point of 58 °C and a maximum degradation temperature of 408 °C. The total color difference (ΔΕ) of the colorimetric response was greater than 5, corresponding to the human ability for color differentiation. This new material can be used as a pH sensor for foods such as pork and fish to ensure quality and safety for the consumer, who can visually check the condition of the products.&quot;,&quot;publisher&quot;:&quot;Elsevier Ltd&quot;,&quot;volume&quot;:&quot;294&quot;},&quot;isTemporary&quot;:false}]},{&quot;citationID&quot;:&quot;MENDELEY_CITATION_5514cdb0-757e-4555-a553-a2492d186a78&quot;,&quot;properties&quot;:{&quot;noteIndex&quot;:0},&quot;isEdited&quot;:false,&quot;manualOverride&quot;:{&quot;isManuallyOverridden&quot;:false,&quot;citeprocText&quot;:&quot;(Maftoonazad &amp;#38; Ramaswamy, 2019)&quot;,&quot;manualOverrideText&quot;:&quot;&quot;},&quot;citationTag&quot;:&quot;MENDELEY_CITATION_v3_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&quot;,&quot;citationItems&quot;:[{&quot;id&quot;:&quot;15c6c375-09d1-3d1b-a6eb-ed97cb27239f&quot;,&quot;itemData&quot;:{&quot;type&quot;:&quot;article-journal&quot;,&quot;id&quot;:&quot;15c6c375-09d1-3d1b-a6eb-ed97cb27239f&quot;,&quot;title&quot;:&quot;Design and testing of an electrospun nanofiber mat as a pH biosensor and monitor the pH associated quality in fresh date fruit (Rutab)&quot;,&quot;author&quot;:[{&quot;family&quot;:&quot;Maftoonazad&quot;,&quot;given&quot;:&quot;Neda&quot;,&quot;parse-names&quot;:false,&quot;dropping-particle&quot;:&quot;&quot;,&quot;non-dropping-particle&quot;:&quot;&quot;},{&quot;family&quot;:&quot;Ramaswamy&quot;,&quot;given&quot;:&quot;Hosahalli&quot;,&quot;parse-names&quot;:false,&quot;dropping-particle&quot;:&quot;&quot;,&quot;non-dropping-particle&quot;:&quot;&quot;}],&quot;container-title&quot;:&quot;Polymer Testing&quot;,&quot;container-title-short&quot;:&quot;Polym Test&quot;,&quot;DOI&quot;:&quot;10.1016/j.polymertesting.2019.01.011&quot;,&quot;ISSN&quot;:&quot;01429418&quot;,&quot;issued&quot;:{&quot;date-parts&quot;:[[2019,5,1]]},&quot;page&quot;:&quot;76-84&quot;,&quot;abstract&quot;:&quot;An electrospun nanofiber mat was prepared based on polyvinyl acohol and a natural pigment from red cabbage (Brassica oleracea L.) extract (RCE) to function as a pH biosensor. Morphological properties of the nanofiber mats were characterized using scanning electron microscopy and the chemical structure was studied using FTIR. The pH sensitivity of the nanofibers was tested using a series of different pH solutions and the color spectrum of nanofiber mats at different pH values were calibrated using a colorimeter. Results showed that the designed mat could be used as a pH sensor and indicate pH values in the 2–12 range. The mat colors were reversible according to the changing pH value and hence transient changes could be monitored. Trials on fresh date fruit (Rutab) demonstrated that the pH mat responses correlated well with pH changes in packaged dates, thus enabling real-time monitoring of pH-linked changes within the package.&quot;,&quot;publisher&quot;:&quot;Elsevier Ltd&quot;,&quot;volume&quot;:&quot;75&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3.xml><?xml version="1.0" encoding="utf-8"?>
<we:webextension xmlns:we="http://schemas.microsoft.com/office/webextensions/webextension/2010/11" id="{C7B1BD53-4EF0-4EC7-8757-9C4F571FB0E4}">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D120FFAB-5508-421C-A41B-B6905C2D69FA}">
  <we:reference id="wa104038830" version="1.0.0.3" store="en-US" storeType="omex"/>
  <we:alternateReferences>
    <we:reference id="WA104038830" version="1.0.0.3" store="WA104038830"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334AB740-828C-40B3-86B1-0EC626B18940}">
  <we:reference id="wa103053922" version="1.1.0.0" store="en-US" storeType="omex"/>
  <we:alternateReferences>
    <we:reference id="WA103053922" version="1.1.0.0" store="WA103053922" storeType="omex"/>
  </we:alternateReferences>
  <we:properties/>
  <we:bindings/>
  <we:snapshot xmlns:r="http://schemas.openxmlformats.org/officeDocument/2006/relationships"/>
</we:webextension>
</file>

<file path=word/webextensions/webextension6.xml><?xml version="1.0" encoding="utf-8"?>
<we:webextension xmlns:we="http://schemas.microsoft.com/office/webextensions/webextension/2010/11" id="{DB83FD87-22A5-4B36-9A5C-84DB3F26C1B3}">
  <we:reference id="wa104379193" version="1.0.0.0" store="en-US" storeType="omex"/>
  <we:alternateReferences>
    <we:reference id="WA104379193" version="1.0.0.0" store="WA104379193" storeType="omex"/>
  </we:alternateReferences>
  <we:properties/>
  <we:bindings/>
  <we:snapshot xmlns:r="http://schemas.openxmlformats.org/officeDocument/2006/relationships"/>
</we:webextension>
</file>

<file path=word/webextensions/webextension7.xml><?xml version="1.0" encoding="utf-8"?>
<we:webextension xmlns:we="http://schemas.microsoft.com/office/webextensions/webextension/2010/11" id="{1C7D61FF-9BD3-4732-8816-77096D0F64E4}">
  <we:reference id="wa104374274" version="1.0.0.0" store="en-US" storeType="omex"/>
  <we:alternateReferences>
    <we:reference id="WA104374274" version="1.0.0.0" store="WA104374274" storeType="omex"/>
  </we:alternateReferences>
  <we:properties/>
  <we:bindings/>
  <we:snapshot xmlns:r="http://schemas.openxmlformats.org/officeDocument/2006/relationships"/>
</we:webextension>
</file>

<file path=word/webextensions/webextension8.xml><?xml version="1.0" encoding="utf-8"?>
<we:webextension xmlns:we="http://schemas.microsoft.com/office/webextensions/webextension/2010/11" id="{E810FD9A-8CA2-4A58-89D3-1DDF82BE28CF}">
  <we:reference id="wa200001524" version="1.0.0.4" store="en-US" storeType="omex"/>
  <we:alternateReferences>
    <we:reference id="wa200001524" version="1.0.0.4" store="WA200001524" storeType="omex"/>
  </we:alternateReferences>
  <we:properties/>
  <we:bindings/>
  <we:snapshot xmlns:r="http://schemas.openxmlformats.org/officeDocument/2006/relationships"/>
</we:webextension>
</file>

<file path=word/webextensions/webextension9.xml><?xml version="1.0" encoding="utf-8"?>
<we:webextension xmlns:we="http://schemas.microsoft.com/office/webextensions/webextension/2010/11" id="{A1E35345-D3F4-4E9B-8B0D-57F37655ACEF}">
  <we:reference id="wa200000086" version="1.2.1.0" store="en-US" storeType="omex"/>
  <we:alternateReferences>
    <we:reference id="wa200000086" version="1.2.1.0" store="WA20000008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AA267-FAD6-4206-82F8-D591ED73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14</Pages>
  <Words>6830</Words>
  <Characters>42655</Characters>
  <Application>Microsoft Office Word</Application>
  <DocSecurity>0</DocSecurity>
  <Lines>580</Lines>
  <Paragraphs>200</Paragraphs>
  <ScaleCrop>false</ScaleCrop>
  <HeadingPairs>
    <vt:vector size="2" baseType="variant">
      <vt:variant>
        <vt:lpstr>Title</vt:lpstr>
      </vt:variant>
      <vt:variant>
        <vt:i4>1</vt:i4>
      </vt:variant>
    </vt:vector>
  </HeadingPairs>
  <TitlesOfParts>
    <vt:vector size="1" baseType="lpstr">
      <vt:lpstr>Result &amp; Discussion</vt:lpstr>
    </vt:vector>
  </TitlesOfParts>
  <Company/>
  <LinksUpToDate>false</LinksUpToDate>
  <CharactersWithSpaces>49431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 &amp; Discussion</dc:title>
  <dc:creator>deepakgujjar488@gmail.com</dc:creator>
  <cp:lastModifiedBy>Deepak Gujjar</cp:lastModifiedBy>
  <cp:revision>7</cp:revision>
  <cp:lastPrinted>2023-06-13T09:52:00Z</cp:lastPrinted>
  <dcterms:created xsi:type="dcterms:W3CDTF">2023-09-25T16:31:00Z</dcterms:created>
  <dcterms:modified xsi:type="dcterms:W3CDTF">2023-10-13T06:17:00Z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f0523a75a1d93732495e154778a74c56dbb4b97e4d14ba1a51b7e23ba36ad334</vt:lpwstr>
  </property>
</Properties>
</file>