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240" w:lineRule="auto"/>
        <w:jc w:val="center"/>
        <w:rPr>
          <w:rFonts w:ascii="Times New Roman" w:cs="Times New Roman" w:eastAsia="Times New Roman" w:hAnsi="Times New Roman"/>
          <w:sz w:val="48"/>
          <w:szCs w:val="48"/>
        </w:rPr>
      </w:pPr>
      <w:r w:rsidDel="00000000" w:rsidR="00000000" w:rsidRPr="00000000">
        <w:rPr>
          <w:rFonts w:ascii="Times New Roman" w:cs="Times New Roman" w:eastAsia="Times New Roman" w:hAnsi="Times New Roman"/>
          <w:sz w:val="48"/>
          <w:szCs w:val="48"/>
          <w:rtl w:val="0"/>
        </w:rPr>
        <w:t xml:space="preserve">Biomarkers as Links between Disease Mechanisms and Therapeutic Strategies</w:t>
      </w:r>
    </w:p>
    <w:p w:rsidR="00000000" w:rsidDel="00000000" w:rsidP="00000000" w:rsidRDefault="00000000" w:rsidRPr="00000000" w14:paraId="00000002">
      <w:pPr>
        <w:spacing w:after="0" w:line="240" w:lineRule="auto"/>
        <w:jc w:val="center"/>
        <w:rPr>
          <w:rFonts w:ascii="Times New Roman" w:cs="Times New Roman" w:eastAsia="Times New Roman" w:hAnsi="Times New Roman"/>
          <w:sz w:val="48"/>
          <w:szCs w:val="48"/>
        </w:rPr>
        <w:sectPr>
          <w:pgSz w:h="16839" w:w="11907" w:orient="portrait"/>
          <w:pgMar w:bottom="567" w:top="567" w:left="567" w:right="567" w:header="708" w:footer="708"/>
          <w:pgNumType w:start="1"/>
        </w:sectPr>
      </w:pPr>
      <w:r w:rsidDel="00000000" w:rsidR="00000000" w:rsidRPr="00000000">
        <w:rPr>
          <w:rtl w:val="0"/>
        </w:rPr>
      </w:r>
    </w:p>
    <w:p w:rsidR="00000000" w:rsidDel="00000000" w:rsidP="00000000" w:rsidRDefault="00000000" w:rsidRPr="00000000" w14:paraId="00000003">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Tulika Sinha</w:t>
      </w:r>
    </w:p>
    <w:p w:rsidR="00000000" w:rsidDel="00000000" w:rsidP="00000000" w:rsidRDefault="00000000" w:rsidRPr="00000000" w14:paraId="00000004">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Project Associate-I</w:t>
      </w:r>
    </w:p>
    <w:p w:rsidR="00000000" w:rsidDel="00000000" w:rsidP="00000000" w:rsidRDefault="00000000" w:rsidRPr="00000000" w14:paraId="00000005">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Translational Health Science and Technology Institute</w:t>
      </w:r>
    </w:p>
    <w:p w:rsidR="00000000" w:rsidDel="00000000" w:rsidP="00000000" w:rsidRDefault="00000000" w:rsidRPr="00000000" w14:paraId="00000006">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Faridabad, Haryana, India</w:t>
      </w:r>
    </w:p>
    <w:p w:rsidR="00000000" w:rsidDel="00000000" w:rsidP="00000000" w:rsidRDefault="00000000" w:rsidRPr="00000000" w14:paraId="00000007">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Email: </w:t>
      </w:r>
      <w:hyperlink r:id="rId6">
        <w:r w:rsidDel="00000000" w:rsidR="00000000" w:rsidRPr="00000000">
          <w:rPr>
            <w:rFonts w:ascii="Times New Roman" w:cs="Times New Roman" w:eastAsia="Times New Roman" w:hAnsi="Times New Roman"/>
            <w:color w:val="1155cc"/>
            <w:sz w:val="20"/>
            <w:szCs w:val="20"/>
            <w:u w:val="single"/>
            <w:rtl w:val="0"/>
          </w:rPr>
          <w:t xml:space="preserve">tulika187444@st.jmi.ac.in</w:t>
        </w:r>
      </w:hyperlink>
      <w:r w:rsidDel="00000000" w:rsidR="00000000" w:rsidRPr="00000000">
        <w:rPr>
          <w:rtl w:val="0"/>
        </w:rPr>
      </w:r>
    </w:p>
    <w:p w:rsidR="00000000" w:rsidDel="00000000" w:rsidP="00000000" w:rsidRDefault="00000000" w:rsidRPr="00000000" w14:paraId="00000008">
      <w:pPr>
        <w:spacing w:after="0" w:line="240" w:lineRule="auto"/>
        <w:jc w:val="center"/>
        <w:rPr>
          <w:rFonts w:ascii="Times New Roman" w:cs="Times New Roman" w:eastAsia="Times New Roman" w:hAnsi="Times New Roman"/>
          <w:sz w:val="20"/>
          <w:szCs w:val="20"/>
        </w:rPr>
      </w:pPr>
      <w:r w:rsidDel="00000000" w:rsidR="00000000" w:rsidRPr="00000000">
        <w:rPr>
          <w:rtl w:val="0"/>
        </w:rPr>
      </w:r>
    </w:p>
    <w:p w:rsidR="00000000" w:rsidDel="00000000" w:rsidP="00000000" w:rsidRDefault="00000000" w:rsidRPr="00000000" w14:paraId="00000009">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Dr. Ashish Kumar Agrahari</w:t>
      </w:r>
    </w:p>
    <w:p w:rsidR="00000000" w:rsidDel="00000000" w:rsidP="00000000" w:rsidRDefault="00000000" w:rsidRPr="00000000" w14:paraId="0000000A">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M K BHAN Young Researcher</w:t>
      </w:r>
    </w:p>
    <w:p w:rsidR="00000000" w:rsidDel="00000000" w:rsidP="00000000" w:rsidRDefault="00000000" w:rsidRPr="00000000" w14:paraId="0000000B">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Translational Health Science and Technology Institute</w:t>
      </w:r>
    </w:p>
    <w:p w:rsidR="00000000" w:rsidDel="00000000" w:rsidP="00000000" w:rsidRDefault="00000000" w:rsidRPr="00000000" w14:paraId="0000000C">
      <w:pPr>
        <w:spacing w:after="0" w:line="240" w:lineRule="auto"/>
        <w:jc w:val="cente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Faridabad, Haryana, India</w:t>
      </w:r>
    </w:p>
    <w:p w:rsidR="00000000" w:rsidDel="00000000" w:rsidP="00000000" w:rsidRDefault="00000000" w:rsidRPr="00000000" w14:paraId="0000000D">
      <w:pPr>
        <w:spacing w:after="0" w:line="240" w:lineRule="auto"/>
        <w:jc w:val="center"/>
        <w:rPr>
          <w:rFonts w:ascii="Times New Roman" w:cs="Times New Roman" w:eastAsia="Times New Roman" w:hAnsi="Times New Roman"/>
          <w:sz w:val="20"/>
          <w:szCs w:val="20"/>
        </w:rPr>
        <w:sectPr>
          <w:type w:val="continuous"/>
          <w:pgSz w:h="16839" w:w="11907" w:orient="portrait"/>
          <w:pgMar w:bottom="567" w:top="567" w:left="567" w:right="567" w:header="708" w:footer="708"/>
          <w:cols w:equalWidth="0" w:num="2">
            <w:col w:space="708" w:w="5032.5"/>
            <w:col w:space="0" w:w="5032.5"/>
          </w:cols>
        </w:sectPr>
      </w:pPr>
      <w:r w:rsidDel="00000000" w:rsidR="00000000" w:rsidRPr="00000000">
        <w:rPr>
          <w:rFonts w:ascii="Times New Roman" w:cs="Times New Roman" w:eastAsia="Times New Roman" w:hAnsi="Times New Roman"/>
          <w:sz w:val="20"/>
          <w:szCs w:val="20"/>
          <w:rtl w:val="0"/>
        </w:rPr>
        <w:t xml:space="preserve">Email: akagrahari@thsti.res.in</w:t>
      </w:r>
    </w:p>
    <w:p w:rsidR="00000000" w:rsidDel="00000000" w:rsidP="00000000" w:rsidRDefault="00000000" w:rsidRPr="00000000" w14:paraId="000000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ABSTRACT</w:t>
      </w:r>
    </w:p>
    <w:p w:rsidR="00000000" w:rsidDel="00000000" w:rsidP="00000000" w:rsidRDefault="00000000" w:rsidRPr="00000000" w14:paraId="000000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Biomarkers play a pivotal role in modern medicine, serving as crucial links between disease mechanisms and therapeutic strategies. This article explores the significance of biomarkers in healthcare emphasizing their role in elucidating disease pathophysiology aiding in diagnosis, predicting disease progression and guiding treatment decisions. We discuss various types of biomarkers including genetic, proteomic and imaging biomarkers and their applications in different disease contexts. Additionally, we highlight the challenges and future prospects of biomarker research and development underscoring the potential for personalized medicine and targeted therapies.</w:t>
      </w:r>
      <w:r w:rsidDel="00000000" w:rsidR="00000000" w:rsidRPr="00000000">
        <w:rPr>
          <w:rtl w:val="0"/>
        </w:rPr>
      </w:r>
    </w:p>
    <w:p w:rsidR="00000000" w:rsidDel="00000000" w:rsidP="00000000" w:rsidRDefault="00000000" w:rsidRPr="00000000" w14:paraId="000000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720" w:right="0" w:hanging="360"/>
        <w:jc w:val="center"/>
        <w:rPr>
          <w:rFonts w:ascii="Times New Roman" w:cs="Times New Roman" w:eastAsia="Times New Roman" w:hAnsi="Times New Roman"/>
          <w:b w:val="1"/>
          <w:sz w:val="24"/>
          <w:szCs w:val="24"/>
          <w:u w:val="none"/>
        </w:rPr>
      </w:pPr>
      <w:r w:rsidDel="00000000" w:rsidR="00000000" w:rsidRPr="00000000">
        <w:rPr>
          <w:rFonts w:ascii="Times New Roman" w:cs="Times New Roman" w:eastAsia="Times New Roman" w:hAnsi="Times New Roman"/>
          <w:b w:val="1"/>
          <w:i w:val="0"/>
          <w:smallCaps w:val="0"/>
          <w:strike w:val="0"/>
          <w:color w:val="000000"/>
          <w:sz w:val="24"/>
          <w:szCs w:val="24"/>
          <w:u w:val="none"/>
          <w:shd w:fill="auto" w:val="clear"/>
          <w:vertAlign w:val="baseline"/>
          <w:rtl w:val="0"/>
        </w:rPr>
        <w:t xml:space="preserve">I</w:t>
      </w:r>
      <w:r w:rsidDel="00000000" w:rsidR="00000000" w:rsidRPr="00000000">
        <w:rPr>
          <w:rFonts w:ascii="Times New Roman" w:cs="Times New Roman" w:eastAsia="Times New Roman" w:hAnsi="Times New Roman"/>
          <w:b w:val="1"/>
          <w:sz w:val="24"/>
          <w:szCs w:val="24"/>
          <w:rtl w:val="0"/>
        </w:rPr>
        <w:t xml:space="preserve">NTRODUCTION</w:t>
      </w:r>
    </w:p>
    <w:p w:rsidR="00000000" w:rsidDel="00000000" w:rsidP="00000000" w:rsidRDefault="00000000" w:rsidRPr="00000000" w14:paraId="000000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What are Biomarkers?</w:t>
      </w:r>
    </w:p>
    <w:p w:rsidR="00000000" w:rsidDel="00000000" w:rsidP="00000000" w:rsidRDefault="00000000" w:rsidRPr="00000000" w14:paraId="000000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term 'biomarker' has been borrowed from the field of molecular epidemiology and repurposed by free radical biologists to refer to a molecular alteration in a biological molecule resulting from exposure to reactive oxygen, nitrogen, or halide species [</w:t>
      </w:r>
      <w:hyperlink r:id="rId7">
        <w:r w:rsidDel="00000000" w:rsidR="00000000" w:rsidRPr="00000000">
          <w:rPr>
            <w:rFonts w:ascii="Times New Roman" w:cs="Times New Roman" w:eastAsia="Times New Roman" w:hAnsi="Times New Roman"/>
            <w:color w:val="1155cc"/>
            <w:sz w:val="24"/>
            <w:szCs w:val="24"/>
            <w:rtl w:val="0"/>
          </w:rPr>
          <w:t xml:space="preserve">3</w:t>
        </w:r>
      </w:hyperlink>
      <w:r w:rsidDel="00000000" w:rsidR="00000000" w:rsidRPr="00000000">
        <w:rPr>
          <w:rFonts w:ascii="Times New Roman" w:cs="Times New Roman" w:eastAsia="Times New Roman" w:hAnsi="Times New Roman"/>
          <w:sz w:val="24"/>
          <w:szCs w:val="24"/>
          <w:rtl w:val="0"/>
        </w:rPr>
        <w:t xml:space="preserve">]. In the context of modern medicine, biomarkers play a crucial role in connecting our comprehension of disease mechanisms to the development of effective treatment approaches. </w:t>
      </w:r>
      <w:r w:rsidDel="00000000" w:rsidR="00000000" w:rsidRPr="00000000">
        <w:rPr>
          <w:rFonts w:ascii="Times New Roman" w:cs="Times New Roman" w:eastAsia="Times New Roman" w:hAnsi="Times New Roman"/>
          <w:sz w:val="24"/>
          <w:szCs w:val="24"/>
          <w:rtl w:val="0"/>
        </w:rPr>
        <w:t xml:space="preserve">They are measurable indicators or characteristics that provide information about normal or pathological biological processes, disease progression, and treatment responses </w:t>
      </w:r>
      <w:r w:rsidDel="00000000" w:rsidR="00000000" w:rsidRPr="00000000">
        <w:rPr>
          <w:rFonts w:ascii="Times New Roman" w:cs="Times New Roman" w:eastAsia="Times New Roman" w:hAnsi="Times New Roman"/>
          <w:sz w:val="24"/>
          <w:szCs w:val="24"/>
          <w:rtl w:val="0"/>
        </w:rPr>
        <w:t xml:space="preserve">[</w:t>
      </w:r>
      <w:hyperlink r:id="rId8">
        <w:r w:rsidDel="00000000" w:rsidR="00000000" w:rsidRPr="00000000">
          <w:rPr>
            <w:rFonts w:ascii="Times New Roman" w:cs="Times New Roman" w:eastAsia="Times New Roman" w:hAnsi="Times New Roman"/>
            <w:color w:val="1155cc"/>
            <w:sz w:val="24"/>
            <w:szCs w:val="24"/>
            <w:rtl w:val="0"/>
          </w:rPr>
          <w:t xml:space="preserve">5</w:t>
        </w:r>
      </w:hyperlink>
      <w:r w:rsidDel="00000000" w:rsidR="00000000" w:rsidRPr="00000000">
        <w:rPr>
          <w:rFonts w:ascii="Times New Roman" w:cs="Times New Roman" w:eastAsia="Times New Roman" w:hAnsi="Times New Roman"/>
          <w:sz w:val="24"/>
          <w:szCs w:val="24"/>
          <w:rtl w:val="0"/>
        </w:rPr>
        <w:t xml:space="preserve">]. These indicators can be extracted from diverse sources of information, such as molecular, histological, radiographic, or physiological data [</w:t>
      </w:r>
      <w:hyperlink r:id="rId9">
        <w:r w:rsidDel="00000000" w:rsidR="00000000" w:rsidRPr="00000000">
          <w:rPr>
            <w:rFonts w:ascii="Times New Roman" w:cs="Times New Roman" w:eastAsia="Times New Roman" w:hAnsi="Times New Roman"/>
            <w:color w:val="1155cc"/>
            <w:sz w:val="24"/>
            <w:szCs w:val="24"/>
            <w:rtl w:val="0"/>
          </w:rPr>
          <w:t xml:space="preserve">1</w:t>
        </w:r>
      </w:hyperlink>
      <w:r w:rsidDel="00000000" w:rsidR="00000000" w:rsidRPr="00000000">
        <w:rPr>
          <w:rFonts w:ascii="Times New Roman" w:cs="Times New Roman" w:eastAsia="Times New Roman" w:hAnsi="Times New Roman"/>
          <w:sz w:val="24"/>
          <w:szCs w:val="24"/>
          <w:rtl w:val="0"/>
        </w:rPr>
        <w:t xml:space="preserve">]. Biomarkers can undergo qualitative changes, such as mutations, or quantitative changes, like alterations in expression levels </w:t>
      </w:r>
      <w:hyperlink r:id="rId10">
        <w:r w:rsidDel="00000000" w:rsidR="00000000" w:rsidRPr="00000000">
          <w:rPr>
            <w:rFonts w:ascii="Times New Roman" w:cs="Times New Roman" w:eastAsia="Times New Roman" w:hAnsi="Times New Roman"/>
            <w:sz w:val="24"/>
            <w:szCs w:val="24"/>
            <w:rtl w:val="0"/>
          </w:rPr>
          <w:t xml:space="preserve">[</w:t>
        </w:r>
      </w:hyperlink>
      <w:hyperlink r:id="rId11">
        <w:r w:rsidDel="00000000" w:rsidR="00000000" w:rsidRPr="00000000">
          <w:rPr>
            <w:rFonts w:ascii="Times New Roman" w:cs="Times New Roman" w:eastAsia="Times New Roman" w:hAnsi="Times New Roman"/>
            <w:color w:val="1155cc"/>
            <w:sz w:val="24"/>
            <w:szCs w:val="24"/>
            <w:rtl w:val="0"/>
          </w:rPr>
          <w:t xml:space="preserve">4</w:t>
        </w:r>
      </w:hyperlink>
      <w:hyperlink r:id="rId12">
        <w:r w:rsidDel="00000000" w:rsidR="00000000" w:rsidRPr="00000000">
          <w:rPr>
            <w:rFonts w:ascii="Times New Roman" w:cs="Times New Roman" w:eastAsia="Times New Roman" w:hAnsi="Times New Roman"/>
            <w:sz w:val="24"/>
            <w:szCs w:val="24"/>
            <w:rtl w:val="0"/>
          </w:rPr>
          <w:t xml:space="preserve">]</w:t>
        </w:r>
      </w:hyperlink>
      <w:r w:rsidDel="00000000" w:rsidR="00000000" w:rsidRPr="00000000">
        <w:rPr>
          <w:rFonts w:ascii="Times New Roman" w:cs="Times New Roman" w:eastAsia="Times New Roman" w:hAnsi="Times New Roman"/>
          <w:sz w:val="24"/>
          <w:szCs w:val="24"/>
          <w:rtl w:val="0"/>
        </w:rPr>
        <w:t xml:space="preserve">. One of their primary key roles involves early diagnosis where they play a vital role in identifying diseases before clinical symptoms appear. For instance, elevated levels of prostate-specific antigen (PSA) are used as a biomarker for the early detection of prostate cancer allowing for timely intervention and improved outcomes [</w:t>
      </w:r>
      <w:hyperlink r:id="rId13">
        <w:r w:rsidDel="00000000" w:rsidR="00000000" w:rsidRPr="00000000">
          <w:rPr>
            <w:rFonts w:ascii="Times New Roman" w:cs="Times New Roman" w:eastAsia="Times New Roman" w:hAnsi="Times New Roman"/>
            <w:color w:val="1155cc"/>
            <w:sz w:val="24"/>
            <w:szCs w:val="24"/>
            <w:rtl w:val="0"/>
          </w:rPr>
          <w:t xml:space="preserve">9</w:t>
        </w:r>
      </w:hyperlink>
      <w:r w:rsidDel="00000000" w:rsidR="00000000" w:rsidRPr="00000000">
        <w:rPr>
          <w:rtl w:val="0"/>
        </w:rPr>
        <w:t xml:space="preserve">,</w:t>
      </w:r>
      <w:hyperlink r:id="rId14">
        <w:r w:rsidDel="00000000" w:rsidR="00000000" w:rsidRPr="00000000">
          <w:rPr>
            <w:rFonts w:ascii="Times New Roman" w:cs="Times New Roman" w:eastAsia="Times New Roman" w:hAnsi="Times New Roman"/>
            <w:color w:val="1155cc"/>
            <w:sz w:val="24"/>
            <w:szCs w:val="24"/>
            <w:rtl w:val="0"/>
          </w:rPr>
          <w:t xml:space="preserve">6</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9">
      <w:pPr>
        <w:spacing w:after="0" w:line="240"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 utilization of biomarkers in both fundamental and clinical research as well as their application in clinical practice has become so standard that their inclusion as primary focal points in clinical trials is now widely accepted without significant questioning. For particular biomarkers that have been thoroughly characterized and consistently demonstrated to accurately predict important clinical outcomes across a range of treatments and populations, this application is entirely justified and appropriate. In numerous instances, the presumption of the "validity" of biomarkers is made where in reality, it should continue to be assessed and reevaluated [</w:t>
      </w:r>
      <w:hyperlink r:id="rId15">
        <w:r w:rsidDel="00000000" w:rsidR="00000000" w:rsidRPr="00000000">
          <w:rPr>
            <w:rFonts w:ascii="Times New Roman" w:cs="Times New Roman" w:eastAsia="Times New Roman" w:hAnsi="Times New Roman"/>
            <w:color w:val="1155cc"/>
            <w:sz w:val="24"/>
            <w:szCs w:val="24"/>
            <w:rtl w:val="0"/>
          </w:rPr>
          <w:t xml:space="preserve">2</w:t>
        </w:r>
      </w:hyperlink>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1A">
      <w:pPr>
        <w:spacing w:after="0" w:line="240" w:lineRule="auto"/>
        <w:ind w:firstLine="36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1B">
      <w:pPr>
        <w:ind w:left="0" w:firstLine="0"/>
        <w:rPr>
          <w:rFonts w:ascii="Georgia" w:cs="Georgia" w:eastAsia="Georgia" w:hAnsi="Georgia"/>
          <w:color w:val="2e2e2e"/>
          <w:sz w:val="30"/>
          <w:szCs w:val="30"/>
        </w:rPr>
      </w:pPr>
      <w:r w:rsidDel="00000000" w:rsidR="00000000" w:rsidRPr="00000000">
        <w:rPr>
          <w:rFonts w:ascii="Times New Roman" w:cs="Times New Roman" w:eastAsia="Times New Roman" w:hAnsi="Times New Roman"/>
          <w:b w:val="1"/>
          <w:color w:val="2e2e2e"/>
          <w:sz w:val="24"/>
          <w:szCs w:val="24"/>
          <w:rtl w:val="0"/>
        </w:rPr>
        <w:t xml:space="preserve">Historical Context:</w:t>
      </w:r>
      <w:r w:rsidDel="00000000" w:rsidR="00000000" w:rsidRPr="00000000">
        <w:rPr>
          <w:rtl w:val="0"/>
        </w:rPr>
      </w:r>
    </w:p>
    <w:p w:rsidR="00000000" w:rsidDel="00000000" w:rsidP="00000000" w:rsidRDefault="00000000" w:rsidRPr="00000000" w14:paraId="0000001C">
      <w:pPr>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Throughout history, humans have sought ways to understand and monitor health. Biomarkers, in various forms, have played a vital role in this quest [</w:t>
      </w:r>
      <w:hyperlink r:id="rId16">
        <w:r w:rsidDel="00000000" w:rsidR="00000000" w:rsidRPr="00000000">
          <w:rPr>
            <w:rFonts w:ascii="Times New Roman" w:cs="Times New Roman" w:eastAsia="Times New Roman" w:hAnsi="Times New Roman"/>
            <w:color w:val="1155cc"/>
            <w:sz w:val="24"/>
            <w:szCs w:val="24"/>
            <w:rtl w:val="0"/>
          </w:rPr>
          <w:t xml:space="preserve">7</w:t>
        </w:r>
      </w:hyperlink>
      <w:r w:rsidDel="00000000" w:rsidR="00000000" w:rsidRPr="00000000">
        <w:rPr>
          <w:rFonts w:ascii="Times New Roman" w:cs="Times New Roman" w:eastAsia="Times New Roman" w:hAnsi="Times New Roman"/>
          <w:sz w:val="24"/>
          <w:szCs w:val="24"/>
          <w:rtl w:val="0"/>
        </w:rPr>
        <w:t xml:space="preserve">]. Ancient civilizations, such as the Egyptians and Greeks observed bodily changes like pulse and urine color to gauge health. These early observations served as rudimentary biomarkers indicating potential issues.</w:t>
      </w:r>
      <w:r w:rsidDel="00000000" w:rsidR="00000000" w:rsidRPr="00000000">
        <w:rPr>
          <w:rFonts w:ascii="Times New Roman" w:cs="Times New Roman" w:eastAsia="Times New Roman" w:hAnsi="Times New Roman"/>
          <w:sz w:val="24"/>
          <w:szCs w:val="24"/>
          <w:rtl w:val="0"/>
        </w:rPr>
        <w:t xml:space="preserve"> The development of medical science in the 19th and 20th centuries brought more systematic approaches to biomarkers. Advancements in microscopy allowed for the examination of tissues and cells, revealing structural biomarkers indicative of diseases [</w:t>
      </w:r>
      <w:hyperlink r:id="rId17">
        <w:r w:rsidDel="00000000" w:rsidR="00000000" w:rsidRPr="00000000">
          <w:rPr>
            <w:rFonts w:ascii="Times New Roman" w:cs="Times New Roman" w:eastAsia="Times New Roman" w:hAnsi="Times New Roman"/>
            <w:color w:val="1155cc"/>
            <w:sz w:val="24"/>
            <w:szCs w:val="24"/>
            <w:rtl w:val="0"/>
          </w:rPr>
          <w:t xml:space="preserve">8</w:t>
        </w:r>
      </w:hyperlink>
      <w:r w:rsidDel="00000000" w:rsidR="00000000" w:rsidRPr="00000000">
        <w:rPr>
          <w:rFonts w:ascii="Times New Roman" w:cs="Times New Roman" w:eastAsia="Times New Roman" w:hAnsi="Times New Roman"/>
          <w:sz w:val="24"/>
          <w:szCs w:val="24"/>
          <w:rtl w:val="0"/>
        </w:rPr>
        <w:t xml:space="preserve">]. The discovery of specific molecules as biomarkers was a breakthrough. For instance, the presence of glucose in urine became a hallmark of diabetes diagnosis. This marked the beginning of molecular biomarker use. As technology progressed, biomarkers expanded beyond mere observations to include blood tests, imaging, and genetic markers [</w:t>
      </w:r>
      <w:hyperlink r:id="rId18">
        <w:r w:rsidDel="00000000" w:rsidR="00000000" w:rsidRPr="00000000">
          <w:rPr>
            <w:rFonts w:ascii="Times New Roman" w:cs="Times New Roman" w:eastAsia="Times New Roman" w:hAnsi="Times New Roman"/>
            <w:color w:val="1155cc"/>
            <w:sz w:val="24"/>
            <w:szCs w:val="24"/>
            <w:rtl w:val="0"/>
          </w:rPr>
          <w:t xml:space="preserve">10</w:t>
        </w:r>
      </w:hyperlink>
      <w:r w:rsidDel="00000000" w:rsidR="00000000" w:rsidRPr="00000000">
        <w:rPr>
          <w:rFonts w:ascii="Times New Roman" w:cs="Times New Roman" w:eastAsia="Times New Roman" w:hAnsi="Times New Roman"/>
          <w:sz w:val="24"/>
          <w:szCs w:val="24"/>
          <w:rtl w:val="0"/>
        </w:rPr>
        <w:t xml:space="preserve">]. The identification of DNA as a biomarker revolutionized fields like genetics and forensics. </w:t>
      </w:r>
    </w:p>
    <w:p w:rsidR="00000000" w:rsidDel="00000000" w:rsidP="00000000" w:rsidRDefault="00000000" w:rsidRPr="00000000" w14:paraId="0000001D">
      <w:pPr>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recent decades, the rise of omics technologies (genomics, proteomics, etc.) has led to a surge in biomarker discovery. These advanced tools allow for the identification of intricate molecular patterns associated with diseases, greatly enhancing diagnostic accuracy and treatment customization [</w:t>
      </w:r>
      <w:hyperlink r:id="rId19">
        <w:r w:rsidDel="00000000" w:rsidR="00000000" w:rsidRPr="00000000">
          <w:rPr>
            <w:rFonts w:ascii="Times New Roman" w:cs="Times New Roman" w:eastAsia="Times New Roman" w:hAnsi="Times New Roman"/>
            <w:color w:val="1155cc"/>
            <w:sz w:val="24"/>
            <w:szCs w:val="24"/>
            <w:rtl w:val="0"/>
          </w:rPr>
          <w:t xml:space="preserve">11</w:t>
        </w:r>
      </w:hyperlink>
      <w:r w:rsidDel="00000000" w:rsidR="00000000" w:rsidRPr="00000000">
        <w:rPr>
          <w:rFonts w:ascii="Times New Roman" w:cs="Times New Roman" w:eastAsia="Times New Roman" w:hAnsi="Times New Roman"/>
          <w:sz w:val="24"/>
          <w:szCs w:val="24"/>
          <w:rtl w:val="0"/>
        </w:rPr>
        <w:t xml:space="preserve">]. Today, biomarkers continue to evolve. They not only aid in disease diagnosis but also in predicting disease risk, monitoring treatment responses, and guiding precision medicine approaches. The field of biomarker research remains dynamic, promising a future where health management is increasingly personalized and effective.</w:t>
      </w:r>
    </w:p>
    <w:p w:rsidR="00000000" w:rsidDel="00000000" w:rsidP="00000000" w:rsidRDefault="00000000" w:rsidRPr="00000000" w14:paraId="0000001E">
      <w:pPr>
        <w:jc w:val="both"/>
        <w:rPr>
          <w:rFonts w:ascii="Roboto" w:cs="Roboto" w:eastAsia="Roboto" w:hAnsi="Roboto"/>
          <w:color w:val="374151"/>
          <w:sz w:val="24"/>
          <w:szCs w:val="24"/>
          <w:shd w:fill="f7f7f8" w:val="clear"/>
        </w:rPr>
      </w:pPr>
      <w:r w:rsidDel="00000000" w:rsidR="00000000" w:rsidRPr="00000000">
        <w:rPr>
          <w:rFonts w:ascii="Times New Roman" w:cs="Times New Roman" w:eastAsia="Times New Roman" w:hAnsi="Times New Roman"/>
          <w:b w:val="1"/>
          <w:sz w:val="24"/>
          <w:szCs w:val="24"/>
          <w:rtl w:val="0"/>
        </w:rPr>
        <w:t xml:space="preserve">Types of Biomarkers</w:t>
      </w:r>
      <w:r w:rsidDel="00000000" w:rsidR="00000000" w:rsidRPr="00000000">
        <w:rPr>
          <w:rtl w:val="0"/>
        </w:rPr>
      </w:r>
    </w:p>
    <w:p w:rsidR="00000000" w:rsidDel="00000000" w:rsidP="00000000" w:rsidRDefault="00000000" w:rsidRPr="00000000" w14:paraId="0000001F">
      <w:pPr>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Biomarkers can be categorized into several types based on their nature and role in various biological processes and medical applications. Here are some common types of biomarkers:</w:t>
      </w:r>
    </w:p>
    <w:p w:rsidR="00000000" w:rsidDel="00000000" w:rsidP="00000000" w:rsidRDefault="00000000" w:rsidRPr="00000000" w14:paraId="00000020">
      <w:pPr>
        <w:ind w:left="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Genetic Biomarkers</w:t>
      </w:r>
      <w:r w:rsidDel="00000000" w:rsidR="00000000" w:rsidRPr="00000000">
        <w:rPr>
          <w:rtl w:val="0"/>
        </w:rPr>
      </w:r>
    </w:p>
    <w:p w:rsidR="00000000" w:rsidDel="00000000" w:rsidP="00000000" w:rsidRDefault="00000000" w:rsidRPr="00000000" w14:paraId="00000021">
      <w:pPr>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Over the past few decades, genetic biomarkers, specifically DNA mutations, DNA single nucleotide polymorphisms, and karyotypic variations, have played a significant role in diagnosing various disorders [</w:t>
      </w:r>
      <w:hyperlink r:id="rId20">
        <w:r w:rsidDel="00000000" w:rsidR="00000000" w:rsidRPr="00000000">
          <w:rPr>
            <w:rFonts w:ascii="Times New Roman" w:cs="Times New Roman" w:eastAsia="Times New Roman" w:hAnsi="Times New Roman"/>
            <w:color w:val="1155cc"/>
            <w:sz w:val="24"/>
            <w:szCs w:val="24"/>
            <w:rtl w:val="0"/>
          </w:rPr>
          <w:t xml:space="preserve">12</w:t>
        </w:r>
      </w:hyperlink>
      <w:r w:rsidDel="00000000" w:rsidR="00000000" w:rsidRPr="00000000">
        <w:rPr>
          <w:rFonts w:ascii="Times New Roman" w:cs="Times New Roman" w:eastAsia="Times New Roman" w:hAnsi="Times New Roman"/>
          <w:sz w:val="24"/>
          <w:szCs w:val="24"/>
          <w:rtl w:val="0"/>
        </w:rPr>
        <w:t xml:space="preserve">]. Among biomarkers, DNA-based ones are the most prominent biomarkers linked to over 319 diseases or conditions. Genetic biomarkers can be identified within the DNA of all nucleated cells from a wide range of biological samples with a particular focus on cancer tumors, as they tend to accumulate somatic mutations [</w:t>
      </w:r>
      <w:hyperlink r:id="rId21">
        <w:r w:rsidDel="00000000" w:rsidR="00000000" w:rsidRPr="00000000">
          <w:rPr>
            <w:rFonts w:ascii="Times New Roman" w:cs="Times New Roman" w:eastAsia="Times New Roman" w:hAnsi="Times New Roman"/>
            <w:color w:val="1155cc"/>
            <w:sz w:val="24"/>
            <w:szCs w:val="24"/>
            <w:rtl w:val="0"/>
          </w:rPr>
          <w:t xml:space="preserve">13</w:t>
        </w:r>
      </w:hyperlink>
      <w:r w:rsidDel="00000000" w:rsidR="00000000" w:rsidRPr="00000000">
        <w:rPr>
          <w:rFonts w:ascii="Times New Roman" w:cs="Times New Roman" w:eastAsia="Times New Roman" w:hAnsi="Times New Roman"/>
          <w:sz w:val="24"/>
          <w:szCs w:val="24"/>
          <w:rtl w:val="0"/>
        </w:rPr>
        <w:t xml:space="preserve">,</w:t>
      </w:r>
      <w:hyperlink r:id="rId22">
        <w:r w:rsidDel="00000000" w:rsidR="00000000" w:rsidRPr="00000000">
          <w:rPr>
            <w:rFonts w:ascii="Times New Roman" w:cs="Times New Roman" w:eastAsia="Times New Roman" w:hAnsi="Times New Roman"/>
            <w:color w:val="1155cc"/>
            <w:sz w:val="24"/>
            <w:szCs w:val="24"/>
            <w:rtl w:val="0"/>
          </w:rPr>
          <w:t xml:space="preserve">14</w:t>
        </w:r>
      </w:hyperlink>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22">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SNPs (Single Nucleotide Polymorphisms):</w:t>
      </w:r>
    </w:p>
    <w:p w:rsidR="00000000" w:rsidDel="00000000" w:rsidP="00000000" w:rsidRDefault="00000000" w:rsidRPr="00000000" w14:paraId="00000023">
      <w:pPr>
        <w:ind w:left="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SNPs are variations in a single DNA base pair at a specific position in the genome. They are the most common type of genetic variation among people. SNP can influence an individual’s susceptibility to certain diseases or conditions. They may affect the function of genes, protein production or the body's response to environmental factors.</w:t>
      </w:r>
    </w:p>
    <w:p w:rsidR="00000000" w:rsidDel="00000000" w:rsidP="00000000" w:rsidRDefault="00000000" w:rsidRPr="00000000" w14:paraId="00000024">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 Mutations:</w:t>
      </w:r>
    </w:p>
    <w:p w:rsidR="00000000" w:rsidDel="00000000" w:rsidP="00000000" w:rsidRDefault="00000000" w:rsidRPr="00000000" w14:paraId="00000025">
      <w:pPr>
        <w:ind w:left="0"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 mutations involve permanent changes </w:t>
      </w:r>
      <w:r w:rsidDel="00000000" w:rsidR="00000000" w:rsidRPr="00000000">
        <w:rPr>
          <w:rFonts w:ascii="Roboto" w:cs="Roboto" w:eastAsia="Roboto" w:hAnsi="Roboto"/>
          <w:color w:val="374151"/>
          <w:sz w:val="24"/>
          <w:szCs w:val="24"/>
          <w:rtl w:val="0"/>
        </w:rPr>
        <w:t xml:space="preserve">in</w:t>
      </w:r>
      <w:r w:rsidDel="00000000" w:rsidR="00000000" w:rsidRPr="00000000">
        <w:rPr>
          <w:rFonts w:ascii="Times New Roman" w:cs="Times New Roman" w:eastAsia="Times New Roman" w:hAnsi="Times New Roman"/>
          <w:sz w:val="24"/>
          <w:szCs w:val="24"/>
          <w:rtl w:val="0"/>
        </w:rPr>
        <w:t xml:space="preserve"> the DNA sequence which can result from deletions, insertions or substitutions of DNA bases. Mutations can be inherited or acquired during a person's lifetime.Certain gene mutations are associated with an increased risk of specific diseases. These mutations can disrupt normal cellular functions or contribute to the development of conditions like cancer or genetic disorders.</w:t>
      </w:r>
    </w:p>
    <w:p w:rsidR="00000000" w:rsidDel="00000000" w:rsidP="00000000" w:rsidRDefault="00000000" w:rsidRPr="00000000" w14:paraId="0000002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Examples in Disease Contexts:</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SNPs:</w:t>
      </w:r>
    </w:p>
    <w:p w:rsidR="00000000" w:rsidDel="00000000" w:rsidP="00000000" w:rsidRDefault="00000000" w:rsidRPr="00000000" w14:paraId="00000028">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Breast Cancer (BRCA1/BRCA2 SNPs):</w:t>
      </w:r>
      <w:r w:rsidDel="00000000" w:rsidR="00000000" w:rsidRPr="00000000">
        <w:rPr>
          <w:rFonts w:ascii="Times New Roman" w:cs="Times New Roman" w:eastAsia="Times New Roman" w:hAnsi="Times New Roman"/>
          <w:sz w:val="24"/>
          <w:szCs w:val="24"/>
          <w:rtl w:val="0"/>
        </w:rPr>
        <w:t xml:space="preserve"> Specific SNPs in the BRCA1 and BRCA2 genes are linked to an increased risk of breast and ovarian cancers. Individuals carrying these SNPs have a higher likelihood of developing these cancers.</w:t>
      </w:r>
    </w:p>
    <w:p w:rsidR="00000000" w:rsidDel="00000000" w:rsidP="00000000" w:rsidRDefault="00000000" w:rsidRPr="00000000" w14:paraId="00000029">
      <w:pPr>
        <w:numPr>
          <w:ilvl w:val="0"/>
          <w:numId w:val="1"/>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Cardiovascular Disease (APOE SNP):</w:t>
      </w:r>
      <w:r w:rsidDel="00000000" w:rsidR="00000000" w:rsidRPr="00000000">
        <w:rPr>
          <w:rFonts w:ascii="Times New Roman" w:cs="Times New Roman" w:eastAsia="Times New Roman" w:hAnsi="Times New Roman"/>
          <w:sz w:val="24"/>
          <w:szCs w:val="24"/>
          <w:rtl w:val="0"/>
        </w:rPr>
        <w:t xml:space="preserve"> The APOE gene has SNPs associated with different risks for cardiovascular diseases. Certain APOE variants are linked to a higher susceptibility to conditions like atherosclerosis and Alzheimer's disease.</w:t>
      </w:r>
    </w:p>
    <w:p w:rsidR="00000000" w:rsidDel="00000000" w:rsidP="00000000" w:rsidRDefault="00000000" w:rsidRPr="00000000" w14:paraId="0000002A">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Gene Mutations:</w:t>
      </w:r>
    </w:p>
    <w:p w:rsidR="00000000" w:rsidDel="00000000" w:rsidP="00000000" w:rsidRDefault="00000000" w:rsidRPr="00000000" w14:paraId="0000002B">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0" w:afterAutospacing="0" w:before="30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Cystic Fibrosis (CFTR Gene Mutations):</w:t>
      </w:r>
      <w:r w:rsidDel="00000000" w:rsidR="00000000" w:rsidRPr="00000000">
        <w:rPr>
          <w:rFonts w:ascii="Times New Roman" w:cs="Times New Roman" w:eastAsia="Times New Roman" w:hAnsi="Times New Roman"/>
          <w:sz w:val="24"/>
          <w:szCs w:val="24"/>
          <w:rtl w:val="0"/>
        </w:rPr>
        <w:t xml:space="preserve"> Mutations in the CFTR gene can lead to cystic fibrosis, a genetic disorder affecting the lungs and digestive system. Different mutations in this gene can result in varying disease severity.</w:t>
      </w:r>
    </w:p>
    <w:p w:rsidR="00000000" w:rsidDel="00000000" w:rsidP="00000000" w:rsidRDefault="00000000" w:rsidRPr="00000000" w14:paraId="0000002C">
      <w:pPr>
        <w:numPr>
          <w:ilvl w:val="0"/>
          <w:numId w:val="2"/>
        </w:numPr>
        <w:pBdr>
          <w:top w:color="d9d9e3" w:space="0" w:sz="0" w:val="none"/>
          <w:left w:color="d9d9e3" w:space="0" w:sz="0" w:val="none"/>
          <w:bottom w:color="d9d9e3" w:space="0" w:sz="0" w:val="none"/>
          <w:right w:color="d9d9e3" w:space="0" w:sz="0" w:val="none"/>
          <w:between w:color="d9d9e3" w:space="0" w:sz="0" w:val="none"/>
        </w:pBdr>
        <w:spacing w:after="300" w:before="0" w:beforeAutospacing="0" w:lineRule="auto"/>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Sickle Cell Anemia (HBB Gene Mutation):</w:t>
      </w:r>
      <w:r w:rsidDel="00000000" w:rsidR="00000000" w:rsidRPr="00000000">
        <w:rPr>
          <w:rFonts w:ascii="Times New Roman" w:cs="Times New Roman" w:eastAsia="Times New Roman" w:hAnsi="Times New Roman"/>
          <w:sz w:val="24"/>
          <w:szCs w:val="24"/>
          <w:rtl w:val="0"/>
        </w:rPr>
        <w:t xml:space="preserve"> A mutation in the HBB gene causes sickle cell anemia. This genetic alteration leads to the production of abnormal hemoglobin, causing red blood cells to take on a characteristic sickle shape and resulting in various health complications.</w:t>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ind w:firstLine="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examples highlight the critical role of genetic biomarkers including SNPs and gene mutations in assessing disease susceptibility. Understanding an individual's genetic makeup can help predict disease risks guide screening and preventive measures and inform personalized treatment approaches. Genetic biomarkers play a significant role in the field of precision medicine allowing for tailored healthcare interventions based on a person's genetic profile.</w:t>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Proteomic Biomarkers:</w:t>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ind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Proteomic biomarkers focus on the study of proteins within biological systems. Proteins are critical players in various cellular processes and can provide valuable insights into disease states making them essential for diagnostics and prognostics.</w:t>
      </w:r>
      <w:r w:rsidDel="00000000" w:rsidR="00000000" w:rsidRPr="00000000">
        <w:rPr>
          <w:rtl w:val="0"/>
        </w:rPr>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ind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Techniques:</w:t>
      </w:r>
    </w:p>
    <w:p w:rsidR="00000000" w:rsidDel="00000000" w:rsidP="00000000" w:rsidRDefault="00000000" w:rsidRPr="00000000" w14:paraId="00000031">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Mass Spectrometry: </w:t>
      </w:r>
      <w:r w:rsidDel="00000000" w:rsidR="00000000" w:rsidRPr="00000000">
        <w:rPr>
          <w:rFonts w:ascii="Times New Roman" w:cs="Times New Roman" w:eastAsia="Times New Roman" w:hAnsi="Times New Roman"/>
          <w:sz w:val="24"/>
          <w:szCs w:val="24"/>
          <w:rtl w:val="0"/>
        </w:rPr>
        <w:t xml:space="preserve">This technique is used to identify and quantify proteins in a sample by measuring their mass-to-charge ratios.</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Protein Microarrays: </w:t>
      </w:r>
      <w:r w:rsidDel="00000000" w:rsidR="00000000" w:rsidRPr="00000000">
        <w:rPr>
          <w:rFonts w:ascii="Times New Roman" w:cs="Times New Roman" w:eastAsia="Times New Roman" w:hAnsi="Times New Roman"/>
          <w:sz w:val="24"/>
          <w:szCs w:val="24"/>
          <w:rtl w:val="0"/>
        </w:rPr>
        <w:t xml:space="preserve">Similar to DNA microarrays, these arrays contain immobilized proteins allowing researchers to study interactions between proteins and other molecules, such as antibodies.</w:t>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ind w:left="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34">
      <w:pPr>
        <w:ind w:left="0" w:firstLine="36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Diagnostic and Prognostic Applications:</w:t>
      </w:r>
    </w:p>
    <w:p w:rsidR="00000000" w:rsidDel="00000000" w:rsidP="00000000" w:rsidRDefault="00000000" w:rsidRPr="00000000" w14:paraId="00000035">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Disease Diagnosis: </w:t>
      </w:r>
      <w:r w:rsidDel="00000000" w:rsidR="00000000" w:rsidRPr="00000000">
        <w:rPr>
          <w:rFonts w:ascii="Times New Roman" w:cs="Times New Roman" w:eastAsia="Times New Roman" w:hAnsi="Times New Roman"/>
          <w:sz w:val="24"/>
          <w:szCs w:val="24"/>
          <w:rtl w:val="0"/>
        </w:rPr>
        <w:t xml:space="preserve"> Proteomic biomarkers are employed to diagnose various diseases. For example, elevated levels of troponin are indicative of heart muscle damage and are used in diagnosing myocardial infarction (heart attack).</w:t>
      </w:r>
    </w:p>
    <w:p w:rsidR="00000000" w:rsidDel="00000000" w:rsidP="00000000" w:rsidRDefault="00000000" w:rsidRPr="00000000" w14:paraId="00000036">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Prognosis:</w:t>
      </w:r>
      <w:r w:rsidDel="00000000" w:rsidR="00000000" w:rsidRPr="00000000">
        <w:rPr>
          <w:rFonts w:ascii="Times New Roman" w:cs="Times New Roman" w:eastAsia="Times New Roman" w:hAnsi="Times New Roman"/>
          <w:sz w:val="24"/>
          <w:szCs w:val="24"/>
          <w:rtl w:val="0"/>
        </w:rPr>
        <w:t xml:space="preserve"> Proteomic biomarkers can help predict disease outcomes and guide treatment decisions. In oncology certain protein markers  like HER2 in breast cancer, inform treatment choices and prognosis.</w:t>
      </w:r>
    </w:p>
    <w:p w:rsidR="00000000" w:rsidDel="00000000" w:rsidP="00000000" w:rsidRDefault="00000000" w:rsidRPr="00000000" w14:paraId="00000037">
      <w:pPr>
        <w:ind w:left="720"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Monitoring Treatment Response: </w:t>
      </w:r>
      <w:r w:rsidDel="00000000" w:rsidR="00000000" w:rsidRPr="00000000">
        <w:rPr>
          <w:rFonts w:ascii="Times New Roman" w:cs="Times New Roman" w:eastAsia="Times New Roman" w:hAnsi="Times New Roman"/>
          <w:sz w:val="24"/>
          <w:szCs w:val="24"/>
          <w:rtl w:val="0"/>
        </w:rPr>
        <w:t xml:space="preserve">Tracking changes in protein levels during therapy can provide insights into treatment efficacy and whether adjustments are needed.</w:t>
      </w:r>
    </w:p>
    <w:p w:rsidR="00000000" w:rsidDel="00000000" w:rsidP="00000000" w:rsidRDefault="00000000" w:rsidRPr="00000000" w14:paraId="00000038">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Case Studies:</w:t>
      </w:r>
    </w:p>
    <w:p w:rsidR="00000000" w:rsidDel="00000000" w:rsidP="00000000" w:rsidRDefault="00000000" w:rsidRPr="00000000" w14:paraId="00000039">
      <w:pPr>
        <w:ind w:left="72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Prostate-Specific Antigen (PSA):</w:t>
      </w:r>
    </w:p>
    <w:p w:rsidR="00000000" w:rsidDel="00000000" w:rsidP="00000000" w:rsidRDefault="00000000" w:rsidRPr="00000000" w14:paraId="0000003A">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Application:</w:t>
      </w:r>
      <w:r w:rsidDel="00000000" w:rsidR="00000000" w:rsidRPr="00000000">
        <w:rPr>
          <w:rFonts w:ascii="Times New Roman" w:cs="Times New Roman" w:eastAsia="Times New Roman" w:hAnsi="Times New Roman"/>
          <w:sz w:val="24"/>
          <w:szCs w:val="24"/>
          <w:rtl w:val="0"/>
        </w:rPr>
        <w:t xml:space="preserve"> PSA is a well-known proteomic biomarker used for prostate cancer screening.</w:t>
      </w:r>
    </w:p>
    <w:p w:rsidR="00000000" w:rsidDel="00000000" w:rsidP="00000000" w:rsidRDefault="00000000" w:rsidRPr="00000000" w14:paraId="0000003B">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Case: Elevated PSA levels in blood can indicate prostate issues, including cancer. PSA screening has been instrumental in detecting prostate cancer at early stages.</w:t>
      </w:r>
    </w:p>
    <w:p w:rsidR="00000000" w:rsidDel="00000000" w:rsidP="00000000" w:rsidRDefault="00000000" w:rsidRPr="00000000" w14:paraId="0000003C">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72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CA-125 (Cancer Antigen 125):</w:t>
      </w:r>
    </w:p>
    <w:p w:rsidR="00000000" w:rsidDel="00000000" w:rsidP="00000000" w:rsidRDefault="00000000" w:rsidRPr="00000000" w14:paraId="0000003D">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Application: </w:t>
      </w:r>
      <w:r w:rsidDel="00000000" w:rsidR="00000000" w:rsidRPr="00000000">
        <w:rPr>
          <w:rFonts w:ascii="Times New Roman" w:cs="Times New Roman" w:eastAsia="Times New Roman" w:hAnsi="Times New Roman"/>
          <w:sz w:val="24"/>
          <w:szCs w:val="24"/>
          <w:rtl w:val="0"/>
        </w:rPr>
        <w:t xml:space="preserve">CA-125 is a proteomic biomarker used in ovarian cancer diagnosis and monitoring.</w:t>
      </w:r>
    </w:p>
    <w:p w:rsidR="00000000" w:rsidDel="00000000" w:rsidP="00000000" w:rsidRDefault="00000000" w:rsidRPr="00000000" w14:paraId="0000003E">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144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Case: </w:t>
      </w:r>
      <w:r w:rsidDel="00000000" w:rsidR="00000000" w:rsidRPr="00000000">
        <w:rPr>
          <w:rFonts w:ascii="Times New Roman" w:cs="Times New Roman" w:eastAsia="Times New Roman" w:hAnsi="Times New Roman"/>
          <w:sz w:val="24"/>
          <w:szCs w:val="24"/>
          <w:rtl w:val="0"/>
        </w:rPr>
        <w:t xml:space="preserve">Elevated CA-125 levels in the blood are associated with ovarian cancer. This marker is used in conjunction with other tests to aid in diagnosis and assess treatment response.</w:t>
      </w:r>
    </w:p>
    <w:p w:rsidR="00000000" w:rsidDel="00000000" w:rsidP="00000000" w:rsidRDefault="00000000" w:rsidRPr="00000000" w14:paraId="0000003F">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720"/>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HER2 (Human Epidermal Growth Factor Receptor 2):</w:t>
      </w:r>
    </w:p>
    <w:p w:rsidR="00000000" w:rsidDel="00000000" w:rsidP="00000000" w:rsidRDefault="00000000" w:rsidRPr="00000000" w14:paraId="00000040">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1440" w:firstLine="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Application: </w:t>
      </w:r>
      <w:r w:rsidDel="00000000" w:rsidR="00000000" w:rsidRPr="00000000">
        <w:rPr>
          <w:rFonts w:ascii="Times New Roman" w:cs="Times New Roman" w:eastAsia="Times New Roman" w:hAnsi="Times New Roman"/>
          <w:color w:val="374151"/>
          <w:sz w:val="24"/>
          <w:szCs w:val="24"/>
          <w:rtl w:val="0"/>
        </w:rPr>
        <w:t xml:space="preserve">HER2 is a proteomic biomarker used in breast cancer.</w:t>
      </w:r>
    </w:p>
    <w:p w:rsidR="00000000" w:rsidDel="00000000" w:rsidP="00000000" w:rsidRDefault="00000000" w:rsidRPr="00000000" w14:paraId="00000041">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1440" w:firstLine="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Case: </w:t>
      </w:r>
      <w:r w:rsidDel="00000000" w:rsidR="00000000" w:rsidRPr="00000000">
        <w:rPr>
          <w:rFonts w:ascii="Times New Roman" w:cs="Times New Roman" w:eastAsia="Times New Roman" w:hAnsi="Times New Roman"/>
          <w:color w:val="374151"/>
          <w:sz w:val="24"/>
          <w:szCs w:val="24"/>
          <w:rtl w:val="0"/>
        </w:rPr>
        <w:t xml:space="preserve">HER2-positive breast cancer tends to be more aggressive, but it can be targeted with specific therapies. HER2 testing helps determine the most appropriate treatment approach.</w:t>
      </w:r>
    </w:p>
    <w:p w:rsidR="00000000" w:rsidDel="00000000" w:rsidP="00000000" w:rsidRDefault="00000000" w:rsidRPr="00000000" w14:paraId="00000042">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720"/>
        <w:rPr>
          <w:rFonts w:ascii="Times New Roman" w:cs="Times New Roman" w:eastAsia="Times New Roman" w:hAnsi="Times New Roman"/>
          <w:b w:val="1"/>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Alpha-Fetoprotein (AFP):</w:t>
      </w:r>
    </w:p>
    <w:p w:rsidR="00000000" w:rsidDel="00000000" w:rsidP="00000000" w:rsidRDefault="00000000" w:rsidRPr="00000000" w14:paraId="00000043">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1440" w:firstLine="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Application: </w:t>
      </w:r>
      <w:r w:rsidDel="00000000" w:rsidR="00000000" w:rsidRPr="00000000">
        <w:rPr>
          <w:rFonts w:ascii="Times New Roman" w:cs="Times New Roman" w:eastAsia="Times New Roman" w:hAnsi="Times New Roman"/>
          <w:color w:val="374151"/>
          <w:sz w:val="24"/>
          <w:szCs w:val="24"/>
          <w:rtl w:val="0"/>
        </w:rPr>
        <w:t xml:space="preserve">AFP is a proteomic biomarker used in liver cancer diagnosis and monitoring.</w:t>
      </w:r>
    </w:p>
    <w:p w:rsidR="00000000" w:rsidDel="00000000" w:rsidP="00000000" w:rsidRDefault="00000000" w:rsidRPr="00000000" w14:paraId="00000044">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1440" w:firstLine="0"/>
        <w:rPr>
          <w:rFonts w:ascii="Times New Roman" w:cs="Times New Roman" w:eastAsia="Times New Roman" w:hAnsi="Times New Roman"/>
          <w:color w:val="374151"/>
          <w:sz w:val="24"/>
          <w:szCs w:val="24"/>
        </w:rPr>
      </w:pPr>
      <w:r w:rsidDel="00000000" w:rsidR="00000000" w:rsidRPr="00000000">
        <w:rPr>
          <w:rFonts w:ascii="Times New Roman" w:cs="Times New Roman" w:eastAsia="Times New Roman" w:hAnsi="Times New Roman"/>
          <w:b w:val="1"/>
          <w:color w:val="374151"/>
          <w:sz w:val="24"/>
          <w:szCs w:val="24"/>
          <w:rtl w:val="0"/>
        </w:rPr>
        <w:t xml:space="preserve">Case: </w:t>
      </w:r>
      <w:r w:rsidDel="00000000" w:rsidR="00000000" w:rsidRPr="00000000">
        <w:rPr>
          <w:rFonts w:ascii="Times New Roman" w:cs="Times New Roman" w:eastAsia="Times New Roman" w:hAnsi="Times New Roman"/>
          <w:color w:val="374151"/>
          <w:sz w:val="24"/>
          <w:szCs w:val="24"/>
          <w:rtl w:val="0"/>
        </w:rPr>
        <w:t xml:space="preserve">Elevated AFP levels in the blood can indicate liver cancer or other liver diseases. Regular monitoring of AFP helps track disease progression.</w:t>
      </w:r>
    </w:p>
    <w:p w:rsidR="00000000" w:rsidDel="00000000" w:rsidP="00000000" w:rsidRDefault="00000000" w:rsidRPr="00000000" w14:paraId="00000045">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case studies illustrate the vital role that proteomic biomarkers play in diagnosing diseases, predicting outcomes, and guiding treatment decisions in clinical practice. They are integral to the advancement of personalized medicine and the improvement of patient care.</w:t>
      </w:r>
    </w:p>
    <w:p w:rsidR="00000000" w:rsidDel="00000000" w:rsidP="00000000" w:rsidRDefault="00000000" w:rsidRPr="00000000" w14:paraId="00000046">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Imaging Biomarkers</w:t>
      </w:r>
    </w:p>
    <w:p w:rsidR="00000000" w:rsidDel="00000000" w:rsidP="00000000" w:rsidRDefault="00000000" w:rsidRPr="00000000" w14:paraId="00000047">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Imaging biomarkers utilize different medical imaging techniques to visualize anatomical structures, functional processes and disease-related changes in the body. Some common imaging modalities include:</w:t>
      </w:r>
    </w:p>
    <w:p w:rsidR="00000000" w:rsidDel="00000000" w:rsidP="00000000" w:rsidRDefault="00000000" w:rsidRPr="00000000" w14:paraId="00000048">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X-ray Imaging: </w:t>
      </w:r>
      <w:r w:rsidDel="00000000" w:rsidR="00000000" w:rsidRPr="00000000">
        <w:rPr>
          <w:rFonts w:ascii="Times New Roman" w:cs="Times New Roman" w:eastAsia="Times New Roman" w:hAnsi="Times New Roman"/>
          <w:sz w:val="24"/>
          <w:szCs w:val="24"/>
          <w:rtl w:val="0"/>
        </w:rPr>
        <w:t xml:space="preserve">Uses X-rays to produce images of bones and tissues often employed for identifying fractures, lung conditions or dental problems.</w:t>
      </w:r>
    </w:p>
    <w:p w:rsidR="00000000" w:rsidDel="00000000" w:rsidP="00000000" w:rsidRDefault="00000000" w:rsidRPr="00000000" w14:paraId="00000049">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Magnetic Resonance Imaging (MRI): </w:t>
      </w:r>
      <w:r w:rsidDel="00000000" w:rsidR="00000000" w:rsidRPr="00000000">
        <w:rPr>
          <w:rFonts w:ascii="Times New Roman" w:cs="Times New Roman" w:eastAsia="Times New Roman" w:hAnsi="Times New Roman"/>
          <w:sz w:val="24"/>
          <w:szCs w:val="24"/>
          <w:rtl w:val="0"/>
        </w:rPr>
        <w:t xml:space="preserve">Utilizes powerful magnets and radio waves to create detailed images of soft tissues making it valuable for diagnosing brain and joint disorders.</w:t>
      </w:r>
    </w:p>
    <w:p w:rsidR="00000000" w:rsidDel="00000000" w:rsidP="00000000" w:rsidRDefault="00000000" w:rsidRPr="00000000" w14:paraId="0000004A">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Computed Tomography (CT) Imaging: </w:t>
      </w:r>
      <w:r w:rsidDel="00000000" w:rsidR="00000000" w:rsidRPr="00000000">
        <w:rPr>
          <w:rFonts w:ascii="Times New Roman" w:cs="Times New Roman" w:eastAsia="Times New Roman" w:hAnsi="Times New Roman"/>
          <w:sz w:val="24"/>
          <w:szCs w:val="24"/>
          <w:rtl w:val="0"/>
        </w:rPr>
        <w:t xml:space="preserve">Combines X-rays with computer processing to generate cross-sectional images of the body ideal for detecting tumors, internal injuries and vascular abnormalities.</w:t>
      </w:r>
    </w:p>
    <w:p w:rsidR="00000000" w:rsidDel="00000000" w:rsidP="00000000" w:rsidRDefault="00000000" w:rsidRPr="00000000" w14:paraId="0000004B">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Positron Emission Tomography (PET): </w:t>
      </w:r>
      <w:r w:rsidDel="00000000" w:rsidR="00000000" w:rsidRPr="00000000">
        <w:rPr>
          <w:rFonts w:ascii="Times New Roman" w:cs="Times New Roman" w:eastAsia="Times New Roman" w:hAnsi="Times New Roman"/>
          <w:sz w:val="24"/>
          <w:szCs w:val="24"/>
          <w:rtl w:val="0"/>
        </w:rPr>
        <w:t xml:space="preserve">Involves injecting a small amount of radioactive material into the body to detect areas with high metabolic activity, such as cancerous tumors.</w:t>
      </w:r>
    </w:p>
    <w:p w:rsidR="00000000" w:rsidDel="00000000" w:rsidP="00000000" w:rsidRDefault="00000000" w:rsidRPr="00000000" w14:paraId="0000004C">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Ultrasound: </w:t>
      </w:r>
      <w:r w:rsidDel="00000000" w:rsidR="00000000" w:rsidRPr="00000000">
        <w:rPr>
          <w:rFonts w:ascii="Times New Roman" w:cs="Times New Roman" w:eastAsia="Times New Roman" w:hAnsi="Times New Roman"/>
          <w:sz w:val="24"/>
          <w:szCs w:val="24"/>
          <w:rtl w:val="0"/>
        </w:rPr>
        <w:t xml:space="preserve">Uses sound waves to produce images of internal organs, making it safe for monitoring fetal development during pregnancy and diagnosing conditions like gallstones.</w:t>
      </w:r>
    </w:p>
    <w:p w:rsidR="00000000" w:rsidDel="00000000" w:rsidP="00000000" w:rsidRDefault="00000000" w:rsidRPr="00000000" w14:paraId="0000004D">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Functional MRI (fMRI): </w:t>
      </w:r>
      <w:r w:rsidDel="00000000" w:rsidR="00000000" w:rsidRPr="00000000">
        <w:rPr>
          <w:rFonts w:ascii="Times New Roman" w:cs="Times New Roman" w:eastAsia="Times New Roman" w:hAnsi="Times New Roman"/>
          <w:sz w:val="24"/>
          <w:szCs w:val="24"/>
          <w:rtl w:val="0"/>
        </w:rPr>
        <w:t xml:space="preserve">Measures changes in blood flow to map brain activity and identify regions associated with specific functions or cognitive tasks.</w:t>
      </w:r>
    </w:p>
    <w:p w:rsidR="00000000" w:rsidDel="00000000" w:rsidP="00000000" w:rsidRDefault="00000000" w:rsidRPr="00000000" w14:paraId="0000004E">
      <w:pPr>
        <w:pBdr>
          <w:top w:color="d9d9e3" w:space="0" w:sz="0" w:val="none"/>
          <w:left w:color="d9d9e3" w:space="0" w:sz="0" w:val="none"/>
          <w:bottom w:color="d9d9e3" w:space="0" w:sz="0" w:val="none"/>
          <w:right w:color="d9d9e3" w:space="0" w:sz="0" w:val="none"/>
          <w:between w:color="d9d9e3" w:space="0" w:sz="0" w:val="none"/>
        </w:pBdr>
        <w:spacing w:after="30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Disease Localization and Monitoring: Imaging biomarkers are crucial for localizing diseases within the body and monitoring their progression over time. They provide valuable information about the location, size and extent of abnormalities. Additionally, functional imaging can reveal how certain tissues or organs are functioning and responding to treatment.</w:t>
      </w:r>
    </w:p>
    <w:p w:rsidR="00000000" w:rsidDel="00000000" w:rsidP="00000000" w:rsidRDefault="00000000" w:rsidRPr="00000000" w14:paraId="0000004F">
      <w:pPr>
        <w:pBdr>
          <w:top w:color="d9d9e3" w:space="0" w:sz="0" w:val="none"/>
          <w:left w:color="d9d9e3" w:space="0" w:sz="0" w:val="none"/>
          <w:bottom w:color="d9d9e3" w:space="0" w:sz="0" w:val="none"/>
          <w:right w:color="d9d9e3" w:space="0" w:sz="0" w:val="none"/>
          <w:between w:color="d9d9e3" w:space="0" w:sz="0" w:val="none"/>
        </w:pBdr>
        <w:spacing w:after="300" w:before="300" w:line="420"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some clinical examples of how imaging biomarkers are applied in healthcare:</w:t>
      </w:r>
    </w:p>
    <w:p w:rsidR="00000000" w:rsidDel="00000000" w:rsidP="00000000" w:rsidRDefault="00000000" w:rsidRPr="00000000" w14:paraId="00000050">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Mammography: </w:t>
      </w:r>
      <w:r w:rsidDel="00000000" w:rsidR="00000000" w:rsidRPr="00000000">
        <w:rPr>
          <w:rFonts w:ascii="Times New Roman" w:cs="Times New Roman" w:eastAsia="Times New Roman" w:hAnsi="Times New Roman"/>
          <w:sz w:val="24"/>
          <w:szCs w:val="24"/>
          <w:rtl w:val="0"/>
        </w:rPr>
        <w:t xml:space="preserve">An imaging biomarker for breast cancer screening, mammograms use X-rays to detect early signs of breast cancer by visualizing breast tissue.</w:t>
      </w:r>
    </w:p>
    <w:p w:rsidR="00000000" w:rsidDel="00000000" w:rsidP="00000000" w:rsidRDefault="00000000" w:rsidRPr="00000000" w14:paraId="00000051">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MRI in Stroke: </w:t>
      </w:r>
      <w:r w:rsidDel="00000000" w:rsidR="00000000" w:rsidRPr="00000000">
        <w:rPr>
          <w:rFonts w:ascii="Times New Roman" w:cs="Times New Roman" w:eastAsia="Times New Roman" w:hAnsi="Times New Roman"/>
          <w:sz w:val="24"/>
          <w:szCs w:val="24"/>
          <w:rtl w:val="0"/>
        </w:rPr>
        <w:t xml:space="preserve">MRI imaging can identify brain tissue damage caused by strokes, helping doctors determine the type and severity of the stroke and guiding treatment decisions.</w:t>
      </w:r>
    </w:p>
    <w:p w:rsidR="00000000" w:rsidDel="00000000" w:rsidP="00000000" w:rsidRDefault="00000000" w:rsidRPr="00000000" w14:paraId="00000052">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CT Angiography: </w:t>
      </w:r>
      <w:r w:rsidDel="00000000" w:rsidR="00000000" w:rsidRPr="00000000">
        <w:rPr>
          <w:rFonts w:ascii="Times New Roman" w:cs="Times New Roman" w:eastAsia="Times New Roman" w:hAnsi="Times New Roman"/>
          <w:sz w:val="24"/>
          <w:szCs w:val="24"/>
          <w:rtl w:val="0"/>
        </w:rPr>
        <w:t xml:space="preserve">CT angiography is used to visualize blood vessels and assess the presence of vascular conditions like aneurysms or blockages.</w:t>
      </w:r>
    </w:p>
    <w:p w:rsidR="00000000" w:rsidDel="00000000" w:rsidP="00000000" w:rsidRDefault="00000000" w:rsidRPr="00000000" w14:paraId="00000053">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PET Scans in Oncology: </w:t>
      </w:r>
      <w:r w:rsidDel="00000000" w:rsidR="00000000" w:rsidRPr="00000000">
        <w:rPr>
          <w:rFonts w:ascii="Times New Roman" w:cs="Times New Roman" w:eastAsia="Times New Roman" w:hAnsi="Times New Roman"/>
          <w:sz w:val="24"/>
          <w:szCs w:val="24"/>
          <w:rtl w:val="0"/>
        </w:rPr>
        <w:t xml:space="preserve">Positron emission tomography (PET) scans are employed to pinpoint the location and metabolic activity of cancer cells, aiding in staging, treatment planning, and monitoring treatment responses in cancer patients.</w:t>
      </w:r>
    </w:p>
    <w:p w:rsidR="00000000" w:rsidDel="00000000" w:rsidP="00000000" w:rsidRDefault="00000000" w:rsidRPr="00000000" w14:paraId="00000054">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Ultrasound in Pregnancy: </w:t>
      </w:r>
      <w:r w:rsidDel="00000000" w:rsidR="00000000" w:rsidRPr="00000000">
        <w:rPr>
          <w:rFonts w:ascii="Times New Roman" w:cs="Times New Roman" w:eastAsia="Times New Roman" w:hAnsi="Times New Roman"/>
          <w:sz w:val="24"/>
          <w:szCs w:val="24"/>
          <w:rtl w:val="0"/>
        </w:rPr>
        <w:t xml:space="preserve">Ultrasound imaging serves as a non-invasive method for monitoring fetal development during pregnancy and identifying potential issues.</w:t>
      </w:r>
    </w:p>
    <w:p w:rsidR="00000000" w:rsidDel="00000000" w:rsidP="00000000" w:rsidRDefault="00000000" w:rsidRPr="00000000" w14:paraId="00000055">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72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Functional MRI in Neurology: </w:t>
      </w:r>
      <w:r w:rsidDel="00000000" w:rsidR="00000000" w:rsidRPr="00000000">
        <w:rPr>
          <w:rFonts w:ascii="Times New Roman" w:cs="Times New Roman" w:eastAsia="Times New Roman" w:hAnsi="Times New Roman"/>
          <w:sz w:val="24"/>
          <w:szCs w:val="24"/>
          <w:rtl w:val="0"/>
        </w:rPr>
        <w:t xml:space="preserve">Functional MRI (fMRI) is used to map brain activity in neuroscience research and clinical settings to understand brain disorders such as epilepsy or Alzheimer's disease.</w:t>
      </w:r>
    </w:p>
    <w:p w:rsidR="00000000" w:rsidDel="00000000" w:rsidP="00000000" w:rsidRDefault="00000000" w:rsidRPr="00000000" w14:paraId="00000056">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examples demonstrate how imaging biomarkers contribute to the diagnosis, localization and monitoring of various medical conditions ultimately improving patient care and treatment outcomes.</w:t>
      </w:r>
    </w:p>
    <w:p w:rsidR="00000000" w:rsidDel="00000000" w:rsidP="00000000" w:rsidRDefault="00000000" w:rsidRPr="00000000" w14:paraId="00000057">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Applications of Biomarkers</w:t>
      </w:r>
    </w:p>
    <w:p w:rsidR="00000000" w:rsidDel="00000000" w:rsidP="00000000" w:rsidRDefault="00000000" w:rsidRPr="00000000" w14:paraId="00000058">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Biomarkers play a crucial role in various applications in the field of healthcare and medicine, including disease diagnosis. Here are some key aspects of the application of biomarkers in disease diagnosis:</w:t>
      </w:r>
    </w:p>
    <w:p w:rsidR="00000000" w:rsidDel="00000000" w:rsidP="00000000" w:rsidRDefault="00000000" w:rsidRPr="00000000" w14:paraId="00000059">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Disease Diagnosis:</w:t>
      </w:r>
    </w:p>
    <w:p w:rsidR="00000000" w:rsidDel="00000000" w:rsidP="00000000" w:rsidRDefault="00000000" w:rsidRPr="00000000" w14:paraId="0000005A">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Early Detection: </w:t>
      </w:r>
      <w:r w:rsidDel="00000000" w:rsidR="00000000" w:rsidRPr="00000000">
        <w:rPr>
          <w:rFonts w:ascii="Times New Roman" w:cs="Times New Roman" w:eastAsia="Times New Roman" w:hAnsi="Times New Roman"/>
          <w:sz w:val="24"/>
          <w:szCs w:val="24"/>
          <w:rtl w:val="0"/>
        </w:rPr>
        <w:t xml:space="preserve"> Biomarkers can facilitate the early detection of diseases often before clinical symptoms manifest. Early diagnosis can lead to more effective treatments and improved patient outcomes.</w:t>
      </w:r>
    </w:p>
    <w:p w:rsidR="00000000" w:rsidDel="00000000" w:rsidP="00000000" w:rsidRDefault="00000000" w:rsidRPr="00000000" w14:paraId="0000005B">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Disease-Specific Biomarkers: </w:t>
      </w:r>
      <w:r w:rsidDel="00000000" w:rsidR="00000000" w:rsidRPr="00000000">
        <w:rPr>
          <w:rFonts w:ascii="Times New Roman" w:cs="Times New Roman" w:eastAsia="Times New Roman" w:hAnsi="Times New Roman"/>
          <w:sz w:val="24"/>
          <w:szCs w:val="24"/>
          <w:rtl w:val="0"/>
        </w:rPr>
        <w:t xml:space="preserve">Some biomarkers are highly specific to certain diseases. For example, prostate-specific antigen (PSA) is a biomarker primarily associated with prostate cancer, and its measurement aids in diagnosing and monitoring the disease.</w:t>
      </w:r>
    </w:p>
    <w:p w:rsidR="00000000" w:rsidDel="00000000" w:rsidP="00000000" w:rsidRDefault="00000000" w:rsidRPr="00000000" w14:paraId="0000005C">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Clinical Relevance: </w:t>
      </w:r>
      <w:r w:rsidDel="00000000" w:rsidR="00000000" w:rsidRPr="00000000">
        <w:rPr>
          <w:rFonts w:ascii="Times New Roman" w:cs="Times New Roman" w:eastAsia="Times New Roman" w:hAnsi="Times New Roman"/>
          <w:sz w:val="24"/>
          <w:szCs w:val="24"/>
          <w:rtl w:val="0"/>
        </w:rPr>
        <w:t xml:space="preserve">Biomarkers used for diagnosis must have clinical relevance and be supported by scientific evidence. Rigorous validation studies are essential to establish their accuracy and reliability.</w:t>
      </w:r>
      <w:r w:rsidDel="00000000" w:rsidR="00000000" w:rsidRPr="00000000">
        <w:rPr>
          <w:rtl w:val="0"/>
        </w:rPr>
      </w:r>
    </w:p>
    <w:p w:rsidR="00000000" w:rsidDel="00000000" w:rsidP="00000000" w:rsidRDefault="00000000" w:rsidRPr="00000000" w14:paraId="0000005D">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Examples:</w:t>
      </w:r>
    </w:p>
    <w:p w:rsidR="00000000" w:rsidDel="00000000" w:rsidP="00000000" w:rsidRDefault="00000000" w:rsidRPr="00000000" w14:paraId="0000005E">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Cancer:  </w:t>
      </w:r>
      <w:r w:rsidDel="00000000" w:rsidR="00000000" w:rsidRPr="00000000">
        <w:rPr>
          <w:rFonts w:ascii="Times New Roman" w:cs="Times New Roman" w:eastAsia="Times New Roman" w:hAnsi="Times New Roman"/>
          <w:sz w:val="24"/>
          <w:szCs w:val="24"/>
          <w:rtl w:val="0"/>
        </w:rPr>
        <w:t xml:space="preserve">Biomarkers like CA-125 for ovarian cancer or HER2/neu for breast cancer are employed in the diagnosis and management of these malignancies.</w:t>
      </w:r>
    </w:p>
    <w:p w:rsidR="00000000" w:rsidDel="00000000" w:rsidP="00000000" w:rsidRDefault="00000000" w:rsidRPr="00000000" w14:paraId="0000005F">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Infectious Diseases: </w:t>
      </w:r>
      <w:r w:rsidDel="00000000" w:rsidR="00000000" w:rsidRPr="00000000">
        <w:rPr>
          <w:rFonts w:ascii="Times New Roman" w:cs="Times New Roman" w:eastAsia="Times New Roman" w:hAnsi="Times New Roman"/>
          <w:sz w:val="24"/>
          <w:szCs w:val="24"/>
          <w:rtl w:val="0"/>
        </w:rPr>
        <w:t xml:space="preserve">Biomarkers such as viral RNA or specific antibodies are utilized for diagnosing infections like HIV, hepatitis, or COVID-19.</w:t>
      </w:r>
    </w:p>
    <w:p w:rsidR="00000000" w:rsidDel="00000000" w:rsidP="00000000" w:rsidRDefault="00000000" w:rsidRPr="00000000" w14:paraId="00000060">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Neurological Disorders:</w:t>
      </w:r>
      <w:r w:rsidDel="00000000" w:rsidR="00000000" w:rsidRPr="00000000">
        <w:rPr>
          <w:rFonts w:ascii="Times New Roman" w:cs="Times New Roman" w:eastAsia="Times New Roman" w:hAnsi="Times New Roman"/>
          <w:sz w:val="24"/>
          <w:szCs w:val="24"/>
          <w:rtl w:val="0"/>
        </w:rPr>
        <w:t xml:space="preserve"> Cerebrospinal fluid biomarkers like tau and beta-amyloid are employed in the diagnosis of Alzheimer's disease.</w:t>
      </w:r>
    </w:p>
    <w:p w:rsidR="00000000" w:rsidDel="00000000" w:rsidP="00000000" w:rsidRDefault="00000000" w:rsidRPr="00000000" w14:paraId="00000061">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Clinical Significance:</w:t>
      </w:r>
    </w:p>
    <w:p w:rsidR="00000000" w:rsidDel="00000000" w:rsidP="00000000" w:rsidRDefault="00000000" w:rsidRPr="00000000" w14:paraId="00000062">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Biomarker-based disease diagnosis allows for quicker and more accurate identification of health conditions. Early diagnosis often leads to more successful treatment outcomes and the potential for disease prevention or management. Biomarker-based tests can assist healthcare providers in selecting the most appropriate treatment strategies for individual patients, supporting the concept of personalized medicine. Disease-specific biomarkers can reduce misdiagnoses and improve patient care, making them invaluable tools in clinical practice.</w:t>
      </w:r>
    </w:p>
    <w:p w:rsidR="00000000" w:rsidDel="00000000" w:rsidP="00000000" w:rsidRDefault="00000000" w:rsidRPr="00000000" w14:paraId="00000063">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biomarkers are instrumental in disease diagnosis, offering the potential for early detection, improved accuracy, and personalized treatment strategies. Their clinical relevance and validation are critical factors in their successful application in healthcare.</w:t>
      </w:r>
    </w:p>
    <w:p w:rsidR="00000000" w:rsidDel="00000000" w:rsidP="00000000" w:rsidRDefault="00000000" w:rsidRPr="00000000" w14:paraId="00000064">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Challenges in Biomarker Research</w:t>
      </w:r>
    </w:p>
    <w:p w:rsidR="00000000" w:rsidDel="00000000" w:rsidP="00000000" w:rsidRDefault="00000000" w:rsidRPr="00000000" w14:paraId="00000065">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Here are some of the key challenges in biomarker research:</w:t>
      </w:r>
    </w:p>
    <w:p w:rsidR="00000000" w:rsidDel="00000000" w:rsidP="00000000" w:rsidRDefault="00000000" w:rsidRPr="00000000" w14:paraId="00000066">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Standardization and Reproducibility:</w:t>
      </w:r>
    </w:p>
    <w:p w:rsidR="00000000" w:rsidDel="00000000" w:rsidP="00000000" w:rsidRDefault="00000000" w:rsidRPr="00000000" w14:paraId="00000067">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Variability: </w:t>
      </w:r>
      <w:r w:rsidDel="00000000" w:rsidR="00000000" w:rsidRPr="00000000">
        <w:rPr>
          <w:rFonts w:ascii="Times New Roman" w:cs="Times New Roman" w:eastAsia="Times New Roman" w:hAnsi="Times New Roman"/>
          <w:sz w:val="24"/>
          <w:szCs w:val="24"/>
          <w:rtl w:val="0"/>
        </w:rPr>
        <w:t xml:space="preserve">Biomarker measurements can vary between different laboratories, platforms, and even operators, making it challenging to establish consistent and reproducible results.</w:t>
      </w:r>
    </w:p>
    <w:p w:rsidR="00000000" w:rsidDel="00000000" w:rsidP="00000000" w:rsidRDefault="00000000" w:rsidRPr="00000000" w14:paraId="00000068">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Standardization: </w:t>
      </w:r>
      <w:r w:rsidDel="00000000" w:rsidR="00000000" w:rsidRPr="00000000">
        <w:rPr>
          <w:rFonts w:ascii="Times New Roman" w:cs="Times New Roman" w:eastAsia="Times New Roman" w:hAnsi="Times New Roman"/>
          <w:sz w:val="24"/>
          <w:szCs w:val="24"/>
          <w:rtl w:val="0"/>
        </w:rPr>
        <w:t xml:space="preserve">The lack of standardized protocols and reference materials for biomarker analysis can hinder the comparability of results across studies and institutions.</w:t>
      </w:r>
    </w:p>
    <w:p w:rsidR="00000000" w:rsidDel="00000000" w:rsidP="00000000" w:rsidRDefault="00000000" w:rsidRPr="00000000" w14:paraId="00000069">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Validation Studies:</w:t>
      </w:r>
    </w:p>
    <w:p w:rsidR="00000000" w:rsidDel="00000000" w:rsidP="00000000" w:rsidRDefault="00000000" w:rsidRPr="00000000" w14:paraId="0000006A">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Clinical Validation: </w:t>
      </w:r>
      <w:r w:rsidDel="00000000" w:rsidR="00000000" w:rsidRPr="00000000">
        <w:rPr>
          <w:rFonts w:ascii="Times New Roman" w:cs="Times New Roman" w:eastAsia="Times New Roman" w:hAnsi="Times New Roman"/>
          <w:sz w:val="24"/>
          <w:szCs w:val="24"/>
          <w:rtl w:val="0"/>
        </w:rPr>
        <w:t xml:space="preserve">Demonstrating that a biomarker is truly associated with a specific disease or condition and is reliable for diagnostic or prognostic purposes requires rigorous clinical validation studies.</w:t>
      </w:r>
    </w:p>
    <w:p w:rsidR="00000000" w:rsidDel="00000000" w:rsidP="00000000" w:rsidRDefault="00000000" w:rsidRPr="00000000" w14:paraId="0000006B">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External Validation:</w:t>
      </w:r>
      <w:r w:rsidDel="00000000" w:rsidR="00000000" w:rsidRPr="00000000">
        <w:rPr>
          <w:rFonts w:ascii="Times New Roman" w:cs="Times New Roman" w:eastAsia="Times New Roman" w:hAnsi="Times New Roman"/>
          <w:sz w:val="24"/>
          <w:szCs w:val="24"/>
          <w:rtl w:val="0"/>
        </w:rPr>
        <w:t xml:space="preserve"> Biomarkers must often undergo validation in diverse populations to ensure their generalizability and effectiveness across different patient groups.</w:t>
      </w:r>
    </w:p>
    <w:p w:rsidR="00000000" w:rsidDel="00000000" w:rsidP="00000000" w:rsidRDefault="00000000" w:rsidRPr="00000000" w14:paraId="0000006C">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Ethical and Privacy Concerns:</w:t>
      </w:r>
    </w:p>
    <w:p w:rsidR="00000000" w:rsidDel="00000000" w:rsidP="00000000" w:rsidRDefault="00000000" w:rsidRPr="00000000" w14:paraId="0000006D">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Informed Consent: </w:t>
      </w:r>
      <w:r w:rsidDel="00000000" w:rsidR="00000000" w:rsidRPr="00000000">
        <w:rPr>
          <w:rFonts w:ascii="Times New Roman" w:cs="Times New Roman" w:eastAsia="Times New Roman" w:hAnsi="Times New Roman"/>
          <w:sz w:val="24"/>
          <w:szCs w:val="24"/>
          <w:rtl w:val="0"/>
        </w:rPr>
        <w:t xml:space="preserve">Collecting biological samples for biomarker research must be done with informed consent, ensuring that individuals understand how their data and samples will be used.</w:t>
      </w:r>
    </w:p>
    <w:p w:rsidR="00000000" w:rsidDel="00000000" w:rsidP="00000000" w:rsidRDefault="00000000" w:rsidRPr="00000000" w14:paraId="0000006E">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Privacy and Data Security: </w:t>
      </w:r>
      <w:r w:rsidDel="00000000" w:rsidR="00000000" w:rsidRPr="00000000">
        <w:rPr>
          <w:rFonts w:ascii="Times New Roman" w:cs="Times New Roman" w:eastAsia="Times New Roman" w:hAnsi="Times New Roman"/>
          <w:sz w:val="24"/>
          <w:szCs w:val="24"/>
          <w:rtl w:val="0"/>
        </w:rPr>
        <w:t xml:space="preserve">Biomarker data often include sensitive genetic and health information, raising concerns about data breaches and the misuse of personal information.</w:t>
      </w:r>
    </w:p>
    <w:p w:rsidR="00000000" w:rsidDel="00000000" w:rsidP="00000000" w:rsidRDefault="00000000" w:rsidRPr="00000000" w14:paraId="0000006F">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Genetic Discrimination:</w:t>
      </w:r>
      <w:r w:rsidDel="00000000" w:rsidR="00000000" w:rsidRPr="00000000">
        <w:rPr>
          <w:rFonts w:ascii="Times New Roman" w:cs="Times New Roman" w:eastAsia="Times New Roman" w:hAnsi="Times New Roman"/>
          <w:sz w:val="24"/>
          <w:szCs w:val="24"/>
          <w:rtl w:val="0"/>
        </w:rPr>
        <w:t xml:space="preserve"> Worries about potential genetic discrimination based on biomarker information can deter individuals from participating in research or sharing their genetic data.</w:t>
      </w:r>
    </w:p>
    <w:p w:rsidR="00000000" w:rsidDel="00000000" w:rsidP="00000000" w:rsidRDefault="00000000" w:rsidRPr="00000000" w14:paraId="00000070">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1">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Sample Collection and Biobanking:</w:t>
      </w:r>
    </w:p>
    <w:p w:rsidR="00000000" w:rsidDel="00000000" w:rsidP="00000000" w:rsidRDefault="00000000" w:rsidRPr="00000000" w14:paraId="00000072">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Sample Quality:</w:t>
      </w:r>
      <w:r w:rsidDel="00000000" w:rsidR="00000000" w:rsidRPr="00000000">
        <w:rPr>
          <w:rFonts w:ascii="Times New Roman" w:cs="Times New Roman" w:eastAsia="Times New Roman" w:hAnsi="Times New Roman"/>
          <w:sz w:val="24"/>
          <w:szCs w:val="24"/>
          <w:rtl w:val="0"/>
        </w:rPr>
        <w:t xml:space="preserve"> Proper handling and storage of biological samples are crucial for biomarker research, as sample degradation can lead to unreliable results.</w:t>
      </w:r>
    </w:p>
    <w:p w:rsidR="00000000" w:rsidDel="00000000" w:rsidP="00000000" w:rsidRDefault="00000000" w:rsidRPr="00000000" w14:paraId="00000073">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Sample Size: </w:t>
      </w:r>
      <w:r w:rsidDel="00000000" w:rsidR="00000000" w:rsidRPr="00000000">
        <w:rPr>
          <w:rFonts w:ascii="Times New Roman" w:cs="Times New Roman" w:eastAsia="Times New Roman" w:hAnsi="Times New Roman"/>
          <w:sz w:val="24"/>
          <w:szCs w:val="24"/>
          <w:rtl w:val="0"/>
        </w:rPr>
        <w:t xml:space="preserve">Gathering a sufficiently large and diverse set of samples can be challenging, especially for rare diseases or conditions.</w:t>
      </w:r>
    </w:p>
    <w:p w:rsidR="00000000" w:rsidDel="00000000" w:rsidP="00000000" w:rsidRDefault="00000000" w:rsidRPr="00000000" w14:paraId="00000074">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Biological Complexity:</w:t>
      </w:r>
    </w:p>
    <w:p w:rsidR="00000000" w:rsidDel="00000000" w:rsidP="00000000" w:rsidRDefault="00000000" w:rsidRPr="00000000" w14:paraId="00000075">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Multifactorial Diseases:</w:t>
      </w:r>
      <w:r w:rsidDel="00000000" w:rsidR="00000000" w:rsidRPr="00000000">
        <w:rPr>
          <w:rFonts w:ascii="Times New Roman" w:cs="Times New Roman" w:eastAsia="Times New Roman" w:hAnsi="Times New Roman"/>
          <w:sz w:val="24"/>
          <w:szCs w:val="24"/>
          <w:rtl w:val="0"/>
        </w:rPr>
        <w:t xml:space="preserve"> Many diseases result from complex interactions between genetic, environmental, and lifestyle factors, making it difficult to pinpoint single biomarkers that adequately capture disease risk or progression.</w:t>
      </w:r>
    </w:p>
    <w:p w:rsidR="00000000" w:rsidDel="00000000" w:rsidP="00000000" w:rsidRDefault="00000000" w:rsidRPr="00000000" w14:paraId="00000076">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Temporal Changes: </w:t>
      </w:r>
      <w:r w:rsidDel="00000000" w:rsidR="00000000" w:rsidRPr="00000000">
        <w:rPr>
          <w:rFonts w:ascii="Times New Roman" w:cs="Times New Roman" w:eastAsia="Times New Roman" w:hAnsi="Times New Roman"/>
          <w:sz w:val="24"/>
          <w:szCs w:val="24"/>
          <w:rtl w:val="0"/>
        </w:rPr>
        <w:t xml:space="preserve">Biomarker levels can change over time, making it necessary to consider the timing of sample collection and the dynamic nature of biomarker profiles.</w:t>
      </w:r>
    </w:p>
    <w:p w:rsidR="00000000" w:rsidDel="00000000" w:rsidP="00000000" w:rsidRDefault="00000000" w:rsidRPr="00000000" w14:paraId="00000077">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78">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Cost and Resource Limitations:</w:t>
      </w:r>
    </w:p>
    <w:p w:rsidR="00000000" w:rsidDel="00000000" w:rsidP="00000000" w:rsidRDefault="00000000" w:rsidRPr="00000000" w14:paraId="00000079">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Research Funding: </w:t>
      </w:r>
      <w:r w:rsidDel="00000000" w:rsidR="00000000" w:rsidRPr="00000000">
        <w:rPr>
          <w:rFonts w:ascii="Times New Roman" w:cs="Times New Roman" w:eastAsia="Times New Roman" w:hAnsi="Times New Roman"/>
          <w:sz w:val="24"/>
          <w:szCs w:val="24"/>
          <w:rtl w:val="0"/>
        </w:rPr>
        <w:t xml:space="preserve">Biomarker discovery and validation studies often require substantial financial resources, which may limit the pursuit of promising biomarkers, especially for rare diseases.</w:t>
      </w:r>
    </w:p>
    <w:p w:rsidR="00000000" w:rsidDel="00000000" w:rsidP="00000000" w:rsidRDefault="00000000" w:rsidRPr="00000000" w14:paraId="0000007A">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Advanced Technology: </w:t>
      </w:r>
      <w:r w:rsidDel="00000000" w:rsidR="00000000" w:rsidRPr="00000000">
        <w:rPr>
          <w:rFonts w:ascii="Times New Roman" w:cs="Times New Roman" w:eastAsia="Times New Roman" w:hAnsi="Times New Roman"/>
          <w:sz w:val="24"/>
          <w:szCs w:val="24"/>
          <w:rtl w:val="0"/>
        </w:rPr>
        <w:t xml:space="preserve">Access to cutting-edge technology and expertise can be a barrier for smaller research institutions and resource-limited settings.</w:t>
      </w:r>
    </w:p>
    <w:p w:rsidR="00000000" w:rsidDel="00000000" w:rsidP="00000000" w:rsidRDefault="00000000" w:rsidRPr="00000000" w14:paraId="0000007B">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Regulatory and Approval Challenges:</w:t>
      </w:r>
    </w:p>
    <w:p w:rsidR="00000000" w:rsidDel="00000000" w:rsidP="00000000" w:rsidRDefault="00000000" w:rsidRPr="00000000" w14:paraId="0000007C">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Regulatory Hurdles:</w:t>
      </w:r>
      <w:r w:rsidDel="00000000" w:rsidR="00000000" w:rsidRPr="00000000">
        <w:rPr>
          <w:rFonts w:ascii="Times New Roman" w:cs="Times New Roman" w:eastAsia="Times New Roman" w:hAnsi="Times New Roman"/>
          <w:sz w:val="24"/>
          <w:szCs w:val="24"/>
          <w:rtl w:val="0"/>
        </w:rPr>
        <w:t xml:space="preserve"> Biomarkers intended for clinical use often face regulatory approval challenges, requiring robust evidence of safety and effectiveness.</w:t>
      </w:r>
    </w:p>
    <w:p w:rsidR="00000000" w:rsidDel="00000000" w:rsidP="00000000" w:rsidRDefault="00000000" w:rsidRPr="00000000" w14:paraId="0000007D">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Reimbursement Issues: </w:t>
      </w:r>
      <w:r w:rsidDel="00000000" w:rsidR="00000000" w:rsidRPr="00000000">
        <w:rPr>
          <w:rFonts w:ascii="Times New Roman" w:cs="Times New Roman" w:eastAsia="Times New Roman" w:hAnsi="Times New Roman"/>
          <w:sz w:val="24"/>
          <w:szCs w:val="24"/>
          <w:rtl w:val="0"/>
        </w:rPr>
        <w:t xml:space="preserve">Securing reimbursement for biomarker-based tests can be complex, affecting their adoption in clinical practice.</w:t>
      </w:r>
    </w:p>
    <w:p w:rsidR="00000000" w:rsidDel="00000000" w:rsidP="00000000" w:rsidRDefault="00000000" w:rsidRPr="00000000" w14:paraId="0000007E">
      <w:pPr>
        <w:pBdr>
          <w:top w:color="d9d9e3" w:space="0" w:sz="0" w:val="none"/>
          <w:left w:color="d9d9e3" w:space="0" w:sz="0" w:val="none"/>
          <w:bottom w:color="d9d9e3" w:space="0" w:sz="0" w:val="none"/>
          <w:right w:color="d9d9e3" w:space="0" w:sz="0" w:val="none"/>
          <w:between w:color="d9d9e3" w:space="0" w:sz="0" w:val="none"/>
        </w:pBdr>
        <w:spacing w:after="0" w:before="300" w:line="276" w:lineRule="auto"/>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Addressing these challenges is crucial for advancing biomarker research, ensuring the reliability of biomarker-based diagnostics and treatments, and addressing ethical and privacy concerns to protect individuals participating in research studies.</w:t>
      </w:r>
    </w:p>
    <w:p w:rsidR="00000000" w:rsidDel="00000000" w:rsidP="00000000" w:rsidRDefault="00000000" w:rsidRPr="00000000" w14:paraId="0000007F">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80">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Certainly, let's explore the future directions and trends in each of these areas:</w:t>
      </w:r>
    </w:p>
    <w:p w:rsidR="00000000" w:rsidDel="00000000" w:rsidP="00000000" w:rsidRDefault="00000000" w:rsidRPr="00000000" w14:paraId="00000081">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Advancements in Omics Technologies:</w:t>
      </w:r>
    </w:p>
    <w:p w:rsidR="00000000" w:rsidDel="00000000" w:rsidP="00000000" w:rsidRDefault="00000000" w:rsidRPr="00000000" w14:paraId="00000082">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Multi-Omics Integration: </w:t>
      </w:r>
      <w:r w:rsidDel="00000000" w:rsidR="00000000" w:rsidRPr="00000000">
        <w:rPr>
          <w:rFonts w:ascii="Times New Roman" w:cs="Times New Roman" w:eastAsia="Times New Roman" w:hAnsi="Times New Roman"/>
          <w:sz w:val="24"/>
          <w:szCs w:val="24"/>
          <w:rtl w:val="0"/>
        </w:rPr>
        <w:t xml:space="preserve">The integration of genomics, proteomics, metabolomics, and other omics data will become more prevalent, allowing for a comprehensive understanding of complex biological processes.</w:t>
      </w:r>
    </w:p>
    <w:p w:rsidR="00000000" w:rsidDel="00000000" w:rsidP="00000000" w:rsidRDefault="00000000" w:rsidRPr="00000000" w14:paraId="00000083">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Single-Cell Omics:</w:t>
      </w:r>
      <w:r w:rsidDel="00000000" w:rsidR="00000000" w:rsidRPr="00000000">
        <w:rPr>
          <w:rFonts w:ascii="Times New Roman" w:cs="Times New Roman" w:eastAsia="Times New Roman" w:hAnsi="Times New Roman"/>
          <w:sz w:val="24"/>
          <w:szCs w:val="24"/>
          <w:rtl w:val="0"/>
        </w:rPr>
        <w:t xml:space="preserve"> The ability to analyze individual cells at the molecular level will advance our understanding of cell heterogeneity and tissue function, benefiting fields like cancer research and regenerative medicine.</w:t>
      </w:r>
    </w:p>
    <w:p w:rsidR="00000000" w:rsidDel="00000000" w:rsidP="00000000" w:rsidRDefault="00000000" w:rsidRPr="00000000" w14:paraId="00000084">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Long-Read Sequencing: </w:t>
      </w:r>
      <w:r w:rsidDel="00000000" w:rsidR="00000000" w:rsidRPr="00000000">
        <w:rPr>
          <w:rFonts w:ascii="Times New Roman" w:cs="Times New Roman" w:eastAsia="Times New Roman" w:hAnsi="Times New Roman"/>
          <w:sz w:val="24"/>
          <w:szCs w:val="24"/>
          <w:rtl w:val="0"/>
        </w:rPr>
        <w:t xml:space="preserve">Technologies like long-read DNA sequencing will provide more accurate and complete genomic information, enhancing the discovery of genetic biomarkers and structural variations.</w:t>
      </w:r>
    </w:p>
    <w:p w:rsidR="00000000" w:rsidDel="00000000" w:rsidP="00000000" w:rsidRDefault="00000000" w:rsidRPr="00000000" w14:paraId="00000085">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Artificial Intelligence and Machine Learning:</w:t>
      </w:r>
    </w:p>
    <w:p w:rsidR="00000000" w:rsidDel="00000000" w:rsidP="00000000" w:rsidRDefault="00000000" w:rsidRPr="00000000" w14:paraId="00000086">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Predictive Analytics: </w:t>
      </w:r>
      <w:r w:rsidDel="00000000" w:rsidR="00000000" w:rsidRPr="00000000">
        <w:rPr>
          <w:rFonts w:ascii="Times New Roman" w:cs="Times New Roman" w:eastAsia="Times New Roman" w:hAnsi="Times New Roman"/>
          <w:sz w:val="24"/>
          <w:szCs w:val="24"/>
          <w:rtl w:val="0"/>
        </w:rPr>
        <w:t xml:space="preserve">AI and machine learning will continue to play a crucial role in biomarker discovery by identifying subtle patterns and associations in large datasets, aiding in early disease detection and risk prediction.</w:t>
      </w:r>
    </w:p>
    <w:p w:rsidR="00000000" w:rsidDel="00000000" w:rsidP="00000000" w:rsidRDefault="00000000" w:rsidRPr="00000000" w14:paraId="00000087">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Drug Discovery: </w:t>
      </w:r>
      <w:r w:rsidDel="00000000" w:rsidR="00000000" w:rsidRPr="00000000">
        <w:rPr>
          <w:rFonts w:ascii="Times New Roman" w:cs="Times New Roman" w:eastAsia="Times New Roman" w:hAnsi="Times New Roman"/>
          <w:sz w:val="24"/>
          <w:szCs w:val="24"/>
          <w:rtl w:val="0"/>
        </w:rPr>
        <w:t xml:space="preserve">AI-driven drug discovery platforms will expedite the identification of potential drug candidates and their biomarker-based targets, potentially reducing the time and cost of bringing new medicines to market.</w:t>
      </w:r>
    </w:p>
    <w:p w:rsidR="00000000" w:rsidDel="00000000" w:rsidP="00000000" w:rsidRDefault="00000000" w:rsidRPr="00000000" w14:paraId="00000088">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Clinical Decision Support: </w:t>
      </w:r>
      <w:r w:rsidDel="00000000" w:rsidR="00000000" w:rsidRPr="00000000">
        <w:rPr>
          <w:rFonts w:ascii="Times New Roman" w:cs="Times New Roman" w:eastAsia="Times New Roman" w:hAnsi="Times New Roman"/>
          <w:sz w:val="24"/>
          <w:szCs w:val="24"/>
          <w:rtl w:val="0"/>
        </w:rPr>
        <w:t xml:space="preserve">AI-powered decision support systems will assist healthcare professionals in personalized treatment selection and disease management, improving patient outcomes.</w:t>
      </w:r>
    </w:p>
    <w:p w:rsidR="00000000" w:rsidDel="00000000" w:rsidP="00000000" w:rsidRDefault="00000000" w:rsidRPr="00000000" w14:paraId="00000089">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Personalized Medicine:</w:t>
      </w:r>
    </w:p>
    <w:p w:rsidR="00000000" w:rsidDel="00000000" w:rsidP="00000000" w:rsidRDefault="00000000" w:rsidRPr="00000000" w14:paraId="0000008A">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Genomic Medicine: </w:t>
      </w:r>
      <w:r w:rsidDel="00000000" w:rsidR="00000000" w:rsidRPr="00000000">
        <w:rPr>
          <w:rFonts w:ascii="Times New Roman" w:cs="Times New Roman" w:eastAsia="Times New Roman" w:hAnsi="Times New Roman"/>
          <w:sz w:val="24"/>
          <w:szCs w:val="24"/>
          <w:rtl w:val="0"/>
        </w:rPr>
        <w:t xml:space="preserve">The use of an individual's genetic information to tailor treatments will become increasingly common, leading to more precise and effective therapies with fewer side effects.</w:t>
      </w:r>
    </w:p>
    <w:p w:rsidR="00000000" w:rsidDel="00000000" w:rsidP="00000000" w:rsidRDefault="00000000" w:rsidRPr="00000000" w14:paraId="0000008B">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Pharmacogenomics: </w:t>
      </w:r>
      <w:r w:rsidDel="00000000" w:rsidR="00000000" w:rsidRPr="00000000">
        <w:rPr>
          <w:rFonts w:ascii="Times New Roman" w:cs="Times New Roman" w:eastAsia="Times New Roman" w:hAnsi="Times New Roman"/>
          <w:sz w:val="24"/>
          <w:szCs w:val="24"/>
          <w:rtl w:val="0"/>
        </w:rPr>
        <w:t xml:space="preserve">Pharmacogenomic testing will guide medication selection and dosing based on a patient's genetic makeup, minimizing adverse drug reactions and improving drug efficacy.</w:t>
      </w:r>
    </w:p>
    <w:p w:rsidR="00000000" w:rsidDel="00000000" w:rsidP="00000000" w:rsidRDefault="00000000" w:rsidRPr="00000000" w14:paraId="0000008C">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Patient Engagement: </w:t>
      </w:r>
      <w:r w:rsidDel="00000000" w:rsidR="00000000" w:rsidRPr="00000000">
        <w:rPr>
          <w:rFonts w:ascii="Times New Roman" w:cs="Times New Roman" w:eastAsia="Times New Roman" w:hAnsi="Times New Roman"/>
          <w:sz w:val="24"/>
          <w:szCs w:val="24"/>
          <w:rtl w:val="0"/>
        </w:rPr>
        <w:t xml:space="preserve">Patients will play a more active role in their healthcare decisions, with personalized medicine focusing on patient education and involvement in treatment plans.</w:t>
      </w:r>
    </w:p>
    <w:p w:rsidR="00000000" w:rsidDel="00000000" w:rsidP="00000000" w:rsidRDefault="00000000" w:rsidRPr="00000000" w14:paraId="0000008D">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Biomarkers in Drug Development:</w:t>
      </w:r>
    </w:p>
    <w:p w:rsidR="00000000" w:rsidDel="00000000" w:rsidP="00000000" w:rsidRDefault="00000000" w:rsidRPr="00000000" w14:paraId="0000008E">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Companion Diagnostics: </w:t>
      </w:r>
      <w:r w:rsidDel="00000000" w:rsidR="00000000" w:rsidRPr="00000000">
        <w:rPr>
          <w:rFonts w:ascii="Times New Roman" w:cs="Times New Roman" w:eastAsia="Times New Roman" w:hAnsi="Times New Roman"/>
          <w:sz w:val="24"/>
          <w:szCs w:val="24"/>
          <w:rtl w:val="0"/>
        </w:rPr>
        <w:t xml:space="preserve">Biomarkers will be integrated into drug development pipelines as companion diagnostics, ensuring that treatments are targeted to patients most likely to benefit.</w:t>
      </w:r>
    </w:p>
    <w:p w:rsidR="00000000" w:rsidDel="00000000" w:rsidP="00000000" w:rsidRDefault="00000000" w:rsidRPr="00000000" w14:paraId="0000008F">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Immunotherapy Biomarkers: </w:t>
      </w:r>
      <w:r w:rsidDel="00000000" w:rsidR="00000000" w:rsidRPr="00000000">
        <w:rPr>
          <w:rFonts w:ascii="Times New Roman" w:cs="Times New Roman" w:eastAsia="Times New Roman" w:hAnsi="Times New Roman"/>
          <w:sz w:val="24"/>
          <w:szCs w:val="24"/>
          <w:rtl w:val="0"/>
        </w:rPr>
        <w:t xml:space="preserve">In the field of cancer immunotherapy, biomarkers will aid in patient selection and predicting responses to immune-based treatments like checkpoint inhibitors and CAR-T cell therapies.</w:t>
      </w:r>
    </w:p>
    <w:p w:rsidR="00000000" w:rsidDel="00000000" w:rsidP="00000000" w:rsidRDefault="00000000" w:rsidRPr="00000000" w14:paraId="00000090">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Biomarker Panels: </w:t>
      </w:r>
      <w:r w:rsidDel="00000000" w:rsidR="00000000" w:rsidRPr="00000000">
        <w:rPr>
          <w:rFonts w:ascii="Times New Roman" w:cs="Times New Roman" w:eastAsia="Times New Roman" w:hAnsi="Times New Roman"/>
          <w:sz w:val="24"/>
          <w:szCs w:val="24"/>
          <w:rtl w:val="0"/>
        </w:rPr>
        <w:t xml:space="preserve">Multiplex biomarker panels will be developed, allowing for a more comprehensive assessment of disease status and treatment response.</w:t>
      </w:r>
    </w:p>
    <w:p w:rsidR="00000000" w:rsidDel="00000000" w:rsidP="00000000" w:rsidRDefault="00000000" w:rsidRPr="00000000" w14:paraId="00000091">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These future directions highlight the exciting possibilities in the fields of omics technologies, artificial intelligence, personalized medicine, and biomarker-driven drug development. As these areas continue to evolve, they hold great promise for improving healthcare outcomes, reducing healthcare costs, and advancing our understanding of diseases and treatments.</w:t>
      </w:r>
    </w:p>
    <w:p w:rsidR="00000000" w:rsidDel="00000000" w:rsidP="00000000" w:rsidRDefault="00000000" w:rsidRPr="00000000" w14:paraId="00000092">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0"/>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Conclusion:</w:t>
      </w:r>
    </w:p>
    <w:p w:rsidR="00000000" w:rsidDel="00000000" w:rsidP="00000000" w:rsidRDefault="00000000" w:rsidRPr="00000000" w14:paraId="00000093">
      <w:pPr>
        <w:pBdr>
          <w:top w:color="d9d9e3" w:space="0" w:sz="0" w:val="none"/>
          <w:left w:color="d9d9e3" w:space="0" w:sz="0" w:val="none"/>
          <w:bottom w:color="d9d9e3" w:space="0" w:sz="0" w:val="none"/>
          <w:right w:color="d9d9e3" w:space="0" w:sz="0" w:val="none"/>
          <w:between w:color="d9d9e3" w:space="0" w:sz="0" w:val="none"/>
        </w:pBdr>
        <w:spacing w:after="300" w:before="300" w:lineRule="auto"/>
        <w:ind w:left="0" w:firstLine="360"/>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In summary, biomarkers stand as indispensable tools in modern medicine. Their significance lies in their ability to offer precise insights into health and disease, revolutionizing diagnostics, treatment strategies, and our understanding of the intricate workings of the human body. Biomarkers have transformed the landscape of medicine by enhancing disease detection, monitoring, and personalized treatment. Genetic, proteomic, metabolic, imaging, and environmental biomarkers have all played pivotal roles in improving patient care and outcomes. As we look to the future, biomarker development holds great promise. Advances in technology, including genomics, proteomics, and artificial intelligence, are opening new frontiers in biomarker discovery and application. This promises a future where healthcare becomes increasingly tailored to individual needs, fostering a new era of precision medicine. In this dynamic journey of scientific discovery, biomarkers will continue to guide us towards better health, disease prevention, and more effective treatments, ultimately reshaping the way we approach healthcare in the years to come.</w:t>
      </w:r>
      <w:r w:rsidDel="00000000" w:rsidR="00000000" w:rsidRPr="00000000">
        <w:rPr>
          <w:rtl w:val="0"/>
        </w:rPr>
      </w:r>
    </w:p>
    <w:p w:rsidR="00000000" w:rsidDel="00000000" w:rsidP="00000000" w:rsidRDefault="00000000" w:rsidRPr="00000000" w14:paraId="00000094">
      <w:pPr>
        <w:ind w:left="0" w:firstLine="0"/>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References:</w:t>
      </w:r>
    </w:p>
    <w:p w:rsidR="00000000" w:rsidDel="00000000" w:rsidP="00000000" w:rsidRDefault="00000000" w:rsidRPr="00000000" w14:paraId="00000095">
      <w:pPr>
        <w:numPr>
          <w:ilvl w:val="0"/>
          <w:numId w:val="4"/>
        </w:numPr>
        <w:spacing w:after="0" w:afterAutospacing="0"/>
        <w:ind w:left="720" w:hanging="360"/>
        <w:jc w:val="both"/>
        <w:rPr>
          <w:rFonts w:ascii="Times New Roman" w:cs="Times New Roman" w:eastAsia="Times New Roman" w:hAnsi="Times New Roman"/>
        </w:rPr>
      </w:pPr>
      <w:hyperlink r:id="rId23">
        <w:r w:rsidDel="00000000" w:rsidR="00000000" w:rsidRPr="00000000">
          <w:rPr>
            <w:rFonts w:ascii="Times New Roman" w:cs="Times New Roman" w:eastAsia="Times New Roman" w:hAnsi="Times New Roman"/>
            <w:color w:val="1155cc"/>
            <w:sz w:val="20"/>
            <w:szCs w:val="20"/>
            <w:rtl w:val="0"/>
          </w:rPr>
          <w:t xml:space="preserve">Califf RM. Biomarker definitions and their applications. Experimental Biology and Medicine. 2018;243(3):213-221. doi:10.1177/1535370217750088</w:t>
        </w:r>
      </w:hyperlink>
      <w:r w:rsidDel="00000000" w:rsidR="00000000" w:rsidRPr="00000000">
        <w:rPr>
          <w:rtl w:val="0"/>
        </w:rPr>
      </w:r>
    </w:p>
    <w:p w:rsidR="00000000" w:rsidDel="00000000" w:rsidP="00000000" w:rsidRDefault="00000000" w:rsidRPr="00000000" w14:paraId="00000096">
      <w:pPr>
        <w:numPr>
          <w:ilvl w:val="0"/>
          <w:numId w:val="4"/>
        </w:numPr>
        <w:spacing w:after="0" w:afterAutospacing="0"/>
        <w:ind w:left="720" w:hanging="360"/>
        <w:jc w:val="both"/>
        <w:rPr>
          <w:rFonts w:ascii="Times New Roman" w:cs="Times New Roman" w:eastAsia="Times New Roman" w:hAnsi="Times New Roman"/>
        </w:rPr>
      </w:pPr>
      <w:hyperlink r:id="rId24">
        <w:r w:rsidDel="00000000" w:rsidR="00000000" w:rsidRPr="00000000">
          <w:rPr>
            <w:rFonts w:ascii="Times New Roman" w:cs="Times New Roman" w:eastAsia="Times New Roman" w:hAnsi="Times New Roman"/>
            <w:color w:val="1155cc"/>
            <w:sz w:val="20"/>
            <w:szCs w:val="20"/>
            <w:highlight w:val="white"/>
            <w:rtl w:val="0"/>
          </w:rPr>
          <w:t xml:space="preserve">Strimbu, K., &amp; Tavel, J. A. (2010). What are biomarkers?. </w:t>
        </w:r>
      </w:hyperlink>
      <w:hyperlink r:id="rId25">
        <w:r w:rsidDel="00000000" w:rsidR="00000000" w:rsidRPr="00000000">
          <w:rPr>
            <w:rFonts w:ascii="Times New Roman" w:cs="Times New Roman" w:eastAsia="Times New Roman" w:hAnsi="Times New Roman"/>
            <w:i w:val="1"/>
            <w:color w:val="1155cc"/>
            <w:sz w:val="20"/>
            <w:szCs w:val="20"/>
            <w:highlight w:val="white"/>
            <w:rtl w:val="0"/>
          </w:rPr>
          <w:t xml:space="preserve">Current opinion in HIV and AIDS</w:t>
        </w:r>
      </w:hyperlink>
      <w:hyperlink r:id="rId26">
        <w:r w:rsidDel="00000000" w:rsidR="00000000" w:rsidRPr="00000000">
          <w:rPr>
            <w:rFonts w:ascii="Times New Roman" w:cs="Times New Roman" w:eastAsia="Times New Roman" w:hAnsi="Times New Roman"/>
            <w:color w:val="1155cc"/>
            <w:sz w:val="20"/>
            <w:szCs w:val="20"/>
            <w:highlight w:val="white"/>
            <w:rtl w:val="0"/>
          </w:rPr>
          <w:t xml:space="preserve">, </w:t>
        </w:r>
      </w:hyperlink>
      <w:hyperlink r:id="rId27">
        <w:r w:rsidDel="00000000" w:rsidR="00000000" w:rsidRPr="00000000">
          <w:rPr>
            <w:rFonts w:ascii="Times New Roman" w:cs="Times New Roman" w:eastAsia="Times New Roman" w:hAnsi="Times New Roman"/>
            <w:i w:val="1"/>
            <w:color w:val="1155cc"/>
            <w:sz w:val="20"/>
            <w:szCs w:val="20"/>
            <w:highlight w:val="white"/>
            <w:rtl w:val="0"/>
          </w:rPr>
          <w:t xml:space="preserve">5</w:t>
        </w:r>
      </w:hyperlink>
      <w:hyperlink r:id="rId28">
        <w:r w:rsidDel="00000000" w:rsidR="00000000" w:rsidRPr="00000000">
          <w:rPr>
            <w:rFonts w:ascii="Times New Roman" w:cs="Times New Roman" w:eastAsia="Times New Roman" w:hAnsi="Times New Roman"/>
            <w:color w:val="1155cc"/>
            <w:sz w:val="20"/>
            <w:szCs w:val="20"/>
            <w:highlight w:val="white"/>
            <w:rtl w:val="0"/>
          </w:rPr>
          <w:t xml:space="preserve">(6), 463–466. https://doi.org/10.1097/COH.0b013e32833ed177</w:t>
        </w:r>
      </w:hyperlink>
      <w:r w:rsidDel="00000000" w:rsidR="00000000" w:rsidRPr="00000000">
        <w:rPr>
          <w:rtl w:val="0"/>
        </w:rPr>
      </w:r>
    </w:p>
    <w:p w:rsidR="00000000" w:rsidDel="00000000" w:rsidP="00000000" w:rsidRDefault="00000000" w:rsidRPr="00000000" w14:paraId="00000097">
      <w:pPr>
        <w:numPr>
          <w:ilvl w:val="0"/>
          <w:numId w:val="4"/>
        </w:numPr>
        <w:spacing w:after="0" w:afterAutospacing="0"/>
        <w:ind w:left="720" w:hanging="360"/>
        <w:jc w:val="both"/>
        <w:rPr>
          <w:rFonts w:ascii="Times New Roman" w:cs="Times New Roman" w:eastAsia="Times New Roman" w:hAnsi="Times New Roman"/>
        </w:rPr>
      </w:pPr>
      <w:hyperlink r:id="rId29">
        <w:r w:rsidDel="00000000" w:rsidR="00000000" w:rsidRPr="00000000">
          <w:rPr>
            <w:rFonts w:ascii="Times New Roman" w:cs="Times New Roman" w:eastAsia="Times New Roman" w:hAnsi="Times New Roman"/>
            <w:color w:val="1155cc"/>
            <w:sz w:val="20"/>
            <w:szCs w:val="20"/>
            <w:rtl w:val="0"/>
          </w:rPr>
          <w:t xml:space="preserve">https://enghusen.dk/Biomarkers....pdf</w:t>
        </w:r>
      </w:hyperlink>
      <w:r w:rsidDel="00000000" w:rsidR="00000000" w:rsidRPr="00000000">
        <w:rPr>
          <w:rtl w:val="0"/>
        </w:rPr>
      </w:r>
    </w:p>
    <w:p w:rsidR="00000000" w:rsidDel="00000000" w:rsidP="00000000" w:rsidRDefault="00000000" w:rsidRPr="00000000" w14:paraId="00000098">
      <w:pPr>
        <w:numPr>
          <w:ilvl w:val="0"/>
          <w:numId w:val="4"/>
        </w:numPr>
        <w:spacing w:after="0" w:afterAutospacing="0"/>
        <w:ind w:left="720" w:hanging="360"/>
        <w:jc w:val="both"/>
        <w:rPr>
          <w:rFonts w:ascii="Times New Roman" w:cs="Times New Roman" w:eastAsia="Times New Roman" w:hAnsi="Times New Roman"/>
        </w:rPr>
      </w:pPr>
      <w:hyperlink r:id="rId30">
        <w:r w:rsidDel="00000000" w:rsidR="00000000" w:rsidRPr="00000000">
          <w:rPr>
            <w:rFonts w:ascii="Times New Roman" w:cs="Times New Roman" w:eastAsia="Times New Roman" w:hAnsi="Times New Roman"/>
            <w:color w:val="1155cc"/>
            <w:sz w:val="20"/>
            <w:szCs w:val="20"/>
            <w:rtl w:val="0"/>
          </w:rPr>
          <w:t xml:space="preserve">https://doi.org/10.1016/j.survophthal.2007.08.011</w:t>
        </w:r>
      </w:hyperlink>
      <w:r w:rsidDel="00000000" w:rsidR="00000000" w:rsidRPr="00000000">
        <w:rPr>
          <w:rtl w:val="0"/>
        </w:rPr>
      </w:r>
    </w:p>
    <w:p w:rsidR="00000000" w:rsidDel="00000000" w:rsidP="00000000" w:rsidRDefault="00000000" w:rsidRPr="00000000" w14:paraId="00000099">
      <w:pPr>
        <w:numPr>
          <w:ilvl w:val="0"/>
          <w:numId w:val="4"/>
        </w:numPr>
        <w:spacing w:after="0" w:afterAutospacing="0"/>
        <w:ind w:left="720" w:hanging="360"/>
        <w:jc w:val="both"/>
        <w:rPr>
          <w:rFonts w:ascii="Times New Roman" w:cs="Times New Roman" w:eastAsia="Times New Roman" w:hAnsi="Times New Roman"/>
        </w:rPr>
      </w:pPr>
      <w:hyperlink r:id="rId31">
        <w:r w:rsidDel="00000000" w:rsidR="00000000" w:rsidRPr="00000000">
          <w:rPr>
            <w:rFonts w:ascii="Times New Roman" w:cs="Times New Roman" w:eastAsia="Times New Roman" w:hAnsi="Times New Roman"/>
            <w:color w:val="1155cc"/>
            <w:sz w:val="20"/>
            <w:szCs w:val="20"/>
            <w:highlight w:val="white"/>
            <w:rtl w:val="0"/>
          </w:rPr>
          <w:t xml:space="preserve">Alfano, C., Farina, L., &amp; Petti, M. (2023). Networks as Biomarkers: Uses and Purposes. </w:t>
        </w:r>
      </w:hyperlink>
      <w:hyperlink r:id="rId32">
        <w:r w:rsidDel="00000000" w:rsidR="00000000" w:rsidRPr="00000000">
          <w:rPr>
            <w:rFonts w:ascii="Times New Roman" w:cs="Times New Roman" w:eastAsia="Times New Roman" w:hAnsi="Times New Roman"/>
            <w:i w:val="1"/>
            <w:color w:val="1155cc"/>
            <w:sz w:val="20"/>
            <w:szCs w:val="20"/>
            <w:highlight w:val="white"/>
            <w:rtl w:val="0"/>
          </w:rPr>
          <w:t xml:space="preserve">Genes</w:t>
        </w:r>
      </w:hyperlink>
      <w:hyperlink r:id="rId33">
        <w:r w:rsidDel="00000000" w:rsidR="00000000" w:rsidRPr="00000000">
          <w:rPr>
            <w:rFonts w:ascii="Times New Roman" w:cs="Times New Roman" w:eastAsia="Times New Roman" w:hAnsi="Times New Roman"/>
            <w:color w:val="1155cc"/>
            <w:sz w:val="20"/>
            <w:szCs w:val="20"/>
            <w:highlight w:val="white"/>
            <w:rtl w:val="0"/>
          </w:rPr>
          <w:t xml:space="preserve">, </w:t>
        </w:r>
      </w:hyperlink>
      <w:hyperlink r:id="rId34">
        <w:r w:rsidDel="00000000" w:rsidR="00000000" w:rsidRPr="00000000">
          <w:rPr>
            <w:rFonts w:ascii="Times New Roman" w:cs="Times New Roman" w:eastAsia="Times New Roman" w:hAnsi="Times New Roman"/>
            <w:i w:val="1"/>
            <w:color w:val="1155cc"/>
            <w:sz w:val="20"/>
            <w:szCs w:val="20"/>
            <w:highlight w:val="white"/>
            <w:rtl w:val="0"/>
          </w:rPr>
          <w:t xml:space="preserve">14</w:t>
        </w:r>
      </w:hyperlink>
      <w:hyperlink r:id="rId35">
        <w:r w:rsidDel="00000000" w:rsidR="00000000" w:rsidRPr="00000000">
          <w:rPr>
            <w:rFonts w:ascii="Times New Roman" w:cs="Times New Roman" w:eastAsia="Times New Roman" w:hAnsi="Times New Roman"/>
            <w:color w:val="1155cc"/>
            <w:sz w:val="20"/>
            <w:szCs w:val="20"/>
            <w:highlight w:val="white"/>
            <w:rtl w:val="0"/>
          </w:rPr>
          <w:t xml:space="preserve">(2), 429. https://doi.org/10.3390/genes14020429</w:t>
        </w:r>
      </w:hyperlink>
      <w:r w:rsidDel="00000000" w:rsidR="00000000" w:rsidRPr="00000000">
        <w:rPr>
          <w:rtl w:val="0"/>
        </w:rPr>
      </w:r>
    </w:p>
    <w:p w:rsidR="00000000" w:rsidDel="00000000" w:rsidP="00000000" w:rsidRDefault="00000000" w:rsidRPr="00000000" w14:paraId="0000009A">
      <w:pPr>
        <w:numPr>
          <w:ilvl w:val="0"/>
          <w:numId w:val="4"/>
        </w:numPr>
        <w:spacing w:after="0" w:afterAutospacing="0"/>
        <w:ind w:left="720" w:hanging="360"/>
        <w:jc w:val="both"/>
        <w:rPr>
          <w:rFonts w:ascii="Times New Roman" w:cs="Times New Roman" w:eastAsia="Times New Roman" w:hAnsi="Times New Roman"/>
        </w:rPr>
      </w:pPr>
      <w:hyperlink r:id="rId36">
        <w:r w:rsidDel="00000000" w:rsidR="00000000" w:rsidRPr="00000000">
          <w:rPr>
            <w:rFonts w:ascii="Times New Roman" w:cs="Times New Roman" w:eastAsia="Times New Roman" w:hAnsi="Times New Roman"/>
            <w:color w:val="1155cc"/>
            <w:sz w:val="20"/>
            <w:szCs w:val="20"/>
            <w:highlight w:val="white"/>
            <w:rtl w:val="0"/>
          </w:rPr>
          <w:t xml:space="preserve">Saini S. (2016). PSA and beyond: alternative prostate cancer biomarkers. </w:t>
        </w:r>
      </w:hyperlink>
      <w:hyperlink r:id="rId37">
        <w:r w:rsidDel="00000000" w:rsidR="00000000" w:rsidRPr="00000000">
          <w:rPr>
            <w:rFonts w:ascii="Times New Roman" w:cs="Times New Roman" w:eastAsia="Times New Roman" w:hAnsi="Times New Roman"/>
            <w:i w:val="1"/>
            <w:color w:val="1155cc"/>
            <w:sz w:val="20"/>
            <w:szCs w:val="20"/>
            <w:highlight w:val="white"/>
            <w:rtl w:val="0"/>
          </w:rPr>
          <w:t xml:space="preserve">Cellular oncology (Dordrecht)</w:t>
        </w:r>
      </w:hyperlink>
      <w:hyperlink r:id="rId38">
        <w:r w:rsidDel="00000000" w:rsidR="00000000" w:rsidRPr="00000000">
          <w:rPr>
            <w:rFonts w:ascii="Times New Roman" w:cs="Times New Roman" w:eastAsia="Times New Roman" w:hAnsi="Times New Roman"/>
            <w:color w:val="1155cc"/>
            <w:sz w:val="20"/>
            <w:szCs w:val="20"/>
            <w:highlight w:val="white"/>
            <w:rtl w:val="0"/>
          </w:rPr>
          <w:t xml:space="preserve">, </w:t>
        </w:r>
      </w:hyperlink>
      <w:hyperlink r:id="rId39">
        <w:r w:rsidDel="00000000" w:rsidR="00000000" w:rsidRPr="00000000">
          <w:rPr>
            <w:rFonts w:ascii="Times New Roman" w:cs="Times New Roman" w:eastAsia="Times New Roman" w:hAnsi="Times New Roman"/>
            <w:i w:val="1"/>
            <w:color w:val="1155cc"/>
            <w:sz w:val="20"/>
            <w:szCs w:val="20"/>
            <w:highlight w:val="white"/>
            <w:rtl w:val="0"/>
          </w:rPr>
          <w:t xml:space="preserve">39</w:t>
        </w:r>
      </w:hyperlink>
      <w:hyperlink r:id="rId40">
        <w:r w:rsidDel="00000000" w:rsidR="00000000" w:rsidRPr="00000000">
          <w:rPr>
            <w:rFonts w:ascii="Times New Roman" w:cs="Times New Roman" w:eastAsia="Times New Roman" w:hAnsi="Times New Roman"/>
            <w:color w:val="1155cc"/>
            <w:sz w:val="20"/>
            <w:szCs w:val="20"/>
            <w:highlight w:val="white"/>
            <w:rtl w:val="0"/>
          </w:rPr>
          <w:t xml:space="preserve">(2), 97–106. https://doi.org/10.1007/s13402-016-0268-6</w:t>
        </w:r>
      </w:hyperlink>
      <w:r w:rsidDel="00000000" w:rsidR="00000000" w:rsidRPr="00000000">
        <w:rPr>
          <w:rtl w:val="0"/>
        </w:rPr>
      </w:r>
    </w:p>
    <w:p w:rsidR="00000000" w:rsidDel="00000000" w:rsidP="00000000" w:rsidRDefault="00000000" w:rsidRPr="00000000" w14:paraId="0000009B">
      <w:pPr>
        <w:numPr>
          <w:ilvl w:val="0"/>
          <w:numId w:val="4"/>
        </w:numPr>
        <w:spacing w:after="0" w:afterAutospacing="0"/>
        <w:ind w:left="720" w:hanging="360"/>
        <w:jc w:val="both"/>
        <w:rPr>
          <w:rFonts w:ascii="Times New Roman" w:cs="Times New Roman" w:eastAsia="Times New Roman" w:hAnsi="Times New Roman"/>
        </w:rPr>
      </w:pPr>
      <w:hyperlink r:id="rId41">
        <w:r w:rsidDel="00000000" w:rsidR="00000000" w:rsidRPr="00000000">
          <w:rPr>
            <w:rFonts w:ascii="Times New Roman" w:cs="Times New Roman" w:eastAsia="Times New Roman" w:hAnsi="Times New Roman"/>
            <w:color w:val="1155cc"/>
            <w:sz w:val="20"/>
            <w:szCs w:val="20"/>
            <w:highlight w:val="white"/>
            <w:rtl w:val="0"/>
          </w:rPr>
          <w:t xml:space="preserve">Crimmins, E., Vasunilashorn, S., Kim, J. K., &amp; Alley, D. (2008). Biomarkers related to aging in human populations. </w:t>
        </w:r>
      </w:hyperlink>
      <w:hyperlink r:id="rId42">
        <w:r w:rsidDel="00000000" w:rsidR="00000000" w:rsidRPr="00000000">
          <w:rPr>
            <w:rFonts w:ascii="Times New Roman" w:cs="Times New Roman" w:eastAsia="Times New Roman" w:hAnsi="Times New Roman"/>
            <w:i w:val="1"/>
            <w:color w:val="1155cc"/>
            <w:sz w:val="20"/>
            <w:szCs w:val="20"/>
            <w:highlight w:val="white"/>
            <w:rtl w:val="0"/>
          </w:rPr>
          <w:t xml:space="preserve">Advances in clinical chemistry</w:t>
        </w:r>
      </w:hyperlink>
      <w:hyperlink r:id="rId43">
        <w:r w:rsidDel="00000000" w:rsidR="00000000" w:rsidRPr="00000000">
          <w:rPr>
            <w:rFonts w:ascii="Times New Roman" w:cs="Times New Roman" w:eastAsia="Times New Roman" w:hAnsi="Times New Roman"/>
            <w:color w:val="1155cc"/>
            <w:sz w:val="20"/>
            <w:szCs w:val="20"/>
            <w:highlight w:val="white"/>
            <w:rtl w:val="0"/>
          </w:rPr>
          <w:t xml:space="preserve">, </w:t>
        </w:r>
      </w:hyperlink>
      <w:hyperlink r:id="rId44">
        <w:r w:rsidDel="00000000" w:rsidR="00000000" w:rsidRPr="00000000">
          <w:rPr>
            <w:rFonts w:ascii="Times New Roman" w:cs="Times New Roman" w:eastAsia="Times New Roman" w:hAnsi="Times New Roman"/>
            <w:i w:val="1"/>
            <w:color w:val="1155cc"/>
            <w:sz w:val="20"/>
            <w:szCs w:val="20"/>
            <w:highlight w:val="white"/>
            <w:rtl w:val="0"/>
          </w:rPr>
          <w:t xml:space="preserve">46</w:t>
        </w:r>
      </w:hyperlink>
      <w:hyperlink r:id="rId45">
        <w:r w:rsidDel="00000000" w:rsidR="00000000" w:rsidRPr="00000000">
          <w:rPr>
            <w:rFonts w:ascii="Times New Roman" w:cs="Times New Roman" w:eastAsia="Times New Roman" w:hAnsi="Times New Roman"/>
            <w:color w:val="1155cc"/>
            <w:sz w:val="20"/>
            <w:szCs w:val="20"/>
            <w:highlight w:val="white"/>
            <w:rtl w:val="0"/>
          </w:rPr>
          <w:t xml:space="preserve">, 161–216. </w:t>
        </w:r>
      </w:hyperlink>
      <w:hyperlink r:id="rId46">
        <w:r w:rsidDel="00000000" w:rsidR="00000000" w:rsidRPr="00000000">
          <w:rPr>
            <w:rFonts w:ascii="Times New Roman" w:cs="Times New Roman" w:eastAsia="Times New Roman" w:hAnsi="Times New Roman"/>
            <w:color w:val="1155cc"/>
            <w:sz w:val="20"/>
            <w:szCs w:val="20"/>
            <w:highlight w:val="white"/>
            <w:rtl w:val="0"/>
          </w:rPr>
          <w:t xml:space="preserve">https://doi.org/10.1016/s0065-2423(08)00405-8</w:t>
        </w:r>
      </w:hyperlink>
      <w:r w:rsidDel="00000000" w:rsidR="00000000" w:rsidRPr="00000000">
        <w:rPr>
          <w:rtl w:val="0"/>
        </w:rPr>
      </w:r>
    </w:p>
    <w:p w:rsidR="00000000" w:rsidDel="00000000" w:rsidP="00000000" w:rsidRDefault="00000000" w:rsidRPr="00000000" w14:paraId="0000009C">
      <w:pPr>
        <w:numPr>
          <w:ilvl w:val="0"/>
          <w:numId w:val="4"/>
        </w:numPr>
        <w:spacing w:after="0" w:afterAutospacing="0"/>
        <w:ind w:left="720" w:hanging="360"/>
        <w:jc w:val="both"/>
        <w:rPr>
          <w:rFonts w:ascii="Times New Roman" w:cs="Times New Roman" w:eastAsia="Times New Roman" w:hAnsi="Times New Roman"/>
        </w:rPr>
      </w:pPr>
      <w:hyperlink r:id="rId47">
        <w:r w:rsidDel="00000000" w:rsidR="00000000" w:rsidRPr="00000000">
          <w:rPr>
            <w:rFonts w:ascii="Times New Roman" w:cs="Times New Roman" w:eastAsia="Times New Roman" w:hAnsi="Times New Roman"/>
            <w:color w:val="1155cc"/>
            <w:sz w:val="20"/>
            <w:szCs w:val="20"/>
            <w:highlight w:val="white"/>
            <w:rtl w:val="0"/>
          </w:rPr>
          <w:t xml:space="preserve">Lachmann, G., &amp; Reinhart, K. (2020). The History of Biomarkers: How Far Have We Come?. </w:t>
        </w:r>
      </w:hyperlink>
      <w:hyperlink r:id="rId48">
        <w:r w:rsidDel="00000000" w:rsidR="00000000" w:rsidRPr="00000000">
          <w:rPr>
            <w:rFonts w:ascii="Times New Roman" w:cs="Times New Roman" w:eastAsia="Times New Roman" w:hAnsi="Times New Roman"/>
            <w:i w:val="1"/>
            <w:color w:val="1155cc"/>
            <w:sz w:val="20"/>
            <w:szCs w:val="20"/>
            <w:highlight w:val="white"/>
            <w:rtl w:val="0"/>
          </w:rPr>
          <w:t xml:space="preserve">Critical care clinics</w:t>
        </w:r>
      </w:hyperlink>
      <w:hyperlink r:id="rId49">
        <w:r w:rsidDel="00000000" w:rsidR="00000000" w:rsidRPr="00000000">
          <w:rPr>
            <w:rFonts w:ascii="Times New Roman" w:cs="Times New Roman" w:eastAsia="Times New Roman" w:hAnsi="Times New Roman"/>
            <w:color w:val="1155cc"/>
            <w:sz w:val="20"/>
            <w:szCs w:val="20"/>
            <w:highlight w:val="white"/>
            <w:rtl w:val="0"/>
          </w:rPr>
          <w:t xml:space="preserve">, </w:t>
        </w:r>
      </w:hyperlink>
      <w:hyperlink r:id="rId50">
        <w:r w:rsidDel="00000000" w:rsidR="00000000" w:rsidRPr="00000000">
          <w:rPr>
            <w:rFonts w:ascii="Times New Roman" w:cs="Times New Roman" w:eastAsia="Times New Roman" w:hAnsi="Times New Roman"/>
            <w:i w:val="1"/>
            <w:color w:val="1155cc"/>
            <w:sz w:val="20"/>
            <w:szCs w:val="20"/>
            <w:highlight w:val="white"/>
            <w:rtl w:val="0"/>
          </w:rPr>
          <w:t xml:space="preserve">36</w:t>
        </w:r>
      </w:hyperlink>
      <w:hyperlink r:id="rId51">
        <w:r w:rsidDel="00000000" w:rsidR="00000000" w:rsidRPr="00000000">
          <w:rPr>
            <w:rFonts w:ascii="Times New Roman" w:cs="Times New Roman" w:eastAsia="Times New Roman" w:hAnsi="Times New Roman"/>
            <w:color w:val="1155cc"/>
            <w:sz w:val="20"/>
            <w:szCs w:val="20"/>
            <w:highlight w:val="white"/>
            <w:rtl w:val="0"/>
          </w:rPr>
          <w:t xml:space="preserve">(1), 1–10. </w:t>
        </w:r>
      </w:hyperlink>
      <w:hyperlink r:id="rId52">
        <w:r w:rsidDel="00000000" w:rsidR="00000000" w:rsidRPr="00000000">
          <w:rPr>
            <w:rFonts w:ascii="Times New Roman" w:cs="Times New Roman" w:eastAsia="Times New Roman" w:hAnsi="Times New Roman"/>
            <w:color w:val="1155cc"/>
            <w:sz w:val="20"/>
            <w:szCs w:val="20"/>
            <w:highlight w:val="white"/>
            <w:rtl w:val="0"/>
          </w:rPr>
          <w:t xml:space="preserve">https://doi.org/10.1016/j.ccc.2019.08.001</w:t>
        </w:r>
      </w:hyperlink>
      <w:r w:rsidDel="00000000" w:rsidR="00000000" w:rsidRPr="00000000">
        <w:rPr>
          <w:rtl w:val="0"/>
        </w:rPr>
      </w:r>
    </w:p>
    <w:p w:rsidR="00000000" w:rsidDel="00000000" w:rsidP="00000000" w:rsidRDefault="00000000" w:rsidRPr="00000000" w14:paraId="0000009D">
      <w:pPr>
        <w:numPr>
          <w:ilvl w:val="0"/>
          <w:numId w:val="4"/>
        </w:numPr>
        <w:spacing w:after="0" w:afterAutospacing="0"/>
        <w:ind w:left="720" w:hanging="360"/>
        <w:jc w:val="both"/>
        <w:rPr>
          <w:rFonts w:ascii="Times New Roman" w:cs="Times New Roman" w:eastAsia="Times New Roman" w:hAnsi="Times New Roman"/>
          <w:u w:val="none"/>
        </w:rPr>
      </w:pPr>
      <w:hyperlink r:id="rId53">
        <w:r w:rsidDel="00000000" w:rsidR="00000000" w:rsidRPr="00000000">
          <w:rPr>
            <w:rFonts w:ascii="Times New Roman" w:cs="Times New Roman" w:eastAsia="Times New Roman" w:hAnsi="Times New Roman"/>
            <w:color w:val="1155cc"/>
            <w:sz w:val="20"/>
            <w:szCs w:val="20"/>
            <w:highlight w:val="white"/>
            <w:rtl w:val="0"/>
          </w:rPr>
          <w:t xml:space="preserve">Lyons, T. J., &amp; Basu, A. (2012). Biomarkers in diabetes: hemoglobin A1c, vascular and tissue markers. </w:t>
        </w:r>
      </w:hyperlink>
      <w:hyperlink r:id="rId54">
        <w:r w:rsidDel="00000000" w:rsidR="00000000" w:rsidRPr="00000000">
          <w:rPr>
            <w:rFonts w:ascii="Times New Roman" w:cs="Times New Roman" w:eastAsia="Times New Roman" w:hAnsi="Times New Roman"/>
            <w:i w:val="1"/>
            <w:color w:val="1155cc"/>
            <w:sz w:val="20"/>
            <w:szCs w:val="20"/>
            <w:highlight w:val="white"/>
            <w:rtl w:val="0"/>
          </w:rPr>
          <w:t xml:space="preserve">Translational research : the journal of laboratory and clinical medicine</w:t>
        </w:r>
      </w:hyperlink>
      <w:hyperlink r:id="rId55">
        <w:r w:rsidDel="00000000" w:rsidR="00000000" w:rsidRPr="00000000">
          <w:rPr>
            <w:rFonts w:ascii="Times New Roman" w:cs="Times New Roman" w:eastAsia="Times New Roman" w:hAnsi="Times New Roman"/>
            <w:color w:val="1155cc"/>
            <w:sz w:val="20"/>
            <w:szCs w:val="20"/>
            <w:highlight w:val="white"/>
            <w:rtl w:val="0"/>
          </w:rPr>
          <w:t xml:space="preserve">, </w:t>
        </w:r>
      </w:hyperlink>
      <w:hyperlink r:id="rId56">
        <w:r w:rsidDel="00000000" w:rsidR="00000000" w:rsidRPr="00000000">
          <w:rPr>
            <w:rFonts w:ascii="Times New Roman" w:cs="Times New Roman" w:eastAsia="Times New Roman" w:hAnsi="Times New Roman"/>
            <w:i w:val="1"/>
            <w:color w:val="1155cc"/>
            <w:sz w:val="20"/>
            <w:szCs w:val="20"/>
            <w:highlight w:val="white"/>
            <w:rtl w:val="0"/>
          </w:rPr>
          <w:t xml:space="preserve">159</w:t>
        </w:r>
      </w:hyperlink>
      <w:hyperlink r:id="rId57">
        <w:r w:rsidDel="00000000" w:rsidR="00000000" w:rsidRPr="00000000">
          <w:rPr>
            <w:rFonts w:ascii="Times New Roman" w:cs="Times New Roman" w:eastAsia="Times New Roman" w:hAnsi="Times New Roman"/>
            <w:color w:val="1155cc"/>
            <w:sz w:val="20"/>
            <w:szCs w:val="20"/>
            <w:highlight w:val="white"/>
            <w:rtl w:val="0"/>
          </w:rPr>
          <w:t xml:space="preserve">(4), 303–312. https://doi.org/10.1016/j.trsl.2012.01.009</w:t>
        </w:r>
      </w:hyperlink>
      <w:r w:rsidDel="00000000" w:rsidR="00000000" w:rsidRPr="00000000">
        <w:rPr>
          <w:rtl w:val="0"/>
        </w:rPr>
      </w:r>
    </w:p>
    <w:p w:rsidR="00000000" w:rsidDel="00000000" w:rsidP="00000000" w:rsidRDefault="00000000" w:rsidRPr="00000000" w14:paraId="0000009E">
      <w:pPr>
        <w:numPr>
          <w:ilvl w:val="0"/>
          <w:numId w:val="4"/>
        </w:numPr>
        <w:spacing w:after="0" w:afterAutospacing="0"/>
        <w:ind w:left="720" w:hanging="360"/>
        <w:jc w:val="both"/>
        <w:rPr>
          <w:rFonts w:ascii="Times New Roman" w:cs="Times New Roman" w:eastAsia="Times New Roman" w:hAnsi="Times New Roman"/>
        </w:rPr>
      </w:pPr>
      <w:hyperlink r:id="rId58">
        <w:r w:rsidDel="00000000" w:rsidR="00000000" w:rsidRPr="00000000">
          <w:rPr>
            <w:rFonts w:ascii="Times New Roman" w:cs="Times New Roman" w:eastAsia="Times New Roman" w:hAnsi="Times New Roman"/>
            <w:color w:val="1155cc"/>
            <w:sz w:val="20"/>
            <w:szCs w:val="20"/>
            <w:highlight w:val="white"/>
            <w:rtl w:val="0"/>
          </w:rPr>
          <w:t xml:space="preserve">Wang T. J. (2011). Assessing the role of circulating, genetic, and imaging biomarkers in cardiovascular risk prediction. </w:t>
        </w:r>
      </w:hyperlink>
      <w:hyperlink r:id="rId59">
        <w:r w:rsidDel="00000000" w:rsidR="00000000" w:rsidRPr="00000000">
          <w:rPr>
            <w:rFonts w:ascii="Times New Roman" w:cs="Times New Roman" w:eastAsia="Times New Roman" w:hAnsi="Times New Roman"/>
            <w:i w:val="1"/>
            <w:color w:val="1155cc"/>
            <w:sz w:val="20"/>
            <w:szCs w:val="20"/>
            <w:highlight w:val="white"/>
            <w:rtl w:val="0"/>
          </w:rPr>
          <w:t xml:space="preserve">Circulation</w:t>
        </w:r>
      </w:hyperlink>
      <w:hyperlink r:id="rId60">
        <w:r w:rsidDel="00000000" w:rsidR="00000000" w:rsidRPr="00000000">
          <w:rPr>
            <w:rFonts w:ascii="Times New Roman" w:cs="Times New Roman" w:eastAsia="Times New Roman" w:hAnsi="Times New Roman"/>
            <w:color w:val="1155cc"/>
            <w:sz w:val="20"/>
            <w:szCs w:val="20"/>
            <w:highlight w:val="white"/>
            <w:rtl w:val="0"/>
          </w:rPr>
          <w:t xml:space="preserve">, </w:t>
        </w:r>
      </w:hyperlink>
      <w:hyperlink r:id="rId61">
        <w:r w:rsidDel="00000000" w:rsidR="00000000" w:rsidRPr="00000000">
          <w:rPr>
            <w:rFonts w:ascii="Times New Roman" w:cs="Times New Roman" w:eastAsia="Times New Roman" w:hAnsi="Times New Roman"/>
            <w:i w:val="1"/>
            <w:color w:val="1155cc"/>
            <w:sz w:val="20"/>
            <w:szCs w:val="20"/>
            <w:highlight w:val="white"/>
            <w:rtl w:val="0"/>
          </w:rPr>
          <w:t xml:space="preserve">123</w:t>
        </w:r>
      </w:hyperlink>
      <w:hyperlink r:id="rId62">
        <w:r w:rsidDel="00000000" w:rsidR="00000000" w:rsidRPr="00000000">
          <w:rPr>
            <w:rFonts w:ascii="Times New Roman" w:cs="Times New Roman" w:eastAsia="Times New Roman" w:hAnsi="Times New Roman"/>
            <w:color w:val="1155cc"/>
            <w:sz w:val="20"/>
            <w:szCs w:val="20"/>
            <w:highlight w:val="white"/>
            <w:rtl w:val="0"/>
          </w:rPr>
          <w:t xml:space="preserve">(5), 551–565. </w:t>
        </w:r>
      </w:hyperlink>
      <w:hyperlink r:id="rId63">
        <w:r w:rsidDel="00000000" w:rsidR="00000000" w:rsidRPr="00000000">
          <w:rPr>
            <w:rFonts w:ascii="Times New Roman" w:cs="Times New Roman" w:eastAsia="Times New Roman" w:hAnsi="Times New Roman"/>
            <w:color w:val="1155cc"/>
            <w:sz w:val="20"/>
            <w:szCs w:val="20"/>
            <w:highlight w:val="white"/>
            <w:rtl w:val="0"/>
          </w:rPr>
          <w:t xml:space="preserve">https://doi.org/10.1161/CIRCULATIONAHA.109.912568</w:t>
        </w:r>
      </w:hyperlink>
      <w:r w:rsidDel="00000000" w:rsidR="00000000" w:rsidRPr="00000000">
        <w:rPr>
          <w:rtl w:val="0"/>
        </w:rPr>
      </w:r>
    </w:p>
    <w:p w:rsidR="00000000" w:rsidDel="00000000" w:rsidP="00000000" w:rsidRDefault="00000000" w:rsidRPr="00000000" w14:paraId="0000009F">
      <w:pPr>
        <w:numPr>
          <w:ilvl w:val="0"/>
          <w:numId w:val="4"/>
        </w:numPr>
        <w:spacing w:after="0" w:afterAutospacing="0"/>
        <w:ind w:left="720" w:hanging="360"/>
        <w:jc w:val="both"/>
        <w:rPr>
          <w:rFonts w:ascii="Times New Roman" w:cs="Times New Roman" w:eastAsia="Times New Roman" w:hAnsi="Times New Roman"/>
        </w:rPr>
      </w:pPr>
      <w:hyperlink r:id="rId64">
        <w:r w:rsidDel="00000000" w:rsidR="00000000" w:rsidRPr="00000000">
          <w:rPr>
            <w:rFonts w:ascii="Times New Roman" w:cs="Times New Roman" w:eastAsia="Times New Roman" w:hAnsi="Times New Roman"/>
            <w:color w:val="1155cc"/>
            <w:sz w:val="20"/>
            <w:szCs w:val="20"/>
            <w:highlight w:val="white"/>
            <w:rtl w:val="0"/>
          </w:rPr>
          <w:t xml:space="preserve">Dai, X., &amp; Shen, L. (2022). Advances and Trends in Omics Technology Development. </w:t>
        </w:r>
      </w:hyperlink>
      <w:hyperlink r:id="rId65">
        <w:r w:rsidDel="00000000" w:rsidR="00000000" w:rsidRPr="00000000">
          <w:rPr>
            <w:rFonts w:ascii="Times New Roman" w:cs="Times New Roman" w:eastAsia="Times New Roman" w:hAnsi="Times New Roman"/>
            <w:i w:val="1"/>
            <w:color w:val="1155cc"/>
            <w:sz w:val="20"/>
            <w:szCs w:val="20"/>
            <w:highlight w:val="white"/>
            <w:rtl w:val="0"/>
          </w:rPr>
          <w:t xml:space="preserve">Frontiers in medicine</w:t>
        </w:r>
      </w:hyperlink>
      <w:hyperlink r:id="rId66">
        <w:r w:rsidDel="00000000" w:rsidR="00000000" w:rsidRPr="00000000">
          <w:rPr>
            <w:rFonts w:ascii="Times New Roman" w:cs="Times New Roman" w:eastAsia="Times New Roman" w:hAnsi="Times New Roman"/>
            <w:color w:val="1155cc"/>
            <w:sz w:val="20"/>
            <w:szCs w:val="20"/>
            <w:highlight w:val="white"/>
            <w:rtl w:val="0"/>
          </w:rPr>
          <w:t xml:space="preserve">, </w:t>
        </w:r>
      </w:hyperlink>
      <w:hyperlink r:id="rId67">
        <w:r w:rsidDel="00000000" w:rsidR="00000000" w:rsidRPr="00000000">
          <w:rPr>
            <w:rFonts w:ascii="Times New Roman" w:cs="Times New Roman" w:eastAsia="Times New Roman" w:hAnsi="Times New Roman"/>
            <w:i w:val="1"/>
            <w:color w:val="1155cc"/>
            <w:sz w:val="20"/>
            <w:szCs w:val="20"/>
            <w:highlight w:val="white"/>
            <w:rtl w:val="0"/>
          </w:rPr>
          <w:t xml:space="preserve">9</w:t>
        </w:r>
      </w:hyperlink>
      <w:hyperlink r:id="rId68">
        <w:r w:rsidDel="00000000" w:rsidR="00000000" w:rsidRPr="00000000">
          <w:rPr>
            <w:rFonts w:ascii="Times New Roman" w:cs="Times New Roman" w:eastAsia="Times New Roman" w:hAnsi="Times New Roman"/>
            <w:color w:val="1155cc"/>
            <w:sz w:val="20"/>
            <w:szCs w:val="20"/>
            <w:highlight w:val="white"/>
            <w:rtl w:val="0"/>
          </w:rPr>
          <w:t xml:space="preserve">, 911861. </w:t>
        </w:r>
      </w:hyperlink>
      <w:hyperlink r:id="rId69">
        <w:r w:rsidDel="00000000" w:rsidR="00000000" w:rsidRPr="00000000">
          <w:rPr>
            <w:rFonts w:ascii="Times New Roman" w:cs="Times New Roman" w:eastAsia="Times New Roman" w:hAnsi="Times New Roman"/>
            <w:color w:val="1155cc"/>
            <w:sz w:val="20"/>
            <w:szCs w:val="20"/>
            <w:highlight w:val="white"/>
            <w:rtl w:val="0"/>
          </w:rPr>
          <w:t xml:space="preserve">https://doi.org/10.3389/fmed.2022.911861</w:t>
        </w:r>
      </w:hyperlink>
      <w:r w:rsidDel="00000000" w:rsidR="00000000" w:rsidRPr="00000000">
        <w:rPr>
          <w:rtl w:val="0"/>
        </w:rPr>
      </w:r>
    </w:p>
    <w:p w:rsidR="00000000" w:rsidDel="00000000" w:rsidP="00000000" w:rsidRDefault="00000000" w:rsidRPr="00000000" w14:paraId="000000A0">
      <w:pPr>
        <w:numPr>
          <w:ilvl w:val="0"/>
          <w:numId w:val="4"/>
        </w:numPr>
        <w:spacing w:after="0" w:afterAutospacing="0"/>
        <w:ind w:left="720" w:hanging="360"/>
        <w:jc w:val="both"/>
        <w:rPr>
          <w:rFonts w:ascii="Times New Roman" w:cs="Times New Roman" w:eastAsia="Times New Roman" w:hAnsi="Times New Roman"/>
        </w:rPr>
      </w:pPr>
      <w:hyperlink r:id="rId70">
        <w:r w:rsidDel="00000000" w:rsidR="00000000" w:rsidRPr="00000000">
          <w:rPr>
            <w:rFonts w:ascii="Arial" w:cs="Arial" w:eastAsia="Arial" w:hAnsi="Arial"/>
            <w:color w:val="1155cc"/>
            <w:sz w:val="20"/>
            <w:szCs w:val="20"/>
            <w:highlight w:val="white"/>
            <w:rtl w:val="0"/>
          </w:rPr>
          <w:t xml:space="preserve">Wishart, D. S., Bartok, B., Oler, E., Liang, K. Y., Budinski, Z., Berjanskii, M., ... &amp; Wilson, M. (2021). MarkerDB: an online database of molecular biomarkers. </w:t>
        </w:r>
      </w:hyperlink>
      <w:hyperlink r:id="rId71">
        <w:r w:rsidDel="00000000" w:rsidR="00000000" w:rsidRPr="00000000">
          <w:rPr>
            <w:rFonts w:ascii="Arial" w:cs="Arial" w:eastAsia="Arial" w:hAnsi="Arial"/>
            <w:i w:val="1"/>
            <w:color w:val="1155cc"/>
            <w:sz w:val="20"/>
            <w:szCs w:val="20"/>
            <w:highlight w:val="white"/>
            <w:rtl w:val="0"/>
          </w:rPr>
          <w:t xml:space="preserve">Nucleic acids research</w:t>
        </w:r>
      </w:hyperlink>
      <w:hyperlink r:id="rId72">
        <w:r w:rsidDel="00000000" w:rsidR="00000000" w:rsidRPr="00000000">
          <w:rPr>
            <w:rFonts w:ascii="Arial" w:cs="Arial" w:eastAsia="Arial" w:hAnsi="Arial"/>
            <w:color w:val="1155cc"/>
            <w:sz w:val="20"/>
            <w:szCs w:val="20"/>
            <w:highlight w:val="white"/>
            <w:rtl w:val="0"/>
          </w:rPr>
          <w:t xml:space="preserve">, </w:t>
        </w:r>
      </w:hyperlink>
      <w:hyperlink r:id="rId73">
        <w:r w:rsidDel="00000000" w:rsidR="00000000" w:rsidRPr="00000000">
          <w:rPr>
            <w:rFonts w:ascii="Arial" w:cs="Arial" w:eastAsia="Arial" w:hAnsi="Arial"/>
            <w:i w:val="1"/>
            <w:color w:val="1155cc"/>
            <w:sz w:val="20"/>
            <w:szCs w:val="20"/>
            <w:highlight w:val="white"/>
            <w:rtl w:val="0"/>
          </w:rPr>
          <w:t xml:space="preserve">49</w:t>
        </w:r>
      </w:hyperlink>
      <w:hyperlink r:id="rId74">
        <w:r w:rsidDel="00000000" w:rsidR="00000000" w:rsidRPr="00000000">
          <w:rPr>
            <w:rFonts w:ascii="Arial" w:cs="Arial" w:eastAsia="Arial" w:hAnsi="Arial"/>
            <w:color w:val="1155cc"/>
            <w:sz w:val="20"/>
            <w:szCs w:val="20"/>
            <w:highlight w:val="white"/>
            <w:rtl w:val="0"/>
          </w:rPr>
          <w:t xml:space="preserve">(D1), D1259-D1267</w:t>
        </w:r>
      </w:hyperlink>
      <w:r w:rsidDel="00000000" w:rsidR="00000000" w:rsidRPr="00000000">
        <w:rPr>
          <w:rtl w:val="0"/>
        </w:rPr>
      </w:r>
    </w:p>
    <w:p w:rsidR="00000000" w:rsidDel="00000000" w:rsidP="00000000" w:rsidRDefault="00000000" w:rsidRPr="00000000" w14:paraId="000000A1">
      <w:pPr>
        <w:numPr>
          <w:ilvl w:val="0"/>
          <w:numId w:val="4"/>
        </w:numPr>
        <w:spacing w:after="0" w:afterAutospacing="0"/>
        <w:ind w:left="720" w:hanging="360"/>
        <w:jc w:val="both"/>
        <w:rPr>
          <w:rFonts w:ascii="Times New Roman" w:cs="Times New Roman" w:eastAsia="Times New Roman" w:hAnsi="Times New Roman"/>
          <w:sz w:val="20"/>
          <w:szCs w:val="20"/>
        </w:rPr>
      </w:pPr>
      <w:hyperlink r:id="rId75">
        <w:r w:rsidDel="00000000" w:rsidR="00000000" w:rsidRPr="00000000">
          <w:rPr>
            <w:rFonts w:ascii="Arial" w:cs="Arial" w:eastAsia="Arial" w:hAnsi="Arial"/>
            <w:color w:val="1155cc"/>
            <w:sz w:val="20"/>
            <w:szCs w:val="20"/>
            <w:highlight w:val="white"/>
            <w:rtl w:val="0"/>
          </w:rPr>
          <w:t xml:space="preserve">Corella, D., &amp; Ordovás, J. M. (2015). Biomarkers: background, classification and guidelines for applications in nutritional epidemiology. </w:t>
        </w:r>
      </w:hyperlink>
      <w:hyperlink r:id="rId76">
        <w:r w:rsidDel="00000000" w:rsidR="00000000" w:rsidRPr="00000000">
          <w:rPr>
            <w:rFonts w:ascii="Arial" w:cs="Arial" w:eastAsia="Arial" w:hAnsi="Arial"/>
            <w:i w:val="1"/>
            <w:color w:val="1155cc"/>
            <w:sz w:val="20"/>
            <w:szCs w:val="20"/>
            <w:highlight w:val="white"/>
            <w:rtl w:val="0"/>
          </w:rPr>
          <w:t xml:space="preserve">Nutricion hospitalaria</w:t>
        </w:r>
      </w:hyperlink>
      <w:hyperlink r:id="rId77">
        <w:r w:rsidDel="00000000" w:rsidR="00000000" w:rsidRPr="00000000">
          <w:rPr>
            <w:rFonts w:ascii="Arial" w:cs="Arial" w:eastAsia="Arial" w:hAnsi="Arial"/>
            <w:color w:val="1155cc"/>
            <w:sz w:val="20"/>
            <w:szCs w:val="20"/>
            <w:highlight w:val="white"/>
            <w:rtl w:val="0"/>
          </w:rPr>
          <w:t xml:space="preserve">, </w:t>
        </w:r>
      </w:hyperlink>
      <w:hyperlink r:id="rId78">
        <w:r w:rsidDel="00000000" w:rsidR="00000000" w:rsidRPr="00000000">
          <w:rPr>
            <w:rFonts w:ascii="Arial" w:cs="Arial" w:eastAsia="Arial" w:hAnsi="Arial"/>
            <w:i w:val="1"/>
            <w:color w:val="1155cc"/>
            <w:sz w:val="20"/>
            <w:szCs w:val="20"/>
            <w:highlight w:val="white"/>
            <w:rtl w:val="0"/>
          </w:rPr>
          <w:t xml:space="preserve">31</w:t>
        </w:r>
      </w:hyperlink>
      <w:hyperlink r:id="rId79">
        <w:r w:rsidDel="00000000" w:rsidR="00000000" w:rsidRPr="00000000">
          <w:rPr>
            <w:rFonts w:ascii="Arial" w:cs="Arial" w:eastAsia="Arial" w:hAnsi="Arial"/>
            <w:color w:val="1155cc"/>
            <w:sz w:val="20"/>
            <w:szCs w:val="20"/>
            <w:highlight w:val="white"/>
            <w:rtl w:val="0"/>
          </w:rPr>
          <w:t xml:space="preserve">(3), 177-188.</w:t>
        </w:r>
      </w:hyperlink>
      <w:r w:rsidDel="00000000" w:rsidR="00000000" w:rsidRPr="00000000">
        <w:rPr>
          <w:rtl w:val="0"/>
        </w:rPr>
      </w:r>
    </w:p>
    <w:p w:rsidR="00000000" w:rsidDel="00000000" w:rsidP="00000000" w:rsidRDefault="00000000" w:rsidRPr="00000000" w14:paraId="000000A2">
      <w:pPr>
        <w:numPr>
          <w:ilvl w:val="0"/>
          <w:numId w:val="4"/>
        </w:numPr>
        <w:ind w:left="720" w:hanging="360"/>
        <w:jc w:val="both"/>
        <w:rPr>
          <w:rFonts w:ascii="Times New Roman" w:cs="Times New Roman" w:eastAsia="Times New Roman" w:hAnsi="Times New Roman"/>
          <w:sz w:val="20"/>
          <w:szCs w:val="20"/>
        </w:rPr>
      </w:pPr>
      <w:hyperlink r:id="rId80">
        <w:r w:rsidDel="00000000" w:rsidR="00000000" w:rsidRPr="00000000">
          <w:rPr>
            <w:rFonts w:ascii="Arial" w:cs="Arial" w:eastAsia="Arial" w:hAnsi="Arial"/>
            <w:color w:val="1155cc"/>
            <w:sz w:val="20"/>
            <w:szCs w:val="20"/>
            <w:highlight w:val="white"/>
            <w:rtl w:val="0"/>
          </w:rPr>
          <w:t xml:space="preserve">Sharifi-Rad, J., Sureda, A., Tenore, G. C., Daglia, M., Sharifi-Rad, M., Valussi, M., ... &amp; Iriti, M. (2017). Biological activities of essential oils: From plant chemoecology to traditional healing systems. </w:t>
        </w:r>
      </w:hyperlink>
      <w:hyperlink r:id="rId81">
        <w:r w:rsidDel="00000000" w:rsidR="00000000" w:rsidRPr="00000000">
          <w:rPr>
            <w:rFonts w:ascii="Arial" w:cs="Arial" w:eastAsia="Arial" w:hAnsi="Arial"/>
            <w:i w:val="1"/>
            <w:color w:val="1155cc"/>
            <w:sz w:val="20"/>
            <w:szCs w:val="20"/>
            <w:highlight w:val="white"/>
            <w:rtl w:val="0"/>
          </w:rPr>
          <w:t xml:space="preserve">Molecules</w:t>
        </w:r>
      </w:hyperlink>
      <w:hyperlink r:id="rId82">
        <w:r w:rsidDel="00000000" w:rsidR="00000000" w:rsidRPr="00000000">
          <w:rPr>
            <w:rFonts w:ascii="Arial" w:cs="Arial" w:eastAsia="Arial" w:hAnsi="Arial"/>
            <w:color w:val="1155cc"/>
            <w:sz w:val="20"/>
            <w:szCs w:val="20"/>
            <w:highlight w:val="white"/>
            <w:rtl w:val="0"/>
          </w:rPr>
          <w:t xml:space="preserve">, </w:t>
        </w:r>
      </w:hyperlink>
      <w:hyperlink r:id="rId83">
        <w:r w:rsidDel="00000000" w:rsidR="00000000" w:rsidRPr="00000000">
          <w:rPr>
            <w:rFonts w:ascii="Arial" w:cs="Arial" w:eastAsia="Arial" w:hAnsi="Arial"/>
            <w:i w:val="1"/>
            <w:color w:val="1155cc"/>
            <w:sz w:val="20"/>
            <w:szCs w:val="20"/>
            <w:highlight w:val="white"/>
            <w:rtl w:val="0"/>
          </w:rPr>
          <w:t xml:space="preserve">22</w:t>
        </w:r>
      </w:hyperlink>
      <w:hyperlink r:id="rId84">
        <w:r w:rsidDel="00000000" w:rsidR="00000000" w:rsidRPr="00000000">
          <w:rPr>
            <w:rFonts w:ascii="Arial" w:cs="Arial" w:eastAsia="Arial" w:hAnsi="Arial"/>
            <w:color w:val="1155cc"/>
            <w:sz w:val="20"/>
            <w:szCs w:val="20"/>
            <w:highlight w:val="white"/>
            <w:rtl w:val="0"/>
          </w:rPr>
          <w:t xml:space="preserve">(1), 70.</w:t>
        </w:r>
      </w:hyperlink>
      <w:r w:rsidDel="00000000" w:rsidR="00000000" w:rsidRPr="00000000">
        <w:rPr>
          <w:rtl w:val="0"/>
        </w:rPr>
      </w:r>
    </w:p>
    <w:p w:rsidR="00000000" w:rsidDel="00000000" w:rsidP="00000000" w:rsidRDefault="00000000" w:rsidRPr="00000000" w14:paraId="000000A3">
      <w:pPr>
        <w:ind w:left="0" w:firstLine="0"/>
        <w:jc w:val="both"/>
        <w:rPr>
          <w:rFonts w:ascii="Times New Roman" w:cs="Times New Roman" w:eastAsia="Times New Roman" w:hAnsi="Times New Roman"/>
          <w:sz w:val="8"/>
          <w:szCs w:val="8"/>
        </w:rPr>
      </w:pPr>
      <w:r w:rsidDel="00000000" w:rsidR="00000000" w:rsidRPr="00000000">
        <w:rPr>
          <w:rtl w:val="0"/>
        </w:rPr>
      </w:r>
    </w:p>
    <w:p w:rsidR="00000000" w:rsidDel="00000000" w:rsidP="00000000" w:rsidRDefault="00000000" w:rsidRPr="00000000" w14:paraId="000000A4">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5">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6">
      <w:pPr>
        <w:jc w:val="both"/>
        <w:rPr>
          <w:rFonts w:ascii="Times New Roman" w:cs="Times New Roman" w:eastAsia="Times New Roman" w:hAnsi="Times New Roman"/>
          <w:sz w:val="18"/>
          <w:szCs w:val="18"/>
        </w:rPr>
      </w:pPr>
      <w:r w:rsidDel="00000000" w:rsidR="00000000" w:rsidRPr="00000000">
        <w:rPr>
          <w:rtl w:val="0"/>
        </w:rPr>
      </w:r>
    </w:p>
    <w:p w:rsidR="00000000" w:rsidDel="00000000" w:rsidP="00000000" w:rsidRDefault="00000000" w:rsidRPr="00000000" w14:paraId="000000A7">
      <w:pPr>
        <w:spacing w:line="420" w:lineRule="auto"/>
        <w:jc w:val="both"/>
        <w:rPr>
          <w:rFonts w:ascii="Roboto" w:cs="Roboto" w:eastAsia="Roboto" w:hAnsi="Roboto"/>
          <w:sz w:val="21"/>
          <w:szCs w:val="21"/>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sz w:val="18"/>
          <w:szCs w:val="18"/>
        </w:rPr>
      </w:pPr>
      <w:r w:rsidDel="00000000" w:rsidR="00000000" w:rsidRPr="00000000">
        <w:rPr>
          <w:rtl w:val="0"/>
        </w:rPr>
      </w:r>
    </w:p>
    <w:sectPr>
      <w:type w:val="continuous"/>
      <w:pgSz w:h="16839" w:w="11907" w:orient="portrait"/>
      <w:pgMar w:bottom="567" w:top="567" w:left="567" w:right="56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Times New Roman"/>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Roboto" w:cs="Roboto" w:eastAsia="Roboto" w:hAnsi="Roboto"/>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upperRoman"/>
      <w:lvlText w:val="%1."/>
      <w:lvlJc w:val="right"/>
      <w:pPr>
        <w:ind w:left="720" w:hanging="360"/>
      </w:pPr>
      <w:rPr>
        <w:u w:val="none"/>
      </w:rPr>
    </w:lvl>
    <w:lvl w:ilvl="1">
      <w:start w:val="1"/>
      <w:numFmt w:val="upperLetter"/>
      <w:lvlText w:val="%2."/>
      <w:lvlJc w:val="lef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decimal"/>
      <w:lvlText w:val="(%5)"/>
      <w:lvlJc w:val="left"/>
      <w:pPr>
        <w:ind w:left="3600" w:hanging="360"/>
      </w:pPr>
      <w:rPr>
        <w:u w:val="none"/>
      </w:rPr>
    </w:lvl>
    <w:lvl w:ilvl="5">
      <w:start w:val="1"/>
      <w:numFmt w:val="lowerLetter"/>
      <w:lvlText w:val="(%6)"/>
      <w:lvlJc w:val="left"/>
      <w:pPr>
        <w:ind w:left="4320" w:hanging="360"/>
      </w:pPr>
      <w:rPr>
        <w:u w:val="none"/>
      </w:rPr>
    </w:lvl>
    <w:lvl w:ilvl="6">
      <w:start w:val="1"/>
      <w:numFmt w:val="lowerRoman"/>
      <w:lvlText w:val="(%7)"/>
      <w:lvlJc w:val="righ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lvl w:ilvl="0">
      <w:start w:val="1"/>
      <w:numFmt w:val="decimal"/>
      <w:lvlText w:val="%1."/>
      <w:lvlJc w:val="left"/>
      <w:pPr>
        <w:ind w:left="720" w:hanging="360"/>
      </w:pPr>
      <w:rPr>
        <w:sz w:val="20"/>
        <w:szCs w:val="20"/>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40" Type="http://schemas.openxmlformats.org/officeDocument/2006/relationships/hyperlink" Target="https://doi.org/10.1007/s13402-016-0268-6" TargetMode="External"/><Relationship Id="rId84" Type="http://schemas.openxmlformats.org/officeDocument/2006/relationships/hyperlink" Target="https://www.mdpi.com/1420-3049/22/1/70" TargetMode="External"/><Relationship Id="rId83" Type="http://schemas.openxmlformats.org/officeDocument/2006/relationships/hyperlink" Target="https://www.mdpi.com/1420-3049/22/1/70" TargetMode="External"/><Relationship Id="rId42" Type="http://schemas.openxmlformats.org/officeDocument/2006/relationships/hyperlink" Target="https://www.ncbi.nlm.nih.gov/pmc/articles/PMC5938178/" TargetMode="External"/><Relationship Id="rId41" Type="http://schemas.openxmlformats.org/officeDocument/2006/relationships/hyperlink" Target="https://www.ncbi.nlm.nih.gov/pmc/articles/PMC5938178/" TargetMode="External"/><Relationship Id="rId44" Type="http://schemas.openxmlformats.org/officeDocument/2006/relationships/hyperlink" Target="https://www.ncbi.nlm.nih.gov/pmc/articles/PMC5938178/" TargetMode="External"/><Relationship Id="rId43" Type="http://schemas.openxmlformats.org/officeDocument/2006/relationships/hyperlink" Target="https://www.ncbi.nlm.nih.gov/pmc/articles/PMC5938178/" TargetMode="External"/><Relationship Id="rId46" Type="http://schemas.openxmlformats.org/officeDocument/2006/relationships/hyperlink" Target="https://doi.org/10.1016/s0065-2423(08)00405-8" TargetMode="External"/><Relationship Id="rId45" Type="http://schemas.openxmlformats.org/officeDocument/2006/relationships/hyperlink" Target="https://www.ncbi.nlm.nih.gov/pmc/articles/PMC5938178/" TargetMode="External"/><Relationship Id="rId80" Type="http://schemas.openxmlformats.org/officeDocument/2006/relationships/hyperlink" Target="https://www.mdpi.com/1420-3049/22/1/70" TargetMode="External"/><Relationship Id="rId82" Type="http://schemas.openxmlformats.org/officeDocument/2006/relationships/hyperlink" Target="https://www.mdpi.com/1420-3049/22/1/70" TargetMode="External"/><Relationship Id="rId81" Type="http://schemas.openxmlformats.org/officeDocument/2006/relationships/hyperlink" Target="https://www.mdpi.com/1420-3049/22/1/70"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journals.sagepub.com/doi/10.1177/1535370217750088" TargetMode="External"/><Relationship Id="rId48" Type="http://schemas.openxmlformats.org/officeDocument/2006/relationships/hyperlink" Target="https://pubmed.ncbi.nlm.nih.gov/31733671/" TargetMode="External"/><Relationship Id="rId47" Type="http://schemas.openxmlformats.org/officeDocument/2006/relationships/hyperlink" Target="https://pubmed.ncbi.nlm.nih.gov/31733671/" TargetMode="External"/><Relationship Id="rId49" Type="http://schemas.openxmlformats.org/officeDocument/2006/relationships/hyperlink" Target="https://pubmed.ncbi.nlm.nih.gov/31733671/" TargetMode="External"/><Relationship Id="rId5" Type="http://schemas.openxmlformats.org/officeDocument/2006/relationships/styles" Target="styles.xml"/><Relationship Id="rId6" Type="http://schemas.openxmlformats.org/officeDocument/2006/relationships/hyperlink" Target="mailto:tulika187444@st.jmi.ac.in" TargetMode="External"/><Relationship Id="rId7" Type="http://schemas.openxmlformats.org/officeDocument/2006/relationships/hyperlink" Target="https://enghusen.dk/Biomarkers....pdf" TargetMode="External"/><Relationship Id="rId8" Type="http://schemas.openxmlformats.org/officeDocument/2006/relationships/hyperlink" Target="https://pubmed.ncbi.nlm.nih.gov/36833356/" TargetMode="External"/><Relationship Id="rId73" Type="http://schemas.openxmlformats.org/officeDocument/2006/relationships/hyperlink" Target="https://academic.oup.com/nar/article/49/D1/D1259/6007662" TargetMode="External"/><Relationship Id="rId72" Type="http://schemas.openxmlformats.org/officeDocument/2006/relationships/hyperlink" Target="https://academic.oup.com/nar/article/49/D1/D1259/6007662" TargetMode="External"/><Relationship Id="rId31" Type="http://schemas.openxmlformats.org/officeDocument/2006/relationships/hyperlink" Target="https://doi.org/10.3390/genes14020429" TargetMode="External"/><Relationship Id="rId75" Type="http://schemas.openxmlformats.org/officeDocument/2006/relationships/hyperlink" Target="https://www.redalyc.org/pdf/3092/309238519022.pdf" TargetMode="External"/><Relationship Id="rId30" Type="http://schemas.openxmlformats.org/officeDocument/2006/relationships/hyperlink" Target="https://doi.org/10.1016/j.survophthal.2007.08.011" TargetMode="External"/><Relationship Id="rId74" Type="http://schemas.openxmlformats.org/officeDocument/2006/relationships/hyperlink" Target="https://academic.oup.com/nar/article/49/D1/D1259/6007662" TargetMode="External"/><Relationship Id="rId33" Type="http://schemas.openxmlformats.org/officeDocument/2006/relationships/hyperlink" Target="https://doi.org/10.3390/genes14020429" TargetMode="External"/><Relationship Id="rId77" Type="http://schemas.openxmlformats.org/officeDocument/2006/relationships/hyperlink" Target="https://www.redalyc.org/pdf/3092/309238519022.pdf" TargetMode="External"/><Relationship Id="rId32" Type="http://schemas.openxmlformats.org/officeDocument/2006/relationships/hyperlink" Target="https://doi.org/10.3390/genes14020429" TargetMode="External"/><Relationship Id="rId76" Type="http://schemas.openxmlformats.org/officeDocument/2006/relationships/hyperlink" Target="https://www.redalyc.org/pdf/3092/309238519022.pdf" TargetMode="External"/><Relationship Id="rId35" Type="http://schemas.openxmlformats.org/officeDocument/2006/relationships/hyperlink" Target="https://doi.org/10.3390/genes14020429" TargetMode="External"/><Relationship Id="rId79" Type="http://schemas.openxmlformats.org/officeDocument/2006/relationships/hyperlink" Target="https://www.redalyc.org/pdf/3092/309238519022.pdf" TargetMode="External"/><Relationship Id="rId34" Type="http://schemas.openxmlformats.org/officeDocument/2006/relationships/hyperlink" Target="https://doi.org/10.3390/genes14020429" TargetMode="External"/><Relationship Id="rId78" Type="http://schemas.openxmlformats.org/officeDocument/2006/relationships/hyperlink" Target="https://www.redalyc.org/pdf/3092/309238519022.pdf" TargetMode="External"/><Relationship Id="rId71" Type="http://schemas.openxmlformats.org/officeDocument/2006/relationships/hyperlink" Target="https://academic.oup.com/nar/article/49/D1/D1259/6007662" TargetMode="External"/><Relationship Id="rId70" Type="http://schemas.openxmlformats.org/officeDocument/2006/relationships/hyperlink" Target="https://academic.oup.com/nar/article/49/D1/D1259/6007662" TargetMode="External"/><Relationship Id="rId37" Type="http://schemas.openxmlformats.org/officeDocument/2006/relationships/hyperlink" Target="https://doi.org/10.1007/s13402-016-0268-6" TargetMode="External"/><Relationship Id="rId36" Type="http://schemas.openxmlformats.org/officeDocument/2006/relationships/hyperlink" Target="https://doi.org/10.1007/s13402-016-0268-6" TargetMode="External"/><Relationship Id="rId39" Type="http://schemas.openxmlformats.org/officeDocument/2006/relationships/hyperlink" Target="https://doi.org/10.1007/s13402-016-0268-6" TargetMode="External"/><Relationship Id="rId38" Type="http://schemas.openxmlformats.org/officeDocument/2006/relationships/hyperlink" Target="https://doi.org/10.1007/s13402-016-0268-6" TargetMode="External"/><Relationship Id="rId62" Type="http://schemas.openxmlformats.org/officeDocument/2006/relationships/hyperlink" Target="https://www.ncbi.nlm.nih.gov/pmc/articles/PMC3059807/" TargetMode="External"/><Relationship Id="rId61" Type="http://schemas.openxmlformats.org/officeDocument/2006/relationships/hyperlink" Target="https://www.ncbi.nlm.nih.gov/pmc/articles/PMC3059807/" TargetMode="External"/><Relationship Id="rId20" Type="http://schemas.openxmlformats.org/officeDocument/2006/relationships/hyperlink" Target="https://pubmed.ncbi.nlm.nih.gov/33245771/" TargetMode="External"/><Relationship Id="rId64" Type="http://schemas.openxmlformats.org/officeDocument/2006/relationships/hyperlink" Target="https://www.frontiersin.org/articles/10.3389/fmed.2022.911861/full" TargetMode="External"/><Relationship Id="rId63" Type="http://schemas.openxmlformats.org/officeDocument/2006/relationships/hyperlink" Target="https://doi.org/10.1161/CIRCULATIONAHA.109.912568" TargetMode="External"/><Relationship Id="rId22" Type="http://schemas.openxmlformats.org/officeDocument/2006/relationships/hyperlink" Target="https://www.mdpi.com/1420-3049/22/1/70" TargetMode="External"/><Relationship Id="rId66" Type="http://schemas.openxmlformats.org/officeDocument/2006/relationships/hyperlink" Target="https://www.frontiersin.org/articles/10.3389/fmed.2022.911861/full" TargetMode="External"/><Relationship Id="rId21" Type="http://schemas.openxmlformats.org/officeDocument/2006/relationships/hyperlink" Target="https://www.redalyc.org/pdf/3092/309238519022.pdf" TargetMode="External"/><Relationship Id="rId65" Type="http://schemas.openxmlformats.org/officeDocument/2006/relationships/hyperlink" Target="https://www.frontiersin.org/articles/10.3389/fmed.2022.911861/full" TargetMode="External"/><Relationship Id="rId24" Type="http://schemas.openxmlformats.org/officeDocument/2006/relationships/hyperlink" Target="https://www.ncbi.nlm.nih.gov/pmc/articles/PMC3078627/" TargetMode="External"/><Relationship Id="rId68" Type="http://schemas.openxmlformats.org/officeDocument/2006/relationships/hyperlink" Target="https://www.frontiersin.org/articles/10.3389/fmed.2022.911861/full" TargetMode="External"/><Relationship Id="rId23" Type="http://schemas.openxmlformats.org/officeDocument/2006/relationships/hyperlink" Target="https://journals.sagepub.com/doi/10.1177/1535370217750088" TargetMode="External"/><Relationship Id="rId67" Type="http://schemas.openxmlformats.org/officeDocument/2006/relationships/hyperlink" Target="https://www.frontiersin.org/articles/10.3389/fmed.2022.911861/full" TargetMode="External"/><Relationship Id="rId60" Type="http://schemas.openxmlformats.org/officeDocument/2006/relationships/hyperlink" Target="https://www.ncbi.nlm.nih.gov/pmc/articles/PMC3059807/" TargetMode="External"/><Relationship Id="rId26" Type="http://schemas.openxmlformats.org/officeDocument/2006/relationships/hyperlink" Target="https://www.ncbi.nlm.nih.gov/pmc/articles/PMC3078627/" TargetMode="External"/><Relationship Id="rId25" Type="http://schemas.openxmlformats.org/officeDocument/2006/relationships/hyperlink" Target="https://www.ncbi.nlm.nih.gov/pmc/articles/PMC3078627/" TargetMode="External"/><Relationship Id="rId69" Type="http://schemas.openxmlformats.org/officeDocument/2006/relationships/hyperlink" Target="https://doi.org/10.3389/fmed.2022.911861" TargetMode="External"/><Relationship Id="rId28" Type="http://schemas.openxmlformats.org/officeDocument/2006/relationships/hyperlink" Target="https://www.ncbi.nlm.nih.gov/pmc/articles/PMC3078627/" TargetMode="External"/><Relationship Id="rId27" Type="http://schemas.openxmlformats.org/officeDocument/2006/relationships/hyperlink" Target="https://www.ncbi.nlm.nih.gov/pmc/articles/PMC3078627/" TargetMode="External"/><Relationship Id="rId29" Type="http://schemas.openxmlformats.org/officeDocument/2006/relationships/hyperlink" Target="https://enghusen.dk/Biomarkers....pdf" TargetMode="External"/><Relationship Id="rId51" Type="http://schemas.openxmlformats.org/officeDocument/2006/relationships/hyperlink" Target="https://pubmed.ncbi.nlm.nih.gov/31733671/" TargetMode="External"/><Relationship Id="rId50" Type="http://schemas.openxmlformats.org/officeDocument/2006/relationships/hyperlink" Target="https://pubmed.ncbi.nlm.nih.gov/31733671/" TargetMode="External"/><Relationship Id="rId53" Type="http://schemas.openxmlformats.org/officeDocument/2006/relationships/hyperlink" Target="https://www.ncbi.nlm.nih.gov/pmc/articles/PMC3339236/" TargetMode="External"/><Relationship Id="rId52" Type="http://schemas.openxmlformats.org/officeDocument/2006/relationships/hyperlink" Target="https://doi.org/10.1016/j.ccc.2019.08.001" TargetMode="External"/><Relationship Id="rId11" Type="http://schemas.openxmlformats.org/officeDocument/2006/relationships/hyperlink" Target="https://doi.org/10.1016/j.survophthal.2007.08.011" TargetMode="External"/><Relationship Id="rId55" Type="http://schemas.openxmlformats.org/officeDocument/2006/relationships/hyperlink" Target="https://www.ncbi.nlm.nih.gov/pmc/articles/PMC3339236/" TargetMode="External"/><Relationship Id="rId10" Type="http://schemas.openxmlformats.org/officeDocument/2006/relationships/hyperlink" Target="https://doi.org/10.1016/j.survophthal.2007.08.011" TargetMode="External"/><Relationship Id="rId54" Type="http://schemas.openxmlformats.org/officeDocument/2006/relationships/hyperlink" Target="https://www.ncbi.nlm.nih.gov/pmc/articles/PMC3339236/" TargetMode="External"/><Relationship Id="rId13" Type="http://schemas.openxmlformats.org/officeDocument/2006/relationships/hyperlink" Target="https://www.ncbi.nlm.nih.gov/pmc/articles/PMC3339236/" TargetMode="External"/><Relationship Id="rId57" Type="http://schemas.openxmlformats.org/officeDocument/2006/relationships/hyperlink" Target="https://www.ncbi.nlm.nih.gov/pmc/articles/PMC3339236/" TargetMode="External"/><Relationship Id="rId12" Type="http://schemas.openxmlformats.org/officeDocument/2006/relationships/hyperlink" Target="https://doi.org/10.1016/j.survophthal.2007.08.011" TargetMode="External"/><Relationship Id="rId56" Type="http://schemas.openxmlformats.org/officeDocument/2006/relationships/hyperlink" Target="https://www.ncbi.nlm.nih.gov/pmc/articles/PMC3339236/" TargetMode="External"/><Relationship Id="rId15" Type="http://schemas.openxmlformats.org/officeDocument/2006/relationships/hyperlink" Target="https://www.ncbi.nlm.nih.gov/pmc/articles/PMC3078627/" TargetMode="External"/><Relationship Id="rId59" Type="http://schemas.openxmlformats.org/officeDocument/2006/relationships/hyperlink" Target="https://www.ncbi.nlm.nih.gov/pmc/articles/PMC3059807/" TargetMode="External"/><Relationship Id="rId14" Type="http://schemas.openxmlformats.org/officeDocument/2006/relationships/hyperlink" Target="https://doi.org/10.1007/s13402-016-0268-6" TargetMode="External"/><Relationship Id="rId58" Type="http://schemas.openxmlformats.org/officeDocument/2006/relationships/hyperlink" Target="https://www.ncbi.nlm.nih.gov/pmc/articles/PMC3059807/" TargetMode="External"/><Relationship Id="rId17" Type="http://schemas.openxmlformats.org/officeDocument/2006/relationships/hyperlink" Target="https://pubmed.ncbi.nlm.nih.gov/31733671/" TargetMode="External"/><Relationship Id="rId16" Type="http://schemas.openxmlformats.org/officeDocument/2006/relationships/hyperlink" Target="https://www.ncbi.nlm.nih.gov/pmc/articles/PMC5938178/" TargetMode="External"/><Relationship Id="rId19" Type="http://schemas.openxmlformats.org/officeDocument/2006/relationships/hyperlink" Target="https://www.frontiersin.org/articles/10.3389/fmed.2022.911861/full" TargetMode="External"/><Relationship Id="rId18" Type="http://schemas.openxmlformats.org/officeDocument/2006/relationships/hyperlink" Target="https://www.ncbi.nlm.nih.gov/pmc/articles/PMC3059807/"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