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40DDA" w14:textId="77777777" w:rsidR="001901C3" w:rsidRDefault="001901C3" w:rsidP="00081708">
      <w:pPr>
        <w:pStyle w:val="BodyText"/>
        <w:spacing w:line="360" w:lineRule="auto"/>
        <w:ind w:right="295"/>
        <w:jc w:val="both"/>
        <w:rPr>
          <w:b/>
        </w:rPr>
      </w:pPr>
    </w:p>
    <w:p w14:paraId="0BCD7962" w14:textId="231B1010" w:rsidR="00AD64B9" w:rsidRDefault="009B50D1" w:rsidP="00081708">
      <w:pPr>
        <w:pStyle w:val="BodyText"/>
        <w:spacing w:line="360" w:lineRule="auto"/>
        <w:ind w:right="295"/>
        <w:jc w:val="both"/>
        <w:rPr>
          <w:b/>
          <w:sz w:val="28"/>
          <w:szCs w:val="28"/>
        </w:rPr>
      </w:pPr>
      <w:r w:rsidRPr="00461D59">
        <w:rPr>
          <w:b/>
          <w:sz w:val="28"/>
          <w:szCs w:val="28"/>
        </w:rPr>
        <w:t xml:space="preserve">Comparison of three endodontic rotary system </w:t>
      </w:r>
      <w:r w:rsidR="005F1FD9" w:rsidRPr="00461D59">
        <w:rPr>
          <w:b/>
          <w:sz w:val="28"/>
          <w:szCs w:val="28"/>
        </w:rPr>
        <w:t>shaping in</w:t>
      </w:r>
      <w:r w:rsidRPr="00461D59">
        <w:rPr>
          <w:b/>
          <w:sz w:val="28"/>
          <w:szCs w:val="28"/>
        </w:rPr>
        <w:t xml:space="preserve"> curved canals – An In-</w:t>
      </w:r>
      <w:r w:rsidR="005F1FD9" w:rsidRPr="00461D59">
        <w:rPr>
          <w:b/>
          <w:sz w:val="28"/>
          <w:szCs w:val="28"/>
        </w:rPr>
        <w:t>vitro study</w:t>
      </w:r>
    </w:p>
    <w:p w14:paraId="6DF4B56D" w14:textId="77777777" w:rsidR="00461D59" w:rsidRDefault="00461D59" w:rsidP="00081708">
      <w:pPr>
        <w:pStyle w:val="BodyText"/>
        <w:spacing w:line="360" w:lineRule="auto"/>
        <w:ind w:right="295"/>
        <w:jc w:val="both"/>
        <w:rPr>
          <w:b/>
          <w:sz w:val="28"/>
          <w:szCs w:val="28"/>
        </w:rPr>
      </w:pPr>
    </w:p>
    <w:p w14:paraId="590D5DB9" w14:textId="25BA7117" w:rsidR="00461D59" w:rsidRDefault="00461D59" w:rsidP="00081708">
      <w:pPr>
        <w:pStyle w:val="BodyText"/>
        <w:spacing w:line="360" w:lineRule="auto"/>
        <w:ind w:right="295"/>
        <w:jc w:val="both"/>
        <w:rPr>
          <w:b/>
        </w:rPr>
      </w:pPr>
      <w:proofErr w:type="spellStart"/>
      <w:proofErr w:type="gramStart"/>
      <w:r w:rsidRPr="00461D59">
        <w:rPr>
          <w:b/>
        </w:rPr>
        <w:t>Dr</w:t>
      </w:r>
      <w:r>
        <w:rPr>
          <w:b/>
        </w:rPr>
        <w:t>.Yesh</w:t>
      </w:r>
      <w:proofErr w:type="spellEnd"/>
      <w:proofErr w:type="gramEnd"/>
      <w:r>
        <w:rPr>
          <w:b/>
        </w:rPr>
        <w:t xml:space="preserve"> Sharma</w:t>
      </w:r>
    </w:p>
    <w:p w14:paraId="10C491F3" w14:textId="55292AA5" w:rsidR="00461D59" w:rsidRDefault="001901C3" w:rsidP="00081708">
      <w:pPr>
        <w:pStyle w:val="BodyText"/>
        <w:spacing w:line="360" w:lineRule="auto"/>
        <w:ind w:right="295"/>
        <w:jc w:val="both"/>
        <w:rPr>
          <w:b/>
        </w:rPr>
      </w:pPr>
      <w:r>
        <w:rPr>
          <w:b/>
        </w:rPr>
        <w:t xml:space="preserve">Assistant Professor, Department of Conservative Dentistry </w:t>
      </w:r>
      <w:proofErr w:type="gramStart"/>
      <w:r>
        <w:rPr>
          <w:b/>
        </w:rPr>
        <w:t>And</w:t>
      </w:r>
      <w:proofErr w:type="gramEnd"/>
      <w:r>
        <w:rPr>
          <w:b/>
        </w:rPr>
        <w:t xml:space="preserve"> Endodontics, Pacific Dental College, Udaipur, Rajasthan</w:t>
      </w:r>
    </w:p>
    <w:p w14:paraId="26838277" w14:textId="77777777" w:rsidR="00C71654" w:rsidRDefault="00C71654" w:rsidP="00081708">
      <w:pPr>
        <w:pStyle w:val="BodyText"/>
        <w:spacing w:line="360" w:lineRule="auto"/>
        <w:ind w:right="295"/>
        <w:jc w:val="both"/>
        <w:rPr>
          <w:b/>
        </w:rPr>
      </w:pPr>
    </w:p>
    <w:p w14:paraId="12161584" w14:textId="60C156F1" w:rsidR="00F30190" w:rsidRDefault="002A74D5" w:rsidP="00081708">
      <w:pPr>
        <w:pStyle w:val="BodyText"/>
        <w:spacing w:line="360" w:lineRule="auto"/>
        <w:ind w:right="295"/>
        <w:jc w:val="both"/>
      </w:pPr>
      <w:r>
        <w:rPr>
          <w:b/>
        </w:rPr>
        <w:t>ABSTRACT</w:t>
      </w:r>
      <w:r w:rsidR="00F30190">
        <w:rPr>
          <w:b/>
        </w:rPr>
        <w:t xml:space="preserve">: </w:t>
      </w:r>
      <w:r w:rsidR="00B459F8" w:rsidRPr="00B459F8">
        <w:rPr>
          <w:color w:val="212121"/>
          <w:shd w:val="clear" w:color="auto" w:fill="FFFFFF"/>
        </w:rPr>
        <w:t>Anatomical abnormalities of the root canal system are frequently seen in specialist endodontic practice, and represent a challenge to be faced with skill and thoroughness, beginning with an accurate diagnostic phase and devising the most appropriate treatment plan.</w:t>
      </w:r>
      <w:r w:rsidR="00B459F8" w:rsidRPr="00B459F8">
        <w:t xml:space="preserve"> </w:t>
      </w:r>
      <w:r w:rsidR="00F30190" w:rsidRPr="00B459F8">
        <w:t xml:space="preserve">Thus, flexibility and resistance to fracture are ideal properties that endodontic instruments should have. The aim of the study was to compare the shaping ability of three different nickel-titanium rotary instruments in simulated S-shape root canals by measuring </w:t>
      </w:r>
      <w:r w:rsidR="00F30190" w:rsidRPr="0003375B">
        <w:t>transportation and canal volume change CVC.</w:t>
      </w:r>
    </w:p>
    <w:p w14:paraId="289EABE8" w14:textId="77777777" w:rsidR="0003375B" w:rsidRPr="0003375B" w:rsidRDefault="0003375B" w:rsidP="00081708">
      <w:pPr>
        <w:pStyle w:val="BodyText"/>
        <w:spacing w:line="360" w:lineRule="auto"/>
        <w:ind w:right="295"/>
        <w:jc w:val="both"/>
      </w:pPr>
    </w:p>
    <w:p w14:paraId="74441708" w14:textId="28C34BD6" w:rsidR="00F30190" w:rsidRPr="0003375B" w:rsidRDefault="0003375B" w:rsidP="00081708">
      <w:pPr>
        <w:pStyle w:val="BodyText"/>
        <w:spacing w:line="360" w:lineRule="auto"/>
        <w:jc w:val="both"/>
        <w:rPr>
          <w:b/>
          <w:bCs/>
        </w:rPr>
      </w:pPr>
      <w:r w:rsidRPr="0003375B">
        <w:rPr>
          <w:b/>
          <w:bCs/>
        </w:rPr>
        <w:t xml:space="preserve">Keywords </w:t>
      </w:r>
      <w:r>
        <w:rPr>
          <w:b/>
          <w:bCs/>
        </w:rPr>
        <w:t xml:space="preserve">– Protapper Gold rotary system, </w:t>
      </w:r>
      <w:r w:rsidRPr="0003375B">
        <w:rPr>
          <w:b/>
          <w:bCs/>
        </w:rPr>
        <w:t>Vortex Blue, HyFlex CM</w:t>
      </w:r>
    </w:p>
    <w:p w14:paraId="733482F1" w14:textId="77777777" w:rsidR="00F30190" w:rsidRDefault="00F30190" w:rsidP="00081708">
      <w:pPr>
        <w:pStyle w:val="BodyText"/>
        <w:spacing w:line="360" w:lineRule="auto"/>
        <w:jc w:val="both"/>
        <w:rPr>
          <w:sz w:val="22"/>
        </w:rPr>
      </w:pPr>
    </w:p>
    <w:p w14:paraId="40904D43" w14:textId="019C3C79" w:rsidR="00F30190" w:rsidRDefault="002A74D5" w:rsidP="00081708">
      <w:pPr>
        <w:pStyle w:val="BodyText"/>
        <w:spacing w:before="1" w:line="360" w:lineRule="auto"/>
        <w:ind w:right="293"/>
        <w:jc w:val="both"/>
      </w:pPr>
      <w:r>
        <w:rPr>
          <w:b/>
        </w:rPr>
        <w:t>MATERIALS AND METHODS</w:t>
      </w:r>
      <w:r w:rsidR="00F30190">
        <w:rPr>
          <w:b/>
        </w:rPr>
        <w:t xml:space="preserve">: </w:t>
      </w:r>
      <w:r w:rsidR="00F30190">
        <w:t xml:space="preserve">A total of 60 S-shaped canals in resin blocks were randomly allocated into 3 groups (n=20): Vortex Blue (Dentsply-Tulsa Dental Specialties), </w:t>
      </w:r>
      <w:proofErr w:type="spellStart"/>
      <w:r w:rsidR="00F30190">
        <w:t>HyFlex</w:t>
      </w:r>
      <w:proofErr w:type="spellEnd"/>
      <w:r w:rsidR="00F30190">
        <w:t xml:space="preserve"> CM (</w:t>
      </w:r>
      <w:proofErr w:type="spellStart"/>
      <w:r w:rsidR="00F30190">
        <w:t>Coltène</w:t>
      </w:r>
      <w:proofErr w:type="spellEnd"/>
      <w:r w:rsidR="00F30190">
        <w:t>/</w:t>
      </w:r>
      <w:proofErr w:type="spellStart"/>
      <w:r w:rsidR="00F30190">
        <w:t>Whaledent</w:t>
      </w:r>
      <w:proofErr w:type="spellEnd"/>
      <w:r w:rsidR="00F30190">
        <w:t>) and</w:t>
      </w:r>
      <w:r w:rsidR="005877C3">
        <w:t xml:space="preserve"> </w:t>
      </w:r>
      <w:proofErr w:type="spellStart"/>
      <w:r w:rsidR="005877C3">
        <w:t>Protapper</w:t>
      </w:r>
      <w:proofErr w:type="spellEnd"/>
      <w:r w:rsidR="005877C3">
        <w:t xml:space="preserve"> gold</w:t>
      </w:r>
      <w:r w:rsidR="00F30190">
        <w:t xml:space="preserve">. Canals were filled with dye and secured in a jig for instrumentation stabilization and imaging standardization. After patency was confirmed using a size 10 K-file, groups were instrumented using a crown down technique from size 40 to 20/.04 and then apically enlarged to size 30/.04 using constant sterile water as an </w:t>
      </w:r>
      <w:proofErr w:type="spellStart"/>
      <w:r w:rsidR="00F30190">
        <w:t>irrigant</w:t>
      </w:r>
      <w:proofErr w:type="spellEnd"/>
      <w:r w:rsidR="00F30190">
        <w:t xml:space="preserve">. Pre- and </w:t>
      </w:r>
      <w:proofErr w:type="spellStart"/>
      <w:r w:rsidR="00F30190">
        <w:t>post instrumentation</w:t>
      </w:r>
      <w:proofErr w:type="spellEnd"/>
      <w:r w:rsidR="00F30190">
        <w:t xml:space="preserve"> images were taken and layered for evaluation. Transportation and the CVC at the cervical, middle, and apical levels were measured/computed. Data obtained were statistically analyzed using a one-way ANOVA test and Tukey post hoc test.</w:t>
      </w:r>
    </w:p>
    <w:p w14:paraId="7AF0EAF6" w14:textId="77777777" w:rsidR="00F30190" w:rsidRDefault="00F30190" w:rsidP="00081708">
      <w:pPr>
        <w:pStyle w:val="BodyText"/>
        <w:spacing w:line="360" w:lineRule="auto"/>
        <w:jc w:val="both"/>
        <w:rPr>
          <w:sz w:val="26"/>
        </w:rPr>
      </w:pPr>
    </w:p>
    <w:p w14:paraId="0772E797" w14:textId="77777777" w:rsidR="00F30190" w:rsidRDefault="00F30190" w:rsidP="00081708">
      <w:pPr>
        <w:pStyle w:val="BodyText"/>
        <w:spacing w:line="360" w:lineRule="auto"/>
        <w:jc w:val="both"/>
        <w:rPr>
          <w:sz w:val="22"/>
        </w:rPr>
      </w:pPr>
    </w:p>
    <w:p w14:paraId="5E2B4805" w14:textId="6E95F794" w:rsidR="00F30190" w:rsidRDefault="002A74D5" w:rsidP="00081708">
      <w:pPr>
        <w:pStyle w:val="BodyText"/>
        <w:spacing w:line="360" w:lineRule="auto"/>
        <w:ind w:right="295"/>
        <w:jc w:val="both"/>
      </w:pPr>
      <w:r>
        <w:rPr>
          <w:b/>
        </w:rPr>
        <w:t>RESULTS:</w:t>
      </w:r>
      <w:r w:rsidR="00F30190">
        <w:rPr>
          <w:b/>
        </w:rPr>
        <w:t xml:space="preserve"> </w:t>
      </w:r>
      <w:r w:rsidR="00F30190">
        <w:t>Instrumentation with HyFlex CM resulted in significantly (p&lt;0.05) less canal volume enlargement overall and at all levels compared to the other two files. No significant differences (p&gt;0.05) were observed between the files for apical transportation.</w:t>
      </w:r>
    </w:p>
    <w:p w14:paraId="3D76E28D" w14:textId="77777777" w:rsidR="00F30190" w:rsidRDefault="00F30190" w:rsidP="00081708">
      <w:pPr>
        <w:pStyle w:val="BodyText"/>
        <w:spacing w:line="360" w:lineRule="auto"/>
        <w:jc w:val="both"/>
        <w:rPr>
          <w:sz w:val="26"/>
        </w:rPr>
      </w:pPr>
    </w:p>
    <w:p w14:paraId="14DE02EF" w14:textId="77777777" w:rsidR="00F30190" w:rsidRDefault="00F30190" w:rsidP="00081708">
      <w:pPr>
        <w:pStyle w:val="BodyText"/>
        <w:spacing w:line="360" w:lineRule="auto"/>
        <w:jc w:val="both"/>
        <w:rPr>
          <w:sz w:val="22"/>
        </w:rPr>
      </w:pPr>
    </w:p>
    <w:p w14:paraId="242337C9" w14:textId="555F7EAB" w:rsidR="00F30190" w:rsidRDefault="00F30190" w:rsidP="00081708">
      <w:pPr>
        <w:pStyle w:val="BodyText"/>
        <w:spacing w:line="360" w:lineRule="auto"/>
        <w:ind w:right="782"/>
        <w:jc w:val="both"/>
      </w:pPr>
      <w:r>
        <w:rPr>
          <w:b/>
        </w:rPr>
        <w:t xml:space="preserve">Conclusion: </w:t>
      </w:r>
      <w:r>
        <w:t xml:space="preserve">HyFlex CM showed better shaping ability than Vortex Blue and </w:t>
      </w:r>
      <w:r w:rsidR="00A74C53">
        <w:t xml:space="preserve">Protapper Gold </w:t>
      </w:r>
      <w:r>
        <w:t>but similar apical transportation.</w:t>
      </w:r>
    </w:p>
    <w:p w14:paraId="6FADEDD7" w14:textId="77777777" w:rsidR="00A50748" w:rsidRDefault="00A50748" w:rsidP="00081708">
      <w:pPr>
        <w:spacing w:line="360" w:lineRule="auto"/>
        <w:jc w:val="both"/>
      </w:pPr>
    </w:p>
    <w:p w14:paraId="3977E515" w14:textId="77777777" w:rsidR="00F30190" w:rsidRDefault="00F30190" w:rsidP="00081708">
      <w:pPr>
        <w:pStyle w:val="NormalWeb"/>
        <w:spacing w:line="360" w:lineRule="auto"/>
        <w:jc w:val="both"/>
      </w:pPr>
      <w:r>
        <w:rPr>
          <w:rFonts w:ascii="TimesNewRomanPS" w:hAnsi="TimesNewRomanPS"/>
          <w:b/>
          <w:bCs/>
        </w:rPr>
        <w:t xml:space="preserve">INTRODUCTION </w:t>
      </w:r>
    </w:p>
    <w:p w14:paraId="479C2D65" w14:textId="6F18BB9D" w:rsidR="00F30190" w:rsidRDefault="00F30190" w:rsidP="00081708">
      <w:pPr>
        <w:pStyle w:val="NormalWeb"/>
        <w:spacing w:line="360" w:lineRule="auto"/>
        <w:jc w:val="both"/>
      </w:pPr>
      <w:r>
        <w:rPr>
          <w:rFonts w:ascii="TimesNewRomanPSMT" w:hAnsi="TimesNewRomanPSMT"/>
        </w:rPr>
        <w:t xml:space="preserve">Cleaning and shaping of the root canal space is the primary objective of endodontic therapy. Its purpose is to prepare the canal space in order to improve disinfection with the use of irrigants as part of chemo mechanical preparation (1). Infiltration and subsequent infection of the root canal system by microorganisms and their </w:t>
      </w:r>
      <w:r w:rsidR="00A74C53">
        <w:rPr>
          <w:rFonts w:ascii="TimesNewRomanPSMT" w:hAnsi="TimesNewRomanPSMT"/>
        </w:rPr>
        <w:t>by-products</w:t>
      </w:r>
      <w:r>
        <w:rPr>
          <w:rFonts w:ascii="TimesNewRomanPSMT" w:hAnsi="TimesNewRomanPSMT"/>
        </w:rPr>
        <w:t xml:space="preserve"> is the primary </w:t>
      </w:r>
      <w:r w:rsidR="00A74C53">
        <w:rPr>
          <w:rFonts w:ascii="TimesNewRomanPSMT" w:hAnsi="TimesNewRomanPSMT"/>
        </w:rPr>
        <w:t>aetiology</w:t>
      </w:r>
      <w:r>
        <w:rPr>
          <w:rFonts w:ascii="TimesNewRomanPSMT" w:hAnsi="TimesNewRomanPSMT"/>
        </w:rPr>
        <w:t xml:space="preserve"> of endodontic pathosis (3). Chemo-mechanical preparation aims to remove microorganisms, remaining pulp tissue, and dentin debris from the root canal system (2). </w:t>
      </w:r>
    </w:p>
    <w:p w14:paraId="0E25E649" w14:textId="77777777" w:rsidR="00DE180F" w:rsidRDefault="00F30190" w:rsidP="00081708">
      <w:pPr>
        <w:pStyle w:val="NormalWeb"/>
        <w:spacing w:line="360" w:lineRule="auto"/>
        <w:jc w:val="both"/>
      </w:pPr>
      <w:r>
        <w:rPr>
          <w:rFonts w:ascii="TimesNewRomanPSMT" w:hAnsi="TimesNewRomanPSMT"/>
        </w:rPr>
        <w:t xml:space="preserve">The main objective of shaping is to maintain or develop a continuously tapering funnel from the canal orifice to the apex; however the complex canal anatomy causes instrumentation challenges, </w:t>
      </w:r>
      <w:proofErr w:type="spellStart"/>
      <w:r w:rsidR="00DE180F">
        <w:rPr>
          <w:rFonts w:ascii="TimesNewRomanPSMT" w:hAnsi="TimesNewRomanPSMT"/>
        </w:rPr>
        <w:t>i</w:t>
      </w:r>
      <w:r>
        <w:rPr>
          <w:rFonts w:ascii="TimesNewRomanPSMT" w:hAnsi="TimesNewRomanPSMT"/>
        </w:rPr>
        <w:t>which</w:t>
      </w:r>
      <w:proofErr w:type="spellEnd"/>
      <w:r>
        <w:rPr>
          <w:rFonts w:ascii="TimesNewRomanPSMT" w:hAnsi="TimesNewRomanPSMT"/>
        </w:rPr>
        <w:t xml:space="preserve"> may prevent adequate disinfection of the root canal system, or cause procedural errors such as instrument separation, transportation, ledges, or perforations (</w:t>
      </w:r>
      <w:r w:rsidR="00DE180F">
        <w:rPr>
          <w:rFonts w:ascii="TimesNewRomanPSMT" w:hAnsi="TimesNewRomanPSMT"/>
        </w:rPr>
        <w:t>3</w:t>
      </w:r>
      <w:r>
        <w:rPr>
          <w:rFonts w:ascii="TimesNewRomanPSMT" w:hAnsi="TimesNewRomanPSMT"/>
        </w:rPr>
        <w:t xml:space="preserve">). </w:t>
      </w:r>
    </w:p>
    <w:p w14:paraId="4DC715A1" w14:textId="31C0F643" w:rsidR="00F30190" w:rsidRDefault="00F30190" w:rsidP="00081708">
      <w:pPr>
        <w:pStyle w:val="NormalWeb"/>
        <w:spacing w:line="360" w:lineRule="auto"/>
        <w:jc w:val="both"/>
      </w:pPr>
      <w:r>
        <w:rPr>
          <w:rFonts w:ascii="TimesNewRomanPSMT" w:hAnsi="TimesNewRomanPSMT"/>
        </w:rPr>
        <w:t xml:space="preserve">NiTi is a very unique alloy compared other alloys used in endodontics because of its mechanical properties. These include its shape memory effect and </w:t>
      </w:r>
      <w:r w:rsidR="00A74C53">
        <w:rPr>
          <w:rFonts w:ascii="TimesNewRomanPSMT" w:hAnsi="TimesNewRomanPSMT"/>
        </w:rPr>
        <w:t>super elasticity</w:t>
      </w:r>
      <w:r>
        <w:rPr>
          <w:rFonts w:ascii="TimesNewRomanPSMT" w:hAnsi="TimesNewRomanPSMT"/>
        </w:rPr>
        <w:t xml:space="preserve"> characteristics (</w:t>
      </w:r>
      <w:r w:rsidR="00DE180F">
        <w:rPr>
          <w:rFonts w:ascii="TimesNewRomanPSMT" w:hAnsi="TimesNewRomanPSMT"/>
        </w:rPr>
        <w:t>4</w:t>
      </w:r>
      <w:r>
        <w:rPr>
          <w:rFonts w:ascii="TimesNewRomanPSMT" w:hAnsi="TimesNewRomanPSMT"/>
        </w:rPr>
        <w:t xml:space="preserve">). The special mechanical property called </w:t>
      </w:r>
      <w:r w:rsidR="00A74C53">
        <w:rPr>
          <w:rFonts w:ascii="TimesNewRomanPSMT" w:hAnsi="TimesNewRomanPSMT"/>
        </w:rPr>
        <w:t>super elasticity</w:t>
      </w:r>
      <w:r>
        <w:rPr>
          <w:rFonts w:ascii="TimesNewRomanPSMT" w:hAnsi="TimesNewRomanPSMT"/>
        </w:rPr>
        <w:t xml:space="preserve"> refers that NiTi alloy is able to undergo a non-diffusive transformation of the lattice structure into a martensitic phase when suitably stressed</w:t>
      </w:r>
      <w:r w:rsidR="00DE180F">
        <w:rPr>
          <w:rFonts w:ascii="TimesNewRomanPSMT" w:hAnsi="TimesNewRomanPSMT"/>
        </w:rPr>
        <w:t>(5)</w:t>
      </w:r>
      <w:r>
        <w:rPr>
          <w:rFonts w:ascii="TimesNewRomanPSMT" w:hAnsi="TimesNewRomanPSMT"/>
        </w:rPr>
        <w:t>. The stress-induced martensitic is reversible, and consequently the material shows a remarkably large elastic range and is able to recover from a much higher strain than stainless steel can withstand without breaking (</w:t>
      </w:r>
      <w:r w:rsidR="00DE180F">
        <w:rPr>
          <w:rFonts w:ascii="TimesNewRomanPSMT" w:hAnsi="TimesNewRomanPSMT"/>
        </w:rPr>
        <w:t>6</w:t>
      </w:r>
      <w:r>
        <w:rPr>
          <w:rFonts w:ascii="TimesNewRomanPSMT" w:hAnsi="TimesNewRomanPSMT"/>
        </w:rPr>
        <w:t xml:space="preserve">). </w:t>
      </w:r>
    </w:p>
    <w:p w14:paraId="6995AA89" w14:textId="0B9EAC4B" w:rsidR="00F30190" w:rsidRDefault="00F30190" w:rsidP="00081708">
      <w:pPr>
        <w:pStyle w:val="NormalWeb"/>
        <w:spacing w:line="360" w:lineRule="auto"/>
        <w:jc w:val="both"/>
      </w:pPr>
      <w:r>
        <w:rPr>
          <w:rFonts w:ascii="TimesNewRomanPSMT" w:hAnsi="TimesNewRomanPSMT"/>
        </w:rPr>
        <w:t xml:space="preserve">Basically it provides more flexibility allowing the instrument to effectively follow the original root canal pathway (7). </w:t>
      </w:r>
    </w:p>
    <w:p w14:paraId="2DBC3CF0" w14:textId="1811B222" w:rsidR="00F30190" w:rsidRDefault="00F30190" w:rsidP="00081708">
      <w:pPr>
        <w:pStyle w:val="NormalWeb"/>
        <w:spacing w:line="360" w:lineRule="auto"/>
        <w:jc w:val="both"/>
      </w:pPr>
      <w:r>
        <w:rPr>
          <w:rFonts w:ascii="TimesNewRomanPSMT" w:hAnsi="TimesNewRomanPSMT"/>
        </w:rPr>
        <w:t>New file designs and alloys with better mechanical properties have been and continue to be introduced by manufacturers. These new and more flexible instruments work more efficiently and safely thus preventing unwanted changes when shaping curved canals (</w:t>
      </w:r>
      <w:r w:rsidR="00DE180F">
        <w:rPr>
          <w:rFonts w:ascii="TimesNewRomanPSMT" w:hAnsi="TimesNewRomanPSMT"/>
        </w:rPr>
        <w:t>8</w:t>
      </w:r>
      <w:r>
        <w:rPr>
          <w:rFonts w:ascii="TimesNewRomanPSMT" w:hAnsi="TimesNewRomanPSMT"/>
        </w:rPr>
        <w:t>). HyFlex Controlled Memory (CM) rotary instruments (</w:t>
      </w:r>
      <w:proofErr w:type="spellStart"/>
      <w:r>
        <w:rPr>
          <w:rFonts w:ascii="TimesNewRomanPSMT" w:hAnsi="TimesNewRomanPSMT"/>
        </w:rPr>
        <w:t>Coltene-Whaledent</w:t>
      </w:r>
      <w:proofErr w:type="spellEnd"/>
      <w:r>
        <w:rPr>
          <w:rFonts w:ascii="TimesNewRomanPSMT" w:hAnsi="TimesNewRomanPSMT"/>
        </w:rPr>
        <w:t xml:space="preserve">, </w:t>
      </w:r>
      <w:proofErr w:type="spellStart"/>
      <w:r>
        <w:rPr>
          <w:rFonts w:ascii="TimesNewRomanPSMT" w:hAnsi="TimesNewRomanPSMT"/>
        </w:rPr>
        <w:t>Allstetten</w:t>
      </w:r>
      <w:proofErr w:type="spellEnd"/>
      <w:r>
        <w:rPr>
          <w:rFonts w:ascii="TimesNewRomanPSMT" w:hAnsi="TimesNewRomanPSMT"/>
        </w:rPr>
        <w:t xml:space="preserve">, Switzerland) are one of these new improved endodontic instruments. The manufacturer claims CM NiTi files have </w:t>
      </w:r>
      <w:r>
        <w:rPr>
          <w:rFonts w:ascii="TimesNewRomanPSMT" w:hAnsi="TimesNewRomanPSMT"/>
        </w:rPr>
        <w:lastRenderedPageBreak/>
        <w:t xml:space="preserve">increased flexibility that is superior in maintaining the overall root canal shape due to a thermomechanical processing that control the material’s memory (9). </w:t>
      </w:r>
    </w:p>
    <w:p w14:paraId="297A7DA2" w14:textId="77777777" w:rsidR="00F30190" w:rsidRDefault="00F30190" w:rsidP="00081708">
      <w:pPr>
        <w:pStyle w:val="NormalWeb"/>
        <w:spacing w:line="360" w:lineRule="auto"/>
        <w:jc w:val="both"/>
      </w:pPr>
      <w:r>
        <w:rPr>
          <w:rFonts w:ascii="TimesNewRomanPSMT" w:hAnsi="TimesNewRomanPSMT"/>
        </w:rPr>
        <w:t xml:space="preserve">It is claimed that due to their increased flexibility HyFlex CM instruments are best suited to prepare curved root canals and possess a superior centring ability compared with conventional NiTi instruments (10). Currently there is only limited information available regarding the shaping ability of HyFlex CM instruments. </w:t>
      </w:r>
    </w:p>
    <w:p w14:paraId="290D7146" w14:textId="77777777" w:rsidR="005E5EAC" w:rsidRDefault="00F30190" w:rsidP="005E5EAC">
      <w:pPr>
        <w:pStyle w:val="NormalWeb"/>
        <w:spacing w:line="360" w:lineRule="auto"/>
        <w:jc w:val="both"/>
        <w:rPr>
          <w:rFonts w:ascii="TimesNewRomanPSMT" w:hAnsi="TimesNewRomanPSMT"/>
        </w:rPr>
      </w:pPr>
      <w:r>
        <w:rPr>
          <w:rFonts w:ascii="TimesNewRomanPSMT" w:hAnsi="TimesNewRomanPSMT"/>
          <w:color w:val="212121"/>
        </w:rPr>
        <w:t xml:space="preserve">On the other hand, </w:t>
      </w:r>
      <w:proofErr w:type="spellStart"/>
      <w:r w:rsidR="00336D84">
        <w:rPr>
          <w:rFonts w:ascii="TimesNewRomanPSMT" w:hAnsi="TimesNewRomanPSMT"/>
          <w:color w:val="212121"/>
        </w:rPr>
        <w:t>Protapper</w:t>
      </w:r>
      <w:proofErr w:type="spellEnd"/>
      <w:r w:rsidR="00336D84">
        <w:rPr>
          <w:rFonts w:ascii="TimesNewRomanPSMT" w:hAnsi="TimesNewRomanPSMT"/>
          <w:color w:val="212121"/>
        </w:rPr>
        <w:t xml:space="preserve"> gold </w:t>
      </w:r>
      <w:r>
        <w:rPr>
          <w:rFonts w:ascii="TimesNewRomanPSMT" w:hAnsi="TimesNewRomanPSMT"/>
          <w:color w:val="212121"/>
        </w:rPr>
        <w:t xml:space="preserve"> and Vortex Blue are rotary file systems that are made with traditional nickel-titanium and M-Wire technology, respectively. M-Wire technology was created by Dentsply Tulsa Specialties, using a </w:t>
      </w:r>
      <w:r w:rsidR="00A74C53">
        <w:rPr>
          <w:rFonts w:ascii="TimesNewRomanPSMT" w:hAnsi="TimesNewRomanPSMT"/>
          <w:color w:val="212121"/>
        </w:rPr>
        <w:t>thermos</w:t>
      </w:r>
      <w:r>
        <w:rPr>
          <w:rFonts w:ascii="TimesNewRomanPSMT" w:hAnsi="TimesNewRomanPSMT"/>
          <w:color w:val="212121"/>
        </w:rPr>
        <w:t xml:space="preserve"> cycling process, which gives the characteristics of being more flexible and resistant to cyclic fatigue. </w:t>
      </w:r>
      <w:r>
        <w:rPr>
          <w:rFonts w:ascii="TimesNewRomanPSMT" w:hAnsi="TimesNewRomanPSMT"/>
        </w:rPr>
        <w:t xml:space="preserve">Previous </w:t>
      </w:r>
      <w:r>
        <w:rPr>
          <w:rFonts w:ascii="TimesNewRomanPSMT" w:hAnsi="TimesNewRomanPSMT"/>
          <w:color w:val="212121"/>
        </w:rPr>
        <w:t xml:space="preserve">studies have showed better fatigue resistance of M-Wire rotary files compared with the conventional NiTi file </w:t>
      </w:r>
      <w:r>
        <w:rPr>
          <w:rFonts w:ascii="TimesNewRomanPSMT" w:hAnsi="TimesNewRomanPSMT"/>
        </w:rPr>
        <w:t xml:space="preserve">(11). </w:t>
      </w:r>
    </w:p>
    <w:p w14:paraId="3BABD4C5" w14:textId="1552791F" w:rsidR="005E5EAC" w:rsidRPr="005E5EAC" w:rsidRDefault="005E5EAC" w:rsidP="005E5EAC">
      <w:pPr>
        <w:pStyle w:val="NormalWeb"/>
        <w:spacing w:line="360" w:lineRule="auto"/>
        <w:jc w:val="both"/>
        <w:rPr>
          <w:rFonts w:ascii="TimesNewRomanPSMT" w:hAnsi="TimesNewRomanPSMT"/>
        </w:rPr>
      </w:pPr>
      <w:r w:rsidRPr="005E5EAC">
        <w:rPr>
          <w:color w:val="212121"/>
        </w:rPr>
        <w:t xml:space="preserve">PTG (2015) (Dentsply, Tulsa Dental Specialties, Tulsa, OK, USA) has been metallurgically enhanced through proprietary heat treatment technology. Files have a variable taper design and exhibit the exact geometries as </w:t>
      </w:r>
      <w:proofErr w:type="spellStart"/>
      <w:r w:rsidRPr="005E5EAC">
        <w:rPr>
          <w:color w:val="212121"/>
        </w:rPr>
        <w:t>ProTaper</w:t>
      </w:r>
      <w:proofErr w:type="spellEnd"/>
      <w:r w:rsidRPr="005E5EAC">
        <w:rPr>
          <w:color w:val="212121"/>
        </w:rPr>
        <w:t xml:space="preserve"> Universal (PTU) but show increased cyclic fatigue resistance and flexibility than PTU.</w:t>
      </w:r>
      <w:r w:rsidRPr="005E5EAC">
        <w:rPr>
          <w:rFonts w:ascii="TimesNewRomanPSMT" w:hAnsi="TimesNewRomanPSMT"/>
        </w:rPr>
        <w:t xml:space="preserve"> </w:t>
      </w:r>
    </w:p>
    <w:p w14:paraId="4B1D7FC7" w14:textId="462E12C4" w:rsidR="00F30190" w:rsidRDefault="00F30190" w:rsidP="00081708">
      <w:pPr>
        <w:pStyle w:val="NormalWeb"/>
        <w:spacing w:line="360" w:lineRule="auto"/>
        <w:jc w:val="both"/>
      </w:pPr>
      <w:r>
        <w:rPr>
          <w:rFonts w:ascii="TimesNewRomanPSMT" w:hAnsi="TimesNewRomanPSMT"/>
        </w:rPr>
        <w:t xml:space="preserve">To investigate the shaping ability of endodontic files, studies often use simulated canals with standardized lengths, curvatures, and tapers in resin blocks. Two of the main advantages of these resin blocks are that the intracanal preparation can be visualized </w:t>
      </w:r>
      <w:proofErr w:type="spellStart"/>
      <w:r>
        <w:rPr>
          <w:rFonts w:ascii="TimesNewRomanPSMT" w:hAnsi="TimesNewRomanPSMT"/>
        </w:rPr>
        <w:t>andthey</w:t>
      </w:r>
      <w:proofErr w:type="spellEnd"/>
      <w:r>
        <w:rPr>
          <w:rFonts w:ascii="TimesNewRomanPSMT" w:hAnsi="TimesNewRomanPSMT"/>
        </w:rPr>
        <w:t xml:space="preserve"> are simply reproducible something that cannot be achieved with natural teeth (</w:t>
      </w:r>
      <w:r w:rsidR="00DE180F">
        <w:rPr>
          <w:rFonts w:ascii="TimesNewRomanPSMT" w:hAnsi="TimesNewRomanPSMT"/>
        </w:rPr>
        <w:t>1</w:t>
      </w:r>
      <w:r>
        <w:rPr>
          <w:rFonts w:ascii="TimesNewRomanPSMT" w:hAnsi="TimesNewRomanPSMT"/>
        </w:rPr>
        <w:t xml:space="preserve">2). </w:t>
      </w:r>
    </w:p>
    <w:p w14:paraId="521BF112" w14:textId="68919656" w:rsidR="00F30190" w:rsidRDefault="00F30190" w:rsidP="00081708">
      <w:pPr>
        <w:pStyle w:val="NormalWeb"/>
        <w:spacing w:line="360" w:lineRule="auto"/>
        <w:jc w:val="both"/>
      </w:pPr>
      <w:r>
        <w:rPr>
          <w:rFonts w:ascii="TimesNewRomanPSMT" w:hAnsi="TimesNewRomanPSMT"/>
        </w:rPr>
        <w:t xml:space="preserve">The purpose of the study was to compare the shaping ability of three different nickel- titanium rotary instruments in simulated S-shape root canals by measuring transportation, and canal volume change (CVC) at the cervical, middle, and apical levels. </w:t>
      </w:r>
    </w:p>
    <w:p w14:paraId="48AEFD42" w14:textId="594D00BC"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MT" w:eastAsia="Times New Roman" w:hAnsi="TimesNewRomanPSMT" w:cs="Times New Roman"/>
          <w:kern w:val="0"/>
          <w:lang w:eastAsia="en-GB"/>
          <w14:ligatures w14:val="none"/>
        </w:rPr>
        <w:t xml:space="preserve">The NiTi rotary instruments were selected to encompass three different manufacturing processes, yet similar cross sectional design: traditional </w:t>
      </w:r>
      <w:proofErr w:type="spellStart"/>
      <w:r w:rsidR="00A74C53">
        <w:rPr>
          <w:rFonts w:ascii="TimesNewRomanPSMT" w:eastAsia="Times New Roman" w:hAnsi="TimesNewRomanPSMT" w:cs="Times New Roman"/>
          <w:kern w:val="0"/>
          <w:lang w:eastAsia="en-GB"/>
          <w14:ligatures w14:val="none"/>
        </w:rPr>
        <w:t>Protapper</w:t>
      </w:r>
      <w:proofErr w:type="spellEnd"/>
      <w:r w:rsidR="00A74C53">
        <w:rPr>
          <w:rFonts w:ascii="TimesNewRomanPSMT" w:eastAsia="Times New Roman" w:hAnsi="TimesNewRomanPSMT" w:cs="Times New Roman"/>
          <w:kern w:val="0"/>
          <w:lang w:eastAsia="en-GB"/>
          <w14:ligatures w14:val="none"/>
        </w:rPr>
        <w:t xml:space="preserve"> Gold (Figure -1)</w:t>
      </w:r>
      <w:r w:rsidRPr="00493D3F">
        <w:rPr>
          <w:rFonts w:ascii="TimesNewRomanPSMT" w:eastAsia="Times New Roman" w:hAnsi="TimesNewRomanPSMT" w:cs="Times New Roman"/>
          <w:kern w:val="0"/>
          <w:lang w:eastAsia="en-GB"/>
          <w14:ligatures w14:val="none"/>
        </w:rPr>
        <w:t xml:space="preserve">, CM wire (HyFlex CM-Figure-2) and processed M-Wire (Vortex Blue –Figure 3). Sixty simulated S-shaped root canals in clear resin blocks (Endo Training Bloc-S; Dentsply </w:t>
      </w:r>
      <w:proofErr w:type="spellStart"/>
      <w:r w:rsidRPr="00493D3F">
        <w:rPr>
          <w:rFonts w:ascii="TimesNewRomanPSMT" w:eastAsia="Times New Roman" w:hAnsi="TimesNewRomanPSMT" w:cs="Times New Roman"/>
          <w:kern w:val="0"/>
          <w:lang w:eastAsia="en-GB"/>
          <w14:ligatures w14:val="none"/>
        </w:rPr>
        <w:t>Maillefer</w:t>
      </w:r>
      <w:proofErr w:type="spellEnd"/>
      <w:r w:rsidRPr="00493D3F">
        <w:rPr>
          <w:rFonts w:ascii="TimesNewRomanPSMT" w:eastAsia="Times New Roman" w:hAnsi="TimesNewRomanPSMT" w:cs="Times New Roman"/>
          <w:kern w:val="0"/>
          <w:lang w:eastAsia="en-GB"/>
          <w14:ligatures w14:val="none"/>
        </w:rPr>
        <w:t xml:space="preserve">, </w:t>
      </w:r>
      <w:proofErr w:type="spellStart"/>
      <w:r w:rsidRPr="00493D3F">
        <w:rPr>
          <w:rFonts w:ascii="TimesNewRomanPSMT" w:eastAsia="Times New Roman" w:hAnsi="TimesNewRomanPSMT" w:cs="Times New Roman"/>
          <w:kern w:val="0"/>
          <w:lang w:eastAsia="en-GB"/>
          <w14:ligatures w14:val="none"/>
        </w:rPr>
        <w:t>Ballaigues</w:t>
      </w:r>
      <w:proofErr w:type="spellEnd"/>
      <w:r w:rsidRPr="00493D3F">
        <w:rPr>
          <w:rFonts w:ascii="TimesNewRomanPSMT" w:eastAsia="Times New Roman" w:hAnsi="TimesNewRomanPSMT" w:cs="Times New Roman"/>
          <w:kern w:val="0"/>
          <w:lang w:eastAsia="en-GB"/>
          <w14:ligatures w14:val="none"/>
        </w:rPr>
        <w:t xml:space="preserve">, Switzerland), each with 20 degree apical curvature (3.5 mm radius), 30 degree coronal curvature (5 mm radius), and 16 mm canal length, were randomly assigned to 3 experimental groups (n= 20/group): </w:t>
      </w:r>
      <w:proofErr w:type="spellStart"/>
      <w:r w:rsidRPr="00493D3F">
        <w:rPr>
          <w:rFonts w:ascii="TimesNewRomanPSMT" w:eastAsia="Times New Roman" w:hAnsi="TimesNewRomanPSMT" w:cs="Times New Roman"/>
          <w:kern w:val="0"/>
          <w:lang w:eastAsia="en-GB"/>
          <w14:ligatures w14:val="none"/>
        </w:rPr>
        <w:t>HyFlex</w:t>
      </w:r>
      <w:proofErr w:type="spellEnd"/>
      <w:r w:rsidRPr="00493D3F">
        <w:rPr>
          <w:rFonts w:ascii="TimesNewRomanPSMT" w:eastAsia="Times New Roman" w:hAnsi="TimesNewRomanPSMT" w:cs="Times New Roman"/>
          <w:kern w:val="0"/>
          <w:lang w:eastAsia="en-GB"/>
          <w14:ligatures w14:val="none"/>
        </w:rPr>
        <w:t xml:space="preserve"> CM, </w:t>
      </w:r>
      <w:proofErr w:type="spellStart"/>
      <w:r w:rsidR="00336D84">
        <w:rPr>
          <w:rFonts w:ascii="TimesNewRomanPSMT" w:eastAsia="Times New Roman" w:hAnsi="TimesNewRomanPSMT" w:cs="Times New Roman"/>
          <w:kern w:val="0"/>
          <w:lang w:eastAsia="en-GB"/>
          <w14:ligatures w14:val="none"/>
        </w:rPr>
        <w:t>Protaper</w:t>
      </w:r>
      <w:proofErr w:type="spellEnd"/>
      <w:r w:rsidR="00336D84">
        <w:rPr>
          <w:rFonts w:ascii="TimesNewRomanPSMT" w:eastAsia="Times New Roman" w:hAnsi="TimesNewRomanPSMT" w:cs="Times New Roman"/>
          <w:kern w:val="0"/>
          <w:lang w:eastAsia="en-GB"/>
          <w14:ligatures w14:val="none"/>
        </w:rPr>
        <w:t xml:space="preserve"> Gold </w:t>
      </w:r>
      <w:r w:rsidRPr="00493D3F">
        <w:rPr>
          <w:rFonts w:ascii="TimesNewRomanPSMT" w:eastAsia="Times New Roman" w:hAnsi="TimesNewRomanPSMT" w:cs="Times New Roman"/>
          <w:kern w:val="0"/>
          <w:lang w:eastAsia="en-GB"/>
          <w14:ligatures w14:val="none"/>
        </w:rPr>
        <w:t xml:space="preserve">, and Vortex Blue groups. </w:t>
      </w:r>
    </w:p>
    <w:p w14:paraId="50DF38BF" w14:textId="77777777" w:rsidR="00FD2FB0" w:rsidRDefault="00FD2FB0" w:rsidP="00081708">
      <w:pPr>
        <w:spacing w:before="100" w:beforeAutospacing="1" w:after="100" w:afterAutospacing="1" w:line="360" w:lineRule="auto"/>
        <w:jc w:val="both"/>
        <w:rPr>
          <w:rFonts w:ascii="TimesNewRomanPS" w:eastAsia="Times New Roman" w:hAnsi="TimesNewRomanPS" w:cs="Times New Roman"/>
          <w:b/>
          <w:bCs/>
          <w:kern w:val="0"/>
          <w:lang w:eastAsia="en-GB"/>
          <w14:ligatures w14:val="none"/>
        </w:rPr>
      </w:pPr>
    </w:p>
    <w:p w14:paraId="332221FA" w14:textId="77777777" w:rsidR="00FD2FB0" w:rsidRDefault="00FD2FB0" w:rsidP="00081708">
      <w:pPr>
        <w:spacing w:before="100" w:beforeAutospacing="1" w:after="100" w:afterAutospacing="1" w:line="360" w:lineRule="auto"/>
        <w:jc w:val="both"/>
        <w:rPr>
          <w:rFonts w:ascii="TimesNewRomanPS" w:eastAsia="Times New Roman" w:hAnsi="TimesNewRomanPS" w:cs="Times New Roman"/>
          <w:b/>
          <w:bCs/>
          <w:kern w:val="0"/>
          <w:lang w:eastAsia="en-GB"/>
          <w14:ligatures w14:val="none"/>
        </w:rPr>
      </w:pPr>
    </w:p>
    <w:p w14:paraId="117B1A97" w14:textId="4E2193CD" w:rsidR="00FD2FB0" w:rsidRDefault="00FD2FB0" w:rsidP="00081708">
      <w:pPr>
        <w:spacing w:before="100" w:beforeAutospacing="1" w:after="100" w:afterAutospacing="1" w:line="360" w:lineRule="auto"/>
        <w:jc w:val="both"/>
        <w:rPr>
          <w:rFonts w:ascii="TimesNewRomanPS" w:eastAsia="Times New Roman" w:hAnsi="TimesNewRomanPS" w:cs="Times New Roman"/>
          <w:b/>
          <w:bCs/>
          <w:kern w:val="0"/>
          <w:lang w:eastAsia="en-GB"/>
          <w14:ligatures w14:val="none"/>
        </w:rPr>
      </w:pPr>
      <w:r>
        <w:fldChar w:fldCharType="begin"/>
      </w:r>
      <w:r>
        <w:instrText xml:space="preserve"> INCLUDEPICTURE "https://www.thedentistshop.com/assets/product/large/product_2191_2457.jpg" \* MERGEFORMATINET </w:instrText>
      </w:r>
      <w:r>
        <w:fldChar w:fldCharType="separate"/>
      </w:r>
      <w:r>
        <w:rPr>
          <w:noProof/>
        </w:rPr>
        <w:drawing>
          <wp:inline distT="0" distB="0" distL="0" distR="0" wp14:anchorId="69652847" wp14:editId="4EC73C38">
            <wp:extent cx="2509736" cy="2015490"/>
            <wp:effectExtent l="0" t="0" r="5080" b="3810"/>
            <wp:docPr id="486475143" name="Picture 42" descr="Dentsply Protaper Gold Rotary Files 25mm 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Dentsply Protaper Gold Rotary Files 25mm S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3057" cy="2058310"/>
                    </a:xfrm>
                    <a:prstGeom prst="rect">
                      <a:avLst/>
                    </a:prstGeom>
                    <a:noFill/>
                    <a:ln>
                      <a:noFill/>
                    </a:ln>
                  </pic:spPr>
                </pic:pic>
              </a:graphicData>
            </a:graphic>
          </wp:inline>
        </w:drawing>
      </w:r>
      <w:r>
        <w:fldChar w:fldCharType="end"/>
      </w:r>
    </w:p>
    <w:p w14:paraId="559C6943" w14:textId="74433A8F"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 w:eastAsia="Times New Roman" w:hAnsi="TimesNewRomanPS" w:cs="Times New Roman"/>
          <w:b/>
          <w:bCs/>
          <w:kern w:val="0"/>
          <w:lang w:eastAsia="en-GB"/>
          <w14:ligatures w14:val="none"/>
        </w:rPr>
        <w:t xml:space="preserve">Figure 1 – </w:t>
      </w:r>
      <w:proofErr w:type="spellStart"/>
      <w:r w:rsidR="00BB5FE8">
        <w:rPr>
          <w:rFonts w:ascii="TimesNewRomanPS" w:eastAsia="Times New Roman" w:hAnsi="TimesNewRomanPS" w:cs="Times New Roman"/>
          <w:b/>
          <w:bCs/>
          <w:kern w:val="0"/>
          <w:lang w:eastAsia="en-GB"/>
          <w14:ligatures w14:val="none"/>
        </w:rPr>
        <w:t>Protapper</w:t>
      </w:r>
      <w:proofErr w:type="spellEnd"/>
      <w:r w:rsidR="00BB5FE8">
        <w:rPr>
          <w:rFonts w:ascii="TimesNewRomanPS" w:eastAsia="Times New Roman" w:hAnsi="TimesNewRomanPS" w:cs="Times New Roman"/>
          <w:b/>
          <w:bCs/>
          <w:kern w:val="0"/>
          <w:lang w:eastAsia="en-GB"/>
          <w14:ligatures w14:val="none"/>
        </w:rPr>
        <w:t xml:space="preserve"> Gold </w:t>
      </w:r>
      <w:r w:rsidRPr="00493D3F">
        <w:rPr>
          <w:rFonts w:ascii="TimesNewRomanPS" w:eastAsia="Times New Roman" w:hAnsi="TimesNewRomanPS" w:cs="Times New Roman"/>
          <w:b/>
          <w:bCs/>
          <w:kern w:val="0"/>
          <w:lang w:eastAsia="en-GB"/>
          <w14:ligatures w14:val="none"/>
        </w:rPr>
        <w:t xml:space="preserve"> File </w:t>
      </w:r>
    </w:p>
    <w:p w14:paraId="644A5072" w14:textId="50790AB6"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p>
    <w:p w14:paraId="11FD0BD8" w14:textId="1E662DEB" w:rsidR="00493D3F" w:rsidRPr="00493D3F" w:rsidRDefault="00FD2FB0" w:rsidP="00081708">
      <w:pPr>
        <w:spacing w:line="360" w:lineRule="auto"/>
        <w:jc w:val="both"/>
        <w:rPr>
          <w:rFonts w:ascii="Times New Roman" w:eastAsia="Times New Roman" w:hAnsi="Times New Roman" w:cs="Times New Roman"/>
          <w:kern w:val="0"/>
          <w:lang w:eastAsia="en-GB"/>
          <w14:ligatures w14:val="none"/>
        </w:rPr>
      </w:pPr>
      <w:r>
        <w:rPr>
          <w:noProof/>
        </w:rPr>
        <w:drawing>
          <wp:inline distT="0" distB="0" distL="0" distR="0" wp14:anchorId="3741DDA6" wp14:editId="1F3A527E">
            <wp:extent cx="2597150" cy="1604940"/>
            <wp:effectExtent l="0" t="0" r="0" b="0"/>
            <wp:docPr id="1537374030" name="Picture 41" descr="Nickel Titanium Coltene Hyflex Cm Rotary Files ( Pack Of 6 Files), For  Clinical at Rs 3250/pack in Vadod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Nickel Titanium Coltene Hyflex Cm Rotary Files ( Pack Of 6 Files), For  Clinical at Rs 3250/pack in Vadoda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3668" cy="1633686"/>
                    </a:xfrm>
                    <a:prstGeom prst="rect">
                      <a:avLst/>
                    </a:prstGeom>
                    <a:noFill/>
                    <a:ln>
                      <a:noFill/>
                    </a:ln>
                  </pic:spPr>
                </pic:pic>
              </a:graphicData>
            </a:graphic>
          </wp:inline>
        </w:drawing>
      </w:r>
    </w:p>
    <w:p w14:paraId="52A0718A" w14:textId="1EE3615E"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Cambria" w:eastAsia="Times New Roman" w:hAnsi="Cambria" w:cs="Times New Roman"/>
          <w:b/>
          <w:bCs/>
          <w:kern w:val="0"/>
          <w:lang w:eastAsia="en-GB"/>
          <w14:ligatures w14:val="none"/>
        </w:rPr>
        <w:t>Fi</w:t>
      </w:r>
      <w:r w:rsidRPr="00493D3F">
        <w:rPr>
          <w:rFonts w:ascii="TimesNewRomanPS" w:eastAsia="Times New Roman" w:hAnsi="TimesNewRomanPS" w:cs="Times New Roman"/>
          <w:b/>
          <w:bCs/>
          <w:kern w:val="0"/>
          <w:lang w:eastAsia="en-GB"/>
          <w14:ligatures w14:val="none"/>
        </w:rPr>
        <w:t xml:space="preserve">gure 2 – HyFlex CM File </w:t>
      </w:r>
    </w:p>
    <w:p w14:paraId="7030A1EF" w14:textId="357573CF" w:rsidR="00493D3F" w:rsidRPr="00493D3F" w:rsidRDefault="00BB5FE8" w:rsidP="00081708">
      <w:pPr>
        <w:spacing w:line="360" w:lineRule="auto"/>
        <w:jc w:val="both"/>
        <w:rPr>
          <w:rFonts w:ascii="Times New Roman" w:eastAsia="Times New Roman" w:hAnsi="Times New Roman" w:cs="Times New Roman"/>
          <w:kern w:val="0"/>
          <w:lang w:eastAsia="en-GB"/>
          <w14:ligatures w14:val="none"/>
        </w:rPr>
      </w:pPr>
      <w:r>
        <w:fldChar w:fldCharType="begin"/>
      </w:r>
      <w:r>
        <w:instrText xml:space="preserve"> INCLUDEPICTURE "https://images-cdn.ubuy.co.in/634f487fc3ac247ee87001cc-3-pks-04-vortex-blue-rotary-files.jpg" \* MERGEFORMATINET </w:instrText>
      </w:r>
      <w:r>
        <w:fldChar w:fldCharType="separate"/>
      </w:r>
      <w:r>
        <w:rPr>
          <w:noProof/>
        </w:rPr>
        <w:drawing>
          <wp:inline distT="0" distB="0" distL="0" distR="0" wp14:anchorId="13D1A677" wp14:editId="5742FA88">
            <wp:extent cx="2597150" cy="1129665"/>
            <wp:effectExtent l="0" t="0" r="6350" b="635"/>
            <wp:docPr id="206669861" name="Picture 43" descr="10 pks .04 Vortex Blue Rotary Files Dentsply Tulsa | Ubuy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10 pks .04 Vortex Blue Rotary Files Dentsply Tulsa | Ubuy In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9337" cy="1169763"/>
                    </a:xfrm>
                    <a:prstGeom prst="rect">
                      <a:avLst/>
                    </a:prstGeom>
                    <a:noFill/>
                    <a:ln>
                      <a:noFill/>
                    </a:ln>
                  </pic:spPr>
                </pic:pic>
              </a:graphicData>
            </a:graphic>
          </wp:inline>
        </w:drawing>
      </w:r>
      <w:r>
        <w:fldChar w:fldCharType="end"/>
      </w:r>
    </w:p>
    <w:p w14:paraId="14C12FC2" w14:textId="77777777"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 w:eastAsia="Times New Roman" w:hAnsi="TimesNewRomanPS" w:cs="Times New Roman"/>
          <w:b/>
          <w:bCs/>
          <w:kern w:val="0"/>
          <w:lang w:eastAsia="en-GB"/>
          <w14:ligatures w14:val="none"/>
        </w:rPr>
        <w:t xml:space="preserve">Figure 3- Vortex Blue </w:t>
      </w:r>
    </w:p>
    <w:p w14:paraId="5251E889" w14:textId="68DBDD1C" w:rsidR="00493D3F" w:rsidRPr="00493D3F" w:rsidRDefault="00493D3F" w:rsidP="00081708">
      <w:pPr>
        <w:spacing w:before="100" w:beforeAutospacing="1" w:after="100" w:afterAutospacing="1" w:line="360" w:lineRule="auto"/>
        <w:jc w:val="both"/>
        <w:rPr>
          <w:rFonts w:ascii="TimesNewRomanPSMT" w:eastAsia="Times New Roman" w:hAnsi="TimesNewRomanPSMT" w:cs="Times New Roman"/>
          <w:kern w:val="0"/>
          <w:lang w:eastAsia="en-GB"/>
          <w14:ligatures w14:val="none"/>
        </w:rPr>
      </w:pPr>
      <w:r w:rsidRPr="00493D3F">
        <w:rPr>
          <w:rFonts w:ascii="TimesNewRomanPSMT" w:eastAsia="Times New Roman" w:hAnsi="TimesNewRomanPSMT" w:cs="Times New Roman"/>
          <w:kern w:val="0"/>
          <w:lang w:eastAsia="en-GB"/>
          <w14:ligatures w14:val="none"/>
        </w:rPr>
        <w:t xml:space="preserve">Simulated S-Shaped root canals were dyed with India ink using a 30-gauge insulin syringe . A no. 10 K-file (Dentsply Tulsa Dental Specialties) was introduced into the canal to assure penetration of the ink and prevent bubble formation. The canals were stored at room temperature </w:t>
      </w:r>
      <w:r w:rsidRPr="00493D3F">
        <w:rPr>
          <w:rFonts w:ascii="TimesNewRomanPSMT" w:eastAsia="Times New Roman" w:hAnsi="TimesNewRomanPSMT" w:cs="Times New Roman"/>
          <w:kern w:val="0"/>
          <w:lang w:eastAsia="en-GB"/>
          <w14:ligatures w14:val="none"/>
        </w:rPr>
        <w:lastRenderedPageBreak/>
        <w:t xml:space="preserve">for 48 h to allow for the ink to dry. A small scalpel mark was cut into the resin block near the canal top to allow for consistent orientation and placement. The canals were covered with adhesive tape and placed in a specially designed jig that allowed for resin block stabilization (Figure 5). </w:t>
      </w:r>
    </w:p>
    <w:p w14:paraId="208611B6" w14:textId="36BD0EE2"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p>
    <w:p w14:paraId="5262428A" w14:textId="011799A0" w:rsidR="00493D3F" w:rsidRPr="00493D3F" w:rsidRDefault="0052677D" w:rsidP="00081708">
      <w:pPr>
        <w:spacing w:line="360" w:lineRule="auto"/>
        <w:jc w:val="both"/>
        <w:rPr>
          <w:rFonts w:ascii="Times New Roman" w:eastAsia="Times New Roman" w:hAnsi="Times New Roman" w:cs="Times New Roman"/>
          <w:kern w:val="0"/>
          <w:lang w:eastAsia="en-GB"/>
          <w14:ligatures w14:val="none"/>
        </w:rPr>
      </w:pPr>
      <w:r w:rsidRPr="00493D3F">
        <w:rPr>
          <w:rFonts w:ascii="Times New Roman" w:eastAsia="Times New Roman" w:hAnsi="Times New Roman" w:cs="Times New Roman"/>
          <w:kern w:val="0"/>
          <w:lang w:eastAsia="en-GB"/>
          <w14:ligatures w14:val="none"/>
        </w:rPr>
        <w:fldChar w:fldCharType="begin"/>
      </w:r>
      <w:r w:rsidRPr="00493D3F">
        <w:rPr>
          <w:rFonts w:ascii="Times New Roman" w:eastAsia="Times New Roman" w:hAnsi="Times New Roman" w:cs="Times New Roman"/>
          <w:kern w:val="0"/>
          <w:lang w:eastAsia="en-GB"/>
          <w14:ligatures w14:val="none"/>
        </w:rPr>
        <w:instrText xml:space="preserve"> INCLUDEPICTURE "/Users/dr.yeshsharma/Library/Group Containers/UBF8T346G9.ms/WebArchiveCopyPasteTempFiles/com.microsoft.Word/page28image608036448" \* MERGEFORMATINET </w:instrText>
      </w:r>
      <w:r w:rsidRPr="00493D3F">
        <w:rPr>
          <w:rFonts w:ascii="Times New Roman" w:eastAsia="Times New Roman" w:hAnsi="Times New Roman" w:cs="Times New Roman"/>
          <w:kern w:val="0"/>
          <w:lang w:eastAsia="en-GB"/>
          <w14:ligatures w14:val="none"/>
        </w:rPr>
        <w:fldChar w:fldCharType="separate"/>
      </w:r>
      <w:r w:rsidRPr="00493D3F">
        <w:rPr>
          <w:rFonts w:ascii="Times New Roman" w:eastAsia="Times New Roman" w:hAnsi="Times New Roman" w:cs="Times New Roman"/>
          <w:noProof/>
          <w:kern w:val="0"/>
          <w:lang w:eastAsia="en-GB"/>
          <w14:ligatures w14:val="none"/>
        </w:rPr>
        <w:drawing>
          <wp:inline distT="0" distB="0" distL="0" distR="0" wp14:anchorId="016D314C" wp14:editId="5B551C82">
            <wp:extent cx="2596515" cy="1273810"/>
            <wp:effectExtent l="0" t="0" r="0" b="0"/>
            <wp:docPr id="1535861622" name="Picture 37" descr="page28image608036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28image6080364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4321" cy="1351227"/>
                    </a:xfrm>
                    <a:prstGeom prst="rect">
                      <a:avLst/>
                    </a:prstGeom>
                    <a:noFill/>
                    <a:ln>
                      <a:noFill/>
                    </a:ln>
                  </pic:spPr>
                </pic:pic>
              </a:graphicData>
            </a:graphic>
          </wp:inline>
        </w:drawing>
      </w:r>
      <w:r w:rsidRPr="00493D3F">
        <w:rPr>
          <w:rFonts w:ascii="Times New Roman" w:eastAsia="Times New Roman" w:hAnsi="Times New Roman" w:cs="Times New Roman"/>
          <w:kern w:val="0"/>
          <w:lang w:eastAsia="en-GB"/>
          <w14:ligatures w14:val="none"/>
        </w:rPr>
        <w:fldChar w:fldCharType="end"/>
      </w:r>
      <w:r w:rsidR="00493D3F" w:rsidRPr="00493D3F">
        <w:rPr>
          <w:rFonts w:ascii="Times New Roman" w:eastAsia="Times New Roman" w:hAnsi="Times New Roman" w:cs="Times New Roman"/>
          <w:kern w:val="0"/>
          <w:lang w:eastAsia="en-GB"/>
          <w14:ligatures w14:val="none"/>
        </w:rPr>
        <w:fldChar w:fldCharType="begin"/>
      </w:r>
      <w:r w:rsidR="00493D3F" w:rsidRPr="00493D3F">
        <w:rPr>
          <w:rFonts w:ascii="Times New Roman" w:eastAsia="Times New Roman" w:hAnsi="Times New Roman" w:cs="Times New Roman"/>
          <w:kern w:val="0"/>
          <w:lang w:eastAsia="en-GB"/>
          <w14:ligatures w14:val="none"/>
        </w:rPr>
        <w:instrText xml:space="preserve"> INCLUDEPICTURE "/Users/dr.yeshsharma/Library/Group Containers/UBF8T346G9.ms/WebArchiveCopyPasteTempFiles/com.microsoft.Word/page28image608036848" \* MERGEFORMATINET </w:instrText>
      </w:r>
      <w:r w:rsidR="00493D3F" w:rsidRPr="00493D3F">
        <w:rPr>
          <w:rFonts w:ascii="Times New Roman" w:eastAsia="Times New Roman" w:hAnsi="Times New Roman" w:cs="Times New Roman"/>
          <w:kern w:val="0"/>
          <w:lang w:eastAsia="en-GB"/>
          <w14:ligatures w14:val="none"/>
        </w:rPr>
        <w:fldChar w:fldCharType="separate"/>
      </w:r>
      <w:r w:rsidR="00493D3F" w:rsidRPr="00493D3F">
        <w:rPr>
          <w:rFonts w:ascii="Times New Roman" w:eastAsia="Times New Roman" w:hAnsi="Times New Roman" w:cs="Times New Roman"/>
          <w:noProof/>
          <w:kern w:val="0"/>
          <w:lang w:eastAsia="en-GB"/>
          <w14:ligatures w14:val="none"/>
        </w:rPr>
        <w:drawing>
          <wp:inline distT="0" distB="0" distL="0" distR="0" wp14:anchorId="4D780042" wp14:editId="248C4C87">
            <wp:extent cx="2596446" cy="1274283"/>
            <wp:effectExtent l="0" t="0" r="0" b="0"/>
            <wp:docPr id="916928599" name="Picture 36" descr="page28image608036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ge28image6080368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5594" cy="1313127"/>
                    </a:xfrm>
                    <a:prstGeom prst="rect">
                      <a:avLst/>
                    </a:prstGeom>
                    <a:noFill/>
                    <a:ln>
                      <a:noFill/>
                    </a:ln>
                  </pic:spPr>
                </pic:pic>
              </a:graphicData>
            </a:graphic>
          </wp:inline>
        </w:drawing>
      </w:r>
      <w:r w:rsidR="00493D3F" w:rsidRPr="00493D3F">
        <w:rPr>
          <w:rFonts w:ascii="Times New Roman" w:eastAsia="Times New Roman" w:hAnsi="Times New Roman" w:cs="Times New Roman"/>
          <w:kern w:val="0"/>
          <w:lang w:eastAsia="en-GB"/>
          <w14:ligatures w14:val="none"/>
        </w:rPr>
        <w:fldChar w:fldCharType="end"/>
      </w:r>
    </w:p>
    <w:p w14:paraId="6B635B6F" w14:textId="1E3057D0" w:rsidR="00493D3F" w:rsidRPr="00493D3F" w:rsidRDefault="0052677D"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 w:eastAsia="Times New Roman" w:hAnsi="TimesNewRomanPS" w:cs="Times New Roman"/>
          <w:b/>
          <w:bCs/>
          <w:kern w:val="0"/>
          <w:lang w:eastAsia="en-GB"/>
          <w14:ligatures w14:val="none"/>
        </w:rPr>
        <w:t xml:space="preserve">Figure 4 – S-shape resin blocks </w:t>
      </w:r>
      <w:r>
        <w:rPr>
          <w:rFonts w:ascii="Times New Roman" w:eastAsia="Times New Roman" w:hAnsi="Times New Roman" w:cs="Times New Roman"/>
          <w:kern w:val="0"/>
          <w:lang w:eastAsia="en-GB"/>
          <w14:ligatures w14:val="none"/>
        </w:rPr>
        <w:t xml:space="preserve">                        </w:t>
      </w:r>
      <w:r w:rsidR="00493D3F" w:rsidRPr="00493D3F">
        <w:rPr>
          <w:rFonts w:ascii="TimesNewRomanPS" w:eastAsia="Times New Roman" w:hAnsi="TimesNewRomanPS" w:cs="Times New Roman"/>
          <w:b/>
          <w:bCs/>
          <w:kern w:val="0"/>
          <w:lang w:eastAsia="en-GB"/>
          <w14:ligatures w14:val="none"/>
        </w:rPr>
        <w:t xml:space="preserve">Figure 5- Stabilization Jig. </w:t>
      </w:r>
    </w:p>
    <w:p w14:paraId="5DB79833" w14:textId="77777777"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MT" w:eastAsia="Times New Roman" w:hAnsi="TimesNewRomanPSMT" w:cs="Times New Roman"/>
          <w:kern w:val="0"/>
          <w:lang w:eastAsia="en-GB"/>
          <w14:ligatures w14:val="none"/>
        </w:rPr>
        <w:t>All rotary files were operated by a 1:16 reduction contra angle handpiece (Contra- angle ATR; Dentsply/</w:t>
      </w:r>
      <w:proofErr w:type="spellStart"/>
      <w:r w:rsidRPr="00493D3F">
        <w:rPr>
          <w:rFonts w:ascii="TimesNewRomanPSMT" w:eastAsia="Times New Roman" w:hAnsi="TimesNewRomanPSMT" w:cs="Times New Roman"/>
          <w:kern w:val="0"/>
          <w:lang w:eastAsia="en-GB"/>
          <w14:ligatures w14:val="none"/>
        </w:rPr>
        <w:t>Maillefer</w:t>
      </w:r>
      <w:proofErr w:type="spellEnd"/>
      <w:r w:rsidRPr="00493D3F">
        <w:rPr>
          <w:rFonts w:ascii="TimesNewRomanPSMT" w:eastAsia="Times New Roman" w:hAnsi="TimesNewRomanPSMT" w:cs="Times New Roman"/>
          <w:kern w:val="0"/>
          <w:lang w:eastAsia="en-GB"/>
          <w14:ligatures w14:val="none"/>
        </w:rPr>
        <w:t xml:space="preserve">) powered by a torque-limited electric motor (ATR </w:t>
      </w:r>
      <w:proofErr w:type="spellStart"/>
      <w:r w:rsidRPr="00493D3F">
        <w:rPr>
          <w:rFonts w:ascii="TimesNewRomanPSMT" w:eastAsia="Times New Roman" w:hAnsi="TimesNewRomanPSMT" w:cs="Times New Roman"/>
          <w:kern w:val="0"/>
          <w:lang w:eastAsia="en-GB"/>
          <w14:ligatures w14:val="none"/>
        </w:rPr>
        <w:t>Technika</w:t>
      </w:r>
      <w:proofErr w:type="spellEnd"/>
      <w:r w:rsidRPr="00493D3F">
        <w:rPr>
          <w:rFonts w:ascii="TimesNewRomanPSMT" w:eastAsia="Times New Roman" w:hAnsi="TimesNewRomanPSMT" w:cs="Times New Roman"/>
          <w:kern w:val="0"/>
          <w:lang w:eastAsia="en-GB"/>
          <w14:ligatures w14:val="none"/>
        </w:rPr>
        <w:t xml:space="preserve"> Vision; Dentsply/ </w:t>
      </w:r>
      <w:proofErr w:type="spellStart"/>
      <w:r w:rsidRPr="00493D3F">
        <w:rPr>
          <w:rFonts w:ascii="TimesNewRomanPSMT" w:eastAsia="Times New Roman" w:hAnsi="TimesNewRomanPSMT" w:cs="Times New Roman"/>
          <w:kern w:val="0"/>
          <w:lang w:eastAsia="en-GB"/>
          <w14:ligatures w14:val="none"/>
        </w:rPr>
        <w:t>Maillefer</w:t>
      </w:r>
      <w:proofErr w:type="spellEnd"/>
      <w:r w:rsidRPr="00493D3F">
        <w:rPr>
          <w:rFonts w:ascii="TimesNewRomanPSMT" w:eastAsia="Times New Roman" w:hAnsi="TimesNewRomanPSMT" w:cs="Times New Roman"/>
          <w:kern w:val="0"/>
          <w:lang w:eastAsia="en-GB"/>
          <w14:ligatures w14:val="none"/>
        </w:rPr>
        <w:t>). Patency was confirmed using a size 10 K-file (Dentsply Tulsa Dental Specialties). Each canal was shaped with new instruments lightly coated with Glyde File Prep (Dentsply Tulsa Dental Specialties). In each group, instrumentation was carried out with a crown-down technique starting with the 40/.04 instrument at 500 rpm and 2-Ncm torque as suggested by the manufacturers, followed by 35/.04, 30/.04, and 25/.04. As each instrument was changed, the canal was irrigated with 1 mL of sterile water using a 30-G side vented needle (Max-</w:t>
      </w:r>
      <w:proofErr w:type="spellStart"/>
      <w:r w:rsidRPr="00493D3F">
        <w:rPr>
          <w:rFonts w:ascii="TimesNewRomanPSMT" w:eastAsia="Times New Roman" w:hAnsi="TimesNewRomanPSMT" w:cs="Times New Roman"/>
          <w:kern w:val="0"/>
          <w:lang w:eastAsia="en-GB"/>
          <w14:ligatures w14:val="none"/>
        </w:rPr>
        <w:t>iprobe</w:t>
      </w:r>
      <w:proofErr w:type="spellEnd"/>
      <w:r w:rsidRPr="00493D3F">
        <w:rPr>
          <w:rFonts w:ascii="TimesNewRomanPSMT" w:eastAsia="Times New Roman" w:hAnsi="TimesNewRomanPSMT" w:cs="Times New Roman"/>
          <w:kern w:val="0"/>
          <w:lang w:eastAsia="en-GB"/>
          <w14:ligatures w14:val="none"/>
        </w:rPr>
        <w:t xml:space="preserve">; Dentsply </w:t>
      </w:r>
      <w:proofErr w:type="spellStart"/>
      <w:r w:rsidRPr="00493D3F">
        <w:rPr>
          <w:rFonts w:ascii="TimesNewRomanPSMT" w:eastAsia="Times New Roman" w:hAnsi="TimesNewRomanPSMT" w:cs="Times New Roman"/>
          <w:kern w:val="0"/>
          <w:lang w:eastAsia="en-GB"/>
          <w14:ligatures w14:val="none"/>
        </w:rPr>
        <w:t>Rinn</w:t>
      </w:r>
      <w:proofErr w:type="spellEnd"/>
      <w:r w:rsidRPr="00493D3F">
        <w:rPr>
          <w:rFonts w:ascii="TimesNewRomanPSMT" w:eastAsia="Times New Roman" w:hAnsi="TimesNewRomanPSMT" w:cs="Times New Roman"/>
          <w:kern w:val="0"/>
          <w:lang w:eastAsia="en-GB"/>
          <w14:ligatures w14:val="none"/>
        </w:rPr>
        <w:t xml:space="preserve">, Elgin, IL). In each group, the canals were instrumented to working length with 30/.04 with the same corresponding file system. The three file systems were used in a similar manner to standardize preparations for comparison during this study. </w:t>
      </w:r>
    </w:p>
    <w:p w14:paraId="6756C580" w14:textId="77777777"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MT" w:eastAsia="Times New Roman" w:hAnsi="TimesNewRomanPSMT" w:cs="Times New Roman"/>
          <w:kern w:val="0"/>
          <w:lang w:eastAsia="en-GB"/>
          <w14:ligatures w14:val="none"/>
        </w:rPr>
        <w:t xml:space="preserve">Before and after canal shaping, pre and post-instrumentation images were acquired by scanning the S-Shaped simulated canals with an Epson Expression 1680 flatbed scanner at 2400 dpi, 24bit </w:t>
      </w:r>
      <w:proofErr w:type="spellStart"/>
      <w:r w:rsidRPr="00493D3F">
        <w:rPr>
          <w:rFonts w:ascii="TimesNewRomanPSMT" w:eastAsia="Times New Roman" w:hAnsi="TimesNewRomanPSMT" w:cs="Times New Roman"/>
          <w:kern w:val="0"/>
          <w:lang w:eastAsia="en-GB"/>
          <w14:ligatures w14:val="none"/>
        </w:rPr>
        <w:t>color</w:t>
      </w:r>
      <w:proofErr w:type="spellEnd"/>
      <w:r w:rsidRPr="00493D3F">
        <w:rPr>
          <w:rFonts w:ascii="TimesNewRomanPSMT" w:eastAsia="Times New Roman" w:hAnsi="TimesNewRomanPSMT" w:cs="Times New Roman"/>
          <w:kern w:val="0"/>
          <w:lang w:eastAsia="en-GB"/>
          <w14:ligatures w14:val="none"/>
        </w:rPr>
        <w:t xml:space="preserve">. The pre-instrumentation image (Image A) was dyed with the black ink. Dye was not used for the post-instrumentation image (Image B). The canals were scanned with a solid green background to provide a contrasting </w:t>
      </w:r>
      <w:proofErr w:type="spellStart"/>
      <w:r w:rsidRPr="00493D3F">
        <w:rPr>
          <w:rFonts w:ascii="TimesNewRomanPSMT" w:eastAsia="Times New Roman" w:hAnsi="TimesNewRomanPSMT" w:cs="Times New Roman"/>
          <w:kern w:val="0"/>
          <w:lang w:eastAsia="en-GB"/>
          <w14:ligatures w14:val="none"/>
        </w:rPr>
        <w:t>color</w:t>
      </w:r>
      <w:proofErr w:type="spellEnd"/>
      <w:r w:rsidRPr="00493D3F">
        <w:rPr>
          <w:rFonts w:ascii="TimesNewRomanPSMT" w:eastAsia="Times New Roman" w:hAnsi="TimesNewRomanPSMT" w:cs="Times New Roman"/>
          <w:kern w:val="0"/>
          <w:lang w:eastAsia="en-GB"/>
          <w14:ligatures w14:val="none"/>
        </w:rPr>
        <w:t xml:space="preserve"> compared with the original canal and instrumented canal. </w:t>
      </w:r>
    </w:p>
    <w:p w14:paraId="6728F3FA" w14:textId="669E9B8F"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MT" w:eastAsia="Times New Roman" w:hAnsi="TimesNewRomanPSMT" w:cs="Times New Roman"/>
          <w:kern w:val="0"/>
          <w:lang w:eastAsia="en-GB"/>
          <w14:ligatures w14:val="none"/>
        </w:rPr>
        <w:t xml:space="preserve">Scanned images were positioned within a template in Photoshop CS6 911 pixels wide and 1563 pixel high. Image A was positioned so that the canal base was positioned at pixel row 111. The </w:t>
      </w:r>
      <w:r w:rsidRPr="00493D3F">
        <w:rPr>
          <w:rFonts w:ascii="TimesNewRomanPSMT" w:eastAsia="Times New Roman" w:hAnsi="TimesNewRomanPSMT" w:cs="Times New Roman"/>
          <w:kern w:val="0"/>
          <w:lang w:eastAsia="en-GB"/>
          <w14:ligatures w14:val="none"/>
        </w:rPr>
        <w:lastRenderedPageBreak/>
        <w:t>canal base started at row 1 and canal opening at row 1563. The image was saved as Image A. Image B was added as a layer and made partially transparent to facilitate positioning of the canal base so that Image B corresponded with</w:t>
      </w:r>
      <w:r w:rsidR="00E6063A">
        <w:rPr>
          <w:rFonts w:ascii="Times New Roman" w:eastAsia="Times New Roman" w:hAnsi="Times New Roman" w:cs="Times New Roman"/>
          <w:kern w:val="0"/>
          <w:lang w:eastAsia="en-GB"/>
          <w14:ligatures w14:val="none"/>
        </w:rPr>
        <w:t xml:space="preserve"> </w:t>
      </w:r>
      <w:r w:rsidRPr="00493D3F">
        <w:rPr>
          <w:rFonts w:ascii="TimesNewRomanPSMT" w:eastAsia="Times New Roman" w:hAnsi="TimesNewRomanPSMT" w:cs="Times New Roman"/>
          <w:kern w:val="0"/>
          <w:lang w:eastAsia="en-GB"/>
          <w14:ligatures w14:val="none"/>
        </w:rPr>
        <w:t xml:space="preserve">the canal base of Image A. The canal base and the scalpel mark were used to align Image A and Image B. Upon alignment, Image A was hidden, transparency of Image B was eliminated, and Image B was saved as a JPG . </w:t>
      </w:r>
    </w:p>
    <w:p w14:paraId="1ABA68FC" w14:textId="70385050"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MT" w:eastAsia="Times New Roman" w:hAnsi="TimesNewRomanPSMT" w:cs="Times New Roman"/>
          <w:kern w:val="0"/>
          <w:lang w:eastAsia="en-GB"/>
          <w14:ligatures w14:val="none"/>
        </w:rPr>
        <w:t xml:space="preserve">Image processing occurred through a locally developed application using Delphi XE2 Version 16. The image processing extracted and reported the left and right edge of the canal from the 2 dimensional image for 9 benchmark locations: at the base of the canal, 0.5 mm above the base, and at 1 mm increments above the base of the canal (1 mm to 8 mm). The image processing performed the following algorithm and recorded values. Image processing iterated through an area of interest from the top of the image to the bottom of the image, between columns 100 and 525. Evaluation combinations were used to identify the canal in Image A and the instrumented canal in Image B. A pixel was considered “identified” if the R, G, and B values met one of the conditions. </w:t>
      </w:r>
    </w:p>
    <w:p w14:paraId="567CD233" w14:textId="77777777" w:rsidR="00BB5FE8" w:rsidRDefault="00BB5FE8" w:rsidP="00081708">
      <w:pPr>
        <w:spacing w:before="100" w:beforeAutospacing="1" w:after="100" w:afterAutospacing="1" w:line="360" w:lineRule="auto"/>
        <w:jc w:val="both"/>
        <w:rPr>
          <w:rFonts w:ascii="TimesNewRomanPS" w:eastAsia="Times New Roman" w:hAnsi="TimesNewRomanPS" w:cs="Times New Roman"/>
          <w:b/>
          <w:bCs/>
          <w:kern w:val="0"/>
          <w:lang w:eastAsia="en-GB"/>
          <w14:ligatures w14:val="none"/>
        </w:rPr>
      </w:pPr>
    </w:p>
    <w:p w14:paraId="0F62CAE2" w14:textId="7710B1AB" w:rsidR="0052677D" w:rsidRDefault="00493D3F" w:rsidP="00081708">
      <w:pPr>
        <w:spacing w:before="100" w:beforeAutospacing="1" w:after="100" w:afterAutospacing="1" w:line="360" w:lineRule="auto"/>
        <w:jc w:val="both"/>
        <w:rPr>
          <w:rFonts w:ascii="TimesNewRomanPS" w:eastAsia="Times New Roman" w:hAnsi="TimesNewRomanPS" w:cs="Times New Roman"/>
          <w:b/>
          <w:bCs/>
          <w:kern w:val="0"/>
          <w:lang w:eastAsia="en-GB"/>
          <w14:ligatures w14:val="none"/>
        </w:rPr>
      </w:pPr>
      <w:r w:rsidRPr="00493D3F">
        <w:rPr>
          <w:rFonts w:ascii="TimesNewRomanPS" w:eastAsia="Times New Roman" w:hAnsi="TimesNewRomanPS" w:cs="Times New Roman"/>
          <w:b/>
          <w:bCs/>
          <w:kern w:val="0"/>
          <w:lang w:eastAsia="en-GB"/>
          <w14:ligatures w14:val="none"/>
        </w:rPr>
        <w:t>Table 1. Evaluation conditions for image A and Evaluation Conditions for Image</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4"/>
        <w:gridCol w:w="136"/>
        <w:gridCol w:w="1883"/>
        <w:gridCol w:w="318"/>
        <w:gridCol w:w="1700"/>
        <w:gridCol w:w="500"/>
        <w:gridCol w:w="1534"/>
      </w:tblGrid>
      <w:tr w:rsidR="007F104D" w14:paraId="103D6D59" w14:textId="77777777" w:rsidTr="00607660">
        <w:trPr>
          <w:trHeight w:val="275"/>
        </w:trPr>
        <w:tc>
          <w:tcPr>
            <w:tcW w:w="8185" w:type="dxa"/>
            <w:gridSpan w:val="7"/>
          </w:tcPr>
          <w:p w14:paraId="7611497E" w14:textId="77777777" w:rsidR="007F104D" w:rsidRDefault="007F104D" w:rsidP="00081708">
            <w:pPr>
              <w:pStyle w:val="TableParagraph"/>
              <w:spacing w:line="360" w:lineRule="auto"/>
              <w:ind w:left="2275" w:right="2259"/>
              <w:jc w:val="center"/>
              <w:rPr>
                <w:b/>
                <w:sz w:val="24"/>
              </w:rPr>
            </w:pPr>
            <w:r>
              <w:rPr>
                <w:b/>
                <w:sz w:val="24"/>
              </w:rPr>
              <w:t>Evaluation Conditions for Image A</w:t>
            </w:r>
          </w:p>
        </w:tc>
      </w:tr>
      <w:tr w:rsidR="007F104D" w14:paraId="7FB4197E" w14:textId="77777777" w:rsidTr="00607660">
        <w:trPr>
          <w:trHeight w:val="275"/>
        </w:trPr>
        <w:tc>
          <w:tcPr>
            <w:tcW w:w="2114" w:type="dxa"/>
          </w:tcPr>
          <w:p w14:paraId="1F98AB80" w14:textId="77777777" w:rsidR="007F104D" w:rsidRDefault="007F104D" w:rsidP="00081708">
            <w:pPr>
              <w:pStyle w:val="TableParagraph"/>
              <w:spacing w:line="360" w:lineRule="auto"/>
              <w:ind w:left="107"/>
              <w:rPr>
                <w:b/>
                <w:sz w:val="24"/>
              </w:rPr>
            </w:pPr>
            <w:r>
              <w:rPr>
                <w:b/>
                <w:sz w:val="24"/>
              </w:rPr>
              <w:t>Condition 1</w:t>
            </w:r>
          </w:p>
        </w:tc>
        <w:tc>
          <w:tcPr>
            <w:tcW w:w="2019" w:type="dxa"/>
            <w:gridSpan w:val="2"/>
          </w:tcPr>
          <w:p w14:paraId="3EF821DF" w14:textId="77777777" w:rsidR="007F104D" w:rsidRDefault="007F104D" w:rsidP="00081708">
            <w:pPr>
              <w:pStyle w:val="TableParagraph"/>
              <w:spacing w:line="360" w:lineRule="auto"/>
              <w:ind w:left="108"/>
              <w:rPr>
                <w:sz w:val="24"/>
              </w:rPr>
            </w:pPr>
            <w:r>
              <w:rPr>
                <w:sz w:val="24"/>
              </w:rPr>
              <w:t>R value &lt; 100</w:t>
            </w:r>
          </w:p>
        </w:tc>
        <w:tc>
          <w:tcPr>
            <w:tcW w:w="2018" w:type="dxa"/>
            <w:gridSpan w:val="2"/>
          </w:tcPr>
          <w:p w14:paraId="50382FB8" w14:textId="77777777" w:rsidR="007F104D" w:rsidRDefault="007F104D" w:rsidP="00081708">
            <w:pPr>
              <w:pStyle w:val="TableParagraph"/>
              <w:spacing w:line="360" w:lineRule="auto"/>
              <w:ind w:left="110"/>
              <w:rPr>
                <w:sz w:val="24"/>
              </w:rPr>
            </w:pPr>
            <w:r>
              <w:rPr>
                <w:sz w:val="24"/>
              </w:rPr>
              <w:t>G value &lt; 190</w:t>
            </w:r>
          </w:p>
        </w:tc>
        <w:tc>
          <w:tcPr>
            <w:tcW w:w="2034" w:type="dxa"/>
            <w:gridSpan w:val="2"/>
          </w:tcPr>
          <w:p w14:paraId="168B792B" w14:textId="77777777" w:rsidR="007F104D" w:rsidRDefault="007F104D" w:rsidP="00081708">
            <w:pPr>
              <w:pStyle w:val="TableParagraph"/>
              <w:spacing w:line="360" w:lineRule="auto"/>
              <w:ind w:left="112"/>
              <w:rPr>
                <w:sz w:val="24"/>
              </w:rPr>
            </w:pPr>
            <w:r>
              <w:rPr>
                <w:sz w:val="24"/>
              </w:rPr>
              <w:t>B value &lt; 55</w:t>
            </w:r>
          </w:p>
        </w:tc>
      </w:tr>
      <w:tr w:rsidR="007F104D" w14:paraId="33A7034E" w14:textId="77777777" w:rsidTr="00607660">
        <w:trPr>
          <w:trHeight w:val="275"/>
        </w:trPr>
        <w:tc>
          <w:tcPr>
            <w:tcW w:w="2114" w:type="dxa"/>
          </w:tcPr>
          <w:p w14:paraId="3B4303CA" w14:textId="77777777" w:rsidR="007F104D" w:rsidRDefault="007F104D" w:rsidP="00081708">
            <w:pPr>
              <w:pStyle w:val="TableParagraph"/>
              <w:spacing w:line="360" w:lineRule="auto"/>
              <w:ind w:left="107"/>
              <w:rPr>
                <w:b/>
                <w:sz w:val="24"/>
              </w:rPr>
            </w:pPr>
            <w:r>
              <w:rPr>
                <w:b/>
                <w:sz w:val="24"/>
              </w:rPr>
              <w:t>Condition 2</w:t>
            </w:r>
          </w:p>
        </w:tc>
        <w:tc>
          <w:tcPr>
            <w:tcW w:w="2019" w:type="dxa"/>
            <w:gridSpan w:val="2"/>
          </w:tcPr>
          <w:p w14:paraId="14F53088" w14:textId="77777777" w:rsidR="007F104D" w:rsidRDefault="007F104D" w:rsidP="00081708">
            <w:pPr>
              <w:pStyle w:val="TableParagraph"/>
              <w:spacing w:line="360" w:lineRule="auto"/>
              <w:ind w:left="108"/>
              <w:rPr>
                <w:sz w:val="24"/>
              </w:rPr>
            </w:pPr>
            <w:r>
              <w:rPr>
                <w:sz w:val="24"/>
              </w:rPr>
              <w:t>R value &gt; 150</w:t>
            </w:r>
          </w:p>
        </w:tc>
        <w:tc>
          <w:tcPr>
            <w:tcW w:w="2018" w:type="dxa"/>
            <w:gridSpan w:val="2"/>
          </w:tcPr>
          <w:p w14:paraId="1D538436" w14:textId="77777777" w:rsidR="007F104D" w:rsidRDefault="007F104D" w:rsidP="00081708">
            <w:pPr>
              <w:pStyle w:val="TableParagraph"/>
              <w:spacing w:line="360" w:lineRule="auto"/>
              <w:ind w:left="110"/>
              <w:rPr>
                <w:sz w:val="24"/>
              </w:rPr>
            </w:pPr>
            <w:r>
              <w:rPr>
                <w:sz w:val="24"/>
              </w:rPr>
              <w:t>G value &lt; 50</w:t>
            </w:r>
          </w:p>
        </w:tc>
        <w:tc>
          <w:tcPr>
            <w:tcW w:w="2034" w:type="dxa"/>
            <w:gridSpan w:val="2"/>
          </w:tcPr>
          <w:p w14:paraId="2803C4F0" w14:textId="77777777" w:rsidR="007F104D" w:rsidRDefault="007F104D" w:rsidP="00081708">
            <w:pPr>
              <w:pStyle w:val="TableParagraph"/>
              <w:spacing w:line="360" w:lineRule="auto"/>
              <w:ind w:left="112"/>
              <w:rPr>
                <w:sz w:val="24"/>
              </w:rPr>
            </w:pPr>
            <w:r>
              <w:rPr>
                <w:sz w:val="24"/>
              </w:rPr>
              <w:t>B value &lt; 50</w:t>
            </w:r>
          </w:p>
        </w:tc>
      </w:tr>
      <w:tr w:rsidR="007F104D" w14:paraId="073EBDA4" w14:textId="77777777" w:rsidTr="00607660">
        <w:trPr>
          <w:trHeight w:val="278"/>
        </w:trPr>
        <w:tc>
          <w:tcPr>
            <w:tcW w:w="2114" w:type="dxa"/>
          </w:tcPr>
          <w:p w14:paraId="29369231" w14:textId="77777777" w:rsidR="007F104D" w:rsidRDefault="007F104D" w:rsidP="00081708">
            <w:pPr>
              <w:pStyle w:val="TableParagraph"/>
              <w:spacing w:line="360" w:lineRule="auto"/>
              <w:ind w:left="107"/>
              <w:rPr>
                <w:b/>
                <w:sz w:val="24"/>
              </w:rPr>
            </w:pPr>
            <w:r>
              <w:rPr>
                <w:b/>
                <w:sz w:val="24"/>
              </w:rPr>
              <w:t>Condition 3</w:t>
            </w:r>
          </w:p>
        </w:tc>
        <w:tc>
          <w:tcPr>
            <w:tcW w:w="2019" w:type="dxa"/>
            <w:gridSpan w:val="2"/>
          </w:tcPr>
          <w:p w14:paraId="2D9326E3" w14:textId="77777777" w:rsidR="007F104D" w:rsidRDefault="007F104D" w:rsidP="00081708">
            <w:pPr>
              <w:pStyle w:val="TableParagraph"/>
              <w:spacing w:line="360" w:lineRule="auto"/>
              <w:ind w:left="108"/>
              <w:rPr>
                <w:sz w:val="24"/>
              </w:rPr>
            </w:pPr>
            <w:r>
              <w:rPr>
                <w:sz w:val="24"/>
              </w:rPr>
              <w:t>R value &gt; 100</w:t>
            </w:r>
          </w:p>
        </w:tc>
        <w:tc>
          <w:tcPr>
            <w:tcW w:w="2018" w:type="dxa"/>
            <w:gridSpan w:val="2"/>
          </w:tcPr>
          <w:p w14:paraId="01479814" w14:textId="77777777" w:rsidR="007F104D" w:rsidRDefault="007F104D" w:rsidP="00081708">
            <w:pPr>
              <w:pStyle w:val="TableParagraph"/>
              <w:spacing w:line="360" w:lineRule="auto"/>
              <w:ind w:left="110"/>
              <w:rPr>
                <w:sz w:val="24"/>
              </w:rPr>
            </w:pPr>
            <w:r>
              <w:rPr>
                <w:sz w:val="24"/>
              </w:rPr>
              <w:t>G value &lt; 185</w:t>
            </w:r>
          </w:p>
        </w:tc>
        <w:tc>
          <w:tcPr>
            <w:tcW w:w="2034" w:type="dxa"/>
            <w:gridSpan w:val="2"/>
          </w:tcPr>
          <w:p w14:paraId="32A1E0ED" w14:textId="77777777" w:rsidR="007F104D" w:rsidRDefault="007F104D" w:rsidP="00081708">
            <w:pPr>
              <w:pStyle w:val="TableParagraph"/>
              <w:spacing w:line="360" w:lineRule="auto"/>
              <w:ind w:left="112"/>
              <w:rPr>
                <w:sz w:val="24"/>
              </w:rPr>
            </w:pPr>
            <w:r>
              <w:rPr>
                <w:sz w:val="24"/>
              </w:rPr>
              <w:t>B value &gt; 50</w:t>
            </w:r>
          </w:p>
        </w:tc>
      </w:tr>
      <w:tr w:rsidR="007F104D" w14:paraId="070172E7" w14:textId="77777777" w:rsidTr="00607660">
        <w:trPr>
          <w:trHeight w:val="275"/>
        </w:trPr>
        <w:tc>
          <w:tcPr>
            <w:tcW w:w="8185" w:type="dxa"/>
            <w:gridSpan w:val="7"/>
          </w:tcPr>
          <w:p w14:paraId="0CFDFDE2" w14:textId="77777777" w:rsidR="007F104D" w:rsidRDefault="007F104D" w:rsidP="00081708">
            <w:pPr>
              <w:pStyle w:val="TableParagraph"/>
              <w:spacing w:line="360" w:lineRule="auto"/>
              <w:ind w:left="2271" w:right="2259"/>
              <w:jc w:val="center"/>
              <w:rPr>
                <w:b/>
                <w:sz w:val="24"/>
              </w:rPr>
            </w:pPr>
            <w:r>
              <w:rPr>
                <w:b/>
                <w:sz w:val="24"/>
              </w:rPr>
              <w:t>Evaluation Conditions for Image B</w:t>
            </w:r>
          </w:p>
        </w:tc>
      </w:tr>
      <w:tr w:rsidR="007F104D" w14:paraId="0E888B0F" w14:textId="77777777" w:rsidTr="00607660">
        <w:trPr>
          <w:trHeight w:val="275"/>
        </w:trPr>
        <w:tc>
          <w:tcPr>
            <w:tcW w:w="2250" w:type="dxa"/>
            <w:gridSpan w:val="2"/>
          </w:tcPr>
          <w:p w14:paraId="5DA1AEB1" w14:textId="77777777" w:rsidR="007F104D" w:rsidRDefault="007F104D" w:rsidP="00081708">
            <w:pPr>
              <w:pStyle w:val="TableParagraph"/>
              <w:spacing w:line="360" w:lineRule="auto"/>
              <w:ind w:left="107"/>
              <w:rPr>
                <w:b/>
                <w:sz w:val="24"/>
              </w:rPr>
            </w:pPr>
            <w:r>
              <w:rPr>
                <w:b/>
                <w:sz w:val="24"/>
              </w:rPr>
              <w:t>Condition 1</w:t>
            </w:r>
          </w:p>
        </w:tc>
        <w:tc>
          <w:tcPr>
            <w:tcW w:w="2201" w:type="dxa"/>
            <w:gridSpan w:val="2"/>
          </w:tcPr>
          <w:p w14:paraId="1EB7A949" w14:textId="77777777" w:rsidR="007F104D" w:rsidRDefault="007F104D" w:rsidP="00081708">
            <w:pPr>
              <w:pStyle w:val="TableParagraph"/>
              <w:spacing w:line="360" w:lineRule="auto"/>
              <w:ind w:left="108"/>
              <w:rPr>
                <w:sz w:val="24"/>
              </w:rPr>
            </w:pPr>
            <w:r>
              <w:rPr>
                <w:sz w:val="24"/>
              </w:rPr>
              <w:t>R value &lt; 120</w:t>
            </w:r>
          </w:p>
        </w:tc>
        <w:tc>
          <w:tcPr>
            <w:tcW w:w="2200" w:type="dxa"/>
            <w:gridSpan w:val="2"/>
          </w:tcPr>
          <w:p w14:paraId="06E623C0" w14:textId="77777777" w:rsidR="007F104D" w:rsidRDefault="007F104D" w:rsidP="00081708">
            <w:pPr>
              <w:pStyle w:val="TableParagraph"/>
              <w:spacing w:line="360" w:lineRule="auto"/>
              <w:ind w:left="111"/>
              <w:rPr>
                <w:sz w:val="24"/>
              </w:rPr>
            </w:pPr>
            <w:r>
              <w:rPr>
                <w:sz w:val="24"/>
              </w:rPr>
              <w:t>G value &lt; 170</w:t>
            </w:r>
          </w:p>
        </w:tc>
        <w:tc>
          <w:tcPr>
            <w:tcW w:w="1534" w:type="dxa"/>
          </w:tcPr>
          <w:p w14:paraId="45F62224" w14:textId="77777777" w:rsidR="007F104D" w:rsidRDefault="007F104D" w:rsidP="00081708">
            <w:pPr>
              <w:pStyle w:val="TableParagraph"/>
              <w:spacing w:line="360" w:lineRule="auto"/>
              <w:ind w:left="114"/>
              <w:rPr>
                <w:sz w:val="24"/>
              </w:rPr>
            </w:pPr>
            <w:r>
              <w:rPr>
                <w:sz w:val="24"/>
              </w:rPr>
              <w:t>B value &lt; 50</w:t>
            </w:r>
          </w:p>
        </w:tc>
      </w:tr>
      <w:tr w:rsidR="007F104D" w14:paraId="6AF1C0DF" w14:textId="77777777" w:rsidTr="00607660">
        <w:trPr>
          <w:trHeight w:val="275"/>
        </w:trPr>
        <w:tc>
          <w:tcPr>
            <w:tcW w:w="2250" w:type="dxa"/>
            <w:gridSpan w:val="2"/>
          </w:tcPr>
          <w:p w14:paraId="274B78F8" w14:textId="77777777" w:rsidR="007F104D" w:rsidRDefault="007F104D" w:rsidP="00081708">
            <w:pPr>
              <w:pStyle w:val="TableParagraph"/>
              <w:spacing w:line="360" w:lineRule="auto"/>
              <w:ind w:left="107"/>
              <w:rPr>
                <w:b/>
                <w:sz w:val="24"/>
              </w:rPr>
            </w:pPr>
            <w:r>
              <w:rPr>
                <w:b/>
                <w:sz w:val="24"/>
              </w:rPr>
              <w:t>Condition 2</w:t>
            </w:r>
          </w:p>
        </w:tc>
        <w:tc>
          <w:tcPr>
            <w:tcW w:w="2201" w:type="dxa"/>
            <w:gridSpan w:val="2"/>
          </w:tcPr>
          <w:p w14:paraId="156C969E" w14:textId="77777777" w:rsidR="007F104D" w:rsidRDefault="007F104D" w:rsidP="00081708">
            <w:pPr>
              <w:pStyle w:val="TableParagraph"/>
              <w:spacing w:line="360" w:lineRule="auto"/>
              <w:ind w:left="108"/>
              <w:rPr>
                <w:sz w:val="24"/>
              </w:rPr>
            </w:pPr>
            <w:r>
              <w:rPr>
                <w:sz w:val="24"/>
              </w:rPr>
              <w:t>R value &gt; 100</w:t>
            </w:r>
          </w:p>
        </w:tc>
        <w:tc>
          <w:tcPr>
            <w:tcW w:w="2200" w:type="dxa"/>
            <w:gridSpan w:val="2"/>
          </w:tcPr>
          <w:p w14:paraId="01DADAAF" w14:textId="77777777" w:rsidR="007F104D" w:rsidRDefault="007F104D" w:rsidP="00081708">
            <w:pPr>
              <w:pStyle w:val="TableParagraph"/>
              <w:spacing w:line="360" w:lineRule="auto"/>
              <w:ind w:left="111"/>
              <w:rPr>
                <w:sz w:val="24"/>
              </w:rPr>
            </w:pPr>
            <w:r>
              <w:rPr>
                <w:sz w:val="24"/>
              </w:rPr>
              <w:t>G value &lt; 170</w:t>
            </w:r>
          </w:p>
        </w:tc>
        <w:tc>
          <w:tcPr>
            <w:tcW w:w="1534" w:type="dxa"/>
          </w:tcPr>
          <w:p w14:paraId="4404104A" w14:textId="77777777" w:rsidR="007F104D" w:rsidRDefault="007F104D" w:rsidP="00081708">
            <w:pPr>
              <w:pStyle w:val="TableParagraph"/>
              <w:spacing w:line="360" w:lineRule="auto"/>
              <w:ind w:left="114"/>
              <w:rPr>
                <w:sz w:val="24"/>
              </w:rPr>
            </w:pPr>
            <w:r>
              <w:rPr>
                <w:sz w:val="24"/>
              </w:rPr>
              <w:t>B value &lt; 30</w:t>
            </w:r>
          </w:p>
        </w:tc>
      </w:tr>
      <w:tr w:rsidR="007F104D" w14:paraId="666C5892" w14:textId="77777777" w:rsidTr="00607660">
        <w:trPr>
          <w:trHeight w:val="275"/>
        </w:trPr>
        <w:tc>
          <w:tcPr>
            <w:tcW w:w="2250" w:type="dxa"/>
            <w:gridSpan w:val="2"/>
          </w:tcPr>
          <w:p w14:paraId="5781219F" w14:textId="77777777" w:rsidR="007F104D" w:rsidRDefault="007F104D" w:rsidP="00081708">
            <w:pPr>
              <w:pStyle w:val="TableParagraph"/>
              <w:spacing w:line="360" w:lineRule="auto"/>
              <w:ind w:left="107"/>
              <w:rPr>
                <w:b/>
                <w:sz w:val="24"/>
              </w:rPr>
            </w:pPr>
            <w:r>
              <w:rPr>
                <w:b/>
                <w:sz w:val="24"/>
              </w:rPr>
              <w:t>Condition 3</w:t>
            </w:r>
          </w:p>
        </w:tc>
        <w:tc>
          <w:tcPr>
            <w:tcW w:w="2201" w:type="dxa"/>
            <w:gridSpan w:val="2"/>
          </w:tcPr>
          <w:p w14:paraId="0FF3BF49" w14:textId="77777777" w:rsidR="007F104D" w:rsidRDefault="007F104D" w:rsidP="00081708">
            <w:pPr>
              <w:pStyle w:val="TableParagraph"/>
              <w:spacing w:line="360" w:lineRule="auto"/>
              <w:ind w:left="108"/>
              <w:rPr>
                <w:sz w:val="24"/>
              </w:rPr>
            </w:pPr>
            <w:r>
              <w:rPr>
                <w:sz w:val="24"/>
              </w:rPr>
              <w:t>R value &gt; 90</w:t>
            </w:r>
          </w:p>
        </w:tc>
        <w:tc>
          <w:tcPr>
            <w:tcW w:w="2200" w:type="dxa"/>
            <w:gridSpan w:val="2"/>
          </w:tcPr>
          <w:p w14:paraId="14FE03ED" w14:textId="77777777" w:rsidR="007F104D" w:rsidRDefault="007F104D" w:rsidP="00081708">
            <w:pPr>
              <w:pStyle w:val="TableParagraph"/>
              <w:spacing w:line="360" w:lineRule="auto"/>
              <w:ind w:left="111"/>
              <w:rPr>
                <w:sz w:val="24"/>
              </w:rPr>
            </w:pPr>
            <w:r>
              <w:rPr>
                <w:sz w:val="24"/>
              </w:rPr>
              <w:t>G value &lt; 200</w:t>
            </w:r>
          </w:p>
        </w:tc>
        <w:tc>
          <w:tcPr>
            <w:tcW w:w="1534" w:type="dxa"/>
          </w:tcPr>
          <w:p w14:paraId="6FE95B9C" w14:textId="77777777" w:rsidR="007F104D" w:rsidRDefault="007F104D" w:rsidP="00081708">
            <w:pPr>
              <w:pStyle w:val="TableParagraph"/>
              <w:spacing w:line="360" w:lineRule="auto"/>
              <w:ind w:left="114"/>
              <w:rPr>
                <w:sz w:val="24"/>
              </w:rPr>
            </w:pPr>
            <w:r>
              <w:rPr>
                <w:sz w:val="24"/>
              </w:rPr>
              <w:t>B value &gt; 50</w:t>
            </w:r>
          </w:p>
        </w:tc>
      </w:tr>
    </w:tbl>
    <w:p w14:paraId="575067B2" w14:textId="77777777" w:rsidR="007F104D" w:rsidRDefault="007F104D" w:rsidP="00081708">
      <w:pPr>
        <w:spacing w:before="100" w:beforeAutospacing="1" w:after="100" w:afterAutospacing="1" w:line="360" w:lineRule="auto"/>
        <w:jc w:val="both"/>
        <w:rPr>
          <w:rFonts w:ascii="TimesNewRomanPS" w:eastAsia="Times New Roman" w:hAnsi="TimesNewRomanPS" w:cs="Times New Roman"/>
          <w:b/>
          <w:bCs/>
          <w:kern w:val="0"/>
          <w:lang w:eastAsia="en-GB"/>
          <w14:ligatures w14:val="none"/>
        </w:rPr>
      </w:pPr>
    </w:p>
    <w:p w14:paraId="4F8F7B74" w14:textId="08FF3900" w:rsidR="00493D3F" w:rsidRPr="00493D3F" w:rsidRDefault="00493D3F" w:rsidP="00081708">
      <w:pPr>
        <w:spacing w:before="100" w:beforeAutospacing="1" w:after="100" w:afterAutospacing="1" w:line="360" w:lineRule="auto"/>
        <w:jc w:val="both"/>
        <w:rPr>
          <w:rFonts w:ascii="TimesNewRomanPS" w:eastAsia="Times New Roman" w:hAnsi="TimesNewRomanPS" w:cs="Times New Roman"/>
          <w:b/>
          <w:bCs/>
          <w:kern w:val="0"/>
          <w:lang w:eastAsia="en-GB"/>
          <w14:ligatures w14:val="none"/>
        </w:rPr>
      </w:pPr>
      <w:r w:rsidRPr="00493D3F">
        <w:rPr>
          <w:rFonts w:ascii="TimesNewRomanPSMT" w:eastAsia="Times New Roman" w:hAnsi="TimesNewRomanPSMT" w:cs="Times New Roman"/>
          <w:kern w:val="0"/>
          <w:lang w:eastAsia="en-GB"/>
          <w14:ligatures w14:val="none"/>
        </w:rPr>
        <w:t xml:space="preserve">For each row, the furthest left identified pixel column and furthest right identified pixel column were recorded in an array. Upon identification of all rows, the left and right edges were smoothed by averaging the left and right edges, respectively, between 3 rows above and 3 rows below. The smoothed left and right edges as well as the identified pixels were written to a JPG file. Then the left and right pixel columns were written to a file for the 9 benchmark locations. The area within </w:t>
      </w:r>
      <w:r w:rsidRPr="00493D3F">
        <w:rPr>
          <w:rFonts w:ascii="TimesNewRomanPSMT" w:eastAsia="Times New Roman" w:hAnsi="TimesNewRomanPSMT" w:cs="Times New Roman"/>
          <w:kern w:val="0"/>
          <w:lang w:eastAsia="en-GB"/>
          <w14:ligatures w14:val="none"/>
        </w:rPr>
        <w:lastRenderedPageBreak/>
        <w:t xml:space="preserve">the canal was computed as the sum of pixels between the smoothed left and right edges. Four area totals were computed, total – all pixels between 0 and 9 mm benchmark, and totals for each third of the benchmarks (0- 2, 3-5, and 6-8 mm).The Canal/Edges image was opened after image processing in Photoshop as a layer with the respective image . The layer was made transparent as a visual verification that left and right edges corresponded with the edges from the image. </w:t>
      </w:r>
    </w:p>
    <w:p w14:paraId="6BB76C32" w14:textId="179CD6E9"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MT" w:eastAsia="Times New Roman" w:hAnsi="TimesNewRomanPSMT" w:cs="Times New Roman"/>
          <w:kern w:val="0"/>
          <w:lang w:eastAsia="en-GB"/>
          <w14:ligatures w14:val="none"/>
        </w:rPr>
        <w:t xml:space="preserve">Data was collected electronically and transferred to Excel (Microsoft Corporation, Redmond, WA) for further analysis. Apical transportation was defined as the distance from the pre- to the post-instrumented canal wall 0.5mm from the apex and measured on both the left and right proximal sides of the simulated canal. Transportation and the CVC were measured/computed at the cervical, middle, and apical levels. </w:t>
      </w:r>
    </w:p>
    <w:p w14:paraId="76BEB62B" w14:textId="77777777" w:rsidR="00493D3F" w:rsidRPr="00493D3F" w:rsidRDefault="00493D3F" w:rsidP="00081708">
      <w:pPr>
        <w:spacing w:before="100" w:beforeAutospacing="1" w:after="100" w:afterAutospacing="1" w:line="360" w:lineRule="auto"/>
        <w:jc w:val="both"/>
        <w:rPr>
          <w:rFonts w:ascii="Times New Roman" w:eastAsia="Times New Roman" w:hAnsi="Times New Roman" w:cs="Times New Roman"/>
          <w:kern w:val="0"/>
          <w:lang w:eastAsia="en-GB"/>
          <w14:ligatures w14:val="none"/>
        </w:rPr>
      </w:pPr>
      <w:r w:rsidRPr="00493D3F">
        <w:rPr>
          <w:rFonts w:ascii="TimesNewRomanPSMT" w:eastAsia="Times New Roman" w:hAnsi="TimesNewRomanPSMT" w:cs="Times New Roman"/>
          <w:kern w:val="0"/>
          <w:lang w:eastAsia="en-GB"/>
          <w14:ligatures w14:val="none"/>
        </w:rPr>
        <w:t xml:space="preserve">Data obtained were statistically </w:t>
      </w:r>
      <w:proofErr w:type="spellStart"/>
      <w:r w:rsidRPr="00493D3F">
        <w:rPr>
          <w:rFonts w:ascii="TimesNewRomanPSMT" w:eastAsia="Times New Roman" w:hAnsi="TimesNewRomanPSMT" w:cs="Times New Roman"/>
          <w:kern w:val="0"/>
          <w:lang w:eastAsia="en-GB"/>
          <w14:ligatures w14:val="none"/>
        </w:rPr>
        <w:t>analyzed</w:t>
      </w:r>
      <w:proofErr w:type="spellEnd"/>
      <w:r w:rsidRPr="00493D3F">
        <w:rPr>
          <w:rFonts w:ascii="TimesNewRomanPSMT" w:eastAsia="Times New Roman" w:hAnsi="TimesNewRomanPSMT" w:cs="Times New Roman"/>
          <w:kern w:val="0"/>
          <w:lang w:eastAsia="en-GB"/>
          <w14:ligatures w14:val="none"/>
        </w:rPr>
        <w:t xml:space="preserve"> using a one-way ANOVA test and Tukey post hoc test for multiple comparisons to look at a significant difference in mean between the 3 shaping procedures. The software Statistical Package for the Social Sciences (SPSS) was used and the level of significance was set at P=0.05. </w:t>
      </w:r>
    </w:p>
    <w:p w14:paraId="1A95D40C" w14:textId="77777777" w:rsidR="008049AB" w:rsidRDefault="008049AB" w:rsidP="00081708">
      <w:pPr>
        <w:pStyle w:val="Heading1"/>
        <w:spacing w:before="87" w:line="360" w:lineRule="auto"/>
        <w:ind w:left="0" w:right="487"/>
      </w:pPr>
      <w:r>
        <w:t>RESULTS</w:t>
      </w:r>
    </w:p>
    <w:p w14:paraId="00F4850A" w14:textId="77777777" w:rsidR="008049AB" w:rsidRDefault="008049AB" w:rsidP="00081708">
      <w:pPr>
        <w:pStyle w:val="BodyText"/>
        <w:spacing w:line="360" w:lineRule="auto"/>
        <w:rPr>
          <w:b/>
          <w:sz w:val="26"/>
        </w:rPr>
      </w:pPr>
    </w:p>
    <w:p w14:paraId="481A0D7D" w14:textId="678A306F" w:rsidR="008049AB" w:rsidRDefault="008049AB" w:rsidP="00A74C53">
      <w:pPr>
        <w:pStyle w:val="BodyText"/>
        <w:spacing w:line="360" w:lineRule="auto"/>
        <w:ind w:right="323"/>
        <w:jc w:val="both"/>
      </w:pPr>
      <w:r>
        <w:t>The mean percentage of area increase was 245%, 288%, and 286%, in the HyFlex CM</w:t>
      </w:r>
      <w:proofErr w:type="gramStart"/>
      <w:r>
        <w:t>, ,</w:t>
      </w:r>
      <w:proofErr w:type="gramEnd"/>
      <w:r>
        <w:t xml:space="preserve"> </w:t>
      </w:r>
      <w:r w:rsidR="002A74D5">
        <w:t xml:space="preserve">Protapper gold </w:t>
      </w:r>
      <w:r>
        <w:t xml:space="preserve">and Vortex Blue group, respectively (Table 2). Figure 8 graphically displays that the use of HyFlex CM instruments resulted in significantly (p&lt;0.05) less canal volume enlargement overall and at all levels compared to Vortex Blue and </w:t>
      </w:r>
      <w:r w:rsidR="00A74C53">
        <w:t>Protapper Gold</w:t>
      </w:r>
      <w:r>
        <w:t>.</w:t>
      </w:r>
    </w:p>
    <w:p w14:paraId="6F69D96F" w14:textId="77777777" w:rsidR="00A74C53" w:rsidRDefault="00A74C53" w:rsidP="00A74C53">
      <w:pPr>
        <w:pStyle w:val="BodyText"/>
        <w:spacing w:line="360" w:lineRule="auto"/>
        <w:ind w:right="323"/>
        <w:jc w:val="both"/>
      </w:pPr>
    </w:p>
    <w:p w14:paraId="35066F1E" w14:textId="57F3E2D4" w:rsidR="00081708" w:rsidRDefault="008049AB" w:rsidP="005E5EAC">
      <w:pPr>
        <w:pStyle w:val="BodyText"/>
        <w:spacing w:line="360" w:lineRule="auto"/>
        <w:ind w:right="782"/>
        <w:jc w:val="both"/>
      </w:pPr>
      <w:r>
        <w:t>The results for apical transportation are summarized in Table 3. Results were similar</w:t>
      </w:r>
      <w:r w:rsidR="00081708">
        <w:t xml:space="preserve"> </w:t>
      </w:r>
      <w:r>
        <w:t xml:space="preserve">and no significant differences (p&gt;0.05) were obtained between the three experimental groups. No </w:t>
      </w:r>
      <w:proofErr w:type="spellStart"/>
      <w:r>
        <w:t>protapper</w:t>
      </w:r>
      <w:proofErr w:type="spellEnd"/>
      <w:r>
        <w:t xml:space="preserve"> gold or Vortex Blue files fractured during the study. </w:t>
      </w:r>
      <w:proofErr w:type="gramStart"/>
      <w:r>
        <w:t>However</w:t>
      </w:r>
      <w:proofErr w:type="gramEnd"/>
      <w:r>
        <w:t xml:space="preserve"> four HyFlex CM .04/30 instruments fractured during instrumentation.</w:t>
      </w:r>
    </w:p>
    <w:p w14:paraId="72D38E82" w14:textId="77777777" w:rsidR="005E5EAC" w:rsidRDefault="005E5EAC" w:rsidP="005E5EAC">
      <w:pPr>
        <w:pStyle w:val="BodyText"/>
        <w:spacing w:line="360" w:lineRule="auto"/>
        <w:ind w:right="782"/>
        <w:jc w:val="both"/>
      </w:pPr>
    </w:p>
    <w:p w14:paraId="10F61761" w14:textId="6BE19DA1" w:rsidR="00060B15" w:rsidRDefault="00060B15" w:rsidP="00060B15">
      <w:pPr>
        <w:pStyle w:val="NormalWeb"/>
      </w:pPr>
      <w:r>
        <w:rPr>
          <w:rFonts w:ascii="TimesNewRomanPS" w:hAnsi="TimesNewRomanPS"/>
          <w:b/>
          <w:bCs/>
          <w:sz w:val="28"/>
          <w:szCs w:val="28"/>
        </w:rPr>
        <w:t xml:space="preserve">Table 2. Canal Area Change </w:t>
      </w: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4"/>
        <w:gridCol w:w="1435"/>
        <w:gridCol w:w="1709"/>
        <w:gridCol w:w="2117"/>
        <w:gridCol w:w="1123"/>
      </w:tblGrid>
      <w:tr w:rsidR="00081708" w14:paraId="7C2A08F3" w14:textId="77777777" w:rsidTr="00607660">
        <w:trPr>
          <w:trHeight w:val="278"/>
        </w:trPr>
        <w:tc>
          <w:tcPr>
            <w:tcW w:w="1644" w:type="dxa"/>
            <w:vMerge w:val="restart"/>
          </w:tcPr>
          <w:p w14:paraId="70F7EAEE" w14:textId="77777777" w:rsidR="00081708" w:rsidRDefault="00081708" w:rsidP="00607660">
            <w:pPr>
              <w:pStyle w:val="TableParagraph"/>
              <w:spacing w:before="5"/>
              <w:rPr>
                <w:sz w:val="23"/>
              </w:rPr>
            </w:pPr>
          </w:p>
          <w:p w14:paraId="71FC9A4E" w14:textId="77777777" w:rsidR="00081708" w:rsidRDefault="00081708" w:rsidP="00607660">
            <w:pPr>
              <w:pStyle w:val="TableParagraph"/>
              <w:spacing w:line="273" w:lineRule="exact"/>
              <w:ind w:left="613" w:right="607"/>
              <w:jc w:val="center"/>
              <w:rPr>
                <w:sz w:val="24"/>
              </w:rPr>
            </w:pPr>
            <w:r>
              <w:rPr>
                <w:sz w:val="24"/>
              </w:rPr>
              <w:t>File</w:t>
            </w:r>
          </w:p>
        </w:tc>
        <w:tc>
          <w:tcPr>
            <w:tcW w:w="6384" w:type="dxa"/>
            <w:gridSpan w:val="4"/>
          </w:tcPr>
          <w:p w14:paraId="02B88745" w14:textId="77777777" w:rsidR="00081708" w:rsidRDefault="00081708" w:rsidP="00607660">
            <w:pPr>
              <w:pStyle w:val="TableParagraph"/>
              <w:spacing w:line="258" w:lineRule="exact"/>
              <w:ind w:left="712"/>
              <w:rPr>
                <w:sz w:val="24"/>
              </w:rPr>
            </w:pPr>
            <w:r>
              <w:rPr>
                <w:b/>
                <w:sz w:val="24"/>
              </w:rPr>
              <w:t xml:space="preserve">Canal Area Increase due to Instrumentation </w:t>
            </w:r>
            <w:r>
              <w:rPr>
                <w:sz w:val="24"/>
              </w:rPr>
              <w:t>(%)</w:t>
            </w:r>
          </w:p>
        </w:tc>
      </w:tr>
      <w:tr w:rsidR="00081708" w14:paraId="29D866BA" w14:textId="77777777" w:rsidTr="00607660">
        <w:trPr>
          <w:trHeight w:val="275"/>
        </w:trPr>
        <w:tc>
          <w:tcPr>
            <w:tcW w:w="1644" w:type="dxa"/>
            <w:vMerge/>
            <w:tcBorders>
              <w:top w:val="nil"/>
            </w:tcBorders>
          </w:tcPr>
          <w:p w14:paraId="73A65CE5" w14:textId="77777777" w:rsidR="00081708" w:rsidRDefault="00081708" w:rsidP="00607660">
            <w:pPr>
              <w:rPr>
                <w:sz w:val="2"/>
                <w:szCs w:val="2"/>
              </w:rPr>
            </w:pPr>
          </w:p>
        </w:tc>
        <w:tc>
          <w:tcPr>
            <w:tcW w:w="1435" w:type="dxa"/>
          </w:tcPr>
          <w:p w14:paraId="5046AF75" w14:textId="77777777" w:rsidR="00081708" w:rsidRDefault="00081708" w:rsidP="00607660">
            <w:pPr>
              <w:pStyle w:val="TableParagraph"/>
              <w:spacing w:line="256" w:lineRule="exact"/>
              <w:ind w:left="90" w:right="81"/>
              <w:jc w:val="center"/>
              <w:rPr>
                <w:sz w:val="24"/>
              </w:rPr>
            </w:pPr>
            <w:r>
              <w:rPr>
                <w:sz w:val="24"/>
              </w:rPr>
              <w:t>0-2 mm</w:t>
            </w:r>
          </w:p>
        </w:tc>
        <w:tc>
          <w:tcPr>
            <w:tcW w:w="1709" w:type="dxa"/>
          </w:tcPr>
          <w:p w14:paraId="42C5F57E" w14:textId="77777777" w:rsidR="00081708" w:rsidRDefault="00081708" w:rsidP="00607660">
            <w:pPr>
              <w:pStyle w:val="TableParagraph"/>
              <w:spacing w:line="256" w:lineRule="exact"/>
              <w:ind w:left="224" w:right="220"/>
              <w:jc w:val="center"/>
              <w:rPr>
                <w:sz w:val="24"/>
              </w:rPr>
            </w:pPr>
            <w:r>
              <w:rPr>
                <w:sz w:val="24"/>
              </w:rPr>
              <w:t>3-5 mm</w:t>
            </w:r>
          </w:p>
        </w:tc>
        <w:tc>
          <w:tcPr>
            <w:tcW w:w="2117" w:type="dxa"/>
          </w:tcPr>
          <w:p w14:paraId="3F67C262" w14:textId="77777777" w:rsidR="00081708" w:rsidRDefault="00081708" w:rsidP="00607660">
            <w:pPr>
              <w:pStyle w:val="TableParagraph"/>
              <w:spacing w:line="256" w:lineRule="exact"/>
              <w:ind w:left="431" w:right="423"/>
              <w:jc w:val="center"/>
              <w:rPr>
                <w:sz w:val="24"/>
              </w:rPr>
            </w:pPr>
            <w:r>
              <w:rPr>
                <w:sz w:val="24"/>
              </w:rPr>
              <w:t>6-8 mm</w:t>
            </w:r>
          </w:p>
        </w:tc>
        <w:tc>
          <w:tcPr>
            <w:tcW w:w="1123" w:type="dxa"/>
          </w:tcPr>
          <w:p w14:paraId="0A98FAC1" w14:textId="77777777" w:rsidR="00081708" w:rsidRDefault="00081708" w:rsidP="00607660">
            <w:pPr>
              <w:pStyle w:val="TableParagraph"/>
              <w:spacing w:line="256" w:lineRule="exact"/>
              <w:ind w:left="306"/>
              <w:rPr>
                <w:sz w:val="24"/>
              </w:rPr>
            </w:pPr>
            <w:r>
              <w:rPr>
                <w:sz w:val="24"/>
              </w:rPr>
              <w:t>Total</w:t>
            </w:r>
          </w:p>
        </w:tc>
      </w:tr>
      <w:tr w:rsidR="00081708" w14:paraId="2096B42D" w14:textId="77777777" w:rsidTr="00607660">
        <w:trPr>
          <w:trHeight w:val="551"/>
        </w:trPr>
        <w:tc>
          <w:tcPr>
            <w:tcW w:w="1644" w:type="dxa"/>
          </w:tcPr>
          <w:p w14:paraId="6DE9B247" w14:textId="77777777" w:rsidR="00081708" w:rsidRDefault="00081708" w:rsidP="00607660">
            <w:pPr>
              <w:pStyle w:val="TableParagraph"/>
              <w:spacing w:before="3"/>
              <w:rPr>
                <w:sz w:val="23"/>
              </w:rPr>
            </w:pPr>
          </w:p>
          <w:p w14:paraId="39693D49" w14:textId="16014FF8" w:rsidR="00081708" w:rsidRDefault="001C5750" w:rsidP="00607660">
            <w:pPr>
              <w:pStyle w:val="TableParagraph"/>
              <w:spacing w:line="264" w:lineRule="exact"/>
              <w:ind w:left="107"/>
              <w:rPr>
                <w:sz w:val="24"/>
              </w:rPr>
            </w:pPr>
            <w:r>
              <w:rPr>
                <w:sz w:val="24"/>
              </w:rPr>
              <w:t>Protapper gold</w:t>
            </w:r>
          </w:p>
        </w:tc>
        <w:tc>
          <w:tcPr>
            <w:tcW w:w="1435" w:type="dxa"/>
          </w:tcPr>
          <w:p w14:paraId="1560FE27" w14:textId="77777777" w:rsidR="00081708" w:rsidRDefault="00081708" w:rsidP="00607660">
            <w:pPr>
              <w:pStyle w:val="TableParagraph"/>
              <w:spacing w:before="3"/>
              <w:rPr>
                <w:sz w:val="23"/>
              </w:rPr>
            </w:pPr>
          </w:p>
          <w:p w14:paraId="4502CF79" w14:textId="35792814" w:rsidR="00081708" w:rsidRDefault="00081708" w:rsidP="00607660">
            <w:pPr>
              <w:pStyle w:val="TableParagraph"/>
              <w:spacing w:line="264" w:lineRule="exact"/>
              <w:ind w:left="90" w:right="83"/>
              <w:jc w:val="center"/>
              <w:rPr>
                <w:sz w:val="24"/>
              </w:rPr>
            </w:pPr>
            <w:r>
              <w:rPr>
                <w:sz w:val="24"/>
              </w:rPr>
              <w:t>3</w:t>
            </w:r>
            <w:r w:rsidR="00060B15">
              <w:rPr>
                <w:sz w:val="24"/>
              </w:rPr>
              <w:t>10</w:t>
            </w:r>
            <w:r>
              <w:rPr>
                <w:sz w:val="24"/>
              </w:rPr>
              <w:t xml:space="preserve">.6 </w:t>
            </w:r>
            <w:r>
              <w:rPr>
                <w:color w:val="373838"/>
                <w:sz w:val="24"/>
              </w:rPr>
              <w:t>± 36.2</w:t>
            </w:r>
          </w:p>
        </w:tc>
        <w:tc>
          <w:tcPr>
            <w:tcW w:w="1709" w:type="dxa"/>
          </w:tcPr>
          <w:p w14:paraId="17DE1C5E" w14:textId="77777777" w:rsidR="00081708" w:rsidRDefault="00081708" w:rsidP="00607660">
            <w:pPr>
              <w:pStyle w:val="TableParagraph"/>
              <w:spacing w:before="3"/>
              <w:rPr>
                <w:sz w:val="23"/>
              </w:rPr>
            </w:pPr>
          </w:p>
          <w:p w14:paraId="3EF2F999" w14:textId="584F9AC0" w:rsidR="00081708" w:rsidRDefault="00081708" w:rsidP="00607660">
            <w:pPr>
              <w:pStyle w:val="TableParagraph"/>
              <w:spacing w:line="264" w:lineRule="exact"/>
              <w:ind w:left="224" w:right="222"/>
              <w:jc w:val="center"/>
              <w:rPr>
                <w:sz w:val="24"/>
              </w:rPr>
            </w:pPr>
            <w:r>
              <w:rPr>
                <w:sz w:val="24"/>
              </w:rPr>
              <w:t xml:space="preserve">283.0 </w:t>
            </w:r>
            <w:r>
              <w:rPr>
                <w:color w:val="373838"/>
                <w:sz w:val="24"/>
              </w:rPr>
              <w:t>± 18.3</w:t>
            </w:r>
          </w:p>
        </w:tc>
        <w:tc>
          <w:tcPr>
            <w:tcW w:w="2117" w:type="dxa"/>
          </w:tcPr>
          <w:p w14:paraId="0A5E25F2" w14:textId="77777777" w:rsidR="00081708" w:rsidRDefault="00081708" w:rsidP="00607660">
            <w:pPr>
              <w:pStyle w:val="TableParagraph"/>
              <w:spacing w:before="3"/>
              <w:rPr>
                <w:sz w:val="23"/>
              </w:rPr>
            </w:pPr>
          </w:p>
          <w:p w14:paraId="58E273B4" w14:textId="18B9E0DB" w:rsidR="00081708" w:rsidRDefault="00081708" w:rsidP="00607660">
            <w:pPr>
              <w:pStyle w:val="TableParagraph"/>
              <w:spacing w:line="264" w:lineRule="exact"/>
              <w:ind w:left="431" w:right="424"/>
              <w:jc w:val="center"/>
              <w:rPr>
                <w:sz w:val="24"/>
              </w:rPr>
            </w:pPr>
            <w:r>
              <w:rPr>
                <w:sz w:val="24"/>
              </w:rPr>
              <w:t xml:space="preserve">286.4 </w:t>
            </w:r>
            <w:r>
              <w:rPr>
                <w:color w:val="373838"/>
                <w:sz w:val="24"/>
              </w:rPr>
              <w:t>± 17.3</w:t>
            </w:r>
          </w:p>
        </w:tc>
        <w:tc>
          <w:tcPr>
            <w:tcW w:w="1123" w:type="dxa"/>
          </w:tcPr>
          <w:p w14:paraId="027DA27A" w14:textId="77777777" w:rsidR="00081708" w:rsidRDefault="00081708" w:rsidP="00607660">
            <w:pPr>
              <w:pStyle w:val="TableParagraph"/>
              <w:spacing w:line="268" w:lineRule="exact"/>
              <w:ind w:left="193"/>
              <w:rPr>
                <w:sz w:val="24"/>
              </w:rPr>
            </w:pPr>
            <w:r>
              <w:rPr>
                <w:sz w:val="24"/>
              </w:rPr>
              <w:t xml:space="preserve">288.6 </w:t>
            </w:r>
            <w:r>
              <w:rPr>
                <w:color w:val="373838"/>
                <w:sz w:val="24"/>
              </w:rPr>
              <w:t>±</w:t>
            </w:r>
          </w:p>
          <w:p w14:paraId="28CECCE2" w14:textId="77777777" w:rsidR="00081708" w:rsidRDefault="00081708" w:rsidP="00607660">
            <w:pPr>
              <w:pStyle w:val="TableParagraph"/>
              <w:spacing w:line="264" w:lineRule="exact"/>
              <w:ind w:left="290"/>
              <w:rPr>
                <w:rFonts w:ascii="Verdana"/>
                <w:sz w:val="12"/>
              </w:rPr>
            </w:pPr>
            <w:r>
              <w:rPr>
                <w:color w:val="373838"/>
                <w:sz w:val="24"/>
              </w:rPr>
              <w:t xml:space="preserve">18.0 </w:t>
            </w:r>
            <w:r>
              <w:rPr>
                <w:rFonts w:ascii="Verdana"/>
                <w:color w:val="373838"/>
                <w:position w:val="6"/>
                <w:sz w:val="12"/>
              </w:rPr>
              <w:t>c</w:t>
            </w:r>
          </w:p>
        </w:tc>
      </w:tr>
      <w:tr w:rsidR="00081708" w14:paraId="61AB9394" w14:textId="77777777" w:rsidTr="00607660">
        <w:trPr>
          <w:trHeight w:val="551"/>
        </w:trPr>
        <w:tc>
          <w:tcPr>
            <w:tcW w:w="1644" w:type="dxa"/>
          </w:tcPr>
          <w:p w14:paraId="508AE40F" w14:textId="77777777" w:rsidR="00081708" w:rsidRDefault="00081708" w:rsidP="00607660">
            <w:pPr>
              <w:pStyle w:val="TableParagraph"/>
              <w:spacing w:before="3"/>
              <w:rPr>
                <w:sz w:val="23"/>
              </w:rPr>
            </w:pPr>
          </w:p>
          <w:p w14:paraId="7B5BF8C0" w14:textId="77777777" w:rsidR="00081708" w:rsidRDefault="00081708" w:rsidP="00607660">
            <w:pPr>
              <w:pStyle w:val="TableParagraph"/>
              <w:spacing w:line="264" w:lineRule="exact"/>
              <w:ind w:left="107"/>
              <w:rPr>
                <w:sz w:val="24"/>
              </w:rPr>
            </w:pPr>
            <w:r>
              <w:rPr>
                <w:sz w:val="24"/>
              </w:rPr>
              <w:t>Vortex Blue</w:t>
            </w:r>
          </w:p>
        </w:tc>
        <w:tc>
          <w:tcPr>
            <w:tcW w:w="1435" w:type="dxa"/>
          </w:tcPr>
          <w:p w14:paraId="1262CDC5" w14:textId="77777777" w:rsidR="00081708" w:rsidRDefault="00081708" w:rsidP="00607660">
            <w:pPr>
              <w:pStyle w:val="TableParagraph"/>
              <w:spacing w:before="3"/>
              <w:rPr>
                <w:sz w:val="23"/>
              </w:rPr>
            </w:pPr>
          </w:p>
          <w:p w14:paraId="737CC752" w14:textId="3A252795" w:rsidR="00081708" w:rsidRDefault="00081708" w:rsidP="00607660">
            <w:pPr>
              <w:pStyle w:val="TableParagraph"/>
              <w:spacing w:line="264" w:lineRule="exact"/>
              <w:ind w:left="90" w:right="83"/>
              <w:jc w:val="center"/>
              <w:rPr>
                <w:sz w:val="24"/>
              </w:rPr>
            </w:pPr>
            <w:r>
              <w:rPr>
                <w:sz w:val="24"/>
              </w:rPr>
              <w:t xml:space="preserve">322.5 </w:t>
            </w:r>
            <w:r>
              <w:rPr>
                <w:color w:val="373838"/>
                <w:sz w:val="24"/>
              </w:rPr>
              <w:t>± 55.6</w:t>
            </w:r>
          </w:p>
        </w:tc>
        <w:tc>
          <w:tcPr>
            <w:tcW w:w="1709" w:type="dxa"/>
          </w:tcPr>
          <w:p w14:paraId="14F77CF1" w14:textId="77777777" w:rsidR="00081708" w:rsidRDefault="00081708" w:rsidP="00607660">
            <w:pPr>
              <w:pStyle w:val="TableParagraph"/>
              <w:spacing w:before="3"/>
              <w:rPr>
                <w:sz w:val="23"/>
              </w:rPr>
            </w:pPr>
          </w:p>
          <w:p w14:paraId="7580EF9B" w14:textId="1716EF86" w:rsidR="00081708" w:rsidRDefault="00081708" w:rsidP="00607660">
            <w:pPr>
              <w:pStyle w:val="TableParagraph"/>
              <w:spacing w:line="264" w:lineRule="exact"/>
              <w:ind w:left="224" w:right="222"/>
              <w:jc w:val="center"/>
              <w:rPr>
                <w:sz w:val="24"/>
              </w:rPr>
            </w:pPr>
            <w:r>
              <w:rPr>
                <w:sz w:val="24"/>
              </w:rPr>
              <w:t xml:space="preserve">268.6 </w:t>
            </w:r>
            <w:r>
              <w:rPr>
                <w:color w:val="373838"/>
                <w:sz w:val="24"/>
              </w:rPr>
              <w:t>± 28.1</w:t>
            </w:r>
          </w:p>
        </w:tc>
        <w:tc>
          <w:tcPr>
            <w:tcW w:w="2117" w:type="dxa"/>
          </w:tcPr>
          <w:p w14:paraId="6E750724" w14:textId="77777777" w:rsidR="00081708" w:rsidRDefault="00081708" w:rsidP="00607660">
            <w:pPr>
              <w:pStyle w:val="TableParagraph"/>
              <w:spacing w:before="3"/>
              <w:rPr>
                <w:sz w:val="23"/>
              </w:rPr>
            </w:pPr>
          </w:p>
          <w:p w14:paraId="1A9FD768" w14:textId="37FCF2B7" w:rsidR="00081708" w:rsidRDefault="00081708" w:rsidP="00607660">
            <w:pPr>
              <w:pStyle w:val="TableParagraph"/>
              <w:spacing w:line="264" w:lineRule="exact"/>
              <w:ind w:left="431" w:right="424"/>
              <w:jc w:val="center"/>
              <w:rPr>
                <w:sz w:val="24"/>
              </w:rPr>
            </w:pPr>
            <w:r>
              <w:rPr>
                <w:sz w:val="24"/>
              </w:rPr>
              <w:t xml:space="preserve">281.4 </w:t>
            </w:r>
            <w:r>
              <w:rPr>
                <w:color w:val="373838"/>
                <w:sz w:val="24"/>
              </w:rPr>
              <w:t>± 23.4</w:t>
            </w:r>
          </w:p>
        </w:tc>
        <w:tc>
          <w:tcPr>
            <w:tcW w:w="1123" w:type="dxa"/>
          </w:tcPr>
          <w:p w14:paraId="011776D8" w14:textId="77777777" w:rsidR="00081708" w:rsidRDefault="00081708" w:rsidP="00607660">
            <w:pPr>
              <w:pStyle w:val="TableParagraph"/>
              <w:spacing w:line="268" w:lineRule="exact"/>
              <w:ind w:left="170"/>
              <w:rPr>
                <w:sz w:val="24"/>
              </w:rPr>
            </w:pPr>
            <w:r>
              <w:rPr>
                <w:sz w:val="24"/>
              </w:rPr>
              <w:t>286.247</w:t>
            </w:r>
          </w:p>
          <w:p w14:paraId="7C36E992" w14:textId="77777777" w:rsidR="00081708" w:rsidRDefault="00081708" w:rsidP="00607660">
            <w:pPr>
              <w:pStyle w:val="TableParagraph"/>
              <w:spacing w:line="264" w:lineRule="exact"/>
              <w:ind w:left="186"/>
              <w:rPr>
                <w:rFonts w:ascii="Verdana" w:hAnsi="Verdana"/>
                <w:sz w:val="12"/>
              </w:rPr>
            </w:pPr>
            <w:r>
              <w:rPr>
                <w:color w:val="373838"/>
                <w:sz w:val="24"/>
              </w:rPr>
              <w:t xml:space="preserve">± 29.4 </w:t>
            </w:r>
            <w:r>
              <w:rPr>
                <w:rFonts w:ascii="Verdana" w:hAnsi="Verdana"/>
                <w:color w:val="373838"/>
                <w:position w:val="6"/>
                <w:sz w:val="12"/>
              </w:rPr>
              <w:t>b</w:t>
            </w:r>
          </w:p>
        </w:tc>
      </w:tr>
      <w:tr w:rsidR="00081708" w14:paraId="7919E2BC" w14:textId="77777777" w:rsidTr="00607660">
        <w:trPr>
          <w:trHeight w:val="551"/>
        </w:trPr>
        <w:tc>
          <w:tcPr>
            <w:tcW w:w="1644" w:type="dxa"/>
          </w:tcPr>
          <w:p w14:paraId="0E497ECB" w14:textId="77777777" w:rsidR="00081708" w:rsidRDefault="00081708" w:rsidP="00607660">
            <w:pPr>
              <w:pStyle w:val="TableParagraph"/>
              <w:spacing w:before="3"/>
              <w:rPr>
                <w:sz w:val="23"/>
              </w:rPr>
            </w:pPr>
          </w:p>
          <w:p w14:paraId="3491E60C" w14:textId="77777777" w:rsidR="00081708" w:rsidRDefault="00081708" w:rsidP="00607660">
            <w:pPr>
              <w:pStyle w:val="TableParagraph"/>
              <w:spacing w:line="264" w:lineRule="exact"/>
              <w:ind w:left="107"/>
              <w:rPr>
                <w:sz w:val="24"/>
              </w:rPr>
            </w:pPr>
            <w:r>
              <w:rPr>
                <w:sz w:val="24"/>
              </w:rPr>
              <w:t>HyFlex CM</w:t>
            </w:r>
          </w:p>
        </w:tc>
        <w:tc>
          <w:tcPr>
            <w:tcW w:w="1435" w:type="dxa"/>
          </w:tcPr>
          <w:p w14:paraId="5C332BF4" w14:textId="77777777" w:rsidR="00081708" w:rsidRDefault="00081708" w:rsidP="00607660">
            <w:pPr>
              <w:pStyle w:val="TableParagraph"/>
              <w:spacing w:before="3"/>
              <w:rPr>
                <w:sz w:val="23"/>
              </w:rPr>
            </w:pPr>
          </w:p>
          <w:p w14:paraId="322A286D" w14:textId="5CB0E058" w:rsidR="00081708" w:rsidRDefault="00081708" w:rsidP="00607660">
            <w:pPr>
              <w:pStyle w:val="TableParagraph"/>
              <w:spacing w:line="264" w:lineRule="exact"/>
              <w:ind w:left="90" w:right="83"/>
              <w:jc w:val="center"/>
              <w:rPr>
                <w:sz w:val="24"/>
              </w:rPr>
            </w:pPr>
            <w:r>
              <w:rPr>
                <w:sz w:val="24"/>
              </w:rPr>
              <w:t>2</w:t>
            </w:r>
            <w:r w:rsidR="00060B15">
              <w:rPr>
                <w:sz w:val="24"/>
              </w:rPr>
              <w:t>60</w:t>
            </w:r>
            <w:r>
              <w:rPr>
                <w:sz w:val="24"/>
              </w:rPr>
              <w:t xml:space="preserve">.6 </w:t>
            </w:r>
            <w:r>
              <w:rPr>
                <w:color w:val="373838"/>
                <w:sz w:val="24"/>
              </w:rPr>
              <w:t>± 67.1</w:t>
            </w:r>
          </w:p>
        </w:tc>
        <w:tc>
          <w:tcPr>
            <w:tcW w:w="1709" w:type="dxa"/>
          </w:tcPr>
          <w:p w14:paraId="165DAFF2" w14:textId="77777777" w:rsidR="00081708" w:rsidRDefault="00081708" w:rsidP="00607660">
            <w:pPr>
              <w:pStyle w:val="TableParagraph"/>
              <w:spacing w:before="3"/>
              <w:rPr>
                <w:sz w:val="23"/>
              </w:rPr>
            </w:pPr>
          </w:p>
          <w:p w14:paraId="2333A24B" w14:textId="0C485ED4" w:rsidR="00081708" w:rsidRDefault="00081708" w:rsidP="00607660">
            <w:pPr>
              <w:pStyle w:val="TableParagraph"/>
              <w:spacing w:line="264" w:lineRule="exact"/>
              <w:ind w:left="224" w:right="222"/>
              <w:jc w:val="center"/>
              <w:rPr>
                <w:sz w:val="24"/>
              </w:rPr>
            </w:pPr>
            <w:r>
              <w:rPr>
                <w:sz w:val="24"/>
              </w:rPr>
              <w:t>2</w:t>
            </w:r>
            <w:r w:rsidR="00060B15">
              <w:rPr>
                <w:sz w:val="24"/>
              </w:rPr>
              <w:t>50</w:t>
            </w:r>
            <w:r>
              <w:rPr>
                <w:sz w:val="24"/>
              </w:rPr>
              <w:t xml:space="preserve">.7 </w:t>
            </w:r>
            <w:r>
              <w:rPr>
                <w:color w:val="373838"/>
                <w:sz w:val="24"/>
              </w:rPr>
              <w:t>± 39.3</w:t>
            </w:r>
          </w:p>
        </w:tc>
        <w:tc>
          <w:tcPr>
            <w:tcW w:w="2117" w:type="dxa"/>
          </w:tcPr>
          <w:p w14:paraId="0EE5E6C0" w14:textId="77777777" w:rsidR="00081708" w:rsidRDefault="00081708" w:rsidP="00607660">
            <w:pPr>
              <w:pStyle w:val="TableParagraph"/>
              <w:spacing w:before="3"/>
              <w:rPr>
                <w:sz w:val="23"/>
              </w:rPr>
            </w:pPr>
          </w:p>
          <w:p w14:paraId="24D1FC83" w14:textId="4C7384AA" w:rsidR="00081708" w:rsidRDefault="00081708" w:rsidP="00607660">
            <w:pPr>
              <w:pStyle w:val="TableParagraph"/>
              <w:spacing w:line="264" w:lineRule="exact"/>
              <w:ind w:left="431" w:right="424"/>
              <w:jc w:val="center"/>
              <w:rPr>
                <w:sz w:val="24"/>
              </w:rPr>
            </w:pPr>
            <w:r>
              <w:rPr>
                <w:sz w:val="24"/>
              </w:rPr>
              <w:t>24</w:t>
            </w:r>
            <w:r w:rsidR="00060B15">
              <w:rPr>
                <w:sz w:val="24"/>
              </w:rPr>
              <w:t>0</w:t>
            </w:r>
            <w:r>
              <w:rPr>
                <w:sz w:val="24"/>
              </w:rPr>
              <w:t xml:space="preserve">.3 </w:t>
            </w:r>
            <w:r>
              <w:rPr>
                <w:color w:val="373838"/>
                <w:sz w:val="24"/>
              </w:rPr>
              <w:t>± 34.2</w:t>
            </w:r>
          </w:p>
        </w:tc>
        <w:tc>
          <w:tcPr>
            <w:tcW w:w="1123" w:type="dxa"/>
          </w:tcPr>
          <w:p w14:paraId="26D1003D" w14:textId="77777777" w:rsidR="00081708" w:rsidRDefault="00081708" w:rsidP="00607660">
            <w:pPr>
              <w:pStyle w:val="TableParagraph"/>
              <w:spacing w:line="268" w:lineRule="exact"/>
              <w:ind w:left="193"/>
              <w:rPr>
                <w:sz w:val="24"/>
              </w:rPr>
            </w:pPr>
            <w:r>
              <w:rPr>
                <w:sz w:val="24"/>
              </w:rPr>
              <w:t xml:space="preserve">245.1 </w:t>
            </w:r>
            <w:r>
              <w:rPr>
                <w:color w:val="373838"/>
                <w:sz w:val="24"/>
              </w:rPr>
              <w:t>±</w:t>
            </w:r>
          </w:p>
          <w:p w14:paraId="3B02E50C" w14:textId="77777777" w:rsidR="00081708" w:rsidRDefault="00081708" w:rsidP="00607660">
            <w:pPr>
              <w:pStyle w:val="TableParagraph"/>
              <w:spacing w:line="264" w:lineRule="exact"/>
              <w:ind w:left="285"/>
              <w:rPr>
                <w:rFonts w:ascii="Verdana"/>
                <w:sz w:val="12"/>
              </w:rPr>
            </w:pPr>
            <w:r>
              <w:rPr>
                <w:color w:val="373838"/>
                <w:sz w:val="24"/>
              </w:rPr>
              <w:t xml:space="preserve">40.9 </w:t>
            </w:r>
            <w:r>
              <w:rPr>
                <w:rFonts w:ascii="Verdana"/>
                <w:color w:val="373838"/>
                <w:position w:val="6"/>
                <w:sz w:val="12"/>
              </w:rPr>
              <w:t>a</w:t>
            </w:r>
          </w:p>
        </w:tc>
      </w:tr>
    </w:tbl>
    <w:p w14:paraId="2A65C1DF" w14:textId="77777777" w:rsidR="00F30190" w:rsidRDefault="00F30190" w:rsidP="00A672EF">
      <w:pPr>
        <w:jc w:val="both"/>
      </w:pPr>
    </w:p>
    <w:p w14:paraId="6CBE9CA2" w14:textId="77777777" w:rsidR="00441C4C" w:rsidRDefault="00441C4C" w:rsidP="00A672EF">
      <w:pPr>
        <w:jc w:val="both"/>
      </w:pPr>
    </w:p>
    <w:p w14:paraId="3CEC5081" w14:textId="77777777" w:rsidR="001933A2" w:rsidRDefault="001933A2" w:rsidP="00A672EF">
      <w:pPr>
        <w:jc w:val="both"/>
      </w:pPr>
    </w:p>
    <w:p w14:paraId="36255525" w14:textId="77777777" w:rsidR="001933A2" w:rsidRDefault="001933A2" w:rsidP="00A672EF">
      <w:pPr>
        <w:jc w:val="both"/>
      </w:pPr>
    </w:p>
    <w:p w14:paraId="1C6672BD" w14:textId="77777777" w:rsidR="001632AF" w:rsidRDefault="001632AF" w:rsidP="001632AF">
      <w:pPr>
        <w:spacing w:before="89"/>
        <w:rPr>
          <w:b/>
          <w:sz w:val="28"/>
        </w:rPr>
      </w:pPr>
      <w:r>
        <w:rPr>
          <w:b/>
          <w:sz w:val="28"/>
        </w:rPr>
        <w:t>Table 3. Apical Transportation *</w:t>
      </w:r>
    </w:p>
    <w:p w14:paraId="214C7649" w14:textId="77777777" w:rsidR="001632AF" w:rsidRPr="001632AF" w:rsidRDefault="001632AF" w:rsidP="001632AF">
      <w:pPr>
        <w:tabs>
          <w:tab w:val="left" w:pos="1359"/>
          <w:tab w:val="left" w:pos="1360"/>
        </w:tabs>
        <w:spacing w:before="269"/>
      </w:pPr>
      <w:r w:rsidRPr="001632AF">
        <w:t xml:space="preserve">Values of means of apical transportation </w:t>
      </w:r>
      <w:r w:rsidRPr="001632AF">
        <w:rPr>
          <w:color w:val="373838"/>
        </w:rPr>
        <w:t xml:space="preserve">± </w:t>
      </w:r>
      <w:r w:rsidRPr="001632AF">
        <w:t>standard</w:t>
      </w:r>
      <w:r w:rsidRPr="001632AF">
        <w:rPr>
          <w:spacing w:val="-4"/>
        </w:rPr>
        <w:t xml:space="preserve"> </w:t>
      </w:r>
      <w:r w:rsidRPr="001632AF">
        <w:t>deviation.</w:t>
      </w:r>
    </w:p>
    <w:p w14:paraId="0D62842C" w14:textId="77777777" w:rsidR="001632AF" w:rsidRDefault="001632AF" w:rsidP="001632AF">
      <w:pPr>
        <w:pStyle w:val="BodyText"/>
        <w:spacing w:before="184" w:line="256" w:lineRule="auto"/>
        <w:ind w:right="574"/>
      </w:pPr>
      <w:r>
        <w:t>There are no significant (p&gt;0.05) differences between the groups with the same letters.</w:t>
      </w:r>
    </w:p>
    <w:p w14:paraId="7D856296" w14:textId="77777777" w:rsidR="00441C4C" w:rsidRDefault="00441C4C" w:rsidP="00A672EF">
      <w:pPr>
        <w:jc w:val="both"/>
      </w:pPr>
    </w:p>
    <w:p w14:paraId="515E2516" w14:textId="77777777" w:rsidR="00441C4C" w:rsidRDefault="00441C4C" w:rsidP="00A672EF">
      <w:pPr>
        <w:jc w:val="both"/>
      </w:pPr>
    </w:p>
    <w:tbl>
      <w:tblPr>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6"/>
        <w:gridCol w:w="1726"/>
        <w:gridCol w:w="1728"/>
      </w:tblGrid>
      <w:tr w:rsidR="00441C4C" w14:paraId="2CB872FE" w14:textId="77777777" w:rsidTr="00607660">
        <w:trPr>
          <w:trHeight w:val="827"/>
        </w:trPr>
        <w:tc>
          <w:tcPr>
            <w:tcW w:w="1726" w:type="dxa"/>
          </w:tcPr>
          <w:p w14:paraId="60B238AC" w14:textId="77777777" w:rsidR="00441C4C" w:rsidRDefault="00441C4C" w:rsidP="00607660">
            <w:pPr>
              <w:pStyle w:val="TableParagraph"/>
              <w:spacing w:line="268" w:lineRule="exact"/>
              <w:ind w:left="107"/>
              <w:rPr>
                <w:sz w:val="24"/>
              </w:rPr>
            </w:pPr>
            <w:r>
              <w:rPr>
                <w:sz w:val="24"/>
              </w:rPr>
              <w:t>File</w:t>
            </w:r>
          </w:p>
        </w:tc>
        <w:tc>
          <w:tcPr>
            <w:tcW w:w="1726" w:type="dxa"/>
          </w:tcPr>
          <w:p w14:paraId="30351805" w14:textId="77777777" w:rsidR="00441C4C" w:rsidRDefault="00441C4C" w:rsidP="00607660">
            <w:pPr>
              <w:pStyle w:val="TableParagraph"/>
              <w:spacing w:line="268" w:lineRule="exact"/>
              <w:ind w:left="774"/>
              <w:rPr>
                <w:sz w:val="24"/>
              </w:rPr>
            </w:pPr>
            <w:r>
              <w:rPr>
                <w:w w:val="99"/>
                <w:sz w:val="24"/>
              </w:rPr>
              <w:t>N</w:t>
            </w:r>
          </w:p>
        </w:tc>
        <w:tc>
          <w:tcPr>
            <w:tcW w:w="1728" w:type="dxa"/>
          </w:tcPr>
          <w:p w14:paraId="7FE7431E" w14:textId="77777777" w:rsidR="00441C4C" w:rsidRDefault="00441C4C" w:rsidP="00607660">
            <w:pPr>
              <w:pStyle w:val="TableParagraph"/>
              <w:ind w:left="155" w:right="149" w:hanging="2"/>
              <w:jc w:val="center"/>
              <w:rPr>
                <w:sz w:val="24"/>
              </w:rPr>
            </w:pPr>
            <w:r>
              <w:rPr>
                <w:sz w:val="24"/>
              </w:rPr>
              <w:t>Apical Transportation</w:t>
            </w:r>
          </w:p>
          <w:p w14:paraId="6606C4CA" w14:textId="77777777" w:rsidR="00441C4C" w:rsidRDefault="00441C4C" w:rsidP="00607660">
            <w:pPr>
              <w:pStyle w:val="TableParagraph"/>
              <w:spacing w:line="264" w:lineRule="exact"/>
              <w:ind w:left="260" w:right="256"/>
              <w:jc w:val="center"/>
              <w:rPr>
                <w:sz w:val="24"/>
              </w:rPr>
            </w:pPr>
            <w:r>
              <w:rPr>
                <w:sz w:val="24"/>
              </w:rPr>
              <w:t>(mm)</w:t>
            </w:r>
          </w:p>
        </w:tc>
      </w:tr>
      <w:tr w:rsidR="00441C4C" w14:paraId="2250E3B0" w14:textId="77777777" w:rsidTr="00607660">
        <w:trPr>
          <w:trHeight w:val="275"/>
        </w:trPr>
        <w:tc>
          <w:tcPr>
            <w:tcW w:w="1726" w:type="dxa"/>
          </w:tcPr>
          <w:p w14:paraId="3B204C8C" w14:textId="57A2F538" w:rsidR="00441C4C" w:rsidRDefault="001C5750" w:rsidP="00607660">
            <w:pPr>
              <w:pStyle w:val="TableParagraph"/>
              <w:spacing w:line="256" w:lineRule="exact"/>
              <w:ind w:left="107"/>
              <w:rPr>
                <w:sz w:val="24"/>
              </w:rPr>
            </w:pPr>
            <w:r>
              <w:rPr>
                <w:sz w:val="24"/>
              </w:rPr>
              <w:t>Protapper gold</w:t>
            </w:r>
          </w:p>
        </w:tc>
        <w:tc>
          <w:tcPr>
            <w:tcW w:w="1726" w:type="dxa"/>
          </w:tcPr>
          <w:p w14:paraId="61255B44" w14:textId="77777777" w:rsidR="00441C4C" w:rsidRDefault="00441C4C" w:rsidP="00607660">
            <w:pPr>
              <w:pStyle w:val="TableParagraph"/>
              <w:spacing w:line="256" w:lineRule="exact"/>
              <w:ind w:left="741"/>
              <w:rPr>
                <w:sz w:val="24"/>
              </w:rPr>
            </w:pPr>
            <w:r>
              <w:rPr>
                <w:sz w:val="24"/>
              </w:rPr>
              <w:t>20</w:t>
            </w:r>
          </w:p>
        </w:tc>
        <w:tc>
          <w:tcPr>
            <w:tcW w:w="1728" w:type="dxa"/>
          </w:tcPr>
          <w:p w14:paraId="712B39AF" w14:textId="5303CF3A" w:rsidR="00441C4C" w:rsidRDefault="00441C4C" w:rsidP="00607660">
            <w:pPr>
              <w:pStyle w:val="TableParagraph"/>
              <w:spacing w:line="256" w:lineRule="exact"/>
              <w:ind w:left="260" w:right="256"/>
              <w:jc w:val="center"/>
              <w:rPr>
                <w:sz w:val="24"/>
              </w:rPr>
            </w:pPr>
            <w:r>
              <w:rPr>
                <w:sz w:val="24"/>
              </w:rPr>
              <w:t xml:space="preserve">.038 </w:t>
            </w:r>
            <w:r>
              <w:rPr>
                <w:color w:val="373838"/>
                <w:sz w:val="24"/>
              </w:rPr>
              <w:t xml:space="preserve">±.056 </w:t>
            </w:r>
            <w:r>
              <w:rPr>
                <w:color w:val="373838"/>
                <w:sz w:val="24"/>
                <w:vertAlign w:val="superscript"/>
              </w:rPr>
              <w:t>a</w:t>
            </w:r>
          </w:p>
        </w:tc>
      </w:tr>
      <w:tr w:rsidR="00441C4C" w14:paraId="47291DC1" w14:textId="77777777" w:rsidTr="00607660">
        <w:trPr>
          <w:trHeight w:val="275"/>
        </w:trPr>
        <w:tc>
          <w:tcPr>
            <w:tcW w:w="1726" w:type="dxa"/>
          </w:tcPr>
          <w:p w14:paraId="143BAD2F" w14:textId="77777777" w:rsidR="00441C4C" w:rsidRDefault="00441C4C" w:rsidP="00607660">
            <w:pPr>
              <w:pStyle w:val="TableParagraph"/>
              <w:spacing w:line="256" w:lineRule="exact"/>
              <w:ind w:left="107"/>
              <w:rPr>
                <w:sz w:val="24"/>
              </w:rPr>
            </w:pPr>
            <w:r>
              <w:rPr>
                <w:sz w:val="24"/>
              </w:rPr>
              <w:t>Vortex Blue</w:t>
            </w:r>
          </w:p>
        </w:tc>
        <w:tc>
          <w:tcPr>
            <w:tcW w:w="1726" w:type="dxa"/>
          </w:tcPr>
          <w:p w14:paraId="506F9A2C" w14:textId="77777777" w:rsidR="00441C4C" w:rsidRDefault="00441C4C" w:rsidP="00607660">
            <w:pPr>
              <w:pStyle w:val="TableParagraph"/>
              <w:spacing w:line="256" w:lineRule="exact"/>
              <w:ind w:left="741"/>
              <w:rPr>
                <w:sz w:val="24"/>
              </w:rPr>
            </w:pPr>
            <w:r>
              <w:rPr>
                <w:sz w:val="24"/>
              </w:rPr>
              <w:t>20</w:t>
            </w:r>
          </w:p>
        </w:tc>
        <w:tc>
          <w:tcPr>
            <w:tcW w:w="1728" w:type="dxa"/>
          </w:tcPr>
          <w:p w14:paraId="647A695E" w14:textId="11D9B622" w:rsidR="00441C4C" w:rsidRDefault="00441C4C" w:rsidP="00607660">
            <w:pPr>
              <w:pStyle w:val="TableParagraph"/>
              <w:spacing w:line="256" w:lineRule="exact"/>
              <w:ind w:left="260" w:right="256"/>
              <w:jc w:val="center"/>
              <w:rPr>
                <w:sz w:val="24"/>
              </w:rPr>
            </w:pPr>
            <w:r>
              <w:rPr>
                <w:sz w:val="24"/>
              </w:rPr>
              <w:t xml:space="preserve">.059 </w:t>
            </w:r>
            <w:r>
              <w:rPr>
                <w:color w:val="373838"/>
                <w:sz w:val="24"/>
              </w:rPr>
              <w:t xml:space="preserve">±.069 </w:t>
            </w:r>
            <w:r>
              <w:rPr>
                <w:color w:val="373838"/>
                <w:sz w:val="24"/>
                <w:vertAlign w:val="superscript"/>
              </w:rPr>
              <w:t>a</w:t>
            </w:r>
          </w:p>
        </w:tc>
      </w:tr>
      <w:tr w:rsidR="00441C4C" w14:paraId="1DF2AA6C" w14:textId="77777777" w:rsidTr="00607660">
        <w:trPr>
          <w:trHeight w:val="277"/>
        </w:trPr>
        <w:tc>
          <w:tcPr>
            <w:tcW w:w="1726" w:type="dxa"/>
          </w:tcPr>
          <w:p w14:paraId="0F675074" w14:textId="77777777" w:rsidR="00441C4C" w:rsidRDefault="00441C4C" w:rsidP="00607660">
            <w:pPr>
              <w:pStyle w:val="TableParagraph"/>
              <w:spacing w:line="258" w:lineRule="exact"/>
              <w:ind w:left="107"/>
              <w:rPr>
                <w:sz w:val="24"/>
              </w:rPr>
            </w:pPr>
            <w:r>
              <w:rPr>
                <w:sz w:val="24"/>
              </w:rPr>
              <w:t>HyFlex CM</w:t>
            </w:r>
          </w:p>
        </w:tc>
        <w:tc>
          <w:tcPr>
            <w:tcW w:w="1726" w:type="dxa"/>
          </w:tcPr>
          <w:p w14:paraId="098635BB" w14:textId="77777777" w:rsidR="00441C4C" w:rsidRDefault="00441C4C" w:rsidP="00607660">
            <w:pPr>
              <w:pStyle w:val="TableParagraph"/>
              <w:spacing w:line="258" w:lineRule="exact"/>
              <w:ind w:left="741"/>
              <w:rPr>
                <w:sz w:val="24"/>
              </w:rPr>
            </w:pPr>
            <w:r>
              <w:rPr>
                <w:sz w:val="24"/>
              </w:rPr>
              <w:t>20</w:t>
            </w:r>
          </w:p>
        </w:tc>
        <w:tc>
          <w:tcPr>
            <w:tcW w:w="1728" w:type="dxa"/>
          </w:tcPr>
          <w:p w14:paraId="7CC7F443" w14:textId="504FE7E0" w:rsidR="00441C4C" w:rsidRDefault="00441C4C" w:rsidP="00607660">
            <w:pPr>
              <w:pStyle w:val="TableParagraph"/>
              <w:spacing w:line="258" w:lineRule="exact"/>
              <w:ind w:left="260" w:right="256"/>
              <w:jc w:val="center"/>
              <w:rPr>
                <w:sz w:val="24"/>
              </w:rPr>
            </w:pPr>
            <w:r>
              <w:rPr>
                <w:sz w:val="24"/>
              </w:rPr>
              <w:t xml:space="preserve">.020 </w:t>
            </w:r>
            <w:r>
              <w:rPr>
                <w:color w:val="373838"/>
                <w:sz w:val="24"/>
              </w:rPr>
              <w:t xml:space="preserve">±.120 </w:t>
            </w:r>
            <w:r>
              <w:rPr>
                <w:color w:val="373838"/>
                <w:sz w:val="24"/>
                <w:vertAlign w:val="superscript"/>
              </w:rPr>
              <w:t>a</w:t>
            </w:r>
          </w:p>
        </w:tc>
      </w:tr>
    </w:tbl>
    <w:p w14:paraId="616E54A5" w14:textId="77777777" w:rsidR="00441C4C" w:rsidRDefault="00441C4C" w:rsidP="00A672EF">
      <w:pPr>
        <w:jc w:val="both"/>
      </w:pPr>
    </w:p>
    <w:p w14:paraId="6F9C17C1" w14:textId="77777777" w:rsidR="001933A2" w:rsidRDefault="001933A2" w:rsidP="00A672EF">
      <w:pPr>
        <w:jc w:val="both"/>
      </w:pPr>
    </w:p>
    <w:p w14:paraId="3597D1A1" w14:textId="77777777" w:rsidR="001933A2" w:rsidRDefault="001933A2" w:rsidP="00A672EF">
      <w:pPr>
        <w:jc w:val="both"/>
      </w:pPr>
    </w:p>
    <w:p w14:paraId="0DE4EA87" w14:textId="77777777" w:rsidR="001933A2" w:rsidRDefault="001933A2" w:rsidP="00A672EF">
      <w:pPr>
        <w:jc w:val="both"/>
      </w:pPr>
    </w:p>
    <w:p w14:paraId="2998AC8C" w14:textId="77777777" w:rsidR="001933A2" w:rsidRDefault="001933A2" w:rsidP="00A672EF">
      <w:pPr>
        <w:jc w:val="both"/>
      </w:pPr>
    </w:p>
    <w:p w14:paraId="2B6C46C0" w14:textId="77777777" w:rsidR="001933A2" w:rsidRDefault="001933A2" w:rsidP="00A672EF">
      <w:pPr>
        <w:jc w:val="both"/>
      </w:pPr>
    </w:p>
    <w:p w14:paraId="660668A0" w14:textId="77777777" w:rsidR="001933A2" w:rsidRDefault="001933A2" w:rsidP="00A672EF">
      <w:pPr>
        <w:jc w:val="both"/>
      </w:pPr>
    </w:p>
    <w:p w14:paraId="5D9FD9CC" w14:textId="77777777" w:rsidR="001933A2" w:rsidRDefault="001933A2" w:rsidP="00A672EF">
      <w:pPr>
        <w:jc w:val="both"/>
      </w:pPr>
    </w:p>
    <w:p w14:paraId="5997F00D" w14:textId="77777777" w:rsidR="001933A2" w:rsidRDefault="001933A2" w:rsidP="00A672EF">
      <w:pPr>
        <w:jc w:val="both"/>
      </w:pPr>
    </w:p>
    <w:p w14:paraId="36E12B00" w14:textId="77777777" w:rsidR="001933A2" w:rsidRDefault="001933A2" w:rsidP="00A672EF">
      <w:pPr>
        <w:jc w:val="both"/>
      </w:pPr>
    </w:p>
    <w:p w14:paraId="40AB955D" w14:textId="77777777" w:rsidR="001933A2" w:rsidRDefault="001933A2" w:rsidP="00A672EF">
      <w:pPr>
        <w:jc w:val="both"/>
      </w:pPr>
    </w:p>
    <w:p w14:paraId="0A91A345" w14:textId="77777777" w:rsidR="001933A2" w:rsidRDefault="001933A2" w:rsidP="00A672EF">
      <w:pPr>
        <w:jc w:val="both"/>
      </w:pPr>
    </w:p>
    <w:p w14:paraId="57B55DD3" w14:textId="77777777" w:rsidR="001933A2" w:rsidRDefault="001933A2" w:rsidP="00A672EF">
      <w:pPr>
        <w:jc w:val="both"/>
      </w:pPr>
    </w:p>
    <w:p w14:paraId="687155AA" w14:textId="77777777" w:rsidR="00D848AC" w:rsidRDefault="00D848AC" w:rsidP="00D848AC">
      <w:pPr>
        <w:spacing w:before="89"/>
        <w:rPr>
          <w:b/>
          <w:sz w:val="28"/>
        </w:rPr>
      </w:pPr>
      <w:r>
        <w:rPr>
          <w:b/>
          <w:sz w:val="28"/>
        </w:rPr>
        <w:t>Table 4. Transportation at Various Distances along the Canal</w:t>
      </w:r>
    </w:p>
    <w:p w14:paraId="7FA53454" w14:textId="77777777" w:rsidR="00D848AC" w:rsidRDefault="00D848AC" w:rsidP="00A672EF">
      <w:pPr>
        <w:jc w:val="both"/>
      </w:pPr>
    </w:p>
    <w:p w14:paraId="3DB1C112" w14:textId="77777777" w:rsidR="00D848AC" w:rsidRDefault="00D848AC" w:rsidP="00A672EF">
      <w:pPr>
        <w:jc w:val="both"/>
      </w:pPr>
    </w:p>
    <w:tbl>
      <w:tblPr>
        <w:tblW w:w="952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613"/>
        <w:gridCol w:w="909"/>
        <w:gridCol w:w="911"/>
        <w:gridCol w:w="909"/>
        <w:gridCol w:w="911"/>
        <w:gridCol w:w="909"/>
        <w:gridCol w:w="993"/>
        <w:gridCol w:w="827"/>
        <w:gridCol w:w="819"/>
      </w:tblGrid>
      <w:tr w:rsidR="00D848AC" w14:paraId="629C7E3E" w14:textId="77777777" w:rsidTr="001C5750">
        <w:trPr>
          <w:trHeight w:val="264"/>
        </w:trPr>
        <w:tc>
          <w:tcPr>
            <w:tcW w:w="1721" w:type="dxa"/>
            <w:vMerge w:val="restart"/>
          </w:tcPr>
          <w:p w14:paraId="45475330" w14:textId="77777777" w:rsidR="00D848AC" w:rsidRDefault="00D848AC" w:rsidP="00607660">
            <w:pPr>
              <w:pStyle w:val="TableParagraph"/>
              <w:spacing w:line="273" w:lineRule="exact"/>
              <w:ind w:left="107"/>
              <w:rPr>
                <w:b/>
                <w:sz w:val="24"/>
              </w:rPr>
            </w:pPr>
            <w:r>
              <w:rPr>
                <w:b/>
                <w:sz w:val="24"/>
              </w:rPr>
              <w:t>File</w:t>
            </w:r>
          </w:p>
        </w:tc>
        <w:tc>
          <w:tcPr>
            <w:tcW w:w="7801" w:type="dxa"/>
            <w:gridSpan w:val="9"/>
          </w:tcPr>
          <w:p w14:paraId="5C4F2071" w14:textId="1A37D7C1" w:rsidR="00D848AC" w:rsidRDefault="00A74C53" w:rsidP="00A74C53">
            <w:pPr>
              <w:pStyle w:val="TableParagraph"/>
              <w:spacing w:line="256" w:lineRule="exact"/>
              <w:ind w:right="3276"/>
              <w:rPr>
                <w:b/>
                <w:sz w:val="24"/>
              </w:rPr>
            </w:pPr>
            <w:r>
              <w:rPr>
                <w:b/>
                <w:sz w:val="24"/>
              </w:rPr>
              <w:t xml:space="preserve">                                      </w:t>
            </w:r>
            <w:r w:rsidR="00D848AC">
              <w:rPr>
                <w:b/>
                <w:sz w:val="24"/>
              </w:rPr>
              <w:t>Transportation (mm)</w:t>
            </w:r>
          </w:p>
        </w:tc>
      </w:tr>
      <w:tr w:rsidR="00D848AC" w14:paraId="3E836FBA" w14:textId="77777777" w:rsidTr="001C5750">
        <w:trPr>
          <w:trHeight w:val="264"/>
        </w:trPr>
        <w:tc>
          <w:tcPr>
            <w:tcW w:w="1721" w:type="dxa"/>
            <w:vMerge/>
            <w:tcBorders>
              <w:top w:val="nil"/>
            </w:tcBorders>
          </w:tcPr>
          <w:p w14:paraId="28A3FFA5" w14:textId="77777777" w:rsidR="00D848AC" w:rsidRDefault="00D848AC" w:rsidP="00607660">
            <w:pPr>
              <w:rPr>
                <w:sz w:val="2"/>
                <w:szCs w:val="2"/>
              </w:rPr>
            </w:pPr>
          </w:p>
        </w:tc>
        <w:tc>
          <w:tcPr>
            <w:tcW w:w="613" w:type="dxa"/>
          </w:tcPr>
          <w:p w14:paraId="36931EBB" w14:textId="77777777" w:rsidR="00D848AC" w:rsidRDefault="00D848AC" w:rsidP="00607660">
            <w:pPr>
              <w:pStyle w:val="TableParagraph"/>
              <w:spacing w:line="256" w:lineRule="exact"/>
              <w:ind w:left="247"/>
              <w:rPr>
                <w:sz w:val="24"/>
              </w:rPr>
            </w:pPr>
            <w:r>
              <w:rPr>
                <w:sz w:val="24"/>
              </w:rPr>
              <w:t>0 mm</w:t>
            </w:r>
          </w:p>
        </w:tc>
        <w:tc>
          <w:tcPr>
            <w:tcW w:w="909" w:type="dxa"/>
          </w:tcPr>
          <w:p w14:paraId="450EB1D7" w14:textId="77777777" w:rsidR="00D848AC" w:rsidRDefault="00D848AC" w:rsidP="00607660">
            <w:pPr>
              <w:pStyle w:val="TableParagraph"/>
              <w:spacing w:line="256" w:lineRule="exact"/>
              <w:ind w:left="213"/>
              <w:rPr>
                <w:sz w:val="24"/>
              </w:rPr>
            </w:pPr>
            <w:r>
              <w:rPr>
                <w:sz w:val="24"/>
              </w:rPr>
              <w:t>1 mm</w:t>
            </w:r>
          </w:p>
        </w:tc>
        <w:tc>
          <w:tcPr>
            <w:tcW w:w="911" w:type="dxa"/>
          </w:tcPr>
          <w:p w14:paraId="5FC97100" w14:textId="77777777" w:rsidR="00D848AC" w:rsidRDefault="00D848AC" w:rsidP="00607660">
            <w:pPr>
              <w:pStyle w:val="TableParagraph"/>
              <w:spacing w:line="256" w:lineRule="exact"/>
              <w:ind w:left="215"/>
              <w:rPr>
                <w:sz w:val="24"/>
              </w:rPr>
            </w:pPr>
            <w:r>
              <w:rPr>
                <w:sz w:val="24"/>
              </w:rPr>
              <w:t>2 mm</w:t>
            </w:r>
          </w:p>
        </w:tc>
        <w:tc>
          <w:tcPr>
            <w:tcW w:w="909" w:type="dxa"/>
          </w:tcPr>
          <w:p w14:paraId="4E00FC6B" w14:textId="77777777" w:rsidR="00D848AC" w:rsidRDefault="00D848AC" w:rsidP="00607660">
            <w:pPr>
              <w:pStyle w:val="TableParagraph"/>
              <w:spacing w:line="256" w:lineRule="exact"/>
              <w:ind w:left="213"/>
              <w:rPr>
                <w:sz w:val="24"/>
              </w:rPr>
            </w:pPr>
            <w:r>
              <w:rPr>
                <w:sz w:val="24"/>
              </w:rPr>
              <w:t>3 mm</w:t>
            </w:r>
          </w:p>
        </w:tc>
        <w:tc>
          <w:tcPr>
            <w:tcW w:w="911" w:type="dxa"/>
          </w:tcPr>
          <w:p w14:paraId="16E07289" w14:textId="77777777" w:rsidR="00D848AC" w:rsidRDefault="00D848AC" w:rsidP="00607660">
            <w:pPr>
              <w:pStyle w:val="TableParagraph"/>
              <w:spacing w:line="256" w:lineRule="exact"/>
              <w:ind w:left="215"/>
              <w:rPr>
                <w:sz w:val="24"/>
              </w:rPr>
            </w:pPr>
            <w:r>
              <w:rPr>
                <w:sz w:val="24"/>
              </w:rPr>
              <w:t>4 mm</w:t>
            </w:r>
          </w:p>
        </w:tc>
        <w:tc>
          <w:tcPr>
            <w:tcW w:w="909" w:type="dxa"/>
          </w:tcPr>
          <w:p w14:paraId="3B96A732" w14:textId="77777777" w:rsidR="00D848AC" w:rsidRDefault="00D848AC" w:rsidP="00607660">
            <w:pPr>
              <w:pStyle w:val="TableParagraph"/>
              <w:spacing w:line="256" w:lineRule="exact"/>
              <w:ind w:left="213"/>
              <w:rPr>
                <w:sz w:val="24"/>
              </w:rPr>
            </w:pPr>
            <w:r>
              <w:rPr>
                <w:sz w:val="24"/>
              </w:rPr>
              <w:t>5 mm</w:t>
            </w:r>
          </w:p>
        </w:tc>
        <w:tc>
          <w:tcPr>
            <w:tcW w:w="993" w:type="dxa"/>
          </w:tcPr>
          <w:p w14:paraId="1D98F033" w14:textId="77777777" w:rsidR="00D848AC" w:rsidRDefault="00D848AC" w:rsidP="00607660">
            <w:pPr>
              <w:pStyle w:val="TableParagraph"/>
              <w:spacing w:line="256" w:lineRule="exact"/>
              <w:ind w:left="261"/>
              <w:rPr>
                <w:sz w:val="24"/>
              </w:rPr>
            </w:pPr>
            <w:r>
              <w:rPr>
                <w:sz w:val="24"/>
              </w:rPr>
              <w:t>6 mm</w:t>
            </w:r>
          </w:p>
        </w:tc>
        <w:tc>
          <w:tcPr>
            <w:tcW w:w="827" w:type="dxa"/>
          </w:tcPr>
          <w:p w14:paraId="0F438F80" w14:textId="77777777" w:rsidR="00D848AC" w:rsidRDefault="00D848AC" w:rsidP="00607660">
            <w:pPr>
              <w:pStyle w:val="TableParagraph"/>
              <w:spacing w:line="256" w:lineRule="exact"/>
              <w:ind w:left="172"/>
              <w:rPr>
                <w:sz w:val="24"/>
              </w:rPr>
            </w:pPr>
            <w:r>
              <w:rPr>
                <w:sz w:val="24"/>
              </w:rPr>
              <w:t>7 mm</w:t>
            </w:r>
          </w:p>
        </w:tc>
        <w:tc>
          <w:tcPr>
            <w:tcW w:w="819" w:type="dxa"/>
          </w:tcPr>
          <w:p w14:paraId="2DE4D31B" w14:textId="77777777" w:rsidR="00D848AC" w:rsidRDefault="00D848AC" w:rsidP="00607660">
            <w:pPr>
              <w:pStyle w:val="TableParagraph"/>
              <w:spacing w:line="256" w:lineRule="exact"/>
              <w:ind w:left="162"/>
              <w:rPr>
                <w:sz w:val="24"/>
              </w:rPr>
            </w:pPr>
            <w:r>
              <w:rPr>
                <w:sz w:val="24"/>
              </w:rPr>
              <w:t>8 mm</w:t>
            </w:r>
          </w:p>
        </w:tc>
      </w:tr>
      <w:tr w:rsidR="00D848AC" w14:paraId="2AC7A1D2" w14:textId="77777777" w:rsidTr="001C5750">
        <w:trPr>
          <w:trHeight w:val="1083"/>
        </w:trPr>
        <w:tc>
          <w:tcPr>
            <w:tcW w:w="1721" w:type="dxa"/>
          </w:tcPr>
          <w:p w14:paraId="5361FFE5" w14:textId="197BAA96" w:rsidR="00D848AC" w:rsidRPr="001C5750" w:rsidRDefault="001C5750" w:rsidP="00607660">
            <w:pPr>
              <w:pStyle w:val="TableParagraph"/>
              <w:ind w:left="107" w:right="451"/>
              <w:rPr>
                <w:b/>
                <w:bCs/>
                <w:sz w:val="24"/>
              </w:rPr>
            </w:pPr>
            <w:r w:rsidRPr="001C5750">
              <w:rPr>
                <w:b/>
                <w:bCs/>
                <w:sz w:val="24"/>
              </w:rPr>
              <w:t>Pro</w:t>
            </w:r>
            <w:r>
              <w:rPr>
                <w:b/>
                <w:bCs/>
                <w:sz w:val="24"/>
              </w:rPr>
              <w:t xml:space="preserve"> </w:t>
            </w:r>
            <w:r w:rsidRPr="001C5750">
              <w:rPr>
                <w:b/>
                <w:bCs/>
                <w:sz w:val="24"/>
              </w:rPr>
              <w:t>tapper gold</w:t>
            </w:r>
          </w:p>
        </w:tc>
        <w:tc>
          <w:tcPr>
            <w:tcW w:w="613" w:type="dxa"/>
          </w:tcPr>
          <w:p w14:paraId="71A2DF69" w14:textId="77777777" w:rsidR="00D848AC" w:rsidRDefault="00D848AC" w:rsidP="00607660">
            <w:pPr>
              <w:pStyle w:val="TableParagraph"/>
              <w:spacing w:before="9"/>
              <w:rPr>
                <w:rFonts w:ascii="Caladea"/>
              </w:rPr>
            </w:pPr>
          </w:p>
          <w:p w14:paraId="1061BC94" w14:textId="5999782B" w:rsidR="00D848AC" w:rsidRDefault="00D848AC" w:rsidP="00607660">
            <w:pPr>
              <w:pStyle w:val="TableParagraph"/>
              <w:spacing w:before="1"/>
              <w:ind w:left="107" w:right="102"/>
              <w:jc w:val="center"/>
              <w:rPr>
                <w:sz w:val="24"/>
              </w:rPr>
            </w:pPr>
            <w:r>
              <w:rPr>
                <w:sz w:val="24"/>
              </w:rPr>
              <w:t>.5</w:t>
            </w:r>
            <w:r w:rsidR="001C5750">
              <w:rPr>
                <w:sz w:val="24"/>
              </w:rPr>
              <w:t>2</w:t>
            </w:r>
            <w:r>
              <w:rPr>
                <w:sz w:val="24"/>
              </w:rPr>
              <w:t>3</w:t>
            </w:r>
            <w:r>
              <w:rPr>
                <w:color w:val="373838"/>
                <w:sz w:val="24"/>
              </w:rPr>
              <w:t>±.5</w:t>
            </w:r>
          </w:p>
          <w:p w14:paraId="108C2FF1" w14:textId="77777777" w:rsidR="00D848AC" w:rsidRDefault="00D848AC" w:rsidP="00607660">
            <w:pPr>
              <w:pStyle w:val="TableParagraph"/>
              <w:ind w:left="106" w:right="102"/>
              <w:jc w:val="center"/>
              <w:rPr>
                <w:sz w:val="24"/>
              </w:rPr>
            </w:pPr>
            <w:r>
              <w:rPr>
                <w:color w:val="373838"/>
                <w:sz w:val="24"/>
              </w:rPr>
              <w:t xml:space="preserve">75 </w:t>
            </w:r>
            <w:r>
              <w:rPr>
                <w:color w:val="373838"/>
                <w:sz w:val="24"/>
                <w:vertAlign w:val="superscript"/>
              </w:rPr>
              <w:t>a</w:t>
            </w:r>
          </w:p>
        </w:tc>
        <w:tc>
          <w:tcPr>
            <w:tcW w:w="909" w:type="dxa"/>
          </w:tcPr>
          <w:p w14:paraId="6D17F08A" w14:textId="77777777" w:rsidR="00D848AC" w:rsidRDefault="00D848AC" w:rsidP="00607660">
            <w:pPr>
              <w:pStyle w:val="TableParagraph"/>
              <w:spacing w:before="9"/>
              <w:rPr>
                <w:rFonts w:ascii="Caladea"/>
              </w:rPr>
            </w:pPr>
          </w:p>
          <w:p w14:paraId="4A73BC9E" w14:textId="01FA4243" w:rsidR="00D848AC" w:rsidRDefault="00D848AC" w:rsidP="00607660">
            <w:pPr>
              <w:pStyle w:val="TableParagraph"/>
              <w:spacing w:before="1"/>
              <w:ind w:left="104" w:right="102"/>
              <w:jc w:val="center"/>
              <w:rPr>
                <w:sz w:val="24"/>
              </w:rPr>
            </w:pPr>
            <w:r>
              <w:rPr>
                <w:sz w:val="24"/>
              </w:rPr>
              <w:t>.6</w:t>
            </w:r>
            <w:r w:rsidR="001C5750">
              <w:rPr>
                <w:sz w:val="24"/>
              </w:rPr>
              <w:t>6</w:t>
            </w:r>
            <w:r>
              <w:rPr>
                <w:sz w:val="24"/>
              </w:rPr>
              <w:t>5</w:t>
            </w:r>
            <w:r>
              <w:rPr>
                <w:color w:val="373838"/>
                <w:sz w:val="24"/>
              </w:rPr>
              <w:t>±.0</w:t>
            </w:r>
          </w:p>
          <w:p w14:paraId="5517D52F" w14:textId="77777777" w:rsidR="00D848AC" w:rsidRDefault="00D848AC" w:rsidP="00607660">
            <w:pPr>
              <w:pStyle w:val="TableParagraph"/>
              <w:ind w:left="104" w:right="99"/>
              <w:jc w:val="center"/>
              <w:rPr>
                <w:rFonts w:ascii="Verdana"/>
                <w:sz w:val="12"/>
              </w:rPr>
            </w:pPr>
            <w:r>
              <w:rPr>
                <w:color w:val="373838"/>
                <w:sz w:val="24"/>
              </w:rPr>
              <w:t xml:space="preserve">65 </w:t>
            </w:r>
            <w:r>
              <w:rPr>
                <w:rFonts w:ascii="Verdana"/>
                <w:color w:val="373838"/>
                <w:position w:val="6"/>
                <w:sz w:val="12"/>
              </w:rPr>
              <w:t>b</w:t>
            </w:r>
          </w:p>
        </w:tc>
        <w:tc>
          <w:tcPr>
            <w:tcW w:w="911" w:type="dxa"/>
          </w:tcPr>
          <w:p w14:paraId="0E5A5979" w14:textId="77777777" w:rsidR="00D848AC" w:rsidRDefault="00D848AC" w:rsidP="00607660">
            <w:pPr>
              <w:pStyle w:val="TableParagraph"/>
              <w:spacing w:before="9"/>
              <w:rPr>
                <w:rFonts w:ascii="Caladea"/>
              </w:rPr>
            </w:pPr>
          </w:p>
          <w:p w14:paraId="3B2731ED" w14:textId="5F2DB030" w:rsidR="00D848AC" w:rsidRDefault="00D848AC" w:rsidP="00607660">
            <w:pPr>
              <w:pStyle w:val="TableParagraph"/>
              <w:spacing w:before="1"/>
              <w:ind w:left="107" w:right="102"/>
              <w:jc w:val="center"/>
              <w:rPr>
                <w:sz w:val="24"/>
              </w:rPr>
            </w:pPr>
            <w:r>
              <w:rPr>
                <w:sz w:val="24"/>
              </w:rPr>
              <w:t>.6</w:t>
            </w:r>
            <w:r w:rsidR="001C5750">
              <w:rPr>
                <w:sz w:val="24"/>
              </w:rPr>
              <w:t>4</w:t>
            </w:r>
            <w:r>
              <w:rPr>
                <w:sz w:val="24"/>
              </w:rPr>
              <w:t>3</w:t>
            </w:r>
            <w:r>
              <w:rPr>
                <w:color w:val="373838"/>
                <w:sz w:val="24"/>
              </w:rPr>
              <w:t>±.0</w:t>
            </w:r>
          </w:p>
          <w:p w14:paraId="69B32910" w14:textId="77777777" w:rsidR="00D848AC" w:rsidRDefault="00D848AC" w:rsidP="00607660">
            <w:pPr>
              <w:pStyle w:val="TableParagraph"/>
              <w:ind w:left="107" w:right="100"/>
              <w:jc w:val="center"/>
              <w:rPr>
                <w:rFonts w:ascii="Verdana"/>
                <w:sz w:val="12"/>
              </w:rPr>
            </w:pPr>
            <w:r>
              <w:rPr>
                <w:color w:val="373838"/>
                <w:sz w:val="24"/>
              </w:rPr>
              <w:t xml:space="preserve">57 </w:t>
            </w:r>
            <w:r>
              <w:rPr>
                <w:rFonts w:ascii="Verdana"/>
                <w:color w:val="373838"/>
                <w:position w:val="6"/>
                <w:sz w:val="12"/>
              </w:rPr>
              <w:t>b</w:t>
            </w:r>
          </w:p>
        </w:tc>
        <w:tc>
          <w:tcPr>
            <w:tcW w:w="909" w:type="dxa"/>
          </w:tcPr>
          <w:p w14:paraId="193B2E18" w14:textId="77777777" w:rsidR="00D848AC" w:rsidRDefault="00D848AC" w:rsidP="00607660">
            <w:pPr>
              <w:pStyle w:val="TableParagraph"/>
              <w:spacing w:before="9"/>
              <w:rPr>
                <w:rFonts w:ascii="Caladea"/>
              </w:rPr>
            </w:pPr>
          </w:p>
          <w:p w14:paraId="0E641C0C" w14:textId="31F5D746" w:rsidR="00D848AC" w:rsidRDefault="00D848AC" w:rsidP="00607660">
            <w:pPr>
              <w:pStyle w:val="TableParagraph"/>
              <w:spacing w:before="1"/>
              <w:ind w:left="104" w:right="102"/>
              <w:jc w:val="center"/>
              <w:rPr>
                <w:sz w:val="24"/>
              </w:rPr>
            </w:pPr>
            <w:r>
              <w:rPr>
                <w:sz w:val="24"/>
              </w:rPr>
              <w:t>.6</w:t>
            </w:r>
            <w:r w:rsidR="001C5750">
              <w:rPr>
                <w:sz w:val="24"/>
              </w:rPr>
              <w:t>2</w:t>
            </w:r>
            <w:r>
              <w:rPr>
                <w:sz w:val="24"/>
              </w:rPr>
              <w:t>6</w:t>
            </w:r>
            <w:r>
              <w:rPr>
                <w:color w:val="373838"/>
                <w:sz w:val="24"/>
              </w:rPr>
              <w:t>±.0</w:t>
            </w:r>
          </w:p>
          <w:p w14:paraId="3194BD38" w14:textId="77777777" w:rsidR="00D848AC" w:rsidRDefault="00D848AC" w:rsidP="00607660">
            <w:pPr>
              <w:pStyle w:val="TableParagraph"/>
              <w:ind w:left="104" w:right="99"/>
              <w:jc w:val="center"/>
              <w:rPr>
                <w:rFonts w:ascii="Verdana"/>
                <w:sz w:val="12"/>
              </w:rPr>
            </w:pPr>
            <w:r>
              <w:rPr>
                <w:color w:val="373838"/>
                <w:sz w:val="24"/>
              </w:rPr>
              <w:t xml:space="preserve">42 </w:t>
            </w:r>
            <w:r>
              <w:rPr>
                <w:rFonts w:ascii="Verdana"/>
                <w:color w:val="373838"/>
                <w:position w:val="6"/>
                <w:sz w:val="12"/>
              </w:rPr>
              <w:t>b</w:t>
            </w:r>
          </w:p>
        </w:tc>
        <w:tc>
          <w:tcPr>
            <w:tcW w:w="911" w:type="dxa"/>
          </w:tcPr>
          <w:p w14:paraId="322BE469" w14:textId="77777777" w:rsidR="00D848AC" w:rsidRDefault="00D848AC" w:rsidP="00607660">
            <w:pPr>
              <w:pStyle w:val="TableParagraph"/>
              <w:spacing w:before="9"/>
              <w:rPr>
                <w:rFonts w:ascii="Caladea"/>
              </w:rPr>
            </w:pPr>
          </w:p>
          <w:p w14:paraId="58E66C88" w14:textId="0BA96232" w:rsidR="00D848AC" w:rsidRDefault="00D848AC" w:rsidP="00607660">
            <w:pPr>
              <w:pStyle w:val="TableParagraph"/>
              <w:spacing w:before="1"/>
              <w:ind w:left="107" w:right="102"/>
              <w:jc w:val="center"/>
              <w:rPr>
                <w:sz w:val="24"/>
              </w:rPr>
            </w:pPr>
            <w:r>
              <w:rPr>
                <w:sz w:val="24"/>
              </w:rPr>
              <w:t>.</w:t>
            </w:r>
            <w:r w:rsidR="001C5750">
              <w:rPr>
                <w:sz w:val="24"/>
              </w:rPr>
              <w:t>60</w:t>
            </w:r>
            <w:r>
              <w:rPr>
                <w:sz w:val="24"/>
              </w:rPr>
              <w:t>0</w:t>
            </w:r>
            <w:r>
              <w:rPr>
                <w:color w:val="373838"/>
                <w:sz w:val="24"/>
              </w:rPr>
              <w:t>±.3</w:t>
            </w:r>
          </w:p>
          <w:p w14:paraId="1ADE75D3" w14:textId="77777777" w:rsidR="00D848AC" w:rsidRDefault="00D848AC" w:rsidP="00607660">
            <w:pPr>
              <w:pStyle w:val="TableParagraph"/>
              <w:ind w:left="107" w:right="100"/>
              <w:jc w:val="center"/>
              <w:rPr>
                <w:rFonts w:ascii="Verdana"/>
                <w:sz w:val="12"/>
              </w:rPr>
            </w:pPr>
            <w:r>
              <w:rPr>
                <w:color w:val="373838"/>
                <w:position w:val="-5"/>
                <w:sz w:val="24"/>
              </w:rPr>
              <w:t xml:space="preserve">1 </w:t>
            </w:r>
            <w:r>
              <w:rPr>
                <w:rFonts w:ascii="Verdana"/>
                <w:color w:val="373838"/>
                <w:sz w:val="12"/>
              </w:rPr>
              <w:t>b</w:t>
            </w:r>
          </w:p>
        </w:tc>
        <w:tc>
          <w:tcPr>
            <w:tcW w:w="909" w:type="dxa"/>
          </w:tcPr>
          <w:p w14:paraId="635AE004" w14:textId="77777777" w:rsidR="00D848AC" w:rsidRDefault="00D848AC" w:rsidP="00607660">
            <w:pPr>
              <w:pStyle w:val="TableParagraph"/>
              <w:spacing w:before="9"/>
              <w:rPr>
                <w:rFonts w:ascii="Caladea"/>
              </w:rPr>
            </w:pPr>
          </w:p>
          <w:p w14:paraId="3050D46B" w14:textId="3F4D6694" w:rsidR="00D848AC" w:rsidRDefault="00D848AC" w:rsidP="00607660">
            <w:pPr>
              <w:pStyle w:val="TableParagraph"/>
              <w:spacing w:before="1"/>
              <w:ind w:left="184"/>
              <w:rPr>
                <w:sz w:val="24"/>
              </w:rPr>
            </w:pPr>
            <w:r>
              <w:rPr>
                <w:sz w:val="24"/>
              </w:rPr>
              <w:t>.6</w:t>
            </w:r>
            <w:r w:rsidR="001C5750">
              <w:rPr>
                <w:sz w:val="24"/>
              </w:rPr>
              <w:t>7</w:t>
            </w:r>
            <w:r>
              <w:rPr>
                <w:sz w:val="24"/>
              </w:rPr>
              <w:t xml:space="preserve">0 </w:t>
            </w:r>
            <w:r>
              <w:rPr>
                <w:color w:val="373838"/>
                <w:sz w:val="24"/>
              </w:rPr>
              <w:t>±</w:t>
            </w:r>
          </w:p>
          <w:p w14:paraId="27F1D3FB" w14:textId="77777777" w:rsidR="00D848AC" w:rsidRDefault="00D848AC" w:rsidP="00607660">
            <w:pPr>
              <w:pStyle w:val="TableParagraph"/>
              <w:ind w:left="213"/>
              <w:rPr>
                <w:rFonts w:ascii="Verdana"/>
                <w:sz w:val="12"/>
              </w:rPr>
            </w:pPr>
            <w:r>
              <w:rPr>
                <w:color w:val="373838"/>
                <w:sz w:val="24"/>
              </w:rPr>
              <w:t xml:space="preserve">.044 </w:t>
            </w:r>
            <w:r>
              <w:rPr>
                <w:rFonts w:ascii="Verdana"/>
                <w:color w:val="373838"/>
                <w:position w:val="6"/>
                <w:sz w:val="12"/>
              </w:rPr>
              <w:t>b</w:t>
            </w:r>
          </w:p>
        </w:tc>
        <w:tc>
          <w:tcPr>
            <w:tcW w:w="993" w:type="dxa"/>
          </w:tcPr>
          <w:p w14:paraId="035E0620" w14:textId="77777777" w:rsidR="00D848AC" w:rsidRDefault="00D848AC" w:rsidP="00607660">
            <w:pPr>
              <w:pStyle w:val="TableParagraph"/>
              <w:spacing w:before="9"/>
              <w:rPr>
                <w:rFonts w:ascii="Caladea"/>
              </w:rPr>
            </w:pPr>
          </w:p>
          <w:p w14:paraId="491DA71B" w14:textId="1A4B8062" w:rsidR="00D848AC" w:rsidRDefault="00D848AC" w:rsidP="00607660">
            <w:pPr>
              <w:pStyle w:val="TableParagraph"/>
              <w:spacing w:before="1"/>
              <w:ind w:left="232"/>
              <w:rPr>
                <w:sz w:val="24"/>
              </w:rPr>
            </w:pPr>
            <w:r>
              <w:rPr>
                <w:sz w:val="24"/>
              </w:rPr>
              <w:t>.77</w:t>
            </w:r>
            <w:r w:rsidR="001C5750">
              <w:rPr>
                <w:sz w:val="24"/>
              </w:rPr>
              <w:t>0</w:t>
            </w:r>
            <w:r>
              <w:rPr>
                <w:sz w:val="24"/>
              </w:rPr>
              <w:t xml:space="preserve"> </w:t>
            </w:r>
            <w:r>
              <w:rPr>
                <w:color w:val="373838"/>
                <w:sz w:val="24"/>
              </w:rPr>
              <w:t>±</w:t>
            </w:r>
          </w:p>
          <w:p w14:paraId="11A09A77" w14:textId="77777777" w:rsidR="00D848AC" w:rsidRDefault="00D848AC" w:rsidP="00607660">
            <w:pPr>
              <w:pStyle w:val="TableParagraph"/>
              <w:ind w:left="261"/>
              <w:rPr>
                <w:rFonts w:ascii="Verdana"/>
                <w:sz w:val="12"/>
              </w:rPr>
            </w:pPr>
            <w:r>
              <w:rPr>
                <w:color w:val="373838"/>
                <w:sz w:val="24"/>
              </w:rPr>
              <w:t xml:space="preserve">.042 </w:t>
            </w:r>
            <w:r>
              <w:rPr>
                <w:rFonts w:ascii="Verdana"/>
                <w:color w:val="373838"/>
                <w:position w:val="6"/>
                <w:sz w:val="12"/>
              </w:rPr>
              <w:t>b</w:t>
            </w:r>
          </w:p>
        </w:tc>
        <w:tc>
          <w:tcPr>
            <w:tcW w:w="827" w:type="dxa"/>
          </w:tcPr>
          <w:p w14:paraId="59529109" w14:textId="77777777" w:rsidR="00D848AC" w:rsidRDefault="00D848AC" w:rsidP="00607660">
            <w:pPr>
              <w:pStyle w:val="TableParagraph"/>
              <w:spacing w:before="9"/>
              <w:rPr>
                <w:rFonts w:ascii="Caladea"/>
              </w:rPr>
            </w:pPr>
          </w:p>
          <w:p w14:paraId="4F92DCE3" w14:textId="603D9588" w:rsidR="00D848AC" w:rsidRDefault="00D848AC" w:rsidP="00607660">
            <w:pPr>
              <w:pStyle w:val="TableParagraph"/>
              <w:spacing w:before="1"/>
              <w:ind w:left="143"/>
              <w:rPr>
                <w:sz w:val="24"/>
              </w:rPr>
            </w:pPr>
            <w:r>
              <w:rPr>
                <w:sz w:val="24"/>
              </w:rPr>
              <w:t>.7</w:t>
            </w:r>
            <w:r w:rsidR="001C5750">
              <w:rPr>
                <w:sz w:val="24"/>
              </w:rPr>
              <w:t>20</w:t>
            </w:r>
            <w:r>
              <w:rPr>
                <w:sz w:val="24"/>
              </w:rPr>
              <w:t xml:space="preserve"> </w:t>
            </w:r>
            <w:r>
              <w:rPr>
                <w:color w:val="373838"/>
                <w:sz w:val="24"/>
              </w:rPr>
              <w:t>±</w:t>
            </w:r>
          </w:p>
          <w:p w14:paraId="5030C967" w14:textId="77777777" w:rsidR="00D848AC" w:rsidRDefault="00D848AC" w:rsidP="00607660">
            <w:pPr>
              <w:pStyle w:val="TableParagraph"/>
              <w:ind w:left="172"/>
              <w:rPr>
                <w:rFonts w:ascii="Verdana"/>
                <w:sz w:val="12"/>
              </w:rPr>
            </w:pPr>
            <w:r>
              <w:rPr>
                <w:color w:val="373838"/>
                <w:sz w:val="24"/>
              </w:rPr>
              <w:t xml:space="preserve">.037 </w:t>
            </w:r>
            <w:r>
              <w:rPr>
                <w:rFonts w:ascii="Verdana"/>
                <w:color w:val="373838"/>
                <w:position w:val="6"/>
                <w:sz w:val="12"/>
              </w:rPr>
              <w:t>b</w:t>
            </w:r>
          </w:p>
        </w:tc>
        <w:tc>
          <w:tcPr>
            <w:tcW w:w="819" w:type="dxa"/>
          </w:tcPr>
          <w:p w14:paraId="7AAB658E" w14:textId="77777777" w:rsidR="00D848AC" w:rsidRDefault="00D848AC" w:rsidP="00607660">
            <w:pPr>
              <w:pStyle w:val="TableParagraph"/>
              <w:spacing w:before="9"/>
              <w:rPr>
                <w:rFonts w:ascii="Caladea"/>
              </w:rPr>
            </w:pPr>
          </w:p>
          <w:p w14:paraId="1C64036E" w14:textId="416D1A0C" w:rsidR="00D848AC" w:rsidRDefault="00D848AC" w:rsidP="00607660">
            <w:pPr>
              <w:pStyle w:val="TableParagraph"/>
              <w:spacing w:before="1"/>
              <w:ind w:left="134"/>
              <w:rPr>
                <w:sz w:val="24"/>
              </w:rPr>
            </w:pPr>
            <w:r>
              <w:rPr>
                <w:sz w:val="24"/>
              </w:rPr>
              <w:t>.</w:t>
            </w:r>
            <w:r w:rsidR="001C5750">
              <w:rPr>
                <w:sz w:val="24"/>
              </w:rPr>
              <w:t>79</w:t>
            </w:r>
            <w:r>
              <w:rPr>
                <w:sz w:val="24"/>
              </w:rPr>
              <w:t xml:space="preserve">4 </w:t>
            </w:r>
            <w:r>
              <w:rPr>
                <w:color w:val="373838"/>
                <w:sz w:val="24"/>
              </w:rPr>
              <w:t>±</w:t>
            </w:r>
          </w:p>
          <w:p w14:paraId="43E45CC4" w14:textId="77777777" w:rsidR="00D848AC" w:rsidRDefault="00D848AC" w:rsidP="00607660">
            <w:pPr>
              <w:pStyle w:val="TableParagraph"/>
              <w:ind w:left="165"/>
              <w:rPr>
                <w:sz w:val="16"/>
              </w:rPr>
            </w:pPr>
            <w:r>
              <w:rPr>
                <w:color w:val="373838"/>
                <w:sz w:val="24"/>
              </w:rPr>
              <w:t xml:space="preserve">.025 </w:t>
            </w:r>
            <w:r>
              <w:rPr>
                <w:color w:val="373838"/>
                <w:sz w:val="16"/>
              </w:rPr>
              <w:t>c</w:t>
            </w:r>
          </w:p>
        </w:tc>
      </w:tr>
      <w:tr w:rsidR="00D848AC" w14:paraId="1ECB29F8" w14:textId="77777777" w:rsidTr="001C5750">
        <w:trPr>
          <w:trHeight w:val="968"/>
        </w:trPr>
        <w:tc>
          <w:tcPr>
            <w:tcW w:w="1721" w:type="dxa"/>
          </w:tcPr>
          <w:p w14:paraId="4797CE3B" w14:textId="77777777" w:rsidR="00D848AC" w:rsidRDefault="00D848AC" w:rsidP="00607660">
            <w:pPr>
              <w:pStyle w:val="TableParagraph"/>
              <w:spacing w:line="273" w:lineRule="exact"/>
              <w:ind w:left="107"/>
              <w:rPr>
                <w:b/>
                <w:sz w:val="24"/>
              </w:rPr>
            </w:pPr>
            <w:r>
              <w:rPr>
                <w:b/>
                <w:sz w:val="24"/>
              </w:rPr>
              <w:lastRenderedPageBreak/>
              <w:t>Vortex Blue</w:t>
            </w:r>
          </w:p>
        </w:tc>
        <w:tc>
          <w:tcPr>
            <w:tcW w:w="613" w:type="dxa"/>
          </w:tcPr>
          <w:p w14:paraId="25CF7837" w14:textId="77777777" w:rsidR="00D848AC" w:rsidRDefault="00D848AC" w:rsidP="00607660">
            <w:pPr>
              <w:pStyle w:val="TableParagraph"/>
              <w:spacing w:before="9"/>
              <w:rPr>
                <w:rFonts w:ascii="Caladea"/>
              </w:rPr>
            </w:pPr>
          </w:p>
          <w:p w14:paraId="23439419" w14:textId="57D665D0" w:rsidR="00D848AC" w:rsidRDefault="00D848AC" w:rsidP="00607660">
            <w:pPr>
              <w:pStyle w:val="TableParagraph"/>
              <w:spacing w:before="1"/>
              <w:ind w:left="107" w:right="102"/>
              <w:jc w:val="center"/>
              <w:rPr>
                <w:sz w:val="24"/>
              </w:rPr>
            </w:pPr>
            <w:r>
              <w:rPr>
                <w:sz w:val="24"/>
              </w:rPr>
              <w:t>.</w:t>
            </w:r>
            <w:r w:rsidR="001C5750">
              <w:rPr>
                <w:sz w:val="24"/>
              </w:rPr>
              <w:t>49</w:t>
            </w:r>
            <w:r>
              <w:rPr>
                <w:sz w:val="24"/>
              </w:rPr>
              <w:t>5</w:t>
            </w:r>
            <w:r>
              <w:rPr>
                <w:color w:val="373838"/>
                <w:sz w:val="24"/>
              </w:rPr>
              <w:t>±.1</w:t>
            </w:r>
          </w:p>
          <w:p w14:paraId="72954CCF" w14:textId="77777777" w:rsidR="00D848AC" w:rsidRDefault="00D848AC" w:rsidP="00607660">
            <w:pPr>
              <w:pStyle w:val="TableParagraph"/>
              <w:ind w:left="107" w:right="98"/>
              <w:jc w:val="center"/>
              <w:rPr>
                <w:sz w:val="24"/>
              </w:rPr>
            </w:pPr>
            <w:r>
              <w:rPr>
                <w:color w:val="373838"/>
                <w:sz w:val="24"/>
              </w:rPr>
              <w:t xml:space="preserve">21 </w:t>
            </w:r>
            <w:r>
              <w:rPr>
                <w:color w:val="373838"/>
                <w:sz w:val="24"/>
                <w:vertAlign w:val="superscript"/>
              </w:rPr>
              <w:t>a</w:t>
            </w:r>
          </w:p>
        </w:tc>
        <w:tc>
          <w:tcPr>
            <w:tcW w:w="909" w:type="dxa"/>
          </w:tcPr>
          <w:p w14:paraId="64B09736" w14:textId="77777777" w:rsidR="00D848AC" w:rsidRDefault="00D848AC" w:rsidP="00607660">
            <w:pPr>
              <w:pStyle w:val="TableParagraph"/>
              <w:spacing w:before="9"/>
              <w:rPr>
                <w:rFonts w:ascii="Caladea"/>
              </w:rPr>
            </w:pPr>
          </w:p>
          <w:p w14:paraId="65A5CFC0" w14:textId="7BB3806B" w:rsidR="00D848AC" w:rsidRDefault="00D848AC" w:rsidP="00607660">
            <w:pPr>
              <w:pStyle w:val="TableParagraph"/>
              <w:spacing w:before="1"/>
              <w:ind w:left="104" w:right="102"/>
              <w:jc w:val="center"/>
              <w:rPr>
                <w:sz w:val="24"/>
              </w:rPr>
            </w:pPr>
            <w:r>
              <w:rPr>
                <w:sz w:val="24"/>
              </w:rPr>
              <w:t>.51</w:t>
            </w:r>
            <w:r w:rsidR="001C5750">
              <w:rPr>
                <w:sz w:val="24"/>
              </w:rPr>
              <w:t>0</w:t>
            </w:r>
            <w:r>
              <w:rPr>
                <w:color w:val="373838"/>
                <w:sz w:val="24"/>
              </w:rPr>
              <w:t>±.0</w:t>
            </w:r>
          </w:p>
          <w:p w14:paraId="251FF07D" w14:textId="77777777" w:rsidR="00D848AC" w:rsidRDefault="00D848AC" w:rsidP="00607660">
            <w:pPr>
              <w:pStyle w:val="TableParagraph"/>
              <w:ind w:left="104" w:right="99"/>
              <w:jc w:val="center"/>
              <w:rPr>
                <w:rFonts w:ascii="Verdana"/>
                <w:sz w:val="12"/>
              </w:rPr>
            </w:pPr>
            <w:r>
              <w:rPr>
                <w:color w:val="373838"/>
                <w:sz w:val="24"/>
              </w:rPr>
              <w:t xml:space="preserve">67 </w:t>
            </w:r>
            <w:r>
              <w:rPr>
                <w:rFonts w:ascii="Verdana"/>
                <w:color w:val="373838"/>
                <w:position w:val="6"/>
                <w:sz w:val="12"/>
              </w:rPr>
              <w:t>b</w:t>
            </w:r>
          </w:p>
        </w:tc>
        <w:tc>
          <w:tcPr>
            <w:tcW w:w="911" w:type="dxa"/>
          </w:tcPr>
          <w:p w14:paraId="5559A8ED" w14:textId="77777777" w:rsidR="00D848AC" w:rsidRDefault="00D848AC" w:rsidP="00607660">
            <w:pPr>
              <w:pStyle w:val="TableParagraph"/>
              <w:spacing w:before="9"/>
              <w:rPr>
                <w:rFonts w:ascii="Caladea"/>
              </w:rPr>
            </w:pPr>
          </w:p>
          <w:p w14:paraId="6BB26ACE" w14:textId="6B5E38AE" w:rsidR="00D848AC" w:rsidRDefault="00D848AC" w:rsidP="00607660">
            <w:pPr>
              <w:pStyle w:val="TableParagraph"/>
              <w:spacing w:before="1"/>
              <w:ind w:left="107" w:right="102"/>
              <w:jc w:val="center"/>
              <w:rPr>
                <w:sz w:val="24"/>
              </w:rPr>
            </w:pPr>
            <w:r>
              <w:rPr>
                <w:sz w:val="24"/>
              </w:rPr>
              <w:t>.63</w:t>
            </w:r>
            <w:r w:rsidR="001C5750">
              <w:rPr>
                <w:sz w:val="24"/>
              </w:rPr>
              <w:t>0</w:t>
            </w:r>
            <w:r>
              <w:rPr>
                <w:color w:val="373838"/>
                <w:sz w:val="24"/>
              </w:rPr>
              <w:t>±.0</w:t>
            </w:r>
          </w:p>
          <w:p w14:paraId="36B85174" w14:textId="77777777" w:rsidR="00D848AC" w:rsidRDefault="00D848AC" w:rsidP="00607660">
            <w:pPr>
              <w:pStyle w:val="TableParagraph"/>
              <w:ind w:left="107" w:right="100"/>
              <w:jc w:val="center"/>
              <w:rPr>
                <w:rFonts w:ascii="Verdana"/>
                <w:sz w:val="12"/>
              </w:rPr>
            </w:pPr>
            <w:r>
              <w:rPr>
                <w:color w:val="373838"/>
                <w:sz w:val="24"/>
              </w:rPr>
              <w:t xml:space="preserve">95 </w:t>
            </w:r>
            <w:r>
              <w:rPr>
                <w:rFonts w:ascii="Verdana"/>
                <w:color w:val="373838"/>
                <w:position w:val="6"/>
                <w:sz w:val="12"/>
              </w:rPr>
              <w:t>b</w:t>
            </w:r>
          </w:p>
        </w:tc>
        <w:tc>
          <w:tcPr>
            <w:tcW w:w="909" w:type="dxa"/>
          </w:tcPr>
          <w:p w14:paraId="5819A947" w14:textId="77777777" w:rsidR="00D848AC" w:rsidRDefault="00D848AC" w:rsidP="00607660">
            <w:pPr>
              <w:pStyle w:val="TableParagraph"/>
              <w:spacing w:before="9"/>
              <w:rPr>
                <w:rFonts w:ascii="Caladea"/>
              </w:rPr>
            </w:pPr>
          </w:p>
          <w:p w14:paraId="6B7FF656" w14:textId="1F99E5D1" w:rsidR="00D848AC" w:rsidRDefault="00D848AC" w:rsidP="00607660">
            <w:pPr>
              <w:pStyle w:val="TableParagraph"/>
              <w:spacing w:before="1"/>
              <w:ind w:left="104" w:right="102"/>
              <w:jc w:val="center"/>
              <w:rPr>
                <w:sz w:val="24"/>
              </w:rPr>
            </w:pPr>
            <w:r>
              <w:rPr>
                <w:sz w:val="24"/>
              </w:rPr>
              <w:t>.6</w:t>
            </w:r>
            <w:r w:rsidR="001C5750">
              <w:rPr>
                <w:sz w:val="24"/>
              </w:rPr>
              <w:t>00</w:t>
            </w:r>
            <w:r>
              <w:rPr>
                <w:color w:val="373838"/>
                <w:sz w:val="24"/>
              </w:rPr>
              <w:t>±.0</w:t>
            </w:r>
          </w:p>
          <w:p w14:paraId="271A3083" w14:textId="77777777" w:rsidR="00D848AC" w:rsidRDefault="00D848AC" w:rsidP="00607660">
            <w:pPr>
              <w:pStyle w:val="TableParagraph"/>
              <w:ind w:left="104" w:right="99"/>
              <w:jc w:val="center"/>
              <w:rPr>
                <w:rFonts w:ascii="Verdana"/>
                <w:sz w:val="12"/>
              </w:rPr>
            </w:pPr>
            <w:r>
              <w:rPr>
                <w:color w:val="373838"/>
                <w:sz w:val="24"/>
              </w:rPr>
              <w:t xml:space="preserve">64 </w:t>
            </w:r>
            <w:r>
              <w:rPr>
                <w:rFonts w:ascii="Verdana"/>
                <w:color w:val="373838"/>
                <w:position w:val="6"/>
                <w:sz w:val="12"/>
              </w:rPr>
              <w:t>b</w:t>
            </w:r>
          </w:p>
        </w:tc>
        <w:tc>
          <w:tcPr>
            <w:tcW w:w="911" w:type="dxa"/>
          </w:tcPr>
          <w:p w14:paraId="32C3E164" w14:textId="77777777" w:rsidR="00D848AC" w:rsidRDefault="00D848AC" w:rsidP="00607660">
            <w:pPr>
              <w:pStyle w:val="TableParagraph"/>
              <w:spacing w:before="9"/>
              <w:rPr>
                <w:rFonts w:ascii="Caladea"/>
              </w:rPr>
            </w:pPr>
          </w:p>
          <w:p w14:paraId="1FAA7DF7" w14:textId="509A8717" w:rsidR="00D848AC" w:rsidRDefault="00D848AC" w:rsidP="00607660">
            <w:pPr>
              <w:pStyle w:val="TableParagraph"/>
              <w:spacing w:before="1"/>
              <w:ind w:left="187"/>
              <w:rPr>
                <w:sz w:val="24"/>
              </w:rPr>
            </w:pPr>
            <w:r>
              <w:rPr>
                <w:sz w:val="24"/>
              </w:rPr>
              <w:t>.61</w:t>
            </w:r>
            <w:r w:rsidR="001C5750">
              <w:rPr>
                <w:sz w:val="24"/>
              </w:rPr>
              <w:t>5</w:t>
            </w:r>
            <w:r>
              <w:rPr>
                <w:sz w:val="24"/>
              </w:rPr>
              <w:t xml:space="preserve"> </w:t>
            </w:r>
            <w:r>
              <w:rPr>
                <w:color w:val="373838"/>
                <w:sz w:val="24"/>
              </w:rPr>
              <w:t>±</w:t>
            </w:r>
          </w:p>
          <w:p w14:paraId="6AAF2EE4" w14:textId="77777777" w:rsidR="00D848AC" w:rsidRDefault="00D848AC" w:rsidP="00607660">
            <w:pPr>
              <w:pStyle w:val="TableParagraph"/>
              <w:ind w:left="215"/>
              <w:rPr>
                <w:rFonts w:ascii="Verdana"/>
                <w:sz w:val="12"/>
              </w:rPr>
            </w:pPr>
            <w:r>
              <w:rPr>
                <w:color w:val="373838"/>
                <w:sz w:val="24"/>
              </w:rPr>
              <w:t xml:space="preserve">0.42 </w:t>
            </w:r>
            <w:r>
              <w:rPr>
                <w:rFonts w:ascii="Verdana"/>
                <w:color w:val="373838"/>
                <w:position w:val="6"/>
                <w:sz w:val="12"/>
              </w:rPr>
              <w:t>b</w:t>
            </w:r>
          </w:p>
        </w:tc>
        <w:tc>
          <w:tcPr>
            <w:tcW w:w="909" w:type="dxa"/>
          </w:tcPr>
          <w:p w14:paraId="5DA6C994" w14:textId="77777777" w:rsidR="00D848AC" w:rsidRDefault="00D848AC" w:rsidP="00607660">
            <w:pPr>
              <w:pStyle w:val="TableParagraph"/>
              <w:spacing w:before="9"/>
              <w:rPr>
                <w:rFonts w:ascii="Caladea"/>
              </w:rPr>
            </w:pPr>
          </w:p>
          <w:p w14:paraId="62900A0E" w14:textId="76044B47" w:rsidR="00D848AC" w:rsidRDefault="00D848AC" w:rsidP="00607660">
            <w:pPr>
              <w:pStyle w:val="TableParagraph"/>
              <w:spacing w:before="1"/>
              <w:ind w:left="184"/>
              <w:rPr>
                <w:sz w:val="24"/>
              </w:rPr>
            </w:pPr>
            <w:r>
              <w:rPr>
                <w:sz w:val="24"/>
              </w:rPr>
              <w:t>.69</w:t>
            </w:r>
            <w:r w:rsidR="001C5750">
              <w:rPr>
                <w:sz w:val="24"/>
              </w:rPr>
              <w:t>0</w:t>
            </w:r>
            <w:r>
              <w:rPr>
                <w:sz w:val="24"/>
              </w:rPr>
              <w:t xml:space="preserve"> </w:t>
            </w:r>
            <w:r>
              <w:rPr>
                <w:color w:val="373838"/>
                <w:sz w:val="24"/>
              </w:rPr>
              <w:t>±</w:t>
            </w:r>
          </w:p>
          <w:p w14:paraId="4ADEAC61" w14:textId="77777777" w:rsidR="00D848AC" w:rsidRDefault="00D848AC" w:rsidP="00607660">
            <w:pPr>
              <w:pStyle w:val="TableParagraph"/>
              <w:ind w:left="213"/>
              <w:rPr>
                <w:rFonts w:ascii="Verdana"/>
                <w:sz w:val="12"/>
              </w:rPr>
            </w:pPr>
            <w:r>
              <w:rPr>
                <w:color w:val="373838"/>
                <w:sz w:val="24"/>
              </w:rPr>
              <w:t xml:space="preserve">0.56 </w:t>
            </w:r>
            <w:r>
              <w:rPr>
                <w:rFonts w:ascii="Verdana"/>
                <w:color w:val="373838"/>
                <w:position w:val="6"/>
                <w:sz w:val="12"/>
              </w:rPr>
              <w:t>b</w:t>
            </w:r>
          </w:p>
        </w:tc>
        <w:tc>
          <w:tcPr>
            <w:tcW w:w="993" w:type="dxa"/>
          </w:tcPr>
          <w:p w14:paraId="5B87D14A" w14:textId="77777777" w:rsidR="00D848AC" w:rsidRDefault="00D848AC" w:rsidP="00607660">
            <w:pPr>
              <w:pStyle w:val="TableParagraph"/>
              <w:spacing w:before="9"/>
              <w:rPr>
                <w:rFonts w:ascii="Caladea"/>
              </w:rPr>
            </w:pPr>
          </w:p>
          <w:p w14:paraId="0474EBBD" w14:textId="5EE8955B" w:rsidR="00D848AC" w:rsidRDefault="00D848AC" w:rsidP="00607660">
            <w:pPr>
              <w:pStyle w:val="TableParagraph"/>
              <w:spacing w:before="1"/>
              <w:ind w:left="232"/>
              <w:rPr>
                <w:sz w:val="24"/>
              </w:rPr>
            </w:pPr>
            <w:r>
              <w:rPr>
                <w:sz w:val="24"/>
              </w:rPr>
              <w:t>.7</w:t>
            </w:r>
            <w:r w:rsidR="001C5750">
              <w:rPr>
                <w:sz w:val="24"/>
              </w:rPr>
              <w:t>30</w:t>
            </w:r>
            <w:r>
              <w:rPr>
                <w:sz w:val="24"/>
              </w:rPr>
              <w:t xml:space="preserve"> </w:t>
            </w:r>
            <w:r>
              <w:rPr>
                <w:color w:val="373838"/>
                <w:sz w:val="24"/>
              </w:rPr>
              <w:t>±</w:t>
            </w:r>
          </w:p>
          <w:p w14:paraId="14845BB3" w14:textId="77777777" w:rsidR="00D848AC" w:rsidRDefault="00D848AC" w:rsidP="00607660">
            <w:pPr>
              <w:pStyle w:val="TableParagraph"/>
              <w:ind w:left="261"/>
              <w:rPr>
                <w:rFonts w:ascii="Verdana"/>
                <w:sz w:val="12"/>
              </w:rPr>
            </w:pPr>
            <w:r>
              <w:rPr>
                <w:color w:val="373838"/>
                <w:sz w:val="24"/>
              </w:rPr>
              <w:t xml:space="preserve">0.57 </w:t>
            </w:r>
            <w:r>
              <w:rPr>
                <w:rFonts w:ascii="Verdana"/>
                <w:color w:val="373838"/>
                <w:position w:val="6"/>
                <w:sz w:val="12"/>
              </w:rPr>
              <w:t>b</w:t>
            </w:r>
          </w:p>
        </w:tc>
        <w:tc>
          <w:tcPr>
            <w:tcW w:w="827" w:type="dxa"/>
          </w:tcPr>
          <w:p w14:paraId="34BE91AF" w14:textId="77777777" w:rsidR="00D848AC" w:rsidRDefault="00D848AC" w:rsidP="00607660">
            <w:pPr>
              <w:pStyle w:val="TableParagraph"/>
              <w:spacing w:before="9"/>
              <w:rPr>
                <w:rFonts w:ascii="Caladea"/>
              </w:rPr>
            </w:pPr>
          </w:p>
          <w:p w14:paraId="0DE7AE22" w14:textId="2E113C3F" w:rsidR="00D848AC" w:rsidRDefault="00D848AC" w:rsidP="00607660">
            <w:pPr>
              <w:pStyle w:val="TableParagraph"/>
              <w:spacing w:before="1"/>
              <w:ind w:left="143"/>
              <w:rPr>
                <w:sz w:val="24"/>
              </w:rPr>
            </w:pPr>
            <w:r>
              <w:rPr>
                <w:sz w:val="24"/>
              </w:rPr>
              <w:t>.7</w:t>
            </w:r>
            <w:r w:rsidR="001C5750">
              <w:rPr>
                <w:sz w:val="24"/>
              </w:rPr>
              <w:t>5</w:t>
            </w:r>
            <w:r>
              <w:rPr>
                <w:sz w:val="24"/>
              </w:rPr>
              <w:t xml:space="preserve">0 </w:t>
            </w:r>
            <w:r>
              <w:rPr>
                <w:color w:val="373838"/>
                <w:sz w:val="24"/>
              </w:rPr>
              <w:t>±</w:t>
            </w:r>
          </w:p>
          <w:p w14:paraId="0C1013BD" w14:textId="77777777" w:rsidR="00D848AC" w:rsidRDefault="00D848AC" w:rsidP="00607660">
            <w:pPr>
              <w:pStyle w:val="TableParagraph"/>
              <w:ind w:left="172"/>
              <w:rPr>
                <w:rFonts w:ascii="Verdana"/>
                <w:sz w:val="12"/>
              </w:rPr>
            </w:pPr>
            <w:r>
              <w:rPr>
                <w:color w:val="373838"/>
                <w:sz w:val="24"/>
              </w:rPr>
              <w:t xml:space="preserve">.042 </w:t>
            </w:r>
            <w:r>
              <w:rPr>
                <w:rFonts w:ascii="Verdana"/>
                <w:color w:val="373838"/>
                <w:position w:val="6"/>
                <w:sz w:val="12"/>
              </w:rPr>
              <w:t>b</w:t>
            </w:r>
          </w:p>
        </w:tc>
        <w:tc>
          <w:tcPr>
            <w:tcW w:w="819" w:type="dxa"/>
          </w:tcPr>
          <w:p w14:paraId="5FD1F4C7" w14:textId="77777777" w:rsidR="00D848AC" w:rsidRDefault="00D848AC" w:rsidP="00607660">
            <w:pPr>
              <w:pStyle w:val="TableParagraph"/>
              <w:spacing w:before="9"/>
              <w:rPr>
                <w:rFonts w:ascii="Caladea"/>
              </w:rPr>
            </w:pPr>
          </w:p>
          <w:p w14:paraId="14A85C33" w14:textId="6403420B" w:rsidR="00D848AC" w:rsidRDefault="00D848AC" w:rsidP="00607660">
            <w:pPr>
              <w:pStyle w:val="TableParagraph"/>
              <w:spacing w:before="1"/>
              <w:ind w:left="134"/>
              <w:rPr>
                <w:sz w:val="24"/>
              </w:rPr>
            </w:pPr>
            <w:r>
              <w:rPr>
                <w:sz w:val="24"/>
              </w:rPr>
              <w:t>.7</w:t>
            </w:r>
            <w:r w:rsidR="001C5750">
              <w:rPr>
                <w:sz w:val="24"/>
              </w:rPr>
              <w:t>30</w:t>
            </w:r>
            <w:r>
              <w:rPr>
                <w:sz w:val="24"/>
              </w:rPr>
              <w:t xml:space="preserve"> </w:t>
            </w:r>
            <w:r>
              <w:rPr>
                <w:color w:val="373838"/>
                <w:sz w:val="24"/>
              </w:rPr>
              <w:t>±</w:t>
            </w:r>
          </w:p>
          <w:p w14:paraId="19E5C534" w14:textId="77777777" w:rsidR="00D848AC" w:rsidRDefault="00D848AC" w:rsidP="00607660">
            <w:pPr>
              <w:pStyle w:val="TableParagraph"/>
              <w:ind w:left="163"/>
              <w:rPr>
                <w:rFonts w:ascii="Verdana"/>
                <w:sz w:val="12"/>
              </w:rPr>
            </w:pPr>
            <w:r>
              <w:rPr>
                <w:color w:val="373838"/>
                <w:sz w:val="24"/>
              </w:rPr>
              <w:t xml:space="preserve">.028 </w:t>
            </w:r>
            <w:r>
              <w:rPr>
                <w:rFonts w:ascii="Verdana"/>
                <w:color w:val="373838"/>
                <w:position w:val="6"/>
                <w:sz w:val="12"/>
              </w:rPr>
              <w:t>b</w:t>
            </w:r>
          </w:p>
        </w:tc>
      </w:tr>
      <w:tr w:rsidR="00D848AC" w14:paraId="78F12BCA" w14:textId="77777777" w:rsidTr="001C5750">
        <w:trPr>
          <w:trHeight w:val="1126"/>
        </w:trPr>
        <w:tc>
          <w:tcPr>
            <w:tcW w:w="1721" w:type="dxa"/>
          </w:tcPr>
          <w:p w14:paraId="7315CCE8" w14:textId="77777777" w:rsidR="00D848AC" w:rsidRDefault="00D848AC" w:rsidP="00607660">
            <w:pPr>
              <w:pStyle w:val="TableParagraph"/>
              <w:spacing w:line="275" w:lineRule="exact"/>
              <w:ind w:left="107"/>
              <w:rPr>
                <w:b/>
                <w:sz w:val="24"/>
              </w:rPr>
            </w:pPr>
            <w:r>
              <w:rPr>
                <w:b/>
                <w:sz w:val="24"/>
              </w:rPr>
              <w:t>HyFlex CM</w:t>
            </w:r>
          </w:p>
        </w:tc>
        <w:tc>
          <w:tcPr>
            <w:tcW w:w="613" w:type="dxa"/>
          </w:tcPr>
          <w:p w14:paraId="2662DADE" w14:textId="77777777" w:rsidR="00D848AC" w:rsidRDefault="00D848AC" w:rsidP="00607660">
            <w:pPr>
              <w:pStyle w:val="TableParagraph"/>
              <w:rPr>
                <w:rFonts w:ascii="Caladea"/>
                <w:sz w:val="23"/>
              </w:rPr>
            </w:pPr>
          </w:p>
          <w:p w14:paraId="3973306B" w14:textId="55525CAD" w:rsidR="00D848AC" w:rsidRDefault="00D848AC" w:rsidP="00607660">
            <w:pPr>
              <w:pStyle w:val="TableParagraph"/>
              <w:ind w:left="107" w:right="102"/>
              <w:jc w:val="center"/>
              <w:rPr>
                <w:sz w:val="24"/>
              </w:rPr>
            </w:pPr>
            <w:r>
              <w:rPr>
                <w:sz w:val="24"/>
              </w:rPr>
              <w:t>.4</w:t>
            </w:r>
            <w:r w:rsidR="001C5750">
              <w:rPr>
                <w:sz w:val="24"/>
              </w:rPr>
              <w:t>26</w:t>
            </w:r>
            <w:r>
              <w:rPr>
                <w:color w:val="373838"/>
                <w:sz w:val="24"/>
              </w:rPr>
              <w:t>±.1</w:t>
            </w:r>
          </w:p>
          <w:p w14:paraId="13155470" w14:textId="77777777" w:rsidR="00D848AC" w:rsidRDefault="00D848AC" w:rsidP="00607660">
            <w:pPr>
              <w:pStyle w:val="TableParagraph"/>
              <w:ind w:left="106" w:right="102"/>
              <w:jc w:val="center"/>
              <w:rPr>
                <w:sz w:val="24"/>
              </w:rPr>
            </w:pPr>
            <w:r>
              <w:rPr>
                <w:color w:val="373838"/>
                <w:sz w:val="24"/>
              </w:rPr>
              <w:t xml:space="preserve">19 </w:t>
            </w:r>
            <w:r>
              <w:rPr>
                <w:color w:val="373838"/>
                <w:sz w:val="24"/>
                <w:vertAlign w:val="superscript"/>
              </w:rPr>
              <w:t>a</w:t>
            </w:r>
          </w:p>
        </w:tc>
        <w:tc>
          <w:tcPr>
            <w:tcW w:w="909" w:type="dxa"/>
          </w:tcPr>
          <w:p w14:paraId="3454FED1" w14:textId="77777777" w:rsidR="00D848AC" w:rsidRDefault="00D848AC" w:rsidP="00607660">
            <w:pPr>
              <w:pStyle w:val="TableParagraph"/>
              <w:rPr>
                <w:rFonts w:ascii="Caladea"/>
                <w:sz w:val="23"/>
              </w:rPr>
            </w:pPr>
          </w:p>
          <w:p w14:paraId="3BC05F42" w14:textId="2977827B" w:rsidR="00D848AC" w:rsidRDefault="00D848AC" w:rsidP="00607660">
            <w:pPr>
              <w:pStyle w:val="TableParagraph"/>
              <w:ind w:left="104" w:right="102"/>
              <w:jc w:val="center"/>
              <w:rPr>
                <w:sz w:val="24"/>
              </w:rPr>
            </w:pPr>
            <w:r>
              <w:rPr>
                <w:sz w:val="24"/>
              </w:rPr>
              <w:t>.4</w:t>
            </w:r>
            <w:r w:rsidR="001C5750">
              <w:rPr>
                <w:sz w:val="24"/>
              </w:rPr>
              <w:t>44</w:t>
            </w:r>
            <w:r>
              <w:rPr>
                <w:color w:val="373838"/>
                <w:sz w:val="24"/>
              </w:rPr>
              <w:t>±.0</w:t>
            </w:r>
          </w:p>
          <w:p w14:paraId="5E133DD1" w14:textId="77777777" w:rsidR="00D848AC" w:rsidRDefault="00D848AC" w:rsidP="00607660">
            <w:pPr>
              <w:pStyle w:val="TableParagraph"/>
              <w:ind w:left="103" w:right="102"/>
              <w:jc w:val="center"/>
              <w:rPr>
                <w:sz w:val="24"/>
              </w:rPr>
            </w:pPr>
            <w:r>
              <w:rPr>
                <w:color w:val="373838"/>
                <w:sz w:val="24"/>
              </w:rPr>
              <w:t xml:space="preserve">84 </w:t>
            </w:r>
            <w:r>
              <w:rPr>
                <w:color w:val="373838"/>
                <w:sz w:val="24"/>
                <w:vertAlign w:val="superscript"/>
              </w:rPr>
              <w:t>a</w:t>
            </w:r>
          </w:p>
        </w:tc>
        <w:tc>
          <w:tcPr>
            <w:tcW w:w="911" w:type="dxa"/>
          </w:tcPr>
          <w:p w14:paraId="233768C6" w14:textId="77777777" w:rsidR="00D848AC" w:rsidRDefault="00D848AC" w:rsidP="00607660">
            <w:pPr>
              <w:pStyle w:val="TableParagraph"/>
              <w:rPr>
                <w:rFonts w:ascii="Caladea"/>
                <w:sz w:val="23"/>
              </w:rPr>
            </w:pPr>
          </w:p>
          <w:p w14:paraId="1FBB3259" w14:textId="5198EDAE" w:rsidR="00D848AC" w:rsidRDefault="00D848AC" w:rsidP="00607660">
            <w:pPr>
              <w:pStyle w:val="TableParagraph"/>
              <w:ind w:left="107" w:right="102"/>
              <w:jc w:val="center"/>
              <w:rPr>
                <w:sz w:val="24"/>
              </w:rPr>
            </w:pPr>
            <w:r>
              <w:rPr>
                <w:sz w:val="24"/>
              </w:rPr>
              <w:t>.5</w:t>
            </w:r>
            <w:r w:rsidR="001C5750">
              <w:rPr>
                <w:sz w:val="24"/>
              </w:rPr>
              <w:t>34</w:t>
            </w:r>
            <w:r>
              <w:rPr>
                <w:color w:val="373838"/>
                <w:sz w:val="24"/>
              </w:rPr>
              <w:t>±.1</w:t>
            </w:r>
          </w:p>
          <w:p w14:paraId="6B873F92" w14:textId="77777777" w:rsidR="00D848AC" w:rsidRDefault="00D848AC" w:rsidP="00607660">
            <w:pPr>
              <w:pStyle w:val="TableParagraph"/>
              <w:ind w:left="106" w:right="102"/>
              <w:jc w:val="center"/>
              <w:rPr>
                <w:sz w:val="24"/>
              </w:rPr>
            </w:pPr>
            <w:r>
              <w:rPr>
                <w:color w:val="373838"/>
                <w:sz w:val="24"/>
              </w:rPr>
              <w:t xml:space="preserve">03 </w:t>
            </w:r>
            <w:r>
              <w:rPr>
                <w:color w:val="373838"/>
                <w:sz w:val="24"/>
                <w:vertAlign w:val="superscript"/>
              </w:rPr>
              <w:t>a</w:t>
            </w:r>
          </w:p>
        </w:tc>
        <w:tc>
          <w:tcPr>
            <w:tcW w:w="909" w:type="dxa"/>
          </w:tcPr>
          <w:p w14:paraId="3E9EA991" w14:textId="77777777" w:rsidR="00D848AC" w:rsidRDefault="00D848AC" w:rsidP="00607660">
            <w:pPr>
              <w:pStyle w:val="TableParagraph"/>
              <w:rPr>
                <w:rFonts w:ascii="Caladea"/>
                <w:sz w:val="23"/>
              </w:rPr>
            </w:pPr>
          </w:p>
          <w:p w14:paraId="67DBFE4F" w14:textId="2CDF9B4F" w:rsidR="00D848AC" w:rsidRDefault="00D848AC" w:rsidP="00607660">
            <w:pPr>
              <w:pStyle w:val="TableParagraph"/>
              <w:spacing w:line="268" w:lineRule="exact"/>
              <w:ind w:left="184"/>
              <w:rPr>
                <w:sz w:val="24"/>
              </w:rPr>
            </w:pPr>
            <w:r>
              <w:rPr>
                <w:sz w:val="24"/>
              </w:rPr>
              <w:t>.5</w:t>
            </w:r>
            <w:r w:rsidR="001C5750">
              <w:rPr>
                <w:sz w:val="24"/>
              </w:rPr>
              <w:t>4</w:t>
            </w:r>
            <w:r>
              <w:rPr>
                <w:sz w:val="24"/>
              </w:rPr>
              <w:t xml:space="preserve">4 </w:t>
            </w:r>
            <w:r>
              <w:rPr>
                <w:color w:val="373838"/>
                <w:sz w:val="24"/>
              </w:rPr>
              <w:t>±</w:t>
            </w:r>
          </w:p>
          <w:p w14:paraId="7DB80658" w14:textId="77777777" w:rsidR="00D848AC" w:rsidRDefault="00D848AC" w:rsidP="00607660">
            <w:pPr>
              <w:pStyle w:val="TableParagraph"/>
              <w:spacing w:line="284" w:lineRule="exact"/>
              <w:ind w:left="216"/>
              <w:rPr>
                <w:sz w:val="16"/>
              </w:rPr>
            </w:pPr>
            <w:r>
              <w:rPr>
                <w:color w:val="373838"/>
                <w:sz w:val="24"/>
              </w:rPr>
              <w:t xml:space="preserve">0.45 </w:t>
            </w:r>
            <w:r>
              <w:rPr>
                <w:color w:val="373838"/>
                <w:position w:val="9"/>
                <w:sz w:val="16"/>
              </w:rPr>
              <w:t>a</w:t>
            </w:r>
          </w:p>
        </w:tc>
        <w:tc>
          <w:tcPr>
            <w:tcW w:w="911" w:type="dxa"/>
          </w:tcPr>
          <w:p w14:paraId="17D86285" w14:textId="77777777" w:rsidR="00D848AC" w:rsidRDefault="00D848AC" w:rsidP="00607660">
            <w:pPr>
              <w:pStyle w:val="TableParagraph"/>
              <w:rPr>
                <w:rFonts w:ascii="Caladea"/>
                <w:sz w:val="23"/>
              </w:rPr>
            </w:pPr>
          </w:p>
          <w:p w14:paraId="6348483A" w14:textId="57C05744" w:rsidR="00D848AC" w:rsidRDefault="00D848AC" w:rsidP="00607660">
            <w:pPr>
              <w:pStyle w:val="TableParagraph"/>
              <w:ind w:left="187"/>
              <w:rPr>
                <w:sz w:val="24"/>
              </w:rPr>
            </w:pPr>
            <w:r>
              <w:rPr>
                <w:sz w:val="24"/>
              </w:rPr>
              <w:t>.5</w:t>
            </w:r>
            <w:r w:rsidR="001C5750">
              <w:rPr>
                <w:sz w:val="24"/>
              </w:rPr>
              <w:t>9</w:t>
            </w:r>
            <w:r>
              <w:rPr>
                <w:sz w:val="24"/>
              </w:rPr>
              <w:t xml:space="preserve">4 </w:t>
            </w:r>
            <w:r>
              <w:rPr>
                <w:color w:val="373838"/>
                <w:sz w:val="24"/>
              </w:rPr>
              <w:t>±</w:t>
            </w:r>
          </w:p>
          <w:p w14:paraId="6707D6F3" w14:textId="77777777" w:rsidR="00D848AC" w:rsidRDefault="00D848AC" w:rsidP="00607660">
            <w:pPr>
              <w:pStyle w:val="TableParagraph"/>
              <w:ind w:left="218"/>
              <w:rPr>
                <w:sz w:val="24"/>
              </w:rPr>
            </w:pPr>
            <w:r>
              <w:rPr>
                <w:color w:val="373838"/>
                <w:sz w:val="24"/>
              </w:rPr>
              <w:t>.027</w:t>
            </w:r>
            <w:r>
              <w:rPr>
                <w:color w:val="373838"/>
                <w:spacing w:val="-2"/>
                <w:sz w:val="24"/>
              </w:rPr>
              <w:t xml:space="preserve"> </w:t>
            </w:r>
            <w:r>
              <w:rPr>
                <w:color w:val="373838"/>
                <w:sz w:val="24"/>
                <w:vertAlign w:val="superscript"/>
              </w:rPr>
              <w:t>a</w:t>
            </w:r>
          </w:p>
        </w:tc>
        <w:tc>
          <w:tcPr>
            <w:tcW w:w="909" w:type="dxa"/>
          </w:tcPr>
          <w:p w14:paraId="32CE081D" w14:textId="77777777" w:rsidR="00D848AC" w:rsidRDefault="00D848AC" w:rsidP="00607660">
            <w:pPr>
              <w:pStyle w:val="TableParagraph"/>
              <w:rPr>
                <w:rFonts w:ascii="Caladea"/>
                <w:sz w:val="23"/>
              </w:rPr>
            </w:pPr>
          </w:p>
          <w:p w14:paraId="251A003A" w14:textId="4903D113" w:rsidR="00D848AC" w:rsidRDefault="00D848AC" w:rsidP="00607660">
            <w:pPr>
              <w:pStyle w:val="TableParagraph"/>
              <w:ind w:left="184"/>
              <w:rPr>
                <w:sz w:val="24"/>
              </w:rPr>
            </w:pPr>
            <w:r>
              <w:rPr>
                <w:sz w:val="24"/>
              </w:rPr>
              <w:t>.5</w:t>
            </w:r>
            <w:r w:rsidR="001C5750">
              <w:rPr>
                <w:sz w:val="24"/>
              </w:rPr>
              <w:t>3</w:t>
            </w:r>
            <w:r>
              <w:rPr>
                <w:sz w:val="24"/>
              </w:rPr>
              <w:t xml:space="preserve">6 </w:t>
            </w:r>
            <w:r>
              <w:rPr>
                <w:color w:val="373838"/>
                <w:sz w:val="24"/>
              </w:rPr>
              <w:t>±</w:t>
            </w:r>
          </w:p>
          <w:p w14:paraId="718773AE" w14:textId="77777777" w:rsidR="00D848AC" w:rsidRDefault="00D848AC" w:rsidP="00607660">
            <w:pPr>
              <w:pStyle w:val="TableParagraph"/>
              <w:ind w:left="216"/>
              <w:rPr>
                <w:sz w:val="24"/>
              </w:rPr>
            </w:pPr>
            <w:r>
              <w:rPr>
                <w:color w:val="373838"/>
                <w:sz w:val="24"/>
              </w:rPr>
              <w:t>.088</w:t>
            </w:r>
            <w:r>
              <w:rPr>
                <w:color w:val="373838"/>
                <w:spacing w:val="-2"/>
                <w:sz w:val="24"/>
              </w:rPr>
              <w:t xml:space="preserve"> </w:t>
            </w:r>
            <w:r>
              <w:rPr>
                <w:color w:val="373838"/>
                <w:sz w:val="24"/>
                <w:vertAlign w:val="superscript"/>
              </w:rPr>
              <w:t>a</w:t>
            </w:r>
          </w:p>
        </w:tc>
        <w:tc>
          <w:tcPr>
            <w:tcW w:w="993" w:type="dxa"/>
          </w:tcPr>
          <w:p w14:paraId="746DC668" w14:textId="77777777" w:rsidR="00D848AC" w:rsidRDefault="00D848AC" w:rsidP="00607660">
            <w:pPr>
              <w:pStyle w:val="TableParagraph"/>
              <w:rPr>
                <w:rFonts w:ascii="Caladea"/>
                <w:sz w:val="23"/>
              </w:rPr>
            </w:pPr>
          </w:p>
          <w:p w14:paraId="326168B6" w14:textId="4DE40284" w:rsidR="00D848AC" w:rsidRDefault="00D848AC" w:rsidP="00607660">
            <w:pPr>
              <w:pStyle w:val="TableParagraph"/>
              <w:ind w:left="232"/>
              <w:rPr>
                <w:sz w:val="24"/>
              </w:rPr>
            </w:pPr>
            <w:r>
              <w:rPr>
                <w:sz w:val="24"/>
              </w:rPr>
              <w:t>.6</w:t>
            </w:r>
            <w:r w:rsidR="001C5750">
              <w:rPr>
                <w:sz w:val="24"/>
              </w:rPr>
              <w:t>4</w:t>
            </w:r>
            <w:r>
              <w:rPr>
                <w:sz w:val="24"/>
              </w:rPr>
              <w:t xml:space="preserve">5 </w:t>
            </w:r>
            <w:r>
              <w:rPr>
                <w:color w:val="373838"/>
                <w:sz w:val="24"/>
              </w:rPr>
              <w:t>±</w:t>
            </w:r>
          </w:p>
          <w:p w14:paraId="5DFADB5E" w14:textId="77777777" w:rsidR="00D848AC" w:rsidRDefault="00D848AC" w:rsidP="00607660">
            <w:pPr>
              <w:pStyle w:val="TableParagraph"/>
              <w:ind w:left="263"/>
              <w:rPr>
                <w:sz w:val="24"/>
              </w:rPr>
            </w:pPr>
            <w:r>
              <w:rPr>
                <w:color w:val="373838"/>
                <w:sz w:val="24"/>
              </w:rPr>
              <w:t>.521</w:t>
            </w:r>
            <w:r>
              <w:rPr>
                <w:color w:val="373838"/>
                <w:spacing w:val="-2"/>
                <w:sz w:val="24"/>
              </w:rPr>
              <w:t xml:space="preserve"> </w:t>
            </w:r>
            <w:r>
              <w:rPr>
                <w:color w:val="373838"/>
                <w:sz w:val="24"/>
                <w:vertAlign w:val="superscript"/>
              </w:rPr>
              <w:t>a</w:t>
            </w:r>
          </w:p>
        </w:tc>
        <w:tc>
          <w:tcPr>
            <w:tcW w:w="827" w:type="dxa"/>
          </w:tcPr>
          <w:p w14:paraId="7BBE8966" w14:textId="77777777" w:rsidR="00D848AC" w:rsidRDefault="00D848AC" w:rsidP="00607660">
            <w:pPr>
              <w:pStyle w:val="TableParagraph"/>
              <w:rPr>
                <w:rFonts w:ascii="Caladea"/>
                <w:sz w:val="23"/>
              </w:rPr>
            </w:pPr>
          </w:p>
          <w:p w14:paraId="57AA0F9B" w14:textId="44B08C7A" w:rsidR="00D848AC" w:rsidRDefault="00D848AC" w:rsidP="00607660">
            <w:pPr>
              <w:pStyle w:val="TableParagraph"/>
              <w:ind w:left="143"/>
              <w:rPr>
                <w:sz w:val="24"/>
              </w:rPr>
            </w:pPr>
            <w:r>
              <w:rPr>
                <w:sz w:val="24"/>
              </w:rPr>
              <w:t>.6</w:t>
            </w:r>
            <w:r w:rsidR="001C5750">
              <w:rPr>
                <w:sz w:val="24"/>
              </w:rPr>
              <w:t>4</w:t>
            </w:r>
            <w:r>
              <w:rPr>
                <w:sz w:val="24"/>
              </w:rPr>
              <w:t xml:space="preserve">0 </w:t>
            </w:r>
            <w:r>
              <w:rPr>
                <w:color w:val="373838"/>
                <w:sz w:val="24"/>
              </w:rPr>
              <w:t>±</w:t>
            </w:r>
          </w:p>
          <w:p w14:paraId="32258966" w14:textId="77777777" w:rsidR="00D848AC" w:rsidRDefault="00D848AC" w:rsidP="00607660">
            <w:pPr>
              <w:pStyle w:val="TableParagraph"/>
              <w:ind w:left="172"/>
              <w:rPr>
                <w:sz w:val="24"/>
              </w:rPr>
            </w:pPr>
            <w:r>
              <w:rPr>
                <w:color w:val="373838"/>
                <w:sz w:val="24"/>
              </w:rPr>
              <w:t>.030</w:t>
            </w:r>
            <w:r>
              <w:rPr>
                <w:color w:val="373838"/>
                <w:spacing w:val="-2"/>
                <w:sz w:val="24"/>
              </w:rPr>
              <w:t xml:space="preserve"> </w:t>
            </w:r>
            <w:r>
              <w:rPr>
                <w:color w:val="373838"/>
                <w:sz w:val="24"/>
                <w:vertAlign w:val="superscript"/>
              </w:rPr>
              <w:t>a</w:t>
            </w:r>
          </w:p>
        </w:tc>
        <w:tc>
          <w:tcPr>
            <w:tcW w:w="819" w:type="dxa"/>
          </w:tcPr>
          <w:p w14:paraId="6514CA98" w14:textId="77777777" w:rsidR="00D848AC" w:rsidRDefault="00D848AC" w:rsidP="00607660">
            <w:pPr>
              <w:pStyle w:val="TableParagraph"/>
              <w:rPr>
                <w:rFonts w:ascii="Caladea"/>
                <w:sz w:val="23"/>
              </w:rPr>
            </w:pPr>
          </w:p>
          <w:p w14:paraId="69AD206D" w14:textId="43A50322" w:rsidR="00D848AC" w:rsidRDefault="00D848AC" w:rsidP="00607660">
            <w:pPr>
              <w:pStyle w:val="TableParagraph"/>
              <w:ind w:left="134"/>
              <w:rPr>
                <w:sz w:val="24"/>
              </w:rPr>
            </w:pPr>
            <w:r>
              <w:rPr>
                <w:sz w:val="24"/>
              </w:rPr>
              <w:t>.6</w:t>
            </w:r>
            <w:r w:rsidR="001C5750">
              <w:rPr>
                <w:sz w:val="24"/>
              </w:rPr>
              <w:t>5</w:t>
            </w:r>
            <w:r>
              <w:rPr>
                <w:sz w:val="24"/>
              </w:rPr>
              <w:t xml:space="preserve">3 </w:t>
            </w:r>
            <w:r>
              <w:rPr>
                <w:color w:val="373838"/>
                <w:sz w:val="24"/>
              </w:rPr>
              <w:t>±</w:t>
            </w:r>
          </w:p>
          <w:p w14:paraId="31C1F56D" w14:textId="77777777" w:rsidR="00D848AC" w:rsidRDefault="00D848AC" w:rsidP="00607660">
            <w:pPr>
              <w:pStyle w:val="TableParagraph"/>
              <w:ind w:left="165"/>
              <w:rPr>
                <w:sz w:val="24"/>
              </w:rPr>
            </w:pPr>
            <w:r>
              <w:rPr>
                <w:color w:val="373838"/>
                <w:sz w:val="24"/>
              </w:rPr>
              <w:t>.039</w:t>
            </w:r>
            <w:r>
              <w:rPr>
                <w:color w:val="373838"/>
                <w:spacing w:val="-2"/>
                <w:sz w:val="24"/>
              </w:rPr>
              <w:t xml:space="preserve"> </w:t>
            </w:r>
            <w:r>
              <w:rPr>
                <w:color w:val="373838"/>
                <w:sz w:val="24"/>
                <w:vertAlign w:val="superscript"/>
              </w:rPr>
              <w:t>a</w:t>
            </w:r>
          </w:p>
        </w:tc>
      </w:tr>
    </w:tbl>
    <w:p w14:paraId="22DA15D6" w14:textId="77777777" w:rsidR="00A74C53" w:rsidRDefault="00A74C53" w:rsidP="005E5EAC">
      <w:pPr>
        <w:pStyle w:val="Heading1"/>
        <w:spacing w:before="84"/>
        <w:ind w:left="0" w:right="2558"/>
      </w:pPr>
    </w:p>
    <w:p w14:paraId="2E430B1D" w14:textId="77777777" w:rsidR="00A74C53" w:rsidRDefault="00A74C53" w:rsidP="00A74C53">
      <w:pPr>
        <w:pStyle w:val="Heading1"/>
        <w:spacing w:before="84"/>
        <w:ind w:left="2898" w:right="2558"/>
        <w:jc w:val="center"/>
      </w:pPr>
    </w:p>
    <w:p w14:paraId="5AF374A2" w14:textId="6BB03C6D" w:rsidR="00A74C53" w:rsidRDefault="00A74C53" w:rsidP="005E5EAC">
      <w:pPr>
        <w:pStyle w:val="Heading1"/>
        <w:spacing w:before="84"/>
        <w:ind w:left="0" w:right="2558"/>
        <w:jc w:val="both"/>
      </w:pPr>
      <w:r>
        <w:t>DISCUSSION</w:t>
      </w:r>
    </w:p>
    <w:p w14:paraId="412E0646" w14:textId="77777777" w:rsidR="00A4603B" w:rsidRDefault="00A4603B" w:rsidP="00A74C53">
      <w:pPr>
        <w:pStyle w:val="BodyText"/>
        <w:jc w:val="both"/>
      </w:pPr>
    </w:p>
    <w:p w14:paraId="026DA480" w14:textId="77777777" w:rsidR="00A74C53" w:rsidRDefault="00A74C53" w:rsidP="00A74C53">
      <w:pPr>
        <w:pStyle w:val="BodyText"/>
        <w:jc w:val="both"/>
      </w:pPr>
    </w:p>
    <w:p w14:paraId="0D6AFE74" w14:textId="77777777" w:rsidR="00A4603B" w:rsidRDefault="00A4603B" w:rsidP="00A74C53">
      <w:pPr>
        <w:pStyle w:val="BodyText"/>
        <w:jc w:val="both"/>
      </w:pPr>
    </w:p>
    <w:p w14:paraId="67697C64" w14:textId="77777777" w:rsidR="00A74C53" w:rsidRDefault="00A74C53" w:rsidP="00A74C53">
      <w:pPr>
        <w:pStyle w:val="BodyText"/>
        <w:spacing w:line="480" w:lineRule="auto"/>
        <w:ind w:left="439" w:right="123" w:firstLine="720"/>
        <w:jc w:val="both"/>
      </w:pPr>
      <w:r>
        <w:t>Understanding materials properties and its influence on instrument performance is critical for the clinician. During the past decade many different rotary systems have been introduced to endodontics, each with their distinctive characteristics but all with the same purpose of avoiding procedural errors.</w:t>
      </w:r>
    </w:p>
    <w:p w14:paraId="54D5EF47" w14:textId="514B9AAD" w:rsidR="00A74C53" w:rsidRDefault="00A74C53" w:rsidP="00A74C53">
      <w:pPr>
        <w:pStyle w:val="BodyText"/>
        <w:spacing w:line="480" w:lineRule="auto"/>
        <w:ind w:left="439" w:right="100" w:firstLine="780"/>
        <w:jc w:val="both"/>
      </w:pPr>
      <w:r>
        <w:t xml:space="preserve">Numerous approaches to modify the way the instruments are manufactured which results in variation in the physical properties have been done by manufacturers. Recently thermomechanical treatment processes </w:t>
      </w:r>
      <w:proofErr w:type="gramStart"/>
      <w:r>
        <w:t>has</w:t>
      </w:r>
      <w:proofErr w:type="gramEnd"/>
      <w:r>
        <w:t xml:space="preserve"> been attempted to improve flexibility and fatigue resistance. Studies evaluating the influence of this property on the shaping ability of files manufactured by this procedure are limited, with variation in assessment criteria. In this study 3 systems were chosen that are different in their NiTi processing. No studies have compared Protapper Gold, Vortex Blue and HyFlex CM rotary file systems in terms of transportation and canal volume change at three canal levels. </w:t>
      </w:r>
      <w:proofErr w:type="gramStart"/>
      <w:r>
        <w:t>Thus</w:t>
      </w:r>
      <w:proofErr w:type="gramEnd"/>
      <w:r>
        <w:t xml:space="preserve"> this study was a comparison between the 3 file systems using simulated canals in resin blocks; it does not reflect the action of the instruments in natural root canals because of the differences in the surface texture and hardness as well as cross- section (1</w:t>
      </w:r>
      <w:r w:rsidR="00DE180F">
        <w:t>3</w:t>
      </w:r>
      <w:r>
        <w:t xml:space="preserve">).  However, investigators promoted those studies comparing the effects of root canal instrumentation on canal anatomy should also consider details of preoperative geometry that is why similarity was </w:t>
      </w:r>
      <w:r>
        <w:lastRenderedPageBreak/>
        <w:t xml:space="preserve">an essential factor for the design of the study </w:t>
      </w:r>
      <w:r w:rsidR="00DE180F">
        <w:t>(14</w:t>
      </w:r>
      <w:r>
        <w:t>). Clear resin blocks allow a direct comparison under identical conditions of the shapes acquired with different instruments.</w:t>
      </w:r>
    </w:p>
    <w:p w14:paraId="7691D8BA" w14:textId="77777777" w:rsidR="00A4603B" w:rsidRPr="001933A2" w:rsidRDefault="00A4603B" w:rsidP="00A4603B">
      <w:pPr>
        <w:pStyle w:val="BodyText"/>
        <w:rPr>
          <w:b/>
          <w:bCs/>
          <w:sz w:val="28"/>
          <w:szCs w:val="28"/>
        </w:rPr>
      </w:pPr>
    </w:p>
    <w:p w14:paraId="73B2A7A8" w14:textId="5E58B7C6" w:rsidR="005E5EAC" w:rsidRPr="001933A2" w:rsidRDefault="001933A2" w:rsidP="00A4603B">
      <w:pPr>
        <w:pStyle w:val="BodyText"/>
        <w:rPr>
          <w:b/>
          <w:bCs/>
          <w:sz w:val="28"/>
          <w:szCs w:val="28"/>
        </w:rPr>
      </w:pPr>
      <w:r w:rsidRPr="001933A2">
        <w:rPr>
          <w:b/>
          <w:bCs/>
          <w:sz w:val="28"/>
          <w:szCs w:val="28"/>
        </w:rPr>
        <w:t>References</w:t>
      </w:r>
    </w:p>
    <w:p w14:paraId="32051A6D" w14:textId="77777777" w:rsidR="00A4603B" w:rsidRDefault="00A4603B" w:rsidP="00A4603B">
      <w:pPr>
        <w:pStyle w:val="BodyText"/>
      </w:pPr>
    </w:p>
    <w:p w14:paraId="3A6391AB" w14:textId="77777777" w:rsidR="00A4603B" w:rsidRDefault="00A4603B" w:rsidP="00A4603B">
      <w:pPr>
        <w:pStyle w:val="BodyText"/>
      </w:pPr>
    </w:p>
    <w:p w14:paraId="167B4DFD" w14:textId="77777777" w:rsidR="005E5EAC" w:rsidRDefault="00A4603B" w:rsidP="005E5EAC">
      <w:pPr>
        <w:pStyle w:val="ListParagraph"/>
        <w:numPr>
          <w:ilvl w:val="0"/>
          <w:numId w:val="2"/>
        </w:numPr>
        <w:tabs>
          <w:tab w:val="left" w:pos="1159"/>
          <w:tab w:val="left" w:pos="1160"/>
        </w:tabs>
        <w:ind w:left="439" w:right="573" w:firstLine="0"/>
        <w:rPr>
          <w:sz w:val="24"/>
        </w:rPr>
      </w:pPr>
      <w:proofErr w:type="spellStart"/>
      <w:r>
        <w:rPr>
          <w:sz w:val="24"/>
        </w:rPr>
        <w:t>Klayman</w:t>
      </w:r>
      <w:proofErr w:type="spellEnd"/>
      <w:r>
        <w:rPr>
          <w:sz w:val="24"/>
        </w:rPr>
        <w:t xml:space="preserve"> SM, Brilliant JD. A comparison of the efficacy of serial preparation versus </w:t>
      </w:r>
      <w:proofErr w:type="spellStart"/>
      <w:r>
        <w:rPr>
          <w:sz w:val="24"/>
        </w:rPr>
        <w:t>Giromatic</w:t>
      </w:r>
      <w:proofErr w:type="spellEnd"/>
      <w:r>
        <w:rPr>
          <w:sz w:val="24"/>
        </w:rPr>
        <w:t xml:space="preserve"> preparation. Journal of Endodontics</w:t>
      </w:r>
      <w:r>
        <w:rPr>
          <w:spacing w:val="-5"/>
          <w:sz w:val="24"/>
        </w:rPr>
        <w:t xml:space="preserve"> </w:t>
      </w:r>
      <w:r>
        <w:rPr>
          <w:sz w:val="24"/>
        </w:rPr>
        <w:t>1975;1(10):334-337.</w:t>
      </w:r>
    </w:p>
    <w:p w14:paraId="2166C649" w14:textId="77777777" w:rsidR="005E5EAC" w:rsidRPr="005E5EAC" w:rsidRDefault="005E5EAC" w:rsidP="005E5EAC">
      <w:pPr>
        <w:tabs>
          <w:tab w:val="left" w:pos="1159"/>
          <w:tab w:val="left" w:pos="1160"/>
        </w:tabs>
        <w:ind w:left="439" w:right="573"/>
      </w:pPr>
    </w:p>
    <w:p w14:paraId="38DFDDF1" w14:textId="5787F97E" w:rsidR="00A74C53" w:rsidRPr="005E5EAC" w:rsidRDefault="00A74C53" w:rsidP="005E5EAC">
      <w:pPr>
        <w:pStyle w:val="ListParagraph"/>
        <w:numPr>
          <w:ilvl w:val="0"/>
          <w:numId w:val="2"/>
        </w:numPr>
        <w:tabs>
          <w:tab w:val="left" w:pos="1159"/>
          <w:tab w:val="left" w:pos="1160"/>
        </w:tabs>
        <w:ind w:left="439" w:right="573" w:firstLine="0"/>
        <w:rPr>
          <w:sz w:val="24"/>
          <w:szCs w:val="24"/>
        </w:rPr>
      </w:pPr>
      <w:r w:rsidRPr="005E5EAC">
        <w:rPr>
          <w:sz w:val="24"/>
          <w:szCs w:val="24"/>
        </w:rPr>
        <w:t>Heard F, Walton RE. Scanning electron microscope study comparing four</w:t>
      </w:r>
      <w:r w:rsidRPr="005E5EAC">
        <w:rPr>
          <w:spacing w:val="-18"/>
          <w:sz w:val="24"/>
          <w:szCs w:val="24"/>
        </w:rPr>
        <w:t xml:space="preserve"> </w:t>
      </w:r>
      <w:r w:rsidRPr="005E5EAC">
        <w:rPr>
          <w:sz w:val="24"/>
          <w:szCs w:val="24"/>
        </w:rPr>
        <w:t>root canal preparation techniques in small curved canals. International Endodontic Journal 1997;30(5):323-331.</w:t>
      </w:r>
    </w:p>
    <w:p w14:paraId="7F524867" w14:textId="77777777" w:rsidR="00A74C53" w:rsidRDefault="00A74C53" w:rsidP="00A74C53">
      <w:pPr>
        <w:pStyle w:val="BodyText"/>
        <w:spacing w:before="11"/>
        <w:rPr>
          <w:sz w:val="23"/>
        </w:rPr>
      </w:pPr>
    </w:p>
    <w:p w14:paraId="12B0A02A" w14:textId="77777777" w:rsidR="00A74C53" w:rsidRDefault="00A74C53" w:rsidP="005E5EAC">
      <w:pPr>
        <w:pStyle w:val="ListParagraph"/>
        <w:numPr>
          <w:ilvl w:val="0"/>
          <w:numId w:val="2"/>
        </w:numPr>
        <w:tabs>
          <w:tab w:val="left" w:pos="1160"/>
        </w:tabs>
        <w:ind w:right="434" w:firstLine="0"/>
        <w:jc w:val="both"/>
        <w:rPr>
          <w:sz w:val="24"/>
        </w:rPr>
      </w:pPr>
      <w:r>
        <w:rPr>
          <w:sz w:val="24"/>
        </w:rPr>
        <w:t xml:space="preserve">Parris J, Wilcox </w:t>
      </w:r>
      <w:r>
        <w:rPr>
          <w:spacing w:val="-3"/>
          <w:sz w:val="24"/>
        </w:rPr>
        <w:t xml:space="preserve">L, </w:t>
      </w:r>
      <w:r>
        <w:rPr>
          <w:sz w:val="24"/>
        </w:rPr>
        <w:t>Walton R. Effectiveness of apical clearing: histological and radiographical evaluation. Journal of Endodontics</w:t>
      </w:r>
      <w:r>
        <w:rPr>
          <w:spacing w:val="-3"/>
          <w:sz w:val="24"/>
        </w:rPr>
        <w:t xml:space="preserve"> </w:t>
      </w:r>
      <w:r>
        <w:rPr>
          <w:sz w:val="24"/>
        </w:rPr>
        <w:t>1994;20(5):219-224.</w:t>
      </w:r>
    </w:p>
    <w:p w14:paraId="1CFD31C5" w14:textId="77777777" w:rsidR="00A74C53" w:rsidRDefault="00A74C53" w:rsidP="00A74C53">
      <w:pPr>
        <w:pStyle w:val="BodyText"/>
      </w:pPr>
    </w:p>
    <w:p w14:paraId="386B031F" w14:textId="77777777" w:rsidR="00A74C53" w:rsidRDefault="00A74C53" w:rsidP="005E5EAC">
      <w:pPr>
        <w:pStyle w:val="ListParagraph"/>
        <w:numPr>
          <w:ilvl w:val="0"/>
          <w:numId w:val="2"/>
        </w:numPr>
        <w:tabs>
          <w:tab w:val="left" w:pos="1159"/>
          <w:tab w:val="left" w:pos="1160"/>
        </w:tabs>
        <w:ind w:right="606" w:firstLine="0"/>
        <w:rPr>
          <w:sz w:val="24"/>
        </w:rPr>
      </w:pPr>
      <w:r>
        <w:rPr>
          <w:sz w:val="24"/>
        </w:rPr>
        <w:t>Reynolds MA, Madison S, Walton RE, Krell KV, Rittman BR. An in vitro histological comparison of the step-back, sonic, and ultrasonic instrumentation techniques in small, curved root canals. Journal of Endodontics</w:t>
      </w:r>
      <w:r>
        <w:rPr>
          <w:spacing w:val="-12"/>
          <w:sz w:val="24"/>
        </w:rPr>
        <w:t xml:space="preserve"> </w:t>
      </w:r>
      <w:r>
        <w:rPr>
          <w:sz w:val="24"/>
        </w:rPr>
        <w:t>1987;13(7):307-314.</w:t>
      </w:r>
    </w:p>
    <w:p w14:paraId="7C638AB5" w14:textId="77777777" w:rsidR="00A74C53" w:rsidRDefault="00A74C53" w:rsidP="00A74C53">
      <w:pPr>
        <w:pStyle w:val="BodyText"/>
      </w:pPr>
    </w:p>
    <w:p w14:paraId="11CD48C7" w14:textId="77777777" w:rsidR="00A74C53" w:rsidRDefault="00A74C53" w:rsidP="005E5EAC">
      <w:pPr>
        <w:pStyle w:val="ListParagraph"/>
        <w:numPr>
          <w:ilvl w:val="0"/>
          <w:numId w:val="2"/>
        </w:numPr>
        <w:tabs>
          <w:tab w:val="left" w:pos="1159"/>
          <w:tab w:val="left" w:pos="1160"/>
        </w:tabs>
        <w:ind w:right="768" w:firstLine="0"/>
        <w:rPr>
          <w:sz w:val="24"/>
        </w:rPr>
      </w:pPr>
      <w:r>
        <w:rPr>
          <w:sz w:val="24"/>
        </w:rPr>
        <w:t>Peters OA. Current challenges and concepts in the preparation of root</w:t>
      </w:r>
      <w:r>
        <w:rPr>
          <w:spacing w:val="-15"/>
          <w:sz w:val="24"/>
        </w:rPr>
        <w:t xml:space="preserve"> </w:t>
      </w:r>
      <w:r>
        <w:rPr>
          <w:sz w:val="24"/>
        </w:rPr>
        <w:t>canal systems: a review. Journal of Endodontics</w:t>
      </w:r>
      <w:r>
        <w:rPr>
          <w:spacing w:val="-4"/>
          <w:sz w:val="24"/>
        </w:rPr>
        <w:t xml:space="preserve"> </w:t>
      </w:r>
      <w:r>
        <w:rPr>
          <w:sz w:val="24"/>
        </w:rPr>
        <w:t>2004;30(8):559-567.</w:t>
      </w:r>
    </w:p>
    <w:p w14:paraId="0B6DBA0F" w14:textId="77777777" w:rsidR="00A74C53" w:rsidRDefault="00A74C53" w:rsidP="00A74C53">
      <w:pPr>
        <w:pStyle w:val="BodyText"/>
      </w:pPr>
    </w:p>
    <w:p w14:paraId="0B879B08" w14:textId="77777777" w:rsidR="00A74C53" w:rsidRDefault="00A74C53" w:rsidP="005E5EAC">
      <w:pPr>
        <w:pStyle w:val="ListParagraph"/>
        <w:numPr>
          <w:ilvl w:val="0"/>
          <w:numId w:val="2"/>
        </w:numPr>
        <w:tabs>
          <w:tab w:val="left" w:pos="1159"/>
          <w:tab w:val="left" w:pos="1160"/>
        </w:tabs>
        <w:ind w:left="439" w:right="415" w:firstLine="0"/>
        <w:rPr>
          <w:sz w:val="24"/>
        </w:rPr>
      </w:pPr>
      <w:proofErr w:type="spellStart"/>
      <w:r>
        <w:rPr>
          <w:sz w:val="24"/>
        </w:rPr>
        <w:t>Lentine</w:t>
      </w:r>
      <w:proofErr w:type="spellEnd"/>
      <w:r>
        <w:rPr>
          <w:sz w:val="24"/>
        </w:rPr>
        <w:t xml:space="preserve"> FN. A study of torsional and angular deflection of endodontic files</w:t>
      </w:r>
      <w:r>
        <w:rPr>
          <w:spacing w:val="-18"/>
          <w:sz w:val="24"/>
        </w:rPr>
        <w:t xml:space="preserve"> </w:t>
      </w:r>
      <w:r>
        <w:rPr>
          <w:sz w:val="24"/>
        </w:rPr>
        <w:t xml:space="preserve">and reamers. J </w:t>
      </w:r>
      <w:proofErr w:type="spellStart"/>
      <w:r>
        <w:rPr>
          <w:sz w:val="24"/>
        </w:rPr>
        <w:t>Endod</w:t>
      </w:r>
      <w:proofErr w:type="spellEnd"/>
      <w:r>
        <w:rPr>
          <w:spacing w:val="1"/>
          <w:sz w:val="24"/>
        </w:rPr>
        <w:t xml:space="preserve"> </w:t>
      </w:r>
      <w:r>
        <w:rPr>
          <w:sz w:val="24"/>
        </w:rPr>
        <w:t>1979;5(6):181-191.</w:t>
      </w:r>
    </w:p>
    <w:p w14:paraId="6C53439E" w14:textId="77777777" w:rsidR="00A74C53" w:rsidRDefault="00A74C53" w:rsidP="00A74C53">
      <w:pPr>
        <w:pStyle w:val="BodyText"/>
      </w:pPr>
    </w:p>
    <w:p w14:paraId="5155E9B3" w14:textId="77777777" w:rsidR="00A74C53" w:rsidRDefault="00A74C53" w:rsidP="005E5EAC">
      <w:pPr>
        <w:pStyle w:val="ListParagraph"/>
        <w:numPr>
          <w:ilvl w:val="0"/>
          <w:numId w:val="2"/>
        </w:numPr>
        <w:tabs>
          <w:tab w:val="left" w:pos="1159"/>
          <w:tab w:val="left" w:pos="1160"/>
        </w:tabs>
        <w:ind w:left="439" w:right="441" w:firstLine="0"/>
        <w:rPr>
          <w:sz w:val="24"/>
        </w:rPr>
      </w:pPr>
      <w:proofErr w:type="spellStart"/>
      <w:r>
        <w:rPr>
          <w:sz w:val="24"/>
        </w:rPr>
        <w:t>Eldeeb</w:t>
      </w:r>
      <w:proofErr w:type="spellEnd"/>
      <w:r>
        <w:rPr>
          <w:sz w:val="24"/>
        </w:rPr>
        <w:t xml:space="preserve"> ME, </w:t>
      </w:r>
      <w:proofErr w:type="spellStart"/>
      <w:r>
        <w:rPr>
          <w:sz w:val="24"/>
        </w:rPr>
        <w:t>Boraas</w:t>
      </w:r>
      <w:proofErr w:type="spellEnd"/>
      <w:r>
        <w:rPr>
          <w:sz w:val="24"/>
        </w:rPr>
        <w:t xml:space="preserve"> JC. The effect of different files on the preparation shape</w:t>
      </w:r>
      <w:r>
        <w:rPr>
          <w:spacing w:val="-16"/>
          <w:sz w:val="24"/>
        </w:rPr>
        <w:t xml:space="preserve"> </w:t>
      </w:r>
      <w:r>
        <w:rPr>
          <w:sz w:val="24"/>
        </w:rPr>
        <w:t>of severely curved canals. International Endodontic Journal</w:t>
      </w:r>
      <w:r>
        <w:rPr>
          <w:spacing w:val="-1"/>
          <w:sz w:val="24"/>
        </w:rPr>
        <w:t xml:space="preserve"> </w:t>
      </w:r>
      <w:r>
        <w:rPr>
          <w:sz w:val="24"/>
        </w:rPr>
        <w:t>1985;18(1):1-7.</w:t>
      </w:r>
    </w:p>
    <w:p w14:paraId="67F3680B" w14:textId="77777777" w:rsidR="00A74C53" w:rsidRDefault="00A74C53" w:rsidP="00A74C53">
      <w:pPr>
        <w:pStyle w:val="BodyText"/>
      </w:pPr>
    </w:p>
    <w:p w14:paraId="7FEB5D09" w14:textId="77777777" w:rsidR="00A74C53" w:rsidRDefault="00A74C53" w:rsidP="005E5EAC">
      <w:pPr>
        <w:pStyle w:val="ListParagraph"/>
        <w:numPr>
          <w:ilvl w:val="0"/>
          <w:numId w:val="2"/>
        </w:numPr>
        <w:tabs>
          <w:tab w:val="left" w:pos="1159"/>
          <w:tab w:val="left" w:pos="1160"/>
        </w:tabs>
        <w:ind w:left="439" w:right="98" w:firstLine="0"/>
        <w:rPr>
          <w:sz w:val="24"/>
        </w:rPr>
      </w:pPr>
      <w:proofErr w:type="spellStart"/>
      <w:r>
        <w:rPr>
          <w:sz w:val="24"/>
        </w:rPr>
        <w:t>Orstavik</w:t>
      </w:r>
      <w:proofErr w:type="spellEnd"/>
      <w:r>
        <w:rPr>
          <w:sz w:val="24"/>
        </w:rPr>
        <w:t xml:space="preserve"> D, </w:t>
      </w:r>
      <w:proofErr w:type="spellStart"/>
      <w:r>
        <w:rPr>
          <w:sz w:val="24"/>
        </w:rPr>
        <w:t>Kerekes</w:t>
      </w:r>
      <w:proofErr w:type="spellEnd"/>
      <w:r>
        <w:rPr>
          <w:sz w:val="24"/>
        </w:rPr>
        <w:t xml:space="preserve"> K, </w:t>
      </w:r>
      <w:proofErr w:type="spellStart"/>
      <w:r>
        <w:rPr>
          <w:sz w:val="24"/>
        </w:rPr>
        <w:t>Molven</w:t>
      </w:r>
      <w:proofErr w:type="spellEnd"/>
      <w:r>
        <w:rPr>
          <w:sz w:val="24"/>
        </w:rPr>
        <w:t xml:space="preserve"> O. Effects of extensive apical reaming and calcium hydroxide dressing on bacterial infection during treatment of apical periodontitis: a pilot study. International Endodontic Journal 1991;24(1):1-7.</w:t>
      </w:r>
    </w:p>
    <w:p w14:paraId="035D29D2" w14:textId="77777777" w:rsidR="00A74C53" w:rsidRDefault="00A74C53" w:rsidP="00A74C53">
      <w:pPr>
        <w:pStyle w:val="BodyText"/>
      </w:pPr>
    </w:p>
    <w:p w14:paraId="281A0108" w14:textId="77777777" w:rsidR="00A74C53" w:rsidRDefault="00A74C53" w:rsidP="005E5EAC">
      <w:pPr>
        <w:pStyle w:val="ListParagraph"/>
        <w:numPr>
          <w:ilvl w:val="0"/>
          <w:numId w:val="2"/>
        </w:numPr>
        <w:tabs>
          <w:tab w:val="left" w:pos="1159"/>
          <w:tab w:val="left" w:pos="1160"/>
        </w:tabs>
        <w:spacing w:before="1"/>
        <w:ind w:left="439" w:right="888" w:firstLine="0"/>
        <w:rPr>
          <w:sz w:val="24"/>
        </w:rPr>
      </w:pPr>
      <w:proofErr w:type="spellStart"/>
      <w:r>
        <w:rPr>
          <w:sz w:val="24"/>
        </w:rPr>
        <w:t>Salzgeber</w:t>
      </w:r>
      <w:proofErr w:type="spellEnd"/>
      <w:r>
        <w:rPr>
          <w:sz w:val="24"/>
        </w:rPr>
        <w:t xml:space="preserve"> RM, Brilliant JD. An in vivo evaluation of the penetration of</w:t>
      </w:r>
      <w:r>
        <w:rPr>
          <w:spacing w:val="-17"/>
          <w:sz w:val="24"/>
        </w:rPr>
        <w:t xml:space="preserve"> </w:t>
      </w:r>
      <w:r>
        <w:rPr>
          <w:sz w:val="24"/>
        </w:rPr>
        <w:t>an irrigating solution in root canals. Journal of Endodontics</w:t>
      </w:r>
      <w:r>
        <w:rPr>
          <w:spacing w:val="-10"/>
          <w:sz w:val="24"/>
        </w:rPr>
        <w:t xml:space="preserve"> </w:t>
      </w:r>
      <w:r>
        <w:rPr>
          <w:sz w:val="24"/>
        </w:rPr>
        <w:t>1977;3(10):394-398.</w:t>
      </w:r>
    </w:p>
    <w:p w14:paraId="08A65C09" w14:textId="77777777" w:rsidR="00A74C53" w:rsidRDefault="00A74C53" w:rsidP="00A74C53">
      <w:pPr>
        <w:pStyle w:val="BodyText"/>
        <w:spacing w:before="11"/>
        <w:rPr>
          <w:sz w:val="23"/>
        </w:rPr>
      </w:pPr>
    </w:p>
    <w:p w14:paraId="71258DB9" w14:textId="77777777" w:rsidR="00A74C53" w:rsidRDefault="00A74C53" w:rsidP="005E5EAC">
      <w:pPr>
        <w:pStyle w:val="ListParagraph"/>
        <w:numPr>
          <w:ilvl w:val="0"/>
          <w:numId w:val="2"/>
        </w:numPr>
        <w:tabs>
          <w:tab w:val="left" w:pos="1159"/>
          <w:tab w:val="left" w:pos="1160"/>
        </w:tabs>
        <w:ind w:left="439" w:right="296" w:firstLine="0"/>
        <w:rPr>
          <w:sz w:val="24"/>
        </w:rPr>
      </w:pPr>
      <w:r>
        <w:rPr>
          <w:sz w:val="24"/>
        </w:rPr>
        <w:t>Ram Z. Effectiveness of root canal irrigation. Oral Surgery, Oral Medicine,</w:t>
      </w:r>
      <w:r>
        <w:rPr>
          <w:spacing w:val="-22"/>
          <w:sz w:val="24"/>
        </w:rPr>
        <w:t xml:space="preserve"> </w:t>
      </w:r>
      <w:r>
        <w:rPr>
          <w:sz w:val="24"/>
        </w:rPr>
        <w:t>Oral Pathology</w:t>
      </w:r>
      <w:r>
        <w:rPr>
          <w:spacing w:val="-5"/>
          <w:sz w:val="24"/>
        </w:rPr>
        <w:t xml:space="preserve"> </w:t>
      </w:r>
      <w:r>
        <w:rPr>
          <w:sz w:val="24"/>
        </w:rPr>
        <w:t>1977;44(2):306-312.</w:t>
      </w:r>
    </w:p>
    <w:p w14:paraId="48BAE4D9" w14:textId="77777777" w:rsidR="00A74C53" w:rsidRDefault="00A74C53" w:rsidP="00A74C53">
      <w:pPr>
        <w:pStyle w:val="BodyText"/>
      </w:pPr>
    </w:p>
    <w:p w14:paraId="44EA2F60" w14:textId="77777777" w:rsidR="00A74C53" w:rsidRDefault="00A74C53" w:rsidP="005E5EAC">
      <w:pPr>
        <w:pStyle w:val="ListParagraph"/>
        <w:numPr>
          <w:ilvl w:val="0"/>
          <w:numId w:val="2"/>
        </w:numPr>
        <w:tabs>
          <w:tab w:val="left" w:pos="1159"/>
          <w:tab w:val="left" w:pos="1160"/>
        </w:tabs>
        <w:ind w:left="439" w:right="1146" w:firstLine="0"/>
        <w:rPr>
          <w:sz w:val="24"/>
        </w:rPr>
      </w:pPr>
      <w:r>
        <w:rPr>
          <w:sz w:val="24"/>
        </w:rPr>
        <w:t>Chow TW. Mechanical effectiveness of root canal irrigation. Journal of Endodontics</w:t>
      </w:r>
      <w:r>
        <w:rPr>
          <w:spacing w:val="-1"/>
          <w:sz w:val="24"/>
        </w:rPr>
        <w:t xml:space="preserve"> </w:t>
      </w:r>
      <w:r>
        <w:rPr>
          <w:sz w:val="24"/>
        </w:rPr>
        <w:t>1983;9(11):475-479.</w:t>
      </w:r>
    </w:p>
    <w:p w14:paraId="672847D8" w14:textId="77777777" w:rsidR="00A74C53" w:rsidRDefault="00A74C53" w:rsidP="00A74C53">
      <w:pPr>
        <w:pStyle w:val="BodyText"/>
      </w:pPr>
    </w:p>
    <w:p w14:paraId="0F591EBC" w14:textId="77777777" w:rsidR="00A74C53" w:rsidRDefault="00A74C53" w:rsidP="005E5EAC">
      <w:pPr>
        <w:pStyle w:val="ListParagraph"/>
        <w:numPr>
          <w:ilvl w:val="0"/>
          <w:numId w:val="2"/>
        </w:numPr>
        <w:tabs>
          <w:tab w:val="left" w:pos="1159"/>
          <w:tab w:val="left" w:pos="1160"/>
        </w:tabs>
        <w:ind w:left="439" w:right="564" w:firstLine="0"/>
        <w:rPr>
          <w:sz w:val="24"/>
        </w:rPr>
      </w:pPr>
      <w:r>
        <w:rPr>
          <w:sz w:val="24"/>
        </w:rPr>
        <w:t>Usman N, Baumgartner JC, Marshall JG. Influence of instrument size on root canal debridement. Journal of Endodontics</w:t>
      </w:r>
      <w:r>
        <w:rPr>
          <w:spacing w:val="-3"/>
          <w:sz w:val="24"/>
        </w:rPr>
        <w:t xml:space="preserve"> </w:t>
      </w:r>
      <w:r>
        <w:rPr>
          <w:sz w:val="24"/>
        </w:rPr>
        <w:t>2004;30(2):110-112.</w:t>
      </w:r>
    </w:p>
    <w:p w14:paraId="68FCD009" w14:textId="77777777" w:rsidR="00A74C53" w:rsidRDefault="00A74C53" w:rsidP="00A74C53">
      <w:pPr>
        <w:pStyle w:val="BodyText"/>
      </w:pPr>
    </w:p>
    <w:p w14:paraId="45C5DCE2" w14:textId="77777777" w:rsidR="00A74C53" w:rsidRDefault="00A74C53" w:rsidP="005E5EAC">
      <w:pPr>
        <w:pStyle w:val="ListParagraph"/>
        <w:numPr>
          <w:ilvl w:val="0"/>
          <w:numId w:val="2"/>
        </w:numPr>
        <w:tabs>
          <w:tab w:val="left" w:pos="1159"/>
          <w:tab w:val="left" w:pos="1160"/>
        </w:tabs>
        <w:ind w:left="439" w:right="201" w:firstLine="0"/>
        <w:rPr>
          <w:sz w:val="24"/>
        </w:rPr>
      </w:pPr>
      <w:proofErr w:type="spellStart"/>
      <w:r>
        <w:rPr>
          <w:sz w:val="24"/>
        </w:rPr>
        <w:t>Rollison</w:t>
      </w:r>
      <w:proofErr w:type="spellEnd"/>
      <w:r>
        <w:rPr>
          <w:sz w:val="24"/>
        </w:rPr>
        <w:t xml:space="preserve"> S, Barnett F, Stevens RH. Efficacy of bacterial removal from instrumented root canals in vitro related to instrumentation technique and size. Oral Surg Oral Med Oral </w:t>
      </w:r>
      <w:proofErr w:type="spellStart"/>
      <w:r>
        <w:rPr>
          <w:sz w:val="24"/>
        </w:rPr>
        <w:t>Pathol</w:t>
      </w:r>
      <w:proofErr w:type="spellEnd"/>
      <w:r>
        <w:rPr>
          <w:sz w:val="24"/>
        </w:rPr>
        <w:t xml:space="preserve"> Oral </w:t>
      </w:r>
      <w:proofErr w:type="spellStart"/>
      <w:r>
        <w:rPr>
          <w:sz w:val="24"/>
        </w:rPr>
        <w:t>Radiol</w:t>
      </w:r>
      <w:proofErr w:type="spellEnd"/>
      <w:r>
        <w:rPr>
          <w:sz w:val="24"/>
        </w:rPr>
        <w:t xml:space="preserve"> </w:t>
      </w:r>
      <w:proofErr w:type="spellStart"/>
      <w:r>
        <w:rPr>
          <w:sz w:val="24"/>
        </w:rPr>
        <w:t>Endod</w:t>
      </w:r>
      <w:proofErr w:type="spellEnd"/>
      <w:r>
        <w:rPr>
          <w:spacing w:val="-2"/>
          <w:sz w:val="24"/>
        </w:rPr>
        <w:t xml:space="preserve"> </w:t>
      </w:r>
      <w:r>
        <w:rPr>
          <w:sz w:val="24"/>
        </w:rPr>
        <w:t>2002;94(3):366-371.</w:t>
      </w:r>
    </w:p>
    <w:p w14:paraId="52B7AE5B" w14:textId="77777777" w:rsidR="00A74C53" w:rsidRDefault="00A74C53" w:rsidP="00A74C53">
      <w:pPr>
        <w:pStyle w:val="BodyText"/>
      </w:pPr>
    </w:p>
    <w:p w14:paraId="6BA8B43E" w14:textId="77777777" w:rsidR="00A74C53" w:rsidRDefault="00A74C53" w:rsidP="005E5EAC">
      <w:pPr>
        <w:pStyle w:val="ListParagraph"/>
        <w:numPr>
          <w:ilvl w:val="0"/>
          <w:numId w:val="2"/>
        </w:numPr>
        <w:tabs>
          <w:tab w:val="left" w:pos="1159"/>
          <w:tab w:val="left" w:pos="1160"/>
        </w:tabs>
        <w:ind w:left="439" w:right="667" w:firstLine="0"/>
        <w:rPr>
          <w:sz w:val="24"/>
        </w:rPr>
      </w:pPr>
      <w:r>
        <w:rPr>
          <w:sz w:val="24"/>
        </w:rPr>
        <w:lastRenderedPageBreak/>
        <w:t xml:space="preserve">Card SJ, Sigurdsson A, </w:t>
      </w:r>
      <w:proofErr w:type="spellStart"/>
      <w:r>
        <w:rPr>
          <w:sz w:val="24"/>
        </w:rPr>
        <w:t>Orstavik</w:t>
      </w:r>
      <w:proofErr w:type="spellEnd"/>
      <w:r>
        <w:rPr>
          <w:sz w:val="24"/>
        </w:rPr>
        <w:t xml:space="preserve"> D, Trope M. The effectiveness of</w:t>
      </w:r>
      <w:r>
        <w:rPr>
          <w:spacing w:val="-18"/>
          <w:sz w:val="24"/>
        </w:rPr>
        <w:t xml:space="preserve"> </w:t>
      </w:r>
      <w:r>
        <w:rPr>
          <w:sz w:val="24"/>
        </w:rPr>
        <w:t>increased apical enlargement in reducing intracanal bacteria. Journal of Endodontics 2002;28(11):779-783.</w:t>
      </w:r>
    </w:p>
    <w:p w14:paraId="4217B0E6" w14:textId="77777777" w:rsidR="00A74C53" w:rsidRDefault="00A74C53" w:rsidP="00A74C53">
      <w:pPr>
        <w:sectPr w:rsidR="00A74C53">
          <w:pgSz w:w="12240" w:h="15840"/>
          <w:pgMar w:top="1340" w:right="1340" w:bottom="280" w:left="1720" w:header="718" w:footer="0" w:gutter="0"/>
          <w:cols w:space="720"/>
        </w:sectPr>
      </w:pPr>
    </w:p>
    <w:p w14:paraId="13732C10" w14:textId="77777777" w:rsidR="00441C4C" w:rsidRDefault="00441C4C" w:rsidP="00A672EF">
      <w:pPr>
        <w:jc w:val="both"/>
      </w:pPr>
    </w:p>
    <w:sectPr w:rsidR="00441C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adea">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5E7D1F"/>
    <w:multiLevelType w:val="hybridMultilevel"/>
    <w:tmpl w:val="DCBCA3C4"/>
    <w:lvl w:ilvl="0" w:tplc="1CAA1D6A">
      <w:start w:val="32"/>
      <w:numFmt w:val="decimal"/>
      <w:lvlText w:val="(%1)."/>
      <w:lvlJc w:val="left"/>
      <w:pPr>
        <w:ind w:left="640" w:hanging="581"/>
        <w:jc w:val="left"/>
      </w:pPr>
      <w:rPr>
        <w:rFonts w:ascii="Times New Roman" w:eastAsia="Times New Roman" w:hAnsi="Times New Roman" w:cs="Times New Roman" w:hint="default"/>
        <w:spacing w:val="-5"/>
        <w:w w:val="99"/>
        <w:sz w:val="24"/>
        <w:szCs w:val="24"/>
        <w:lang w:val="en-US" w:eastAsia="en-US" w:bidi="ar-SA"/>
      </w:rPr>
    </w:lvl>
    <w:lvl w:ilvl="1" w:tplc="F22E5918">
      <w:numFmt w:val="bullet"/>
      <w:lvlText w:val=""/>
      <w:lvlJc w:val="left"/>
      <w:pPr>
        <w:ind w:left="1360" w:hanging="360"/>
      </w:pPr>
      <w:rPr>
        <w:rFonts w:ascii="Symbol" w:eastAsia="Symbol" w:hAnsi="Symbol" w:cs="Symbol" w:hint="default"/>
        <w:w w:val="100"/>
        <w:sz w:val="24"/>
        <w:szCs w:val="24"/>
        <w:lang w:val="en-US" w:eastAsia="en-US" w:bidi="ar-SA"/>
      </w:rPr>
    </w:lvl>
    <w:lvl w:ilvl="2" w:tplc="5F70D6E0">
      <w:numFmt w:val="bullet"/>
      <w:lvlText w:val="•"/>
      <w:lvlJc w:val="left"/>
      <w:pPr>
        <w:ind w:left="2273" w:hanging="360"/>
      </w:pPr>
      <w:rPr>
        <w:rFonts w:hint="default"/>
        <w:lang w:val="en-US" w:eastAsia="en-US" w:bidi="ar-SA"/>
      </w:rPr>
    </w:lvl>
    <w:lvl w:ilvl="3" w:tplc="0268B4DE">
      <w:numFmt w:val="bullet"/>
      <w:lvlText w:val="•"/>
      <w:lvlJc w:val="left"/>
      <w:pPr>
        <w:ind w:left="3186" w:hanging="360"/>
      </w:pPr>
      <w:rPr>
        <w:rFonts w:hint="default"/>
        <w:lang w:val="en-US" w:eastAsia="en-US" w:bidi="ar-SA"/>
      </w:rPr>
    </w:lvl>
    <w:lvl w:ilvl="4" w:tplc="24F4E612">
      <w:numFmt w:val="bullet"/>
      <w:lvlText w:val="•"/>
      <w:lvlJc w:val="left"/>
      <w:pPr>
        <w:ind w:left="4100" w:hanging="360"/>
      </w:pPr>
      <w:rPr>
        <w:rFonts w:hint="default"/>
        <w:lang w:val="en-US" w:eastAsia="en-US" w:bidi="ar-SA"/>
      </w:rPr>
    </w:lvl>
    <w:lvl w:ilvl="5" w:tplc="E878D85A">
      <w:numFmt w:val="bullet"/>
      <w:lvlText w:val="•"/>
      <w:lvlJc w:val="left"/>
      <w:pPr>
        <w:ind w:left="5013" w:hanging="360"/>
      </w:pPr>
      <w:rPr>
        <w:rFonts w:hint="default"/>
        <w:lang w:val="en-US" w:eastAsia="en-US" w:bidi="ar-SA"/>
      </w:rPr>
    </w:lvl>
    <w:lvl w:ilvl="6" w:tplc="AFAA8CE2">
      <w:numFmt w:val="bullet"/>
      <w:lvlText w:val="•"/>
      <w:lvlJc w:val="left"/>
      <w:pPr>
        <w:ind w:left="5926" w:hanging="360"/>
      </w:pPr>
      <w:rPr>
        <w:rFonts w:hint="default"/>
        <w:lang w:val="en-US" w:eastAsia="en-US" w:bidi="ar-SA"/>
      </w:rPr>
    </w:lvl>
    <w:lvl w:ilvl="7" w:tplc="38BE3AF0">
      <w:numFmt w:val="bullet"/>
      <w:lvlText w:val="•"/>
      <w:lvlJc w:val="left"/>
      <w:pPr>
        <w:ind w:left="6840" w:hanging="360"/>
      </w:pPr>
      <w:rPr>
        <w:rFonts w:hint="default"/>
        <w:lang w:val="en-US" w:eastAsia="en-US" w:bidi="ar-SA"/>
      </w:rPr>
    </w:lvl>
    <w:lvl w:ilvl="8" w:tplc="756E73CE">
      <w:numFmt w:val="bullet"/>
      <w:lvlText w:val="•"/>
      <w:lvlJc w:val="left"/>
      <w:pPr>
        <w:ind w:left="7753" w:hanging="360"/>
      </w:pPr>
      <w:rPr>
        <w:rFonts w:hint="default"/>
        <w:lang w:val="en-US" w:eastAsia="en-US" w:bidi="ar-SA"/>
      </w:rPr>
    </w:lvl>
  </w:abstractNum>
  <w:abstractNum w:abstractNumId="1" w15:restartNumberingAfterBreak="0">
    <w:nsid w:val="6886191F"/>
    <w:multiLevelType w:val="hybridMultilevel"/>
    <w:tmpl w:val="C5B2D918"/>
    <w:lvl w:ilvl="0" w:tplc="F1446D80">
      <w:start w:val="1"/>
      <w:numFmt w:val="decimal"/>
      <w:lvlText w:val="%1."/>
      <w:lvlJc w:val="left"/>
      <w:pPr>
        <w:ind w:left="440" w:hanging="720"/>
        <w:jc w:val="left"/>
      </w:pPr>
      <w:rPr>
        <w:rFonts w:ascii="Times New Roman" w:eastAsia="Times New Roman" w:hAnsi="Times New Roman" w:cs="Times New Roman" w:hint="default"/>
        <w:spacing w:val="-5"/>
        <w:w w:val="99"/>
        <w:sz w:val="24"/>
        <w:szCs w:val="24"/>
        <w:lang w:val="en-US" w:eastAsia="en-US" w:bidi="ar-SA"/>
      </w:rPr>
    </w:lvl>
    <w:lvl w:ilvl="1" w:tplc="50C2784A">
      <w:numFmt w:val="bullet"/>
      <w:lvlText w:val="•"/>
      <w:lvlJc w:val="left"/>
      <w:pPr>
        <w:ind w:left="1314" w:hanging="720"/>
      </w:pPr>
      <w:rPr>
        <w:rFonts w:hint="default"/>
        <w:lang w:val="en-US" w:eastAsia="en-US" w:bidi="ar-SA"/>
      </w:rPr>
    </w:lvl>
    <w:lvl w:ilvl="2" w:tplc="50CAD804">
      <w:numFmt w:val="bullet"/>
      <w:lvlText w:val="•"/>
      <w:lvlJc w:val="left"/>
      <w:pPr>
        <w:ind w:left="2188" w:hanging="720"/>
      </w:pPr>
      <w:rPr>
        <w:rFonts w:hint="default"/>
        <w:lang w:val="en-US" w:eastAsia="en-US" w:bidi="ar-SA"/>
      </w:rPr>
    </w:lvl>
    <w:lvl w:ilvl="3" w:tplc="C4BCFBCA">
      <w:numFmt w:val="bullet"/>
      <w:lvlText w:val="•"/>
      <w:lvlJc w:val="left"/>
      <w:pPr>
        <w:ind w:left="3062" w:hanging="720"/>
      </w:pPr>
      <w:rPr>
        <w:rFonts w:hint="default"/>
        <w:lang w:val="en-US" w:eastAsia="en-US" w:bidi="ar-SA"/>
      </w:rPr>
    </w:lvl>
    <w:lvl w:ilvl="4" w:tplc="0742CFEE">
      <w:numFmt w:val="bullet"/>
      <w:lvlText w:val="•"/>
      <w:lvlJc w:val="left"/>
      <w:pPr>
        <w:ind w:left="3936" w:hanging="720"/>
      </w:pPr>
      <w:rPr>
        <w:rFonts w:hint="default"/>
        <w:lang w:val="en-US" w:eastAsia="en-US" w:bidi="ar-SA"/>
      </w:rPr>
    </w:lvl>
    <w:lvl w:ilvl="5" w:tplc="666A7FF6">
      <w:numFmt w:val="bullet"/>
      <w:lvlText w:val="•"/>
      <w:lvlJc w:val="left"/>
      <w:pPr>
        <w:ind w:left="4810" w:hanging="720"/>
      </w:pPr>
      <w:rPr>
        <w:rFonts w:hint="default"/>
        <w:lang w:val="en-US" w:eastAsia="en-US" w:bidi="ar-SA"/>
      </w:rPr>
    </w:lvl>
    <w:lvl w:ilvl="6" w:tplc="60784822">
      <w:numFmt w:val="bullet"/>
      <w:lvlText w:val="•"/>
      <w:lvlJc w:val="left"/>
      <w:pPr>
        <w:ind w:left="5684" w:hanging="720"/>
      </w:pPr>
      <w:rPr>
        <w:rFonts w:hint="default"/>
        <w:lang w:val="en-US" w:eastAsia="en-US" w:bidi="ar-SA"/>
      </w:rPr>
    </w:lvl>
    <w:lvl w:ilvl="7" w:tplc="8E6A154A">
      <w:numFmt w:val="bullet"/>
      <w:lvlText w:val="•"/>
      <w:lvlJc w:val="left"/>
      <w:pPr>
        <w:ind w:left="6558" w:hanging="720"/>
      </w:pPr>
      <w:rPr>
        <w:rFonts w:hint="default"/>
        <w:lang w:val="en-US" w:eastAsia="en-US" w:bidi="ar-SA"/>
      </w:rPr>
    </w:lvl>
    <w:lvl w:ilvl="8" w:tplc="050840C0">
      <w:numFmt w:val="bullet"/>
      <w:lvlText w:val="•"/>
      <w:lvlJc w:val="left"/>
      <w:pPr>
        <w:ind w:left="7432" w:hanging="720"/>
      </w:pPr>
      <w:rPr>
        <w:rFonts w:hint="default"/>
        <w:lang w:val="en-US" w:eastAsia="en-US" w:bidi="ar-SA"/>
      </w:rPr>
    </w:lvl>
  </w:abstractNum>
  <w:abstractNum w:abstractNumId="2" w15:restartNumberingAfterBreak="0">
    <w:nsid w:val="7F9D0008"/>
    <w:multiLevelType w:val="hybridMultilevel"/>
    <w:tmpl w:val="C5B2D918"/>
    <w:lvl w:ilvl="0" w:tplc="FFFFFFFF">
      <w:start w:val="1"/>
      <w:numFmt w:val="decimal"/>
      <w:lvlText w:val="%1."/>
      <w:lvlJc w:val="left"/>
      <w:pPr>
        <w:ind w:left="440" w:hanging="720"/>
        <w:jc w:val="left"/>
      </w:pPr>
      <w:rPr>
        <w:rFonts w:ascii="Times New Roman" w:eastAsia="Times New Roman" w:hAnsi="Times New Roman" w:cs="Times New Roman" w:hint="default"/>
        <w:spacing w:val="-5"/>
        <w:w w:val="99"/>
        <w:sz w:val="24"/>
        <w:szCs w:val="24"/>
        <w:lang w:val="en-US" w:eastAsia="en-US" w:bidi="ar-SA"/>
      </w:rPr>
    </w:lvl>
    <w:lvl w:ilvl="1" w:tplc="FFFFFFFF">
      <w:numFmt w:val="bullet"/>
      <w:lvlText w:val="•"/>
      <w:lvlJc w:val="left"/>
      <w:pPr>
        <w:ind w:left="1314" w:hanging="720"/>
      </w:pPr>
      <w:rPr>
        <w:rFonts w:hint="default"/>
        <w:lang w:val="en-US" w:eastAsia="en-US" w:bidi="ar-SA"/>
      </w:rPr>
    </w:lvl>
    <w:lvl w:ilvl="2" w:tplc="FFFFFFFF">
      <w:numFmt w:val="bullet"/>
      <w:lvlText w:val="•"/>
      <w:lvlJc w:val="left"/>
      <w:pPr>
        <w:ind w:left="2188" w:hanging="720"/>
      </w:pPr>
      <w:rPr>
        <w:rFonts w:hint="default"/>
        <w:lang w:val="en-US" w:eastAsia="en-US" w:bidi="ar-SA"/>
      </w:rPr>
    </w:lvl>
    <w:lvl w:ilvl="3" w:tplc="FFFFFFFF">
      <w:numFmt w:val="bullet"/>
      <w:lvlText w:val="•"/>
      <w:lvlJc w:val="left"/>
      <w:pPr>
        <w:ind w:left="3062" w:hanging="720"/>
      </w:pPr>
      <w:rPr>
        <w:rFonts w:hint="default"/>
        <w:lang w:val="en-US" w:eastAsia="en-US" w:bidi="ar-SA"/>
      </w:rPr>
    </w:lvl>
    <w:lvl w:ilvl="4" w:tplc="FFFFFFFF">
      <w:numFmt w:val="bullet"/>
      <w:lvlText w:val="•"/>
      <w:lvlJc w:val="left"/>
      <w:pPr>
        <w:ind w:left="3936" w:hanging="720"/>
      </w:pPr>
      <w:rPr>
        <w:rFonts w:hint="default"/>
        <w:lang w:val="en-US" w:eastAsia="en-US" w:bidi="ar-SA"/>
      </w:rPr>
    </w:lvl>
    <w:lvl w:ilvl="5" w:tplc="FFFFFFFF">
      <w:numFmt w:val="bullet"/>
      <w:lvlText w:val="•"/>
      <w:lvlJc w:val="left"/>
      <w:pPr>
        <w:ind w:left="4810" w:hanging="720"/>
      </w:pPr>
      <w:rPr>
        <w:rFonts w:hint="default"/>
        <w:lang w:val="en-US" w:eastAsia="en-US" w:bidi="ar-SA"/>
      </w:rPr>
    </w:lvl>
    <w:lvl w:ilvl="6" w:tplc="FFFFFFFF">
      <w:numFmt w:val="bullet"/>
      <w:lvlText w:val="•"/>
      <w:lvlJc w:val="left"/>
      <w:pPr>
        <w:ind w:left="5684" w:hanging="720"/>
      </w:pPr>
      <w:rPr>
        <w:rFonts w:hint="default"/>
        <w:lang w:val="en-US" w:eastAsia="en-US" w:bidi="ar-SA"/>
      </w:rPr>
    </w:lvl>
    <w:lvl w:ilvl="7" w:tplc="FFFFFFFF">
      <w:numFmt w:val="bullet"/>
      <w:lvlText w:val="•"/>
      <w:lvlJc w:val="left"/>
      <w:pPr>
        <w:ind w:left="6558" w:hanging="720"/>
      </w:pPr>
      <w:rPr>
        <w:rFonts w:hint="default"/>
        <w:lang w:val="en-US" w:eastAsia="en-US" w:bidi="ar-SA"/>
      </w:rPr>
    </w:lvl>
    <w:lvl w:ilvl="8" w:tplc="FFFFFFFF">
      <w:numFmt w:val="bullet"/>
      <w:lvlText w:val="•"/>
      <w:lvlJc w:val="left"/>
      <w:pPr>
        <w:ind w:left="7432" w:hanging="720"/>
      </w:pPr>
      <w:rPr>
        <w:rFonts w:hint="default"/>
        <w:lang w:val="en-US" w:eastAsia="en-US" w:bidi="ar-SA"/>
      </w:rPr>
    </w:lvl>
  </w:abstractNum>
  <w:num w:numId="1" w16cid:durableId="140511099">
    <w:abstractNumId w:val="0"/>
  </w:num>
  <w:num w:numId="2" w16cid:durableId="17514856">
    <w:abstractNumId w:val="1"/>
  </w:num>
  <w:num w:numId="3" w16cid:durableId="1716538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190"/>
    <w:rsid w:val="0003375B"/>
    <w:rsid w:val="00060B15"/>
    <w:rsid w:val="00081708"/>
    <w:rsid w:val="001632AF"/>
    <w:rsid w:val="001901C3"/>
    <w:rsid w:val="001933A2"/>
    <w:rsid w:val="001C5750"/>
    <w:rsid w:val="002A74D5"/>
    <w:rsid w:val="00336D84"/>
    <w:rsid w:val="00337C57"/>
    <w:rsid w:val="003D0DF3"/>
    <w:rsid w:val="00441C4C"/>
    <w:rsid w:val="00461D59"/>
    <w:rsid w:val="00493D3F"/>
    <w:rsid w:val="0052677D"/>
    <w:rsid w:val="005877C3"/>
    <w:rsid w:val="005E5EAC"/>
    <w:rsid w:val="005F1FD9"/>
    <w:rsid w:val="00764885"/>
    <w:rsid w:val="0077502E"/>
    <w:rsid w:val="007A23A5"/>
    <w:rsid w:val="007F104D"/>
    <w:rsid w:val="008049AB"/>
    <w:rsid w:val="00952A46"/>
    <w:rsid w:val="009B50D1"/>
    <w:rsid w:val="00A4603B"/>
    <w:rsid w:val="00A50748"/>
    <w:rsid w:val="00A672EF"/>
    <w:rsid w:val="00A74C53"/>
    <w:rsid w:val="00AD64B9"/>
    <w:rsid w:val="00B459F8"/>
    <w:rsid w:val="00BB5FE8"/>
    <w:rsid w:val="00C71654"/>
    <w:rsid w:val="00D848AC"/>
    <w:rsid w:val="00DE180F"/>
    <w:rsid w:val="00E6063A"/>
    <w:rsid w:val="00F30190"/>
    <w:rsid w:val="00FD2F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8B9F"/>
  <w15:chartTrackingRefBased/>
  <w15:docId w15:val="{D7FAC346-56E9-684B-AB10-23DA2B77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49AB"/>
    <w:pPr>
      <w:widowControl w:val="0"/>
      <w:autoSpaceDE w:val="0"/>
      <w:autoSpaceDN w:val="0"/>
      <w:spacing w:before="90"/>
      <w:ind w:left="640"/>
      <w:outlineLvl w:val="0"/>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0190"/>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F30190"/>
    <w:rPr>
      <w:rFonts w:ascii="Times New Roman" w:eastAsia="Times New Roman" w:hAnsi="Times New Roman" w:cs="Times New Roman"/>
      <w:kern w:val="0"/>
      <w:lang w:val="en-US"/>
      <w14:ligatures w14:val="none"/>
    </w:rPr>
  </w:style>
  <w:style w:type="paragraph" w:styleId="NormalWeb">
    <w:name w:val="Normal (Web)"/>
    <w:basedOn w:val="Normal"/>
    <w:uiPriority w:val="99"/>
    <w:unhideWhenUsed/>
    <w:rsid w:val="00F30190"/>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ableParagraph">
    <w:name w:val="Table Paragraph"/>
    <w:basedOn w:val="Normal"/>
    <w:uiPriority w:val="1"/>
    <w:qFormat/>
    <w:rsid w:val="007F104D"/>
    <w:pPr>
      <w:widowControl w:val="0"/>
      <w:autoSpaceDE w:val="0"/>
      <w:autoSpaceDN w:val="0"/>
    </w:pPr>
    <w:rPr>
      <w:rFonts w:ascii="Times New Roman" w:eastAsia="Times New Roman" w:hAnsi="Times New Roman" w:cs="Times New Roman"/>
      <w:kern w:val="0"/>
      <w:sz w:val="22"/>
      <w:szCs w:val="22"/>
      <w:lang w:val="en-US"/>
      <w14:ligatures w14:val="none"/>
    </w:rPr>
  </w:style>
  <w:style w:type="character" w:customStyle="1" w:styleId="Heading1Char">
    <w:name w:val="Heading 1 Char"/>
    <w:basedOn w:val="DefaultParagraphFont"/>
    <w:link w:val="Heading1"/>
    <w:uiPriority w:val="9"/>
    <w:rsid w:val="008049AB"/>
    <w:rPr>
      <w:rFonts w:ascii="Times New Roman" w:eastAsia="Times New Roman" w:hAnsi="Times New Roman" w:cs="Times New Roman"/>
      <w:b/>
      <w:bCs/>
      <w:kern w:val="0"/>
      <w:lang w:val="en-US"/>
      <w14:ligatures w14:val="none"/>
    </w:rPr>
  </w:style>
  <w:style w:type="paragraph" w:styleId="ListParagraph">
    <w:name w:val="List Paragraph"/>
    <w:basedOn w:val="Normal"/>
    <w:uiPriority w:val="1"/>
    <w:qFormat/>
    <w:rsid w:val="001632AF"/>
    <w:pPr>
      <w:widowControl w:val="0"/>
      <w:autoSpaceDE w:val="0"/>
      <w:autoSpaceDN w:val="0"/>
      <w:ind w:left="440"/>
    </w:pPr>
    <w:rPr>
      <w:rFonts w:ascii="Times New Roman" w:eastAsia="Times New Roman" w:hAnsi="Times New Roman" w:cs="Times New Roman"/>
      <w:kern w:val="0"/>
      <w:sz w:val="22"/>
      <w:szCs w:val="22"/>
      <w:lang w:val="en-US"/>
      <w14:ligatures w14:val="none"/>
    </w:rPr>
  </w:style>
  <w:style w:type="character" w:styleId="Hyperlink">
    <w:name w:val="Hyperlink"/>
    <w:basedOn w:val="DefaultParagraphFont"/>
    <w:uiPriority w:val="99"/>
    <w:semiHidden/>
    <w:unhideWhenUsed/>
    <w:rsid w:val="005E5EAC"/>
    <w:rPr>
      <w:color w:val="0000FF"/>
      <w:u w:val="single"/>
    </w:rPr>
  </w:style>
  <w:style w:type="paragraph" w:styleId="Title">
    <w:name w:val="Title"/>
    <w:basedOn w:val="Normal"/>
    <w:link w:val="TitleChar"/>
    <w:uiPriority w:val="10"/>
    <w:qFormat/>
    <w:rsid w:val="009B50D1"/>
    <w:pPr>
      <w:widowControl w:val="0"/>
      <w:autoSpaceDE w:val="0"/>
      <w:autoSpaceDN w:val="0"/>
      <w:spacing w:before="141"/>
      <w:ind w:left="100" w:right="782"/>
    </w:pPr>
    <w:rPr>
      <w:rFonts w:ascii="Arial" w:eastAsia="Arial" w:hAnsi="Arial" w:cs="Arial"/>
      <w:kern w:val="0"/>
      <w:sz w:val="52"/>
      <w:szCs w:val="52"/>
      <w:lang w:val="en-US"/>
      <w14:ligatures w14:val="none"/>
    </w:rPr>
  </w:style>
  <w:style w:type="character" w:customStyle="1" w:styleId="TitleChar">
    <w:name w:val="Title Char"/>
    <w:basedOn w:val="DefaultParagraphFont"/>
    <w:link w:val="Title"/>
    <w:uiPriority w:val="10"/>
    <w:rsid w:val="009B50D1"/>
    <w:rPr>
      <w:rFonts w:ascii="Arial" w:eastAsia="Arial" w:hAnsi="Arial" w:cs="Arial"/>
      <w:kern w:val="0"/>
      <w:sz w:val="52"/>
      <w:szCs w:val="5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84084">
      <w:bodyDiv w:val="1"/>
      <w:marLeft w:val="0"/>
      <w:marRight w:val="0"/>
      <w:marTop w:val="0"/>
      <w:marBottom w:val="0"/>
      <w:divBdr>
        <w:top w:val="none" w:sz="0" w:space="0" w:color="auto"/>
        <w:left w:val="none" w:sz="0" w:space="0" w:color="auto"/>
        <w:bottom w:val="none" w:sz="0" w:space="0" w:color="auto"/>
        <w:right w:val="none" w:sz="0" w:space="0" w:color="auto"/>
      </w:divBdr>
    </w:div>
    <w:div w:id="1493834151">
      <w:bodyDiv w:val="1"/>
      <w:marLeft w:val="0"/>
      <w:marRight w:val="0"/>
      <w:marTop w:val="0"/>
      <w:marBottom w:val="0"/>
      <w:divBdr>
        <w:top w:val="none" w:sz="0" w:space="0" w:color="auto"/>
        <w:left w:val="none" w:sz="0" w:space="0" w:color="auto"/>
        <w:bottom w:val="none" w:sz="0" w:space="0" w:color="auto"/>
        <w:right w:val="none" w:sz="0" w:space="0" w:color="auto"/>
      </w:divBdr>
      <w:divsChild>
        <w:div w:id="506529137">
          <w:marLeft w:val="0"/>
          <w:marRight w:val="0"/>
          <w:marTop w:val="0"/>
          <w:marBottom w:val="0"/>
          <w:divBdr>
            <w:top w:val="none" w:sz="0" w:space="0" w:color="auto"/>
            <w:left w:val="none" w:sz="0" w:space="0" w:color="auto"/>
            <w:bottom w:val="none" w:sz="0" w:space="0" w:color="auto"/>
            <w:right w:val="none" w:sz="0" w:space="0" w:color="auto"/>
          </w:divBdr>
          <w:divsChild>
            <w:div w:id="1342513959">
              <w:marLeft w:val="0"/>
              <w:marRight w:val="0"/>
              <w:marTop w:val="0"/>
              <w:marBottom w:val="0"/>
              <w:divBdr>
                <w:top w:val="none" w:sz="0" w:space="0" w:color="auto"/>
                <w:left w:val="none" w:sz="0" w:space="0" w:color="auto"/>
                <w:bottom w:val="none" w:sz="0" w:space="0" w:color="auto"/>
                <w:right w:val="none" w:sz="0" w:space="0" w:color="auto"/>
              </w:divBdr>
              <w:divsChild>
                <w:div w:id="454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123907">
      <w:bodyDiv w:val="1"/>
      <w:marLeft w:val="0"/>
      <w:marRight w:val="0"/>
      <w:marTop w:val="0"/>
      <w:marBottom w:val="0"/>
      <w:divBdr>
        <w:top w:val="none" w:sz="0" w:space="0" w:color="auto"/>
        <w:left w:val="none" w:sz="0" w:space="0" w:color="auto"/>
        <w:bottom w:val="none" w:sz="0" w:space="0" w:color="auto"/>
        <w:right w:val="none" w:sz="0" w:space="0" w:color="auto"/>
      </w:divBdr>
      <w:divsChild>
        <w:div w:id="1130055917">
          <w:marLeft w:val="0"/>
          <w:marRight w:val="0"/>
          <w:marTop w:val="0"/>
          <w:marBottom w:val="0"/>
          <w:divBdr>
            <w:top w:val="none" w:sz="0" w:space="0" w:color="auto"/>
            <w:left w:val="none" w:sz="0" w:space="0" w:color="auto"/>
            <w:bottom w:val="none" w:sz="0" w:space="0" w:color="auto"/>
            <w:right w:val="none" w:sz="0" w:space="0" w:color="auto"/>
          </w:divBdr>
          <w:divsChild>
            <w:div w:id="961305970">
              <w:marLeft w:val="0"/>
              <w:marRight w:val="0"/>
              <w:marTop w:val="0"/>
              <w:marBottom w:val="0"/>
              <w:divBdr>
                <w:top w:val="none" w:sz="0" w:space="0" w:color="auto"/>
                <w:left w:val="none" w:sz="0" w:space="0" w:color="auto"/>
                <w:bottom w:val="none" w:sz="0" w:space="0" w:color="auto"/>
                <w:right w:val="none" w:sz="0" w:space="0" w:color="auto"/>
              </w:divBdr>
              <w:divsChild>
                <w:div w:id="1797210315">
                  <w:marLeft w:val="0"/>
                  <w:marRight w:val="0"/>
                  <w:marTop w:val="0"/>
                  <w:marBottom w:val="0"/>
                  <w:divBdr>
                    <w:top w:val="none" w:sz="0" w:space="0" w:color="auto"/>
                    <w:left w:val="none" w:sz="0" w:space="0" w:color="auto"/>
                    <w:bottom w:val="none" w:sz="0" w:space="0" w:color="auto"/>
                    <w:right w:val="none" w:sz="0" w:space="0" w:color="auto"/>
                  </w:divBdr>
                </w:div>
              </w:divsChild>
            </w:div>
            <w:div w:id="94835675">
              <w:marLeft w:val="0"/>
              <w:marRight w:val="0"/>
              <w:marTop w:val="0"/>
              <w:marBottom w:val="0"/>
              <w:divBdr>
                <w:top w:val="none" w:sz="0" w:space="0" w:color="auto"/>
                <w:left w:val="none" w:sz="0" w:space="0" w:color="auto"/>
                <w:bottom w:val="none" w:sz="0" w:space="0" w:color="auto"/>
                <w:right w:val="none" w:sz="0" w:space="0" w:color="auto"/>
              </w:divBdr>
              <w:divsChild>
                <w:div w:id="6588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57325">
          <w:marLeft w:val="0"/>
          <w:marRight w:val="0"/>
          <w:marTop w:val="0"/>
          <w:marBottom w:val="0"/>
          <w:divBdr>
            <w:top w:val="none" w:sz="0" w:space="0" w:color="auto"/>
            <w:left w:val="none" w:sz="0" w:space="0" w:color="auto"/>
            <w:bottom w:val="none" w:sz="0" w:space="0" w:color="auto"/>
            <w:right w:val="none" w:sz="0" w:space="0" w:color="auto"/>
          </w:divBdr>
          <w:divsChild>
            <w:div w:id="1166017654">
              <w:marLeft w:val="0"/>
              <w:marRight w:val="0"/>
              <w:marTop w:val="0"/>
              <w:marBottom w:val="0"/>
              <w:divBdr>
                <w:top w:val="none" w:sz="0" w:space="0" w:color="auto"/>
                <w:left w:val="none" w:sz="0" w:space="0" w:color="auto"/>
                <w:bottom w:val="none" w:sz="0" w:space="0" w:color="auto"/>
                <w:right w:val="none" w:sz="0" w:space="0" w:color="auto"/>
              </w:divBdr>
              <w:divsChild>
                <w:div w:id="1128085062">
                  <w:marLeft w:val="0"/>
                  <w:marRight w:val="0"/>
                  <w:marTop w:val="0"/>
                  <w:marBottom w:val="0"/>
                  <w:divBdr>
                    <w:top w:val="none" w:sz="0" w:space="0" w:color="auto"/>
                    <w:left w:val="none" w:sz="0" w:space="0" w:color="auto"/>
                    <w:bottom w:val="none" w:sz="0" w:space="0" w:color="auto"/>
                    <w:right w:val="none" w:sz="0" w:space="0" w:color="auto"/>
                  </w:divBdr>
                </w:div>
              </w:divsChild>
            </w:div>
            <w:div w:id="209730341">
              <w:marLeft w:val="0"/>
              <w:marRight w:val="0"/>
              <w:marTop w:val="0"/>
              <w:marBottom w:val="0"/>
              <w:divBdr>
                <w:top w:val="none" w:sz="0" w:space="0" w:color="auto"/>
                <w:left w:val="none" w:sz="0" w:space="0" w:color="auto"/>
                <w:bottom w:val="none" w:sz="0" w:space="0" w:color="auto"/>
                <w:right w:val="none" w:sz="0" w:space="0" w:color="auto"/>
              </w:divBdr>
              <w:divsChild>
                <w:div w:id="7332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17328">
          <w:marLeft w:val="0"/>
          <w:marRight w:val="0"/>
          <w:marTop w:val="0"/>
          <w:marBottom w:val="0"/>
          <w:divBdr>
            <w:top w:val="none" w:sz="0" w:space="0" w:color="auto"/>
            <w:left w:val="none" w:sz="0" w:space="0" w:color="auto"/>
            <w:bottom w:val="none" w:sz="0" w:space="0" w:color="auto"/>
            <w:right w:val="none" w:sz="0" w:space="0" w:color="auto"/>
          </w:divBdr>
          <w:divsChild>
            <w:div w:id="1329136429">
              <w:marLeft w:val="0"/>
              <w:marRight w:val="0"/>
              <w:marTop w:val="0"/>
              <w:marBottom w:val="0"/>
              <w:divBdr>
                <w:top w:val="none" w:sz="0" w:space="0" w:color="auto"/>
                <w:left w:val="none" w:sz="0" w:space="0" w:color="auto"/>
                <w:bottom w:val="none" w:sz="0" w:space="0" w:color="auto"/>
                <w:right w:val="none" w:sz="0" w:space="0" w:color="auto"/>
              </w:divBdr>
              <w:divsChild>
                <w:div w:id="2016761707">
                  <w:marLeft w:val="0"/>
                  <w:marRight w:val="0"/>
                  <w:marTop w:val="0"/>
                  <w:marBottom w:val="0"/>
                  <w:divBdr>
                    <w:top w:val="none" w:sz="0" w:space="0" w:color="auto"/>
                    <w:left w:val="none" w:sz="0" w:space="0" w:color="auto"/>
                    <w:bottom w:val="none" w:sz="0" w:space="0" w:color="auto"/>
                    <w:right w:val="none" w:sz="0" w:space="0" w:color="auto"/>
                  </w:divBdr>
                </w:div>
              </w:divsChild>
            </w:div>
            <w:div w:id="98914369">
              <w:marLeft w:val="0"/>
              <w:marRight w:val="0"/>
              <w:marTop w:val="0"/>
              <w:marBottom w:val="0"/>
              <w:divBdr>
                <w:top w:val="none" w:sz="0" w:space="0" w:color="auto"/>
                <w:left w:val="none" w:sz="0" w:space="0" w:color="auto"/>
                <w:bottom w:val="none" w:sz="0" w:space="0" w:color="auto"/>
                <w:right w:val="none" w:sz="0" w:space="0" w:color="auto"/>
              </w:divBdr>
              <w:divsChild>
                <w:div w:id="132323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0618">
          <w:marLeft w:val="0"/>
          <w:marRight w:val="0"/>
          <w:marTop w:val="0"/>
          <w:marBottom w:val="0"/>
          <w:divBdr>
            <w:top w:val="none" w:sz="0" w:space="0" w:color="auto"/>
            <w:left w:val="none" w:sz="0" w:space="0" w:color="auto"/>
            <w:bottom w:val="none" w:sz="0" w:space="0" w:color="auto"/>
            <w:right w:val="none" w:sz="0" w:space="0" w:color="auto"/>
          </w:divBdr>
          <w:divsChild>
            <w:div w:id="1358196210">
              <w:marLeft w:val="0"/>
              <w:marRight w:val="0"/>
              <w:marTop w:val="0"/>
              <w:marBottom w:val="0"/>
              <w:divBdr>
                <w:top w:val="none" w:sz="0" w:space="0" w:color="auto"/>
                <w:left w:val="none" w:sz="0" w:space="0" w:color="auto"/>
                <w:bottom w:val="none" w:sz="0" w:space="0" w:color="auto"/>
                <w:right w:val="none" w:sz="0" w:space="0" w:color="auto"/>
              </w:divBdr>
              <w:divsChild>
                <w:div w:id="1472289563">
                  <w:marLeft w:val="0"/>
                  <w:marRight w:val="0"/>
                  <w:marTop w:val="0"/>
                  <w:marBottom w:val="0"/>
                  <w:divBdr>
                    <w:top w:val="none" w:sz="0" w:space="0" w:color="auto"/>
                    <w:left w:val="none" w:sz="0" w:space="0" w:color="auto"/>
                    <w:bottom w:val="none" w:sz="0" w:space="0" w:color="auto"/>
                    <w:right w:val="none" w:sz="0" w:space="0" w:color="auto"/>
                  </w:divBdr>
                </w:div>
              </w:divsChild>
            </w:div>
            <w:div w:id="216163976">
              <w:marLeft w:val="0"/>
              <w:marRight w:val="0"/>
              <w:marTop w:val="0"/>
              <w:marBottom w:val="0"/>
              <w:divBdr>
                <w:top w:val="none" w:sz="0" w:space="0" w:color="auto"/>
                <w:left w:val="none" w:sz="0" w:space="0" w:color="auto"/>
                <w:bottom w:val="none" w:sz="0" w:space="0" w:color="auto"/>
                <w:right w:val="none" w:sz="0" w:space="0" w:color="auto"/>
              </w:divBdr>
              <w:divsChild>
                <w:div w:id="8919823">
                  <w:marLeft w:val="0"/>
                  <w:marRight w:val="0"/>
                  <w:marTop w:val="0"/>
                  <w:marBottom w:val="0"/>
                  <w:divBdr>
                    <w:top w:val="none" w:sz="0" w:space="0" w:color="auto"/>
                    <w:left w:val="none" w:sz="0" w:space="0" w:color="auto"/>
                    <w:bottom w:val="none" w:sz="0" w:space="0" w:color="auto"/>
                    <w:right w:val="none" w:sz="0" w:space="0" w:color="auto"/>
                  </w:divBdr>
                </w:div>
              </w:divsChild>
            </w:div>
            <w:div w:id="188379697">
              <w:marLeft w:val="0"/>
              <w:marRight w:val="0"/>
              <w:marTop w:val="0"/>
              <w:marBottom w:val="0"/>
              <w:divBdr>
                <w:top w:val="none" w:sz="0" w:space="0" w:color="auto"/>
                <w:left w:val="none" w:sz="0" w:space="0" w:color="auto"/>
                <w:bottom w:val="none" w:sz="0" w:space="0" w:color="auto"/>
                <w:right w:val="none" w:sz="0" w:space="0" w:color="auto"/>
              </w:divBdr>
              <w:divsChild>
                <w:div w:id="26719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478222">
          <w:marLeft w:val="0"/>
          <w:marRight w:val="0"/>
          <w:marTop w:val="0"/>
          <w:marBottom w:val="0"/>
          <w:divBdr>
            <w:top w:val="none" w:sz="0" w:space="0" w:color="auto"/>
            <w:left w:val="none" w:sz="0" w:space="0" w:color="auto"/>
            <w:bottom w:val="none" w:sz="0" w:space="0" w:color="auto"/>
            <w:right w:val="none" w:sz="0" w:space="0" w:color="auto"/>
          </w:divBdr>
          <w:divsChild>
            <w:div w:id="1114322151">
              <w:marLeft w:val="0"/>
              <w:marRight w:val="0"/>
              <w:marTop w:val="0"/>
              <w:marBottom w:val="0"/>
              <w:divBdr>
                <w:top w:val="none" w:sz="0" w:space="0" w:color="auto"/>
                <w:left w:val="none" w:sz="0" w:space="0" w:color="auto"/>
                <w:bottom w:val="none" w:sz="0" w:space="0" w:color="auto"/>
                <w:right w:val="none" w:sz="0" w:space="0" w:color="auto"/>
              </w:divBdr>
              <w:divsChild>
                <w:div w:id="2133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923919">
          <w:marLeft w:val="0"/>
          <w:marRight w:val="0"/>
          <w:marTop w:val="0"/>
          <w:marBottom w:val="0"/>
          <w:divBdr>
            <w:top w:val="none" w:sz="0" w:space="0" w:color="auto"/>
            <w:left w:val="none" w:sz="0" w:space="0" w:color="auto"/>
            <w:bottom w:val="none" w:sz="0" w:space="0" w:color="auto"/>
            <w:right w:val="none" w:sz="0" w:space="0" w:color="auto"/>
          </w:divBdr>
          <w:divsChild>
            <w:div w:id="195001013">
              <w:marLeft w:val="0"/>
              <w:marRight w:val="0"/>
              <w:marTop w:val="0"/>
              <w:marBottom w:val="0"/>
              <w:divBdr>
                <w:top w:val="none" w:sz="0" w:space="0" w:color="auto"/>
                <w:left w:val="none" w:sz="0" w:space="0" w:color="auto"/>
                <w:bottom w:val="none" w:sz="0" w:space="0" w:color="auto"/>
                <w:right w:val="none" w:sz="0" w:space="0" w:color="auto"/>
              </w:divBdr>
              <w:divsChild>
                <w:div w:id="11154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2132">
          <w:marLeft w:val="0"/>
          <w:marRight w:val="0"/>
          <w:marTop w:val="0"/>
          <w:marBottom w:val="0"/>
          <w:divBdr>
            <w:top w:val="none" w:sz="0" w:space="0" w:color="auto"/>
            <w:left w:val="none" w:sz="0" w:space="0" w:color="auto"/>
            <w:bottom w:val="none" w:sz="0" w:space="0" w:color="auto"/>
            <w:right w:val="none" w:sz="0" w:space="0" w:color="auto"/>
          </w:divBdr>
          <w:divsChild>
            <w:div w:id="2117747085">
              <w:marLeft w:val="0"/>
              <w:marRight w:val="0"/>
              <w:marTop w:val="0"/>
              <w:marBottom w:val="0"/>
              <w:divBdr>
                <w:top w:val="none" w:sz="0" w:space="0" w:color="auto"/>
                <w:left w:val="none" w:sz="0" w:space="0" w:color="auto"/>
                <w:bottom w:val="none" w:sz="0" w:space="0" w:color="auto"/>
                <w:right w:val="none" w:sz="0" w:space="0" w:color="auto"/>
              </w:divBdr>
              <w:divsChild>
                <w:div w:id="1190726123">
                  <w:marLeft w:val="0"/>
                  <w:marRight w:val="0"/>
                  <w:marTop w:val="0"/>
                  <w:marBottom w:val="0"/>
                  <w:divBdr>
                    <w:top w:val="none" w:sz="0" w:space="0" w:color="auto"/>
                    <w:left w:val="none" w:sz="0" w:space="0" w:color="auto"/>
                    <w:bottom w:val="none" w:sz="0" w:space="0" w:color="auto"/>
                    <w:right w:val="none" w:sz="0" w:space="0" w:color="auto"/>
                  </w:divBdr>
                </w:div>
              </w:divsChild>
            </w:div>
            <w:div w:id="915744635">
              <w:marLeft w:val="0"/>
              <w:marRight w:val="0"/>
              <w:marTop w:val="0"/>
              <w:marBottom w:val="0"/>
              <w:divBdr>
                <w:top w:val="none" w:sz="0" w:space="0" w:color="auto"/>
                <w:left w:val="none" w:sz="0" w:space="0" w:color="auto"/>
                <w:bottom w:val="none" w:sz="0" w:space="0" w:color="auto"/>
                <w:right w:val="none" w:sz="0" w:space="0" w:color="auto"/>
              </w:divBdr>
              <w:divsChild>
                <w:div w:id="1191259888">
                  <w:marLeft w:val="0"/>
                  <w:marRight w:val="0"/>
                  <w:marTop w:val="0"/>
                  <w:marBottom w:val="0"/>
                  <w:divBdr>
                    <w:top w:val="none" w:sz="0" w:space="0" w:color="auto"/>
                    <w:left w:val="none" w:sz="0" w:space="0" w:color="auto"/>
                    <w:bottom w:val="none" w:sz="0" w:space="0" w:color="auto"/>
                    <w:right w:val="none" w:sz="0" w:space="0" w:color="auto"/>
                  </w:divBdr>
                </w:div>
              </w:divsChild>
            </w:div>
            <w:div w:id="699090491">
              <w:marLeft w:val="0"/>
              <w:marRight w:val="0"/>
              <w:marTop w:val="0"/>
              <w:marBottom w:val="0"/>
              <w:divBdr>
                <w:top w:val="none" w:sz="0" w:space="0" w:color="auto"/>
                <w:left w:val="none" w:sz="0" w:space="0" w:color="auto"/>
                <w:bottom w:val="none" w:sz="0" w:space="0" w:color="auto"/>
                <w:right w:val="none" w:sz="0" w:space="0" w:color="auto"/>
              </w:divBdr>
              <w:divsChild>
                <w:div w:id="677805076">
                  <w:marLeft w:val="0"/>
                  <w:marRight w:val="0"/>
                  <w:marTop w:val="0"/>
                  <w:marBottom w:val="0"/>
                  <w:divBdr>
                    <w:top w:val="none" w:sz="0" w:space="0" w:color="auto"/>
                    <w:left w:val="none" w:sz="0" w:space="0" w:color="auto"/>
                    <w:bottom w:val="none" w:sz="0" w:space="0" w:color="auto"/>
                    <w:right w:val="none" w:sz="0" w:space="0" w:color="auto"/>
                  </w:divBdr>
                </w:div>
              </w:divsChild>
            </w:div>
            <w:div w:id="1523663580">
              <w:marLeft w:val="0"/>
              <w:marRight w:val="0"/>
              <w:marTop w:val="0"/>
              <w:marBottom w:val="0"/>
              <w:divBdr>
                <w:top w:val="none" w:sz="0" w:space="0" w:color="auto"/>
                <w:left w:val="none" w:sz="0" w:space="0" w:color="auto"/>
                <w:bottom w:val="none" w:sz="0" w:space="0" w:color="auto"/>
                <w:right w:val="none" w:sz="0" w:space="0" w:color="auto"/>
              </w:divBdr>
              <w:divsChild>
                <w:div w:id="1777559128">
                  <w:marLeft w:val="0"/>
                  <w:marRight w:val="0"/>
                  <w:marTop w:val="0"/>
                  <w:marBottom w:val="0"/>
                  <w:divBdr>
                    <w:top w:val="none" w:sz="0" w:space="0" w:color="auto"/>
                    <w:left w:val="none" w:sz="0" w:space="0" w:color="auto"/>
                    <w:bottom w:val="none" w:sz="0" w:space="0" w:color="auto"/>
                    <w:right w:val="none" w:sz="0" w:space="0" w:color="auto"/>
                  </w:divBdr>
                </w:div>
                <w:div w:id="1622808320">
                  <w:marLeft w:val="0"/>
                  <w:marRight w:val="0"/>
                  <w:marTop w:val="0"/>
                  <w:marBottom w:val="0"/>
                  <w:divBdr>
                    <w:top w:val="none" w:sz="0" w:space="0" w:color="auto"/>
                    <w:left w:val="none" w:sz="0" w:space="0" w:color="auto"/>
                    <w:bottom w:val="none" w:sz="0" w:space="0" w:color="auto"/>
                    <w:right w:val="none" w:sz="0" w:space="0" w:color="auto"/>
                  </w:divBdr>
                </w:div>
                <w:div w:id="1744067393">
                  <w:marLeft w:val="0"/>
                  <w:marRight w:val="0"/>
                  <w:marTop w:val="0"/>
                  <w:marBottom w:val="0"/>
                  <w:divBdr>
                    <w:top w:val="none" w:sz="0" w:space="0" w:color="auto"/>
                    <w:left w:val="none" w:sz="0" w:space="0" w:color="auto"/>
                    <w:bottom w:val="none" w:sz="0" w:space="0" w:color="auto"/>
                    <w:right w:val="none" w:sz="0" w:space="0" w:color="auto"/>
                  </w:divBdr>
                </w:div>
                <w:div w:id="2073960332">
                  <w:marLeft w:val="0"/>
                  <w:marRight w:val="0"/>
                  <w:marTop w:val="0"/>
                  <w:marBottom w:val="0"/>
                  <w:divBdr>
                    <w:top w:val="none" w:sz="0" w:space="0" w:color="auto"/>
                    <w:left w:val="none" w:sz="0" w:space="0" w:color="auto"/>
                    <w:bottom w:val="none" w:sz="0" w:space="0" w:color="auto"/>
                    <w:right w:val="none" w:sz="0" w:space="0" w:color="auto"/>
                  </w:divBdr>
                </w:div>
              </w:divsChild>
            </w:div>
            <w:div w:id="1989356913">
              <w:marLeft w:val="0"/>
              <w:marRight w:val="0"/>
              <w:marTop w:val="0"/>
              <w:marBottom w:val="0"/>
              <w:divBdr>
                <w:top w:val="none" w:sz="0" w:space="0" w:color="auto"/>
                <w:left w:val="none" w:sz="0" w:space="0" w:color="auto"/>
                <w:bottom w:val="none" w:sz="0" w:space="0" w:color="auto"/>
                <w:right w:val="none" w:sz="0" w:space="0" w:color="auto"/>
              </w:divBdr>
              <w:divsChild>
                <w:div w:id="193659904">
                  <w:marLeft w:val="0"/>
                  <w:marRight w:val="0"/>
                  <w:marTop w:val="0"/>
                  <w:marBottom w:val="0"/>
                  <w:divBdr>
                    <w:top w:val="none" w:sz="0" w:space="0" w:color="auto"/>
                    <w:left w:val="none" w:sz="0" w:space="0" w:color="auto"/>
                    <w:bottom w:val="none" w:sz="0" w:space="0" w:color="auto"/>
                    <w:right w:val="none" w:sz="0" w:space="0" w:color="auto"/>
                  </w:divBdr>
                </w:div>
              </w:divsChild>
            </w:div>
            <w:div w:id="1924950671">
              <w:marLeft w:val="0"/>
              <w:marRight w:val="0"/>
              <w:marTop w:val="0"/>
              <w:marBottom w:val="0"/>
              <w:divBdr>
                <w:top w:val="none" w:sz="0" w:space="0" w:color="auto"/>
                <w:left w:val="none" w:sz="0" w:space="0" w:color="auto"/>
                <w:bottom w:val="none" w:sz="0" w:space="0" w:color="auto"/>
                <w:right w:val="none" w:sz="0" w:space="0" w:color="auto"/>
              </w:divBdr>
              <w:divsChild>
                <w:div w:id="1292899426">
                  <w:marLeft w:val="0"/>
                  <w:marRight w:val="0"/>
                  <w:marTop w:val="0"/>
                  <w:marBottom w:val="0"/>
                  <w:divBdr>
                    <w:top w:val="none" w:sz="0" w:space="0" w:color="auto"/>
                    <w:left w:val="none" w:sz="0" w:space="0" w:color="auto"/>
                    <w:bottom w:val="none" w:sz="0" w:space="0" w:color="auto"/>
                    <w:right w:val="none" w:sz="0" w:space="0" w:color="auto"/>
                  </w:divBdr>
                </w:div>
                <w:div w:id="236331694">
                  <w:marLeft w:val="0"/>
                  <w:marRight w:val="0"/>
                  <w:marTop w:val="0"/>
                  <w:marBottom w:val="0"/>
                  <w:divBdr>
                    <w:top w:val="none" w:sz="0" w:space="0" w:color="auto"/>
                    <w:left w:val="none" w:sz="0" w:space="0" w:color="auto"/>
                    <w:bottom w:val="none" w:sz="0" w:space="0" w:color="auto"/>
                    <w:right w:val="none" w:sz="0" w:space="0" w:color="auto"/>
                  </w:divBdr>
                </w:div>
              </w:divsChild>
            </w:div>
            <w:div w:id="1729575790">
              <w:marLeft w:val="0"/>
              <w:marRight w:val="0"/>
              <w:marTop w:val="0"/>
              <w:marBottom w:val="0"/>
              <w:divBdr>
                <w:top w:val="none" w:sz="0" w:space="0" w:color="auto"/>
                <w:left w:val="none" w:sz="0" w:space="0" w:color="auto"/>
                <w:bottom w:val="none" w:sz="0" w:space="0" w:color="auto"/>
                <w:right w:val="none" w:sz="0" w:space="0" w:color="auto"/>
              </w:divBdr>
              <w:divsChild>
                <w:div w:id="18397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80654">
          <w:marLeft w:val="0"/>
          <w:marRight w:val="0"/>
          <w:marTop w:val="0"/>
          <w:marBottom w:val="0"/>
          <w:divBdr>
            <w:top w:val="none" w:sz="0" w:space="0" w:color="auto"/>
            <w:left w:val="none" w:sz="0" w:space="0" w:color="auto"/>
            <w:bottom w:val="none" w:sz="0" w:space="0" w:color="auto"/>
            <w:right w:val="none" w:sz="0" w:space="0" w:color="auto"/>
          </w:divBdr>
          <w:divsChild>
            <w:div w:id="1132940902">
              <w:marLeft w:val="0"/>
              <w:marRight w:val="0"/>
              <w:marTop w:val="0"/>
              <w:marBottom w:val="0"/>
              <w:divBdr>
                <w:top w:val="none" w:sz="0" w:space="0" w:color="auto"/>
                <w:left w:val="none" w:sz="0" w:space="0" w:color="auto"/>
                <w:bottom w:val="none" w:sz="0" w:space="0" w:color="auto"/>
                <w:right w:val="none" w:sz="0" w:space="0" w:color="auto"/>
              </w:divBdr>
              <w:divsChild>
                <w:div w:id="6695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28355">
          <w:marLeft w:val="0"/>
          <w:marRight w:val="0"/>
          <w:marTop w:val="0"/>
          <w:marBottom w:val="0"/>
          <w:divBdr>
            <w:top w:val="none" w:sz="0" w:space="0" w:color="auto"/>
            <w:left w:val="none" w:sz="0" w:space="0" w:color="auto"/>
            <w:bottom w:val="none" w:sz="0" w:space="0" w:color="auto"/>
            <w:right w:val="none" w:sz="0" w:space="0" w:color="auto"/>
          </w:divBdr>
          <w:divsChild>
            <w:div w:id="1290816425">
              <w:marLeft w:val="0"/>
              <w:marRight w:val="0"/>
              <w:marTop w:val="0"/>
              <w:marBottom w:val="0"/>
              <w:divBdr>
                <w:top w:val="none" w:sz="0" w:space="0" w:color="auto"/>
                <w:left w:val="none" w:sz="0" w:space="0" w:color="auto"/>
                <w:bottom w:val="none" w:sz="0" w:space="0" w:color="auto"/>
                <w:right w:val="none" w:sz="0" w:space="0" w:color="auto"/>
              </w:divBdr>
              <w:divsChild>
                <w:div w:id="51905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700294">
      <w:bodyDiv w:val="1"/>
      <w:marLeft w:val="0"/>
      <w:marRight w:val="0"/>
      <w:marTop w:val="0"/>
      <w:marBottom w:val="0"/>
      <w:divBdr>
        <w:top w:val="none" w:sz="0" w:space="0" w:color="auto"/>
        <w:left w:val="none" w:sz="0" w:space="0" w:color="auto"/>
        <w:bottom w:val="none" w:sz="0" w:space="0" w:color="auto"/>
        <w:right w:val="none" w:sz="0" w:space="0" w:color="auto"/>
      </w:divBdr>
      <w:divsChild>
        <w:div w:id="1337221084">
          <w:marLeft w:val="0"/>
          <w:marRight w:val="0"/>
          <w:marTop w:val="0"/>
          <w:marBottom w:val="0"/>
          <w:divBdr>
            <w:top w:val="none" w:sz="0" w:space="0" w:color="auto"/>
            <w:left w:val="none" w:sz="0" w:space="0" w:color="auto"/>
            <w:bottom w:val="none" w:sz="0" w:space="0" w:color="auto"/>
            <w:right w:val="none" w:sz="0" w:space="0" w:color="auto"/>
          </w:divBdr>
          <w:divsChild>
            <w:div w:id="1223368994">
              <w:marLeft w:val="0"/>
              <w:marRight w:val="0"/>
              <w:marTop w:val="0"/>
              <w:marBottom w:val="0"/>
              <w:divBdr>
                <w:top w:val="none" w:sz="0" w:space="0" w:color="auto"/>
                <w:left w:val="none" w:sz="0" w:space="0" w:color="auto"/>
                <w:bottom w:val="none" w:sz="0" w:space="0" w:color="auto"/>
                <w:right w:val="none" w:sz="0" w:space="0" w:color="auto"/>
              </w:divBdr>
              <w:divsChild>
                <w:div w:id="827357631">
                  <w:marLeft w:val="0"/>
                  <w:marRight w:val="0"/>
                  <w:marTop w:val="0"/>
                  <w:marBottom w:val="0"/>
                  <w:divBdr>
                    <w:top w:val="none" w:sz="0" w:space="0" w:color="auto"/>
                    <w:left w:val="none" w:sz="0" w:space="0" w:color="auto"/>
                    <w:bottom w:val="none" w:sz="0" w:space="0" w:color="auto"/>
                    <w:right w:val="none" w:sz="0" w:space="0" w:color="auto"/>
                  </w:divBdr>
                </w:div>
              </w:divsChild>
            </w:div>
            <w:div w:id="162743082">
              <w:marLeft w:val="0"/>
              <w:marRight w:val="0"/>
              <w:marTop w:val="0"/>
              <w:marBottom w:val="0"/>
              <w:divBdr>
                <w:top w:val="none" w:sz="0" w:space="0" w:color="auto"/>
                <w:left w:val="none" w:sz="0" w:space="0" w:color="auto"/>
                <w:bottom w:val="none" w:sz="0" w:space="0" w:color="auto"/>
                <w:right w:val="none" w:sz="0" w:space="0" w:color="auto"/>
              </w:divBdr>
              <w:divsChild>
                <w:div w:id="86274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8112">
          <w:marLeft w:val="0"/>
          <w:marRight w:val="0"/>
          <w:marTop w:val="0"/>
          <w:marBottom w:val="0"/>
          <w:divBdr>
            <w:top w:val="none" w:sz="0" w:space="0" w:color="auto"/>
            <w:left w:val="none" w:sz="0" w:space="0" w:color="auto"/>
            <w:bottom w:val="none" w:sz="0" w:space="0" w:color="auto"/>
            <w:right w:val="none" w:sz="0" w:space="0" w:color="auto"/>
          </w:divBdr>
          <w:divsChild>
            <w:div w:id="133644676">
              <w:marLeft w:val="0"/>
              <w:marRight w:val="0"/>
              <w:marTop w:val="0"/>
              <w:marBottom w:val="0"/>
              <w:divBdr>
                <w:top w:val="none" w:sz="0" w:space="0" w:color="auto"/>
                <w:left w:val="none" w:sz="0" w:space="0" w:color="auto"/>
                <w:bottom w:val="none" w:sz="0" w:space="0" w:color="auto"/>
                <w:right w:val="none" w:sz="0" w:space="0" w:color="auto"/>
              </w:divBdr>
              <w:divsChild>
                <w:div w:id="3218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542736">
          <w:marLeft w:val="0"/>
          <w:marRight w:val="0"/>
          <w:marTop w:val="0"/>
          <w:marBottom w:val="0"/>
          <w:divBdr>
            <w:top w:val="none" w:sz="0" w:space="0" w:color="auto"/>
            <w:left w:val="none" w:sz="0" w:space="0" w:color="auto"/>
            <w:bottom w:val="none" w:sz="0" w:space="0" w:color="auto"/>
            <w:right w:val="none" w:sz="0" w:space="0" w:color="auto"/>
          </w:divBdr>
          <w:divsChild>
            <w:div w:id="842352258">
              <w:marLeft w:val="0"/>
              <w:marRight w:val="0"/>
              <w:marTop w:val="0"/>
              <w:marBottom w:val="0"/>
              <w:divBdr>
                <w:top w:val="none" w:sz="0" w:space="0" w:color="auto"/>
                <w:left w:val="none" w:sz="0" w:space="0" w:color="auto"/>
                <w:bottom w:val="none" w:sz="0" w:space="0" w:color="auto"/>
                <w:right w:val="none" w:sz="0" w:space="0" w:color="auto"/>
              </w:divBdr>
              <w:divsChild>
                <w:div w:id="180330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12</Pages>
  <Words>2815</Words>
  <Characters>16049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 sharma</dc:creator>
  <cp:keywords/>
  <dc:description/>
  <cp:lastModifiedBy>yesh sharma</cp:lastModifiedBy>
  <cp:revision>30</cp:revision>
  <dcterms:created xsi:type="dcterms:W3CDTF">2023-05-28T07:39:00Z</dcterms:created>
  <dcterms:modified xsi:type="dcterms:W3CDTF">2023-07-30T06:55:00Z</dcterms:modified>
</cp:coreProperties>
</file>