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BC7" w:rsidRPr="00A061DB" w:rsidRDefault="00C54BC7" w:rsidP="00F862A0">
      <w:pPr>
        <w:jc w:val="center"/>
        <w:rPr>
          <w:b/>
          <w:sz w:val="44"/>
          <w:szCs w:val="44"/>
        </w:rPr>
      </w:pPr>
      <w:r w:rsidRPr="00A061DB">
        <w:rPr>
          <w:b/>
          <w:sz w:val="44"/>
          <w:szCs w:val="44"/>
        </w:rPr>
        <w:t>Hypervalent Iodine Reagents:  Versatile Reagents in Synthetic Chemistry</w:t>
      </w:r>
    </w:p>
    <w:p w:rsidR="00C54BC7" w:rsidRPr="003219AB" w:rsidRDefault="00C54BC7" w:rsidP="00F862A0">
      <w:pPr>
        <w:jc w:val="both"/>
        <w:rPr>
          <w:shd w:val="clear" w:color="auto" w:fill="FFFFFF"/>
        </w:rPr>
      </w:pPr>
    </w:p>
    <w:p w:rsidR="00C54BC7" w:rsidRPr="00F862A0" w:rsidRDefault="00C54BC7" w:rsidP="00F862A0">
      <w:pPr>
        <w:jc w:val="center"/>
        <w:rPr>
          <w:sz w:val="20"/>
          <w:szCs w:val="20"/>
        </w:rPr>
      </w:pPr>
      <w:r w:rsidRPr="00F862A0">
        <w:rPr>
          <w:sz w:val="20"/>
          <w:szCs w:val="20"/>
          <w:shd w:val="clear" w:color="auto" w:fill="FFFFFF"/>
        </w:rPr>
        <w:t xml:space="preserve">Dr. Nitya </w:t>
      </w:r>
      <w:r w:rsidR="00290540" w:rsidRPr="00F862A0">
        <w:rPr>
          <w:sz w:val="20"/>
          <w:szCs w:val="20"/>
          <w:shd w:val="clear" w:color="auto" w:fill="FFFFFF"/>
        </w:rPr>
        <w:t>Kaushik</w:t>
      </w:r>
      <w:r w:rsidRPr="00F862A0">
        <w:rPr>
          <w:sz w:val="20"/>
          <w:szCs w:val="20"/>
          <w:shd w:val="clear" w:color="auto" w:fill="FFFFFF"/>
        </w:rPr>
        <w:t>*</w:t>
      </w:r>
    </w:p>
    <w:p w:rsidR="00C54BC7" w:rsidRPr="00F862A0" w:rsidRDefault="00F862A0" w:rsidP="00F862A0">
      <w:pPr>
        <w:pStyle w:val="Caption"/>
        <w:jc w:val="center"/>
        <w:rPr>
          <w:b w:val="0"/>
          <w:sz w:val="20"/>
          <w:szCs w:val="20"/>
          <w:shd w:val="clear" w:color="auto" w:fill="FFFFFF"/>
        </w:rPr>
      </w:pPr>
      <w:r w:rsidRPr="00F862A0">
        <w:rPr>
          <w:b w:val="0"/>
          <w:sz w:val="20"/>
          <w:szCs w:val="20"/>
          <w:shd w:val="clear" w:color="auto" w:fill="FFFFFF"/>
        </w:rPr>
        <w:t>*Department of Chemistry</w:t>
      </w:r>
    </w:p>
    <w:p w:rsidR="00F862A0" w:rsidRPr="00F862A0" w:rsidRDefault="00F862A0" w:rsidP="00F862A0">
      <w:pPr>
        <w:jc w:val="center"/>
        <w:rPr>
          <w:sz w:val="20"/>
          <w:szCs w:val="20"/>
          <w:shd w:val="clear" w:color="auto" w:fill="FFFFFF"/>
        </w:rPr>
      </w:pPr>
      <w:r w:rsidRPr="00F862A0">
        <w:rPr>
          <w:sz w:val="20"/>
          <w:szCs w:val="20"/>
          <w:shd w:val="clear" w:color="auto" w:fill="FFFFFF"/>
        </w:rPr>
        <w:t>Mukand Lal National College</w:t>
      </w:r>
    </w:p>
    <w:p w:rsidR="00C54BC7" w:rsidRPr="00C54BC7" w:rsidRDefault="00F862A0" w:rsidP="00F862A0">
      <w:pPr>
        <w:jc w:val="center"/>
        <w:rPr>
          <w:sz w:val="20"/>
          <w:szCs w:val="20"/>
        </w:rPr>
      </w:pPr>
      <w:r w:rsidRPr="00F862A0">
        <w:rPr>
          <w:sz w:val="20"/>
          <w:szCs w:val="20"/>
          <w:shd w:val="clear" w:color="auto" w:fill="FFFFFF"/>
        </w:rPr>
        <w:t>Yamuna Nagar, Haryana, India</w:t>
      </w:r>
    </w:p>
    <w:p w:rsidR="00C54BC7" w:rsidRDefault="00C54BC7" w:rsidP="00F862A0">
      <w:pPr>
        <w:pStyle w:val="Caption"/>
        <w:jc w:val="center"/>
        <w:rPr>
          <w:rStyle w:val="Hyperlink"/>
          <w:b w:val="0"/>
          <w:i/>
          <w:sz w:val="20"/>
          <w:szCs w:val="20"/>
        </w:rPr>
      </w:pPr>
      <w:r w:rsidRPr="00C54BC7">
        <w:rPr>
          <w:sz w:val="20"/>
          <w:szCs w:val="20"/>
        </w:rPr>
        <w:t>*</w:t>
      </w:r>
      <w:hyperlink r:id="rId8" w:history="1">
        <w:r w:rsidRPr="00C54BC7">
          <w:rPr>
            <w:rStyle w:val="Hyperlink"/>
            <w:b w:val="0"/>
            <w:i/>
            <w:sz w:val="20"/>
            <w:szCs w:val="20"/>
          </w:rPr>
          <w:t>nityasharma@mlncollegeynr.ac.in</w:t>
        </w:r>
      </w:hyperlink>
    </w:p>
    <w:p w:rsidR="00B65FA0" w:rsidRPr="0029509A" w:rsidRDefault="007C3EE7" w:rsidP="00F862A0">
      <w:pPr>
        <w:pStyle w:val="Caption"/>
        <w:spacing w:before="100" w:beforeAutospacing="1"/>
        <w:jc w:val="center"/>
        <w:rPr>
          <w:rStyle w:val="Strong"/>
          <w:b/>
          <w:bCs/>
          <w:sz w:val="20"/>
          <w:szCs w:val="20"/>
          <w:shd w:val="clear" w:color="auto" w:fill="FFFFFF"/>
        </w:rPr>
      </w:pPr>
      <w:r w:rsidRPr="0029509A">
        <w:rPr>
          <w:rStyle w:val="Strong"/>
          <w:b/>
          <w:bCs/>
          <w:sz w:val="20"/>
          <w:szCs w:val="20"/>
          <w:shd w:val="clear" w:color="auto" w:fill="FFFFFF"/>
        </w:rPr>
        <w:t>ABSTRACT</w:t>
      </w:r>
    </w:p>
    <w:p w:rsidR="00290540" w:rsidRPr="0029509A" w:rsidRDefault="00290540" w:rsidP="00290540">
      <w:pPr>
        <w:rPr>
          <w:sz w:val="20"/>
          <w:szCs w:val="20"/>
        </w:rPr>
      </w:pPr>
    </w:p>
    <w:p w:rsidR="008E6A90" w:rsidRDefault="008E6A90" w:rsidP="00B502E7">
      <w:pPr>
        <w:pStyle w:val="NormalWeb"/>
        <w:spacing w:after="0" w:line="240" w:lineRule="auto"/>
        <w:ind w:firstLine="720"/>
        <w:jc w:val="both"/>
        <w:rPr>
          <w:rStyle w:val="apple-converted-space"/>
          <w:sz w:val="20"/>
          <w:szCs w:val="20"/>
        </w:rPr>
      </w:pPr>
      <w:r w:rsidRPr="008E6A90">
        <w:rPr>
          <w:sz w:val="20"/>
          <w:szCs w:val="20"/>
        </w:rPr>
        <w:t>The plethora of reactions that may be carried out with organohypervalent iodine reagents in outstanding yield and selectivity has made them more desirable and adaptable organic synthesis reagents in recent years.</w:t>
      </w:r>
      <w:r>
        <w:rPr>
          <w:sz w:val="20"/>
          <w:szCs w:val="20"/>
        </w:rPr>
        <w:t xml:space="preserve"> </w:t>
      </w:r>
      <w:r w:rsidR="008F115F" w:rsidRPr="0029509A">
        <w:rPr>
          <w:rFonts w:eastAsiaTheme="minorHAnsi"/>
          <w:sz w:val="20"/>
          <w:szCs w:val="20"/>
        </w:rPr>
        <w:t xml:space="preserve">Hypervalent iodine </w:t>
      </w:r>
      <w:r w:rsidR="008F115F" w:rsidRPr="0029509A">
        <w:rPr>
          <w:color w:val="1C1D1E"/>
          <w:sz w:val="20"/>
          <w:szCs w:val="20"/>
          <w:shd w:val="clear" w:color="auto" w:fill="FFFFFF"/>
        </w:rPr>
        <w:t xml:space="preserve">reagents </w:t>
      </w:r>
      <w:r w:rsidR="001457A8" w:rsidRPr="0029509A">
        <w:rPr>
          <w:color w:val="1C1D1E"/>
          <w:sz w:val="20"/>
          <w:szCs w:val="20"/>
          <w:shd w:val="clear" w:color="auto" w:fill="FFFFFF"/>
        </w:rPr>
        <w:t xml:space="preserve">in comparison with toxic heavy metal reagents </w:t>
      </w:r>
      <w:r w:rsidR="008F115F" w:rsidRPr="0029509A">
        <w:rPr>
          <w:color w:val="1C1D1E"/>
          <w:sz w:val="20"/>
          <w:szCs w:val="20"/>
          <w:shd w:val="clear" w:color="auto" w:fill="FFFFFF"/>
        </w:rPr>
        <w:t xml:space="preserve">are milder and having </w:t>
      </w:r>
      <w:r w:rsidR="001457A8" w:rsidRPr="0029509A">
        <w:rPr>
          <w:color w:val="1C1D1E"/>
          <w:sz w:val="20"/>
          <w:szCs w:val="20"/>
          <w:shd w:val="clear" w:color="auto" w:fill="FFFFFF"/>
        </w:rPr>
        <w:t>similar reactivity</w:t>
      </w:r>
      <w:r w:rsidR="008F115F" w:rsidRPr="0029509A">
        <w:rPr>
          <w:color w:val="1C1D1E"/>
          <w:sz w:val="20"/>
          <w:szCs w:val="20"/>
          <w:shd w:val="clear" w:color="auto" w:fill="FFFFFF"/>
        </w:rPr>
        <w:t>.</w:t>
      </w:r>
      <w:r w:rsidR="008F115F" w:rsidRPr="0029509A">
        <w:rPr>
          <w:rFonts w:eastAsiaTheme="minorHAnsi"/>
          <w:sz w:val="20"/>
          <w:szCs w:val="20"/>
        </w:rPr>
        <w:t xml:space="preserve"> Heterocyclic </w:t>
      </w:r>
      <w:r w:rsidR="005F36F0" w:rsidRPr="0029509A">
        <w:rPr>
          <w:rFonts w:eastAsiaTheme="minorHAnsi"/>
          <w:sz w:val="20"/>
          <w:szCs w:val="20"/>
        </w:rPr>
        <w:t>compounds are</w:t>
      </w:r>
      <w:r w:rsidR="008F115F" w:rsidRPr="0029509A">
        <w:rPr>
          <w:rFonts w:eastAsiaTheme="minorHAnsi"/>
          <w:sz w:val="20"/>
          <w:szCs w:val="20"/>
        </w:rPr>
        <w:t xml:space="preserve"> biologically active </w:t>
      </w:r>
      <w:r w:rsidR="005F36F0" w:rsidRPr="0029509A">
        <w:rPr>
          <w:rFonts w:eastAsiaTheme="minorHAnsi"/>
          <w:sz w:val="20"/>
          <w:szCs w:val="20"/>
        </w:rPr>
        <w:t xml:space="preserve">molecules </w:t>
      </w:r>
      <w:r w:rsidR="008F115F" w:rsidRPr="0029509A">
        <w:rPr>
          <w:rFonts w:eastAsiaTheme="minorHAnsi"/>
          <w:sz w:val="20"/>
          <w:szCs w:val="20"/>
        </w:rPr>
        <w:t xml:space="preserve">and are </w:t>
      </w:r>
      <w:r w:rsidR="001457A8" w:rsidRPr="0029509A">
        <w:rPr>
          <w:rFonts w:eastAsiaTheme="minorHAnsi"/>
          <w:sz w:val="20"/>
          <w:szCs w:val="20"/>
        </w:rPr>
        <w:t>generally</w:t>
      </w:r>
      <w:r w:rsidR="008F115F" w:rsidRPr="0029509A">
        <w:rPr>
          <w:rFonts w:eastAsiaTheme="minorHAnsi"/>
          <w:sz w:val="20"/>
          <w:szCs w:val="20"/>
        </w:rPr>
        <w:t xml:space="preserve"> </w:t>
      </w:r>
      <w:r w:rsidR="005F36F0" w:rsidRPr="0029509A">
        <w:rPr>
          <w:rFonts w:eastAsiaTheme="minorHAnsi"/>
          <w:sz w:val="20"/>
          <w:szCs w:val="20"/>
        </w:rPr>
        <w:t>used</w:t>
      </w:r>
      <w:r w:rsidR="008F115F" w:rsidRPr="0029509A">
        <w:rPr>
          <w:rFonts w:eastAsiaTheme="minorHAnsi"/>
          <w:sz w:val="20"/>
          <w:szCs w:val="20"/>
        </w:rPr>
        <w:t xml:space="preserve"> in the </w:t>
      </w:r>
      <w:r w:rsidR="001457A8" w:rsidRPr="0029509A">
        <w:rPr>
          <w:rFonts w:eastAsiaTheme="minorHAnsi"/>
          <w:sz w:val="20"/>
          <w:szCs w:val="20"/>
        </w:rPr>
        <w:t>formation</w:t>
      </w:r>
      <w:r w:rsidR="008F115F" w:rsidRPr="0029509A">
        <w:rPr>
          <w:rFonts w:eastAsiaTheme="minorHAnsi"/>
          <w:sz w:val="20"/>
          <w:szCs w:val="20"/>
        </w:rPr>
        <w:t xml:space="preserve"> of, agrochemicals, </w:t>
      </w:r>
      <w:r w:rsidR="001457A8" w:rsidRPr="0029509A">
        <w:rPr>
          <w:rFonts w:eastAsiaTheme="minorHAnsi"/>
          <w:sz w:val="20"/>
          <w:szCs w:val="20"/>
        </w:rPr>
        <w:t>drugs</w:t>
      </w:r>
      <w:r w:rsidR="005F36F0" w:rsidRPr="0029509A">
        <w:rPr>
          <w:rFonts w:eastAsiaTheme="minorHAnsi"/>
          <w:sz w:val="20"/>
          <w:szCs w:val="20"/>
        </w:rPr>
        <w:t xml:space="preserve">, </w:t>
      </w:r>
      <w:r w:rsidR="008F115F" w:rsidRPr="0029509A">
        <w:rPr>
          <w:rFonts w:eastAsiaTheme="minorHAnsi"/>
          <w:sz w:val="20"/>
          <w:szCs w:val="20"/>
        </w:rPr>
        <w:t>polymeric materials</w:t>
      </w:r>
      <w:r w:rsidR="005F36F0" w:rsidRPr="0029509A">
        <w:rPr>
          <w:rFonts w:eastAsiaTheme="minorHAnsi"/>
          <w:sz w:val="20"/>
          <w:szCs w:val="20"/>
        </w:rPr>
        <w:t xml:space="preserve"> and dyes</w:t>
      </w:r>
      <w:r w:rsidR="008F115F" w:rsidRPr="0029509A">
        <w:rPr>
          <w:rFonts w:eastAsiaTheme="minorHAnsi"/>
          <w:sz w:val="20"/>
          <w:szCs w:val="20"/>
        </w:rPr>
        <w:t>.</w:t>
      </w:r>
      <w:r w:rsidR="008F115F" w:rsidRPr="0029509A">
        <w:rPr>
          <w:rFonts w:eastAsiaTheme="minorHAnsi"/>
          <w:sz w:val="20"/>
          <w:szCs w:val="20"/>
          <w:vertAlign w:val="superscript"/>
        </w:rPr>
        <w:t xml:space="preserve"> </w:t>
      </w:r>
      <w:r w:rsidR="008F115F" w:rsidRPr="0029509A">
        <w:rPr>
          <w:rStyle w:val="apple-converted-space"/>
          <w:sz w:val="20"/>
          <w:szCs w:val="20"/>
        </w:rPr>
        <w:t xml:space="preserve">Organic chemists have been engaged in developing a number of newer reagents to synthesize such kind of heterocyclic compounds. </w:t>
      </w:r>
      <w:r w:rsidRPr="008E6A90">
        <w:rPr>
          <w:rStyle w:val="apple-converted-space"/>
          <w:sz w:val="20"/>
          <w:szCs w:val="20"/>
        </w:rPr>
        <w:t xml:space="preserve">Due to their low toxicity, simple handling, and generally benign nature, organohypervalent iodine compounds have garnered a great deal of interest for use in organic synthesis. </w:t>
      </w:r>
    </w:p>
    <w:p w:rsidR="00BD6A6B" w:rsidRPr="0029509A" w:rsidRDefault="00791442" w:rsidP="008E6A90">
      <w:pPr>
        <w:pStyle w:val="NormalWeb"/>
        <w:spacing w:after="0" w:line="240" w:lineRule="auto"/>
        <w:jc w:val="both"/>
        <w:rPr>
          <w:b/>
          <w:sz w:val="20"/>
          <w:szCs w:val="20"/>
        </w:rPr>
      </w:pPr>
      <w:r w:rsidRPr="0029509A">
        <w:rPr>
          <w:rStyle w:val="Strong"/>
          <w:sz w:val="20"/>
          <w:szCs w:val="20"/>
          <w:shd w:val="clear" w:color="auto" w:fill="FFFFFF"/>
        </w:rPr>
        <w:t xml:space="preserve">Keywords: </w:t>
      </w:r>
      <w:r w:rsidR="00C541E1" w:rsidRPr="0029509A">
        <w:rPr>
          <w:rFonts w:eastAsiaTheme="minorHAnsi"/>
          <w:sz w:val="20"/>
          <w:szCs w:val="20"/>
        </w:rPr>
        <w:t>Organohypervalent iodine reagents, heterocyclic compounds,</w:t>
      </w:r>
      <w:r w:rsidR="00C541E1" w:rsidRPr="0029509A">
        <w:rPr>
          <w:sz w:val="20"/>
          <w:szCs w:val="20"/>
        </w:rPr>
        <w:t xml:space="preserve"> iodobenzene diacetate, </w:t>
      </w:r>
      <w:r w:rsidR="00C541E1" w:rsidRPr="0029509A">
        <w:rPr>
          <w:rFonts w:eastAsiaTheme="minorHAnsi"/>
          <w:sz w:val="20"/>
          <w:szCs w:val="20"/>
        </w:rPr>
        <w:t>iodosylbenzene,</w:t>
      </w:r>
      <w:r w:rsidR="00C541E1" w:rsidRPr="0029509A">
        <w:rPr>
          <w:sz w:val="20"/>
          <w:szCs w:val="20"/>
        </w:rPr>
        <w:t xml:space="preserve"> dichloroiodobenzene</w:t>
      </w:r>
      <w:r w:rsidR="00562B8E" w:rsidRPr="0029509A">
        <w:rPr>
          <w:sz w:val="20"/>
          <w:szCs w:val="20"/>
        </w:rPr>
        <w:t>,</w:t>
      </w:r>
      <w:r w:rsidR="00C541E1" w:rsidRPr="0029509A">
        <w:rPr>
          <w:sz w:val="20"/>
          <w:szCs w:val="20"/>
        </w:rPr>
        <w:t xml:space="preserve"> [hydroxy(tosyloxy)iodo] benzene</w:t>
      </w:r>
      <w:r w:rsidR="007E3D9D" w:rsidRPr="0029509A">
        <w:rPr>
          <w:sz w:val="20"/>
          <w:szCs w:val="20"/>
        </w:rPr>
        <w:t>.</w:t>
      </w:r>
    </w:p>
    <w:p w:rsidR="00290540" w:rsidRPr="0029509A" w:rsidRDefault="00290540" w:rsidP="00290540">
      <w:pPr>
        <w:rPr>
          <w:sz w:val="20"/>
          <w:szCs w:val="20"/>
        </w:rPr>
      </w:pPr>
    </w:p>
    <w:p w:rsidR="00791442" w:rsidRDefault="007C3EE7" w:rsidP="00B410FC">
      <w:pPr>
        <w:pStyle w:val="Caption"/>
        <w:numPr>
          <w:ilvl w:val="0"/>
          <w:numId w:val="30"/>
        </w:numPr>
        <w:jc w:val="center"/>
        <w:rPr>
          <w:rStyle w:val="Strong"/>
          <w:b/>
          <w:bCs/>
          <w:sz w:val="20"/>
          <w:szCs w:val="20"/>
          <w:shd w:val="clear" w:color="auto" w:fill="FFFFFF"/>
        </w:rPr>
      </w:pPr>
      <w:r w:rsidRPr="0029509A">
        <w:rPr>
          <w:rStyle w:val="Strong"/>
          <w:b/>
          <w:bCs/>
          <w:sz w:val="20"/>
          <w:szCs w:val="20"/>
          <w:shd w:val="clear" w:color="auto" w:fill="FFFFFF"/>
        </w:rPr>
        <w:t>INTRODUCTION</w:t>
      </w:r>
    </w:p>
    <w:p w:rsidR="00B502E7" w:rsidRPr="00B502E7" w:rsidRDefault="00B502E7" w:rsidP="00B502E7"/>
    <w:p w:rsidR="000034FF" w:rsidRDefault="000034FF" w:rsidP="00B502E7">
      <w:pPr>
        <w:autoSpaceDE w:val="0"/>
        <w:autoSpaceDN w:val="0"/>
        <w:adjustRightInd w:val="0"/>
        <w:ind w:firstLine="360"/>
        <w:jc w:val="both"/>
        <w:rPr>
          <w:sz w:val="20"/>
          <w:szCs w:val="20"/>
        </w:rPr>
      </w:pPr>
      <w:r w:rsidRPr="000034FF">
        <w:rPr>
          <w:sz w:val="20"/>
          <w:szCs w:val="20"/>
        </w:rPr>
        <w:t xml:space="preserve">These compounds are referred to as "hypervalent" because they contain donor atoms that have more valences than would be predicted by conventional theory. The strong electrophilic character of the iodine combined with the phenyliodonio group's tendency to leave groups make these chemicals more reactive to nucleophilic attack. </w:t>
      </w:r>
    </w:p>
    <w:p w:rsidR="00725C9C" w:rsidRPr="0029509A" w:rsidRDefault="00F81B53" w:rsidP="00B502E7">
      <w:pPr>
        <w:autoSpaceDE w:val="0"/>
        <w:autoSpaceDN w:val="0"/>
        <w:adjustRightInd w:val="0"/>
        <w:ind w:firstLine="360"/>
        <w:jc w:val="both"/>
        <w:rPr>
          <w:color w:val="000000"/>
          <w:sz w:val="20"/>
          <w:szCs w:val="20"/>
        </w:rPr>
      </w:pPr>
      <w:r w:rsidRPr="00F81B53">
        <w:rPr>
          <w:sz w:val="20"/>
          <w:szCs w:val="20"/>
        </w:rPr>
        <w:t>Our and other research groups' numerous beneficial oxidative changes using iodine(III) have demonstrated that</w:t>
      </w:r>
      <w:r w:rsidR="00235AB2" w:rsidRPr="0029509A">
        <w:rPr>
          <w:sz w:val="20"/>
          <w:szCs w:val="20"/>
        </w:rPr>
        <w:t xml:space="preserve"> [hydroxy(tosyloxy)iodo] benzene (HTIB; Koser’s reagent)</w:t>
      </w:r>
      <w:r>
        <w:rPr>
          <w:sz w:val="20"/>
          <w:szCs w:val="20"/>
        </w:rPr>
        <w:t>,</w:t>
      </w:r>
      <w:r w:rsidRPr="00F81B53">
        <w:rPr>
          <w:sz w:val="20"/>
          <w:szCs w:val="20"/>
        </w:rPr>
        <w:t xml:space="preserve"> </w:t>
      </w:r>
      <w:r w:rsidRPr="0029509A">
        <w:rPr>
          <w:sz w:val="20"/>
          <w:szCs w:val="20"/>
        </w:rPr>
        <w:t>dichloroiodobenzene (</w:t>
      </w:r>
      <w:r w:rsidRPr="0029509A">
        <w:rPr>
          <w:rFonts w:eastAsiaTheme="minorHAnsi"/>
          <w:sz w:val="20"/>
          <w:szCs w:val="20"/>
          <w:lang w:val="en-IN"/>
        </w:rPr>
        <w:t>PhICl</w:t>
      </w:r>
      <w:r w:rsidRPr="0029509A">
        <w:rPr>
          <w:rFonts w:eastAsiaTheme="minorHAnsi"/>
          <w:sz w:val="20"/>
          <w:szCs w:val="20"/>
          <w:vertAlign w:val="subscript"/>
          <w:lang w:val="en-IN"/>
        </w:rPr>
        <w:t>2</w:t>
      </w:r>
      <w:r w:rsidRPr="0029509A">
        <w:rPr>
          <w:rFonts w:eastAsiaTheme="minorHAnsi"/>
          <w:sz w:val="20"/>
          <w:szCs w:val="20"/>
          <w:lang w:val="en-IN"/>
        </w:rPr>
        <w:t>)</w:t>
      </w:r>
      <w:r w:rsidRPr="0029509A">
        <w:rPr>
          <w:sz w:val="20"/>
          <w:szCs w:val="20"/>
        </w:rPr>
        <w:t>,</w:t>
      </w:r>
      <w:r w:rsidR="00930EED" w:rsidRPr="0029509A">
        <w:rPr>
          <w:sz w:val="20"/>
          <w:szCs w:val="20"/>
        </w:rPr>
        <w:t xml:space="preserve"> iodobenzene diacetate (IBD), </w:t>
      </w:r>
      <w:r w:rsidR="00EE6252" w:rsidRPr="0029509A">
        <w:rPr>
          <w:rFonts w:eastAsiaTheme="minorHAnsi"/>
          <w:sz w:val="20"/>
          <w:szCs w:val="20"/>
          <w:lang w:val="en-IN"/>
        </w:rPr>
        <w:t>iodosylbenzene (PhIO)</w:t>
      </w:r>
      <w:r w:rsidR="00EE6252" w:rsidRPr="0029509A">
        <w:rPr>
          <w:rFonts w:eastAsiaTheme="minorHAnsi"/>
          <w:sz w:val="20"/>
          <w:szCs w:val="20"/>
          <w:vertAlign w:val="subscript"/>
          <w:lang w:val="en-IN"/>
        </w:rPr>
        <w:t>n</w:t>
      </w:r>
      <w:r w:rsidR="00EE6252" w:rsidRPr="0029509A">
        <w:rPr>
          <w:rFonts w:eastAsiaTheme="minorHAnsi"/>
          <w:sz w:val="20"/>
          <w:szCs w:val="20"/>
          <w:lang w:val="en-IN"/>
        </w:rPr>
        <w:t>,</w:t>
      </w:r>
      <w:r w:rsidR="00EE6252" w:rsidRPr="0029509A">
        <w:rPr>
          <w:sz w:val="20"/>
          <w:szCs w:val="20"/>
        </w:rPr>
        <w:t xml:space="preserve"> </w:t>
      </w:r>
      <w:r w:rsidR="00381C34" w:rsidRPr="0029509A">
        <w:rPr>
          <w:rFonts w:eastAsiaTheme="minorHAnsi"/>
          <w:sz w:val="20"/>
          <w:szCs w:val="20"/>
          <w:lang w:val="en-IN"/>
        </w:rPr>
        <w:t>2-iodoxy-benzoic acid (IBX)</w:t>
      </w:r>
      <w:r w:rsidR="00D911FC">
        <w:rPr>
          <w:rFonts w:eastAsiaTheme="minorHAnsi"/>
          <w:sz w:val="20"/>
          <w:szCs w:val="20"/>
          <w:lang w:val="en-IN"/>
        </w:rPr>
        <w:t xml:space="preserve"> </w:t>
      </w:r>
      <w:r w:rsidR="00364404" w:rsidRPr="0029509A">
        <w:rPr>
          <w:sz w:val="20"/>
          <w:szCs w:val="20"/>
        </w:rPr>
        <w:t xml:space="preserve">etc. </w:t>
      </w:r>
      <w:r w:rsidR="00D911FC" w:rsidRPr="00D911FC">
        <w:rPr>
          <w:sz w:val="20"/>
          <w:szCs w:val="20"/>
        </w:rPr>
        <w:t>discover motivating uses for the production of heterocyclic compounds</w:t>
      </w:r>
      <w:r w:rsidR="00930EED" w:rsidRPr="0029509A">
        <w:rPr>
          <w:color w:val="000000"/>
          <w:sz w:val="20"/>
          <w:szCs w:val="20"/>
        </w:rPr>
        <w:t xml:space="preserve">. </w:t>
      </w:r>
    </w:p>
    <w:p w:rsidR="00E82374" w:rsidRPr="0029509A" w:rsidRDefault="00E82374" w:rsidP="005474CD">
      <w:pPr>
        <w:autoSpaceDE w:val="0"/>
        <w:autoSpaceDN w:val="0"/>
        <w:adjustRightInd w:val="0"/>
        <w:jc w:val="both"/>
        <w:rPr>
          <w:color w:val="000000"/>
          <w:sz w:val="20"/>
          <w:szCs w:val="20"/>
        </w:rPr>
      </w:pPr>
    </w:p>
    <w:p w:rsidR="005F6C55" w:rsidRDefault="00B502E7" w:rsidP="005F6C55">
      <w:pPr>
        <w:pStyle w:val="Caption"/>
        <w:tabs>
          <w:tab w:val="left" w:pos="1350"/>
        </w:tabs>
        <w:rPr>
          <w:b w:val="0"/>
          <w:sz w:val="20"/>
          <w:szCs w:val="20"/>
        </w:rPr>
      </w:pPr>
      <w:r>
        <w:rPr>
          <w:b w:val="0"/>
          <w:sz w:val="20"/>
          <w:szCs w:val="20"/>
        </w:rPr>
        <w:tab/>
      </w:r>
      <w:r w:rsidR="00D911FC" w:rsidRPr="00D911FC">
        <w:rPr>
          <w:b w:val="0"/>
          <w:sz w:val="20"/>
          <w:szCs w:val="20"/>
        </w:rPr>
        <w:t>Numerous studies have shown that</w:t>
      </w:r>
      <w:r w:rsidR="005F6C55" w:rsidRPr="005F6C55">
        <w:rPr>
          <w:b w:val="0"/>
          <w:sz w:val="20"/>
          <w:szCs w:val="20"/>
        </w:rPr>
        <w:t xml:space="preserve"> the oxidizing nature of organic iodine reagents is their most crucial characteristic. In the synthesis of numerous selective oxidative transformations of many compl</w:t>
      </w:r>
      <w:r w:rsidR="00D911FC">
        <w:rPr>
          <w:b w:val="0"/>
          <w:sz w:val="20"/>
          <w:szCs w:val="20"/>
        </w:rPr>
        <w:t>icated</w:t>
      </w:r>
      <w:r w:rsidR="005F6C55" w:rsidRPr="005F6C55">
        <w:rPr>
          <w:b w:val="0"/>
          <w:sz w:val="20"/>
          <w:szCs w:val="20"/>
        </w:rPr>
        <w:t xml:space="preserve"> chemic</w:t>
      </w:r>
      <w:r w:rsidR="00B84D09">
        <w:rPr>
          <w:b w:val="0"/>
          <w:sz w:val="20"/>
          <w:szCs w:val="20"/>
        </w:rPr>
        <w:t>al molecules, these</w:t>
      </w:r>
      <w:r w:rsidR="005F6C55" w:rsidRPr="005F6C55">
        <w:rPr>
          <w:b w:val="0"/>
          <w:sz w:val="20"/>
          <w:szCs w:val="20"/>
        </w:rPr>
        <w:t xml:space="preserve"> reagents are now often utilized. Organohypervaleniodine reagents have grown significantly over the past several decades in synthetic organic chemistry. Despite the fact that the topic has been extensively covered in the literature throug</w:t>
      </w:r>
      <w:r w:rsidR="0034046C">
        <w:rPr>
          <w:b w:val="0"/>
          <w:sz w:val="20"/>
          <w:szCs w:val="20"/>
        </w:rPr>
        <w:t xml:space="preserve">h numerous review articles </w:t>
      </w:r>
      <w:r w:rsidR="0034046C" w:rsidRPr="0029509A">
        <w:rPr>
          <w:b w:val="0"/>
          <w:sz w:val="20"/>
          <w:szCs w:val="20"/>
          <w:vertAlign w:val="superscript"/>
        </w:rPr>
        <w:t>[1-6]</w:t>
      </w:r>
      <w:r w:rsidR="005F6C55" w:rsidRPr="005F6C55">
        <w:rPr>
          <w:b w:val="0"/>
          <w:sz w:val="20"/>
          <w:szCs w:val="20"/>
        </w:rPr>
        <w:t xml:space="preserve"> and books</w:t>
      </w:r>
      <w:r w:rsidR="0034046C">
        <w:rPr>
          <w:b w:val="0"/>
          <w:sz w:val="20"/>
          <w:szCs w:val="20"/>
        </w:rPr>
        <w:t xml:space="preserve"> </w:t>
      </w:r>
      <w:r w:rsidR="0034046C" w:rsidRPr="0029509A">
        <w:rPr>
          <w:b w:val="0"/>
          <w:sz w:val="20"/>
          <w:szCs w:val="20"/>
          <w:vertAlign w:val="superscript"/>
        </w:rPr>
        <w:t>[</w:t>
      </w:r>
      <w:r w:rsidR="0034046C">
        <w:rPr>
          <w:b w:val="0"/>
          <w:sz w:val="20"/>
          <w:szCs w:val="20"/>
          <w:vertAlign w:val="superscript"/>
        </w:rPr>
        <w:t>7</w:t>
      </w:r>
      <w:r w:rsidR="0034046C" w:rsidRPr="0029509A">
        <w:rPr>
          <w:b w:val="0"/>
          <w:sz w:val="20"/>
          <w:szCs w:val="20"/>
          <w:vertAlign w:val="superscript"/>
        </w:rPr>
        <w:t>]</w:t>
      </w:r>
      <w:r w:rsidR="005F6C55" w:rsidRPr="005F6C55">
        <w:rPr>
          <w:b w:val="0"/>
          <w:sz w:val="20"/>
          <w:szCs w:val="20"/>
        </w:rPr>
        <w:t xml:space="preserve">, there is a rising need to investigate fresh uses for these reagents. </w:t>
      </w:r>
      <w:r w:rsidR="00B84D09" w:rsidRPr="00B84D09">
        <w:rPr>
          <w:b w:val="0"/>
          <w:sz w:val="20"/>
          <w:szCs w:val="20"/>
        </w:rPr>
        <w:t xml:space="preserve">These substances have been employed to perform </w:t>
      </w:r>
      <w:r w:rsidR="005F6C55" w:rsidRPr="005F6C55">
        <w:rPr>
          <w:b w:val="0"/>
          <w:sz w:val="20"/>
          <w:szCs w:val="20"/>
        </w:rPr>
        <w:t xml:space="preserve">a wide range of </w:t>
      </w:r>
      <w:r w:rsidR="00B84D09">
        <w:rPr>
          <w:b w:val="0"/>
          <w:sz w:val="20"/>
          <w:szCs w:val="20"/>
        </w:rPr>
        <w:t>organic</w:t>
      </w:r>
      <w:r w:rsidR="005F6C55" w:rsidRPr="005F6C55">
        <w:rPr>
          <w:b w:val="0"/>
          <w:sz w:val="20"/>
          <w:szCs w:val="20"/>
        </w:rPr>
        <w:t xml:space="preserve"> transformations, including oxidative cyclizations, oxidative coupling, oxidative rearrangements, and </w:t>
      </w:r>
      <w:r w:rsidR="00D911FC">
        <w:rPr>
          <w:b w:val="0"/>
          <w:sz w:val="20"/>
          <w:szCs w:val="20"/>
        </w:rPr>
        <w:t xml:space="preserve">alpha </w:t>
      </w:r>
      <w:r w:rsidR="005F6C55" w:rsidRPr="005F6C55">
        <w:rPr>
          <w:b w:val="0"/>
          <w:sz w:val="20"/>
          <w:szCs w:val="20"/>
        </w:rPr>
        <w:t>functionalization of carbonyl compounds. Iodine(III)-mediated oxidative approach from several sources results in several beneficial changes</w:t>
      </w:r>
      <w:r w:rsidR="005F6C55">
        <w:rPr>
          <w:b w:val="0"/>
          <w:sz w:val="20"/>
          <w:szCs w:val="20"/>
        </w:rPr>
        <w:t>.</w:t>
      </w:r>
    </w:p>
    <w:p w:rsidR="0023483D" w:rsidRPr="0029509A" w:rsidRDefault="00031B1D" w:rsidP="005474CD">
      <w:pPr>
        <w:jc w:val="both"/>
        <w:rPr>
          <w:sz w:val="20"/>
          <w:szCs w:val="20"/>
        </w:rPr>
      </w:pPr>
      <w:r w:rsidRPr="0029509A">
        <w:rPr>
          <w:sz w:val="20"/>
          <w:szCs w:val="20"/>
        </w:rPr>
        <w:t>Here, synthetic utility of hypervalent iodine reagents particularly, HTIB and iodosobenzene (IB) has been described.</w:t>
      </w:r>
    </w:p>
    <w:p w:rsidR="00902A9B" w:rsidRPr="0029509A" w:rsidRDefault="00931D5A" w:rsidP="002E410A">
      <w:pPr>
        <w:jc w:val="center"/>
        <w:rPr>
          <w:color w:val="000000"/>
          <w:sz w:val="20"/>
          <w:szCs w:val="20"/>
        </w:rPr>
      </w:pPr>
      <w:r w:rsidRPr="0029509A">
        <w:rPr>
          <w:sz w:val="20"/>
          <w:szCs w:val="20"/>
        </w:rPr>
        <w:object w:dxaOrig="10866" w:dyaOrig="2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2pt;height:88.7pt" o:ole="">
            <v:imagedata r:id="rId9" o:title="" cropbottom="-540f" cropright="14176f"/>
          </v:shape>
          <o:OLEObject Type="Embed" ProgID="ChemDraw.Document.6.0" ShapeID="_x0000_i1025" DrawAspect="Content" ObjectID="_1756321434" r:id="rId10"/>
        </w:object>
      </w:r>
    </w:p>
    <w:p w:rsidR="00902A9B" w:rsidRPr="0029509A" w:rsidRDefault="00902A9B" w:rsidP="005474CD">
      <w:pPr>
        <w:jc w:val="both"/>
        <w:rPr>
          <w:color w:val="000000"/>
          <w:sz w:val="20"/>
          <w:szCs w:val="20"/>
        </w:rPr>
      </w:pPr>
    </w:p>
    <w:p w:rsidR="00902A9B" w:rsidRPr="0029509A" w:rsidRDefault="00046764" w:rsidP="00B502E7">
      <w:pPr>
        <w:ind w:firstLine="720"/>
        <w:jc w:val="both"/>
        <w:rPr>
          <w:sz w:val="20"/>
          <w:szCs w:val="20"/>
        </w:rPr>
      </w:pPr>
      <w:r w:rsidRPr="0029509A">
        <w:rPr>
          <w:color w:val="000000"/>
          <w:sz w:val="20"/>
          <w:szCs w:val="20"/>
        </w:rPr>
        <w:t xml:space="preserve">Heterocyclic compounds are considered one of the most important and extensively studied divisions of organic chemistry. Theses play a crucial role in medicinal chemistry and are of great </w:t>
      </w:r>
      <w:r w:rsidR="00290540" w:rsidRPr="0029509A">
        <w:rPr>
          <w:color w:val="000000"/>
          <w:sz w:val="20"/>
          <w:szCs w:val="20"/>
        </w:rPr>
        <w:t>interest</w:t>
      </w:r>
      <w:r w:rsidRPr="0029509A">
        <w:rPr>
          <w:color w:val="000000"/>
          <w:sz w:val="20"/>
          <w:szCs w:val="20"/>
        </w:rPr>
        <w:t xml:space="preserve"> to researchers in the pharmaceutical industry. The increasing research interest in heterocycles can be attributed to their wide range of properties and potential applications.</w:t>
      </w:r>
      <w:r w:rsidR="00183FFE" w:rsidRPr="0029509A">
        <w:rPr>
          <w:b/>
          <w:sz w:val="20"/>
          <w:szCs w:val="20"/>
          <w:vertAlign w:val="superscript"/>
        </w:rPr>
        <w:t xml:space="preserve"> [</w:t>
      </w:r>
      <w:r w:rsidR="00183FFE" w:rsidRPr="0029509A">
        <w:rPr>
          <w:rFonts w:eastAsiaTheme="minorHAnsi"/>
          <w:sz w:val="20"/>
          <w:szCs w:val="20"/>
          <w:vertAlign w:val="superscript"/>
        </w:rPr>
        <w:t>8, 9]</w:t>
      </w:r>
    </w:p>
    <w:p w:rsidR="00A836A5" w:rsidRPr="0029509A" w:rsidRDefault="00820463" w:rsidP="005474CD">
      <w:pPr>
        <w:jc w:val="both"/>
        <w:rPr>
          <w:color w:val="000000"/>
          <w:sz w:val="20"/>
          <w:szCs w:val="20"/>
        </w:rPr>
      </w:pPr>
      <w:r w:rsidRPr="0029509A">
        <w:rPr>
          <w:color w:val="000000"/>
          <w:sz w:val="20"/>
          <w:szCs w:val="20"/>
        </w:rPr>
        <w:lastRenderedPageBreak/>
        <w:t xml:space="preserve">This chapter has been structured in various segments according to the </w:t>
      </w:r>
      <w:r w:rsidR="00837FA3" w:rsidRPr="0029509A">
        <w:rPr>
          <w:color w:val="000000"/>
          <w:sz w:val="20"/>
          <w:szCs w:val="20"/>
        </w:rPr>
        <w:t>types</w:t>
      </w:r>
      <w:r w:rsidRPr="0029509A">
        <w:rPr>
          <w:color w:val="000000"/>
          <w:sz w:val="20"/>
          <w:szCs w:val="20"/>
        </w:rPr>
        <w:t xml:space="preserve"> of the heterocyclic compounds.</w:t>
      </w:r>
    </w:p>
    <w:p w:rsidR="00290540" w:rsidRPr="0029509A" w:rsidRDefault="00290540" w:rsidP="005474CD">
      <w:pPr>
        <w:jc w:val="both"/>
        <w:rPr>
          <w:b/>
          <w:sz w:val="20"/>
          <w:szCs w:val="20"/>
        </w:rPr>
      </w:pPr>
    </w:p>
    <w:p w:rsidR="000317E0" w:rsidRPr="007C3EE7" w:rsidRDefault="00FB40FB" w:rsidP="00FB40FB">
      <w:pPr>
        <w:pStyle w:val="ListParagraph"/>
        <w:jc w:val="center"/>
        <w:rPr>
          <w:rFonts w:ascii="Times New Roman" w:hAnsi="Times New Roman"/>
          <w:b/>
          <w:sz w:val="20"/>
          <w:szCs w:val="20"/>
        </w:rPr>
      </w:pPr>
      <w:r>
        <w:rPr>
          <w:rFonts w:ascii="Times New Roman" w:hAnsi="Times New Roman"/>
          <w:b/>
          <w:sz w:val="20"/>
          <w:szCs w:val="20"/>
        </w:rPr>
        <w:t>II.</w:t>
      </w:r>
      <w:r>
        <w:rPr>
          <w:rFonts w:ascii="Times New Roman" w:hAnsi="Times New Roman"/>
          <w:b/>
          <w:sz w:val="20"/>
          <w:szCs w:val="20"/>
        </w:rPr>
        <w:tab/>
      </w:r>
      <w:r w:rsidR="007C3EE7" w:rsidRPr="007C3EE7">
        <w:rPr>
          <w:rFonts w:ascii="Times New Roman" w:hAnsi="Times New Roman"/>
          <w:b/>
          <w:sz w:val="20"/>
          <w:szCs w:val="20"/>
        </w:rPr>
        <w:t>SYNTHESIS OF HETEROCYCLIC COMPOUNDS</w:t>
      </w:r>
    </w:p>
    <w:p w:rsidR="002E410A" w:rsidRDefault="000317E0" w:rsidP="000317E0">
      <w:pPr>
        <w:jc w:val="both"/>
        <w:rPr>
          <w:b/>
          <w:sz w:val="20"/>
          <w:szCs w:val="20"/>
        </w:rPr>
      </w:pPr>
      <w:r>
        <w:rPr>
          <w:b/>
          <w:sz w:val="20"/>
          <w:szCs w:val="20"/>
        </w:rPr>
        <w:t xml:space="preserve">A.  </w:t>
      </w:r>
      <w:r w:rsidR="00791442" w:rsidRPr="000317E0">
        <w:rPr>
          <w:b/>
          <w:sz w:val="20"/>
          <w:szCs w:val="20"/>
        </w:rPr>
        <w:t>Sythesis of oxazoles</w:t>
      </w:r>
    </w:p>
    <w:p w:rsidR="002B0686" w:rsidRPr="000317E0" w:rsidRDefault="002B0686" w:rsidP="000317E0">
      <w:pPr>
        <w:jc w:val="both"/>
        <w:rPr>
          <w:b/>
          <w:sz w:val="20"/>
          <w:szCs w:val="20"/>
        </w:rPr>
      </w:pPr>
    </w:p>
    <w:p w:rsidR="002E410A" w:rsidRPr="002E410A" w:rsidRDefault="002E410A" w:rsidP="002E410A">
      <w:pPr>
        <w:autoSpaceDE w:val="0"/>
        <w:autoSpaceDN w:val="0"/>
        <w:adjustRightInd w:val="0"/>
        <w:jc w:val="both"/>
        <w:rPr>
          <w:rFonts w:eastAsiaTheme="minorHAnsi"/>
          <w:sz w:val="20"/>
          <w:szCs w:val="20"/>
        </w:rPr>
      </w:pPr>
      <w:r w:rsidRPr="002E410A">
        <w:rPr>
          <w:rFonts w:eastAsiaTheme="minorHAnsi"/>
          <w:sz w:val="20"/>
          <w:szCs w:val="20"/>
        </w:rPr>
        <w:t>Nachtsheim and Hempel developed an effective way to make oxazoles through oxidative cyclization by treating N-styrylbenzamides with [bis(trifluoroacetoxy)</w:t>
      </w:r>
      <w:r>
        <w:rPr>
          <w:rFonts w:eastAsiaTheme="minorHAnsi"/>
          <w:sz w:val="20"/>
          <w:szCs w:val="20"/>
        </w:rPr>
        <w:t xml:space="preserve">iodo]benzene and TMSOTf </w:t>
      </w:r>
      <w:r w:rsidRPr="002E410A">
        <w:rPr>
          <w:rFonts w:eastAsiaTheme="minorHAnsi"/>
          <w:b/>
          <w:sz w:val="20"/>
          <w:szCs w:val="20"/>
        </w:rPr>
        <w:t>(Scheme 1)</w:t>
      </w:r>
      <w:r w:rsidRPr="002E410A">
        <w:rPr>
          <w:rFonts w:eastAsiaTheme="minorHAnsi"/>
          <w:sz w:val="20"/>
          <w:szCs w:val="20"/>
        </w:rPr>
        <w:t xml:space="preserve">. </w:t>
      </w:r>
      <w:r w:rsidRPr="002E410A">
        <w:rPr>
          <w:rFonts w:eastAsiaTheme="minorHAnsi"/>
          <w:sz w:val="20"/>
          <w:szCs w:val="20"/>
          <w:vertAlign w:val="superscript"/>
        </w:rPr>
        <w:t>[10]</w:t>
      </w:r>
      <w:r w:rsidRPr="002E410A">
        <w:rPr>
          <w:rFonts w:eastAsiaTheme="minorHAnsi"/>
          <w:sz w:val="20"/>
          <w:szCs w:val="20"/>
        </w:rPr>
        <w:t xml:space="preserve"> Similar to this, Boto and colleagues reported on the one-pot synthesis of oxazoles from N-acylamino acids</w:t>
      </w:r>
      <w:r>
        <w:rPr>
          <w:rFonts w:eastAsiaTheme="minorHAnsi"/>
          <w:sz w:val="20"/>
          <w:szCs w:val="20"/>
        </w:rPr>
        <w:t xml:space="preserve"> </w:t>
      </w:r>
      <w:r w:rsidRPr="0029509A">
        <w:rPr>
          <w:rFonts w:eastAsiaTheme="minorHAnsi"/>
          <w:b/>
          <w:sz w:val="20"/>
          <w:szCs w:val="20"/>
        </w:rPr>
        <w:t>(Scheme 1)</w:t>
      </w:r>
      <w:r w:rsidRPr="0029509A">
        <w:rPr>
          <w:rFonts w:eastAsiaTheme="minorHAnsi"/>
          <w:sz w:val="20"/>
          <w:szCs w:val="20"/>
        </w:rPr>
        <w:t>.</w:t>
      </w:r>
      <w:r w:rsidRPr="0029509A">
        <w:rPr>
          <w:b/>
          <w:sz w:val="20"/>
          <w:szCs w:val="20"/>
          <w:vertAlign w:val="superscript"/>
        </w:rPr>
        <w:t xml:space="preserve"> [11</w:t>
      </w:r>
      <w:r w:rsidRPr="0029509A">
        <w:rPr>
          <w:rFonts w:eastAsiaTheme="minorHAnsi"/>
          <w:sz w:val="20"/>
          <w:szCs w:val="20"/>
          <w:vertAlign w:val="superscript"/>
        </w:rPr>
        <w:t>]</w:t>
      </w:r>
    </w:p>
    <w:p w:rsidR="00323A21" w:rsidRPr="0029509A" w:rsidRDefault="00323A21" w:rsidP="005474CD">
      <w:pPr>
        <w:autoSpaceDE w:val="0"/>
        <w:autoSpaceDN w:val="0"/>
        <w:adjustRightInd w:val="0"/>
        <w:jc w:val="center"/>
        <w:rPr>
          <w:rFonts w:eastAsiaTheme="minorHAnsi"/>
          <w:sz w:val="20"/>
          <w:szCs w:val="20"/>
        </w:rPr>
      </w:pPr>
      <w:r w:rsidRPr="0029509A">
        <w:rPr>
          <w:rFonts w:eastAsiaTheme="minorHAnsi"/>
          <w:noProof/>
          <w:sz w:val="20"/>
          <w:szCs w:val="20"/>
          <w:lang w:val="en-IN" w:eastAsia="en-IN"/>
        </w:rPr>
        <w:drawing>
          <wp:inline distT="0" distB="0" distL="0" distR="0" wp14:anchorId="5379FFFA" wp14:editId="0A5DF86C">
            <wp:extent cx="4467225" cy="2447925"/>
            <wp:effectExtent l="0" t="0" r="0" b="0"/>
            <wp:docPr id="6" name="Picture 6"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C:\Users\User\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67225" cy="2447925"/>
                    </a:xfrm>
                    <a:prstGeom prst="rect">
                      <a:avLst/>
                    </a:prstGeom>
                    <a:noFill/>
                    <a:ln>
                      <a:noFill/>
                    </a:ln>
                  </pic:spPr>
                </pic:pic>
              </a:graphicData>
            </a:graphic>
          </wp:inline>
        </w:drawing>
      </w:r>
    </w:p>
    <w:p w:rsidR="00323A21" w:rsidRDefault="00323A21" w:rsidP="005474CD">
      <w:pPr>
        <w:autoSpaceDE w:val="0"/>
        <w:autoSpaceDN w:val="0"/>
        <w:adjustRightInd w:val="0"/>
        <w:jc w:val="center"/>
        <w:rPr>
          <w:b/>
          <w:sz w:val="20"/>
          <w:szCs w:val="20"/>
        </w:rPr>
      </w:pPr>
      <w:r w:rsidRPr="0029509A">
        <w:rPr>
          <w:b/>
          <w:sz w:val="20"/>
          <w:szCs w:val="20"/>
        </w:rPr>
        <w:t xml:space="preserve">Scheme 1 </w:t>
      </w:r>
    </w:p>
    <w:p w:rsidR="002B0686" w:rsidRPr="0029509A" w:rsidRDefault="002B0686" w:rsidP="005474CD">
      <w:pPr>
        <w:autoSpaceDE w:val="0"/>
        <w:autoSpaceDN w:val="0"/>
        <w:adjustRightInd w:val="0"/>
        <w:jc w:val="center"/>
        <w:rPr>
          <w:sz w:val="20"/>
          <w:szCs w:val="20"/>
        </w:rPr>
      </w:pPr>
    </w:p>
    <w:p w:rsidR="00323A21" w:rsidRPr="0029509A" w:rsidRDefault="00F63F30" w:rsidP="005474CD">
      <w:pPr>
        <w:autoSpaceDE w:val="0"/>
        <w:autoSpaceDN w:val="0"/>
        <w:adjustRightInd w:val="0"/>
        <w:jc w:val="both"/>
        <w:rPr>
          <w:rFonts w:eastAsiaTheme="minorHAnsi"/>
          <w:sz w:val="20"/>
          <w:szCs w:val="20"/>
        </w:rPr>
      </w:pPr>
      <w:r w:rsidRPr="00F63F30">
        <w:rPr>
          <w:rFonts w:eastAsiaTheme="minorHAnsi"/>
          <w:sz w:val="20"/>
          <w:szCs w:val="20"/>
        </w:rPr>
        <w:t>Treatment of 3-hydroxybut-2-enimidates with IBD in the presence of benzotriazole (BTA) led to the production of the rearrange</w:t>
      </w:r>
      <w:r>
        <w:rPr>
          <w:rFonts w:eastAsiaTheme="minorHAnsi"/>
          <w:sz w:val="20"/>
          <w:szCs w:val="20"/>
        </w:rPr>
        <w:t>d 2,4,5-trisubstituted oxazoles</w:t>
      </w:r>
      <w:r w:rsidR="0081388F" w:rsidRPr="0029509A">
        <w:rPr>
          <w:rFonts w:eastAsiaTheme="minorHAnsi"/>
          <w:sz w:val="20"/>
          <w:szCs w:val="20"/>
        </w:rPr>
        <w:t xml:space="preserve"> </w:t>
      </w:r>
      <w:r w:rsidR="00323A21" w:rsidRPr="0029509A">
        <w:rPr>
          <w:rFonts w:eastAsiaTheme="minorHAnsi"/>
          <w:b/>
          <w:sz w:val="20"/>
          <w:szCs w:val="20"/>
        </w:rPr>
        <w:t>(Scheme 2)</w:t>
      </w:r>
      <w:r w:rsidR="00323A21" w:rsidRPr="0029509A">
        <w:rPr>
          <w:rFonts w:eastAsiaTheme="minorHAnsi"/>
          <w:sz w:val="20"/>
          <w:szCs w:val="20"/>
        </w:rPr>
        <w:t>.</w:t>
      </w:r>
      <w:r w:rsidR="00E4603C" w:rsidRPr="0029509A">
        <w:rPr>
          <w:b/>
          <w:sz w:val="20"/>
          <w:szCs w:val="20"/>
          <w:vertAlign w:val="superscript"/>
        </w:rPr>
        <w:t xml:space="preserve"> [</w:t>
      </w:r>
      <w:r w:rsidR="00256D58">
        <w:rPr>
          <w:rFonts w:eastAsiaTheme="minorHAnsi"/>
          <w:sz w:val="20"/>
          <w:szCs w:val="20"/>
          <w:vertAlign w:val="superscript"/>
        </w:rPr>
        <w:t>12</w:t>
      </w:r>
      <w:r w:rsidR="00E4603C" w:rsidRPr="0029509A">
        <w:rPr>
          <w:rFonts w:eastAsiaTheme="minorHAnsi"/>
          <w:sz w:val="20"/>
          <w:szCs w:val="20"/>
          <w:vertAlign w:val="superscript"/>
        </w:rPr>
        <w:t>]</w:t>
      </w:r>
      <w:r w:rsidR="00323A21" w:rsidRPr="0029509A">
        <w:rPr>
          <w:rFonts w:eastAsiaTheme="minorHAnsi"/>
          <w:sz w:val="20"/>
          <w:szCs w:val="20"/>
        </w:rPr>
        <w:t xml:space="preserve"> </w:t>
      </w:r>
    </w:p>
    <w:p w:rsidR="00323A21" w:rsidRPr="0029509A" w:rsidRDefault="00323A21" w:rsidP="005474CD">
      <w:pPr>
        <w:autoSpaceDE w:val="0"/>
        <w:autoSpaceDN w:val="0"/>
        <w:adjustRightInd w:val="0"/>
        <w:jc w:val="center"/>
        <w:rPr>
          <w:bCs/>
          <w:sz w:val="20"/>
          <w:szCs w:val="20"/>
        </w:rPr>
      </w:pPr>
      <w:r w:rsidRPr="0029509A">
        <w:rPr>
          <w:bCs/>
          <w:noProof/>
          <w:sz w:val="20"/>
          <w:szCs w:val="20"/>
          <w:lang w:val="en-IN" w:eastAsia="en-IN"/>
        </w:rPr>
        <w:drawing>
          <wp:inline distT="0" distB="0" distL="0" distR="0" wp14:anchorId="520FF3E4" wp14:editId="490C558F">
            <wp:extent cx="4276725" cy="1371600"/>
            <wp:effectExtent l="0" t="0" r="0" b="0"/>
            <wp:docPr id="5" name="Picture 5"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User\Desktop\Untitled.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4264" t="3164" b="5696"/>
                    <a:stretch/>
                  </pic:blipFill>
                  <pic:spPr bwMode="auto">
                    <a:xfrm>
                      <a:off x="0" y="0"/>
                      <a:ext cx="4276725" cy="1371600"/>
                    </a:xfrm>
                    <a:prstGeom prst="rect">
                      <a:avLst/>
                    </a:prstGeom>
                    <a:noFill/>
                    <a:ln>
                      <a:noFill/>
                    </a:ln>
                    <a:extLst>
                      <a:ext uri="{53640926-AAD7-44D8-BBD7-CCE9431645EC}">
                        <a14:shadowObscured xmlns:a14="http://schemas.microsoft.com/office/drawing/2010/main"/>
                      </a:ext>
                    </a:extLst>
                  </pic:spPr>
                </pic:pic>
              </a:graphicData>
            </a:graphic>
          </wp:inline>
        </w:drawing>
      </w:r>
    </w:p>
    <w:p w:rsidR="0081388F" w:rsidRDefault="00323A21" w:rsidP="005474CD">
      <w:pPr>
        <w:autoSpaceDE w:val="0"/>
        <w:autoSpaceDN w:val="0"/>
        <w:adjustRightInd w:val="0"/>
        <w:jc w:val="center"/>
        <w:rPr>
          <w:b/>
          <w:sz w:val="20"/>
          <w:szCs w:val="20"/>
        </w:rPr>
      </w:pPr>
      <w:r w:rsidRPr="0029509A">
        <w:rPr>
          <w:b/>
          <w:sz w:val="20"/>
          <w:szCs w:val="20"/>
        </w:rPr>
        <w:t>Scheme</w:t>
      </w:r>
      <w:r w:rsidR="0081388F" w:rsidRPr="0029509A">
        <w:rPr>
          <w:b/>
          <w:sz w:val="20"/>
          <w:szCs w:val="20"/>
        </w:rPr>
        <w:t xml:space="preserve"> 2</w:t>
      </w:r>
      <w:r w:rsidRPr="0029509A">
        <w:rPr>
          <w:b/>
          <w:sz w:val="20"/>
          <w:szCs w:val="20"/>
        </w:rPr>
        <w:t xml:space="preserve"> </w:t>
      </w:r>
    </w:p>
    <w:p w:rsidR="002B0686" w:rsidRPr="0029509A" w:rsidRDefault="002B0686" w:rsidP="005474CD">
      <w:pPr>
        <w:autoSpaceDE w:val="0"/>
        <w:autoSpaceDN w:val="0"/>
        <w:adjustRightInd w:val="0"/>
        <w:jc w:val="center"/>
        <w:rPr>
          <w:bCs/>
          <w:sz w:val="20"/>
          <w:szCs w:val="20"/>
        </w:rPr>
      </w:pPr>
    </w:p>
    <w:p w:rsidR="00323A21" w:rsidRPr="0029509A" w:rsidRDefault="00E52795" w:rsidP="005474CD">
      <w:pPr>
        <w:autoSpaceDE w:val="0"/>
        <w:autoSpaceDN w:val="0"/>
        <w:adjustRightInd w:val="0"/>
        <w:jc w:val="both"/>
        <w:rPr>
          <w:rFonts w:eastAsiaTheme="minorHAnsi"/>
          <w:sz w:val="20"/>
          <w:szCs w:val="20"/>
        </w:rPr>
      </w:pPr>
      <w:r w:rsidRPr="00E52795">
        <w:rPr>
          <w:rFonts w:eastAsiaTheme="minorHAnsi"/>
          <w:sz w:val="20"/>
          <w:szCs w:val="20"/>
        </w:rPr>
        <w:t xml:space="preserve">Oxazoles have just recently been synthesized by irradiating arylimidates with IBD </w:t>
      </w:r>
      <w:r w:rsidR="00E8785C">
        <w:rPr>
          <w:rFonts w:eastAsiaTheme="minorHAnsi"/>
          <w:sz w:val="20"/>
          <w:szCs w:val="20"/>
        </w:rPr>
        <w:t>and</w:t>
      </w:r>
      <w:r w:rsidRPr="00E52795">
        <w:rPr>
          <w:rFonts w:eastAsiaTheme="minorHAnsi"/>
          <w:sz w:val="20"/>
          <w:szCs w:val="20"/>
        </w:rPr>
        <w:t xml:space="preserve"> CsI </w:t>
      </w:r>
      <w:r w:rsidR="00323A21" w:rsidRPr="0029509A">
        <w:rPr>
          <w:rFonts w:eastAsiaTheme="minorHAnsi"/>
          <w:b/>
          <w:sz w:val="20"/>
          <w:szCs w:val="20"/>
        </w:rPr>
        <w:t>(Scheme 3)</w:t>
      </w:r>
      <w:r w:rsidR="0081388F" w:rsidRPr="0029509A">
        <w:rPr>
          <w:rFonts w:eastAsiaTheme="minorHAnsi"/>
          <w:b/>
          <w:sz w:val="20"/>
          <w:szCs w:val="20"/>
        </w:rPr>
        <w:t>.</w:t>
      </w:r>
      <w:r w:rsidR="00E4603C" w:rsidRPr="0029509A">
        <w:rPr>
          <w:b/>
          <w:sz w:val="20"/>
          <w:szCs w:val="20"/>
          <w:vertAlign w:val="superscript"/>
        </w:rPr>
        <w:t xml:space="preserve"> [</w:t>
      </w:r>
      <w:r w:rsidR="00323A21" w:rsidRPr="0029509A">
        <w:rPr>
          <w:rFonts w:eastAsiaTheme="minorHAnsi"/>
          <w:sz w:val="20"/>
          <w:szCs w:val="20"/>
          <w:vertAlign w:val="superscript"/>
        </w:rPr>
        <w:t>1</w:t>
      </w:r>
      <w:r w:rsidR="00256D58">
        <w:rPr>
          <w:rFonts w:eastAsiaTheme="minorHAnsi"/>
          <w:sz w:val="20"/>
          <w:szCs w:val="20"/>
          <w:vertAlign w:val="superscript"/>
        </w:rPr>
        <w:t>3</w:t>
      </w:r>
      <w:r w:rsidR="00E4603C" w:rsidRPr="0029509A">
        <w:rPr>
          <w:rFonts w:eastAsiaTheme="minorHAnsi"/>
          <w:sz w:val="20"/>
          <w:szCs w:val="20"/>
          <w:vertAlign w:val="superscript"/>
        </w:rPr>
        <w:t>]</w:t>
      </w:r>
      <w:r w:rsidR="0081388F" w:rsidRPr="0029509A">
        <w:rPr>
          <w:rFonts w:eastAsiaTheme="minorHAnsi"/>
          <w:sz w:val="20"/>
          <w:szCs w:val="20"/>
        </w:rPr>
        <w:t xml:space="preserve"> </w:t>
      </w:r>
      <w:r w:rsidR="00323A21" w:rsidRPr="0029509A">
        <w:rPr>
          <w:rFonts w:eastAsiaTheme="minorHAnsi"/>
          <w:sz w:val="20"/>
          <w:szCs w:val="20"/>
        </w:rPr>
        <w:t xml:space="preserve"> </w:t>
      </w:r>
    </w:p>
    <w:p w:rsidR="00323A21" w:rsidRPr="0029509A" w:rsidRDefault="00323A21" w:rsidP="005474CD">
      <w:pPr>
        <w:autoSpaceDE w:val="0"/>
        <w:autoSpaceDN w:val="0"/>
        <w:adjustRightInd w:val="0"/>
        <w:jc w:val="center"/>
        <w:rPr>
          <w:rFonts w:eastAsiaTheme="minorHAnsi"/>
          <w:sz w:val="20"/>
          <w:szCs w:val="20"/>
        </w:rPr>
      </w:pPr>
      <w:r w:rsidRPr="0029509A">
        <w:rPr>
          <w:rFonts w:eastAsiaTheme="minorHAnsi"/>
          <w:noProof/>
          <w:sz w:val="20"/>
          <w:szCs w:val="20"/>
          <w:lang w:val="en-IN" w:eastAsia="en-IN"/>
        </w:rPr>
        <w:drawing>
          <wp:inline distT="0" distB="0" distL="0" distR="0" wp14:anchorId="793B1FB8" wp14:editId="6C3CCEB3">
            <wp:extent cx="4305300" cy="1143000"/>
            <wp:effectExtent l="0" t="0" r="0" b="0"/>
            <wp:docPr id="8" name="Picture 8"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C:\Users\User\Desktop\Unti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5300" cy="1143000"/>
                    </a:xfrm>
                    <a:prstGeom prst="rect">
                      <a:avLst/>
                    </a:prstGeom>
                    <a:noFill/>
                    <a:ln>
                      <a:noFill/>
                    </a:ln>
                  </pic:spPr>
                </pic:pic>
              </a:graphicData>
            </a:graphic>
          </wp:inline>
        </w:drawing>
      </w:r>
    </w:p>
    <w:p w:rsidR="00323A21" w:rsidRPr="0029509A" w:rsidRDefault="00323A21" w:rsidP="002B0686">
      <w:pPr>
        <w:autoSpaceDE w:val="0"/>
        <w:autoSpaceDN w:val="0"/>
        <w:adjustRightInd w:val="0"/>
        <w:jc w:val="center"/>
        <w:rPr>
          <w:b/>
          <w:sz w:val="20"/>
          <w:szCs w:val="20"/>
        </w:rPr>
      </w:pPr>
      <w:r w:rsidRPr="0029509A">
        <w:rPr>
          <w:b/>
          <w:sz w:val="20"/>
          <w:szCs w:val="20"/>
        </w:rPr>
        <w:t xml:space="preserve">Scheme 3 </w:t>
      </w:r>
    </w:p>
    <w:p w:rsidR="00290540" w:rsidRPr="0029509A" w:rsidRDefault="00290540" w:rsidP="005474CD">
      <w:pPr>
        <w:jc w:val="both"/>
        <w:rPr>
          <w:b/>
          <w:sz w:val="20"/>
          <w:szCs w:val="20"/>
        </w:rPr>
      </w:pPr>
    </w:p>
    <w:p w:rsidR="00791442" w:rsidRPr="0029509A" w:rsidRDefault="000317E0" w:rsidP="005474CD">
      <w:pPr>
        <w:jc w:val="both"/>
        <w:rPr>
          <w:b/>
          <w:sz w:val="20"/>
          <w:szCs w:val="20"/>
        </w:rPr>
      </w:pPr>
      <w:r>
        <w:rPr>
          <w:b/>
          <w:sz w:val="20"/>
          <w:szCs w:val="20"/>
        </w:rPr>
        <w:t>B</w:t>
      </w:r>
      <w:r w:rsidR="00791442" w:rsidRPr="0029509A">
        <w:rPr>
          <w:b/>
          <w:sz w:val="20"/>
          <w:szCs w:val="20"/>
        </w:rPr>
        <w:t>.</w:t>
      </w:r>
      <w:r>
        <w:rPr>
          <w:b/>
          <w:sz w:val="20"/>
          <w:szCs w:val="20"/>
        </w:rPr>
        <w:t xml:space="preserve">  </w:t>
      </w:r>
      <w:r w:rsidR="00791442" w:rsidRPr="0029509A">
        <w:rPr>
          <w:b/>
          <w:sz w:val="20"/>
          <w:szCs w:val="20"/>
        </w:rPr>
        <w:t>Synthesis of isoxazoles</w:t>
      </w:r>
    </w:p>
    <w:p w:rsidR="00323A21" w:rsidRPr="0029509A" w:rsidRDefault="00DF78F7" w:rsidP="005474CD">
      <w:pPr>
        <w:autoSpaceDE w:val="0"/>
        <w:autoSpaceDN w:val="0"/>
        <w:adjustRightInd w:val="0"/>
        <w:jc w:val="both"/>
        <w:rPr>
          <w:rFonts w:eastAsiaTheme="minorHAnsi"/>
          <w:sz w:val="20"/>
          <w:szCs w:val="20"/>
        </w:rPr>
      </w:pPr>
      <w:r w:rsidRPr="00DF78F7">
        <w:rPr>
          <w:rFonts w:eastAsiaTheme="minorHAnsi"/>
          <w:sz w:val="20"/>
          <w:szCs w:val="20"/>
        </w:rPr>
        <w:t>The synthesis of 3,5-disubstituted isoxazoles has been said to be possible using nitrile oxide and alkynyliodonium salts</w:t>
      </w:r>
      <w:r w:rsidR="005F06CF" w:rsidRPr="0029509A">
        <w:rPr>
          <w:rFonts w:eastAsiaTheme="minorHAnsi"/>
          <w:sz w:val="20"/>
          <w:szCs w:val="20"/>
        </w:rPr>
        <w:t xml:space="preserve"> </w:t>
      </w:r>
      <w:r w:rsidR="00323A21" w:rsidRPr="0029509A">
        <w:rPr>
          <w:rFonts w:eastAsiaTheme="minorHAnsi"/>
          <w:b/>
          <w:sz w:val="20"/>
          <w:szCs w:val="20"/>
        </w:rPr>
        <w:t>(Scheme 4)</w:t>
      </w:r>
      <w:r w:rsidR="00E4603C" w:rsidRPr="0029509A">
        <w:rPr>
          <w:b/>
          <w:sz w:val="20"/>
          <w:szCs w:val="20"/>
          <w:vertAlign w:val="superscript"/>
        </w:rPr>
        <w:t xml:space="preserve"> [</w:t>
      </w:r>
      <w:r w:rsidR="00256D58">
        <w:rPr>
          <w:rFonts w:eastAsiaTheme="minorHAnsi"/>
          <w:sz w:val="20"/>
          <w:szCs w:val="20"/>
          <w:vertAlign w:val="superscript"/>
        </w:rPr>
        <w:t>14</w:t>
      </w:r>
      <w:r w:rsidR="00E4603C" w:rsidRPr="0029509A">
        <w:rPr>
          <w:rFonts w:eastAsiaTheme="minorHAnsi"/>
          <w:sz w:val="20"/>
          <w:szCs w:val="20"/>
          <w:vertAlign w:val="superscript"/>
        </w:rPr>
        <w:t>]</w:t>
      </w:r>
      <w:r w:rsidR="00323A21" w:rsidRPr="0029509A">
        <w:rPr>
          <w:rFonts w:eastAsiaTheme="minorHAnsi"/>
          <w:sz w:val="20"/>
          <w:szCs w:val="20"/>
        </w:rPr>
        <w:t xml:space="preserve"> </w:t>
      </w:r>
    </w:p>
    <w:p w:rsidR="00323A21" w:rsidRPr="0029509A" w:rsidRDefault="00323A21" w:rsidP="005474CD">
      <w:pPr>
        <w:tabs>
          <w:tab w:val="left" w:pos="7560"/>
        </w:tabs>
        <w:jc w:val="center"/>
        <w:rPr>
          <w:rFonts w:eastAsiaTheme="minorHAnsi"/>
          <w:sz w:val="20"/>
          <w:szCs w:val="20"/>
        </w:rPr>
      </w:pPr>
      <w:r w:rsidRPr="0029509A">
        <w:rPr>
          <w:rFonts w:eastAsiaTheme="minorHAnsi"/>
          <w:noProof/>
          <w:sz w:val="20"/>
          <w:szCs w:val="20"/>
          <w:lang w:val="en-IN" w:eastAsia="en-IN"/>
        </w:rPr>
        <w:lastRenderedPageBreak/>
        <w:drawing>
          <wp:inline distT="0" distB="0" distL="0" distR="0" wp14:anchorId="73D2A8C7" wp14:editId="73A1CEF4">
            <wp:extent cx="4562475" cy="923925"/>
            <wp:effectExtent l="0" t="0" r="0" b="0"/>
            <wp:docPr id="11" name="Picture 11"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C:\Users\User\Desktop\Untitled.png"/>
                    <pic:cNvPicPr>
                      <a:picLocks noChangeAspect="1" noChangeArrowheads="1"/>
                    </pic:cNvPicPr>
                  </pic:nvPicPr>
                  <pic:blipFill rotWithShape="1">
                    <a:blip r:embed="rId14">
                      <a:extLst>
                        <a:ext uri="{28A0092B-C50C-407E-A947-70E740481C1C}">
                          <a14:useLocalDpi xmlns:a14="http://schemas.microsoft.com/office/drawing/2010/main" val="0"/>
                        </a:ext>
                      </a:extLst>
                    </a:blip>
                    <a:srcRect b="3961"/>
                    <a:stretch/>
                  </pic:blipFill>
                  <pic:spPr bwMode="auto">
                    <a:xfrm>
                      <a:off x="0" y="0"/>
                      <a:ext cx="4562475" cy="923925"/>
                    </a:xfrm>
                    <a:prstGeom prst="rect">
                      <a:avLst/>
                    </a:prstGeom>
                    <a:noFill/>
                    <a:ln>
                      <a:noFill/>
                    </a:ln>
                    <a:extLst>
                      <a:ext uri="{53640926-AAD7-44D8-BBD7-CCE9431645EC}">
                        <a14:shadowObscured xmlns:a14="http://schemas.microsoft.com/office/drawing/2010/main"/>
                      </a:ext>
                    </a:extLst>
                  </pic:spPr>
                </pic:pic>
              </a:graphicData>
            </a:graphic>
          </wp:inline>
        </w:drawing>
      </w:r>
    </w:p>
    <w:p w:rsidR="00DF1D6C" w:rsidRDefault="00323A21" w:rsidP="005474CD">
      <w:pPr>
        <w:tabs>
          <w:tab w:val="left" w:pos="7560"/>
        </w:tabs>
        <w:jc w:val="center"/>
        <w:rPr>
          <w:b/>
          <w:sz w:val="20"/>
          <w:szCs w:val="20"/>
        </w:rPr>
      </w:pPr>
      <w:r w:rsidRPr="0029509A">
        <w:rPr>
          <w:b/>
          <w:sz w:val="20"/>
          <w:szCs w:val="20"/>
        </w:rPr>
        <w:t xml:space="preserve">Scheme 4 </w:t>
      </w:r>
    </w:p>
    <w:p w:rsidR="002B0686" w:rsidRPr="0029509A" w:rsidRDefault="002B0686" w:rsidP="005474CD">
      <w:pPr>
        <w:tabs>
          <w:tab w:val="left" w:pos="7560"/>
        </w:tabs>
        <w:jc w:val="center"/>
        <w:rPr>
          <w:rFonts w:eastAsiaTheme="minorHAnsi"/>
          <w:sz w:val="20"/>
          <w:szCs w:val="20"/>
        </w:rPr>
      </w:pPr>
    </w:p>
    <w:p w:rsidR="00323A21" w:rsidRPr="0029509A" w:rsidRDefault="00C50DAF" w:rsidP="005474CD">
      <w:pPr>
        <w:autoSpaceDE w:val="0"/>
        <w:autoSpaceDN w:val="0"/>
        <w:adjustRightInd w:val="0"/>
        <w:jc w:val="both"/>
        <w:rPr>
          <w:b/>
          <w:sz w:val="20"/>
          <w:szCs w:val="20"/>
        </w:rPr>
      </w:pPr>
      <w:r w:rsidRPr="0029509A">
        <w:rPr>
          <w:rFonts w:eastAsiaTheme="minorHAnsi"/>
          <w:sz w:val="20"/>
          <w:szCs w:val="20"/>
        </w:rPr>
        <w:t>3,4-disubstituted isoxazoles</w:t>
      </w:r>
      <w:r w:rsidRPr="0029509A">
        <w:rPr>
          <w:rFonts w:eastAsiaTheme="minorHAnsi"/>
          <w:b/>
          <w:bCs/>
          <w:sz w:val="20"/>
          <w:szCs w:val="20"/>
        </w:rPr>
        <w:t xml:space="preserve"> </w:t>
      </w:r>
      <w:r w:rsidRPr="0029509A">
        <w:rPr>
          <w:rFonts w:eastAsiaTheme="minorHAnsi"/>
          <w:bCs/>
          <w:sz w:val="20"/>
          <w:szCs w:val="20"/>
        </w:rPr>
        <w:t>are synthesized by th</w:t>
      </w:r>
      <w:r w:rsidR="00323A21" w:rsidRPr="0029509A">
        <w:rPr>
          <w:rFonts w:eastAsiaTheme="minorHAnsi"/>
          <w:sz w:val="20"/>
          <w:szCs w:val="20"/>
        </w:rPr>
        <w:t xml:space="preserve">e regioselective cycloaddition reaction of aldoximes with enaminones and </w:t>
      </w:r>
      <w:r w:rsidRPr="0029509A">
        <w:rPr>
          <w:rFonts w:eastAsiaTheme="minorHAnsi"/>
          <w:sz w:val="20"/>
          <w:szCs w:val="20"/>
        </w:rPr>
        <w:t xml:space="preserve">HTIB </w:t>
      </w:r>
      <w:r w:rsidR="00323A21" w:rsidRPr="0029509A">
        <w:rPr>
          <w:rFonts w:eastAsiaTheme="minorHAnsi"/>
          <w:b/>
          <w:sz w:val="20"/>
          <w:szCs w:val="20"/>
        </w:rPr>
        <w:t>(Scheme 5)</w:t>
      </w:r>
      <w:r w:rsidR="00323A21" w:rsidRPr="0029509A">
        <w:rPr>
          <w:rFonts w:eastAsiaTheme="minorHAnsi"/>
          <w:sz w:val="20"/>
          <w:szCs w:val="20"/>
        </w:rPr>
        <w:t>.</w:t>
      </w:r>
      <w:r w:rsidR="00E4603C" w:rsidRPr="0029509A">
        <w:rPr>
          <w:b/>
          <w:sz w:val="20"/>
          <w:szCs w:val="20"/>
          <w:vertAlign w:val="superscript"/>
        </w:rPr>
        <w:t xml:space="preserve"> [</w:t>
      </w:r>
      <w:r w:rsidR="00323A21" w:rsidRPr="0029509A">
        <w:rPr>
          <w:rFonts w:eastAsiaTheme="minorHAnsi"/>
          <w:sz w:val="20"/>
          <w:szCs w:val="20"/>
          <w:vertAlign w:val="superscript"/>
        </w:rPr>
        <w:t>1</w:t>
      </w:r>
      <w:r w:rsidR="00256D58">
        <w:rPr>
          <w:rFonts w:eastAsiaTheme="minorHAnsi"/>
          <w:sz w:val="20"/>
          <w:szCs w:val="20"/>
          <w:vertAlign w:val="superscript"/>
        </w:rPr>
        <w:t>5</w:t>
      </w:r>
      <w:r w:rsidR="00E4603C" w:rsidRPr="0029509A">
        <w:rPr>
          <w:rFonts w:eastAsiaTheme="minorHAnsi"/>
          <w:sz w:val="20"/>
          <w:szCs w:val="20"/>
          <w:vertAlign w:val="superscript"/>
        </w:rPr>
        <w:t>]</w:t>
      </w:r>
    </w:p>
    <w:p w:rsidR="00323A21" w:rsidRPr="0029509A" w:rsidRDefault="00323A21" w:rsidP="005474CD">
      <w:pPr>
        <w:jc w:val="center"/>
        <w:rPr>
          <w:b/>
          <w:sz w:val="20"/>
          <w:szCs w:val="20"/>
        </w:rPr>
      </w:pPr>
      <w:r w:rsidRPr="0029509A">
        <w:rPr>
          <w:b/>
          <w:noProof/>
          <w:sz w:val="20"/>
          <w:szCs w:val="20"/>
          <w:lang w:val="en-IN" w:eastAsia="en-IN"/>
        </w:rPr>
        <w:drawing>
          <wp:inline distT="0" distB="0" distL="0" distR="0" wp14:anchorId="218D5FCD" wp14:editId="47A10A5F">
            <wp:extent cx="4514850" cy="1524000"/>
            <wp:effectExtent l="0" t="0" r="0" b="0"/>
            <wp:docPr id="10" name="Picture 10"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C:\Users\User\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14850" cy="1524000"/>
                    </a:xfrm>
                    <a:prstGeom prst="rect">
                      <a:avLst/>
                    </a:prstGeom>
                    <a:noFill/>
                    <a:ln>
                      <a:noFill/>
                    </a:ln>
                  </pic:spPr>
                </pic:pic>
              </a:graphicData>
            </a:graphic>
          </wp:inline>
        </w:drawing>
      </w:r>
    </w:p>
    <w:p w:rsidR="0024652D" w:rsidRDefault="00323A21" w:rsidP="005474CD">
      <w:pPr>
        <w:autoSpaceDE w:val="0"/>
        <w:autoSpaceDN w:val="0"/>
        <w:adjustRightInd w:val="0"/>
        <w:jc w:val="center"/>
        <w:rPr>
          <w:b/>
          <w:sz w:val="20"/>
          <w:szCs w:val="20"/>
        </w:rPr>
      </w:pPr>
      <w:r w:rsidRPr="0029509A">
        <w:rPr>
          <w:b/>
          <w:sz w:val="20"/>
          <w:szCs w:val="20"/>
        </w:rPr>
        <w:t xml:space="preserve">Scheme 5 </w:t>
      </w:r>
    </w:p>
    <w:p w:rsidR="002B0686" w:rsidRPr="0029509A" w:rsidRDefault="002B0686" w:rsidP="005474CD">
      <w:pPr>
        <w:autoSpaceDE w:val="0"/>
        <w:autoSpaceDN w:val="0"/>
        <w:adjustRightInd w:val="0"/>
        <w:jc w:val="center"/>
        <w:rPr>
          <w:rFonts w:eastAsiaTheme="minorHAnsi"/>
          <w:b/>
          <w:sz w:val="20"/>
          <w:szCs w:val="20"/>
        </w:rPr>
      </w:pPr>
    </w:p>
    <w:p w:rsidR="00791442" w:rsidRPr="0029509A" w:rsidRDefault="000317E0" w:rsidP="005474CD">
      <w:pPr>
        <w:autoSpaceDE w:val="0"/>
        <w:autoSpaceDN w:val="0"/>
        <w:adjustRightInd w:val="0"/>
        <w:jc w:val="both"/>
        <w:rPr>
          <w:rFonts w:eastAsiaTheme="minorHAnsi"/>
          <w:b/>
          <w:sz w:val="20"/>
          <w:szCs w:val="20"/>
        </w:rPr>
      </w:pPr>
      <w:r>
        <w:rPr>
          <w:rFonts w:eastAsiaTheme="minorHAnsi"/>
          <w:b/>
          <w:sz w:val="20"/>
          <w:szCs w:val="20"/>
        </w:rPr>
        <w:t xml:space="preserve">C.  </w:t>
      </w:r>
      <w:r w:rsidR="00791442" w:rsidRPr="0029509A">
        <w:rPr>
          <w:rFonts w:eastAsiaTheme="minorHAnsi"/>
          <w:b/>
          <w:sz w:val="20"/>
          <w:szCs w:val="20"/>
        </w:rPr>
        <w:t>Synthesis of fused 1,2,4-triazolopyridines</w:t>
      </w:r>
    </w:p>
    <w:p w:rsidR="00323A21" w:rsidRPr="0029509A" w:rsidRDefault="007B5A1E" w:rsidP="005474CD">
      <w:pPr>
        <w:autoSpaceDE w:val="0"/>
        <w:autoSpaceDN w:val="0"/>
        <w:adjustRightInd w:val="0"/>
        <w:jc w:val="both"/>
        <w:rPr>
          <w:rFonts w:eastAsiaTheme="minorHAnsi"/>
          <w:sz w:val="20"/>
          <w:szCs w:val="20"/>
        </w:rPr>
      </w:pPr>
      <w:r>
        <w:rPr>
          <w:rFonts w:eastAsiaTheme="minorHAnsi"/>
          <w:sz w:val="20"/>
          <w:szCs w:val="20"/>
        </w:rPr>
        <w:t>Triazolo</w:t>
      </w:r>
      <w:r w:rsidR="00323A21" w:rsidRPr="0029509A">
        <w:rPr>
          <w:rFonts w:eastAsiaTheme="minorHAnsi"/>
          <w:sz w:val="20"/>
          <w:szCs w:val="20"/>
        </w:rPr>
        <w:t xml:space="preserve">pyridines </w:t>
      </w:r>
      <w:r>
        <w:rPr>
          <w:rFonts w:eastAsiaTheme="minorHAnsi"/>
          <w:sz w:val="20"/>
          <w:szCs w:val="20"/>
        </w:rPr>
        <w:t>were</w:t>
      </w:r>
      <w:r w:rsidRPr="007B5A1E">
        <w:rPr>
          <w:rFonts w:eastAsiaTheme="minorHAnsi"/>
          <w:sz w:val="20"/>
          <w:szCs w:val="20"/>
        </w:rPr>
        <w:t xml:space="preserve"> produced through the oxidation of 2-pyridylhydrazones in CH</w:t>
      </w:r>
      <w:r w:rsidRPr="007B5A1E">
        <w:rPr>
          <w:rFonts w:eastAsiaTheme="minorHAnsi"/>
          <w:sz w:val="20"/>
          <w:szCs w:val="20"/>
          <w:vertAlign w:val="subscript"/>
        </w:rPr>
        <w:t>2</w:t>
      </w:r>
      <w:r w:rsidRPr="007B5A1E">
        <w:rPr>
          <w:rFonts w:eastAsiaTheme="minorHAnsi"/>
          <w:sz w:val="20"/>
          <w:szCs w:val="20"/>
        </w:rPr>
        <w:t>Cl</w:t>
      </w:r>
      <w:r w:rsidRPr="007B5A1E">
        <w:rPr>
          <w:rFonts w:eastAsiaTheme="minorHAnsi"/>
          <w:sz w:val="20"/>
          <w:szCs w:val="20"/>
          <w:vertAlign w:val="subscript"/>
        </w:rPr>
        <w:t>2</w:t>
      </w:r>
      <w:r w:rsidRPr="007B5A1E">
        <w:rPr>
          <w:rFonts w:eastAsiaTheme="minorHAnsi"/>
          <w:sz w:val="20"/>
          <w:szCs w:val="20"/>
        </w:rPr>
        <w:t xml:space="preserve"> by PhI(OAc)</w:t>
      </w:r>
      <w:r w:rsidRPr="007B5A1E">
        <w:rPr>
          <w:rFonts w:eastAsiaTheme="minorHAnsi"/>
          <w:sz w:val="20"/>
          <w:szCs w:val="20"/>
          <w:vertAlign w:val="subscript"/>
        </w:rPr>
        <w:t>2</w:t>
      </w:r>
      <w:r w:rsidRPr="007B5A1E">
        <w:rPr>
          <w:rFonts w:eastAsiaTheme="minorHAnsi"/>
          <w:sz w:val="20"/>
          <w:szCs w:val="20"/>
        </w:rPr>
        <w:t xml:space="preserve"> </w:t>
      </w:r>
      <w:r w:rsidR="00323A21" w:rsidRPr="0029509A">
        <w:rPr>
          <w:rFonts w:eastAsiaTheme="minorHAnsi"/>
          <w:b/>
          <w:sz w:val="20"/>
          <w:szCs w:val="20"/>
        </w:rPr>
        <w:t>(Scheme 6)</w:t>
      </w:r>
      <w:r w:rsidR="00E4603C" w:rsidRPr="0029509A">
        <w:rPr>
          <w:b/>
          <w:sz w:val="20"/>
          <w:szCs w:val="20"/>
          <w:vertAlign w:val="superscript"/>
        </w:rPr>
        <w:t xml:space="preserve"> [</w:t>
      </w:r>
      <w:r w:rsidR="00256D58">
        <w:rPr>
          <w:rFonts w:eastAsiaTheme="minorHAnsi"/>
          <w:sz w:val="20"/>
          <w:szCs w:val="20"/>
          <w:vertAlign w:val="superscript"/>
        </w:rPr>
        <w:t>16</w:t>
      </w:r>
      <w:r w:rsidR="00E4603C" w:rsidRPr="0029509A">
        <w:rPr>
          <w:rFonts w:eastAsiaTheme="minorHAnsi"/>
          <w:sz w:val="20"/>
          <w:szCs w:val="20"/>
          <w:vertAlign w:val="superscript"/>
        </w:rPr>
        <w:t>]</w:t>
      </w:r>
    </w:p>
    <w:p w:rsidR="00323A21" w:rsidRPr="0029509A" w:rsidRDefault="00323A21" w:rsidP="005474CD">
      <w:pPr>
        <w:jc w:val="center"/>
        <w:rPr>
          <w:rFonts w:eastAsiaTheme="minorHAnsi"/>
          <w:sz w:val="20"/>
          <w:szCs w:val="20"/>
        </w:rPr>
      </w:pPr>
      <w:r w:rsidRPr="0029509A">
        <w:rPr>
          <w:rFonts w:eastAsiaTheme="minorHAnsi"/>
          <w:noProof/>
          <w:sz w:val="20"/>
          <w:szCs w:val="20"/>
          <w:lang w:val="en-IN" w:eastAsia="en-IN"/>
        </w:rPr>
        <w:drawing>
          <wp:inline distT="0" distB="0" distL="0" distR="0" wp14:anchorId="0817C29F" wp14:editId="1291F4A7">
            <wp:extent cx="4914900" cy="1857375"/>
            <wp:effectExtent l="0" t="0" r="0" b="0"/>
            <wp:docPr id="12" name="Picture 12"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User\Desktop\Untitled.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23828"/>
                    <a:stretch/>
                  </pic:blipFill>
                  <pic:spPr bwMode="auto">
                    <a:xfrm>
                      <a:off x="0" y="0"/>
                      <a:ext cx="4914900" cy="1857375"/>
                    </a:xfrm>
                    <a:prstGeom prst="rect">
                      <a:avLst/>
                    </a:prstGeom>
                    <a:noFill/>
                    <a:ln>
                      <a:noFill/>
                    </a:ln>
                    <a:extLst>
                      <a:ext uri="{53640926-AAD7-44D8-BBD7-CCE9431645EC}">
                        <a14:shadowObscured xmlns:a14="http://schemas.microsoft.com/office/drawing/2010/main"/>
                      </a:ext>
                    </a:extLst>
                  </pic:spPr>
                </pic:pic>
              </a:graphicData>
            </a:graphic>
          </wp:inline>
        </w:drawing>
      </w:r>
    </w:p>
    <w:p w:rsidR="003A6BAE" w:rsidRDefault="00323A21" w:rsidP="005474CD">
      <w:pPr>
        <w:autoSpaceDE w:val="0"/>
        <w:autoSpaceDN w:val="0"/>
        <w:adjustRightInd w:val="0"/>
        <w:jc w:val="center"/>
        <w:rPr>
          <w:b/>
          <w:sz w:val="20"/>
          <w:szCs w:val="20"/>
        </w:rPr>
      </w:pPr>
      <w:r w:rsidRPr="0029509A">
        <w:rPr>
          <w:b/>
          <w:sz w:val="20"/>
          <w:szCs w:val="20"/>
        </w:rPr>
        <w:t xml:space="preserve">Scheme 6  </w:t>
      </w:r>
    </w:p>
    <w:p w:rsidR="002B0686" w:rsidRPr="0029509A" w:rsidRDefault="002B0686" w:rsidP="005474CD">
      <w:pPr>
        <w:autoSpaceDE w:val="0"/>
        <w:autoSpaceDN w:val="0"/>
        <w:adjustRightInd w:val="0"/>
        <w:jc w:val="center"/>
        <w:rPr>
          <w:color w:val="000000"/>
          <w:sz w:val="20"/>
          <w:szCs w:val="20"/>
        </w:rPr>
      </w:pPr>
    </w:p>
    <w:p w:rsidR="00791442" w:rsidRPr="0029509A" w:rsidRDefault="000317E0" w:rsidP="005474CD">
      <w:pPr>
        <w:autoSpaceDE w:val="0"/>
        <w:autoSpaceDN w:val="0"/>
        <w:adjustRightInd w:val="0"/>
        <w:jc w:val="both"/>
        <w:rPr>
          <w:rFonts w:eastAsiaTheme="minorHAnsi"/>
          <w:b/>
          <w:sz w:val="20"/>
          <w:szCs w:val="20"/>
        </w:rPr>
      </w:pPr>
      <w:r>
        <w:rPr>
          <w:rFonts w:eastAsiaTheme="minorHAnsi"/>
          <w:b/>
          <w:sz w:val="20"/>
          <w:szCs w:val="20"/>
        </w:rPr>
        <w:t>D</w:t>
      </w:r>
      <w:r w:rsidR="00791442" w:rsidRPr="0029509A">
        <w:rPr>
          <w:rFonts w:eastAsiaTheme="minorHAnsi"/>
          <w:b/>
          <w:sz w:val="20"/>
          <w:szCs w:val="20"/>
        </w:rPr>
        <w:t xml:space="preserve">. </w:t>
      </w:r>
      <w:r>
        <w:rPr>
          <w:rFonts w:eastAsiaTheme="minorHAnsi"/>
          <w:b/>
          <w:sz w:val="20"/>
          <w:szCs w:val="20"/>
        </w:rPr>
        <w:t xml:space="preserve">  </w:t>
      </w:r>
      <w:r w:rsidR="00791442" w:rsidRPr="0029509A">
        <w:rPr>
          <w:rFonts w:eastAsiaTheme="minorHAnsi"/>
          <w:b/>
          <w:sz w:val="20"/>
          <w:szCs w:val="20"/>
        </w:rPr>
        <w:t>Synthesis of fused benzo-oxazolo-triazoles</w:t>
      </w:r>
    </w:p>
    <w:p w:rsidR="00323A21" w:rsidRPr="0029509A" w:rsidRDefault="00323A21" w:rsidP="005474CD">
      <w:pPr>
        <w:autoSpaceDE w:val="0"/>
        <w:autoSpaceDN w:val="0"/>
        <w:adjustRightInd w:val="0"/>
        <w:jc w:val="both"/>
        <w:rPr>
          <w:rFonts w:eastAsiaTheme="minorHAnsi"/>
          <w:sz w:val="20"/>
          <w:szCs w:val="20"/>
        </w:rPr>
      </w:pPr>
      <w:r w:rsidRPr="0029509A">
        <w:rPr>
          <w:rFonts w:eastAsiaTheme="minorHAnsi"/>
          <w:sz w:val="20"/>
          <w:szCs w:val="20"/>
        </w:rPr>
        <w:t xml:space="preserve">IBD-mediated </w:t>
      </w:r>
      <w:r w:rsidR="00F42DAE">
        <w:rPr>
          <w:rFonts w:eastAsiaTheme="minorHAnsi"/>
          <w:sz w:val="20"/>
          <w:szCs w:val="20"/>
        </w:rPr>
        <w:t>production</w:t>
      </w:r>
      <w:r w:rsidRPr="0029509A">
        <w:rPr>
          <w:rFonts w:eastAsiaTheme="minorHAnsi"/>
          <w:sz w:val="20"/>
          <w:szCs w:val="20"/>
        </w:rPr>
        <w:t xml:space="preserve"> of benzo[4,5]oxazolo[2,3-c][1,2,4]triazoles </w:t>
      </w:r>
      <w:r w:rsidR="0024652D" w:rsidRPr="0029509A">
        <w:rPr>
          <w:rFonts w:eastAsiaTheme="minorHAnsi"/>
          <w:sz w:val="20"/>
          <w:szCs w:val="20"/>
        </w:rPr>
        <w:t xml:space="preserve">has been </w:t>
      </w:r>
      <w:r w:rsidR="00F42DAE">
        <w:rPr>
          <w:rFonts w:eastAsiaTheme="minorHAnsi"/>
          <w:sz w:val="20"/>
          <w:szCs w:val="20"/>
        </w:rPr>
        <w:t>demonstrated</w:t>
      </w:r>
      <w:r w:rsidR="0024652D" w:rsidRPr="0029509A">
        <w:rPr>
          <w:rFonts w:eastAsiaTheme="minorHAnsi"/>
          <w:sz w:val="20"/>
          <w:szCs w:val="20"/>
        </w:rPr>
        <w:t xml:space="preserve"> </w:t>
      </w:r>
      <w:r w:rsidRPr="0029509A">
        <w:rPr>
          <w:rFonts w:eastAsiaTheme="minorHAnsi"/>
          <w:sz w:val="20"/>
          <w:szCs w:val="20"/>
        </w:rPr>
        <w:t xml:space="preserve">by Demmer and co-workers  </w:t>
      </w:r>
      <w:r w:rsidRPr="0029509A">
        <w:rPr>
          <w:rFonts w:eastAsiaTheme="minorHAnsi"/>
          <w:b/>
          <w:sz w:val="20"/>
          <w:szCs w:val="20"/>
        </w:rPr>
        <w:t>(Scheme 7)</w:t>
      </w:r>
      <w:r w:rsidRPr="0029509A">
        <w:rPr>
          <w:rFonts w:eastAsiaTheme="minorHAnsi"/>
          <w:sz w:val="20"/>
          <w:szCs w:val="20"/>
        </w:rPr>
        <w:t>.</w:t>
      </w:r>
      <w:r w:rsidR="00E4603C" w:rsidRPr="0029509A">
        <w:rPr>
          <w:b/>
          <w:sz w:val="20"/>
          <w:szCs w:val="20"/>
          <w:vertAlign w:val="superscript"/>
        </w:rPr>
        <w:t xml:space="preserve"> [</w:t>
      </w:r>
      <w:r w:rsidR="00256D58">
        <w:rPr>
          <w:rFonts w:eastAsiaTheme="minorHAnsi"/>
          <w:sz w:val="20"/>
          <w:szCs w:val="20"/>
          <w:vertAlign w:val="superscript"/>
        </w:rPr>
        <w:t>17</w:t>
      </w:r>
      <w:r w:rsidR="00E4603C" w:rsidRPr="0029509A">
        <w:rPr>
          <w:rFonts w:eastAsiaTheme="minorHAnsi"/>
          <w:sz w:val="20"/>
          <w:szCs w:val="20"/>
          <w:vertAlign w:val="superscript"/>
        </w:rPr>
        <w:t>]</w:t>
      </w:r>
    </w:p>
    <w:p w:rsidR="00323A21" w:rsidRPr="0029509A" w:rsidRDefault="00323A21" w:rsidP="005474CD">
      <w:pPr>
        <w:autoSpaceDE w:val="0"/>
        <w:autoSpaceDN w:val="0"/>
        <w:adjustRightInd w:val="0"/>
        <w:jc w:val="both"/>
        <w:rPr>
          <w:rFonts w:eastAsiaTheme="minorHAnsi"/>
          <w:sz w:val="20"/>
          <w:szCs w:val="20"/>
        </w:rPr>
      </w:pPr>
      <w:r w:rsidRPr="0029509A">
        <w:rPr>
          <w:rFonts w:eastAsiaTheme="minorHAnsi"/>
          <w:noProof/>
          <w:sz w:val="20"/>
          <w:szCs w:val="20"/>
          <w:lang w:val="en-IN" w:eastAsia="en-IN"/>
        </w:rPr>
        <w:drawing>
          <wp:inline distT="0" distB="0" distL="0" distR="0" wp14:anchorId="04636890" wp14:editId="74AF1122">
            <wp:extent cx="5181600" cy="1504950"/>
            <wp:effectExtent l="0" t="0" r="0" b="0"/>
            <wp:docPr id="7" name="Picture 7"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Untitled.png"/>
                    <pic:cNvPicPr>
                      <a:picLocks noChangeAspect="1" noChangeArrowheads="1"/>
                    </pic:cNvPicPr>
                  </pic:nvPicPr>
                  <pic:blipFill rotWithShape="1">
                    <a:blip r:embed="rId17">
                      <a:extLst>
                        <a:ext uri="{28A0092B-C50C-407E-A947-70E740481C1C}">
                          <a14:useLocalDpi xmlns:a14="http://schemas.microsoft.com/office/drawing/2010/main" val="0"/>
                        </a:ext>
                      </a:extLst>
                    </a:blip>
                    <a:srcRect t="10341" b="21577"/>
                    <a:stretch/>
                  </pic:blipFill>
                  <pic:spPr bwMode="auto">
                    <a:xfrm>
                      <a:off x="0" y="0"/>
                      <a:ext cx="5181600" cy="1504950"/>
                    </a:xfrm>
                    <a:prstGeom prst="rect">
                      <a:avLst/>
                    </a:prstGeom>
                    <a:noFill/>
                    <a:ln>
                      <a:noFill/>
                    </a:ln>
                    <a:extLst>
                      <a:ext uri="{53640926-AAD7-44D8-BBD7-CCE9431645EC}">
                        <a14:shadowObscured xmlns:a14="http://schemas.microsoft.com/office/drawing/2010/main"/>
                      </a:ext>
                    </a:extLst>
                  </pic:spPr>
                </pic:pic>
              </a:graphicData>
            </a:graphic>
          </wp:inline>
        </w:drawing>
      </w:r>
    </w:p>
    <w:p w:rsidR="00323A21" w:rsidRPr="0029509A" w:rsidRDefault="00323A21" w:rsidP="005474CD">
      <w:pPr>
        <w:autoSpaceDE w:val="0"/>
        <w:autoSpaceDN w:val="0"/>
        <w:adjustRightInd w:val="0"/>
        <w:jc w:val="center"/>
        <w:rPr>
          <w:rFonts w:eastAsiaTheme="minorHAnsi"/>
          <w:sz w:val="20"/>
          <w:szCs w:val="20"/>
        </w:rPr>
      </w:pPr>
      <w:r w:rsidRPr="0029509A">
        <w:rPr>
          <w:b/>
          <w:sz w:val="20"/>
          <w:szCs w:val="20"/>
        </w:rPr>
        <w:t>Scheme 7</w:t>
      </w:r>
      <w:r w:rsidR="0024652D" w:rsidRPr="0029509A">
        <w:rPr>
          <w:rFonts w:eastAsiaTheme="minorHAnsi"/>
          <w:sz w:val="20"/>
          <w:szCs w:val="20"/>
        </w:rPr>
        <w:t xml:space="preserve"> </w:t>
      </w:r>
    </w:p>
    <w:p w:rsidR="008F7F62" w:rsidRDefault="008F7F62" w:rsidP="005474CD">
      <w:pPr>
        <w:autoSpaceDE w:val="0"/>
        <w:autoSpaceDN w:val="0"/>
        <w:adjustRightInd w:val="0"/>
        <w:jc w:val="center"/>
        <w:rPr>
          <w:color w:val="000000"/>
          <w:sz w:val="20"/>
          <w:szCs w:val="20"/>
        </w:rPr>
      </w:pPr>
    </w:p>
    <w:p w:rsidR="007C7B1F" w:rsidRDefault="007C7B1F" w:rsidP="005474CD">
      <w:pPr>
        <w:autoSpaceDE w:val="0"/>
        <w:autoSpaceDN w:val="0"/>
        <w:adjustRightInd w:val="0"/>
        <w:jc w:val="center"/>
        <w:rPr>
          <w:color w:val="000000"/>
          <w:sz w:val="20"/>
          <w:szCs w:val="20"/>
        </w:rPr>
      </w:pPr>
    </w:p>
    <w:p w:rsidR="007C7B1F" w:rsidRDefault="007C7B1F" w:rsidP="005474CD">
      <w:pPr>
        <w:autoSpaceDE w:val="0"/>
        <w:autoSpaceDN w:val="0"/>
        <w:adjustRightInd w:val="0"/>
        <w:jc w:val="center"/>
        <w:rPr>
          <w:color w:val="000000"/>
          <w:sz w:val="20"/>
          <w:szCs w:val="20"/>
        </w:rPr>
      </w:pPr>
    </w:p>
    <w:p w:rsidR="00DF1D6C" w:rsidRPr="0029509A" w:rsidRDefault="00DF1D6C" w:rsidP="005474CD">
      <w:pPr>
        <w:autoSpaceDE w:val="0"/>
        <w:autoSpaceDN w:val="0"/>
        <w:adjustRightInd w:val="0"/>
        <w:jc w:val="center"/>
        <w:rPr>
          <w:color w:val="000000"/>
          <w:sz w:val="20"/>
          <w:szCs w:val="20"/>
        </w:rPr>
      </w:pPr>
    </w:p>
    <w:p w:rsidR="00256D58" w:rsidRDefault="00256D58" w:rsidP="005474CD">
      <w:pPr>
        <w:autoSpaceDE w:val="0"/>
        <w:autoSpaceDN w:val="0"/>
        <w:adjustRightInd w:val="0"/>
        <w:jc w:val="both"/>
        <w:rPr>
          <w:rFonts w:eastAsiaTheme="minorHAnsi"/>
          <w:b/>
          <w:sz w:val="20"/>
          <w:szCs w:val="20"/>
        </w:rPr>
      </w:pPr>
    </w:p>
    <w:p w:rsidR="00256D58" w:rsidRDefault="00256D58" w:rsidP="005474CD">
      <w:pPr>
        <w:autoSpaceDE w:val="0"/>
        <w:autoSpaceDN w:val="0"/>
        <w:adjustRightInd w:val="0"/>
        <w:jc w:val="both"/>
        <w:rPr>
          <w:rFonts w:eastAsiaTheme="minorHAnsi"/>
          <w:b/>
          <w:sz w:val="20"/>
          <w:szCs w:val="20"/>
        </w:rPr>
      </w:pPr>
    </w:p>
    <w:p w:rsidR="00791442" w:rsidRDefault="000317E0" w:rsidP="005474CD">
      <w:pPr>
        <w:autoSpaceDE w:val="0"/>
        <w:autoSpaceDN w:val="0"/>
        <w:adjustRightInd w:val="0"/>
        <w:jc w:val="both"/>
        <w:rPr>
          <w:rFonts w:eastAsiaTheme="minorHAnsi"/>
          <w:b/>
          <w:sz w:val="20"/>
          <w:szCs w:val="20"/>
        </w:rPr>
      </w:pPr>
      <w:r>
        <w:rPr>
          <w:rFonts w:eastAsiaTheme="minorHAnsi"/>
          <w:b/>
          <w:sz w:val="20"/>
          <w:szCs w:val="20"/>
        </w:rPr>
        <w:t>E</w:t>
      </w:r>
      <w:r w:rsidR="00791442" w:rsidRPr="0029509A">
        <w:rPr>
          <w:rFonts w:eastAsiaTheme="minorHAnsi"/>
          <w:b/>
          <w:sz w:val="20"/>
          <w:szCs w:val="20"/>
        </w:rPr>
        <w:t>.</w:t>
      </w:r>
      <w:r>
        <w:rPr>
          <w:rFonts w:eastAsiaTheme="minorHAnsi"/>
          <w:b/>
          <w:sz w:val="20"/>
          <w:szCs w:val="20"/>
        </w:rPr>
        <w:t xml:space="preserve">  </w:t>
      </w:r>
      <w:r w:rsidR="00791442" w:rsidRPr="0029509A">
        <w:rPr>
          <w:rFonts w:eastAsiaTheme="minorHAnsi"/>
          <w:b/>
          <w:sz w:val="20"/>
          <w:szCs w:val="20"/>
        </w:rPr>
        <w:t>Synthesis of fused thiazolotriazoles</w:t>
      </w:r>
    </w:p>
    <w:p w:rsidR="00B502E7" w:rsidRPr="0029509A" w:rsidRDefault="00B502E7" w:rsidP="005474CD">
      <w:pPr>
        <w:autoSpaceDE w:val="0"/>
        <w:autoSpaceDN w:val="0"/>
        <w:adjustRightInd w:val="0"/>
        <w:jc w:val="both"/>
        <w:rPr>
          <w:rFonts w:eastAsiaTheme="minorHAnsi"/>
          <w:b/>
          <w:sz w:val="20"/>
          <w:szCs w:val="20"/>
        </w:rPr>
      </w:pPr>
    </w:p>
    <w:p w:rsidR="00323A21" w:rsidRPr="0029509A" w:rsidRDefault="00E64D21" w:rsidP="005474CD">
      <w:pPr>
        <w:autoSpaceDE w:val="0"/>
        <w:autoSpaceDN w:val="0"/>
        <w:adjustRightInd w:val="0"/>
        <w:jc w:val="both"/>
        <w:rPr>
          <w:rFonts w:eastAsiaTheme="minorHAnsi"/>
          <w:sz w:val="20"/>
          <w:szCs w:val="20"/>
        </w:rPr>
      </w:pPr>
      <w:r w:rsidRPr="00E64D21">
        <w:rPr>
          <w:rFonts w:eastAsiaTheme="minorHAnsi"/>
          <w:sz w:val="20"/>
          <w:szCs w:val="20"/>
        </w:rPr>
        <w:t xml:space="preserve">Hydrazones have been subjected to oxidative cyclization </w:t>
      </w:r>
      <w:r w:rsidR="002B0686">
        <w:rPr>
          <w:rFonts w:eastAsiaTheme="minorHAnsi"/>
          <w:sz w:val="20"/>
          <w:szCs w:val="20"/>
        </w:rPr>
        <w:t>with the help</w:t>
      </w:r>
      <w:r w:rsidRPr="00E64D21">
        <w:rPr>
          <w:rFonts w:eastAsiaTheme="minorHAnsi"/>
          <w:sz w:val="20"/>
          <w:szCs w:val="20"/>
        </w:rPr>
        <w:t xml:space="preserve"> of </w:t>
      </w:r>
      <w:r w:rsidR="002B0686">
        <w:rPr>
          <w:rFonts w:eastAsiaTheme="minorHAnsi"/>
          <w:sz w:val="20"/>
          <w:szCs w:val="20"/>
        </w:rPr>
        <w:t>IBD</w:t>
      </w:r>
      <w:r w:rsidRPr="00E64D21">
        <w:rPr>
          <w:rFonts w:eastAsiaTheme="minorHAnsi"/>
          <w:sz w:val="20"/>
          <w:szCs w:val="20"/>
        </w:rPr>
        <w:t xml:space="preserve"> to produce</w:t>
      </w:r>
      <w:r>
        <w:rPr>
          <w:rFonts w:eastAsiaTheme="minorHAnsi"/>
          <w:sz w:val="20"/>
          <w:szCs w:val="20"/>
        </w:rPr>
        <w:t xml:space="preserve"> thiazolo</w:t>
      </w:r>
      <w:r w:rsidR="00A708DB" w:rsidRPr="0029509A">
        <w:rPr>
          <w:rFonts w:eastAsiaTheme="minorHAnsi"/>
          <w:sz w:val="20"/>
          <w:szCs w:val="20"/>
        </w:rPr>
        <w:t xml:space="preserve">triazoles </w:t>
      </w:r>
      <w:r w:rsidR="00323A21" w:rsidRPr="0029509A">
        <w:rPr>
          <w:rFonts w:eastAsiaTheme="minorHAnsi"/>
          <w:b/>
          <w:sz w:val="20"/>
          <w:szCs w:val="20"/>
        </w:rPr>
        <w:t>(Scheme 8)</w:t>
      </w:r>
      <w:r w:rsidR="00323A21" w:rsidRPr="0029509A">
        <w:rPr>
          <w:rFonts w:eastAsiaTheme="minorHAnsi"/>
          <w:sz w:val="20"/>
          <w:szCs w:val="20"/>
        </w:rPr>
        <w:t>.</w:t>
      </w:r>
      <w:r w:rsidR="00E4603C" w:rsidRPr="0029509A">
        <w:rPr>
          <w:b/>
          <w:sz w:val="20"/>
          <w:szCs w:val="20"/>
          <w:vertAlign w:val="superscript"/>
        </w:rPr>
        <w:t xml:space="preserve"> [</w:t>
      </w:r>
      <w:r w:rsidR="00256D58">
        <w:rPr>
          <w:rFonts w:eastAsiaTheme="minorHAnsi"/>
          <w:sz w:val="20"/>
          <w:szCs w:val="20"/>
          <w:vertAlign w:val="superscript"/>
        </w:rPr>
        <w:t>18</w:t>
      </w:r>
      <w:r w:rsidR="00E4603C" w:rsidRPr="0029509A">
        <w:rPr>
          <w:rFonts w:eastAsiaTheme="minorHAnsi"/>
          <w:sz w:val="20"/>
          <w:szCs w:val="20"/>
          <w:vertAlign w:val="superscript"/>
        </w:rPr>
        <w:t>]</w:t>
      </w:r>
    </w:p>
    <w:p w:rsidR="00323A21" w:rsidRPr="0029509A" w:rsidRDefault="00323A21" w:rsidP="005474CD">
      <w:pPr>
        <w:jc w:val="both"/>
        <w:rPr>
          <w:rFonts w:eastAsiaTheme="minorHAnsi"/>
          <w:sz w:val="20"/>
          <w:szCs w:val="20"/>
        </w:rPr>
      </w:pPr>
      <w:r w:rsidRPr="0029509A">
        <w:rPr>
          <w:rFonts w:eastAsiaTheme="minorHAnsi"/>
          <w:noProof/>
          <w:sz w:val="20"/>
          <w:szCs w:val="20"/>
          <w:lang w:val="en-IN" w:eastAsia="en-IN"/>
        </w:rPr>
        <w:drawing>
          <wp:inline distT="0" distB="0" distL="0" distR="0" wp14:anchorId="7B3147B9" wp14:editId="2C998682">
            <wp:extent cx="5029200" cy="1594713"/>
            <wp:effectExtent l="0" t="0" r="0" b="0"/>
            <wp:docPr id="9" name="Picture 9"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User\Desktop\Untitled.png"/>
                    <pic:cNvPicPr>
                      <a:picLocks noChangeAspect="1" noChangeArrowheads="1"/>
                    </pic:cNvPicPr>
                  </pic:nvPicPr>
                  <pic:blipFill rotWithShape="1">
                    <a:blip r:embed="rId18">
                      <a:extLst>
                        <a:ext uri="{28A0092B-C50C-407E-A947-70E740481C1C}">
                          <a14:useLocalDpi xmlns:a14="http://schemas.microsoft.com/office/drawing/2010/main" val="0"/>
                        </a:ext>
                      </a:extLst>
                    </a:blip>
                    <a:srcRect b="23437"/>
                    <a:stretch/>
                  </pic:blipFill>
                  <pic:spPr bwMode="auto">
                    <a:xfrm>
                      <a:off x="0" y="0"/>
                      <a:ext cx="5037864" cy="1597460"/>
                    </a:xfrm>
                    <a:prstGeom prst="rect">
                      <a:avLst/>
                    </a:prstGeom>
                    <a:noFill/>
                    <a:ln>
                      <a:noFill/>
                    </a:ln>
                    <a:extLst>
                      <a:ext uri="{53640926-AAD7-44D8-BBD7-CCE9431645EC}">
                        <a14:shadowObscured xmlns:a14="http://schemas.microsoft.com/office/drawing/2010/main"/>
                      </a:ext>
                    </a:extLst>
                  </pic:spPr>
                </pic:pic>
              </a:graphicData>
            </a:graphic>
          </wp:inline>
        </w:drawing>
      </w:r>
    </w:p>
    <w:p w:rsidR="00323A21" w:rsidRPr="0029509A" w:rsidRDefault="00323A21" w:rsidP="005474CD">
      <w:pPr>
        <w:autoSpaceDE w:val="0"/>
        <w:autoSpaceDN w:val="0"/>
        <w:adjustRightInd w:val="0"/>
        <w:jc w:val="center"/>
        <w:rPr>
          <w:color w:val="000000"/>
          <w:sz w:val="20"/>
          <w:szCs w:val="20"/>
        </w:rPr>
      </w:pPr>
      <w:r w:rsidRPr="0029509A">
        <w:rPr>
          <w:b/>
          <w:sz w:val="20"/>
          <w:szCs w:val="20"/>
        </w:rPr>
        <w:t xml:space="preserve">Scheme 8 </w:t>
      </w:r>
    </w:p>
    <w:p w:rsidR="00323A21" w:rsidRPr="0029509A" w:rsidRDefault="00323A21" w:rsidP="005474CD">
      <w:pPr>
        <w:jc w:val="both"/>
        <w:rPr>
          <w:rFonts w:eastAsiaTheme="minorHAnsi"/>
          <w:sz w:val="20"/>
          <w:szCs w:val="20"/>
        </w:rPr>
      </w:pPr>
    </w:p>
    <w:p w:rsidR="00791442" w:rsidRDefault="000317E0" w:rsidP="005474CD">
      <w:pPr>
        <w:autoSpaceDE w:val="0"/>
        <w:autoSpaceDN w:val="0"/>
        <w:adjustRightInd w:val="0"/>
        <w:jc w:val="both"/>
        <w:rPr>
          <w:rFonts w:eastAsiaTheme="minorHAnsi"/>
          <w:b/>
          <w:sz w:val="20"/>
          <w:szCs w:val="20"/>
        </w:rPr>
      </w:pPr>
      <w:r>
        <w:rPr>
          <w:rFonts w:eastAsiaTheme="minorHAnsi"/>
          <w:b/>
          <w:sz w:val="20"/>
          <w:szCs w:val="20"/>
        </w:rPr>
        <w:t xml:space="preserve">F.  </w:t>
      </w:r>
      <w:r w:rsidR="00791442" w:rsidRPr="0029509A">
        <w:rPr>
          <w:rFonts w:eastAsiaTheme="minorHAnsi"/>
          <w:b/>
          <w:sz w:val="20"/>
          <w:szCs w:val="20"/>
        </w:rPr>
        <w:t>Synthesis of fused triazolopyrazines</w:t>
      </w:r>
    </w:p>
    <w:p w:rsidR="00B502E7" w:rsidRPr="0029509A" w:rsidRDefault="00B502E7" w:rsidP="005474CD">
      <w:pPr>
        <w:autoSpaceDE w:val="0"/>
        <w:autoSpaceDN w:val="0"/>
        <w:adjustRightInd w:val="0"/>
        <w:jc w:val="both"/>
        <w:rPr>
          <w:rFonts w:eastAsiaTheme="minorHAnsi"/>
          <w:b/>
          <w:sz w:val="20"/>
          <w:szCs w:val="20"/>
        </w:rPr>
      </w:pPr>
    </w:p>
    <w:p w:rsidR="00323A21" w:rsidRPr="0029509A" w:rsidRDefault="00C60B5F" w:rsidP="005474CD">
      <w:pPr>
        <w:autoSpaceDE w:val="0"/>
        <w:autoSpaceDN w:val="0"/>
        <w:adjustRightInd w:val="0"/>
        <w:jc w:val="both"/>
        <w:rPr>
          <w:rFonts w:eastAsiaTheme="minorHAnsi"/>
          <w:sz w:val="20"/>
          <w:szCs w:val="20"/>
        </w:rPr>
      </w:pPr>
      <w:r w:rsidRPr="00C60B5F">
        <w:rPr>
          <w:rFonts w:eastAsiaTheme="minorHAnsi"/>
          <w:sz w:val="20"/>
          <w:szCs w:val="20"/>
        </w:rPr>
        <w:t xml:space="preserve">Demmer et al. have described </w:t>
      </w:r>
      <w:r>
        <w:rPr>
          <w:rFonts w:eastAsiaTheme="minorHAnsi"/>
          <w:sz w:val="20"/>
          <w:szCs w:val="20"/>
        </w:rPr>
        <w:t>t</w:t>
      </w:r>
      <w:r w:rsidR="00323A21" w:rsidRPr="0029509A">
        <w:rPr>
          <w:rFonts w:eastAsiaTheme="minorHAnsi"/>
          <w:sz w:val="20"/>
          <w:szCs w:val="20"/>
        </w:rPr>
        <w:t xml:space="preserve">he </w:t>
      </w:r>
      <w:r w:rsidR="002B0686">
        <w:rPr>
          <w:rFonts w:eastAsiaTheme="minorHAnsi"/>
          <w:sz w:val="20"/>
          <w:szCs w:val="20"/>
        </w:rPr>
        <w:t>production</w:t>
      </w:r>
      <w:r w:rsidR="00323A21" w:rsidRPr="0029509A">
        <w:rPr>
          <w:rFonts w:eastAsiaTheme="minorHAnsi"/>
          <w:sz w:val="20"/>
          <w:szCs w:val="20"/>
        </w:rPr>
        <w:t xml:space="preserve"> of 3-Aryl/heteroaryl-[1,2,4]-triazolo[4,3-a]pyrazines from 2-chloro-3-hydrazinylpyrazine </w:t>
      </w:r>
      <w:r w:rsidRPr="00C60B5F">
        <w:rPr>
          <w:rFonts w:eastAsiaTheme="minorHAnsi"/>
          <w:i/>
          <w:sz w:val="20"/>
          <w:szCs w:val="20"/>
        </w:rPr>
        <w:t>via</w:t>
      </w:r>
      <w:r w:rsidR="00323A21" w:rsidRPr="0029509A">
        <w:rPr>
          <w:rFonts w:eastAsiaTheme="minorHAnsi"/>
          <w:sz w:val="20"/>
          <w:szCs w:val="20"/>
        </w:rPr>
        <w:t xml:space="preserve"> </w:t>
      </w:r>
      <w:r w:rsidR="00187202" w:rsidRPr="0029509A">
        <w:rPr>
          <w:rFonts w:eastAsiaTheme="minorHAnsi"/>
          <w:sz w:val="20"/>
          <w:szCs w:val="20"/>
        </w:rPr>
        <w:t xml:space="preserve">IBD </w:t>
      </w:r>
      <w:r w:rsidR="00323A21" w:rsidRPr="0029509A">
        <w:rPr>
          <w:rFonts w:eastAsiaTheme="minorHAnsi"/>
          <w:b/>
          <w:sz w:val="20"/>
          <w:szCs w:val="20"/>
        </w:rPr>
        <w:t>(Scheme 9)</w:t>
      </w:r>
      <w:r w:rsidR="00323A21" w:rsidRPr="0029509A">
        <w:rPr>
          <w:rFonts w:eastAsiaTheme="minorHAnsi"/>
          <w:sz w:val="20"/>
          <w:szCs w:val="20"/>
        </w:rPr>
        <w:t>.</w:t>
      </w:r>
      <w:r w:rsidR="00E4603C" w:rsidRPr="0029509A">
        <w:rPr>
          <w:b/>
          <w:sz w:val="20"/>
          <w:szCs w:val="20"/>
          <w:vertAlign w:val="superscript"/>
        </w:rPr>
        <w:t xml:space="preserve"> [</w:t>
      </w:r>
      <w:r w:rsidR="00256D58">
        <w:rPr>
          <w:rFonts w:eastAsiaTheme="minorHAnsi"/>
          <w:sz w:val="20"/>
          <w:szCs w:val="20"/>
          <w:vertAlign w:val="superscript"/>
        </w:rPr>
        <w:t>19</w:t>
      </w:r>
      <w:r w:rsidR="00E4603C" w:rsidRPr="0029509A">
        <w:rPr>
          <w:rFonts w:eastAsiaTheme="minorHAnsi"/>
          <w:sz w:val="20"/>
          <w:szCs w:val="20"/>
          <w:vertAlign w:val="superscript"/>
        </w:rPr>
        <w:t>]</w:t>
      </w:r>
    </w:p>
    <w:p w:rsidR="00323A21" w:rsidRPr="0029509A" w:rsidRDefault="00323A21" w:rsidP="005474CD">
      <w:pPr>
        <w:autoSpaceDE w:val="0"/>
        <w:autoSpaceDN w:val="0"/>
        <w:adjustRightInd w:val="0"/>
        <w:jc w:val="center"/>
        <w:rPr>
          <w:rFonts w:eastAsiaTheme="minorHAnsi"/>
          <w:sz w:val="20"/>
          <w:szCs w:val="20"/>
        </w:rPr>
      </w:pPr>
      <w:r w:rsidRPr="0029509A">
        <w:rPr>
          <w:rFonts w:eastAsiaTheme="minorHAnsi"/>
          <w:noProof/>
          <w:sz w:val="20"/>
          <w:szCs w:val="20"/>
          <w:lang w:val="en-IN" w:eastAsia="en-IN"/>
        </w:rPr>
        <w:drawing>
          <wp:inline distT="0" distB="0" distL="0" distR="0" wp14:anchorId="18C9FE46" wp14:editId="182C7D21">
            <wp:extent cx="4695825" cy="1381125"/>
            <wp:effectExtent l="0" t="0" r="0" b="0"/>
            <wp:docPr id="3" name="Picture 3"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User\Desktop\Untitled.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95825" cy="1381125"/>
                    </a:xfrm>
                    <a:prstGeom prst="rect">
                      <a:avLst/>
                    </a:prstGeom>
                    <a:noFill/>
                    <a:ln>
                      <a:noFill/>
                    </a:ln>
                  </pic:spPr>
                </pic:pic>
              </a:graphicData>
            </a:graphic>
          </wp:inline>
        </w:drawing>
      </w:r>
    </w:p>
    <w:p w:rsidR="00323A21" w:rsidRPr="0029509A" w:rsidRDefault="00323A21" w:rsidP="005474CD">
      <w:pPr>
        <w:autoSpaceDE w:val="0"/>
        <w:autoSpaceDN w:val="0"/>
        <w:adjustRightInd w:val="0"/>
        <w:jc w:val="center"/>
        <w:rPr>
          <w:rFonts w:eastAsiaTheme="minorHAnsi"/>
          <w:sz w:val="20"/>
          <w:szCs w:val="20"/>
        </w:rPr>
      </w:pPr>
      <w:r w:rsidRPr="0029509A">
        <w:rPr>
          <w:b/>
          <w:sz w:val="20"/>
          <w:szCs w:val="20"/>
        </w:rPr>
        <w:t xml:space="preserve">Scheme 9 </w:t>
      </w:r>
    </w:p>
    <w:p w:rsidR="00CF4112" w:rsidRPr="0029509A" w:rsidRDefault="00CF4112" w:rsidP="005474CD">
      <w:pPr>
        <w:autoSpaceDE w:val="0"/>
        <w:autoSpaceDN w:val="0"/>
        <w:adjustRightInd w:val="0"/>
        <w:jc w:val="both"/>
        <w:rPr>
          <w:b/>
          <w:sz w:val="20"/>
          <w:szCs w:val="20"/>
        </w:rPr>
      </w:pPr>
    </w:p>
    <w:p w:rsidR="00791442" w:rsidRDefault="000317E0" w:rsidP="005474CD">
      <w:pPr>
        <w:autoSpaceDE w:val="0"/>
        <w:autoSpaceDN w:val="0"/>
        <w:adjustRightInd w:val="0"/>
        <w:jc w:val="both"/>
        <w:rPr>
          <w:b/>
          <w:sz w:val="20"/>
          <w:szCs w:val="20"/>
        </w:rPr>
      </w:pPr>
      <w:r>
        <w:rPr>
          <w:b/>
          <w:sz w:val="20"/>
          <w:szCs w:val="20"/>
        </w:rPr>
        <w:t xml:space="preserve">G.  </w:t>
      </w:r>
      <w:r w:rsidR="00791442" w:rsidRPr="0029509A">
        <w:rPr>
          <w:b/>
          <w:sz w:val="20"/>
          <w:szCs w:val="20"/>
        </w:rPr>
        <w:t>C–H alkynylation of indoles and pyrroles</w:t>
      </w:r>
    </w:p>
    <w:p w:rsidR="00B502E7" w:rsidRPr="0029509A" w:rsidRDefault="00B502E7" w:rsidP="005474CD">
      <w:pPr>
        <w:autoSpaceDE w:val="0"/>
        <w:autoSpaceDN w:val="0"/>
        <w:adjustRightInd w:val="0"/>
        <w:jc w:val="both"/>
        <w:rPr>
          <w:sz w:val="20"/>
          <w:szCs w:val="20"/>
        </w:rPr>
      </w:pPr>
    </w:p>
    <w:p w:rsidR="00323A21" w:rsidRPr="0029509A" w:rsidRDefault="00C60B5F" w:rsidP="005474CD">
      <w:pPr>
        <w:autoSpaceDE w:val="0"/>
        <w:autoSpaceDN w:val="0"/>
        <w:adjustRightInd w:val="0"/>
        <w:jc w:val="both"/>
        <w:rPr>
          <w:sz w:val="20"/>
          <w:szCs w:val="20"/>
        </w:rPr>
      </w:pPr>
      <w:r w:rsidRPr="00C60B5F">
        <w:rPr>
          <w:sz w:val="20"/>
          <w:szCs w:val="20"/>
        </w:rPr>
        <w:t xml:space="preserve">By utilizing the TIPS-EBX, Brand et al. </w:t>
      </w:r>
      <w:r w:rsidR="002B0686" w:rsidRPr="00C60B5F">
        <w:rPr>
          <w:sz w:val="20"/>
          <w:szCs w:val="20"/>
        </w:rPr>
        <w:t>described</w:t>
      </w:r>
      <w:r w:rsidRPr="00C60B5F">
        <w:rPr>
          <w:sz w:val="20"/>
          <w:szCs w:val="20"/>
        </w:rPr>
        <w:t xml:space="preserve"> the gold-catalyzed direct alkynylation of pyrroles and indoles</w:t>
      </w:r>
      <w:r w:rsidRPr="00C60B5F">
        <w:rPr>
          <w:rFonts w:eastAsiaTheme="minorHAnsi"/>
          <w:sz w:val="20"/>
          <w:szCs w:val="20"/>
        </w:rPr>
        <w:t xml:space="preserve"> </w:t>
      </w:r>
      <w:r w:rsidR="00323A21" w:rsidRPr="0029509A">
        <w:rPr>
          <w:rFonts w:eastAsiaTheme="minorHAnsi"/>
          <w:b/>
          <w:sz w:val="20"/>
          <w:szCs w:val="20"/>
        </w:rPr>
        <w:t>(Scheme 10)</w:t>
      </w:r>
      <w:r w:rsidR="00323A21" w:rsidRPr="0029509A">
        <w:rPr>
          <w:sz w:val="20"/>
          <w:szCs w:val="20"/>
        </w:rPr>
        <w:t>.</w:t>
      </w:r>
      <w:r w:rsidR="00E4603C" w:rsidRPr="0029509A">
        <w:rPr>
          <w:b/>
          <w:sz w:val="20"/>
          <w:szCs w:val="20"/>
          <w:vertAlign w:val="superscript"/>
        </w:rPr>
        <w:t xml:space="preserve"> [</w:t>
      </w:r>
      <w:r w:rsidR="00256D58">
        <w:rPr>
          <w:sz w:val="20"/>
          <w:szCs w:val="20"/>
          <w:vertAlign w:val="superscript"/>
        </w:rPr>
        <w:t>20</w:t>
      </w:r>
      <w:r w:rsidR="00E4603C" w:rsidRPr="0029509A">
        <w:rPr>
          <w:sz w:val="20"/>
          <w:szCs w:val="20"/>
          <w:vertAlign w:val="superscript"/>
        </w:rPr>
        <w:t>]</w:t>
      </w:r>
      <w:r w:rsidR="00323A21" w:rsidRPr="0029509A">
        <w:rPr>
          <w:rFonts w:eastAsiaTheme="minorHAnsi"/>
          <w:sz w:val="20"/>
          <w:szCs w:val="20"/>
        </w:rPr>
        <w:t xml:space="preserve"> </w:t>
      </w:r>
    </w:p>
    <w:p w:rsidR="00323A21" w:rsidRPr="0029509A" w:rsidRDefault="00323A21" w:rsidP="005474CD">
      <w:pPr>
        <w:jc w:val="center"/>
        <w:rPr>
          <w:sz w:val="20"/>
          <w:szCs w:val="20"/>
        </w:rPr>
      </w:pPr>
      <w:r w:rsidRPr="0029509A">
        <w:rPr>
          <w:noProof/>
          <w:sz w:val="20"/>
          <w:szCs w:val="20"/>
          <w:lang w:val="en-IN" w:eastAsia="en-IN"/>
        </w:rPr>
        <w:drawing>
          <wp:inline distT="0" distB="0" distL="0" distR="0" wp14:anchorId="7DC90937" wp14:editId="247385F5">
            <wp:extent cx="4876800" cy="1504950"/>
            <wp:effectExtent l="0" t="0" r="0" b="0"/>
            <wp:docPr id="13" name="Picture 13"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Untitled.png"/>
                    <pic:cNvPicPr>
                      <a:picLocks noChangeAspect="1" noChangeArrowheads="1"/>
                    </pic:cNvPicPr>
                  </pic:nvPicPr>
                  <pic:blipFill rotWithShape="1">
                    <a:blip r:embed="rId20">
                      <a:extLst>
                        <a:ext uri="{28A0092B-C50C-407E-A947-70E740481C1C}">
                          <a14:useLocalDpi xmlns:a14="http://schemas.microsoft.com/office/drawing/2010/main" val="0"/>
                        </a:ext>
                      </a:extLst>
                    </a:blip>
                    <a:srcRect t="4242"/>
                    <a:stretch/>
                  </pic:blipFill>
                  <pic:spPr bwMode="auto">
                    <a:xfrm>
                      <a:off x="0" y="0"/>
                      <a:ext cx="4876800" cy="1504950"/>
                    </a:xfrm>
                    <a:prstGeom prst="rect">
                      <a:avLst/>
                    </a:prstGeom>
                    <a:noFill/>
                    <a:ln>
                      <a:noFill/>
                    </a:ln>
                    <a:extLst>
                      <a:ext uri="{53640926-AAD7-44D8-BBD7-CCE9431645EC}">
                        <a14:shadowObscured xmlns:a14="http://schemas.microsoft.com/office/drawing/2010/main"/>
                      </a:ext>
                    </a:extLst>
                  </pic:spPr>
                </pic:pic>
              </a:graphicData>
            </a:graphic>
          </wp:inline>
        </w:drawing>
      </w:r>
    </w:p>
    <w:p w:rsidR="00323A21" w:rsidRPr="0029509A" w:rsidRDefault="00323A21" w:rsidP="005474CD">
      <w:pPr>
        <w:autoSpaceDE w:val="0"/>
        <w:autoSpaceDN w:val="0"/>
        <w:adjustRightInd w:val="0"/>
        <w:jc w:val="center"/>
        <w:rPr>
          <w:sz w:val="20"/>
          <w:szCs w:val="20"/>
        </w:rPr>
      </w:pPr>
      <w:r w:rsidRPr="0029509A">
        <w:rPr>
          <w:b/>
          <w:sz w:val="20"/>
          <w:szCs w:val="20"/>
        </w:rPr>
        <w:t xml:space="preserve">Scheme 10 </w:t>
      </w:r>
    </w:p>
    <w:p w:rsidR="002B0686" w:rsidRDefault="002B0686" w:rsidP="005474CD">
      <w:pPr>
        <w:jc w:val="both"/>
        <w:rPr>
          <w:b/>
          <w:sz w:val="20"/>
          <w:szCs w:val="20"/>
        </w:rPr>
      </w:pPr>
    </w:p>
    <w:p w:rsidR="002B0686" w:rsidRDefault="002B0686" w:rsidP="005474CD">
      <w:pPr>
        <w:jc w:val="both"/>
        <w:rPr>
          <w:b/>
          <w:sz w:val="20"/>
          <w:szCs w:val="20"/>
        </w:rPr>
      </w:pPr>
    </w:p>
    <w:p w:rsidR="00791442" w:rsidRDefault="000317E0" w:rsidP="005474CD">
      <w:pPr>
        <w:jc w:val="both"/>
        <w:rPr>
          <w:b/>
          <w:sz w:val="20"/>
          <w:szCs w:val="20"/>
        </w:rPr>
      </w:pPr>
      <w:r>
        <w:rPr>
          <w:b/>
          <w:sz w:val="20"/>
          <w:szCs w:val="20"/>
        </w:rPr>
        <w:t xml:space="preserve">H.  </w:t>
      </w:r>
      <w:r w:rsidR="00791442" w:rsidRPr="0029509A">
        <w:rPr>
          <w:b/>
          <w:sz w:val="20"/>
          <w:szCs w:val="20"/>
        </w:rPr>
        <w:t xml:space="preserve">Synthesis of Azirines </w:t>
      </w:r>
    </w:p>
    <w:p w:rsidR="00B502E7" w:rsidRPr="0029509A" w:rsidRDefault="00B502E7" w:rsidP="005474CD">
      <w:pPr>
        <w:jc w:val="both"/>
        <w:rPr>
          <w:sz w:val="20"/>
          <w:szCs w:val="20"/>
        </w:rPr>
      </w:pPr>
    </w:p>
    <w:p w:rsidR="00323A21" w:rsidRPr="0029509A" w:rsidRDefault="005A2450" w:rsidP="005474CD">
      <w:pPr>
        <w:autoSpaceDE w:val="0"/>
        <w:autoSpaceDN w:val="0"/>
        <w:adjustRightInd w:val="0"/>
        <w:jc w:val="both"/>
        <w:rPr>
          <w:sz w:val="20"/>
          <w:szCs w:val="20"/>
        </w:rPr>
      </w:pPr>
      <w:r w:rsidRPr="005A2450">
        <w:rPr>
          <w:sz w:val="20"/>
          <w:szCs w:val="20"/>
        </w:rPr>
        <w:t>Utilizing innovative hypervalent iodine(III/V), Zhang and colleagues demonstrated the effective synthesis of 2-unsubstituted 2H-azirines by intramolecular oxidative azirination</w:t>
      </w:r>
      <w:r w:rsidRPr="005A2450">
        <w:rPr>
          <w:rFonts w:eastAsiaTheme="minorHAnsi"/>
          <w:sz w:val="20"/>
          <w:szCs w:val="20"/>
        </w:rPr>
        <w:t xml:space="preserve"> </w:t>
      </w:r>
      <w:r w:rsidR="00323A21" w:rsidRPr="0029509A">
        <w:rPr>
          <w:rFonts w:eastAsiaTheme="minorHAnsi"/>
          <w:b/>
          <w:sz w:val="20"/>
          <w:szCs w:val="20"/>
        </w:rPr>
        <w:t>(Scheme 11)</w:t>
      </w:r>
      <w:r w:rsidR="00323A21" w:rsidRPr="0029509A">
        <w:rPr>
          <w:sz w:val="20"/>
          <w:szCs w:val="20"/>
        </w:rPr>
        <w:t>.</w:t>
      </w:r>
      <w:r w:rsidR="00E4603C" w:rsidRPr="0029509A">
        <w:rPr>
          <w:b/>
          <w:sz w:val="20"/>
          <w:szCs w:val="20"/>
          <w:vertAlign w:val="superscript"/>
        </w:rPr>
        <w:t xml:space="preserve"> [</w:t>
      </w:r>
      <w:r w:rsidR="00256D58">
        <w:rPr>
          <w:b/>
          <w:sz w:val="20"/>
          <w:szCs w:val="20"/>
          <w:vertAlign w:val="superscript"/>
        </w:rPr>
        <w:t>2</w:t>
      </w:r>
      <w:r w:rsidR="00323A21" w:rsidRPr="0029509A">
        <w:rPr>
          <w:sz w:val="20"/>
          <w:szCs w:val="20"/>
          <w:vertAlign w:val="superscript"/>
        </w:rPr>
        <w:t>1</w:t>
      </w:r>
      <w:r w:rsidR="00E4603C" w:rsidRPr="0029509A">
        <w:rPr>
          <w:sz w:val="20"/>
          <w:szCs w:val="20"/>
          <w:vertAlign w:val="superscript"/>
        </w:rPr>
        <w:t>]</w:t>
      </w:r>
      <w:r w:rsidR="00323A21" w:rsidRPr="0029509A">
        <w:rPr>
          <w:sz w:val="20"/>
          <w:szCs w:val="20"/>
        </w:rPr>
        <w:t xml:space="preserve"> </w:t>
      </w:r>
    </w:p>
    <w:p w:rsidR="00323A21" w:rsidRPr="0029509A" w:rsidRDefault="00323A21" w:rsidP="005474CD">
      <w:pPr>
        <w:jc w:val="both"/>
        <w:rPr>
          <w:sz w:val="20"/>
          <w:szCs w:val="20"/>
        </w:rPr>
      </w:pPr>
      <w:r w:rsidRPr="0029509A">
        <w:rPr>
          <w:b/>
          <w:sz w:val="20"/>
          <w:szCs w:val="20"/>
        </w:rPr>
        <w:lastRenderedPageBreak/>
        <w:t xml:space="preserve"> </w:t>
      </w:r>
      <w:r w:rsidRPr="0029509A">
        <w:rPr>
          <w:b/>
          <w:noProof/>
          <w:sz w:val="20"/>
          <w:szCs w:val="20"/>
          <w:lang w:val="en-IN" w:eastAsia="en-IN"/>
        </w:rPr>
        <w:drawing>
          <wp:inline distT="0" distB="0" distL="0" distR="0" wp14:anchorId="7EE6CEF5" wp14:editId="779E8DBA">
            <wp:extent cx="4772025" cy="3009900"/>
            <wp:effectExtent l="0" t="0" r="0" b="0"/>
            <wp:docPr id="2" name="Picture 2"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Untitled.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7980" b="13217"/>
                    <a:stretch/>
                  </pic:blipFill>
                  <pic:spPr bwMode="auto">
                    <a:xfrm>
                      <a:off x="0" y="0"/>
                      <a:ext cx="4772025" cy="3009900"/>
                    </a:xfrm>
                    <a:prstGeom prst="rect">
                      <a:avLst/>
                    </a:prstGeom>
                    <a:noFill/>
                    <a:ln>
                      <a:noFill/>
                    </a:ln>
                    <a:extLst>
                      <a:ext uri="{53640926-AAD7-44D8-BBD7-CCE9431645EC}">
                        <a14:shadowObscured xmlns:a14="http://schemas.microsoft.com/office/drawing/2010/main"/>
                      </a:ext>
                    </a:extLst>
                  </pic:spPr>
                </pic:pic>
              </a:graphicData>
            </a:graphic>
          </wp:inline>
        </w:drawing>
      </w:r>
    </w:p>
    <w:p w:rsidR="00323A21" w:rsidRDefault="00323A21" w:rsidP="005474CD">
      <w:pPr>
        <w:autoSpaceDE w:val="0"/>
        <w:autoSpaceDN w:val="0"/>
        <w:adjustRightInd w:val="0"/>
        <w:jc w:val="center"/>
        <w:rPr>
          <w:sz w:val="20"/>
          <w:szCs w:val="20"/>
        </w:rPr>
      </w:pPr>
      <w:r w:rsidRPr="0029509A">
        <w:rPr>
          <w:b/>
          <w:sz w:val="20"/>
          <w:szCs w:val="20"/>
        </w:rPr>
        <w:t xml:space="preserve">Scheme 11 </w:t>
      </w:r>
    </w:p>
    <w:p w:rsidR="0029613A" w:rsidRPr="0029509A" w:rsidRDefault="0029613A" w:rsidP="005474CD">
      <w:pPr>
        <w:autoSpaceDE w:val="0"/>
        <w:autoSpaceDN w:val="0"/>
        <w:adjustRightInd w:val="0"/>
        <w:jc w:val="center"/>
        <w:rPr>
          <w:color w:val="000000"/>
          <w:sz w:val="20"/>
          <w:szCs w:val="20"/>
        </w:rPr>
      </w:pPr>
    </w:p>
    <w:p w:rsidR="00791442" w:rsidRDefault="000317E0" w:rsidP="005474CD">
      <w:pPr>
        <w:jc w:val="both"/>
        <w:rPr>
          <w:b/>
          <w:sz w:val="20"/>
          <w:szCs w:val="20"/>
        </w:rPr>
      </w:pPr>
      <w:r>
        <w:rPr>
          <w:b/>
          <w:sz w:val="20"/>
          <w:szCs w:val="20"/>
        </w:rPr>
        <w:t xml:space="preserve">I.  </w:t>
      </w:r>
      <w:r w:rsidR="00791442" w:rsidRPr="0029509A">
        <w:rPr>
          <w:b/>
          <w:sz w:val="20"/>
          <w:szCs w:val="20"/>
        </w:rPr>
        <w:t xml:space="preserve">Synthesis of flavonoids </w:t>
      </w:r>
    </w:p>
    <w:p w:rsidR="00B502E7" w:rsidRPr="0029509A" w:rsidRDefault="00B502E7" w:rsidP="005474CD">
      <w:pPr>
        <w:jc w:val="both"/>
        <w:rPr>
          <w:b/>
          <w:sz w:val="20"/>
          <w:szCs w:val="20"/>
        </w:rPr>
      </w:pPr>
    </w:p>
    <w:p w:rsidR="00323A21" w:rsidRPr="0029509A" w:rsidRDefault="00A266B7" w:rsidP="005474CD">
      <w:pPr>
        <w:jc w:val="both"/>
        <w:rPr>
          <w:color w:val="231F20"/>
          <w:sz w:val="20"/>
          <w:szCs w:val="20"/>
        </w:rPr>
      </w:pPr>
      <w:r w:rsidRPr="00A266B7">
        <w:rPr>
          <w:sz w:val="20"/>
          <w:szCs w:val="20"/>
        </w:rPr>
        <w:t xml:space="preserve">Kumar and coworkers created 2,3-dimethoxy-3-hydroxyflavanones by oxidizing several flavonol derivatives with polymer-supported HTIB </w:t>
      </w:r>
      <w:r w:rsidR="00323A21" w:rsidRPr="0029509A">
        <w:rPr>
          <w:sz w:val="20"/>
          <w:szCs w:val="20"/>
        </w:rPr>
        <w:t>(</w:t>
      </w:r>
      <w:r w:rsidR="00323A21" w:rsidRPr="0029509A">
        <w:rPr>
          <w:b/>
          <w:sz w:val="20"/>
          <w:szCs w:val="20"/>
        </w:rPr>
        <w:t>Scheme 12</w:t>
      </w:r>
      <w:r w:rsidR="00323A21" w:rsidRPr="0029509A">
        <w:rPr>
          <w:sz w:val="20"/>
          <w:szCs w:val="20"/>
        </w:rPr>
        <w:t>)</w:t>
      </w:r>
      <w:r w:rsidR="00323A21" w:rsidRPr="0029509A">
        <w:rPr>
          <w:color w:val="231F20"/>
          <w:sz w:val="20"/>
          <w:szCs w:val="20"/>
        </w:rPr>
        <w:t>.</w:t>
      </w:r>
      <w:r w:rsidR="00E4603C" w:rsidRPr="0029509A">
        <w:rPr>
          <w:b/>
          <w:sz w:val="20"/>
          <w:szCs w:val="20"/>
          <w:vertAlign w:val="superscript"/>
        </w:rPr>
        <w:t xml:space="preserve"> [</w:t>
      </w:r>
      <w:r w:rsidR="00256D58">
        <w:rPr>
          <w:color w:val="231F20"/>
          <w:sz w:val="20"/>
          <w:szCs w:val="20"/>
          <w:vertAlign w:val="superscript"/>
        </w:rPr>
        <w:t>22</w:t>
      </w:r>
      <w:r w:rsidR="00E4603C" w:rsidRPr="0029509A">
        <w:rPr>
          <w:color w:val="231F20"/>
          <w:sz w:val="20"/>
          <w:szCs w:val="20"/>
          <w:vertAlign w:val="superscript"/>
        </w:rPr>
        <w:t>]</w:t>
      </w:r>
    </w:p>
    <w:p w:rsidR="00323A21" w:rsidRPr="0029509A" w:rsidRDefault="002C763E" w:rsidP="005474CD">
      <w:pPr>
        <w:autoSpaceDE w:val="0"/>
        <w:autoSpaceDN w:val="0"/>
        <w:adjustRightInd w:val="0"/>
        <w:jc w:val="center"/>
        <w:rPr>
          <w:sz w:val="20"/>
          <w:szCs w:val="20"/>
        </w:rPr>
      </w:pPr>
      <w:r w:rsidRPr="0029509A">
        <w:rPr>
          <w:sz w:val="20"/>
          <w:szCs w:val="20"/>
        </w:rPr>
        <w:object w:dxaOrig="8894" w:dyaOrig="2646">
          <v:shape id="_x0000_i1026" type="#_x0000_t75" style="width:6in;height:128.45pt" o:ole="">
            <v:imagedata r:id="rId22" o:title=""/>
          </v:shape>
          <o:OLEObject Type="Embed" ProgID="ChemDraw.Document.6.0" ShapeID="_x0000_i1026" DrawAspect="Content" ObjectID="_1756321435" r:id="rId23"/>
        </w:object>
      </w:r>
    </w:p>
    <w:p w:rsidR="00323A21" w:rsidRPr="0029509A" w:rsidRDefault="00323A21" w:rsidP="005474CD">
      <w:pPr>
        <w:autoSpaceDE w:val="0"/>
        <w:autoSpaceDN w:val="0"/>
        <w:adjustRightInd w:val="0"/>
        <w:jc w:val="center"/>
        <w:rPr>
          <w:color w:val="000000"/>
          <w:sz w:val="20"/>
          <w:szCs w:val="20"/>
        </w:rPr>
      </w:pPr>
      <w:r w:rsidRPr="0029509A">
        <w:rPr>
          <w:b/>
          <w:sz w:val="20"/>
          <w:szCs w:val="20"/>
        </w:rPr>
        <w:t xml:space="preserve">Scheme 12 </w:t>
      </w:r>
    </w:p>
    <w:p w:rsidR="00323A21" w:rsidRPr="0029509A" w:rsidRDefault="00323A21" w:rsidP="005474CD">
      <w:pPr>
        <w:autoSpaceDE w:val="0"/>
        <w:autoSpaceDN w:val="0"/>
        <w:adjustRightInd w:val="0"/>
        <w:jc w:val="both"/>
        <w:rPr>
          <w:color w:val="000000"/>
          <w:sz w:val="20"/>
          <w:szCs w:val="20"/>
        </w:rPr>
      </w:pPr>
    </w:p>
    <w:p w:rsidR="00323A21" w:rsidRPr="0029509A" w:rsidRDefault="00FE1861" w:rsidP="005474CD">
      <w:pPr>
        <w:autoSpaceDE w:val="0"/>
        <w:autoSpaceDN w:val="0"/>
        <w:adjustRightInd w:val="0"/>
        <w:jc w:val="both"/>
        <w:rPr>
          <w:sz w:val="20"/>
          <w:szCs w:val="20"/>
        </w:rPr>
      </w:pPr>
      <w:r w:rsidRPr="00FE1861">
        <w:rPr>
          <w:sz w:val="20"/>
          <w:szCs w:val="20"/>
        </w:rPr>
        <w:t>IBD caused the synthesis of 2,3-dimethoxy-3-hydroxy-2-(1-phenyl-3-aryl-4-pyrazolyl)chromanones when it was applied to 3-hydroxy-2-(1-phen</w:t>
      </w:r>
      <w:r>
        <w:rPr>
          <w:sz w:val="20"/>
          <w:szCs w:val="20"/>
        </w:rPr>
        <w:t>yl-3-aryl-4-pyrazolyl)chromones</w:t>
      </w:r>
      <w:r w:rsidR="00323A21" w:rsidRPr="0029509A">
        <w:rPr>
          <w:sz w:val="20"/>
          <w:szCs w:val="20"/>
        </w:rPr>
        <w:t xml:space="preserve"> </w:t>
      </w:r>
      <w:r w:rsidR="00323A21" w:rsidRPr="0029509A">
        <w:rPr>
          <w:b/>
          <w:sz w:val="20"/>
          <w:szCs w:val="20"/>
        </w:rPr>
        <w:t>(Scheme 13)</w:t>
      </w:r>
      <w:r w:rsidR="00323A21" w:rsidRPr="0029509A">
        <w:rPr>
          <w:sz w:val="20"/>
          <w:szCs w:val="20"/>
        </w:rPr>
        <w:t>.</w:t>
      </w:r>
      <w:r w:rsidR="00E4603C" w:rsidRPr="0029509A">
        <w:rPr>
          <w:b/>
          <w:sz w:val="20"/>
          <w:szCs w:val="20"/>
          <w:vertAlign w:val="superscript"/>
        </w:rPr>
        <w:t xml:space="preserve"> [</w:t>
      </w:r>
      <w:r w:rsidR="00256D58">
        <w:rPr>
          <w:sz w:val="20"/>
          <w:szCs w:val="20"/>
          <w:vertAlign w:val="superscript"/>
        </w:rPr>
        <w:t>23</w:t>
      </w:r>
      <w:r w:rsidR="00E4603C" w:rsidRPr="0029509A">
        <w:rPr>
          <w:sz w:val="20"/>
          <w:szCs w:val="20"/>
          <w:vertAlign w:val="superscript"/>
        </w:rPr>
        <w:t>]</w:t>
      </w:r>
    </w:p>
    <w:p w:rsidR="00323A21" w:rsidRPr="0029509A" w:rsidRDefault="00473A0E" w:rsidP="005474CD">
      <w:pPr>
        <w:autoSpaceDE w:val="0"/>
        <w:autoSpaceDN w:val="0"/>
        <w:adjustRightInd w:val="0"/>
        <w:jc w:val="center"/>
        <w:rPr>
          <w:sz w:val="20"/>
          <w:szCs w:val="20"/>
        </w:rPr>
      </w:pPr>
      <w:r w:rsidRPr="0029509A">
        <w:rPr>
          <w:sz w:val="20"/>
          <w:szCs w:val="20"/>
        </w:rPr>
        <w:object w:dxaOrig="7113" w:dyaOrig="1698">
          <v:shape id="_x0000_i1027" type="#_x0000_t75" style="width:353.65pt;height:84.65pt" o:ole="">
            <v:imagedata r:id="rId24" o:title=""/>
          </v:shape>
          <o:OLEObject Type="Embed" ProgID="ChemDraw.Document.6.0" ShapeID="_x0000_i1027" DrawAspect="Content" ObjectID="_1756321436" r:id="rId25"/>
        </w:object>
      </w:r>
    </w:p>
    <w:p w:rsidR="00323A21" w:rsidRDefault="00323A21" w:rsidP="005474CD">
      <w:pPr>
        <w:jc w:val="center"/>
        <w:rPr>
          <w:b/>
          <w:sz w:val="20"/>
          <w:szCs w:val="20"/>
        </w:rPr>
      </w:pPr>
      <w:r w:rsidRPr="0029509A">
        <w:rPr>
          <w:b/>
          <w:sz w:val="20"/>
          <w:szCs w:val="20"/>
        </w:rPr>
        <w:t xml:space="preserve">Scheme 13 </w:t>
      </w:r>
    </w:p>
    <w:p w:rsidR="00DF1D6C" w:rsidRPr="0029509A" w:rsidRDefault="00DF1D6C" w:rsidP="005474CD">
      <w:pPr>
        <w:jc w:val="center"/>
        <w:rPr>
          <w:b/>
          <w:sz w:val="20"/>
          <w:szCs w:val="20"/>
        </w:rPr>
      </w:pPr>
    </w:p>
    <w:p w:rsidR="00323A21" w:rsidRPr="0029509A" w:rsidRDefault="00323A21" w:rsidP="005474CD">
      <w:pPr>
        <w:jc w:val="both"/>
        <w:rPr>
          <w:sz w:val="20"/>
          <w:szCs w:val="20"/>
        </w:rPr>
      </w:pPr>
    </w:p>
    <w:p w:rsidR="00323A21" w:rsidRDefault="0068529A" w:rsidP="005474CD">
      <w:pPr>
        <w:autoSpaceDE w:val="0"/>
        <w:autoSpaceDN w:val="0"/>
        <w:adjustRightInd w:val="0"/>
        <w:jc w:val="both"/>
        <w:rPr>
          <w:sz w:val="20"/>
          <w:szCs w:val="20"/>
        </w:rPr>
      </w:pPr>
      <w:r w:rsidRPr="0068529A">
        <w:rPr>
          <w:sz w:val="20"/>
          <w:szCs w:val="20"/>
        </w:rPr>
        <w:t>Ganguly et al. have described a one-pot procedure for producing 3',5'-diiodoflavone by iodinating the o-hydroxychalcon</w:t>
      </w:r>
      <w:r>
        <w:rPr>
          <w:sz w:val="20"/>
          <w:szCs w:val="20"/>
        </w:rPr>
        <w:t>e by using</w:t>
      </w:r>
      <w:r w:rsidRPr="0068529A">
        <w:rPr>
          <w:sz w:val="20"/>
          <w:szCs w:val="20"/>
        </w:rPr>
        <w:t xml:space="preserve"> </w:t>
      </w:r>
      <w:r w:rsidR="00F208DD">
        <w:rPr>
          <w:sz w:val="20"/>
          <w:szCs w:val="20"/>
        </w:rPr>
        <w:t>PhI(OAc)</w:t>
      </w:r>
      <w:r w:rsidR="00F208DD" w:rsidRPr="00F208DD">
        <w:rPr>
          <w:sz w:val="20"/>
          <w:szCs w:val="20"/>
          <w:vertAlign w:val="subscript"/>
        </w:rPr>
        <w:t>2</w:t>
      </w:r>
      <w:r w:rsidRPr="0068529A">
        <w:rPr>
          <w:sz w:val="20"/>
          <w:szCs w:val="20"/>
        </w:rPr>
        <w:t xml:space="preserve"> </w:t>
      </w:r>
      <w:r w:rsidR="00323A21" w:rsidRPr="0029509A">
        <w:rPr>
          <w:sz w:val="20"/>
          <w:szCs w:val="20"/>
        </w:rPr>
        <w:t>(</w:t>
      </w:r>
      <w:r w:rsidR="00323A21" w:rsidRPr="0029509A">
        <w:rPr>
          <w:b/>
          <w:sz w:val="20"/>
          <w:szCs w:val="20"/>
        </w:rPr>
        <w:t>Scheme 14</w:t>
      </w:r>
      <w:r w:rsidR="00323A21" w:rsidRPr="0029509A">
        <w:rPr>
          <w:sz w:val="20"/>
          <w:szCs w:val="20"/>
        </w:rPr>
        <w:t>).</w:t>
      </w:r>
      <w:r w:rsidR="00E4603C" w:rsidRPr="0029509A">
        <w:rPr>
          <w:b/>
          <w:sz w:val="20"/>
          <w:szCs w:val="20"/>
          <w:vertAlign w:val="superscript"/>
        </w:rPr>
        <w:t xml:space="preserve"> [</w:t>
      </w:r>
      <w:r w:rsidR="00256D58">
        <w:rPr>
          <w:sz w:val="20"/>
          <w:szCs w:val="20"/>
          <w:vertAlign w:val="superscript"/>
        </w:rPr>
        <w:t>24</w:t>
      </w:r>
      <w:r w:rsidR="00E4603C" w:rsidRPr="0029509A">
        <w:rPr>
          <w:sz w:val="20"/>
          <w:szCs w:val="20"/>
          <w:vertAlign w:val="superscript"/>
        </w:rPr>
        <w:t>]</w:t>
      </w:r>
      <w:r w:rsidR="00323A21" w:rsidRPr="0029509A">
        <w:rPr>
          <w:sz w:val="20"/>
          <w:szCs w:val="20"/>
        </w:rPr>
        <w:t xml:space="preserve"> </w:t>
      </w:r>
    </w:p>
    <w:p w:rsidR="00DF1D6C" w:rsidRPr="0029509A" w:rsidRDefault="00DF1D6C" w:rsidP="005474CD">
      <w:pPr>
        <w:autoSpaceDE w:val="0"/>
        <w:autoSpaceDN w:val="0"/>
        <w:adjustRightInd w:val="0"/>
        <w:jc w:val="both"/>
        <w:rPr>
          <w:sz w:val="20"/>
          <w:szCs w:val="20"/>
        </w:rPr>
      </w:pPr>
    </w:p>
    <w:p w:rsidR="00EC0B75" w:rsidRDefault="00EC0B75" w:rsidP="005474CD">
      <w:pPr>
        <w:autoSpaceDE w:val="0"/>
        <w:autoSpaceDN w:val="0"/>
        <w:adjustRightInd w:val="0"/>
        <w:jc w:val="center"/>
        <w:rPr>
          <w:sz w:val="20"/>
          <w:szCs w:val="20"/>
        </w:rPr>
      </w:pPr>
    </w:p>
    <w:p w:rsidR="00EC0B75" w:rsidRDefault="00A552F6" w:rsidP="005474CD">
      <w:pPr>
        <w:autoSpaceDE w:val="0"/>
        <w:autoSpaceDN w:val="0"/>
        <w:adjustRightInd w:val="0"/>
        <w:jc w:val="center"/>
        <w:rPr>
          <w:sz w:val="20"/>
          <w:szCs w:val="20"/>
        </w:rPr>
      </w:pPr>
      <w:r w:rsidRPr="0029509A">
        <w:rPr>
          <w:sz w:val="20"/>
          <w:szCs w:val="20"/>
        </w:rPr>
        <w:object w:dxaOrig="7475" w:dyaOrig="1372">
          <v:shape id="_x0000_i1033" type="#_x0000_t75" style="width:312.75pt;height:58.2pt" o:ole="">
            <v:imagedata r:id="rId26" o:title=""/>
          </v:shape>
          <o:OLEObject Type="Embed" ProgID="ChemDraw.Document.6.0" ShapeID="_x0000_i1033" DrawAspect="Content" ObjectID="_1756321437" r:id="rId27"/>
        </w:object>
      </w:r>
    </w:p>
    <w:p w:rsidR="00323A21" w:rsidRPr="0029509A" w:rsidRDefault="00323A21" w:rsidP="005474CD">
      <w:pPr>
        <w:autoSpaceDE w:val="0"/>
        <w:autoSpaceDN w:val="0"/>
        <w:adjustRightInd w:val="0"/>
        <w:jc w:val="center"/>
        <w:rPr>
          <w:sz w:val="20"/>
          <w:szCs w:val="20"/>
        </w:rPr>
      </w:pPr>
      <w:bookmarkStart w:id="0" w:name="_GoBack"/>
      <w:bookmarkEnd w:id="0"/>
      <w:r w:rsidRPr="0029509A">
        <w:rPr>
          <w:b/>
          <w:sz w:val="20"/>
          <w:szCs w:val="20"/>
        </w:rPr>
        <w:t xml:space="preserve">Scheme 14 </w:t>
      </w:r>
    </w:p>
    <w:p w:rsidR="00323A21" w:rsidRPr="0029509A" w:rsidRDefault="00323A21" w:rsidP="005474CD">
      <w:pPr>
        <w:autoSpaceDE w:val="0"/>
        <w:autoSpaceDN w:val="0"/>
        <w:adjustRightInd w:val="0"/>
        <w:jc w:val="both"/>
        <w:rPr>
          <w:sz w:val="20"/>
          <w:szCs w:val="20"/>
        </w:rPr>
      </w:pPr>
    </w:p>
    <w:p w:rsidR="00323A21" w:rsidRPr="0029509A" w:rsidRDefault="005D5BAC" w:rsidP="005474CD">
      <w:pPr>
        <w:autoSpaceDE w:val="0"/>
        <w:autoSpaceDN w:val="0"/>
        <w:adjustRightInd w:val="0"/>
        <w:jc w:val="both"/>
        <w:rPr>
          <w:iCs/>
          <w:sz w:val="20"/>
          <w:szCs w:val="20"/>
          <w:vertAlign w:val="superscript"/>
        </w:rPr>
      </w:pPr>
      <w:r w:rsidRPr="005D5BAC">
        <w:rPr>
          <w:sz w:val="20"/>
          <w:szCs w:val="20"/>
        </w:rPr>
        <w:t>According to a recent study by Muthukrishnan et al., the oxidation of flavanones with HTIB in the presence of ionic liquid</w:t>
      </w:r>
      <w:r>
        <w:rPr>
          <w:sz w:val="20"/>
          <w:szCs w:val="20"/>
        </w:rPr>
        <w:t xml:space="preserve"> ([bbim]</w:t>
      </w:r>
      <w:r w:rsidRPr="001715B8">
        <w:rPr>
          <w:sz w:val="20"/>
          <w:szCs w:val="20"/>
          <w:vertAlign w:val="superscript"/>
        </w:rPr>
        <w:t>+</w:t>
      </w:r>
      <w:r>
        <w:rPr>
          <w:sz w:val="20"/>
          <w:szCs w:val="20"/>
        </w:rPr>
        <w:t>Br</w:t>
      </w:r>
      <w:r w:rsidRPr="001715B8">
        <w:rPr>
          <w:sz w:val="20"/>
          <w:szCs w:val="20"/>
          <w:vertAlign w:val="superscript"/>
        </w:rPr>
        <w:t>-</w:t>
      </w:r>
      <w:r>
        <w:rPr>
          <w:sz w:val="20"/>
          <w:szCs w:val="20"/>
        </w:rPr>
        <w:t>) produced flavones</w:t>
      </w:r>
      <w:r w:rsidRPr="005D5BAC">
        <w:rPr>
          <w:sz w:val="20"/>
          <w:szCs w:val="20"/>
        </w:rPr>
        <w:t xml:space="preserve"> </w:t>
      </w:r>
      <w:r w:rsidR="00323A21" w:rsidRPr="0029509A">
        <w:rPr>
          <w:b/>
          <w:sz w:val="20"/>
          <w:szCs w:val="20"/>
        </w:rPr>
        <w:t>(Scheme 15)</w:t>
      </w:r>
      <w:r w:rsidR="00323A21" w:rsidRPr="0029509A">
        <w:rPr>
          <w:sz w:val="20"/>
          <w:szCs w:val="20"/>
        </w:rPr>
        <w:t>.</w:t>
      </w:r>
      <w:r w:rsidR="00E4603C" w:rsidRPr="0029509A">
        <w:rPr>
          <w:b/>
          <w:sz w:val="20"/>
          <w:szCs w:val="20"/>
          <w:vertAlign w:val="superscript"/>
        </w:rPr>
        <w:t xml:space="preserve"> [</w:t>
      </w:r>
      <w:r w:rsidR="00323A21" w:rsidRPr="0029509A">
        <w:rPr>
          <w:sz w:val="20"/>
          <w:szCs w:val="20"/>
          <w:vertAlign w:val="superscript"/>
        </w:rPr>
        <w:t>2</w:t>
      </w:r>
      <w:r w:rsidR="00256D58">
        <w:rPr>
          <w:sz w:val="20"/>
          <w:szCs w:val="20"/>
          <w:vertAlign w:val="superscript"/>
        </w:rPr>
        <w:t>5</w:t>
      </w:r>
      <w:r w:rsidR="00E4603C" w:rsidRPr="0029509A">
        <w:rPr>
          <w:sz w:val="20"/>
          <w:szCs w:val="20"/>
          <w:vertAlign w:val="superscript"/>
        </w:rPr>
        <w:t>]</w:t>
      </w:r>
    </w:p>
    <w:p w:rsidR="00323A21" w:rsidRPr="0029509A" w:rsidRDefault="00D3255A" w:rsidP="005474CD">
      <w:pPr>
        <w:jc w:val="both"/>
        <w:rPr>
          <w:sz w:val="20"/>
          <w:szCs w:val="20"/>
        </w:rPr>
      </w:pPr>
      <w:r w:rsidRPr="0029509A">
        <w:rPr>
          <w:sz w:val="20"/>
          <w:szCs w:val="20"/>
        </w:rPr>
        <w:object w:dxaOrig="7785" w:dyaOrig="2061">
          <v:shape id="_x0000_i1029" type="#_x0000_t75" style="width:390.55pt;height:101.95pt" o:ole="">
            <v:imagedata r:id="rId28" o:title=""/>
          </v:shape>
          <o:OLEObject Type="Embed" ProgID="ChemDraw.Document.6.0" ShapeID="_x0000_i1029" DrawAspect="Content" ObjectID="_1756321438" r:id="rId29"/>
        </w:object>
      </w:r>
    </w:p>
    <w:p w:rsidR="00323A21" w:rsidRPr="0029509A" w:rsidRDefault="00323A21" w:rsidP="00F473B4">
      <w:pPr>
        <w:jc w:val="center"/>
        <w:rPr>
          <w:sz w:val="20"/>
          <w:szCs w:val="20"/>
        </w:rPr>
      </w:pPr>
      <w:r w:rsidRPr="0029509A">
        <w:rPr>
          <w:b/>
          <w:sz w:val="20"/>
          <w:szCs w:val="20"/>
        </w:rPr>
        <w:t xml:space="preserve">Scheme </w:t>
      </w:r>
      <w:r w:rsidR="00FC26DD" w:rsidRPr="0029509A">
        <w:rPr>
          <w:b/>
          <w:sz w:val="20"/>
          <w:szCs w:val="20"/>
        </w:rPr>
        <w:t>15</w:t>
      </w:r>
      <w:r w:rsidR="00FC26DD" w:rsidRPr="0029509A">
        <w:rPr>
          <w:sz w:val="20"/>
          <w:szCs w:val="20"/>
        </w:rPr>
        <w:t xml:space="preserve"> </w:t>
      </w:r>
    </w:p>
    <w:p w:rsidR="00323A21" w:rsidRPr="0029509A" w:rsidRDefault="00323A21" w:rsidP="005474CD">
      <w:pPr>
        <w:jc w:val="both"/>
        <w:rPr>
          <w:sz w:val="20"/>
          <w:szCs w:val="20"/>
        </w:rPr>
      </w:pPr>
    </w:p>
    <w:p w:rsidR="00323A21" w:rsidRPr="0029509A" w:rsidRDefault="00D84A46" w:rsidP="005474CD">
      <w:pPr>
        <w:jc w:val="both"/>
        <w:rPr>
          <w:sz w:val="20"/>
          <w:szCs w:val="20"/>
        </w:rPr>
      </w:pPr>
      <w:r w:rsidRPr="00D84A46">
        <w:rPr>
          <w:sz w:val="20"/>
          <w:szCs w:val="20"/>
        </w:rPr>
        <w:t xml:space="preserve">Juhasz and colleagues described how to create methyl 2-aryl-2,3-dihydrobenzofuran-3-carboxylates by employing IBD to carry out the reaction of racemic and chiral (laevorotatory) flavanone </w:t>
      </w:r>
      <w:r w:rsidR="00323A21" w:rsidRPr="0029509A">
        <w:rPr>
          <w:color w:val="000000"/>
          <w:sz w:val="20"/>
          <w:szCs w:val="20"/>
        </w:rPr>
        <w:t>(</w:t>
      </w:r>
      <w:r w:rsidR="00323A21" w:rsidRPr="0029509A">
        <w:rPr>
          <w:b/>
          <w:color w:val="000000"/>
          <w:sz w:val="20"/>
          <w:szCs w:val="20"/>
        </w:rPr>
        <w:t>Scheme 16</w:t>
      </w:r>
      <w:r w:rsidR="00323A21" w:rsidRPr="0029509A">
        <w:rPr>
          <w:color w:val="000000"/>
          <w:sz w:val="20"/>
          <w:szCs w:val="20"/>
        </w:rPr>
        <w:t>)</w:t>
      </w:r>
      <w:r w:rsidR="00323A21" w:rsidRPr="0029509A">
        <w:rPr>
          <w:sz w:val="20"/>
          <w:szCs w:val="20"/>
        </w:rPr>
        <w:t>.</w:t>
      </w:r>
      <w:r w:rsidR="00323A21" w:rsidRPr="0029509A">
        <w:rPr>
          <w:sz w:val="20"/>
          <w:szCs w:val="20"/>
          <w:vertAlign w:val="superscript"/>
        </w:rPr>
        <w:t xml:space="preserve"> </w:t>
      </w:r>
      <w:r w:rsidR="00E4603C" w:rsidRPr="0029509A">
        <w:rPr>
          <w:b/>
          <w:sz w:val="20"/>
          <w:szCs w:val="20"/>
          <w:vertAlign w:val="superscript"/>
        </w:rPr>
        <w:t>[</w:t>
      </w:r>
      <w:r w:rsidR="00256D58">
        <w:rPr>
          <w:sz w:val="20"/>
          <w:szCs w:val="20"/>
          <w:vertAlign w:val="superscript"/>
        </w:rPr>
        <w:t>26</w:t>
      </w:r>
      <w:r w:rsidR="00E4603C" w:rsidRPr="0029509A">
        <w:rPr>
          <w:sz w:val="20"/>
          <w:szCs w:val="20"/>
          <w:vertAlign w:val="superscript"/>
        </w:rPr>
        <w:t>]</w:t>
      </w:r>
      <w:r w:rsidR="00323A21" w:rsidRPr="0029509A">
        <w:rPr>
          <w:sz w:val="20"/>
          <w:szCs w:val="20"/>
        </w:rPr>
        <w:t xml:space="preserve">  </w:t>
      </w:r>
    </w:p>
    <w:p w:rsidR="00323A21" w:rsidRPr="0029509A" w:rsidRDefault="00323A21" w:rsidP="005474CD">
      <w:pPr>
        <w:autoSpaceDE w:val="0"/>
        <w:autoSpaceDN w:val="0"/>
        <w:adjustRightInd w:val="0"/>
        <w:jc w:val="center"/>
        <w:rPr>
          <w:sz w:val="20"/>
          <w:szCs w:val="20"/>
        </w:rPr>
      </w:pPr>
      <w:r w:rsidRPr="0029509A">
        <w:rPr>
          <w:noProof/>
          <w:sz w:val="20"/>
          <w:szCs w:val="20"/>
          <w:lang w:val="en-IN" w:eastAsia="en-IN"/>
        </w:rPr>
        <w:drawing>
          <wp:inline distT="0" distB="0" distL="0" distR="0" wp14:anchorId="18B01B2C" wp14:editId="370F318A">
            <wp:extent cx="5095875" cy="760781"/>
            <wp:effectExtent l="0" t="0" r="0" b="0"/>
            <wp:docPr id="14" name="Picture 14"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User\Desktop\Untitled.png"/>
                    <pic:cNvPicPr>
                      <a:picLocks noChangeAspect="1" noChangeArrowheads="1"/>
                    </pic:cNvPicPr>
                  </pic:nvPicPr>
                  <pic:blipFill rotWithShape="1">
                    <a:blip r:embed="rId30">
                      <a:extLst>
                        <a:ext uri="{28A0092B-C50C-407E-A947-70E740481C1C}">
                          <a14:useLocalDpi xmlns:a14="http://schemas.microsoft.com/office/drawing/2010/main" val="0"/>
                        </a:ext>
                      </a:extLst>
                    </a:blip>
                    <a:srcRect b="20128"/>
                    <a:stretch/>
                  </pic:blipFill>
                  <pic:spPr bwMode="auto">
                    <a:xfrm>
                      <a:off x="0" y="0"/>
                      <a:ext cx="5095875" cy="760781"/>
                    </a:xfrm>
                    <a:prstGeom prst="rect">
                      <a:avLst/>
                    </a:prstGeom>
                    <a:noFill/>
                    <a:ln>
                      <a:noFill/>
                    </a:ln>
                    <a:extLst>
                      <a:ext uri="{53640926-AAD7-44D8-BBD7-CCE9431645EC}">
                        <a14:shadowObscured xmlns:a14="http://schemas.microsoft.com/office/drawing/2010/main"/>
                      </a:ext>
                    </a:extLst>
                  </pic:spPr>
                </pic:pic>
              </a:graphicData>
            </a:graphic>
          </wp:inline>
        </w:drawing>
      </w:r>
    </w:p>
    <w:p w:rsidR="00323A21" w:rsidRPr="0029509A" w:rsidRDefault="00323A21" w:rsidP="005474CD">
      <w:pPr>
        <w:autoSpaceDE w:val="0"/>
        <w:autoSpaceDN w:val="0"/>
        <w:adjustRightInd w:val="0"/>
        <w:jc w:val="center"/>
        <w:rPr>
          <w:sz w:val="20"/>
          <w:szCs w:val="20"/>
        </w:rPr>
      </w:pPr>
      <w:r w:rsidRPr="0029509A">
        <w:rPr>
          <w:b/>
          <w:sz w:val="20"/>
          <w:szCs w:val="20"/>
        </w:rPr>
        <w:t>Scheme 16</w:t>
      </w:r>
      <w:r w:rsidR="00583521" w:rsidRPr="0029509A">
        <w:rPr>
          <w:sz w:val="20"/>
          <w:szCs w:val="20"/>
        </w:rPr>
        <w:t xml:space="preserve"> </w:t>
      </w:r>
    </w:p>
    <w:p w:rsidR="00323A21" w:rsidRPr="0029509A" w:rsidRDefault="00323A21" w:rsidP="005474CD">
      <w:pPr>
        <w:autoSpaceDE w:val="0"/>
        <w:autoSpaceDN w:val="0"/>
        <w:adjustRightInd w:val="0"/>
        <w:jc w:val="both"/>
        <w:rPr>
          <w:sz w:val="20"/>
          <w:szCs w:val="20"/>
        </w:rPr>
      </w:pPr>
    </w:p>
    <w:p w:rsidR="00323A21" w:rsidRPr="0029509A" w:rsidRDefault="003233DA" w:rsidP="005474CD">
      <w:pPr>
        <w:jc w:val="both"/>
        <w:rPr>
          <w:bCs/>
          <w:sz w:val="20"/>
          <w:szCs w:val="20"/>
          <w:vertAlign w:val="superscript"/>
        </w:rPr>
      </w:pPr>
      <w:r w:rsidRPr="003233DA">
        <w:rPr>
          <w:bCs/>
          <w:sz w:val="20"/>
          <w:szCs w:val="20"/>
        </w:rPr>
        <w:t>The oxidative cyclization and rearrangement of DHA happens directly</w:t>
      </w:r>
      <w:r>
        <w:rPr>
          <w:bCs/>
          <w:sz w:val="20"/>
          <w:szCs w:val="20"/>
        </w:rPr>
        <w:t xml:space="preserve"> from its chalcone counterparts</w:t>
      </w:r>
      <w:r w:rsidR="006B3D5B" w:rsidRPr="0029509A">
        <w:rPr>
          <w:bCs/>
          <w:sz w:val="20"/>
          <w:szCs w:val="20"/>
        </w:rPr>
        <w:t xml:space="preserve"> </w:t>
      </w:r>
      <w:r w:rsidR="00323A21" w:rsidRPr="0029509A">
        <w:rPr>
          <w:b/>
          <w:bCs/>
          <w:sz w:val="20"/>
          <w:szCs w:val="20"/>
        </w:rPr>
        <w:t>(</w:t>
      </w:r>
      <w:r w:rsidR="00323A21" w:rsidRPr="0029509A">
        <w:rPr>
          <w:b/>
          <w:sz w:val="20"/>
          <w:szCs w:val="20"/>
        </w:rPr>
        <w:t>Scheme 17</w:t>
      </w:r>
      <w:r w:rsidR="00323A21" w:rsidRPr="0029509A">
        <w:rPr>
          <w:b/>
          <w:bCs/>
          <w:sz w:val="20"/>
          <w:szCs w:val="20"/>
        </w:rPr>
        <w:t>)</w:t>
      </w:r>
      <w:r w:rsidR="00323A21" w:rsidRPr="0029509A">
        <w:rPr>
          <w:bCs/>
          <w:sz w:val="20"/>
          <w:szCs w:val="20"/>
        </w:rPr>
        <w:t>.</w:t>
      </w:r>
      <w:r w:rsidR="00323A21" w:rsidRPr="0029509A">
        <w:rPr>
          <w:sz w:val="20"/>
          <w:szCs w:val="20"/>
          <w:vertAlign w:val="superscript"/>
        </w:rPr>
        <w:t xml:space="preserve"> </w:t>
      </w:r>
      <w:r w:rsidR="00E4603C" w:rsidRPr="0029509A">
        <w:rPr>
          <w:b/>
          <w:sz w:val="20"/>
          <w:szCs w:val="20"/>
          <w:vertAlign w:val="superscript"/>
        </w:rPr>
        <w:t>[</w:t>
      </w:r>
      <w:r w:rsidR="00256D58">
        <w:rPr>
          <w:sz w:val="20"/>
          <w:szCs w:val="20"/>
          <w:vertAlign w:val="superscript"/>
        </w:rPr>
        <w:t>27</w:t>
      </w:r>
      <w:r w:rsidR="00E4603C" w:rsidRPr="0029509A">
        <w:rPr>
          <w:sz w:val="20"/>
          <w:szCs w:val="20"/>
          <w:vertAlign w:val="superscript"/>
        </w:rPr>
        <w:t>]</w:t>
      </w:r>
    </w:p>
    <w:p w:rsidR="00323A21" w:rsidRPr="0029509A" w:rsidRDefault="00323A21" w:rsidP="005474CD">
      <w:pPr>
        <w:jc w:val="center"/>
        <w:rPr>
          <w:sz w:val="20"/>
          <w:szCs w:val="20"/>
        </w:rPr>
      </w:pPr>
      <w:r w:rsidRPr="0029509A">
        <w:rPr>
          <w:noProof/>
          <w:sz w:val="20"/>
          <w:szCs w:val="20"/>
          <w:lang w:val="en-IN" w:eastAsia="en-IN"/>
        </w:rPr>
        <w:drawing>
          <wp:inline distT="0" distB="0" distL="0" distR="0" wp14:anchorId="5CEC4AB5" wp14:editId="6FFAD7D8">
            <wp:extent cx="5410200" cy="1257300"/>
            <wp:effectExtent l="0" t="0" r="0" b="0"/>
            <wp:docPr id="15" name="Picture 15"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User\Desktop\Untitled.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410200" cy="1257300"/>
                    </a:xfrm>
                    <a:prstGeom prst="rect">
                      <a:avLst/>
                    </a:prstGeom>
                    <a:noFill/>
                    <a:ln>
                      <a:noFill/>
                    </a:ln>
                  </pic:spPr>
                </pic:pic>
              </a:graphicData>
            </a:graphic>
          </wp:inline>
        </w:drawing>
      </w:r>
    </w:p>
    <w:p w:rsidR="00323A21" w:rsidRPr="0029509A" w:rsidRDefault="00323A21" w:rsidP="00FF2907">
      <w:pPr>
        <w:jc w:val="center"/>
        <w:rPr>
          <w:sz w:val="20"/>
          <w:szCs w:val="20"/>
        </w:rPr>
      </w:pPr>
      <w:r w:rsidRPr="0029509A">
        <w:rPr>
          <w:b/>
          <w:sz w:val="20"/>
          <w:szCs w:val="20"/>
        </w:rPr>
        <w:t xml:space="preserve">Scheme 17 </w:t>
      </w:r>
    </w:p>
    <w:p w:rsidR="00323A21" w:rsidRPr="0029509A" w:rsidRDefault="00323A21" w:rsidP="005474CD">
      <w:pPr>
        <w:autoSpaceDE w:val="0"/>
        <w:autoSpaceDN w:val="0"/>
        <w:adjustRightInd w:val="0"/>
        <w:jc w:val="both"/>
        <w:rPr>
          <w:sz w:val="20"/>
          <w:szCs w:val="20"/>
        </w:rPr>
      </w:pPr>
    </w:p>
    <w:p w:rsidR="00323A21" w:rsidRDefault="00583521" w:rsidP="005474CD">
      <w:pPr>
        <w:autoSpaceDE w:val="0"/>
        <w:autoSpaceDN w:val="0"/>
        <w:adjustRightInd w:val="0"/>
        <w:jc w:val="both"/>
        <w:rPr>
          <w:sz w:val="20"/>
          <w:szCs w:val="20"/>
          <w:vertAlign w:val="superscript"/>
        </w:rPr>
      </w:pPr>
      <w:r w:rsidRPr="0029509A">
        <w:rPr>
          <w:sz w:val="20"/>
          <w:szCs w:val="20"/>
        </w:rPr>
        <w:t>F</w:t>
      </w:r>
      <w:r w:rsidR="00323A21" w:rsidRPr="0029509A">
        <w:rPr>
          <w:sz w:val="20"/>
          <w:szCs w:val="20"/>
        </w:rPr>
        <w:t xml:space="preserve">rom </w:t>
      </w:r>
      <w:r w:rsidR="00323A21" w:rsidRPr="0029509A">
        <w:rPr>
          <w:i/>
          <w:sz w:val="20"/>
          <w:szCs w:val="20"/>
        </w:rPr>
        <w:t>o</w:t>
      </w:r>
      <w:r w:rsidR="00323A21" w:rsidRPr="0029509A">
        <w:rPr>
          <w:sz w:val="20"/>
          <w:szCs w:val="20"/>
        </w:rPr>
        <w:t>-benzoyloxychalcones</w:t>
      </w:r>
      <w:r w:rsidRPr="0029509A">
        <w:rPr>
          <w:sz w:val="20"/>
          <w:szCs w:val="20"/>
        </w:rPr>
        <w:t xml:space="preserve"> synthesis of isoflavones</w:t>
      </w:r>
      <w:r w:rsidR="00323A21" w:rsidRPr="0029509A">
        <w:rPr>
          <w:b/>
          <w:sz w:val="20"/>
          <w:szCs w:val="20"/>
        </w:rPr>
        <w:t xml:space="preserve"> </w:t>
      </w:r>
      <w:r w:rsidR="00323A21" w:rsidRPr="0029509A">
        <w:rPr>
          <w:sz w:val="20"/>
          <w:szCs w:val="20"/>
        </w:rPr>
        <w:t xml:space="preserve">by using HTIB </w:t>
      </w:r>
      <w:r w:rsidR="00323A21" w:rsidRPr="0029509A">
        <w:rPr>
          <w:rFonts w:eastAsiaTheme="minorHAnsi"/>
          <w:sz w:val="20"/>
          <w:szCs w:val="20"/>
        </w:rPr>
        <w:t>(</w:t>
      </w:r>
      <w:r w:rsidR="00323A21" w:rsidRPr="0029509A">
        <w:rPr>
          <w:rFonts w:eastAsiaTheme="minorHAnsi"/>
          <w:b/>
          <w:sz w:val="20"/>
          <w:szCs w:val="20"/>
        </w:rPr>
        <w:t>Scheme 18</w:t>
      </w:r>
      <w:r w:rsidR="00323A21" w:rsidRPr="0029509A">
        <w:rPr>
          <w:rFonts w:eastAsiaTheme="minorHAnsi"/>
          <w:sz w:val="20"/>
          <w:szCs w:val="20"/>
        </w:rPr>
        <w:t>).</w:t>
      </w:r>
      <w:r w:rsidR="00323A21" w:rsidRPr="0029509A">
        <w:rPr>
          <w:sz w:val="20"/>
          <w:szCs w:val="20"/>
          <w:vertAlign w:val="superscript"/>
        </w:rPr>
        <w:t xml:space="preserve"> </w:t>
      </w:r>
      <w:r w:rsidR="00E4603C" w:rsidRPr="0029509A">
        <w:rPr>
          <w:b/>
          <w:sz w:val="20"/>
          <w:szCs w:val="20"/>
          <w:vertAlign w:val="superscript"/>
        </w:rPr>
        <w:t>[</w:t>
      </w:r>
      <w:r w:rsidR="00256D58">
        <w:rPr>
          <w:sz w:val="20"/>
          <w:szCs w:val="20"/>
          <w:vertAlign w:val="superscript"/>
        </w:rPr>
        <w:t>28</w:t>
      </w:r>
      <w:r w:rsidR="00E4603C" w:rsidRPr="0029509A">
        <w:rPr>
          <w:sz w:val="20"/>
          <w:szCs w:val="20"/>
          <w:vertAlign w:val="superscript"/>
        </w:rPr>
        <w:t>]</w:t>
      </w:r>
    </w:p>
    <w:p w:rsidR="00704E84" w:rsidRPr="0029509A" w:rsidRDefault="00704E84" w:rsidP="005474CD">
      <w:pPr>
        <w:autoSpaceDE w:val="0"/>
        <w:autoSpaceDN w:val="0"/>
        <w:adjustRightInd w:val="0"/>
        <w:jc w:val="both"/>
        <w:rPr>
          <w:rFonts w:eastAsiaTheme="minorHAnsi"/>
          <w:sz w:val="20"/>
          <w:szCs w:val="20"/>
        </w:rPr>
      </w:pPr>
    </w:p>
    <w:p w:rsidR="00704E84" w:rsidRDefault="00704E84" w:rsidP="005474CD">
      <w:pPr>
        <w:autoSpaceDE w:val="0"/>
        <w:autoSpaceDN w:val="0"/>
        <w:adjustRightInd w:val="0"/>
        <w:jc w:val="center"/>
        <w:rPr>
          <w:sz w:val="20"/>
          <w:szCs w:val="20"/>
        </w:rPr>
      </w:pPr>
      <w:r w:rsidRPr="0029509A">
        <w:rPr>
          <w:sz w:val="20"/>
          <w:szCs w:val="20"/>
        </w:rPr>
        <w:object w:dxaOrig="8277" w:dyaOrig="1139">
          <v:shape id="_x0000_i1030" type="#_x0000_t75" style="width:374.4pt;height:51.25pt" o:ole="">
            <v:imagedata r:id="rId32" o:title=""/>
          </v:shape>
          <o:OLEObject Type="Embed" ProgID="ChemDraw.Document.6.0" ShapeID="_x0000_i1030" DrawAspect="Content" ObjectID="_1756321439" r:id="rId33"/>
        </w:object>
      </w:r>
    </w:p>
    <w:p w:rsidR="00323A21" w:rsidRPr="0029509A" w:rsidRDefault="00323A21" w:rsidP="005474CD">
      <w:pPr>
        <w:autoSpaceDE w:val="0"/>
        <w:autoSpaceDN w:val="0"/>
        <w:adjustRightInd w:val="0"/>
        <w:jc w:val="center"/>
        <w:rPr>
          <w:sz w:val="20"/>
          <w:szCs w:val="20"/>
        </w:rPr>
      </w:pPr>
      <w:r w:rsidRPr="0029509A">
        <w:rPr>
          <w:b/>
          <w:bCs/>
          <w:sz w:val="20"/>
          <w:szCs w:val="20"/>
        </w:rPr>
        <w:t xml:space="preserve">Scheme 18 </w:t>
      </w:r>
    </w:p>
    <w:p w:rsidR="00D3255A" w:rsidRPr="0029509A" w:rsidRDefault="00D3255A" w:rsidP="005474CD">
      <w:pPr>
        <w:autoSpaceDE w:val="0"/>
        <w:autoSpaceDN w:val="0"/>
        <w:adjustRightInd w:val="0"/>
        <w:jc w:val="center"/>
        <w:rPr>
          <w:sz w:val="20"/>
          <w:szCs w:val="20"/>
        </w:rPr>
      </w:pPr>
    </w:p>
    <w:p w:rsidR="00323A21" w:rsidRPr="0029509A" w:rsidRDefault="00906376" w:rsidP="005474CD">
      <w:pPr>
        <w:jc w:val="both"/>
        <w:rPr>
          <w:sz w:val="20"/>
          <w:szCs w:val="20"/>
          <w:vertAlign w:val="superscript"/>
        </w:rPr>
      </w:pPr>
      <w:r w:rsidRPr="00906376">
        <w:rPr>
          <w:sz w:val="20"/>
          <w:szCs w:val="20"/>
        </w:rPr>
        <w:t>Recently, Zou and coworkers reported the first total synthesis of C-gly</w:t>
      </w:r>
      <w:r w:rsidR="009A4536">
        <w:rPr>
          <w:sz w:val="20"/>
          <w:szCs w:val="20"/>
        </w:rPr>
        <w:t>coside, 6-tert-butylpuerarin (</w:t>
      </w:r>
      <w:r w:rsidRPr="00906376">
        <w:rPr>
          <w:sz w:val="20"/>
          <w:szCs w:val="20"/>
        </w:rPr>
        <w:t xml:space="preserve">isoflavone), by oxidative cyclization and rearrangement of C-glucosylchalcone with IBD and p-toluenesulfonic acid </w:t>
      </w:r>
      <w:r w:rsidR="00323A21" w:rsidRPr="0029509A">
        <w:rPr>
          <w:sz w:val="20"/>
          <w:szCs w:val="20"/>
        </w:rPr>
        <w:t>(</w:t>
      </w:r>
      <w:r w:rsidR="00323A21" w:rsidRPr="0029509A">
        <w:rPr>
          <w:rFonts w:eastAsia="MyriadPro-SemiCn"/>
          <w:b/>
          <w:sz w:val="20"/>
          <w:szCs w:val="20"/>
        </w:rPr>
        <w:t>Scheme19</w:t>
      </w:r>
      <w:r w:rsidR="00323A21" w:rsidRPr="0029509A">
        <w:rPr>
          <w:sz w:val="20"/>
          <w:szCs w:val="20"/>
        </w:rPr>
        <w:t>).</w:t>
      </w:r>
      <w:r w:rsidR="00E4603C" w:rsidRPr="0029509A">
        <w:rPr>
          <w:b/>
          <w:sz w:val="20"/>
          <w:szCs w:val="20"/>
          <w:vertAlign w:val="superscript"/>
        </w:rPr>
        <w:t xml:space="preserve"> [</w:t>
      </w:r>
      <w:r w:rsidR="00323A21" w:rsidRPr="0029509A">
        <w:rPr>
          <w:sz w:val="20"/>
          <w:szCs w:val="20"/>
          <w:vertAlign w:val="superscript"/>
        </w:rPr>
        <w:t>2</w:t>
      </w:r>
      <w:r w:rsidR="00256D58">
        <w:rPr>
          <w:sz w:val="20"/>
          <w:szCs w:val="20"/>
          <w:vertAlign w:val="superscript"/>
        </w:rPr>
        <w:t>9</w:t>
      </w:r>
      <w:r w:rsidR="00E4603C" w:rsidRPr="0029509A">
        <w:rPr>
          <w:sz w:val="20"/>
          <w:szCs w:val="20"/>
          <w:vertAlign w:val="superscript"/>
        </w:rPr>
        <w:t>]</w:t>
      </w:r>
    </w:p>
    <w:p w:rsidR="00D3255A" w:rsidRPr="0029509A" w:rsidRDefault="00D3255A" w:rsidP="005474CD">
      <w:pPr>
        <w:jc w:val="both"/>
        <w:rPr>
          <w:sz w:val="20"/>
          <w:szCs w:val="20"/>
        </w:rPr>
      </w:pPr>
    </w:p>
    <w:p w:rsidR="00323A21" w:rsidRPr="0029509A" w:rsidRDefault="00323A21" w:rsidP="005474CD">
      <w:pPr>
        <w:jc w:val="center"/>
        <w:rPr>
          <w:b/>
          <w:sz w:val="20"/>
          <w:szCs w:val="20"/>
        </w:rPr>
      </w:pPr>
      <w:r w:rsidRPr="0029509A">
        <w:rPr>
          <w:rFonts w:eastAsia="MyriadPro-SemiCn"/>
          <w:b/>
          <w:noProof/>
          <w:sz w:val="20"/>
          <w:szCs w:val="20"/>
          <w:lang w:val="en-IN" w:eastAsia="en-IN"/>
        </w:rPr>
        <w:lastRenderedPageBreak/>
        <w:drawing>
          <wp:inline distT="0" distB="0" distL="0" distR="0" wp14:anchorId="05376E5C" wp14:editId="3A9180AF">
            <wp:extent cx="5486400" cy="1326949"/>
            <wp:effectExtent l="0" t="0" r="0" b="0"/>
            <wp:docPr id="1" name="Picture 1" descr="C:\Users\User\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Untitled.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86400" cy="1326949"/>
                    </a:xfrm>
                    <a:prstGeom prst="rect">
                      <a:avLst/>
                    </a:prstGeom>
                    <a:noFill/>
                    <a:ln>
                      <a:noFill/>
                    </a:ln>
                  </pic:spPr>
                </pic:pic>
              </a:graphicData>
            </a:graphic>
          </wp:inline>
        </w:drawing>
      </w:r>
      <w:r w:rsidRPr="0029509A">
        <w:rPr>
          <w:rFonts w:eastAsia="MyriadPro-SemiCn"/>
          <w:b/>
          <w:sz w:val="20"/>
          <w:szCs w:val="20"/>
        </w:rPr>
        <w:t xml:space="preserve">Scheme 19 </w:t>
      </w:r>
    </w:p>
    <w:p w:rsidR="00323A21" w:rsidRPr="0029509A" w:rsidRDefault="00323A21" w:rsidP="005474CD">
      <w:pPr>
        <w:autoSpaceDE w:val="0"/>
        <w:autoSpaceDN w:val="0"/>
        <w:adjustRightInd w:val="0"/>
        <w:jc w:val="both"/>
        <w:rPr>
          <w:color w:val="000000"/>
          <w:sz w:val="20"/>
          <w:szCs w:val="20"/>
        </w:rPr>
      </w:pPr>
    </w:p>
    <w:p w:rsidR="00F64200" w:rsidRDefault="00FB40FB" w:rsidP="00FB40FB">
      <w:pPr>
        <w:autoSpaceDE w:val="0"/>
        <w:autoSpaceDN w:val="0"/>
        <w:adjustRightInd w:val="0"/>
        <w:jc w:val="center"/>
        <w:rPr>
          <w:b/>
          <w:bCs/>
          <w:color w:val="000000"/>
          <w:sz w:val="20"/>
          <w:szCs w:val="20"/>
        </w:rPr>
      </w:pPr>
      <w:r>
        <w:rPr>
          <w:b/>
          <w:bCs/>
          <w:color w:val="000000"/>
          <w:sz w:val="20"/>
          <w:szCs w:val="20"/>
        </w:rPr>
        <w:t xml:space="preserve">III. </w:t>
      </w:r>
      <w:r w:rsidR="00F64200" w:rsidRPr="00FB40FB">
        <w:rPr>
          <w:b/>
          <w:bCs/>
          <w:color w:val="000000"/>
          <w:sz w:val="20"/>
          <w:szCs w:val="20"/>
        </w:rPr>
        <w:t>CONCLUSION</w:t>
      </w:r>
    </w:p>
    <w:p w:rsidR="00B502E7" w:rsidRPr="00FB40FB" w:rsidRDefault="00B502E7" w:rsidP="00FB40FB">
      <w:pPr>
        <w:autoSpaceDE w:val="0"/>
        <w:autoSpaceDN w:val="0"/>
        <w:adjustRightInd w:val="0"/>
        <w:jc w:val="center"/>
        <w:rPr>
          <w:b/>
          <w:bCs/>
          <w:color w:val="000000"/>
          <w:sz w:val="20"/>
          <w:szCs w:val="20"/>
        </w:rPr>
      </w:pPr>
    </w:p>
    <w:p w:rsidR="0033659A" w:rsidRPr="0029509A" w:rsidRDefault="00FE4C3D" w:rsidP="000866AE">
      <w:pPr>
        <w:autoSpaceDE w:val="0"/>
        <w:autoSpaceDN w:val="0"/>
        <w:adjustRightInd w:val="0"/>
        <w:jc w:val="both"/>
        <w:rPr>
          <w:sz w:val="20"/>
          <w:szCs w:val="20"/>
        </w:rPr>
      </w:pPr>
      <w:r w:rsidRPr="00FE4C3D">
        <w:rPr>
          <w:sz w:val="20"/>
          <w:szCs w:val="20"/>
        </w:rPr>
        <w:t>The substantial group of heterocycles addressed in this chapter has recently attracted the attention of many medicinal, biological, and pharmacological chemists. The majority of heterocycles have bioactive properties that have ushered in a new era of therapeutic medicines for conditions like leprosy, cancer, hypertension, allergies, inflammatory diseases, fungal infections, and bacterial infections</w:t>
      </w:r>
      <w:r w:rsidR="008C675D" w:rsidRPr="0029509A">
        <w:rPr>
          <w:sz w:val="20"/>
          <w:szCs w:val="20"/>
        </w:rPr>
        <w:t>.</w:t>
      </w:r>
    </w:p>
    <w:p w:rsidR="008C675D" w:rsidRPr="0029509A" w:rsidRDefault="008C675D" w:rsidP="000866AE">
      <w:pPr>
        <w:autoSpaceDE w:val="0"/>
        <w:autoSpaceDN w:val="0"/>
        <w:adjustRightInd w:val="0"/>
        <w:jc w:val="both"/>
        <w:rPr>
          <w:bCs/>
          <w:color w:val="000000"/>
          <w:sz w:val="20"/>
          <w:szCs w:val="20"/>
        </w:rPr>
      </w:pPr>
    </w:p>
    <w:p w:rsidR="00EE7DE9" w:rsidRPr="0029509A" w:rsidRDefault="00FE4C3D" w:rsidP="000866AE">
      <w:pPr>
        <w:autoSpaceDE w:val="0"/>
        <w:autoSpaceDN w:val="0"/>
        <w:adjustRightInd w:val="0"/>
        <w:jc w:val="both"/>
        <w:rPr>
          <w:bCs/>
          <w:color w:val="000000"/>
          <w:sz w:val="20"/>
          <w:szCs w:val="20"/>
        </w:rPr>
      </w:pPr>
      <w:r w:rsidRPr="00FE4C3D">
        <w:rPr>
          <w:bCs/>
          <w:color w:val="000000"/>
          <w:sz w:val="20"/>
          <w:szCs w:val="20"/>
        </w:rPr>
        <w:t>This chapter has described the useful and effective abilities of hypervalent iodine reagents in this area through the synthesis of heterocyclic compounds using organohypervalent iodine. In the coming years, there will be major research effort on the synthesis of heterocyclic compounds utilizing hypervalent iodine reagents to examine the significance of heterocycles in a variety of domains, including pharmaceutical chemistry, biochemistry, and others. It is anticipated that this coverage will lead to further substantial research in this are</w:t>
      </w:r>
      <w:r w:rsidR="006138F0">
        <w:rPr>
          <w:bCs/>
          <w:color w:val="000000"/>
          <w:sz w:val="20"/>
          <w:szCs w:val="20"/>
        </w:rPr>
        <w:t>a.</w:t>
      </w:r>
    </w:p>
    <w:p w:rsidR="00DC1413" w:rsidRPr="0029509A" w:rsidRDefault="00DC1413" w:rsidP="000866AE">
      <w:pPr>
        <w:autoSpaceDE w:val="0"/>
        <w:autoSpaceDN w:val="0"/>
        <w:adjustRightInd w:val="0"/>
        <w:spacing w:before="120"/>
        <w:contextualSpacing/>
        <w:jc w:val="both"/>
        <w:rPr>
          <w:sz w:val="20"/>
          <w:szCs w:val="20"/>
          <w:lang w:val="en-IN"/>
        </w:rPr>
      </w:pPr>
    </w:p>
    <w:p w:rsidR="00F64200" w:rsidRPr="0029509A" w:rsidRDefault="00F64200" w:rsidP="000866AE">
      <w:pPr>
        <w:autoSpaceDE w:val="0"/>
        <w:autoSpaceDN w:val="0"/>
        <w:adjustRightInd w:val="0"/>
        <w:spacing w:before="120"/>
        <w:contextualSpacing/>
        <w:jc w:val="center"/>
        <w:rPr>
          <w:b/>
          <w:color w:val="231F20"/>
          <w:sz w:val="20"/>
          <w:szCs w:val="20"/>
        </w:rPr>
      </w:pPr>
      <w:r w:rsidRPr="0029509A">
        <w:rPr>
          <w:b/>
          <w:color w:val="231F20"/>
          <w:sz w:val="20"/>
          <w:szCs w:val="20"/>
        </w:rPr>
        <w:t>REFERENCES</w:t>
      </w:r>
    </w:p>
    <w:p w:rsidR="00F64200" w:rsidRDefault="00F64200" w:rsidP="000866AE">
      <w:pPr>
        <w:autoSpaceDE w:val="0"/>
        <w:autoSpaceDN w:val="0"/>
        <w:adjustRightInd w:val="0"/>
        <w:ind w:hanging="720"/>
        <w:jc w:val="both"/>
        <w:rPr>
          <w:b/>
          <w:sz w:val="16"/>
        </w:rPr>
      </w:pPr>
    </w:p>
    <w:p w:rsidR="000866AE" w:rsidRPr="00A153A5" w:rsidRDefault="000866AE" w:rsidP="000866AE">
      <w:pPr>
        <w:autoSpaceDE w:val="0"/>
        <w:autoSpaceDN w:val="0"/>
        <w:adjustRightInd w:val="0"/>
        <w:spacing w:before="240"/>
        <w:ind w:left="720" w:hanging="720"/>
        <w:jc w:val="both"/>
        <w:rPr>
          <w:sz w:val="16"/>
        </w:rPr>
      </w:pPr>
      <w:r w:rsidRPr="00A153A5">
        <w:rPr>
          <w:sz w:val="16"/>
        </w:rPr>
        <w:t>[1]</w:t>
      </w:r>
      <w:r w:rsidRPr="00A153A5">
        <w:rPr>
          <w:sz w:val="16"/>
        </w:rPr>
        <w:tab/>
      </w:r>
      <w:r w:rsidRPr="00A153A5">
        <w:rPr>
          <w:rFonts w:eastAsiaTheme="minorHAnsi"/>
          <w:sz w:val="16"/>
          <w:lang w:val="en-IN"/>
        </w:rPr>
        <w:t>G. Grelier, B. Darses and P. Dauban, “</w:t>
      </w:r>
      <w:r w:rsidRPr="00A153A5">
        <w:rPr>
          <w:rFonts w:eastAsiaTheme="minorHAnsi"/>
          <w:bCs/>
          <w:sz w:val="16"/>
          <w:lang w:val="en-IN"/>
        </w:rPr>
        <w:t xml:space="preserve">Hypervalent organoiodine compounds: from reagents to valuable building blocks in synthesis,” </w:t>
      </w:r>
      <w:r w:rsidRPr="00A153A5">
        <w:rPr>
          <w:rFonts w:eastAsiaTheme="minorHAnsi"/>
          <w:i/>
          <w:iCs/>
          <w:sz w:val="16"/>
          <w:lang w:val="en-IN"/>
        </w:rPr>
        <w:t xml:space="preserve">Beilstein J. Org. Chem., </w:t>
      </w:r>
      <w:r w:rsidRPr="00A153A5">
        <w:rPr>
          <w:rFonts w:eastAsiaTheme="minorHAnsi"/>
          <w:bCs/>
          <w:sz w:val="16"/>
          <w:lang w:val="en-IN"/>
        </w:rPr>
        <w:t xml:space="preserve">2018, </w:t>
      </w:r>
      <w:r w:rsidRPr="00A153A5">
        <w:rPr>
          <w:rFonts w:eastAsiaTheme="minorHAnsi"/>
          <w:i/>
          <w:iCs/>
          <w:sz w:val="16"/>
          <w:lang w:val="en-IN"/>
        </w:rPr>
        <w:t xml:space="preserve">14, </w:t>
      </w:r>
      <w:r w:rsidRPr="00A153A5">
        <w:rPr>
          <w:rFonts w:eastAsiaTheme="minorHAnsi"/>
          <w:iCs/>
          <w:sz w:val="16"/>
          <w:lang w:val="en-IN"/>
        </w:rPr>
        <w:t>pp.</w:t>
      </w:r>
      <w:r w:rsidRPr="00A153A5">
        <w:rPr>
          <w:rFonts w:eastAsiaTheme="minorHAnsi"/>
          <w:i/>
          <w:iCs/>
          <w:sz w:val="16"/>
          <w:lang w:val="en-IN"/>
        </w:rPr>
        <w:t xml:space="preserve"> </w:t>
      </w:r>
      <w:r w:rsidRPr="00A153A5">
        <w:rPr>
          <w:rFonts w:eastAsiaTheme="minorHAnsi"/>
          <w:sz w:val="16"/>
          <w:lang w:val="en-IN"/>
        </w:rPr>
        <w:t>1508–1528.</w:t>
      </w:r>
    </w:p>
    <w:p w:rsidR="000866AE" w:rsidRPr="00A153A5" w:rsidRDefault="000866AE" w:rsidP="000866AE">
      <w:pPr>
        <w:spacing w:before="240"/>
        <w:ind w:left="720" w:hanging="720"/>
        <w:jc w:val="both"/>
        <w:rPr>
          <w:sz w:val="16"/>
        </w:rPr>
      </w:pPr>
      <w:r w:rsidRPr="00A153A5">
        <w:rPr>
          <w:sz w:val="16"/>
        </w:rPr>
        <w:t>[2]</w:t>
      </w:r>
      <w:r w:rsidRPr="00A153A5">
        <w:rPr>
          <w:sz w:val="16"/>
        </w:rPr>
        <w:tab/>
      </w:r>
      <w:r w:rsidRPr="00A153A5">
        <w:rPr>
          <w:color w:val="000000"/>
          <w:sz w:val="16"/>
          <w:shd w:val="clear" w:color="auto" w:fill="FFFFFF"/>
        </w:rPr>
        <w:t>V. V. Zhdankin, “</w:t>
      </w:r>
      <w:r w:rsidRPr="00A153A5">
        <w:rPr>
          <w:iCs/>
          <w:color w:val="000000"/>
          <w:sz w:val="16"/>
          <w:shd w:val="clear" w:color="auto" w:fill="FFFFFF"/>
        </w:rPr>
        <w:t>Hypervalent iodine compounds: reagents of the future”</w:t>
      </w:r>
      <w:r w:rsidRPr="00A153A5">
        <w:rPr>
          <w:i/>
          <w:iCs/>
          <w:color w:val="000000"/>
          <w:sz w:val="16"/>
          <w:shd w:val="clear" w:color="auto" w:fill="FFFFFF"/>
        </w:rPr>
        <w:t xml:space="preserve"> Arkivoc</w:t>
      </w:r>
      <w:r w:rsidRPr="00A153A5">
        <w:rPr>
          <w:iCs/>
          <w:color w:val="000000"/>
          <w:sz w:val="16"/>
          <w:shd w:val="clear" w:color="auto" w:fill="FFFFFF"/>
        </w:rPr>
        <w:t>, 2020</w:t>
      </w:r>
      <w:r w:rsidRPr="00A153A5">
        <w:rPr>
          <w:sz w:val="16"/>
        </w:rPr>
        <w:t>.</w:t>
      </w:r>
    </w:p>
    <w:p w:rsidR="000866AE" w:rsidRPr="00A153A5" w:rsidRDefault="000866AE" w:rsidP="000866AE">
      <w:pPr>
        <w:spacing w:before="240"/>
        <w:ind w:left="720" w:hanging="720"/>
        <w:jc w:val="both"/>
        <w:rPr>
          <w:i/>
          <w:iCs/>
          <w:color w:val="000000"/>
          <w:sz w:val="16"/>
          <w:shd w:val="clear" w:color="auto" w:fill="FFFFFF"/>
        </w:rPr>
      </w:pPr>
      <w:r w:rsidRPr="00A153A5">
        <w:rPr>
          <w:sz w:val="16"/>
        </w:rPr>
        <w:t>[3]</w:t>
      </w:r>
      <w:r w:rsidRPr="00A153A5">
        <w:rPr>
          <w:sz w:val="16"/>
        </w:rPr>
        <w:tab/>
      </w:r>
      <w:r w:rsidRPr="00A153A5">
        <w:rPr>
          <w:color w:val="000000"/>
          <w:sz w:val="16"/>
          <w:shd w:val="clear" w:color="auto" w:fill="FFFFFF"/>
        </w:rPr>
        <w:t>S. R. Kandimalla, S. P. Parvathaneni, G. Sabitha and B. V. Subba Reddy, “</w:t>
      </w:r>
      <w:r w:rsidRPr="00A153A5">
        <w:rPr>
          <w:iCs/>
          <w:color w:val="000000"/>
          <w:sz w:val="16"/>
          <w:shd w:val="clear" w:color="auto" w:fill="FFFFFF"/>
        </w:rPr>
        <w:t>Recent Advances in Intramolecular Metal-Free Oxidative C-H Bond Aminations using Hypervalent Iodine(III) Reagents.”</w:t>
      </w:r>
      <w:r w:rsidRPr="00A153A5">
        <w:rPr>
          <w:i/>
          <w:iCs/>
          <w:color w:val="000000"/>
          <w:sz w:val="16"/>
          <w:shd w:val="clear" w:color="auto" w:fill="FFFFFF"/>
        </w:rPr>
        <w:t xml:space="preserve"> European Journal of Organic Chemistry, </w:t>
      </w:r>
      <w:r w:rsidRPr="00A153A5">
        <w:rPr>
          <w:iCs/>
          <w:color w:val="000000"/>
          <w:sz w:val="16"/>
          <w:shd w:val="clear" w:color="auto" w:fill="FFFFFF"/>
        </w:rPr>
        <w:t>2019, pp. 1687-1714.</w:t>
      </w:r>
    </w:p>
    <w:p w:rsidR="000866AE" w:rsidRPr="00A153A5" w:rsidRDefault="000866AE" w:rsidP="000866AE">
      <w:pPr>
        <w:spacing w:before="240"/>
        <w:ind w:left="720" w:hanging="720"/>
        <w:jc w:val="both"/>
        <w:rPr>
          <w:sz w:val="16"/>
        </w:rPr>
      </w:pPr>
      <w:r w:rsidRPr="00A153A5">
        <w:rPr>
          <w:sz w:val="16"/>
        </w:rPr>
        <w:t>[4]</w:t>
      </w:r>
      <w:r w:rsidRPr="00A153A5">
        <w:rPr>
          <w:sz w:val="16"/>
        </w:rPr>
        <w:tab/>
      </w:r>
      <w:r w:rsidRPr="00A153A5">
        <w:rPr>
          <w:rFonts w:eastAsiaTheme="minorHAnsi"/>
          <w:sz w:val="16"/>
          <w:lang w:val="en-IN"/>
        </w:rPr>
        <w:t>R. Kumar, N. Sharma and O. Prakash,</w:t>
      </w:r>
      <w:r w:rsidRPr="00A153A5">
        <w:rPr>
          <w:rFonts w:eastAsiaTheme="minorHAnsi"/>
          <w:bCs/>
          <w:sz w:val="16"/>
          <w:lang w:val="en-IN"/>
        </w:rPr>
        <w:t xml:space="preserve"> “Hypervalent Iodine Reagents in the Synthesis of Flavonoids and Related Compounds” </w:t>
      </w:r>
      <w:r w:rsidRPr="00A153A5">
        <w:rPr>
          <w:rFonts w:eastAsiaTheme="minorHAnsi"/>
          <w:bCs/>
          <w:i/>
          <w:iCs/>
          <w:sz w:val="16"/>
          <w:lang w:val="en-IN"/>
        </w:rPr>
        <w:t xml:space="preserve">Current Organic Chemistry, </w:t>
      </w:r>
      <w:r w:rsidRPr="00A153A5">
        <w:rPr>
          <w:rFonts w:eastAsiaTheme="minorHAnsi"/>
          <w:bCs/>
          <w:sz w:val="16"/>
          <w:lang w:val="en-IN"/>
        </w:rPr>
        <w:t>2020</w:t>
      </w:r>
      <w:r w:rsidRPr="00A153A5">
        <w:rPr>
          <w:rFonts w:eastAsiaTheme="minorHAnsi"/>
          <w:bCs/>
          <w:i/>
          <w:iCs/>
          <w:sz w:val="16"/>
          <w:lang w:val="en-IN"/>
        </w:rPr>
        <w:t>, 24,</w:t>
      </w:r>
      <w:r w:rsidRPr="00A153A5">
        <w:rPr>
          <w:rFonts w:eastAsiaTheme="minorHAnsi"/>
          <w:iCs/>
          <w:sz w:val="16"/>
          <w:lang w:val="en-IN"/>
        </w:rPr>
        <w:t xml:space="preserve"> pp.</w:t>
      </w:r>
      <w:r w:rsidRPr="00A153A5">
        <w:rPr>
          <w:rFonts w:eastAsiaTheme="minorHAnsi"/>
          <w:bCs/>
          <w:i/>
          <w:iCs/>
          <w:sz w:val="16"/>
          <w:lang w:val="en-IN"/>
        </w:rPr>
        <w:t xml:space="preserve"> </w:t>
      </w:r>
      <w:r w:rsidRPr="00A153A5">
        <w:rPr>
          <w:rFonts w:eastAsiaTheme="minorHAnsi"/>
          <w:bCs/>
          <w:sz w:val="16"/>
          <w:lang w:val="en-IN"/>
        </w:rPr>
        <w:t>2031-2047</w:t>
      </w:r>
      <w:r w:rsidRPr="00A153A5">
        <w:rPr>
          <w:sz w:val="16"/>
        </w:rPr>
        <w:t>.</w:t>
      </w:r>
    </w:p>
    <w:p w:rsidR="000866AE" w:rsidRPr="00A153A5" w:rsidRDefault="000866AE" w:rsidP="000866AE">
      <w:pPr>
        <w:autoSpaceDE w:val="0"/>
        <w:autoSpaceDN w:val="0"/>
        <w:adjustRightInd w:val="0"/>
        <w:spacing w:before="240"/>
        <w:ind w:left="720" w:hanging="720"/>
        <w:jc w:val="both"/>
        <w:rPr>
          <w:rFonts w:eastAsiaTheme="minorHAnsi"/>
          <w:sz w:val="16"/>
          <w:lang w:val="en-IN"/>
        </w:rPr>
      </w:pPr>
      <w:r w:rsidRPr="00A153A5">
        <w:rPr>
          <w:sz w:val="16"/>
        </w:rPr>
        <w:t>[5]</w:t>
      </w:r>
      <w:r w:rsidRPr="00A153A5">
        <w:rPr>
          <w:sz w:val="16"/>
        </w:rPr>
        <w:tab/>
      </w:r>
      <w:r w:rsidRPr="00A153A5">
        <w:rPr>
          <w:rFonts w:eastAsiaTheme="minorHAnsi"/>
          <w:sz w:val="16"/>
          <w:lang w:val="en-IN"/>
        </w:rPr>
        <w:t>Z. S. Zheng, D. Zhang-Negrerie, Y. F. Du and K. Zhao Kang,</w:t>
      </w:r>
      <w:r w:rsidRPr="00A153A5">
        <w:rPr>
          <w:rFonts w:eastAsiaTheme="minorHAnsi"/>
          <w:bCs/>
          <w:sz w:val="16"/>
          <w:lang w:val="en-IN"/>
        </w:rPr>
        <w:t xml:space="preserve"> “The applications of hypervalent iodine(III) reagents in the constructions of heterocyclic compounds through oxidative coupling reactions”</w:t>
      </w:r>
      <w:r w:rsidRPr="00A153A5">
        <w:rPr>
          <w:rFonts w:eastAsiaTheme="minorHAnsi"/>
          <w:sz w:val="16"/>
          <w:lang w:val="en-IN"/>
        </w:rPr>
        <w:t xml:space="preserve">, </w:t>
      </w:r>
      <w:r w:rsidRPr="00A153A5">
        <w:rPr>
          <w:rFonts w:eastAsiaTheme="minorHAnsi"/>
          <w:i/>
          <w:sz w:val="16"/>
          <w:lang w:val="en-IN"/>
        </w:rPr>
        <w:t>Science China Chemistry</w:t>
      </w:r>
      <w:r w:rsidRPr="00A153A5">
        <w:rPr>
          <w:rFonts w:eastAsiaTheme="minorHAnsi"/>
          <w:sz w:val="16"/>
          <w:lang w:val="en-IN"/>
        </w:rPr>
        <w:t xml:space="preserve">, 2014, </w:t>
      </w:r>
      <w:r w:rsidRPr="00A153A5">
        <w:rPr>
          <w:rFonts w:eastAsiaTheme="minorHAnsi"/>
          <w:iCs/>
          <w:sz w:val="16"/>
          <w:lang w:val="en-IN"/>
        </w:rPr>
        <w:t xml:space="preserve">pp. </w:t>
      </w:r>
      <w:r w:rsidRPr="00A153A5">
        <w:rPr>
          <w:rFonts w:eastAsiaTheme="minorHAnsi"/>
          <w:sz w:val="16"/>
          <w:lang w:val="en-IN"/>
        </w:rPr>
        <w:t>189–214</w:t>
      </w:r>
    </w:p>
    <w:p w:rsidR="000866AE" w:rsidRPr="00A153A5" w:rsidRDefault="000866AE" w:rsidP="000866AE">
      <w:pPr>
        <w:autoSpaceDE w:val="0"/>
        <w:autoSpaceDN w:val="0"/>
        <w:adjustRightInd w:val="0"/>
        <w:spacing w:before="240"/>
        <w:ind w:left="720" w:hanging="720"/>
        <w:jc w:val="both"/>
        <w:rPr>
          <w:sz w:val="16"/>
        </w:rPr>
      </w:pPr>
      <w:r w:rsidRPr="00A153A5">
        <w:rPr>
          <w:sz w:val="16"/>
        </w:rPr>
        <w:t>[6]</w:t>
      </w:r>
      <w:r w:rsidRPr="00A153A5">
        <w:rPr>
          <w:sz w:val="16"/>
        </w:rPr>
        <w:tab/>
      </w:r>
      <w:r w:rsidRPr="00A153A5">
        <w:rPr>
          <w:rFonts w:eastAsiaTheme="minorHAnsi"/>
          <w:sz w:val="16"/>
          <w:lang w:val="en-IN"/>
        </w:rPr>
        <w:t>J. Sun, D. Zhang-Negrerie and Y. D. K. Zhao,</w:t>
      </w:r>
      <w:r w:rsidRPr="00A153A5">
        <w:rPr>
          <w:sz w:val="16"/>
        </w:rPr>
        <w:t xml:space="preserve"> “</w:t>
      </w:r>
      <w:r w:rsidRPr="00A153A5">
        <w:rPr>
          <w:rFonts w:eastAsiaTheme="minorHAnsi"/>
          <w:sz w:val="16"/>
          <w:lang w:val="en-IN"/>
        </w:rPr>
        <w:t xml:space="preserve">Hypervalent reagents for heterocycle synthesis and functionalization” </w:t>
      </w:r>
      <w:r w:rsidRPr="00A153A5">
        <w:rPr>
          <w:rFonts w:eastAsiaTheme="minorHAnsi"/>
          <w:i/>
          <w:sz w:val="16"/>
          <w:lang w:val="en-IN"/>
        </w:rPr>
        <w:t>Reports in Organic Chemistry,</w:t>
      </w:r>
      <w:r w:rsidRPr="00A153A5">
        <w:rPr>
          <w:rFonts w:eastAsiaTheme="minorHAnsi"/>
          <w:sz w:val="16"/>
          <w:lang w:val="en-IN"/>
        </w:rPr>
        <w:t xml:space="preserve"> 2016, p</w:t>
      </w:r>
      <w:r w:rsidRPr="00A153A5">
        <w:rPr>
          <w:rFonts w:eastAsiaTheme="minorHAnsi"/>
          <w:iCs/>
          <w:sz w:val="16"/>
          <w:lang w:val="en-IN"/>
        </w:rPr>
        <w:t>p.</w:t>
      </w:r>
      <w:r w:rsidRPr="00A153A5">
        <w:rPr>
          <w:rFonts w:eastAsiaTheme="minorHAnsi"/>
          <w:sz w:val="16"/>
          <w:lang w:val="en-IN"/>
        </w:rPr>
        <w:t>25–45.</w:t>
      </w:r>
      <w:r w:rsidRPr="00A153A5">
        <w:rPr>
          <w:sz w:val="16"/>
        </w:rPr>
        <w:t xml:space="preserve"> </w:t>
      </w:r>
    </w:p>
    <w:p w:rsidR="000866AE" w:rsidRPr="00A153A5" w:rsidRDefault="000866AE" w:rsidP="000866AE">
      <w:pPr>
        <w:autoSpaceDE w:val="0"/>
        <w:autoSpaceDN w:val="0"/>
        <w:adjustRightInd w:val="0"/>
        <w:spacing w:before="240"/>
        <w:ind w:left="720" w:hanging="720"/>
        <w:jc w:val="both"/>
        <w:rPr>
          <w:sz w:val="16"/>
        </w:rPr>
      </w:pPr>
      <w:r w:rsidRPr="00A153A5">
        <w:rPr>
          <w:sz w:val="16"/>
        </w:rPr>
        <w:t>[7]</w:t>
      </w:r>
      <w:r w:rsidRPr="00A153A5">
        <w:rPr>
          <w:sz w:val="16"/>
        </w:rPr>
        <w:tab/>
        <w:t>R. M. Moriarty and O. Prakash, “</w:t>
      </w:r>
      <w:r w:rsidRPr="00A153A5">
        <w:rPr>
          <w:iCs/>
          <w:sz w:val="16"/>
        </w:rPr>
        <w:t>Hyper</w:t>
      </w:r>
      <w:r w:rsidRPr="00A153A5">
        <w:rPr>
          <w:sz w:val="16"/>
        </w:rPr>
        <w:t>v</w:t>
      </w:r>
      <w:r w:rsidRPr="00A153A5">
        <w:rPr>
          <w:iCs/>
          <w:sz w:val="16"/>
        </w:rPr>
        <w:t>alent Iodine in Organic Chemistry: Chemical Transformations</w:t>
      </w:r>
      <w:r w:rsidRPr="00A153A5">
        <w:rPr>
          <w:sz w:val="16"/>
        </w:rPr>
        <w:t>”, Wiley-Interscience 2008.</w:t>
      </w:r>
    </w:p>
    <w:p w:rsidR="000866AE" w:rsidRPr="00A153A5" w:rsidRDefault="000866AE" w:rsidP="000866AE">
      <w:pPr>
        <w:autoSpaceDE w:val="0"/>
        <w:autoSpaceDN w:val="0"/>
        <w:adjustRightInd w:val="0"/>
        <w:spacing w:before="240"/>
        <w:ind w:left="720" w:hanging="720"/>
        <w:jc w:val="both"/>
        <w:rPr>
          <w:rFonts w:eastAsia="MinionPro-Capt"/>
          <w:sz w:val="16"/>
        </w:rPr>
      </w:pPr>
      <w:r w:rsidRPr="00A153A5">
        <w:rPr>
          <w:rFonts w:eastAsia="MinionPro-Capt"/>
          <w:sz w:val="16"/>
        </w:rPr>
        <w:t>[8]</w:t>
      </w:r>
      <w:r w:rsidRPr="00A153A5">
        <w:rPr>
          <w:rFonts w:eastAsia="MinionPro-Capt"/>
          <w:sz w:val="16"/>
        </w:rPr>
        <w:tab/>
        <w:t xml:space="preserve">W. Bawazir, </w:t>
      </w:r>
      <w:r w:rsidRPr="00A153A5">
        <w:rPr>
          <w:bCs/>
          <w:sz w:val="16"/>
        </w:rPr>
        <w:t xml:space="preserve">“A Mini review on 5-Amino-N-substituted pyrazoles as building blocks for bioactive molecules,” </w:t>
      </w:r>
      <w:r w:rsidRPr="00A153A5">
        <w:rPr>
          <w:rFonts w:eastAsia="MinionPro-Capt"/>
          <w:i/>
          <w:sz w:val="16"/>
        </w:rPr>
        <w:t>International Journal of Organic Chemistry</w:t>
      </w:r>
      <w:r w:rsidRPr="00A153A5">
        <w:rPr>
          <w:rFonts w:eastAsia="MinionPro-Capt"/>
          <w:sz w:val="16"/>
        </w:rPr>
        <w:t xml:space="preserve">, 2020, </w:t>
      </w:r>
      <w:r w:rsidRPr="00A153A5">
        <w:rPr>
          <w:rFonts w:eastAsiaTheme="minorHAnsi"/>
          <w:iCs/>
          <w:sz w:val="16"/>
          <w:lang w:val="en-IN"/>
        </w:rPr>
        <w:t xml:space="preserve">pp. </w:t>
      </w:r>
      <w:r w:rsidRPr="00A153A5">
        <w:rPr>
          <w:rFonts w:eastAsia="MinionPro-Capt"/>
          <w:sz w:val="16"/>
        </w:rPr>
        <w:t>63-76.</w:t>
      </w:r>
    </w:p>
    <w:p w:rsidR="000866AE" w:rsidRPr="00A153A5" w:rsidRDefault="000866AE" w:rsidP="000866AE">
      <w:pPr>
        <w:autoSpaceDE w:val="0"/>
        <w:autoSpaceDN w:val="0"/>
        <w:adjustRightInd w:val="0"/>
        <w:spacing w:before="240"/>
        <w:ind w:left="720" w:hanging="720"/>
        <w:jc w:val="both"/>
        <w:rPr>
          <w:sz w:val="16"/>
        </w:rPr>
      </w:pPr>
      <w:r w:rsidRPr="00A153A5">
        <w:rPr>
          <w:sz w:val="16"/>
        </w:rPr>
        <w:t>[9]</w:t>
      </w:r>
      <w:r w:rsidRPr="00A153A5">
        <w:rPr>
          <w:sz w:val="16"/>
        </w:rPr>
        <w:tab/>
        <w:t xml:space="preserve">E. Kabir and M. Uzzaman, “A review on biological and medicinal impact of heterocyclic compounds”, </w:t>
      </w:r>
      <w:r w:rsidRPr="00A153A5">
        <w:rPr>
          <w:i/>
          <w:sz w:val="16"/>
        </w:rPr>
        <w:t>Results in Chemistry</w:t>
      </w:r>
      <w:r w:rsidRPr="00A153A5">
        <w:rPr>
          <w:sz w:val="16"/>
        </w:rPr>
        <w:t xml:space="preserve">, 2022, </w:t>
      </w:r>
      <w:r w:rsidRPr="00A153A5">
        <w:rPr>
          <w:rFonts w:eastAsiaTheme="minorHAnsi"/>
          <w:iCs/>
          <w:sz w:val="16"/>
          <w:lang w:val="en-IN"/>
        </w:rPr>
        <w:t xml:space="preserve">pp. </w:t>
      </w:r>
      <w:r w:rsidRPr="00A153A5">
        <w:rPr>
          <w:sz w:val="16"/>
        </w:rPr>
        <w:t>1-11.</w:t>
      </w:r>
    </w:p>
    <w:p w:rsidR="000866AE" w:rsidRPr="00A153A5" w:rsidRDefault="000866AE" w:rsidP="000866AE">
      <w:pPr>
        <w:spacing w:before="240"/>
        <w:ind w:left="720" w:hanging="720"/>
        <w:jc w:val="both"/>
        <w:rPr>
          <w:rFonts w:eastAsiaTheme="minorHAnsi"/>
          <w:sz w:val="16"/>
        </w:rPr>
      </w:pPr>
      <w:r w:rsidRPr="00A153A5">
        <w:rPr>
          <w:sz w:val="16"/>
        </w:rPr>
        <w:t>[10]</w:t>
      </w:r>
      <w:r w:rsidRPr="00A153A5">
        <w:rPr>
          <w:sz w:val="16"/>
        </w:rPr>
        <w:tab/>
      </w:r>
      <w:r w:rsidRPr="00A153A5">
        <w:rPr>
          <w:color w:val="222222"/>
          <w:sz w:val="16"/>
          <w:shd w:val="clear" w:color="auto" w:fill="FFFFFF"/>
        </w:rPr>
        <w:t>C. Hempel and B. J. Nachtsheim. "Iodine (III)-promoted synthesis of oxazoles through oxidative cyclization of N-styrylbenzamides", </w:t>
      </w:r>
      <w:r w:rsidRPr="00A153A5">
        <w:rPr>
          <w:i/>
          <w:iCs/>
          <w:color w:val="222222"/>
          <w:sz w:val="16"/>
          <w:shd w:val="clear" w:color="auto" w:fill="FFFFFF"/>
        </w:rPr>
        <w:t xml:space="preserve">Synlett, </w:t>
      </w:r>
      <w:r w:rsidRPr="00A153A5">
        <w:rPr>
          <w:color w:val="222222"/>
          <w:sz w:val="16"/>
          <w:shd w:val="clear" w:color="auto" w:fill="FFFFFF"/>
        </w:rPr>
        <w:t xml:space="preserve">2013, </w:t>
      </w:r>
      <w:r w:rsidRPr="00A153A5">
        <w:rPr>
          <w:rFonts w:eastAsiaTheme="minorHAnsi"/>
          <w:iCs/>
          <w:sz w:val="16"/>
          <w:lang w:val="en-IN"/>
        </w:rPr>
        <w:t xml:space="preserve">pp. </w:t>
      </w:r>
      <w:r w:rsidRPr="00A153A5">
        <w:rPr>
          <w:color w:val="222222"/>
          <w:sz w:val="16"/>
          <w:shd w:val="clear" w:color="auto" w:fill="FFFFFF"/>
        </w:rPr>
        <w:t>2119-2123</w:t>
      </w:r>
    </w:p>
    <w:p w:rsidR="000866AE" w:rsidRPr="00A153A5" w:rsidRDefault="000866AE" w:rsidP="000866AE">
      <w:pPr>
        <w:spacing w:before="240"/>
        <w:ind w:left="720" w:hanging="720"/>
        <w:jc w:val="both"/>
        <w:rPr>
          <w:rFonts w:eastAsiaTheme="minorHAnsi"/>
          <w:sz w:val="16"/>
        </w:rPr>
      </w:pPr>
      <w:r w:rsidRPr="00A153A5">
        <w:rPr>
          <w:rFonts w:eastAsiaTheme="minorHAnsi"/>
          <w:sz w:val="16"/>
        </w:rPr>
        <w:t>[11]</w:t>
      </w:r>
      <w:r w:rsidRPr="00A153A5">
        <w:rPr>
          <w:rFonts w:eastAsiaTheme="minorHAnsi"/>
          <w:sz w:val="16"/>
        </w:rPr>
        <w:tab/>
        <w:t xml:space="preserve">I. Romero-Estudillo, V. R. Batchu, A. Boto, </w:t>
      </w:r>
      <w:r w:rsidRPr="00A153A5">
        <w:rPr>
          <w:color w:val="222222"/>
          <w:sz w:val="16"/>
          <w:shd w:val="clear" w:color="auto" w:fill="FFFFFF"/>
        </w:rPr>
        <w:t>"One‐Pot Conversion of Amino Acids into 2, 5‐Disubstituted Oxazoles: No Metals Needed" </w:t>
      </w:r>
      <w:r w:rsidRPr="00A153A5">
        <w:rPr>
          <w:i/>
          <w:iCs/>
          <w:color w:val="222222"/>
          <w:sz w:val="16"/>
          <w:shd w:val="clear" w:color="auto" w:fill="FFFFFF"/>
        </w:rPr>
        <w:t>Advanced Synthesis &amp; Catalysis</w:t>
      </w:r>
      <w:r w:rsidRPr="00A153A5">
        <w:rPr>
          <w:i/>
          <w:color w:val="222222"/>
          <w:sz w:val="16"/>
          <w:shd w:val="clear" w:color="auto" w:fill="FFFFFF"/>
        </w:rPr>
        <w:t>,</w:t>
      </w:r>
      <w:r w:rsidRPr="00A153A5">
        <w:rPr>
          <w:color w:val="222222"/>
          <w:sz w:val="16"/>
          <w:shd w:val="clear" w:color="auto" w:fill="FFFFFF"/>
        </w:rPr>
        <w:t xml:space="preserve"> 2014, </w:t>
      </w:r>
      <w:r w:rsidRPr="00A153A5">
        <w:rPr>
          <w:rFonts w:eastAsiaTheme="minorHAnsi"/>
          <w:iCs/>
          <w:sz w:val="16"/>
          <w:lang w:val="en-IN"/>
        </w:rPr>
        <w:t xml:space="preserve">pp. </w:t>
      </w:r>
      <w:r w:rsidRPr="00A153A5">
        <w:rPr>
          <w:color w:val="222222"/>
          <w:sz w:val="16"/>
          <w:shd w:val="clear" w:color="auto" w:fill="FFFFFF"/>
        </w:rPr>
        <w:t>3742-3748.</w:t>
      </w:r>
    </w:p>
    <w:p w:rsidR="000866AE" w:rsidRPr="00A153A5" w:rsidRDefault="000866AE" w:rsidP="000866AE">
      <w:pPr>
        <w:spacing w:before="240"/>
        <w:ind w:left="720" w:hanging="720"/>
        <w:jc w:val="both"/>
        <w:rPr>
          <w:color w:val="222222"/>
          <w:sz w:val="16"/>
          <w:shd w:val="clear" w:color="auto" w:fill="FFFFFF"/>
        </w:rPr>
      </w:pPr>
      <w:r w:rsidRPr="00A153A5">
        <w:rPr>
          <w:rFonts w:eastAsiaTheme="minorHAnsi"/>
          <w:sz w:val="16"/>
        </w:rPr>
        <w:t>[12]</w:t>
      </w:r>
      <w:r w:rsidRPr="00A153A5">
        <w:rPr>
          <w:rFonts w:eastAsiaTheme="minorHAnsi"/>
          <w:sz w:val="16"/>
        </w:rPr>
        <w:tab/>
        <w:t xml:space="preserve">Q. Liu, X. Zhang, Y. He, M. I. Hussain, W. Hu, Y. Xiong and X. Zhu </w:t>
      </w:r>
      <w:r w:rsidRPr="00A153A5">
        <w:rPr>
          <w:color w:val="222222"/>
          <w:sz w:val="16"/>
          <w:shd w:val="clear" w:color="auto" w:fill="FFFFFF"/>
        </w:rPr>
        <w:t>"Oxidative rearrangement strategy for synthesis of 2, 4, 5-trisubstituted oxazoles utilizing hypervalent iodine reagent", </w:t>
      </w:r>
      <w:r w:rsidRPr="00A153A5">
        <w:rPr>
          <w:i/>
          <w:iCs/>
          <w:color w:val="222222"/>
          <w:sz w:val="16"/>
          <w:shd w:val="clear" w:color="auto" w:fill="FFFFFF"/>
        </w:rPr>
        <w:t>Tetrahedron</w:t>
      </w:r>
      <w:r w:rsidRPr="00A153A5">
        <w:rPr>
          <w:iCs/>
          <w:color w:val="222222"/>
          <w:sz w:val="16"/>
          <w:shd w:val="clear" w:color="auto" w:fill="FFFFFF"/>
        </w:rPr>
        <w:t>,</w:t>
      </w:r>
      <w:r w:rsidRPr="00A153A5">
        <w:rPr>
          <w:color w:val="222222"/>
          <w:sz w:val="16"/>
          <w:shd w:val="clear" w:color="auto" w:fill="FFFFFF"/>
        </w:rPr>
        <w:t xml:space="preserve"> 2016, </w:t>
      </w:r>
      <w:r w:rsidRPr="00A153A5">
        <w:rPr>
          <w:rFonts w:eastAsiaTheme="minorHAnsi"/>
          <w:iCs/>
          <w:sz w:val="16"/>
          <w:lang w:val="en-IN"/>
        </w:rPr>
        <w:t xml:space="preserve">pp. </w:t>
      </w:r>
      <w:r w:rsidRPr="00A153A5">
        <w:rPr>
          <w:color w:val="222222"/>
          <w:sz w:val="16"/>
          <w:shd w:val="clear" w:color="auto" w:fill="FFFFFF"/>
        </w:rPr>
        <w:t>5749-5753.</w:t>
      </w:r>
    </w:p>
    <w:p w:rsidR="000866AE" w:rsidRPr="00A153A5" w:rsidRDefault="000866AE" w:rsidP="000866AE">
      <w:pPr>
        <w:spacing w:before="240"/>
        <w:ind w:left="720" w:hanging="720"/>
        <w:jc w:val="both"/>
        <w:rPr>
          <w:rFonts w:eastAsiaTheme="minorHAnsi"/>
          <w:color w:val="FF0000"/>
          <w:sz w:val="20"/>
        </w:rPr>
      </w:pPr>
      <w:r w:rsidRPr="00A153A5">
        <w:rPr>
          <w:color w:val="222222"/>
          <w:sz w:val="16"/>
          <w:shd w:val="clear" w:color="auto" w:fill="FFFFFF"/>
        </w:rPr>
        <w:lastRenderedPageBreak/>
        <w:t>[13]</w:t>
      </w:r>
      <w:r w:rsidRPr="00A153A5">
        <w:rPr>
          <w:color w:val="222222"/>
          <w:sz w:val="16"/>
          <w:shd w:val="clear" w:color="auto" w:fill="FFFFFF"/>
        </w:rPr>
        <w:tab/>
      </w:r>
      <w:r w:rsidRPr="00A153A5">
        <w:rPr>
          <w:color w:val="222222"/>
          <w:sz w:val="16"/>
          <w:szCs w:val="20"/>
          <w:shd w:val="clear" w:color="auto" w:fill="FFFFFF"/>
        </w:rPr>
        <w:t>A. D. Chen, J. H. Herbort, E. A. Wappes, K. M. Nakafuku, D.N. Mustafa, and D.A. Nagib, “Radical cascade synthesis of azoles via tandem hydrogen atom transfer” </w:t>
      </w:r>
      <w:r w:rsidRPr="00A153A5">
        <w:rPr>
          <w:i/>
          <w:iCs/>
          <w:color w:val="222222"/>
          <w:sz w:val="16"/>
          <w:szCs w:val="20"/>
          <w:shd w:val="clear" w:color="auto" w:fill="FFFFFF"/>
        </w:rPr>
        <w:t>Chemical Science</w:t>
      </w:r>
      <w:r w:rsidRPr="00A153A5">
        <w:rPr>
          <w:color w:val="222222"/>
          <w:sz w:val="16"/>
          <w:szCs w:val="20"/>
          <w:shd w:val="clear" w:color="auto" w:fill="FFFFFF"/>
        </w:rPr>
        <w:t>, 2020, pp.2479-2486.</w:t>
      </w:r>
    </w:p>
    <w:p w:rsidR="000866AE" w:rsidRPr="00A153A5" w:rsidRDefault="000866AE" w:rsidP="000866AE">
      <w:pPr>
        <w:spacing w:before="240"/>
        <w:ind w:left="720" w:hanging="720"/>
        <w:jc w:val="both"/>
        <w:rPr>
          <w:rFonts w:eastAsiaTheme="minorHAnsi"/>
          <w:sz w:val="16"/>
        </w:rPr>
      </w:pPr>
      <w:r w:rsidRPr="00A153A5">
        <w:rPr>
          <w:rFonts w:eastAsiaTheme="minorHAnsi"/>
          <w:sz w:val="16"/>
        </w:rPr>
        <w:t>[14]</w:t>
      </w:r>
      <w:r w:rsidRPr="00A153A5">
        <w:rPr>
          <w:rFonts w:eastAsiaTheme="minorHAnsi"/>
          <w:sz w:val="16"/>
        </w:rPr>
        <w:tab/>
      </w:r>
      <w:r w:rsidRPr="00A153A5">
        <w:rPr>
          <w:color w:val="222222"/>
          <w:sz w:val="16"/>
          <w:shd w:val="clear" w:color="auto" w:fill="FFFFFF"/>
        </w:rPr>
        <w:t>P. J. Stang, and P. Murch, "[3+ 2]-Cycloaddition reactions of alkynyl (phenyl) iodonium triflates with ethyl diazoacetate, Nt-butyl-α-phenyl nitrone and t-butylnitrileoxide as 1, 3-dipoles." </w:t>
      </w:r>
      <w:r w:rsidRPr="00A153A5">
        <w:rPr>
          <w:i/>
          <w:iCs/>
          <w:color w:val="222222"/>
          <w:sz w:val="16"/>
          <w:shd w:val="clear" w:color="auto" w:fill="FFFFFF"/>
        </w:rPr>
        <w:t>Tetrahedron letters</w:t>
      </w:r>
      <w:r w:rsidRPr="00A153A5">
        <w:rPr>
          <w:iCs/>
          <w:color w:val="222222"/>
          <w:sz w:val="16"/>
          <w:shd w:val="clear" w:color="auto" w:fill="FFFFFF"/>
        </w:rPr>
        <w:t>,</w:t>
      </w:r>
      <w:r w:rsidRPr="00A153A5">
        <w:rPr>
          <w:color w:val="222222"/>
          <w:sz w:val="16"/>
          <w:shd w:val="clear" w:color="auto" w:fill="FFFFFF"/>
        </w:rPr>
        <w:t xml:space="preserve"> 1997, </w:t>
      </w:r>
      <w:r w:rsidRPr="00A153A5">
        <w:rPr>
          <w:rFonts w:eastAsiaTheme="minorHAnsi"/>
          <w:iCs/>
          <w:sz w:val="16"/>
          <w:lang w:val="en-IN"/>
        </w:rPr>
        <w:t xml:space="preserve">pp. </w:t>
      </w:r>
      <w:r w:rsidRPr="00A153A5">
        <w:rPr>
          <w:color w:val="222222"/>
          <w:sz w:val="16"/>
          <w:shd w:val="clear" w:color="auto" w:fill="FFFFFF"/>
        </w:rPr>
        <w:t>8793-8794.</w:t>
      </w:r>
    </w:p>
    <w:p w:rsidR="000866AE" w:rsidRPr="00A153A5" w:rsidRDefault="000866AE" w:rsidP="000866AE">
      <w:pPr>
        <w:spacing w:before="240"/>
        <w:ind w:left="720" w:hanging="720"/>
        <w:jc w:val="both"/>
        <w:rPr>
          <w:rFonts w:eastAsiaTheme="minorHAnsi"/>
          <w:sz w:val="16"/>
        </w:rPr>
      </w:pPr>
      <w:r w:rsidRPr="00A153A5">
        <w:rPr>
          <w:rFonts w:eastAsiaTheme="minorHAnsi"/>
          <w:sz w:val="16"/>
        </w:rPr>
        <w:t>[15]</w:t>
      </w:r>
      <w:r w:rsidRPr="00A153A5">
        <w:rPr>
          <w:rFonts w:eastAsiaTheme="minorHAnsi"/>
          <w:sz w:val="16"/>
        </w:rPr>
        <w:tab/>
        <w:t xml:space="preserve">A. Yoshimura, M. E. Jarvi, M. T. Shea, C. L. Makitalo, G. T. Rohde, M. S. Yusubov, A. Saito and V. V. Zhdankin, </w:t>
      </w:r>
      <w:r w:rsidRPr="00A153A5">
        <w:rPr>
          <w:color w:val="222222"/>
          <w:sz w:val="16"/>
          <w:shd w:val="clear" w:color="auto" w:fill="FFFFFF"/>
        </w:rPr>
        <w:t>"Hypervalent Iodine (III) reagent mediated regioselective cycloaddition of aldoximes with enaminones." </w:t>
      </w:r>
      <w:r w:rsidRPr="00A153A5">
        <w:rPr>
          <w:i/>
          <w:iCs/>
          <w:color w:val="222222"/>
          <w:sz w:val="16"/>
          <w:shd w:val="clear" w:color="auto" w:fill="FFFFFF"/>
        </w:rPr>
        <w:t>European Journal of Organic Chemistry</w:t>
      </w:r>
      <w:r w:rsidRPr="00A153A5">
        <w:rPr>
          <w:iCs/>
          <w:color w:val="222222"/>
          <w:sz w:val="16"/>
          <w:shd w:val="clear" w:color="auto" w:fill="FFFFFF"/>
        </w:rPr>
        <w:t>,</w:t>
      </w:r>
      <w:r w:rsidRPr="00A153A5">
        <w:rPr>
          <w:color w:val="222222"/>
          <w:sz w:val="16"/>
          <w:shd w:val="clear" w:color="auto" w:fill="FFFFFF"/>
        </w:rPr>
        <w:t> 2019, pp. 6682-6689.</w:t>
      </w:r>
    </w:p>
    <w:p w:rsidR="000866AE" w:rsidRPr="00A153A5" w:rsidRDefault="000866AE" w:rsidP="000866AE">
      <w:pPr>
        <w:spacing w:before="240"/>
        <w:ind w:left="720" w:hanging="720"/>
        <w:jc w:val="both"/>
        <w:rPr>
          <w:rFonts w:eastAsiaTheme="minorHAnsi"/>
          <w:sz w:val="16"/>
        </w:rPr>
      </w:pPr>
      <w:r w:rsidRPr="00A153A5">
        <w:rPr>
          <w:rFonts w:eastAsiaTheme="minorHAnsi"/>
          <w:sz w:val="16"/>
        </w:rPr>
        <w:t>[16]</w:t>
      </w:r>
      <w:r w:rsidRPr="00A153A5">
        <w:rPr>
          <w:rFonts w:eastAsiaTheme="minorHAnsi"/>
          <w:sz w:val="16"/>
        </w:rPr>
        <w:tab/>
        <w:t xml:space="preserve">A. K. Sadana, Y. Mirza, K. R. Aneja and O. Prakash, </w:t>
      </w:r>
      <w:r w:rsidRPr="00A153A5">
        <w:rPr>
          <w:color w:val="222222"/>
          <w:sz w:val="16"/>
          <w:shd w:val="clear" w:color="auto" w:fill="FFFFFF"/>
        </w:rPr>
        <w:t>"Hypervalent iodine mediated synthesis of 1-aryl/hetryl-1, 2, 4-triazolo [4, 3-a] pyridines and 1-aryl/hetryl 5-methyl-1, 2, 4-triazolo [4, 3-a] quinolines as antibacterial agents." </w:t>
      </w:r>
      <w:r w:rsidRPr="00A153A5">
        <w:rPr>
          <w:i/>
          <w:iCs/>
          <w:color w:val="222222"/>
          <w:sz w:val="16"/>
          <w:shd w:val="clear" w:color="auto" w:fill="FFFFFF"/>
        </w:rPr>
        <w:t>European journal of medicinal chemistry</w:t>
      </w:r>
      <w:r w:rsidRPr="00A153A5">
        <w:rPr>
          <w:iCs/>
          <w:color w:val="222222"/>
          <w:sz w:val="16"/>
          <w:shd w:val="clear" w:color="auto" w:fill="FFFFFF"/>
        </w:rPr>
        <w:t>,</w:t>
      </w:r>
      <w:r w:rsidRPr="00A153A5">
        <w:rPr>
          <w:color w:val="222222"/>
          <w:sz w:val="16"/>
          <w:shd w:val="clear" w:color="auto" w:fill="FFFFFF"/>
        </w:rPr>
        <w:t xml:space="preserve"> 2003, pp. 533-536. </w:t>
      </w:r>
    </w:p>
    <w:p w:rsidR="000866AE" w:rsidRPr="00A153A5" w:rsidRDefault="000866AE" w:rsidP="000866AE">
      <w:pPr>
        <w:spacing w:before="240"/>
        <w:ind w:left="720" w:hanging="720"/>
        <w:jc w:val="both"/>
        <w:rPr>
          <w:rFonts w:eastAsiaTheme="minorHAnsi"/>
          <w:sz w:val="16"/>
        </w:rPr>
      </w:pPr>
      <w:r w:rsidRPr="00A153A5">
        <w:rPr>
          <w:rFonts w:eastAsiaTheme="minorHAnsi"/>
          <w:sz w:val="16"/>
        </w:rPr>
        <w:t>[17]</w:t>
      </w:r>
      <w:r w:rsidRPr="00A153A5">
        <w:rPr>
          <w:rFonts w:eastAsiaTheme="minorHAnsi"/>
          <w:sz w:val="16"/>
        </w:rPr>
        <w:tab/>
        <w:t>C. S. Demmer, M. Jorgensen, J. Kehler and L. Bunch,</w:t>
      </w:r>
      <w:r w:rsidRPr="00A153A5">
        <w:rPr>
          <w:color w:val="222222"/>
          <w:sz w:val="16"/>
          <w:shd w:val="clear" w:color="auto" w:fill="FFFFFF"/>
        </w:rPr>
        <w:t xml:space="preserve"> "Study of Oxidative Cyclization Using PhI (OAc)</w:t>
      </w:r>
      <w:r w:rsidRPr="00A153A5">
        <w:rPr>
          <w:color w:val="222222"/>
          <w:sz w:val="16"/>
          <w:shd w:val="clear" w:color="auto" w:fill="FFFFFF"/>
          <w:vertAlign w:val="subscript"/>
        </w:rPr>
        <w:t>2</w:t>
      </w:r>
      <w:r w:rsidRPr="00A153A5">
        <w:rPr>
          <w:color w:val="222222"/>
          <w:sz w:val="16"/>
          <w:shd w:val="clear" w:color="auto" w:fill="FFFFFF"/>
        </w:rPr>
        <w:t xml:space="preserve"> in the Formation of benzo [4, 5] thiazolo [2, 3-c][1, 2, 4] Triazoles and Related Heterocycles–Scope and Limitations." </w:t>
      </w:r>
      <w:r w:rsidRPr="00A153A5">
        <w:rPr>
          <w:i/>
          <w:iCs/>
          <w:color w:val="222222"/>
          <w:sz w:val="16"/>
          <w:shd w:val="clear" w:color="auto" w:fill="FFFFFF"/>
        </w:rPr>
        <w:t>Synlett</w:t>
      </w:r>
      <w:r w:rsidRPr="00A153A5">
        <w:rPr>
          <w:iCs/>
          <w:color w:val="222222"/>
          <w:sz w:val="16"/>
          <w:shd w:val="clear" w:color="auto" w:fill="FFFFFF"/>
        </w:rPr>
        <w:t>,</w:t>
      </w:r>
      <w:r w:rsidRPr="00A153A5">
        <w:rPr>
          <w:color w:val="222222"/>
          <w:sz w:val="16"/>
          <w:shd w:val="clear" w:color="auto" w:fill="FFFFFF"/>
        </w:rPr>
        <w:t> 2014, pp. 1279-1282.</w:t>
      </w:r>
    </w:p>
    <w:p w:rsidR="000866AE" w:rsidRPr="00A153A5" w:rsidRDefault="000866AE" w:rsidP="000866AE">
      <w:pPr>
        <w:spacing w:before="240"/>
        <w:ind w:left="720" w:hanging="720"/>
        <w:jc w:val="both"/>
        <w:rPr>
          <w:rFonts w:eastAsiaTheme="minorHAnsi"/>
          <w:sz w:val="16"/>
        </w:rPr>
      </w:pPr>
      <w:r w:rsidRPr="00A153A5">
        <w:rPr>
          <w:rFonts w:eastAsiaTheme="minorHAnsi"/>
          <w:sz w:val="16"/>
        </w:rPr>
        <w:t>[18]</w:t>
      </w:r>
      <w:r w:rsidRPr="00A153A5">
        <w:rPr>
          <w:rFonts w:eastAsiaTheme="minorHAnsi"/>
          <w:sz w:val="16"/>
        </w:rPr>
        <w:tab/>
        <w:t>O. Prakash, H. K. Gujral, N. Rani and S. P. Singh, “</w:t>
      </w:r>
      <w:r w:rsidRPr="00A153A5">
        <w:rPr>
          <w:color w:val="222222"/>
          <w:sz w:val="16"/>
          <w:shd w:val="clear" w:color="auto" w:fill="FFFFFF"/>
        </w:rPr>
        <w:t>Hypervalent iodine oxidation of hydrazones of some nitrogen heterocyclic ketones and aldehydes: an efficient synthesis of fused 1, 2, 3-triazoloheterocycles,” </w:t>
      </w:r>
      <w:r w:rsidRPr="00A153A5">
        <w:rPr>
          <w:i/>
          <w:iCs/>
          <w:color w:val="222222"/>
          <w:sz w:val="16"/>
          <w:shd w:val="clear" w:color="auto" w:fill="FFFFFF"/>
        </w:rPr>
        <w:t>Synthetic Communications</w:t>
      </w:r>
      <w:r w:rsidRPr="00A153A5">
        <w:rPr>
          <w:color w:val="222222"/>
          <w:sz w:val="16"/>
          <w:shd w:val="clear" w:color="auto" w:fill="FFFFFF"/>
        </w:rPr>
        <w:t>, 2000, pp. 417-425.</w:t>
      </w:r>
    </w:p>
    <w:p w:rsidR="000866AE" w:rsidRPr="00A153A5" w:rsidRDefault="000866AE" w:rsidP="000866AE">
      <w:pPr>
        <w:spacing w:before="240"/>
        <w:ind w:left="720" w:hanging="720"/>
        <w:jc w:val="both"/>
        <w:rPr>
          <w:rFonts w:eastAsiaTheme="minorHAnsi"/>
          <w:sz w:val="20"/>
        </w:rPr>
      </w:pPr>
      <w:r w:rsidRPr="00A153A5">
        <w:rPr>
          <w:rFonts w:eastAsiaTheme="minorHAnsi"/>
          <w:sz w:val="16"/>
        </w:rPr>
        <w:t>[19]</w:t>
      </w:r>
      <w:r w:rsidRPr="00A153A5">
        <w:rPr>
          <w:rFonts w:eastAsiaTheme="minorHAnsi"/>
          <w:sz w:val="16"/>
        </w:rPr>
        <w:tab/>
        <w:t>C. S. Demmer, M. Jorgensen, J. Kehler, L. Bunch and L. K. Rasmussen, “</w:t>
      </w:r>
      <w:r w:rsidRPr="00A153A5">
        <w:rPr>
          <w:color w:val="222222"/>
          <w:sz w:val="16"/>
          <w:szCs w:val="20"/>
          <w:shd w:val="clear" w:color="auto" w:fill="FFFFFF"/>
        </w:rPr>
        <w:t>Synthesis and Selective Functionalization of [1, 2, 4] Triazolo-[4, 3-a] pyrazines,” </w:t>
      </w:r>
      <w:r w:rsidRPr="00A153A5">
        <w:rPr>
          <w:i/>
          <w:iCs/>
          <w:color w:val="222222"/>
          <w:sz w:val="16"/>
          <w:szCs w:val="20"/>
          <w:shd w:val="clear" w:color="auto" w:fill="FFFFFF"/>
        </w:rPr>
        <w:t>Synlett</w:t>
      </w:r>
      <w:r w:rsidRPr="00A153A5">
        <w:rPr>
          <w:color w:val="222222"/>
          <w:sz w:val="16"/>
          <w:szCs w:val="20"/>
          <w:shd w:val="clear" w:color="auto" w:fill="FFFFFF"/>
        </w:rPr>
        <w:t>, </w:t>
      </w:r>
      <w:r w:rsidRPr="00A153A5">
        <w:rPr>
          <w:iCs/>
          <w:color w:val="222222"/>
          <w:sz w:val="16"/>
          <w:szCs w:val="20"/>
          <w:shd w:val="clear" w:color="auto" w:fill="FFFFFF"/>
        </w:rPr>
        <w:t xml:space="preserve">2015, </w:t>
      </w:r>
      <w:r w:rsidRPr="00A153A5">
        <w:rPr>
          <w:color w:val="222222"/>
          <w:sz w:val="16"/>
          <w:szCs w:val="20"/>
          <w:shd w:val="clear" w:color="auto" w:fill="FFFFFF"/>
        </w:rPr>
        <w:t>pp.519-524.</w:t>
      </w:r>
    </w:p>
    <w:p w:rsidR="000866AE" w:rsidRPr="00A153A5" w:rsidRDefault="000866AE" w:rsidP="000866AE">
      <w:pPr>
        <w:spacing w:before="240"/>
        <w:ind w:left="720" w:hanging="720"/>
        <w:jc w:val="both"/>
        <w:rPr>
          <w:rFonts w:eastAsiaTheme="minorHAnsi"/>
          <w:sz w:val="16"/>
        </w:rPr>
      </w:pPr>
      <w:r w:rsidRPr="00A153A5">
        <w:rPr>
          <w:rFonts w:eastAsiaTheme="minorHAnsi"/>
          <w:sz w:val="16"/>
        </w:rPr>
        <w:t>[20]</w:t>
      </w:r>
      <w:r w:rsidRPr="00A153A5">
        <w:rPr>
          <w:rFonts w:eastAsiaTheme="minorHAnsi"/>
          <w:sz w:val="16"/>
        </w:rPr>
        <w:tab/>
        <w:t xml:space="preserve">J. P. Brand, J. Charpentier and J. Waser, </w:t>
      </w:r>
      <w:r w:rsidRPr="00A153A5">
        <w:rPr>
          <w:color w:val="222222"/>
          <w:sz w:val="16"/>
          <w:szCs w:val="20"/>
          <w:shd w:val="clear" w:color="auto" w:fill="FFFFFF"/>
        </w:rPr>
        <w:t>“Direct alkynylation of indole and pyrrole heterocycles,” </w:t>
      </w:r>
      <w:r w:rsidRPr="00A153A5">
        <w:rPr>
          <w:i/>
          <w:iCs/>
          <w:color w:val="222222"/>
          <w:sz w:val="16"/>
          <w:szCs w:val="20"/>
          <w:shd w:val="clear" w:color="auto" w:fill="FFFFFF"/>
        </w:rPr>
        <w:t>Angewandte Chemie International Edition</w:t>
      </w:r>
      <w:r w:rsidRPr="00A153A5">
        <w:rPr>
          <w:color w:val="222222"/>
          <w:sz w:val="16"/>
          <w:szCs w:val="20"/>
          <w:shd w:val="clear" w:color="auto" w:fill="FFFFFF"/>
        </w:rPr>
        <w:t xml:space="preserve">, </w:t>
      </w:r>
      <w:r w:rsidRPr="00A153A5">
        <w:rPr>
          <w:rFonts w:eastAsiaTheme="minorHAnsi"/>
          <w:sz w:val="16"/>
        </w:rPr>
        <w:t>2009, pp. 9346-9349</w:t>
      </w:r>
      <w:r w:rsidRPr="00A153A5">
        <w:rPr>
          <w:color w:val="222222"/>
          <w:sz w:val="16"/>
          <w:szCs w:val="20"/>
          <w:shd w:val="clear" w:color="auto" w:fill="FFFFFF"/>
        </w:rPr>
        <w:t>.</w:t>
      </w:r>
    </w:p>
    <w:p w:rsidR="000866AE" w:rsidRPr="00A153A5" w:rsidRDefault="000866AE" w:rsidP="000866AE">
      <w:pPr>
        <w:spacing w:before="240"/>
        <w:ind w:left="720" w:hanging="720"/>
        <w:jc w:val="both"/>
        <w:rPr>
          <w:color w:val="000000" w:themeColor="text1"/>
          <w:sz w:val="16"/>
          <w:shd w:val="clear" w:color="auto" w:fill="FFFFFF" w:themeFill="background1"/>
        </w:rPr>
      </w:pPr>
      <w:r w:rsidRPr="00A153A5">
        <w:rPr>
          <w:rFonts w:eastAsiaTheme="minorHAnsi"/>
          <w:sz w:val="16"/>
        </w:rPr>
        <w:t>[21]</w:t>
      </w:r>
      <w:r w:rsidRPr="00A153A5">
        <w:rPr>
          <w:rFonts w:eastAsiaTheme="minorHAnsi"/>
          <w:sz w:val="16"/>
        </w:rPr>
        <w:tab/>
      </w:r>
      <w:r w:rsidRPr="00A153A5">
        <w:rPr>
          <w:color w:val="000000" w:themeColor="text1"/>
          <w:sz w:val="16"/>
          <w:shd w:val="clear" w:color="auto" w:fill="FFFFFF" w:themeFill="background1"/>
        </w:rPr>
        <w:t>G. Zhang, Y. Wang, J. Xu, J. Sun, F. Sun, Y. Zhang, C. Zhang and Y. Du, “</w:t>
      </w:r>
      <w:r w:rsidRPr="00A153A5">
        <w:rPr>
          <w:color w:val="222222"/>
          <w:sz w:val="16"/>
          <w:shd w:val="clear" w:color="auto" w:fill="FFFFFF"/>
        </w:rPr>
        <w:t>A new hypervalent iodine (III/V) oxidant and its application to the synthesis of 2 H-azirines,” </w:t>
      </w:r>
      <w:r w:rsidRPr="00A153A5">
        <w:rPr>
          <w:i/>
          <w:iCs/>
          <w:color w:val="222222"/>
          <w:sz w:val="16"/>
          <w:shd w:val="clear" w:color="auto" w:fill="FFFFFF"/>
        </w:rPr>
        <w:t>Chemical Science</w:t>
      </w:r>
      <w:r w:rsidRPr="00A153A5">
        <w:rPr>
          <w:color w:val="222222"/>
          <w:sz w:val="16"/>
          <w:shd w:val="clear" w:color="auto" w:fill="FFFFFF"/>
        </w:rPr>
        <w:t>, 2020, pp. 947-953.</w:t>
      </w:r>
    </w:p>
    <w:p w:rsidR="000866AE" w:rsidRPr="00A153A5" w:rsidRDefault="000866AE" w:rsidP="000866AE">
      <w:pPr>
        <w:spacing w:before="240"/>
        <w:ind w:left="720" w:hanging="720"/>
        <w:jc w:val="both"/>
        <w:rPr>
          <w:sz w:val="16"/>
        </w:rPr>
      </w:pPr>
      <w:r w:rsidRPr="00A153A5">
        <w:rPr>
          <w:color w:val="000000" w:themeColor="text1"/>
          <w:sz w:val="16"/>
          <w:shd w:val="clear" w:color="auto" w:fill="FFFFFF" w:themeFill="background1"/>
        </w:rPr>
        <w:t>[22]</w:t>
      </w:r>
      <w:r w:rsidRPr="00A153A5">
        <w:rPr>
          <w:color w:val="000000" w:themeColor="text1"/>
          <w:sz w:val="16"/>
          <w:shd w:val="clear" w:color="auto" w:fill="FFFFFF" w:themeFill="background1"/>
        </w:rPr>
        <w:tab/>
        <w:t xml:space="preserve">D. </w:t>
      </w:r>
      <w:r w:rsidRPr="00A153A5">
        <w:rPr>
          <w:sz w:val="16"/>
        </w:rPr>
        <w:t>Kumar, and S. Kumar, “</w:t>
      </w:r>
      <w:r w:rsidRPr="00A153A5">
        <w:rPr>
          <w:color w:val="222222"/>
          <w:sz w:val="16"/>
          <w:shd w:val="clear" w:color="auto" w:fill="FFFFFF"/>
        </w:rPr>
        <w:t>Oxidation of 3-Hydroxyflavanones using Polymer-Supported [Hydroxy(tosyloxy)iodo] benzene” </w:t>
      </w:r>
      <w:r w:rsidRPr="00A153A5">
        <w:rPr>
          <w:i/>
          <w:iCs/>
          <w:color w:val="222222"/>
          <w:sz w:val="16"/>
          <w:shd w:val="clear" w:color="auto" w:fill="FFFFFF"/>
        </w:rPr>
        <w:t>Asian Journal of Chemistry</w:t>
      </w:r>
      <w:r w:rsidRPr="00A153A5">
        <w:rPr>
          <w:color w:val="222222"/>
          <w:sz w:val="16"/>
          <w:shd w:val="clear" w:color="auto" w:fill="FFFFFF"/>
        </w:rPr>
        <w:t>, 2007, pp. 2857-2860.</w:t>
      </w:r>
    </w:p>
    <w:p w:rsidR="000866AE" w:rsidRPr="00A153A5" w:rsidRDefault="000866AE" w:rsidP="000866AE">
      <w:pPr>
        <w:spacing w:before="240"/>
        <w:ind w:left="720" w:hanging="720"/>
        <w:jc w:val="both"/>
        <w:rPr>
          <w:sz w:val="16"/>
        </w:rPr>
      </w:pPr>
      <w:r w:rsidRPr="00A153A5">
        <w:rPr>
          <w:sz w:val="16"/>
        </w:rPr>
        <w:t>[23]</w:t>
      </w:r>
      <w:r w:rsidRPr="00A153A5">
        <w:rPr>
          <w:sz w:val="16"/>
        </w:rPr>
        <w:tab/>
        <w:t xml:space="preserve">O. </w:t>
      </w:r>
      <w:r w:rsidRPr="00A153A5">
        <w:rPr>
          <w:color w:val="222222"/>
          <w:sz w:val="16"/>
          <w:szCs w:val="20"/>
          <w:shd w:val="clear" w:color="auto" w:fill="FFFFFF"/>
        </w:rPr>
        <w:t>Prakash, R. Kumar, and R. Sehrawat, “Synthesis and antibacterial activity of some new2,3-dimethoxy-3-hydroxy-2-(1-phenyl-3-aryl-4-pyrazolyl)chromanones,” </w:t>
      </w:r>
      <w:r w:rsidRPr="00A153A5">
        <w:rPr>
          <w:i/>
          <w:iCs/>
          <w:color w:val="222222"/>
          <w:sz w:val="16"/>
          <w:szCs w:val="20"/>
          <w:shd w:val="clear" w:color="auto" w:fill="FFFFFF"/>
        </w:rPr>
        <w:t>European journal of medicinal chemistry</w:t>
      </w:r>
      <w:r w:rsidRPr="00A153A5">
        <w:rPr>
          <w:i/>
          <w:color w:val="222222"/>
          <w:sz w:val="16"/>
          <w:szCs w:val="20"/>
          <w:shd w:val="clear" w:color="auto" w:fill="FFFFFF"/>
        </w:rPr>
        <w:t>,</w:t>
      </w:r>
      <w:r w:rsidRPr="00A153A5">
        <w:rPr>
          <w:color w:val="222222"/>
          <w:sz w:val="16"/>
          <w:szCs w:val="20"/>
          <w:shd w:val="clear" w:color="auto" w:fill="FFFFFF"/>
        </w:rPr>
        <w:t xml:space="preserve"> 2009, pp. 1763-1767.</w:t>
      </w:r>
    </w:p>
    <w:p w:rsidR="000866AE" w:rsidRPr="00A153A5" w:rsidRDefault="000866AE" w:rsidP="000866AE">
      <w:pPr>
        <w:spacing w:before="240"/>
        <w:ind w:left="720" w:hanging="720"/>
        <w:jc w:val="both"/>
        <w:rPr>
          <w:sz w:val="16"/>
        </w:rPr>
      </w:pPr>
      <w:r w:rsidRPr="00A153A5">
        <w:rPr>
          <w:sz w:val="16"/>
        </w:rPr>
        <w:t>[24]</w:t>
      </w:r>
      <w:r w:rsidRPr="00A153A5">
        <w:rPr>
          <w:sz w:val="16"/>
        </w:rPr>
        <w:tab/>
        <w:t>N. C. Ganguly, S. Chandra and S. K. Barik, “</w:t>
      </w:r>
      <w:r w:rsidRPr="00A153A5">
        <w:rPr>
          <w:color w:val="222222"/>
          <w:sz w:val="16"/>
          <w:shd w:val="clear" w:color="auto" w:fill="FFFFFF"/>
        </w:rPr>
        <w:t>Sodium perborate tetrahydrate–mediated transformations of 2′-hydroxychalcones to flavanones, flavones, and 3′, 5′-diiodoflavone under mild, environmentally friendly conditions”, </w:t>
      </w:r>
      <w:r w:rsidRPr="00A153A5">
        <w:rPr>
          <w:i/>
          <w:iCs/>
          <w:color w:val="222222"/>
          <w:sz w:val="16"/>
          <w:shd w:val="clear" w:color="auto" w:fill="FFFFFF"/>
        </w:rPr>
        <w:t>Synthetic Communications</w:t>
      </w:r>
      <w:r w:rsidRPr="00A153A5">
        <w:rPr>
          <w:color w:val="222222"/>
          <w:sz w:val="16"/>
          <w:shd w:val="clear" w:color="auto" w:fill="FFFFFF"/>
        </w:rPr>
        <w:t>, 2013, pp. 1351-1361.</w:t>
      </w:r>
    </w:p>
    <w:p w:rsidR="000866AE" w:rsidRPr="00A153A5" w:rsidRDefault="000866AE" w:rsidP="000866AE">
      <w:pPr>
        <w:spacing w:before="240"/>
        <w:ind w:left="720" w:hanging="720"/>
        <w:jc w:val="both"/>
        <w:rPr>
          <w:sz w:val="16"/>
        </w:rPr>
      </w:pPr>
      <w:r w:rsidRPr="00A153A5">
        <w:rPr>
          <w:sz w:val="16"/>
        </w:rPr>
        <w:t>[25]</w:t>
      </w:r>
      <w:r w:rsidRPr="00A153A5">
        <w:rPr>
          <w:sz w:val="16"/>
        </w:rPr>
        <w:tab/>
        <w:t xml:space="preserve">M. </w:t>
      </w:r>
      <w:r w:rsidRPr="00A153A5">
        <w:rPr>
          <w:bCs/>
          <w:sz w:val="16"/>
        </w:rPr>
        <w:t>Muthukrishnan, P. S. Patil, S.V. More and R. A. Joshi, “</w:t>
      </w:r>
      <w:r w:rsidRPr="00A153A5">
        <w:rPr>
          <w:color w:val="222222"/>
          <w:sz w:val="16"/>
          <w:shd w:val="clear" w:color="auto" w:fill="FFFFFF"/>
        </w:rPr>
        <w:t xml:space="preserve">Facile oxidation of flavanones to flavones using [hydroxy (tosyloxy) iodo] benzene in an ionic liquid,” </w:t>
      </w:r>
      <w:r w:rsidRPr="00A153A5">
        <w:rPr>
          <w:i/>
          <w:iCs/>
          <w:color w:val="222222"/>
          <w:sz w:val="16"/>
          <w:shd w:val="clear" w:color="auto" w:fill="FFFFFF"/>
        </w:rPr>
        <w:t>Mendeleev Communications</w:t>
      </w:r>
      <w:r w:rsidRPr="00A153A5">
        <w:rPr>
          <w:color w:val="222222"/>
          <w:sz w:val="16"/>
          <w:shd w:val="clear" w:color="auto" w:fill="FFFFFF"/>
        </w:rPr>
        <w:t>, 2005, pp. 100-101.</w:t>
      </w:r>
    </w:p>
    <w:p w:rsidR="000866AE" w:rsidRPr="00A153A5" w:rsidRDefault="000866AE" w:rsidP="000866AE">
      <w:pPr>
        <w:spacing w:before="240"/>
        <w:ind w:left="720" w:hanging="720"/>
        <w:jc w:val="both"/>
        <w:rPr>
          <w:sz w:val="16"/>
        </w:rPr>
      </w:pPr>
      <w:r w:rsidRPr="00A153A5">
        <w:rPr>
          <w:sz w:val="16"/>
        </w:rPr>
        <w:t>[26]</w:t>
      </w:r>
      <w:r w:rsidRPr="00A153A5">
        <w:rPr>
          <w:sz w:val="16"/>
        </w:rPr>
        <w:tab/>
        <w:t>L. Juhasz, L. Szilagyi, S. Antus, J. Visy, F. Zsila, and M. Simonyi, “</w:t>
      </w:r>
      <w:r w:rsidRPr="00A153A5">
        <w:rPr>
          <w:color w:val="222222"/>
          <w:sz w:val="16"/>
          <w:shd w:val="clear" w:color="auto" w:fill="FFFFFF"/>
        </w:rPr>
        <w:t>New insight into the mechanism of hypervalent iodine oxidation of flavanones,” </w:t>
      </w:r>
      <w:r w:rsidRPr="00A153A5">
        <w:rPr>
          <w:i/>
          <w:iCs/>
          <w:color w:val="222222"/>
          <w:sz w:val="16"/>
          <w:shd w:val="clear" w:color="auto" w:fill="FFFFFF"/>
        </w:rPr>
        <w:t>Tetrahedron</w:t>
      </w:r>
      <w:r w:rsidRPr="00A153A5">
        <w:rPr>
          <w:color w:val="222222"/>
          <w:sz w:val="16"/>
          <w:shd w:val="clear" w:color="auto" w:fill="FFFFFF"/>
        </w:rPr>
        <w:t>, 2002, pp. 4261-4265.</w:t>
      </w:r>
    </w:p>
    <w:p w:rsidR="000866AE" w:rsidRPr="00A153A5" w:rsidRDefault="000866AE" w:rsidP="000866AE">
      <w:pPr>
        <w:spacing w:before="240"/>
        <w:ind w:left="720" w:hanging="720"/>
        <w:jc w:val="both"/>
        <w:rPr>
          <w:sz w:val="16"/>
        </w:rPr>
      </w:pPr>
      <w:r w:rsidRPr="00A153A5">
        <w:rPr>
          <w:sz w:val="16"/>
        </w:rPr>
        <w:t>[27]</w:t>
      </w:r>
      <w:r w:rsidRPr="00A153A5">
        <w:rPr>
          <w:sz w:val="16"/>
        </w:rPr>
        <w:tab/>
      </w:r>
      <w:r w:rsidRPr="00A153A5">
        <w:rPr>
          <w:color w:val="222222"/>
          <w:sz w:val="16"/>
          <w:shd w:val="clear" w:color="auto" w:fill="FFFFFF"/>
        </w:rPr>
        <w:t>O. Prakash, A. Kumar, A. K. Sadana,and S. P. Singh, “A novel synthesis of new 3-aryl-7-methylpyrano [4, 3-b] pyran-4H, 5H-diones using hypervalent iodine (III) reagents,” </w:t>
      </w:r>
      <w:r w:rsidRPr="00A153A5">
        <w:rPr>
          <w:i/>
          <w:iCs/>
          <w:color w:val="222222"/>
          <w:sz w:val="16"/>
          <w:shd w:val="clear" w:color="auto" w:fill="FFFFFF"/>
        </w:rPr>
        <w:t>Synthesis</w:t>
      </w:r>
      <w:r w:rsidRPr="00A153A5">
        <w:rPr>
          <w:color w:val="222222"/>
          <w:sz w:val="16"/>
          <w:shd w:val="clear" w:color="auto" w:fill="FFFFFF"/>
        </w:rPr>
        <w:t>, </w:t>
      </w:r>
      <w:r w:rsidRPr="00A153A5">
        <w:rPr>
          <w:i/>
          <w:iCs/>
          <w:color w:val="222222"/>
          <w:sz w:val="16"/>
          <w:shd w:val="clear" w:color="auto" w:fill="FFFFFF"/>
        </w:rPr>
        <w:t>2006</w:t>
      </w:r>
      <w:r w:rsidRPr="00A153A5">
        <w:rPr>
          <w:color w:val="222222"/>
          <w:sz w:val="16"/>
          <w:shd w:val="clear" w:color="auto" w:fill="FFFFFF"/>
        </w:rPr>
        <w:t>, pp. 21-23.</w:t>
      </w:r>
    </w:p>
    <w:p w:rsidR="000866AE" w:rsidRPr="00A153A5" w:rsidRDefault="000866AE" w:rsidP="000866AE">
      <w:pPr>
        <w:spacing w:before="240"/>
        <w:ind w:left="720" w:hanging="720"/>
        <w:jc w:val="both"/>
        <w:rPr>
          <w:sz w:val="16"/>
        </w:rPr>
      </w:pPr>
      <w:r w:rsidRPr="00A153A5">
        <w:rPr>
          <w:sz w:val="16"/>
        </w:rPr>
        <w:t>[28]</w:t>
      </w:r>
      <w:r w:rsidRPr="00A153A5">
        <w:rPr>
          <w:sz w:val="16"/>
        </w:rPr>
        <w:tab/>
        <w:t xml:space="preserve">N. Sharma, “Organohypervalent iodine reagents in organic synthesis” </w:t>
      </w:r>
      <w:r w:rsidRPr="00A153A5">
        <w:rPr>
          <w:i/>
          <w:sz w:val="16"/>
        </w:rPr>
        <w:t>Ph.D. Thesis</w:t>
      </w:r>
      <w:r w:rsidRPr="00A153A5">
        <w:rPr>
          <w:sz w:val="16"/>
        </w:rPr>
        <w:t>, 2013, Kurukshetra University, Kurukshetra.</w:t>
      </w:r>
    </w:p>
    <w:p w:rsidR="000866AE" w:rsidRPr="00A153A5" w:rsidRDefault="000866AE" w:rsidP="000866AE">
      <w:pPr>
        <w:spacing w:before="240"/>
        <w:ind w:left="720" w:hanging="720"/>
        <w:jc w:val="both"/>
        <w:rPr>
          <w:sz w:val="16"/>
        </w:rPr>
      </w:pPr>
      <w:r w:rsidRPr="00A153A5">
        <w:rPr>
          <w:sz w:val="16"/>
        </w:rPr>
        <w:t>[29]</w:t>
      </w:r>
      <w:r w:rsidRPr="00A153A5">
        <w:rPr>
          <w:sz w:val="16"/>
        </w:rPr>
        <w:tab/>
        <w:t>Y. Zou, S. Zhang, G. Wang, X. Wen, S. Liu, T. Peng, Y. Gao and L. Wang, “</w:t>
      </w:r>
      <w:r w:rsidRPr="00A153A5">
        <w:rPr>
          <w:color w:val="222222"/>
          <w:sz w:val="16"/>
          <w:shd w:val="clear" w:color="auto" w:fill="FFFFFF"/>
        </w:rPr>
        <w:t>Total synthesis of an isoflavone C-glycoside: 6-tert-butylpuerarin”, </w:t>
      </w:r>
      <w:r w:rsidRPr="00A153A5">
        <w:rPr>
          <w:i/>
          <w:iCs/>
          <w:color w:val="222222"/>
          <w:sz w:val="16"/>
          <w:shd w:val="clear" w:color="auto" w:fill="FFFFFF"/>
        </w:rPr>
        <w:t>Journal of Carbohydrate Chemistry</w:t>
      </w:r>
      <w:r w:rsidRPr="00A153A5">
        <w:rPr>
          <w:color w:val="222222"/>
          <w:sz w:val="16"/>
          <w:shd w:val="clear" w:color="auto" w:fill="FFFFFF"/>
        </w:rPr>
        <w:t>, 2016, pp. 387-395.</w:t>
      </w:r>
    </w:p>
    <w:p w:rsidR="000866AE" w:rsidRPr="00392014" w:rsidRDefault="000866AE" w:rsidP="005474CD">
      <w:pPr>
        <w:autoSpaceDE w:val="0"/>
        <w:autoSpaceDN w:val="0"/>
        <w:adjustRightInd w:val="0"/>
        <w:ind w:hanging="720"/>
        <w:jc w:val="both"/>
        <w:rPr>
          <w:bCs/>
          <w:color w:val="000000"/>
          <w:sz w:val="12"/>
          <w:szCs w:val="20"/>
        </w:rPr>
      </w:pPr>
    </w:p>
    <w:sectPr w:rsidR="000866AE" w:rsidRPr="00392014" w:rsidSect="00024745">
      <w:pgSz w:w="12240" w:h="15840"/>
      <w:pgMar w:top="126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6950" w:rsidRDefault="00BC6950" w:rsidP="004059EC">
      <w:r>
        <w:separator/>
      </w:r>
    </w:p>
  </w:endnote>
  <w:endnote w:type="continuationSeparator" w:id="0">
    <w:p w:rsidR="00BC6950" w:rsidRDefault="00BC6950" w:rsidP="0040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0"/>
    <w:family w:val="script"/>
    <w:pitch w:val="variable"/>
    <w:sig w:usb0="00000003" w:usb1="00000000" w:usb2="00000080" w:usb3="00000000" w:csb0="00000001" w:csb1="00000000"/>
  </w:font>
  <w:font w:name="Segoe UI">
    <w:panose1 w:val="020B0502040204020203"/>
    <w:charset w:val="00"/>
    <w:family w:val="swiss"/>
    <w:pitch w:val="variable"/>
    <w:sig w:usb0="E4002EFF" w:usb1="C000E47F"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MyriadPro-SemiCn">
    <w:altName w:val="Arial Unicode MS"/>
    <w:panose1 w:val="00000000000000000000"/>
    <w:charset w:val="88"/>
    <w:family w:val="auto"/>
    <w:notTrueType/>
    <w:pitch w:val="default"/>
    <w:sig w:usb0="00000001" w:usb1="08080000" w:usb2="00000010" w:usb3="00000000" w:csb0="00100000" w:csb1="00000000"/>
  </w:font>
  <w:font w:name="MinionPro-Capt">
    <w:altName w:val="Arial Unicode MS"/>
    <w:panose1 w:val="00000000000000000000"/>
    <w:charset w:val="81"/>
    <w:family w:val="roman"/>
    <w:notTrueType/>
    <w:pitch w:val="default"/>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6950" w:rsidRDefault="00BC6950" w:rsidP="004059EC">
      <w:r>
        <w:separator/>
      </w:r>
    </w:p>
  </w:footnote>
  <w:footnote w:type="continuationSeparator" w:id="0">
    <w:p w:rsidR="00BC6950" w:rsidRDefault="00BC6950" w:rsidP="004059E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525F"/>
    <w:multiLevelType w:val="hybridMultilevel"/>
    <w:tmpl w:val="C5585C3E"/>
    <w:lvl w:ilvl="0" w:tplc="047C5EC8">
      <w:start w:val="1"/>
      <w:numFmt w:val="lowerRoman"/>
      <w:lvlText w:val="(%1)"/>
      <w:lvlJc w:val="left"/>
      <w:pPr>
        <w:tabs>
          <w:tab w:val="num" w:pos="1080"/>
        </w:tabs>
        <w:ind w:left="1080" w:hanging="720"/>
      </w:pPr>
      <w:rPr>
        <w:rFonts w:hint="default"/>
      </w:rPr>
    </w:lvl>
    <w:lvl w:ilvl="1" w:tplc="18BA18F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760D6"/>
    <w:multiLevelType w:val="hybridMultilevel"/>
    <w:tmpl w:val="065E7CB6"/>
    <w:lvl w:ilvl="0" w:tplc="76E0F8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260F4F"/>
    <w:multiLevelType w:val="hybridMultilevel"/>
    <w:tmpl w:val="10340D38"/>
    <w:lvl w:ilvl="0" w:tplc="65525CEA">
      <w:start w:val="1"/>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 w15:restartNumberingAfterBreak="0">
    <w:nsid w:val="0A8A05C1"/>
    <w:multiLevelType w:val="hybridMultilevel"/>
    <w:tmpl w:val="FDBA7D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0037EF"/>
    <w:multiLevelType w:val="hybridMultilevel"/>
    <w:tmpl w:val="DF4C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22645"/>
    <w:multiLevelType w:val="hybridMultilevel"/>
    <w:tmpl w:val="ABDEE12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6E124E"/>
    <w:multiLevelType w:val="multilevel"/>
    <w:tmpl w:val="FF04C3AC"/>
    <w:lvl w:ilvl="0">
      <w:start w:val="4"/>
      <w:numFmt w:val="decimal"/>
      <w:lvlText w:val="%1"/>
      <w:lvlJc w:val="left"/>
      <w:pPr>
        <w:tabs>
          <w:tab w:val="num" w:pos="1440"/>
        </w:tabs>
        <w:ind w:left="1440" w:hanging="1440"/>
      </w:pPr>
      <w:rPr>
        <w:rFonts w:hint="default"/>
      </w:rPr>
    </w:lvl>
    <w:lvl w:ilvl="1">
      <w:start w:val="1"/>
      <w:numFmt w:val="decimal"/>
      <w:lvlText w:val="%1.%2"/>
      <w:lvlJc w:val="left"/>
      <w:pPr>
        <w:tabs>
          <w:tab w:val="num" w:pos="1440"/>
        </w:tabs>
        <w:ind w:left="1440" w:hanging="1440"/>
      </w:pPr>
      <w:rPr>
        <w:rFonts w:hint="default"/>
      </w:rPr>
    </w:lvl>
    <w:lvl w:ilvl="2">
      <w:start w:val="2"/>
      <w:numFmt w:val="decimal"/>
      <w:lvlText w:val="%1.%2.%3"/>
      <w:lvlJc w:val="left"/>
      <w:pPr>
        <w:tabs>
          <w:tab w:val="num" w:pos="1440"/>
        </w:tabs>
        <w:ind w:left="1440" w:hanging="1440"/>
      </w:pPr>
      <w:rPr>
        <w:rFonts w:hint="default"/>
      </w:rPr>
    </w:lvl>
    <w:lvl w:ilvl="3">
      <w:start w:val="6"/>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EE31F3F"/>
    <w:multiLevelType w:val="multilevel"/>
    <w:tmpl w:val="F4FE75DA"/>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4DC4319"/>
    <w:multiLevelType w:val="hybridMultilevel"/>
    <w:tmpl w:val="55C02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F46283"/>
    <w:multiLevelType w:val="multilevel"/>
    <w:tmpl w:val="09160F9A"/>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60950FA"/>
    <w:multiLevelType w:val="hybridMultilevel"/>
    <w:tmpl w:val="56E8552A"/>
    <w:lvl w:ilvl="0" w:tplc="C91A67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F7216E"/>
    <w:multiLevelType w:val="hybridMultilevel"/>
    <w:tmpl w:val="6AB661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827557"/>
    <w:multiLevelType w:val="hybridMultilevel"/>
    <w:tmpl w:val="C64CD8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05A1F66"/>
    <w:multiLevelType w:val="hybridMultilevel"/>
    <w:tmpl w:val="B802A8C2"/>
    <w:lvl w:ilvl="0" w:tplc="5ADC43BA">
      <w:start w:val="3"/>
      <w:numFmt w:val="upperRoman"/>
      <w:lvlText w:val="%1."/>
      <w:lvlJc w:val="left"/>
      <w:pPr>
        <w:ind w:left="3600" w:hanging="72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4" w15:restartNumberingAfterBreak="0">
    <w:nsid w:val="34C811AB"/>
    <w:multiLevelType w:val="hybridMultilevel"/>
    <w:tmpl w:val="ED2AF0A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7045FA9"/>
    <w:multiLevelType w:val="hybridMultilevel"/>
    <w:tmpl w:val="115A0F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E3710"/>
    <w:multiLevelType w:val="hybridMultilevel"/>
    <w:tmpl w:val="13060B36"/>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DC61B16"/>
    <w:multiLevelType w:val="hybridMultilevel"/>
    <w:tmpl w:val="AD7AD53C"/>
    <w:lvl w:ilvl="0" w:tplc="168AF3CE">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381492"/>
    <w:multiLevelType w:val="hybridMultilevel"/>
    <w:tmpl w:val="CE2CE6F4"/>
    <w:lvl w:ilvl="0" w:tplc="6AEEC1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8B64F8"/>
    <w:multiLevelType w:val="multilevel"/>
    <w:tmpl w:val="A8C6437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6746AE9"/>
    <w:multiLevelType w:val="hybridMultilevel"/>
    <w:tmpl w:val="2A127B06"/>
    <w:lvl w:ilvl="0" w:tplc="599076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3CB2398"/>
    <w:multiLevelType w:val="hybridMultilevel"/>
    <w:tmpl w:val="99F48D6C"/>
    <w:lvl w:ilvl="0" w:tplc="34B8C7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7CF3DFF"/>
    <w:multiLevelType w:val="hybridMultilevel"/>
    <w:tmpl w:val="1B62C62A"/>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68A141AD"/>
    <w:multiLevelType w:val="hybridMultilevel"/>
    <w:tmpl w:val="14CC4230"/>
    <w:lvl w:ilvl="0" w:tplc="7CBA7836">
      <w:start w:val="19"/>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D1C1C5D"/>
    <w:multiLevelType w:val="hybridMultilevel"/>
    <w:tmpl w:val="57E45F9C"/>
    <w:lvl w:ilvl="0" w:tplc="01C67AFA">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6FAA199D"/>
    <w:multiLevelType w:val="hybridMultilevel"/>
    <w:tmpl w:val="94C0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76EA9"/>
    <w:multiLevelType w:val="hybridMultilevel"/>
    <w:tmpl w:val="131A2FDA"/>
    <w:lvl w:ilvl="0" w:tplc="0EFE8B80">
      <w:start w:val="1"/>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7" w15:restartNumberingAfterBreak="0">
    <w:nsid w:val="75EE7FE5"/>
    <w:multiLevelType w:val="hybridMultilevel"/>
    <w:tmpl w:val="049668C0"/>
    <w:lvl w:ilvl="0" w:tplc="56EE4B1C">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8" w15:restartNumberingAfterBreak="0">
    <w:nsid w:val="7A6D0265"/>
    <w:multiLevelType w:val="hybridMultilevel"/>
    <w:tmpl w:val="DB143166"/>
    <w:lvl w:ilvl="0" w:tplc="B8B44A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AF0244D"/>
    <w:multiLevelType w:val="hybridMultilevel"/>
    <w:tmpl w:val="56D469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9"/>
  </w:num>
  <w:num w:numId="3">
    <w:abstractNumId w:val="0"/>
  </w:num>
  <w:num w:numId="4">
    <w:abstractNumId w:val="6"/>
  </w:num>
  <w:num w:numId="5">
    <w:abstractNumId w:val="12"/>
  </w:num>
  <w:num w:numId="6">
    <w:abstractNumId w:val="3"/>
  </w:num>
  <w:num w:numId="7">
    <w:abstractNumId w:val="17"/>
  </w:num>
  <w:num w:numId="8">
    <w:abstractNumId w:val="7"/>
  </w:num>
  <w:num w:numId="9">
    <w:abstractNumId w:val="2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4"/>
  </w:num>
  <w:num w:numId="13">
    <w:abstractNumId w:val="1"/>
  </w:num>
  <w:num w:numId="14">
    <w:abstractNumId w:val="5"/>
  </w:num>
  <w:num w:numId="15">
    <w:abstractNumId w:val="29"/>
  </w:num>
  <w:num w:numId="16">
    <w:abstractNumId w:val="15"/>
  </w:num>
  <w:num w:numId="17">
    <w:abstractNumId w:val="19"/>
  </w:num>
  <w:num w:numId="18">
    <w:abstractNumId w:val="25"/>
  </w:num>
  <w:num w:numId="19">
    <w:abstractNumId w:val="8"/>
  </w:num>
  <w:num w:numId="20">
    <w:abstractNumId w:val="14"/>
  </w:num>
  <w:num w:numId="21">
    <w:abstractNumId w:val="27"/>
  </w:num>
  <w:num w:numId="22">
    <w:abstractNumId w:val="26"/>
  </w:num>
  <w:num w:numId="23">
    <w:abstractNumId w:val="2"/>
  </w:num>
  <w:num w:numId="24">
    <w:abstractNumId w:val="13"/>
  </w:num>
  <w:num w:numId="25">
    <w:abstractNumId w:val="18"/>
  </w:num>
  <w:num w:numId="26">
    <w:abstractNumId w:val="21"/>
  </w:num>
  <w:num w:numId="27">
    <w:abstractNumId w:val="24"/>
  </w:num>
  <w:num w:numId="28">
    <w:abstractNumId w:val="10"/>
  </w:num>
  <w:num w:numId="29">
    <w:abstractNumId w:val="20"/>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15D75"/>
    <w:rsid w:val="00000969"/>
    <w:rsid w:val="000023E4"/>
    <w:rsid w:val="000034FF"/>
    <w:rsid w:val="00005E41"/>
    <w:rsid w:val="000069AE"/>
    <w:rsid w:val="00006AF1"/>
    <w:rsid w:val="00006FD4"/>
    <w:rsid w:val="00016158"/>
    <w:rsid w:val="00024745"/>
    <w:rsid w:val="00027A27"/>
    <w:rsid w:val="0003076B"/>
    <w:rsid w:val="000317E0"/>
    <w:rsid w:val="00031B1D"/>
    <w:rsid w:val="00034F72"/>
    <w:rsid w:val="0004522A"/>
    <w:rsid w:val="0004552A"/>
    <w:rsid w:val="00046764"/>
    <w:rsid w:val="00054CF9"/>
    <w:rsid w:val="00057B56"/>
    <w:rsid w:val="000730F8"/>
    <w:rsid w:val="000762F0"/>
    <w:rsid w:val="00080F8D"/>
    <w:rsid w:val="000866AE"/>
    <w:rsid w:val="0009159F"/>
    <w:rsid w:val="000A22CB"/>
    <w:rsid w:val="000A335B"/>
    <w:rsid w:val="000B313E"/>
    <w:rsid w:val="000D17E9"/>
    <w:rsid w:val="000D2FBC"/>
    <w:rsid w:val="000D4FC3"/>
    <w:rsid w:val="000D6521"/>
    <w:rsid w:val="000E03BE"/>
    <w:rsid w:val="000F0877"/>
    <w:rsid w:val="000F10AC"/>
    <w:rsid w:val="000F6A96"/>
    <w:rsid w:val="00111F58"/>
    <w:rsid w:val="00112B74"/>
    <w:rsid w:val="00113988"/>
    <w:rsid w:val="00115D75"/>
    <w:rsid w:val="00121FEB"/>
    <w:rsid w:val="00123466"/>
    <w:rsid w:val="0012689E"/>
    <w:rsid w:val="00136D2F"/>
    <w:rsid w:val="001378C2"/>
    <w:rsid w:val="001427DB"/>
    <w:rsid w:val="00144DE7"/>
    <w:rsid w:val="00145219"/>
    <w:rsid w:val="001457A8"/>
    <w:rsid w:val="001547AE"/>
    <w:rsid w:val="001715B8"/>
    <w:rsid w:val="0017317F"/>
    <w:rsid w:val="001757B4"/>
    <w:rsid w:val="0018270F"/>
    <w:rsid w:val="001829F2"/>
    <w:rsid w:val="00183FFE"/>
    <w:rsid w:val="00187202"/>
    <w:rsid w:val="001924D5"/>
    <w:rsid w:val="001925A6"/>
    <w:rsid w:val="001A08A6"/>
    <w:rsid w:val="001A712F"/>
    <w:rsid w:val="001B05FB"/>
    <w:rsid w:val="001B7B05"/>
    <w:rsid w:val="001B7BFB"/>
    <w:rsid w:val="001D0D9E"/>
    <w:rsid w:val="001D53E3"/>
    <w:rsid w:val="001E25C9"/>
    <w:rsid w:val="001F0682"/>
    <w:rsid w:val="001F4049"/>
    <w:rsid w:val="0020400E"/>
    <w:rsid w:val="00212E0D"/>
    <w:rsid w:val="00213EB6"/>
    <w:rsid w:val="002173F0"/>
    <w:rsid w:val="00217C76"/>
    <w:rsid w:val="00217EAB"/>
    <w:rsid w:val="0023483D"/>
    <w:rsid w:val="00235AB2"/>
    <w:rsid w:val="00243F9A"/>
    <w:rsid w:val="00244C34"/>
    <w:rsid w:val="0024652D"/>
    <w:rsid w:val="00255FBF"/>
    <w:rsid w:val="00256D58"/>
    <w:rsid w:val="002600A6"/>
    <w:rsid w:val="00260CF4"/>
    <w:rsid w:val="00280194"/>
    <w:rsid w:val="00285180"/>
    <w:rsid w:val="00290314"/>
    <w:rsid w:val="00290540"/>
    <w:rsid w:val="00291D89"/>
    <w:rsid w:val="00293EAB"/>
    <w:rsid w:val="00294CFB"/>
    <w:rsid w:val="0029509A"/>
    <w:rsid w:val="0029613A"/>
    <w:rsid w:val="00297113"/>
    <w:rsid w:val="002A27AB"/>
    <w:rsid w:val="002A713D"/>
    <w:rsid w:val="002B0686"/>
    <w:rsid w:val="002B06B7"/>
    <w:rsid w:val="002B2C6B"/>
    <w:rsid w:val="002C5DD0"/>
    <w:rsid w:val="002C763E"/>
    <w:rsid w:val="002D17A2"/>
    <w:rsid w:val="002D1B79"/>
    <w:rsid w:val="002D2A6B"/>
    <w:rsid w:val="002D44B1"/>
    <w:rsid w:val="002D72B7"/>
    <w:rsid w:val="002E410A"/>
    <w:rsid w:val="002E507A"/>
    <w:rsid w:val="002F53CC"/>
    <w:rsid w:val="00300409"/>
    <w:rsid w:val="0030269F"/>
    <w:rsid w:val="00302E18"/>
    <w:rsid w:val="00304053"/>
    <w:rsid w:val="00311FC3"/>
    <w:rsid w:val="00313EB4"/>
    <w:rsid w:val="003219AB"/>
    <w:rsid w:val="003221E5"/>
    <w:rsid w:val="003233DA"/>
    <w:rsid w:val="00323568"/>
    <w:rsid w:val="00323A21"/>
    <w:rsid w:val="00335BC4"/>
    <w:rsid w:val="0033659A"/>
    <w:rsid w:val="0034046C"/>
    <w:rsid w:val="00341596"/>
    <w:rsid w:val="00364404"/>
    <w:rsid w:val="00370410"/>
    <w:rsid w:val="00380E4B"/>
    <w:rsid w:val="00381C34"/>
    <w:rsid w:val="0038276E"/>
    <w:rsid w:val="00385622"/>
    <w:rsid w:val="003879E7"/>
    <w:rsid w:val="00392014"/>
    <w:rsid w:val="00392D6F"/>
    <w:rsid w:val="00394E6B"/>
    <w:rsid w:val="00396273"/>
    <w:rsid w:val="003A0B66"/>
    <w:rsid w:val="003A4375"/>
    <w:rsid w:val="003A644B"/>
    <w:rsid w:val="003A64CF"/>
    <w:rsid w:val="003A6BAE"/>
    <w:rsid w:val="003B29ED"/>
    <w:rsid w:val="003C19EE"/>
    <w:rsid w:val="003D7460"/>
    <w:rsid w:val="003E0E5B"/>
    <w:rsid w:val="003E6B23"/>
    <w:rsid w:val="003F16A8"/>
    <w:rsid w:val="003F2A9A"/>
    <w:rsid w:val="003F5350"/>
    <w:rsid w:val="003F7EF5"/>
    <w:rsid w:val="00402B12"/>
    <w:rsid w:val="004059EC"/>
    <w:rsid w:val="00411DA4"/>
    <w:rsid w:val="0042752B"/>
    <w:rsid w:val="004327A5"/>
    <w:rsid w:val="00434CCA"/>
    <w:rsid w:val="004635D9"/>
    <w:rsid w:val="0046566C"/>
    <w:rsid w:val="004661FA"/>
    <w:rsid w:val="00473A0E"/>
    <w:rsid w:val="00474404"/>
    <w:rsid w:val="00476F67"/>
    <w:rsid w:val="00480CAE"/>
    <w:rsid w:val="0048416B"/>
    <w:rsid w:val="00485976"/>
    <w:rsid w:val="004933EF"/>
    <w:rsid w:val="00493981"/>
    <w:rsid w:val="004A08C9"/>
    <w:rsid w:val="004A5F51"/>
    <w:rsid w:val="004C5DDF"/>
    <w:rsid w:val="004D134E"/>
    <w:rsid w:val="004D1BA2"/>
    <w:rsid w:val="004D21B9"/>
    <w:rsid w:val="004D3A79"/>
    <w:rsid w:val="004D3B10"/>
    <w:rsid w:val="004D44DB"/>
    <w:rsid w:val="004D62A6"/>
    <w:rsid w:val="004D694F"/>
    <w:rsid w:val="004E1460"/>
    <w:rsid w:val="004E416B"/>
    <w:rsid w:val="004F177D"/>
    <w:rsid w:val="004F7A0E"/>
    <w:rsid w:val="00505C5A"/>
    <w:rsid w:val="005166AB"/>
    <w:rsid w:val="00523A01"/>
    <w:rsid w:val="005261CE"/>
    <w:rsid w:val="00541B01"/>
    <w:rsid w:val="00541E38"/>
    <w:rsid w:val="00542C98"/>
    <w:rsid w:val="00543383"/>
    <w:rsid w:val="00544913"/>
    <w:rsid w:val="005474CD"/>
    <w:rsid w:val="005513B3"/>
    <w:rsid w:val="0055472F"/>
    <w:rsid w:val="00557537"/>
    <w:rsid w:val="00562B8E"/>
    <w:rsid w:val="00572545"/>
    <w:rsid w:val="00583521"/>
    <w:rsid w:val="00584DA2"/>
    <w:rsid w:val="00586D66"/>
    <w:rsid w:val="00587296"/>
    <w:rsid w:val="0059468A"/>
    <w:rsid w:val="00595E3D"/>
    <w:rsid w:val="005A2450"/>
    <w:rsid w:val="005B15AB"/>
    <w:rsid w:val="005C4955"/>
    <w:rsid w:val="005C7C05"/>
    <w:rsid w:val="005D062E"/>
    <w:rsid w:val="005D5BAC"/>
    <w:rsid w:val="005E3D00"/>
    <w:rsid w:val="005F06CF"/>
    <w:rsid w:val="005F0821"/>
    <w:rsid w:val="005F36F0"/>
    <w:rsid w:val="005F67B2"/>
    <w:rsid w:val="005F6C55"/>
    <w:rsid w:val="006025B3"/>
    <w:rsid w:val="00607919"/>
    <w:rsid w:val="006138F0"/>
    <w:rsid w:val="00626569"/>
    <w:rsid w:val="00630B9F"/>
    <w:rsid w:val="006433F1"/>
    <w:rsid w:val="00655EE3"/>
    <w:rsid w:val="00660A30"/>
    <w:rsid w:val="006614AE"/>
    <w:rsid w:val="00662233"/>
    <w:rsid w:val="006659F8"/>
    <w:rsid w:val="00671BA9"/>
    <w:rsid w:val="00672FF5"/>
    <w:rsid w:val="0067679C"/>
    <w:rsid w:val="0068076E"/>
    <w:rsid w:val="00682A81"/>
    <w:rsid w:val="00684C12"/>
    <w:rsid w:val="0068529A"/>
    <w:rsid w:val="00691B5F"/>
    <w:rsid w:val="00693B10"/>
    <w:rsid w:val="006A1057"/>
    <w:rsid w:val="006B39FD"/>
    <w:rsid w:val="006B3D5B"/>
    <w:rsid w:val="006B52A8"/>
    <w:rsid w:val="006C4C25"/>
    <w:rsid w:val="006C7507"/>
    <w:rsid w:val="006D0468"/>
    <w:rsid w:val="006F007E"/>
    <w:rsid w:val="006F1385"/>
    <w:rsid w:val="00702F24"/>
    <w:rsid w:val="00704E84"/>
    <w:rsid w:val="0071091F"/>
    <w:rsid w:val="00717F33"/>
    <w:rsid w:val="00725C9C"/>
    <w:rsid w:val="00733503"/>
    <w:rsid w:val="00734EEC"/>
    <w:rsid w:val="00735602"/>
    <w:rsid w:val="00740FC1"/>
    <w:rsid w:val="00742EF4"/>
    <w:rsid w:val="0074648F"/>
    <w:rsid w:val="00746B21"/>
    <w:rsid w:val="00747BC2"/>
    <w:rsid w:val="00750836"/>
    <w:rsid w:val="00765851"/>
    <w:rsid w:val="00767848"/>
    <w:rsid w:val="00772EC5"/>
    <w:rsid w:val="00790FB3"/>
    <w:rsid w:val="00791442"/>
    <w:rsid w:val="007968ED"/>
    <w:rsid w:val="007977F8"/>
    <w:rsid w:val="007A268A"/>
    <w:rsid w:val="007A4386"/>
    <w:rsid w:val="007A6D61"/>
    <w:rsid w:val="007A7D50"/>
    <w:rsid w:val="007B03C9"/>
    <w:rsid w:val="007B30B3"/>
    <w:rsid w:val="007B5A1E"/>
    <w:rsid w:val="007B5EEE"/>
    <w:rsid w:val="007C0DB5"/>
    <w:rsid w:val="007C3EE7"/>
    <w:rsid w:val="007C7B1F"/>
    <w:rsid w:val="007D0838"/>
    <w:rsid w:val="007D6A20"/>
    <w:rsid w:val="007D73D0"/>
    <w:rsid w:val="007E3D9D"/>
    <w:rsid w:val="007E7CD5"/>
    <w:rsid w:val="007F1B82"/>
    <w:rsid w:val="007F7E2B"/>
    <w:rsid w:val="0080192A"/>
    <w:rsid w:val="00801EE7"/>
    <w:rsid w:val="00801FDB"/>
    <w:rsid w:val="008049C3"/>
    <w:rsid w:val="00807C1E"/>
    <w:rsid w:val="008107FD"/>
    <w:rsid w:val="00811261"/>
    <w:rsid w:val="008120BC"/>
    <w:rsid w:val="00812546"/>
    <w:rsid w:val="0081388F"/>
    <w:rsid w:val="00820463"/>
    <w:rsid w:val="008230F0"/>
    <w:rsid w:val="00823E93"/>
    <w:rsid w:val="008243A3"/>
    <w:rsid w:val="00831601"/>
    <w:rsid w:val="00832E67"/>
    <w:rsid w:val="0083341F"/>
    <w:rsid w:val="00836564"/>
    <w:rsid w:val="00837B50"/>
    <w:rsid w:val="00837FA3"/>
    <w:rsid w:val="008407A9"/>
    <w:rsid w:val="008576E0"/>
    <w:rsid w:val="00862CBE"/>
    <w:rsid w:val="00863036"/>
    <w:rsid w:val="0087146D"/>
    <w:rsid w:val="008714C2"/>
    <w:rsid w:val="00876914"/>
    <w:rsid w:val="00881585"/>
    <w:rsid w:val="00885766"/>
    <w:rsid w:val="0089384C"/>
    <w:rsid w:val="008944B8"/>
    <w:rsid w:val="008952E2"/>
    <w:rsid w:val="00895E25"/>
    <w:rsid w:val="008A1A6B"/>
    <w:rsid w:val="008A49D8"/>
    <w:rsid w:val="008A6244"/>
    <w:rsid w:val="008B042F"/>
    <w:rsid w:val="008B2B5E"/>
    <w:rsid w:val="008B5188"/>
    <w:rsid w:val="008C675D"/>
    <w:rsid w:val="008D586B"/>
    <w:rsid w:val="008D6510"/>
    <w:rsid w:val="008E2A10"/>
    <w:rsid w:val="008E3386"/>
    <w:rsid w:val="008E4B24"/>
    <w:rsid w:val="008E6A90"/>
    <w:rsid w:val="008F115F"/>
    <w:rsid w:val="008F4A6C"/>
    <w:rsid w:val="008F5038"/>
    <w:rsid w:val="008F6E1C"/>
    <w:rsid w:val="008F7F62"/>
    <w:rsid w:val="00900685"/>
    <w:rsid w:val="00902A9B"/>
    <w:rsid w:val="00906376"/>
    <w:rsid w:val="00912A59"/>
    <w:rsid w:val="00913441"/>
    <w:rsid w:val="009139BA"/>
    <w:rsid w:val="009265D0"/>
    <w:rsid w:val="00927934"/>
    <w:rsid w:val="00930EED"/>
    <w:rsid w:val="00931D5A"/>
    <w:rsid w:val="00932FBE"/>
    <w:rsid w:val="00933A71"/>
    <w:rsid w:val="009442DB"/>
    <w:rsid w:val="009548D5"/>
    <w:rsid w:val="00957E9D"/>
    <w:rsid w:val="009639DB"/>
    <w:rsid w:val="00965126"/>
    <w:rsid w:val="009773EB"/>
    <w:rsid w:val="00983A4E"/>
    <w:rsid w:val="00991BF7"/>
    <w:rsid w:val="00995797"/>
    <w:rsid w:val="009A1E78"/>
    <w:rsid w:val="009A21B3"/>
    <w:rsid w:val="009A35FB"/>
    <w:rsid w:val="009A4536"/>
    <w:rsid w:val="009A77F1"/>
    <w:rsid w:val="009B31BE"/>
    <w:rsid w:val="009B344A"/>
    <w:rsid w:val="009B36CD"/>
    <w:rsid w:val="009C5637"/>
    <w:rsid w:val="009D26A6"/>
    <w:rsid w:val="009D483D"/>
    <w:rsid w:val="009D4C52"/>
    <w:rsid w:val="009E016F"/>
    <w:rsid w:val="009E5EA9"/>
    <w:rsid w:val="009F167D"/>
    <w:rsid w:val="00A00117"/>
    <w:rsid w:val="00A027F2"/>
    <w:rsid w:val="00A061DB"/>
    <w:rsid w:val="00A2168B"/>
    <w:rsid w:val="00A22A40"/>
    <w:rsid w:val="00A24B42"/>
    <w:rsid w:val="00A266B7"/>
    <w:rsid w:val="00A270BC"/>
    <w:rsid w:val="00A32DC0"/>
    <w:rsid w:val="00A37BC0"/>
    <w:rsid w:val="00A37E0D"/>
    <w:rsid w:val="00A44109"/>
    <w:rsid w:val="00A50A38"/>
    <w:rsid w:val="00A53DF3"/>
    <w:rsid w:val="00A552F6"/>
    <w:rsid w:val="00A56439"/>
    <w:rsid w:val="00A61835"/>
    <w:rsid w:val="00A65FBE"/>
    <w:rsid w:val="00A708DB"/>
    <w:rsid w:val="00A76748"/>
    <w:rsid w:val="00A81285"/>
    <w:rsid w:val="00A81995"/>
    <w:rsid w:val="00A836A5"/>
    <w:rsid w:val="00A9292E"/>
    <w:rsid w:val="00AA1BE8"/>
    <w:rsid w:val="00AA1DB0"/>
    <w:rsid w:val="00AA67FE"/>
    <w:rsid w:val="00AB1C38"/>
    <w:rsid w:val="00AB36C5"/>
    <w:rsid w:val="00AB5711"/>
    <w:rsid w:val="00AC6B6D"/>
    <w:rsid w:val="00AD09D7"/>
    <w:rsid w:val="00AD0AF5"/>
    <w:rsid w:val="00AD1504"/>
    <w:rsid w:val="00AD19AE"/>
    <w:rsid w:val="00AD7E32"/>
    <w:rsid w:val="00AE1167"/>
    <w:rsid w:val="00AE423F"/>
    <w:rsid w:val="00AE7B5C"/>
    <w:rsid w:val="00B02704"/>
    <w:rsid w:val="00B14940"/>
    <w:rsid w:val="00B162CD"/>
    <w:rsid w:val="00B23006"/>
    <w:rsid w:val="00B334E5"/>
    <w:rsid w:val="00B335B7"/>
    <w:rsid w:val="00B410FC"/>
    <w:rsid w:val="00B502E7"/>
    <w:rsid w:val="00B54A00"/>
    <w:rsid w:val="00B65FA0"/>
    <w:rsid w:val="00B66FA6"/>
    <w:rsid w:val="00B67411"/>
    <w:rsid w:val="00B84254"/>
    <w:rsid w:val="00B84D09"/>
    <w:rsid w:val="00B85F3F"/>
    <w:rsid w:val="00B940B8"/>
    <w:rsid w:val="00B96FC8"/>
    <w:rsid w:val="00B9724F"/>
    <w:rsid w:val="00BA028C"/>
    <w:rsid w:val="00BA1EF2"/>
    <w:rsid w:val="00BB337C"/>
    <w:rsid w:val="00BB716D"/>
    <w:rsid w:val="00BC479A"/>
    <w:rsid w:val="00BC6950"/>
    <w:rsid w:val="00BD4CC1"/>
    <w:rsid w:val="00BD55C3"/>
    <w:rsid w:val="00BD6A6B"/>
    <w:rsid w:val="00BF13F4"/>
    <w:rsid w:val="00BF49EE"/>
    <w:rsid w:val="00C01A11"/>
    <w:rsid w:val="00C025E6"/>
    <w:rsid w:val="00C033A6"/>
    <w:rsid w:val="00C057C6"/>
    <w:rsid w:val="00C16610"/>
    <w:rsid w:val="00C17157"/>
    <w:rsid w:val="00C214BD"/>
    <w:rsid w:val="00C2382F"/>
    <w:rsid w:val="00C25905"/>
    <w:rsid w:val="00C2784B"/>
    <w:rsid w:val="00C42309"/>
    <w:rsid w:val="00C46399"/>
    <w:rsid w:val="00C4667F"/>
    <w:rsid w:val="00C50DAF"/>
    <w:rsid w:val="00C51BBA"/>
    <w:rsid w:val="00C541E1"/>
    <w:rsid w:val="00C54BC7"/>
    <w:rsid w:val="00C60B5F"/>
    <w:rsid w:val="00C64F38"/>
    <w:rsid w:val="00C67C5C"/>
    <w:rsid w:val="00C72259"/>
    <w:rsid w:val="00C727EB"/>
    <w:rsid w:val="00C84752"/>
    <w:rsid w:val="00C84DD5"/>
    <w:rsid w:val="00C9339B"/>
    <w:rsid w:val="00C96E37"/>
    <w:rsid w:val="00CA2C50"/>
    <w:rsid w:val="00CB14B0"/>
    <w:rsid w:val="00CC1DE2"/>
    <w:rsid w:val="00CC2BD3"/>
    <w:rsid w:val="00CC45D8"/>
    <w:rsid w:val="00CD4C88"/>
    <w:rsid w:val="00CD730F"/>
    <w:rsid w:val="00CE4C6E"/>
    <w:rsid w:val="00CF4112"/>
    <w:rsid w:val="00D06711"/>
    <w:rsid w:val="00D15A02"/>
    <w:rsid w:val="00D17B68"/>
    <w:rsid w:val="00D3255A"/>
    <w:rsid w:val="00D368D9"/>
    <w:rsid w:val="00D41386"/>
    <w:rsid w:val="00D46BD8"/>
    <w:rsid w:val="00D572FB"/>
    <w:rsid w:val="00D57957"/>
    <w:rsid w:val="00D62C71"/>
    <w:rsid w:val="00D62E54"/>
    <w:rsid w:val="00D72880"/>
    <w:rsid w:val="00D72993"/>
    <w:rsid w:val="00D74B08"/>
    <w:rsid w:val="00D8007F"/>
    <w:rsid w:val="00D80998"/>
    <w:rsid w:val="00D80E30"/>
    <w:rsid w:val="00D843AF"/>
    <w:rsid w:val="00D84A46"/>
    <w:rsid w:val="00D90892"/>
    <w:rsid w:val="00D911FC"/>
    <w:rsid w:val="00D97584"/>
    <w:rsid w:val="00D97C30"/>
    <w:rsid w:val="00DB45DF"/>
    <w:rsid w:val="00DB7C4A"/>
    <w:rsid w:val="00DC1413"/>
    <w:rsid w:val="00DC64EB"/>
    <w:rsid w:val="00DD469E"/>
    <w:rsid w:val="00DD7051"/>
    <w:rsid w:val="00DE15BA"/>
    <w:rsid w:val="00DF1D6C"/>
    <w:rsid w:val="00DF3B3A"/>
    <w:rsid w:val="00DF46EE"/>
    <w:rsid w:val="00DF5935"/>
    <w:rsid w:val="00DF667D"/>
    <w:rsid w:val="00DF78F7"/>
    <w:rsid w:val="00E029F8"/>
    <w:rsid w:val="00E03F7A"/>
    <w:rsid w:val="00E05075"/>
    <w:rsid w:val="00E1256E"/>
    <w:rsid w:val="00E144D7"/>
    <w:rsid w:val="00E16EA8"/>
    <w:rsid w:val="00E21A99"/>
    <w:rsid w:val="00E21D95"/>
    <w:rsid w:val="00E246A9"/>
    <w:rsid w:val="00E44970"/>
    <w:rsid w:val="00E4603C"/>
    <w:rsid w:val="00E52795"/>
    <w:rsid w:val="00E64D21"/>
    <w:rsid w:val="00E726FD"/>
    <w:rsid w:val="00E74DC8"/>
    <w:rsid w:val="00E81504"/>
    <w:rsid w:val="00E82374"/>
    <w:rsid w:val="00E84620"/>
    <w:rsid w:val="00E86876"/>
    <w:rsid w:val="00E8785C"/>
    <w:rsid w:val="00E87ED7"/>
    <w:rsid w:val="00EA02AC"/>
    <w:rsid w:val="00EA0B1B"/>
    <w:rsid w:val="00EA1D57"/>
    <w:rsid w:val="00EA5348"/>
    <w:rsid w:val="00EA5F04"/>
    <w:rsid w:val="00EB37E4"/>
    <w:rsid w:val="00EC0B75"/>
    <w:rsid w:val="00ED2B9E"/>
    <w:rsid w:val="00ED3CCC"/>
    <w:rsid w:val="00EE094A"/>
    <w:rsid w:val="00EE38BF"/>
    <w:rsid w:val="00EE6252"/>
    <w:rsid w:val="00EE7DE9"/>
    <w:rsid w:val="00EF001C"/>
    <w:rsid w:val="00EF2BBC"/>
    <w:rsid w:val="00EF34BA"/>
    <w:rsid w:val="00F031A9"/>
    <w:rsid w:val="00F06EF8"/>
    <w:rsid w:val="00F10940"/>
    <w:rsid w:val="00F15AC0"/>
    <w:rsid w:val="00F208DD"/>
    <w:rsid w:val="00F326B7"/>
    <w:rsid w:val="00F33819"/>
    <w:rsid w:val="00F35FD1"/>
    <w:rsid w:val="00F36FD6"/>
    <w:rsid w:val="00F42DAE"/>
    <w:rsid w:val="00F45205"/>
    <w:rsid w:val="00F473B4"/>
    <w:rsid w:val="00F62E48"/>
    <w:rsid w:val="00F634E5"/>
    <w:rsid w:val="00F63F30"/>
    <w:rsid w:val="00F64200"/>
    <w:rsid w:val="00F70EF2"/>
    <w:rsid w:val="00F745DA"/>
    <w:rsid w:val="00F81B53"/>
    <w:rsid w:val="00F85B1A"/>
    <w:rsid w:val="00F862A0"/>
    <w:rsid w:val="00F969E4"/>
    <w:rsid w:val="00FA0449"/>
    <w:rsid w:val="00FA59E2"/>
    <w:rsid w:val="00FA7086"/>
    <w:rsid w:val="00FB31EA"/>
    <w:rsid w:val="00FB40FB"/>
    <w:rsid w:val="00FB49DB"/>
    <w:rsid w:val="00FC26DD"/>
    <w:rsid w:val="00FD2DA2"/>
    <w:rsid w:val="00FD47A9"/>
    <w:rsid w:val="00FE01F7"/>
    <w:rsid w:val="00FE1861"/>
    <w:rsid w:val="00FE4C3D"/>
    <w:rsid w:val="00FF11B1"/>
    <w:rsid w:val="00FF168C"/>
    <w:rsid w:val="00FF1E93"/>
    <w:rsid w:val="00FF2907"/>
    <w:rsid w:val="00FF4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E8734"/>
  <w15:docId w15:val="{E9E5C4A5-4F56-4F69-8F29-734A43F5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FA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5FA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B65FA0"/>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B65FA0"/>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B65FA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5FA0"/>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65FA0"/>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B65FA0"/>
    <w:rPr>
      <w:rFonts w:ascii="Arial" w:eastAsia="Times New Roman" w:hAnsi="Arial" w:cs="Arial"/>
      <w:b/>
      <w:bCs/>
      <w:sz w:val="26"/>
      <w:szCs w:val="26"/>
    </w:rPr>
  </w:style>
  <w:style w:type="character" w:customStyle="1" w:styleId="Heading5Char">
    <w:name w:val="Heading 5 Char"/>
    <w:basedOn w:val="DefaultParagraphFont"/>
    <w:link w:val="Heading5"/>
    <w:uiPriority w:val="9"/>
    <w:rsid w:val="00B65FA0"/>
    <w:rPr>
      <w:rFonts w:ascii="Calibri" w:eastAsia="Times New Roman" w:hAnsi="Calibri" w:cs="Times New Roman"/>
      <w:b/>
      <w:bCs/>
      <w:i/>
      <w:iCs/>
      <w:sz w:val="26"/>
      <w:szCs w:val="26"/>
    </w:rPr>
  </w:style>
  <w:style w:type="paragraph" w:styleId="Caption">
    <w:name w:val="caption"/>
    <w:basedOn w:val="Normal"/>
    <w:next w:val="Normal"/>
    <w:qFormat/>
    <w:rsid w:val="00B65FA0"/>
    <w:pPr>
      <w:jc w:val="both"/>
    </w:pPr>
    <w:rPr>
      <w:b/>
      <w:bCs/>
    </w:rPr>
  </w:style>
  <w:style w:type="paragraph" w:styleId="BodyText">
    <w:name w:val="Body Text"/>
    <w:basedOn w:val="Normal"/>
    <w:link w:val="BodyTextChar"/>
    <w:semiHidden/>
    <w:rsid w:val="00B65FA0"/>
    <w:pPr>
      <w:spacing w:line="360" w:lineRule="auto"/>
      <w:jc w:val="both"/>
    </w:pPr>
    <w:rPr>
      <w:rFonts w:ascii="Estrangelo Edessa" w:hAnsi="Estrangelo Edessa"/>
      <w:b/>
      <w:bCs/>
      <w:sz w:val="20"/>
    </w:rPr>
  </w:style>
  <w:style w:type="character" w:customStyle="1" w:styleId="BodyTextChar">
    <w:name w:val="Body Text Char"/>
    <w:basedOn w:val="DefaultParagraphFont"/>
    <w:link w:val="BodyText"/>
    <w:semiHidden/>
    <w:rsid w:val="00B65FA0"/>
    <w:rPr>
      <w:rFonts w:ascii="Estrangelo Edessa" w:eastAsia="Times New Roman" w:hAnsi="Estrangelo Edessa" w:cs="Times New Roman"/>
      <w:b/>
      <w:bCs/>
      <w:sz w:val="20"/>
      <w:szCs w:val="24"/>
    </w:rPr>
  </w:style>
  <w:style w:type="paragraph" w:styleId="BodyText2">
    <w:name w:val="Body Text 2"/>
    <w:basedOn w:val="Normal"/>
    <w:link w:val="BodyText2Char"/>
    <w:semiHidden/>
    <w:rsid w:val="00B65FA0"/>
    <w:pPr>
      <w:spacing w:line="360" w:lineRule="auto"/>
      <w:jc w:val="both"/>
    </w:pPr>
  </w:style>
  <w:style w:type="character" w:customStyle="1" w:styleId="BodyText2Char">
    <w:name w:val="Body Text 2 Char"/>
    <w:basedOn w:val="DefaultParagraphFont"/>
    <w:link w:val="BodyText2"/>
    <w:semiHidden/>
    <w:rsid w:val="00B65FA0"/>
    <w:rPr>
      <w:rFonts w:ascii="Times New Roman" w:eastAsia="Times New Roman" w:hAnsi="Times New Roman" w:cs="Times New Roman"/>
      <w:sz w:val="24"/>
      <w:szCs w:val="24"/>
    </w:rPr>
  </w:style>
  <w:style w:type="paragraph" w:styleId="ListParagraph">
    <w:name w:val="List Paragraph"/>
    <w:basedOn w:val="Normal"/>
    <w:uiPriority w:val="34"/>
    <w:qFormat/>
    <w:rsid w:val="00B65FA0"/>
    <w:pPr>
      <w:spacing w:after="200" w:line="276" w:lineRule="auto"/>
      <w:ind w:left="720"/>
      <w:contextualSpacing/>
    </w:pPr>
    <w:rPr>
      <w:rFonts w:ascii="Calibri" w:hAnsi="Calibri"/>
      <w:sz w:val="22"/>
      <w:szCs w:val="22"/>
      <w:lang w:val="en-IN" w:eastAsia="en-IN"/>
    </w:rPr>
  </w:style>
  <w:style w:type="character" w:styleId="Strong">
    <w:name w:val="Strong"/>
    <w:uiPriority w:val="22"/>
    <w:qFormat/>
    <w:rsid w:val="00B65FA0"/>
    <w:rPr>
      <w:b/>
      <w:bCs/>
    </w:rPr>
  </w:style>
  <w:style w:type="character" w:styleId="Emphasis">
    <w:name w:val="Emphasis"/>
    <w:uiPriority w:val="20"/>
    <w:qFormat/>
    <w:rsid w:val="00B65FA0"/>
    <w:rPr>
      <w:i/>
      <w:iCs/>
    </w:rPr>
  </w:style>
  <w:style w:type="paragraph" w:styleId="BalloonText">
    <w:name w:val="Balloon Text"/>
    <w:basedOn w:val="Normal"/>
    <w:link w:val="BalloonTextChar"/>
    <w:uiPriority w:val="99"/>
    <w:semiHidden/>
    <w:unhideWhenUsed/>
    <w:rsid w:val="00B65FA0"/>
    <w:rPr>
      <w:rFonts w:ascii="Segoe UI" w:hAnsi="Segoe UI"/>
      <w:sz w:val="18"/>
      <w:szCs w:val="18"/>
    </w:rPr>
  </w:style>
  <w:style w:type="character" w:customStyle="1" w:styleId="BalloonTextChar">
    <w:name w:val="Balloon Text Char"/>
    <w:basedOn w:val="DefaultParagraphFont"/>
    <w:link w:val="BalloonText"/>
    <w:uiPriority w:val="99"/>
    <w:semiHidden/>
    <w:rsid w:val="00B65FA0"/>
    <w:rPr>
      <w:rFonts w:ascii="Segoe UI" w:eastAsia="Times New Roman" w:hAnsi="Segoe UI" w:cs="Times New Roman"/>
      <w:sz w:val="18"/>
      <w:szCs w:val="18"/>
    </w:rPr>
  </w:style>
  <w:style w:type="paragraph" w:styleId="Header">
    <w:name w:val="header"/>
    <w:basedOn w:val="Normal"/>
    <w:link w:val="HeaderChar"/>
    <w:uiPriority w:val="99"/>
    <w:unhideWhenUsed/>
    <w:rsid w:val="00B65FA0"/>
    <w:pPr>
      <w:tabs>
        <w:tab w:val="center" w:pos="4680"/>
        <w:tab w:val="right" w:pos="9360"/>
      </w:tabs>
    </w:pPr>
  </w:style>
  <w:style w:type="character" w:customStyle="1" w:styleId="HeaderChar">
    <w:name w:val="Header Char"/>
    <w:basedOn w:val="DefaultParagraphFont"/>
    <w:link w:val="Header"/>
    <w:uiPriority w:val="99"/>
    <w:rsid w:val="00B65FA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65FA0"/>
    <w:pPr>
      <w:tabs>
        <w:tab w:val="center" w:pos="4680"/>
        <w:tab w:val="right" w:pos="9360"/>
      </w:tabs>
    </w:pPr>
  </w:style>
  <w:style w:type="character" w:customStyle="1" w:styleId="FooterChar">
    <w:name w:val="Footer Char"/>
    <w:basedOn w:val="DefaultParagraphFont"/>
    <w:link w:val="Footer"/>
    <w:uiPriority w:val="99"/>
    <w:rsid w:val="00B65FA0"/>
    <w:rPr>
      <w:rFonts w:ascii="Times New Roman" w:eastAsia="Times New Roman" w:hAnsi="Times New Roman" w:cs="Times New Roman"/>
      <w:sz w:val="24"/>
      <w:szCs w:val="24"/>
    </w:rPr>
  </w:style>
  <w:style w:type="character" w:styleId="Hyperlink">
    <w:name w:val="Hyperlink"/>
    <w:uiPriority w:val="99"/>
    <w:unhideWhenUsed/>
    <w:rsid w:val="00B65FA0"/>
    <w:rPr>
      <w:color w:val="0000FF"/>
      <w:u w:val="single"/>
    </w:rPr>
  </w:style>
  <w:style w:type="character" w:customStyle="1" w:styleId="hlfld-title">
    <w:name w:val="hlfld-title"/>
    <w:rsid w:val="00B65FA0"/>
  </w:style>
  <w:style w:type="paragraph" w:styleId="NormalWeb">
    <w:name w:val="Normal (Web)"/>
    <w:basedOn w:val="Normal"/>
    <w:uiPriority w:val="99"/>
    <w:unhideWhenUsed/>
    <w:rsid w:val="0023483D"/>
    <w:pPr>
      <w:spacing w:after="240" w:line="312" w:lineRule="atLeast"/>
    </w:pPr>
    <w:rPr>
      <w:sz w:val="29"/>
      <w:szCs w:val="29"/>
      <w:lang w:val="en-IN" w:eastAsia="en-IN"/>
    </w:rPr>
  </w:style>
  <w:style w:type="character" w:customStyle="1" w:styleId="apple-converted-space">
    <w:name w:val="apple-converted-space"/>
    <w:basedOn w:val="DefaultParagraphFont"/>
    <w:rsid w:val="0023483D"/>
  </w:style>
  <w:style w:type="character" w:customStyle="1" w:styleId="apple-tab-span">
    <w:name w:val="apple-tab-span"/>
    <w:basedOn w:val="DefaultParagraphFont"/>
    <w:rsid w:val="00EA0B1B"/>
  </w:style>
  <w:style w:type="paragraph" w:customStyle="1" w:styleId="Default">
    <w:name w:val="Default"/>
    <w:rsid w:val="008C675D"/>
    <w:pPr>
      <w:autoSpaceDE w:val="0"/>
      <w:autoSpaceDN w:val="0"/>
      <w:adjustRightInd w:val="0"/>
      <w:spacing w:after="0" w:line="240" w:lineRule="auto"/>
    </w:pPr>
    <w:rPr>
      <w:rFonts w:ascii="Charis SIL" w:hAnsi="Charis SIL" w:cs="Charis SI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10269">
      <w:bodyDiv w:val="1"/>
      <w:marLeft w:val="0"/>
      <w:marRight w:val="0"/>
      <w:marTop w:val="0"/>
      <w:marBottom w:val="0"/>
      <w:divBdr>
        <w:top w:val="none" w:sz="0" w:space="0" w:color="auto"/>
        <w:left w:val="none" w:sz="0" w:space="0" w:color="auto"/>
        <w:bottom w:val="none" w:sz="0" w:space="0" w:color="auto"/>
        <w:right w:val="none" w:sz="0" w:space="0" w:color="auto"/>
      </w:divBdr>
    </w:div>
    <w:div w:id="1408766662">
      <w:bodyDiv w:val="1"/>
      <w:marLeft w:val="0"/>
      <w:marRight w:val="0"/>
      <w:marTop w:val="0"/>
      <w:marBottom w:val="0"/>
      <w:divBdr>
        <w:top w:val="none" w:sz="0" w:space="0" w:color="auto"/>
        <w:left w:val="none" w:sz="0" w:space="0" w:color="auto"/>
        <w:bottom w:val="none" w:sz="0" w:space="0" w:color="auto"/>
        <w:right w:val="none" w:sz="0" w:space="0" w:color="auto"/>
      </w:divBdr>
    </w:div>
    <w:div w:id="1432386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tyasharma@mlncollegeynr.ac.in"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oleObject" Target="embeddings/oleObject3.bin"/><Relationship Id="rId33" Type="http://schemas.openxmlformats.org/officeDocument/2006/relationships/oleObject" Target="embeddings/oleObject6.bin"/><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emf"/><Relationship Id="rId32" Type="http://schemas.openxmlformats.org/officeDocument/2006/relationships/image" Target="media/image19.e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2.bin"/><Relationship Id="rId28" Type="http://schemas.openxmlformats.org/officeDocument/2006/relationships/image" Target="media/image16.emf"/><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image" Target="media/image10.png"/><Relationship Id="rId31" Type="http://schemas.openxmlformats.org/officeDocument/2006/relationships/image" Target="media/image18.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5.png"/><Relationship Id="rId22" Type="http://schemas.openxmlformats.org/officeDocument/2006/relationships/image" Target="media/image13.emf"/><Relationship Id="rId27" Type="http://schemas.openxmlformats.org/officeDocument/2006/relationships/oleObject" Target="embeddings/oleObject4.bin"/><Relationship Id="rId30" Type="http://schemas.openxmlformats.org/officeDocument/2006/relationships/image" Target="media/image17.png"/><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F72EF-2165-4040-B9CC-84160F297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2761</TotalTime>
  <Pages>8</Pages>
  <Words>2111</Words>
  <Characters>12035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Kaushik</cp:lastModifiedBy>
  <cp:revision>176</cp:revision>
  <dcterms:created xsi:type="dcterms:W3CDTF">2020-01-28T09:11:00Z</dcterms:created>
  <dcterms:modified xsi:type="dcterms:W3CDTF">2023-09-15T16:47:00Z</dcterms:modified>
</cp:coreProperties>
</file>