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905" w:rsidRPr="00AC1905" w:rsidRDefault="00AC1905" w:rsidP="00AC1905">
      <w:pPr>
        <w:pStyle w:val="Default"/>
        <w:spacing w:line="276" w:lineRule="auto"/>
        <w:jc w:val="center"/>
        <w:rPr>
          <w:rFonts w:ascii="Times New Roman" w:hAnsi="Times New Roman"/>
          <w:b/>
          <w:bCs/>
          <w:caps/>
          <w:color w:val="auto"/>
          <w:sz w:val="48"/>
          <w:szCs w:val="48"/>
        </w:rPr>
      </w:pPr>
      <w:r w:rsidRPr="00AC1905">
        <w:rPr>
          <w:rFonts w:ascii="Times New Roman" w:hAnsi="Times New Roman"/>
          <w:b/>
          <w:bCs/>
          <w:caps/>
          <w:color w:val="auto"/>
          <w:sz w:val="48"/>
          <w:szCs w:val="48"/>
        </w:rPr>
        <w:t>FORMULATION AND EVALUTION OF FAST DISSOLVING BUCCAL PATCHES OF ACYCLOVIR</w:t>
      </w:r>
    </w:p>
    <w:p w:rsidR="00AC1905" w:rsidRDefault="00647984" w:rsidP="00647984">
      <w:pPr>
        <w:pStyle w:val="Default"/>
        <w:spacing w:line="276" w:lineRule="auto"/>
        <w:ind w:left="720"/>
        <w:jc w:val="center"/>
        <w:rPr>
          <w:rFonts w:ascii="Times New Roman" w:hAnsi="Times New Roman"/>
          <w:bCs/>
          <w:color w:val="auto"/>
          <w:sz w:val="20"/>
        </w:rPr>
      </w:pPr>
      <w:r>
        <w:rPr>
          <w:rFonts w:ascii="Times New Roman" w:hAnsi="Times New Roman"/>
          <w:bCs/>
          <w:color w:val="auto"/>
          <w:sz w:val="20"/>
        </w:rPr>
        <w:t>A.</w:t>
      </w:r>
      <w:r w:rsidR="00AC1905" w:rsidRPr="00AC1905">
        <w:rPr>
          <w:rFonts w:ascii="Times New Roman" w:hAnsi="Times New Roman"/>
          <w:bCs/>
          <w:color w:val="auto"/>
          <w:sz w:val="20"/>
        </w:rPr>
        <w:t>Akhila</w:t>
      </w:r>
      <w:r w:rsidR="00AC1905" w:rsidRPr="00AC1905">
        <w:rPr>
          <w:rFonts w:ascii="Times New Roman" w:hAnsi="Times New Roman"/>
          <w:bCs/>
          <w:color w:val="auto"/>
          <w:sz w:val="20"/>
          <w:vertAlign w:val="superscript"/>
        </w:rPr>
        <w:t>1</w:t>
      </w:r>
      <w:r w:rsidR="00AC1905" w:rsidRPr="00AC1905">
        <w:rPr>
          <w:rFonts w:ascii="Times New Roman" w:hAnsi="Times New Roman"/>
          <w:bCs/>
          <w:color w:val="auto"/>
          <w:sz w:val="20"/>
        </w:rPr>
        <w:t>, K. Sampath Kumar</w:t>
      </w:r>
      <w:r w:rsidR="00AC1905">
        <w:rPr>
          <w:rFonts w:ascii="Times New Roman" w:hAnsi="Times New Roman"/>
          <w:bCs/>
          <w:color w:val="auto"/>
          <w:sz w:val="20"/>
          <w:vertAlign w:val="superscript"/>
        </w:rPr>
        <w:t>1*</w:t>
      </w:r>
      <w:r w:rsidR="00AC1905" w:rsidRPr="00AC1905">
        <w:rPr>
          <w:rFonts w:ascii="Times New Roman" w:hAnsi="Times New Roman"/>
          <w:bCs/>
          <w:color w:val="auto"/>
          <w:sz w:val="20"/>
        </w:rPr>
        <w:t>, D. Maheswara Reddy</w:t>
      </w:r>
      <w:r w:rsidR="00AC1905">
        <w:rPr>
          <w:rFonts w:ascii="Times New Roman" w:hAnsi="Times New Roman"/>
          <w:bCs/>
          <w:color w:val="auto"/>
          <w:sz w:val="20"/>
          <w:vertAlign w:val="superscript"/>
        </w:rPr>
        <w:t>1</w:t>
      </w:r>
      <w:r w:rsidR="00AC1905">
        <w:rPr>
          <w:rFonts w:ascii="Times New Roman" w:hAnsi="Times New Roman"/>
          <w:bCs/>
          <w:color w:val="auto"/>
          <w:sz w:val="20"/>
        </w:rPr>
        <w:t>, Dr. K. Ravi Kumar</w:t>
      </w:r>
      <w:r w:rsidR="00AC1905">
        <w:rPr>
          <w:rFonts w:ascii="Times New Roman" w:hAnsi="Times New Roman"/>
          <w:bCs/>
          <w:color w:val="auto"/>
          <w:sz w:val="20"/>
          <w:vertAlign w:val="superscript"/>
        </w:rPr>
        <w:t>1</w:t>
      </w:r>
    </w:p>
    <w:p w:rsidR="00AC1905" w:rsidRDefault="00AC1905" w:rsidP="00AC1905">
      <w:pPr>
        <w:pStyle w:val="Default"/>
        <w:spacing w:line="276" w:lineRule="auto"/>
        <w:ind w:left="720"/>
        <w:jc w:val="center"/>
        <w:rPr>
          <w:rFonts w:ascii="Times New Roman" w:hAnsi="Times New Roman"/>
          <w:bCs/>
          <w:color w:val="auto"/>
          <w:sz w:val="20"/>
        </w:rPr>
      </w:pPr>
      <w:r>
        <w:rPr>
          <w:rFonts w:ascii="Times New Roman" w:hAnsi="Times New Roman"/>
          <w:bCs/>
          <w:color w:val="auto"/>
          <w:sz w:val="20"/>
        </w:rPr>
        <w:t>Department of Industrial Pharmacy</w:t>
      </w:r>
    </w:p>
    <w:p w:rsidR="00AC1905" w:rsidRDefault="00AC1905" w:rsidP="00AC1905">
      <w:pPr>
        <w:pStyle w:val="Default"/>
        <w:spacing w:line="276" w:lineRule="auto"/>
        <w:ind w:left="720"/>
        <w:jc w:val="center"/>
        <w:rPr>
          <w:rFonts w:ascii="Times New Roman" w:hAnsi="Times New Roman"/>
          <w:bCs/>
          <w:color w:val="auto"/>
          <w:sz w:val="20"/>
        </w:rPr>
      </w:pPr>
      <w:r>
        <w:rPr>
          <w:rFonts w:ascii="Times New Roman" w:hAnsi="Times New Roman"/>
          <w:bCs/>
          <w:color w:val="auto"/>
          <w:sz w:val="20"/>
        </w:rPr>
        <w:t>Santhiram College of Pharmacy</w:t>
      </w:r>
    </w:p>
    <w:p w:rsidR="00AC1905" w:rsidRDefault="00AC1905" w:rsidP="00AC1905">
      <w:pPr>
        <w:pStyle w:val="Default"/>
        <w:spacing w:line="276" w:lineRule="auto"/>
        <w:ind w:left="720"/>
        <w:jc w:val="center"/>
        <w:rPr>
          <w:rFonts w:ascii="Times New Roman" w:hAnsi="Times New Roman"/>
          <w:bCs/>
          <w:color w:val="auto"/>
          <w:sz w:val="20"/>
        </w:rPr>
      </w:pPr>
      <w:r>
        <w:rPr>
          <w:rFonts w:ascii="Times New Roman" w:hAnsi="Times New Roman"/>
          <w:bCs/>
          <w:color w:val="auto"/>
          <w:sz w:val="20"/>
        </w:rPr>
        <w:t>NH-40, Nandyal, Andhrapradesh , India</w:t>
      </w:r>
    </w:p>
    <w:p w:rsidR="00AC1905" w:rsidRDefault="00AC1905" w:rsidP="00AC1905">
      <w:pPr>
        <w:pStyle w:val="Default"/>
        <w:spacing w:line="276" w:lineRule="auto"/>
        <w:ind w:left="720"/>
        <w:jc w:val="center"/>
        <w:rPr>
          <w:rFonts w:ascii="Times New Roman" w:hAnsi="Times New Roman"/>
          <w:bCs/>
          <w:color w:val="auto"/>
          <w:sz w:val="20"/>
        </w:rPr>
      </w:pPr>
      <w:r>
        <w:rPr>
          <w:rFonts w:ascii="Times New Roman" w:hAnsi="Times New Roman"/>
          <w:bCs/>
          <w:color w:val="auto"/>
          <w:sz w:val="20"/>
        </w:rPr>
        <w:t>Corresponding author: sampathkatakam@gmail.com</w:t>
      </w:r>
    </w:p>
    <w:p w:rsidR="00AC1905" w:rsidRPr="00FD63C6" w:rsidRDefault="00FD63C6" w:rsidP="00FD63C6">
      <w:pPr>
        <w:pStyle w:val="Default"/>
        <w:jc w:val="center"/>
        <w:rPr>
          <w:rFonts w:ascii="Times New Roman" w:hAnsi="Times New Roman"/>
          <w:b/>
          <w:bCs/>
          <w:color w:val="auto"/>
          <w:sz w:val="20"/>
        </w:rPr>
      </w:pPr>
      <w:r>
        <w:rPr>
          <w:rFonts w:ascii="Times New Roman" w:hAnsi="Times New Roman"/>
          <w:b/>
          <w:bCs/>
          <w:color w:val="auto"/>
          <w:sz w:val="20"/>
        </w:rPr>
        <w:t>ABSTRACT</w:t>
      </w:r>
    </w:p>
    <w:p w:rsidR="00AC1905" w:rsidRPr="00AC1905" w:rsidRDefault="00AC1905" w:rsidP="00FD63C6">
      <w:pPr>
        <w:spacing w:after="0" w:line="240" w:lineRule="auto"/>
        <w:jc w:val="both"/>
        <w:rPr>
          <w:rFonts w:ascii="Times New Roman" w:hAnsi="Times New Roman" w:cs="Times New Roman"/>
          <w:sz w:val="20"/>
          <w:szCs w:val="20"/>
        </w:rPr>
      </w:pPr>
      <w:r w:rsidRPr="00AC1905">
        <w:rPr>
          <w:rFonts w:ascii="Times New Roman" w:hAnsi="Times New Roman" w:cs="Times New Roman"/>
          <w:sz w:val="20"/>
          <w:szCs w:val="20"/>
        </w:rPr>
        <w:t>Acyclovir is a anti-retroviral agent. It is used in the treatment of HIV-1infection. The present work is designed to prepare and e</w:t>
      </w:r>
      <w:r>
        <w:rPr>
          <w:rFonts w:ascii="Times New Roman" w:hAnsi="Times New Roman" w:cs="Times New Roman"/>
          <w:sz w:val="20"/>
          <w:szCs w:val="20"/>
        </w:rPr>
        <w:t>valuate mucoadhesive buccal patches</w:t>
      </w:r>
      <w:r w:rsidRPr="00AC1905">
        <w:rPr>
          <w:rFonts w:ascii="Times New Roman" w:hAnsi="Times New Roman" w:cs="Times New Roman"/>
          <w:sz w:val="20"/>
          <w:szCs w:val="20"/>
        </w:rPr>
        <w:t xml:space="preserve"> of Acyclovir as a novel form of fast releasing dosage form. Buccal </w:t>
      </w:r>
      <w:r>
        <w:rPr>
          <w:rFonts w:ascii="Times New Roman" w:hAnsi="Times New Roman" w:cs="Times New Roman"/>
          <w:sz w:val="20"/>
          <w:szCs w:val="20"/>
        </w:rPr>
        <w:t>patches</w:t>
      </w:r>
      <w:r w:rsidRPr="00AC1905">
        <w:rPr>
          <w:rFonts w:ascii="Times New Roman" w:hAnsi="Times New Roman" w:cs="Times New Roman"/>
          <w:sz w:val="20"/>
          <w:szCs w:val="20"/>
        </w:rPr>
        <w:t xml:space="preserve"> of Acyclovir were prepared by solvent casting method. The prepared films were evaluated for the various evaluation parameters like thickness, surface pH, weight uniformity, content uniformity, folding endurance, swelling index, in vitro drug release study. </w:t>
      </w:r>
      <w:bookmarkStart w:id="0" w:name="_GoBack"/>
      <w:bookmarkEnd w:id="0"/>
      <w:r w:rsidRPr="00AC1905">
        <w:rPr>
          <w:rFonts w:ascii="Times New Roman" w:hAnsi="Times New Roman" w:cs="Times New Roman"/>
          <w:sz w:val="20"/>
          <w:szCs w:val="20"/>
        </w:rPr>
        <w:t>All the formulations exhibited good results for physico</w:t>
      </w:r>
      <w:r>
        <w:rPr>
          <w:rFonts w:ascii="Times New Roman" w:hAnsi="Times New Roman" w:cs="Times New Roman"/>
          <w:sz w:val="20"/>
          <w:szCs w:val="20"/>
        </w:rPr>
        <w:t>chemical characterizations. In In-</w:t>
      </w:r>
      <w:r w:rsidRPr="00AC1905">
        <w:rPr>
          <w:rFonts w:ascii="Times New Roman" w:hAnsi="Times New Roman" w:cs="Times New Roman"/>
          <w:sz w:val="20"/>
          <w:szCs w:val="20"/>
        </w:rPr>
        <w:t xml:space="preserve">vitro drug release study, the </w:t>
      </w:r>
      <w:r>
        <w:rPr>
          <w:rFonts w:ascii="Times New Roman" w:hAnsi="Times New Roman" w:cs="Times New Roman"/>
          <w:sz w:val="20"/>
          <w:szCs w:val="20"/>
        </w:rPr>
        <w:t>patches</w:t>
      </w:r>
      <w:r w:rsidRPr="00AC1905">
        <w:rPr>
          <w:rFonts w:ascii="Times New Roman" w:hAnsi="Times New Roman" w:cs="Times New Roman"/>
          <w:sz w:val="20"/>
          <w:szCs w:val="20"/>
        </w:rPr>
        <w:t xml:space="preserve"> exhibited fast release within 5 hours. The formulation F1 (containing HPMC and croscarmellose) showed no irritant effect on buccal mucosa. It was revealed that Superdisintegrants composition had significant influence on drug release. Thus, conclusion can be made that stable dosage form can be developed for Acyclovir for fast release by buccal patches.</w:t>
      </w:r>
    </w:p>
    <w:p w:rsidR="00AC1905" w:rsidRDefault="00AC1905" w:rsidP="00FD63C6">
      <w:pPr>
        <w:autoSpaceDE w:val="0"/>
        <w:autoSpaceDN w:val="0"/>
        <w:adjustRightInd w:val="0"/>
        <w:spacing w:after="0" w:line="240" w:lineRule="auto"/>
        <w:jc w:val="both"/>
        <w:rPr>
          <w:rFonts w:ascii="Times New Roman" w:hAnsi="Times New Roman" w:cs="Times New Roman"/>
          <w:sz w:val="20"/>
          <w:szCs w:val="20"/>
        </w:rPr>
      </w:pPr>
      <w:r w:rsidRPr="00FD63C6">
        <w:rPr>
          <w:rFonts w:ascii="Times New Roman" w:hAnsi="Times New Roman" w:cs="Times New Roman"/>
          <w:b/>
          <w:sz w:val="20"/>
          <w:szCs w:val="20"/>
        </w:rPr>
        <w:t>Keywords:</w:t>
      </w:r>
      <w:r w:rsidRPr="00AC1905">
        <w:rPr>
          <w:rFonts w:ascii="Times New Roman" w:hAnsi="Times New Roman" w:cs="Times New Roman"/>
          <w:sz w:val="20"/>
          <w:szCs w:val="20"/>
        </w:rPr>
        <w:t xml:space="preserve"> Fast dissolving Buccal </w:t>
      </w:r>
      <w:r w:rsidR="00FD63C6">
        <w:rPr>
          <w:rFonts w:ascii="Times New Roman" w:hAnsi="Times New Roman" w:cs="Times New Roman"/>
          <w:sz w:val="20"/>
          <w:szCs w:val="20"/>
        </w:rPr>
        <w:t>patches</w:t>
      </w:r>
      <w:r w:rsidRPr="00AC1905">
        <w:rPr>
          <w:rFonts w:ascii="Times New Roman" w:hAnsi="Times New Roman" w:cs="Times New Roman"/>
          <w:sz w:val="20"/>
          <w:szCs w:val="20"/>
        </w:rPr>
        <w:t>, Acyclovir, superdisinte</w:t>
      </w:r>
      <w:r w:rsidR="00FD63C6">
        <w:rPr>
          <w:rFonts w:ascii="Times New Roman" w:hAnsi="Times New Roman" w:cs="Times New Roman"/>
          <w:sz w:val="20"/>
          <w:szCs w:val="20"/>
        </w:rPr>
        <w:t>grants, % Cumulative drug relea</w:t>
      </w:r>
      <w:r w:rsidRPr="00AC1905">
        <w:rPr>
          <w:rFonts w:ascii="Times New Roman" w:hAnsi="Times New Roman" w:cs="Times New Roman"/>
          <w:sz w:val="20"/>
          <w:szCs w:val="20"/>
        </w:rPr>
        <w:t>se</w:t>
      </w:r>
    </w:p>
    <w:p w:rsidR="00FD63C6" w:rsidRDefault="00FD63C6" w:rsidP="00FD63C6">
      <w:pPr>
        <w:pStyle w:val="ListParagraph"/>
        <w:numPr>
          <w:ilvl w:val="0"/>
          <w:numId w:val="2"/>
        </w:num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INTRODUCTION</w:t>
      </w:r>
    </w:p>
    <w:p w:rsidR="00FD63C6" w:rsidRDefault="00BD6E19" w:rsidP="007C78EE">
      <w:pPr>
        <w:autoSpaceDE w:val="0"/>
        <w:autoSpaceDN w:val="0"/>
        <w:adjustRightInd w:val="0"/>
        <w:spacing w:after="0" w:line="240" w:lineRule="auto"/>
        <w:jc w:val="both"/>
        <w:rPr>
          <w:rFonts w:ascii="Times New Roman" w:hAnsi="Times New Roman" w:cs="Times New Roman"/>
          <w:sz w:val="20"/>
          <w:szCs w:val="20"/>
        </w:rPr>
      </w:pPr>
      <w:r w:rsidRPr="00BD6E19">
        <w:rPr>
          <w:rFonts w:ascii="Times New Roman" w:hAnsi="Times New Roman" w:cs="Times New Roman"/>
          <w:sz w:val="20"/>
          <w:szCs w:val="20"/>
        </w:rPr>
        <w:t xml:space="preserve">Oral route has been the commonly adopted and most convenient route for drug delivery. Oral route of administration has been received more attention in the pharmaceutical field because of the more flexibility in the designing of dosage form than drug delivery design for other routes, ease of administration as well as traditional belief that by oral administration the drug is well absorbed as the food stuffs that are ingested daily </w:t>
      </w:r>
      <w:r>
        <w:rPr>
          <w:rFonts w:ascii="Times New Roman" w:hAnsi="Times New Roman" w:cs="Times New Roman"/>
          <w:sz w:val="20"/>
          <w:szCs w:val="20"/>
        </w:rPr>
        <w:t>[1,2]</w:t>
      </w:r>
      <w:r w:rsidR="00FD63C6" w:rsidRPr="00FD63C6">
        <w:rPr>
          <w:rFonts w:ascii="Times New Roman" w:hAnsi="Times New Roman" w:cs="Times New Roman"/>
          <w:sz w:val="20"/>
          <w:szCs w:val="20"/>
        </w:rPr>
        <w:t xml:space="preserve"> Rich blood supply, robust</w:t>
      </w:r>
      <w:r w:rsidR="00FD63C6">
        <w:rPr>
          <w:rFonts w:ascii="Times New Roman" w:hAnsi="Times New Roman" w:cs="Times New Roman"/>
          <w:sz w:val="20"/>
          <w:szCs w:val="20"/>
        </w:rPr>
        <w:t xml:space="preserve"> </w:t>
      </w:r>
      <w:r w:rsidR="00FD63C6" w:rsidRPr="00FD63C6">
        <w:rPr>
          <w:rFonts w:ascii="Times New Roman" w:hAnsi="Times New Roman" w:cs="Times New Roman"/>
          <w:sz w:val="20"/>
          <w:szCs w:val="20"/>
        </w:rPr>
        <w:t>nature, short recovery times after stress or damage, lower</w:t>
      </w:r>
      <w:r w:rsidR="00FD63C6">
        <w:rPr>
          <w:rFonts w:ascii="Times New Roman" w:hAnsi="Times New Roman" w:cs="Times New Roman"/>
          <w:sz w:val="20"/>
          <w:szCs w:val="20"/>
        </w:rPr>
        <w:t xml:space="preserve"> </w:t>
      </w:r>
      <w:r w:rsidR="00FD63C6" w:rsidRPr="00FD63C6">
        <w:rPr>
          <w:rFonts w:ascii="Times New Roman" w:hAnsi="Times New Roman" w:cs="Times New Roman"/>
          <w:sz w:val="20"/>
          <w:szCs w:val="20"/>
        </w:rPr>
        <w:t>enzymatic activity of saliva, facile removal of formulation,</w:t>
      </w:r>
      <w:r w:rsidR="00FD63C6">
        <w:rPr>
          <w:rFonts w:ascii="Times New Roman" w:hAnsi="Times New Roman" w:cs="Times New Roman"/>
          <w:sz w:val="20"/>
          <w:szCs w:val="20"/>
        </w:rPr>
        <w:t xml:space="preserve"> </w:t>
      </w:r>
      <w:r w:rsidR="00FD63C6" w:rsidRPr="00FD63C6">
        <w:rPr>
          <w:rFonts w:ascii="Times New Roman" w:hAnsi="Times New Roman" w:cs="Times New Roman"/>
          <w:sz w:val="20"/>
          <w:szCs w:val="20"/>
        </w:rPr>
        <w:t>better patient acceptance and compliance are some other</w:t>
      </w:r>
      <w:r w:rsidR="00FD63C6">
        <w:rPr>
          <w:rFonts w:ascii="Times New Roman" w:hAnsi="Times New Roman" w:cs="Times New Roman"/>
          <w:sz w:val="20"/>
          <w:szCs w:val="20"/>
        </w:rPr>
        <w:t xml:space="preserve"> </w:t>
      </w:r>
      <w:r w:rsidR="00FD63C6" w:rsidRPr="00FD63C6">
        <w:rPr>
          <w:rFonts w:ascii="Times New Roman" w:hAnsi="Times New Roman" w:cs="Times New Roman"/>
          <w:sz w:val="20"/>
          <w:szCs w:val="20"/>
        </w:rPr>
        <w:t>prominent meritorious visages of buccoadhesive systems.</w:t>
      </w:r>
    </w:p>
    <w:p w:rsidR="007C78EE" w:rsidRDefault="007C78EE" w:rsidP="007C78EE">
      <w:pPr>
        <w:autoSpaceDE w:val="0"/>
        <w:autoSpaceDN w:val="0"/>
        <w:adjustRightInd w:val="0"/>
        <w:spacing w:after="0" w:line="240" w:lineRule="auto"/>
        <w:jc w:val="both"/>
        <w:rPr>
          <w:rFonts w:ascii="Times New Roman" w:hAnsi="Times New Roman" w:cs="Times New Roman"/>
          <w:sz w:val="20"/>
          <w:szCs w:val="20"/>
        </w:rPr>
      </w:pPr>
      <w:r w:rsidRPr="007C78EE">
        <w:rPr>
          <w:rFonts w:ascii="Times New Roman" w:hAnsi="Times New Roman" w:cs="Times New Roman"/>
          <w:sz w:val="20"/>
          <w:szCs w:val="20"/>
        </w:rPr>
        <w:t xml:space="preserve">Acyclovir is the most effective antiviral drug against </w:t>
      </w:r>
      <w:r>
        <w:rPr>
          <w:rFonts w:ascii="Times New Roman" w:hAnsi="Times New Roman" w:cs="Times New Roman"/>
          <w:sz w:val="20"/>
          <w:szCs w:val="20"/>
        </w:rPr>
        <w:t>HIV</w:t>
      </w:r>
      <w:r w:rsidRPr="007C78EE">
        <w:rPr>
          <w:rFonts w:ascii="Times New Roman" w:hAnsi="Times New Roman" w:cs="Times New Roman"/>
          <w:sz w:val="20"/>
          <w:szCs w:val="20"/>
        </w:rPr>
        <w:t>. The oral absorption of acyclovir is dose dependent and highly variable, with bioavailability ranging from 15-30%. Percutaneous absorption of acyclovir is poor</w:t>
      </w:r>
      <w:r w:rsidR="00BD6E19">
        <w:rPr>
          <w:rFonts w:ascii="Times New Roman" w:hAnsi="Times New Roman" w:cs="Times New Roman"/>
          <w:sz w:val="20"/>
          <w:szCs w:val="20"/>
        </w:rPr>
        <w:t xml:space="preserve">. [3] </w:t>
      </w:r>
      <w:r w:rsidRPr="007C78EE">
        <w:rPr>
          <w:rFonts w:ascii="Times New Roman" w:hAnsi="Times New Roman" w:cs="Times New Roman"/>
          <w:sz w:val="20"/>
          <w:szCs w:val="20"/>
        </w:rPr>
        <w:t>The main drawbacks associated with this drug are gastric irritation, first pass metabolism and low oral bioavailability. Side effects associated with topical application of drug consist of stinging and burning sensation. However, on oral application, the drug is well tolerated. In case of intravenous administration, rashes, sweating and emesis are observed. Therefore, there is a need to formulate an oral delivery system for acyclovir that promotes systemic delivery, bypass of first pass metabolism and improved bioavailability.</w:t>
      </w:r>
    </w:p>
    <w:p w:rsidR="007C78EE" w:rsidRDefault="007C78EE" w:rsidP="007C78EE">
      <w:pPr>
        <w:autoSpaceDE w:val="0"/>
        <w:autoSpaceDN w:val="0"/>
        <w:adjustRightInd w:val="0"/>
        <w:spacing w:after="0" w:line="240" w:lineRule="auto"/>
        <w:jc w:val="both"/>
        <w:rPr>
          <w:rFonts w:ascii="Times New Roman" w:hAnsi="Times New Roman" w:cs="Times New Roman"/>
          <w:sz w:val="20"/>
          <w:szCs w:val="20"/>
        </w:rPr>
      </w:pPr>
      <w:r w:rsidRPr="007C78EE">
        <w:rPr>
          <w:rFonts w:ascii="Times New Roman" w:hAnsi="Times New Roman" w:cs="Times New Roman"/>
          <w:sz w:val="20"/>
          <w:szCs w:val="20"/>
        </w:rPr>
        <w:t xml:space="preserve">The present study is aimed at formulating </w:t>
      </w:r>
      <w:r>
        <w:rPr>
          <w:rFonts w:ascii="Times New Roman" w:hAnsi="Times New Roman" w:cs="Times New Roman"/>
          <w:sz w:val="20"/>
          <w:szCs w:val="20"/>
        </w:rPr>
        <w:t xml:space="preserve">fast dissolving mucoadhesive Buccal </w:t>
      </w:r>
      <w:r w:rsidRPr="007C78EE">
        <w:rPr>
          <w:rFonts w:ascii="Times New Roman" w:hAnsi="Times New Roman" w:cs="Times New Roman"/>
          <w:sz w:val="20"/>
          <w:szCs w:val="20"/>
        </w:rPr>
        <w:t>patches</w:t>
      </w:r>
      <w:r>
        <w:rPr>
          <w:rFonts w:ascii="Times New Roman" w:hAnsi="Times New Roman" w:cs="Times New Roman"/>
          <w:sz w:val="20"/>
          <w:szCs w:val="20"/>
        </w:rPr>
        <w:t xml:space="preserve"> loading acyclovir</w:t>
      </w:r>
      <w:r w:rsidRPr="007C78EE">
        <w:rPr>
          <w:rFonts w:ascii="Times New Roman" w:hAnsi="Times New Roman" w:cs="Times New Roman"/>
          <w:sz w:val="20"/>
          <w:szCs w:val="20"/>
        </w:rPr>
        <w:t xml:space="preserve"> to act as transmucosal drug delivery systems in order to improve oral bioavailability.</w:t>
      </w:r>
    </w:p>
    <w:p w:rsidR="007C78EE" w:rsidRPr="007C78EE" w:rsidRDefault="007C78EE" w:rsidP="007C78EE">
      <w:pPr>
        <w:pStyle w:val="ListParagraph"/>
        <w:numPr>
          <w:ilvl w:val="0"/>
          <w:numId w:val="2"/>
        </w:numPr>
        <w:autoSpaceDE w:val="0"/>
        <w:autoSpaceDN w:val="0"/>
        <w:adjustRightInd w:val="0"/>
        <w:spacing w:after="0" w:line="240" w:lineRule="auto"/>
        <w:jc w:val="center"/>
        <w:rPr>
          <w:rFonts w:ascii="Times New Roman" w:hAnsi="Times New Roman" w:cs="Times New Roman"/>
          <w:b/>
          <w:sz w:val="20"/>
          <w:szCs w:val="20"/>
        </w:rPr>
      </w:pPr>
      <w:r w:rsidRPr="007C78EE">
        <w:rPr>
          <w:rFonts w:ascii="Times New Roman" w:hAnsi="Times New Roman" w:cs="Times New Roman"/>
          <w:b/>
          <w:sz w:val="20"/>
          <w:szCs w:val="20"/>
        </w:rPr>
        <w:t>MATERIALS AND METHODS</w:t>
      </w:r>
    </w:p>
    <w:p w:rsidR="00AC1905" w:rsidRDefault="007C78EE" w:rsidP="007C78EE">
      <w:pPr>
        <w:pStyle w:val="Default"/>
        <w:jc w:val="both"/>
        <w:rPr>
          <w:rFonts w:ascii="Times New Roman" w:hAnsi="Times New Roman" w:cs="Times New Roman"/>
          <w:sz w:val="20"/>
        </w:rPr>
      </w:pPr>
      <w:r w:rsidRPr="007C78EE">
        <w:rPr>
          <w:rFonts w:ascii="Times New Roman" w:hAnsi="Times New Roman"/>
          <w:bCs/>
          <w:color w:val="auto"/>
          <w:sz w:val="20"/>
        </w:rPr>
        <w:t xml:space="preserve">Acyclovir was purchased from yarrow chemicals Mumbai, </w:t>
      </w:r>
      <w:r w:rsidRPr="007C78EE">
        <w:rPr>
          <w:rFonts w:ascii="Times New Roman" w:hAnsi="Times New Roman" w:cs="Times New Roman"/>
          <w:sz w:val="20"/>
        </w:rPr>
        <w:t>Glycerol, HPMC K4M, Croscarmellose, Crospovidone, Sodium Starch Glycolate, Citric acid, Sodium Lauryl Sulphate, Methanol, Ethanol, Chloroform</w:t>
      </w:r>
      <w:r>
        <w:rPr>
          <w:rFonts w:ascii="Times New Roman" w:hAnsi="Times New Roman" w:cs="Times New Roman"/>
          <w:sz w:val="20"/>
        </w:rPr>
        <w:t xml:space="preserve"> was purchased from </w:t>
      </w:r>
      <w:r w:rsidRPr="007C78EE">
        <w:rPr>
          <w:rFonts w:ascii="Times New Roman" w:hAnsi="Times New Roman" w:cs="Times New Roman"/>
          <w:sz w:val="20"/>
        </w:rPr>
        <w:t>SD Fine chem. Ltd</w:t>
      </w:r>
      <w:r>
        <w:rPr>
          <w:rFonts w:ascii="Times New Roman" w:hAnsi="Times New Roman" w:cs="Times New Roman"/>
          <w:sz w:val="20"/>
        </w:rPr>
        <w:t xml:space="preserve">. </w:t>
      </w:r>
      <w:r w:rsidRPr="007C78EE">
        <w:rPr>
          <w:rFonts w:ascii="Times New Roman" w:hAnsi="Times New Roman" w:cs="Times New Roman"/>
          <w:sz w:val="20"/>
        </w:rPr>
        <w:t>All other materials used and</w:t>
      </w:r>
      <w:r>
        <w:rPr>
          <w:rFonts w:ascii="Times New Roman" w:hAnsi="Times New Roman" w:cs="Times New Roman"/>
          <w:sz w:val="20"/>
        </w:rPr>
        <w:t xml:space="preserve"> </w:t>
      </w:r>
      <w:r w:rsidRPr="007C78EE">
        <w:rPr>
          <w:rFonts w:ascii="Times New Roman" w:hAnsi="Times New Roman" w:cs="Times New Roman"/>
          <w:sz w:val="20"/>
        </w:rPr>
        <w:t>received were of analytical grade</w:t>
      </w:r>
      <w:r>
        <w:rPr>
          <w:rFonts w:ascii="Times New Roman" w:hAnsi="Times New Roman" w:cs="Times New Roman"/>
          <w:sz w:val="20"/>
        </w:rPr>
        <w:t xml:space="preserve">. </w:t>
      </w:r>
    </w:p>
    <w:p w:rsidR="007C78EE" w:rsidRDefault="007C78EE" w:rsidP="007C78EE">
      <w:pPr>
        <w:pStyle w:val="Default"/>
        <w:jc w:val="both"/>
        <w:rPr>
          <w:rFonts w:ascii="Times New Roman" w:hAnsi="Times New Roman" w:cs="Times New Roman"/>
          <w:b/>
          <w:sz w:val="20"/>
        </w:rPr>
      </w:pPr>
      <w:r w:rsidRPr="007C78EE">
        <w:rPr>
          <w:rFonts w:ascii="Times New Roman" w:hAnsi="Times New Roman" w:cs="Times New Roman"/>
          <w:b/>
          <w:sz w:val="20"/>
        </w:rPr>
        <w:t>Methodology:</w:t>
      </w:r>
    </w:p>
    <w:p w:rsidR="00013AB0" w:rsidRPr="00013AB0" w:rsidRDefault="00013AB0" w:rsidP="00013AB0">
      <w:pPr>
        <w:pStyle w:val="Default"/>
        <w:jc w:val="both"/>
        <w:rPr>
          <w:rFonts w:ascii="Times New Roman" w:hAnsi="Times New Roman"/>
          <w:b/>
          <w:bCs/>
          <w:color w:val="auto"/>
          <w:sz w:val="20"/>
        </w:rPr>
      </w:pPr>
      <w:r w:rsidRPr="00013AB0">
        <w:rPr>
          <w:rFonts w:ascii="Times New Roman" w:hAnsi="Times New Roman"/>
          <w:b/>
          <w:bCs/>
          <w:color w:val="auto"/>
          <w:sz w:val="20"/>
        </w:rPr>
        <w:t>Drug-polymer-excipient compatibility studies</w:t>
      </w:r>
    </w:p>
    <w:p w:rsidR="00013AB0" w:rsidRDefault="00013AB0" w:rsidP="00013AB0">
      <w:pPr>
        <w:pStyle w:val="Default"/>
        <w:jc w:val="both"/>
        <w:rPr>
          <w:rFonts w:ascii="Times New Roman" w:hAnsi="Times New Roman"/>
          <w:b/>
          <w:bCs/>
          <w:color w:val="auto"/>
          <w:sz w:val="20"/>
        </w:rPr>
      </w:pPr>
      <w:r w:rsidRPr="00013AB0">
        <w:rPr>
          <w:rFonts w:ascii="Times New Roman" w:hAnsi="Times New Roman"/>
          <w:bCs/>
          <w:color w:val="auto"/>
          <w:sz w:val="20"/>
        </w:rPr>
        <w:t>This was carried out by infrared light absorption spectroscopy</w:t>
      </w:r>
      <w:r>
        <w:rPr>
          <w:rFonts w:ascii="Times New Roman" w:hAnsi="Times New Roman"/>
          <w:bCs/>
          <w:color w:val="auto"/>
          <w:sz w:val="20"/>
        </w:rPr>
        <w:t xml:space="preserve"> </w:t>
      </w:r>
      <w:r w:rsidRPr="00013AB0">
        <w:rPr>
          <w:rFonts w:ascii="Times New Roman" w:hAnsi="Times New Roman"/>
          <w:bCs/>
          <w:color w:val="auto"/>
          <w:sz w:val="20"/>
        </w:rPr>
        <w:t>(IR). Infrared spectra of pure drug and mixture of formulations</w:t>
      </w:r>
      <w:r>
        <w:rPr>
          <w:rFonts w:ascii="Times New Roman" w:hAnsi="Times New Roman"/>
          <w:bCs/>
          <w:color w:val="auto"/>
          <w:sz w:val="20"/>
        </w:rPr>
        <w:t xml:space="preserve"> </w:t>
      </w:r>
      <w:r w:rsidRPr="00013AB0">
        <w:rPr>
          <w:rFonts w:ascii="Times New Roman" w:hAnsi="Times New Roman"/>
          <w:bCs/>
          <w:color w:val="auto"/>
          <w:sz w:val="20"/>
        </w:rPr>
        <w:t>were recorded by dispersion of drug and mixture of formulations</w:t>
      </w:r>
      <w:r>
        <w:rPr>
          <w:rFonts w:ascii="Times New Roman" w:hAnsi="Times New Roman"/>
          <w:bCs/>
          <w:color w:val="auto"/>
          <w:sz w:val="20"/>
        </w:rPr>
        <w:t xml:space="preserve"> </w:t>
      </w:r>
      <w:r w:rsidRPr="00013AB0">
        <w:rPr>
          <w:rFonts w:ascii="Times New Roman" w:hAnsi="Times New Roman"/>
          <w:bCs/>
          <w:color w:val="auto"/>
          <w:sz w:val="20"/>
        </w:rPr>
        <w:t>in suitable material (KBr) using Fourier Transform</w:t>
      </w:r>
      <w:r>
        <w:rPr>
          <w:rFonts w:ascii="Times New Roman" w:hAnsi="Times New Roman"/>
          <w:bCs/>
          <w:color w:val="auto"/>
          <w:sz w:val="20"/>
        </w:rPr>
        <w:t xml:space="preserve"> </w:t>
      </w:r>
      <w:r w:rsidRPr="00013AB0">
        <w:rPr>
          <w:rFonts w:ascii="Times New Roman" w:hAnsi="Times New Roman"/>
          <w:bCs/>
          <w:color w:val="auto"/>
          <w:sz w:val="20"/>
        </w:rPr>
        <w:t>Infrared Spectrophotometer (FTIR). A base line correction was</w:t>
      </w:r>
      <w:r>
        <w:rPr>
          <w:rFonts w:ascii="Times New Roman" w:hAnsi="Times New Roman"/>
          <w:bCs/>
          <w:color w:val="auto"/>
          <w:sz w:val="20"/>
        </w:rPr>
        <w:t xml:space="preserve"> </w:t>
      </w:r>
      <w:r w:rsidRPr="00013AB0">
        <w:rPr>
          <w:rFonts w:ascii="Times New Roman" w:hAnsi="Times New Roman"/>
          <w:bCs/>
          <w:color w:val="auto"/>
          <w:sz w:val="20"/>
        </w:rPr>
        <w:t>made using dried potassium bromide and then the spectra of</w:t>
      </w:r>
      <w:r>
        <w:rPr>
          <w:rFonts w:ascii="Times New Roman" w:hAnsi="Times New Roman"/>
          <w:bCs/>
          <w:color w:val="auto"/>
          <w:sz w:val="20"/>
        </w:rPr>
        <w:t xml:space="preserve"> </w:t>
      </w:r>
      <w:r w:rsidRPr="00013AB0">
        <w:rPr>
          <w:rFonts w:ascii="Times New Roman" w:hAnsi="Times New Roman"/>
          <w:bCs/>
          <w:color w:val="auto"/>
          <w:sz w:val="20"/>
        </w:rPr>
        <w:t>the dried mixture of drug, formulation mixture and potassium</w:t>
      </w:r>
      <w:r>
        <w:rPr>
          <w:rFonts w:ascii="Times New Roman" w:hAnsi="Times New Roman"/>
          <w:bCs/>
          <w:color w:val="auto"/>
          <w:sz w:val="20"/>
        </w:rPr>
        <w:t xml:space="preserve"> </w:t>
      </w:r>
      <w:r w:rsidRPr="00013AB0">
        <w:rPr>
          <w:rFonts w:ascii="Times New Roman" w:hAnsi="Times New Roman"/>
          <w:bCs/>
          <w:color w:val="auto"/>
          <w:sz w:val="20"/>
        </w:rPr>
        <w:t>bromide and then the spectra of the dried mixture of drug,</w:t>
      </w:r>
      <w:r>
        <w:rPr>
          <w:rFonts w:ascii="Times New Roman" w:hAnsi="Times New Roman"/>
          <w:bCs/>
          <w:color w:val="auto"/>
          <w:sz w:val="20"/>
        </w:rPr>
        <w:t xml:space="preserve"> </w:t>
      </w:r>
      <w:r w:rsidRPr="00013AB0">
        <w:rPr>
          <w:rFonts w:ascii="Times New Roman" w:hAnsi="Times New Roman"/>
          <w:bCs/>
          <w:color w:val="auto"/>
          <w:sz w:val="20"/>
        </w:rPr>
        <w:t>formulation mixture and potassium bromide were recorded</w:t>
      </w:r>
      <w:r>
        <w:rPr>
          <w:rFonts w:ascii="Times New Roman" w:hAnsi="Times New Roman"/>
          <w:bCs/>
          <w:color w:val="auto"/>
          <w:sz w:val="20"/>
        </w:rPr>
        <w:t xml:space="preserve"> </w:t>
      </w:r>
      <w:r w:rsidRPr="00013AB0">
        <w:rPr>
          <w:rFonts w:ascii="Times New Roman" w:hAnsi="Times New Roman"/>
          <w:bCs/>
          <w:color w:val="auto"/>
          <w:sz w:val="20"/>
        </w:rPr>
        <w:t>on FTIR.</w:t>
      </w:r>
    </w:p>
    <w:p w:rsidR="00DE4B61" w:rsidRPr="00DE4B61" w:rsidRDefault="00DE4B61" w:rsidP="00DE4B61">
      <w:pPr>
        <w:pStyle w:val="Default"/>
        <w:jc w:val="both"/>
        <w:rPr>
          <w:rFonts w:ascii="Times New Roman" w:hAnsi="Times New Roman"/>
          <w:b/>
          <w:bCs/>
          <w:color w:val="auto"/>
          <w:sz w:val="20"/>
        </w:rPr>
      </w:pPr>
      <w:r w:rsidRPr="00DE4B61">
        <w:rPr>
          <w:rFonts w:ascii="Times New Roman" w:hAnsi="Times New Roman"/>
          <w:b/>
          <w:bCs/>
          <w:color w:val="auto"/>
          <w:sz w:val="20"/>
        </w:rPr>
        <w:t>Method of preparation of patches:</w:t>
      </w:r>
      <w:r w:rsidR="00264915">
        <w:rPr>
          <w:rFonts w:ascii="Times New Roman" w:hAnsi="Times New Roman"/>
          <w:b/>
          <w:bCs/>
          <w:color w:val="auto"/>
          <w:sz w:val="20"/>
        </w:rPr>
        <w:t xml:space="preserve"> [4]</w:t>
      </w:r>
    </w:p>
    <w:p w:rsidR="007C78EE" w:rsidRDefault="00DE4B61" w:rsidP="00DE4B61">
      <w:pPr>
        <w:pStyle w:val="Default"/>
        <w:jc w:val="both"/>
        <w:rPr>
          <w:rFonts w:ascii="Times New Roman" w:hAnsi="Times New Roman"/>
          <w:bCs/>
          <w:color w:val="auto"/>
          <w:sz w:val="20"/>
        </w:rPr>
      </w:pPr>
      <w:r w:rsidRPr="00DE4B61">
        <w:rPr>
          <w:rFonts w:ascii="Times New Roman" w:hAnsi="Times New Roman" w:cs="Times New Roman"/>
          <w:bCs/>
          <w:color w:val="auto"/>
          <w:sz w:val="20"/>
        </w:rPr>
        <w:t>The mucoadhesive buccal patches were formulated using solvent casting technique</w:t>
      </w:r>
      <w:r w:rsidRPr="00DE4B61">
        <w:rPr>
          <w:rFonts w:ascii="Times New Roman" w:hAnsi="Times New Roman"/>
          <w:bCs/>
          <w:color w:val="auto"/>
          <w:sz w:val="20"/>
        </w:rPr>
        <w:t>.</w:t>
      </w:r>
      <w:r>
        <w:rPr>
          <w:rFonts w:ascii="Times New Roman" w:hAnsi="Times New Roman"/>
          <w:bCs/>
          <w:color w:val="auto"/>
          <w:sz w:val="20"/>
        </w:rPr>
        <w:t xml:space="preserve"> </w:t>
      </w:r>
      <w:r w:rsidRPr="00DE4B61">
        <w:rPr>
          <w:rFonts w:ascii="Times New Roman" w:hAnsi="Times New Roman" w:cs="Times New Roman"/>
          <w:bCs/>
          <w:color w:val="auto"/>
          <w:sz w:val="20"/>
        </w:rPr>
        <w:t xml:space="preserve">In </w:t>
      </w:r>
      <w:r>
        <w:rPr>
          <w:rFonts w:ascii="Times New Roman" w:hAnsi="Times New Roman" w:cs="Times New Roman"/>
          <w:bCs/>
          <w:color w:val="auto"/>
          <w:sz w:val="20"/>
        </w:rPr>
        <w:t>this method</w:t>
      </w:r>
      <w:r w:rsidRPr="00DE4B61">
        <w:rPr>
          <w:rFonts w:ascii="Times New Roman" w:hAnsi="Times New Roman" w:cs="Times New Roman"/>
          <w:bCs/>
          <w:color w:val="auto"/>
          <w:sz w:val="20"/>
        </w:rPr>
        <w:t>, mucoadhesive polymers in required quantity are treated with solvent and polymer swell after vortexing.</w:t>
      </w:r>
      <w:r>
        <w:rPr>
          <w:rFonts w:ascii="Times New Roman" w:hAnsi="Times New Roman" w:cs="Times New Roman"/>
          <w:bCs/>
          <w:color w:val="auto"/>
          <w:sz w:val="20"/>
        </w:rPr>
        <w:t xml:space="preserve"> </w:t>
      </w:r>
      <w:r w:rsidRPr="00DE4B61">
        <w:rPr>
          <w:rFonts w:ascii="Times New Roman" w:hAnsi="Times New Roman" w:cs="Times New Roman"/>
          <w:bCs/>
          <w:color w:val="auto"/>
          <w:sz w:val="20"/>
        </w:rPr>
        <w:t>The measured quantity of plasticizer added in polymer mixture and again vortexed.</w:t>
      </w:r>
      <w:r>
        <w:rPr>
          <w:rFonts w:ascii="Times New Roman" w:hAnsi="Times New Roman" w:cs="Times New Roman"/>
          <w:bCs/>
          <w:color w:val="auto"/>
          <w:sz w:val="20"/>
        </w:rPr>
        <w:t xml:space="preserve"> </w:t>
      </w:r>
      <w:r w:rsidRPr="00DE4B61">
        <w:rPr>
          <w:rFonts w:ascii="Times New Roman" w:hAnsi="Times New Roman" w:cs="Times New Roman"/>
          <w:bCs/>
          <w:color w:val="auto"/>
          <w:sz w:val="20"/>
        </w:rPr>
        <w:t xml:space="preserve">The quantity of drug that is needed </w:t>
      </w:r>
      <w:r w:rsidRPr="00DE4B61">
        <w:rPr>
          <w:rFonts w:ascii="Times New Roman" w:hAnsi="Times New Roman"/>
          <w:bCs/>
          <w:color w:val="auto"/>
          <w:sz w:val="20"/>
        </w:rPr>
        <w:t>is liquefied in small volume of solvent system and added to the polymer solution and mixed well.</w:t>
      </w:r>
      <w:r>
        <w:rPr>
          <w:rFonts w:ascii="Times New Roman" w:hAnsi="Times New Roman"/>
          <w:bCs/>
          <w:color w:val="auto"/>
          <w:sz w:val="20"/>
        </w:rPr>
        <w:t xml:space="preserve"> </w:t>
      </w:r>
      <w:r w:rsidRPr="00DE4B61">
        <w:rPr>
          <w:rFonts w:ascii="Times New Roman" w:hAnsi="Times New Roman" w:cs="Times New Roman"/>
          <w:bCs/>
          <w:color w:val="auto"/>
          <w:sz w:val="20"/>
        </w:rPr>
        <w:t>The prepared solution is poured into a Petri dish containing glycerin and allowed to dry for overnight in order to evaporate the solvents.</w:t>
      </w:r>
      <w:r>
        <w:rPr>
          <w:rFonts w:ascii="Times New Roman" w:hAnsi="Times New Roman" w:cs="Times New Roman"/>
          <w:bCs/>
          <w:color w:val="auto"/>
          <w:sz w:val="20"/>
        </w:rPr>
        <w:t xml:space="preserve"> </w:t>
      </w:r>
      <w:r w:rsidRPr="00DE4B61">
        <w:rPr>
          <w:rFonts w:ascii="Times New Roman" w:hAnsi="Times New Roman" w:cs="Times New Roman"/>
          <w:bCs/>
          <w:color w:val="auto"/>
          <w:sz w:val="20"/>
        </w:rPr>
        <w:t>Finally, the pa</w:t>
      </w:r>
      <w:r w:rsidRPr="00DE4B61">
        <w:rPr>
          <w:rFonts w:ascii="Times New Roman" w:hAnsi="Times New Roman"/>
          <w:bCs/>
          <w:color w:val="auto"/>
          <w:sz w:val="20"/>
        </w:rPr>
        <w:t>tches are collected after drying.</w:t>
      </w:r>
    </w:p>
    <w:p w:rsidR="00DE4B61" w:rsidRDefault="007C268B" w:rsidP="007C268B">
      <w:pPr>
        <w:pStyle w:val="Default"/>
        <w:jc w:val="center"/>
        <w:rPr>
          <w:rFonts w:ascii="Times New Roman" w:hAnsi="Times New Roman"/>
          <w:b/>
          <w:bCs/>
          <w:color w:val="auto"/>
          <w:sz w:val="20"/>
          <w:lang w:val="en-IN"/>
        </w:rPr>
      </w:pPr>
      <w:r w:rsidRPr="007C268B">
        <w:rPr>
          <w:rFonts w:ascii="Times New Roman" w:hAnsi="Times New Roman"/>
          <w:b/>
          <w:bCs/>
          <w:color w:val="auto"/>
          <w:sz w:val="20"/>
          <w:lang w:val="en-IN"/>
        </w:rPr>
        <w:t>Table 1: Composition of buccal patches of Acyclovir</w:t>
      </w:r>
    </w:p>
    <w:tbl>
      <w:tblPr>
        <w:tblStyle w:val="TableGrid"/>
        <w:tblpPr w:leftFromText="180" w:rightFromText="180" w:vertAnchor="text" w:horzAnchor="margin" w:tblpXSpec="center" w:tblpY="20"/>
        <w:tblW w:w="9468" w:type="dxa"/>
        <w:tblLook w:val="04A0"/>
      </w:tblPr>
      <w:tblGrid>
        <w:gridCol w:w="3510"/>
        <w:gridCol w:w="993"/>
        <w:gridCol w:w="993"/>
        <w:gridCol w:w="993"/>
        <w:gridCol w:w="993"/>
        <w:gridCol w:w="993"/>
        <w:gridCol w:w="993"/>
      </w:tblGrid>
      <w:tr w:rsidR="007C268B" w:rsidRPr="007C268B" w:rsidTr="00647984">
        <w:trPr>
          <w:trHeight w:val="20"/>
        </w:trPr>
        <w:tc>
          <w:tcPr>
            <w:tcW w:w="3510" w:type="dxa"/>
            <w:shd w:val="clear" w:color="auto" w:fill="auto"/>
            <w:vAlign w:val="center"/>
          </w:tcPr>
          <w:p w:rsidR="007C268B" w:rsidRPr="007C268B" w:rsidRDefault="007C268B" w:rsidP="007C268B">
            <w:pPr>
              <w:spacing w:after="0" w:line="240" w:lineRule="auto"/>
              <w:jc w:val="center"/>
              <w:rPr>
                <w:rFonts w:ascii="Times New Roman" w:hAnsi="Times New Roman" w:cs="Times New Roman"/>
                <w:b/>
                <w:sz w:val="20"/>
                <w:szCs w:val="20"/>
              </w:rPr>
            </w:pPr>
            <w:r w:rsidRPr="007C268B">
              <w:rPr>
                <w:rFonts w:ascii="Times New Roman" w:hAnsi="Times New Roman" w:cs="Times New Roman"/>
                <w:b/>
                <w:sz w:val="20"/>
                <w:szCs w:val="20"/>
              </w:rPr>
              <w:t>Ingredients</w:t>
            </w:r>
          </w:p>
        </w:tc>
        <w:tc>
          <w:tcPr>
            <w:tcW w:w="993" w:type="dxa"/>
            <w:shd w:val="clear" w:color="auto" w:fill="auto"/>
            <w:vAlign w:val="center"/>
          </w:tcPr>
          <w:p w:rsidR="007C268B" w:rsidRPr="007C268B" w:rsidRDefault="007C268B" w:rsidP="007C268B">
            <w:pPr>
              <w:spacing w:after="0" w:line="240" w:lineRule="auto"/>
              <w:jc w:val="center"/>
              <w:rPr>
                <w:rFonts w:ascii="Times New Roman" w:hAnsi="Times New Roman" w:cs="Times New Roman"/>
                <w:b/>
                <w:sz w:val="20"/>
                <w:szCs w:val="20"/>
              </w:rPr>
            </w:pPr>
            <w:r w:rsidRPr="007C268B">
              <w:rPr>
                <w:rFonts w:ascii="Times New Roman" w:hAnsi="Times New Roman" w:cs="Times New Roman"/>
                <w:b/>
                <w:sz w:val="20"/>
                <w:szCs w:val="20"/>
              </w:rPr>
              <w:t>F1</w:t>
            </w:r>
          </w:p>
        </w:tc>
        <w:tc>
          <w:tcPr>
            <w:tcW w:w="993" w:type="dxa"/>
            <w:shd w:val="clear" w:color="auto" w:fill="auto"/>
            <w:vAlign w:val="center"/>
          </w:tcPr>
          <w:p w:rsidR="007C268B" w:rsidRPr="007C268B" w:rsidRDefault="007C268B" w:rsidP="007C268B">
            <w:pPr>
              <w:spacing w:after="0" w:line="240" w:lineRule="auto"/>
              <w:jc w:val="center"/>
              <w:rPr>
                <w:rFonts w:ascii="Times New Roman" w:hAnsi="Times New Roman" w:cs="Times New Roman"/>
                <w:b/>
                <w:sz w:val="20"/>
                <w:szCs w:val="20"/>
              </w:rPr>
            </w:pPr>
            <w:r w:rsidRPr="007C268B">
              <w:rPr>
                <w:rFonts w:ascii="Times New Roman" w:hAnsi="Times New Roman" w:cs="Times New Roman"/>
                <w:b/>
                <w:sz w:val="20"/>
                <w:szCs w:val="20"/>
              </w:rPr>
              <w:t>F2</w:t>
            </w:r>
          </w:p>
        </w:tc>
        <w:tc>
          <w:tcPr>
            <w:tcW w:w="993" w:type="dxa"/>
            <w:shd w:val="clear" w:color="auto" w:fill="auto"/>
            <w:vAlign w:val="center"/>
          </w:tcPr>
          <w:p w:rsidR="007C268B" w:rsidRPr="007C268B" w:rsidRDefault="007C268B" w:rsidP="007C268B">
            <w:pPr>
              <w:spacing w:after="0" w:line="240" w:lineRule="auto"/>
              <w:jc w:val="center"/>
              <w:rPr>
                <w:rFonts w:ascii="Times New Roman" w:hAnsi="Times New Roman" w:cs="Times New Roman"/>
                <w:b/>
                <w:sz w:val="20"/>
                <w:szCs w:val="20"/>
              </w:rPr>
            </w:pPr>
            <w:r w:rsidRPr="007C268B">
              <w:rPr>
                <w:rFonts w:ascii="Times New Roman" w:hAnsi="Times New Roman" w:cs="Times New Roman"/>
                <w:b/>
                <w:sz w:val="20"/>
                <w:szCs w:val="20"/>
              </w:rPr>
              <w:t>F3</w:t>
            </w:r>
          </w:p>
        </w:tc>
        <w:tc>
          <w:tcPr>
            <w:tcW w:w="993" w:type="dxa"/>
            <w:shd w:val="clear" w:color="auto" w:fill="auto"/>
            <w:vAlign w:val="center"/>
          </w:tcPr>
          <w:p w:rsidR="007C268B" w:rsidRPr="007C268B" w:rsidRDefault="007C268B" w:rsidP="007C268B">
            <w:pPr>
              <w:spacing w:after="0" w:line="240" w:lineRule="auto"/>
              <w:jc w:val="center"/>
              <w:rPr>
                <w:rFonts w:ascii="Times New Roman" w:hAnsi="Times New Roman" w:cs="Times New Roman"/>
                <w:b/>
                <w:sz w:val="20"/>
                <w:szCs w:val="20"/>
              </w:rPr>
            </w:pPr>
            <w:r w:rsidRPr="007C268B">
              <w:rPr>
                <w:rFonts w:ascii="Times New Roman" w:hAnsi="Times New Roman" w:cs="Times New Roman"/>
                <w:b/>
                <w:sz w:val="20"/>
                <w:szCs w:val="20"/>
              </w:rPr>
              <w:t>F4</w:t>
            </w:r>
          </w:p>
        </w:tc>
        <w:tc>
          <w:tcPr>
            <w:tcW w:w="993" w:type="dxa"/>
            <w:shd w:val="clear" w:color="auto" w:fill="auto"/>
            <w:vAlign w:val="center"/>
          </w:tcPr>
          <w:p w:rsidR="007C268B" w:rsidRPr="007C268B" w:rsidRDefault="007C268B" w:rsidP="007C268B">
            <w:pPr>
              <w:spacing w:after="0" w:line="240" w:lineRule="auto"/>
              <w:jc w:val="center"/>
              <w:rPr>
                <w:rFonts w:ascii="Times New Roman" w:hAnsi="Times New Roman" w:cs="Times New Roman"/>
                <w:b/>
                <w:sz w:val="20"/>
                <w:szCs w:val="20"/>
              </w:rPr>
            </w:pPr>
            <w:r w:rsidRPr="007C268B">
              <w:rPr>
                <w:rFonts w:ascii="Times New Roman" w:hAnsi="Times New Roman" w:cs="Times New Roman"/>
                <w:b/>
                <w:sz w:val="20"/>
                <w:szCs w:val="20"/>
              </w:rPr>
              <w:t>F5</w:t>
            </w:r>
          </w:p>
        </w:tc>
        <w:tc>
          <w:tcPr>
            <w:tcW w:w="993" w:type="dxa"/>
            <w:shd w:val="clear" w:color="auto" w:fill="auto"/>
            <w:vAlign w:val="center"/>
          </w:tcPr>
          <w:p w:rsidR="007C268B" w:rsidRPr="007C268B" w:rsidRDefault="007C268B" w:rsidP="007C268B">
            <w:pPr>
              <w:spacing w:after="0" w:line="240" w:lineRule="auto"/>
              <w:jc w:val="center"/>
              <w:rPr>
                <w:rFonts w:ascii="Times New Roman" w:hAnsi="Times New Roman" w:cs="Times New Roman"/>
                <w:b/>
                <w:sz w:val="20"/>
                <w:szCs w:val="20"/>
              </w:rPr>
            </w:pPr>
            <w:r w:rsidRPr="007C268B">
              <w:rPr>
                <w:rFonts w:ascii="Times New Roman" w:hAnsi="Times New Roman" w:cs="Times New Roman"/>
                <w:b/>
                <w:sz w:val="20"/>
                <w:szCs w:val="20"/>
              </w:rPr>
              <w:t>F6</w:t>
            </w:r>
          </w:p>
        </w:tc>
      </w:tr>
      <w:tr w:rsidR="007C268B" w:rsidRPr="007C268B" w:rsidTr="00647984">
        <w:trPr>
          <w:trHeight w:val="20"/>
        </w:trPr>
        <w:tc>
          <w:tcPr>
            <w:tcW w:w="3510" w:type="dxa"/>
            <w:vAlign w:val="center"/>
          </w:tcPr>
          <w:p w:rsidR="007C268B" w:rsidRPr="007C268B" w:rsidRDefault="007C268B" w:rsidP="007C268B">
            <w:pPr>
              <w:spacing w:after="0" w:line="240" w:lineRule="auto"/>
              <w:jc w:val="both"/>
              <w:rPr>
                <w:rFonts w:ascii="Times New Roman" w:hAnsi="Times New Roman" w:cs="Times New Roman"/>
                <w:sz w:val="20"/>
                <w:szCs w:val="20"/>
              </w:rPr>
            </w:pPr>
            <w:r w:rsidRPr="007C268B">
              <w:rPr>
                <w:rFonts w:ascii="Times New Roman" w:hAnsi="Times New Roman" w:cs="Times New Roman"/>
                <w:sz w:val="20"/>
                <w:szCs w:val="20"/>
              </w:rPr>
              <w:t>Acyclovir (mg)</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50</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50</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50</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50</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50</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50</w:t>
            </w:r>
          </w:p>
        </w:tc>
      </w:tr>
      <w:tr w:rsidR="007C268B" w:rsidRPr="007C268B" w:rsidTr="00647984">
        <w:trPr>
          <w:trHeight w:val="20"/>
        </w:trPr>
        <w:tc>
          <w:tcPr>
            <w:tcW w:w="3510" w:type="dxa"/>
            <w:vAlign w:val="center"/>
          </w:tcPr>
          <w:p w:rsidR="007C268B" w:rsidRPr="007C268B" w:rsidRDefault="007C268B" w:rsidP="007C268B">
            <w:pPr>
              <w:spacing w:after="0" w:line="240" w:lineRule="auto"/>
              <w:jc w:val="both"/>
              <w:rPr>
                <w:rFonts w:ascii="Times New Roman" w:hAnsi="Times New Roman" w:cs="Times New Roman"/>
                <w:sz w:val="20"/>
                <w:szCs w:val="20"/>
              </w:rPr>
            </w:pPr>
            <w:r w:rsidRPr="007C268B">
              <w:rPr>
                <w:rFonts w:ascii="Times New Roman" w:hAnsi="Times New Roman" w:cs="Times New Roman"/>
                <w:sz w:val="20"/>
                <w:szCs w:val="20"/>
              </w:rPr>
              <w:t>Glycerol(mg)</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200</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194</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200</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194</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200</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194</w:t>
            </w:r>
          </w:p>
        </w:tc>
      </w:tr>
      <w:tr w:rsidR="007C268B" w:rsidRPr="007C268B" w:rsidTr="00647984">
        <w:trPr>
          <w:trHeight w:val="20"/>
        </w:trPr>
        <w:tc>
          <w:tcPr>
            <w:tcW w:w="3510" w:type="dxa"/>
            <w:vAlign w:val="center"/>
          </w:tcPr>
          <w:p w:rsidR="007C268B" w:rsidRPr="007C268B" w:rsidRDefault="007C268B" w:rsidP="007C268B">
            <w:pPr>
              <w:spacing w:after="0" w:line="240" w:lineRule="auto"/>
              <w:jc w:val="both"/>
              <w:rPr>
                <w:rFonts w:ascii="Times New Roman" w:hAnsi="Times New Roman" w:cs="Times New Roman"/>
                <w:sz w:val="20"/>
                <w:szCs w:val="20"/>
              </w:rPr>
            </w:pPr>
            <w:r w:rsidRPr="007C268B">
              <w:rPr>
                <w:rFonts w:ascii="Times New Roman" w:hAnsi="Times New Roman" w:cs="Times New Roman"/>
                <w:sz w:val="20"/>
                <w:szCs w:val="20"/>
              </w:rPr>
              <w:t>HPMC(mg)</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400</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400</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400</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400</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400</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400</w:t>
            </w:r>
          </w:p>
        </w:tc>
      </w:tr>
      <w:tr w:rsidR="007C268B" w:rsidRPr="007C268B" w:rsidTr="00647984">
        <w:trPr>
          <w:trHeight w:val="20"/>
        </w:trPr>
        <w:tc>
          <w:tcPr>
            <w:tcW w:w="3510" w:type="dxa"/>
            <w:vAlign w:val="center"/>
          </w:tcPr>
          <w:p w:rsidR="007C268B" w:rsidRPr="007C268B" w:rsidRDefault="007C268B" w:rsidP="007C268B">
            <w:pPr>
              <w:spacing w:after="0" w:line="240" w:lineRule="auto"/>
              <w:jc w:val="both"/>
              <w:rPr>
                <w:rFonts w:ascii="Times New Roman" w:hAnsi="Times New Roman" w:cs="Times New Roman"/>
                <w:sz w:val="20"/>
                <w:szCs w:val="20"/>
              </w:rPr>
            </w:pPr>
            <w:r w:rsidRPr="007C268B">
              <w:rPr>
                <w:rFonts w:ascii="Times New Roman" w:hAnsi="Times New Roman" w:cs="Times New Roman"/>
                <w:sz w:val="20"/>
                <w:szCs w:val="20"/>
              </w:rPr>
              <w:t>Croscarmellose(mg)</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20</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26</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w:t>
            </w:r>
          </w:p>
        </w:tc>
      </w:tr>
      <w:tr w:rsidR="007C268B" w:rsidRPr="007C268B" w:rsidTr="00647984">
        <w:trPr>
          <w:trHeight w:val="20"/>
        </w:trPr>
        <w:tc>
          <w:tcPr>
            <w:tcW w:w="3510" w:type="dxa"/>
            <w:vAlign w:val="center"/>
          </w:tcPr>
          <w:p w:rsidR="007C268B" w:rsidRPr="007C268B" w:rsidRDefault="007C268B" w:rsidP="007C268B">
            <w:pPr>
              <w:spacing w:after="0" w:line="240" w:lineRule="auto"/>
              <w:jc w:val="both"/>
              <w:rPr>
                <w:rFonts w:ascii="Times New Roman" w:hAnsi="Times New Roman" w:cs="Times New Roman"/>
                <w:sz w:val="20"/>
                <w:szCs w:val="20"/>
              </w:rPr>
            </w:pPr>
            <w:r w:rsidRPr="007C268B">
              <w:rPr>
                <w:rFonts w:ascii="Times New Roman" w:hAnsi="Times New Roman" w:cs="Times New Roman"/>
                <w:sz w:val="20"/>
                <w:szCs w:val="20"/>
              </w:rPr>
              <w:t>Crospovidone(mg)</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20</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26</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w:t>
            </w:r>
          </w:p>
        </w:tc>
      </w:tr>
      <w:tr w:rsidR="007C268B" w:rsidRPr="007C268B" w:rsidTr="00647984">
        <w:trPr>
          <w:trHeight w:val="20"/>
        </w:trPr>
        <w:tc>
          <w:tcPr>
            <w:tcW w:w="3510" w:type="dxa"/>
            <w:vAlign w:val="center"/>
          </w:tcPr>
          <w:p w:rsidR="007C268B" w:rsidRPr="007C268B" w:rsidRDefault="007C268B" w:rsidP="007C268B">
            <w:pPr>
              <w:spacing w:after="0" w:line="240" w:lineRule="auto"/>
              <w:jc w:val="both"/>
              <w:rPr>
                <w:rFonts w:ascii="Times New Roman" w:hAnsi="Times New Roman" w:cs="Times New Roman"/>
                <w:sz w:val="20"/>
                <w:szCs w:val="20"/>
              </w:rPr>
            </w:pPr>
            <w:r w:rsidRPr="007C268B">
              <w:rPr>
                <w:rFonts w:ascii="Times New Roman" w:hAnsi="Times New Roman" w:cs="Times New Roman"/>
                <w:sz w:val="20"/>
                <w:szCs w:val="20"/>
              </w:rPr>
              <w:t>SSG(mg)</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20</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26</w:t>
            </w:r>
          </w:p>
        </w:tc>
      </w:tr>
      <w:tr w:rsidR="007C268B" w:rsidRPr="007C268B" w:rsidTr="00647984">
        <w:trPr>
          <w:trHeight w:val="20"/>
        </w:trPr>
        <w:tc>
          <w:tcPr>
            <w:tcW w:w="3510" w:type="dxa"/>
            <w:vAlign w:val="center"/>
          </w:tcPr>
          <w:p w:rsidR="007C268B" w:rsidRPr="007C268B" w:rsidRDefault="007C268B" w:rsidP="007C268B">
            <w:pPr>
              <w:spacing w:after="0" w:line="240" w:lineRule="auto"/>
              <w:jc w:val="both"/>
              <w:rPr>
                <w:rFonts w:ascii="Times New Roman" w:hAnsi="Times New Roman" w:cs="Times New Roman"/>
                <w:sz w:val="20"/>
                <w:szCs w:val="20"/>
              </w:rPr>
            </w:pPr>
            <w:r w:rsidRPr="007C268B">
              <w:rPr>
                <w:rFonts w:ascii="Times New Roman" w:hAnsi="Times New Roman" w:cs="Times New Roman"/>
                <w:sz w:val="20"/>
                <w:szCs w:val="20"/>
              </w:rPr>
              <w:t>Citric acid (mg)</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6</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6</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6</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6</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6</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6</w:t>
            </w:r>
          </w:p>
        </w:tc>
      </w:tr>
      <w:tr w:rsidR="007C268B" w:rsidRPr="007C268B" w:rsidTr="00647984">
        <w:trPr>
          <w:trHeight w:val="20"/>
        </w:trPr>
        <w:tc>
          <w:tcPr>
            <w:tcW w:w="3510" w:type="dxa"/>
            <w:vAlign w:val="center"/>
          </w:tcPr>
          <w:p w:rsidR="007C268B" w:rsidRPr="007C268B" w:rsidRDefault="007C268B" w:rsidP="007C268B">
            <w:pPr>
              <w:spacing w:after="0" w:line="240" w:lineRule="auto"/>
              <w:jc w:val="both"/>
              <w:rPr>
                <w:rFonts w:ascii="Times New Roman" w:hAnsi="Times New Roman" w:cs="Times New Roman"/>
                <w:sz w:val="20"/>
                <w:szCs w:val="20"/>
              </w:rPr>
            </w:pPr>
            <w:r w:rsidRPr="007C268B">
              <w:rPr>
                <w:rFonts w:ascii="Times New Roman" w:hAnsi="Times New Roman" w:cs="Times New Roman"/>
                <w:sz w:val="20"/>
                <w:szCs w:val="20"/>
              </w:rPr>
              <w:t>SLS(mg)</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1</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1</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1</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1</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1</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1</w:t>
            </w:r>
          </w:p>
        </w:tc>
      </w:tr>
      <w:tr w:rsidR="007C268B" w:rsidRPr="007C268B" w:rsidTr="00647984">
        <w:trPr>
          <w:trHeight w:val="20"/>
        </w:trPr>
        <w:tc>
          <w:tcPr>
            <w:tcW w:w="3510" w:type="dxa"/>
            <w:vAlign w:val="center"/>
          </w:tcPr>
          <w:p w:rsidR="007C268B" w:rsidRPr="007C268B" w:rsidRDefault="007C268B" w:rsidP="007C268B">
            <w:pPr>
              <w:spacing w:after="0" w:line="240" w:lineRule="auto"/>
              <w:jc w:val="both"/>
              <w:rPr>
                <w:rFonts w:ascii="Times New Roman" w:hAnsi="Times New Roman" w:cs="Times New Roman"/>
                <w:sz w:val="20"/>
                <w:szCs w:val="20"/>
              </w:rPr>
            </w:pPr>
            <w:r w:rsidRPr="007C268B">
              <w:rPr>
                <w:rFonts w:ascii="Times New Roman" w:hAnsi="Times New Roman" w:cs="Times New Roman"/>
                <w:sz w:val="20"/>
                <w:szCs w:val="20"/>
              </w:rPr>
              <w:t>Orange spirit(mg)</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5</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5</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5</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5</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5</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5</w:t>
            </w:r>
          </w:p>
        </w:tc>
      </w:tr>
      <w:tr w:rsidR="007C268B" w:rsidRPr="007C268B" w:rsidTr="00647984">
        <w:trPr>
          <w:trHeight w:val="20"/>
        </w:trPr>
        <w:tc>
          <w:tcPr>
            <w:tcW w:w="3510" w:type="dxa"/>
            <w:vAlign w:val="center"/>
          </w:tcPr>
          <w:p w:rsidR="007C268B" w:rsidRPr="007C268B" w:rsidRDefault="007C268B" w:rsidP="00647984">
            <w:pPr>
              <w:spacing w:after="0" w:line="240" w:lineRule="auto"/>
              <w:jc w:val="both"/>
              <w:rPr>
                <w:rFonts w:ascii="Times New Roman" w:hAnsi="Times New Roman" w:cs="Times New Roman"/>
                <w:sz w:val="20"/>
                <w:szCs w:val="20"/>
              </w:rPr>
            </w:pPr>
            <w:r w:rsidRPr="007C268B">
              <w:rPr>
                <w:rFonts w:ascii="Times New Roman" w:hAnsi="Times New Roman" w:cs="Times New Roman"/>
                <w:sz w:val="20"/>
                <w:szCs w:val="20"/>
              </w:rPr>
              <w:lastRenderedPageBreak/>
              <w:t>Methanol:Ethanol:Chloroform(solvents)</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6:9:12</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6:9:12</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6:9:12</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6:9:12</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6:9:12</w:t>
            </w:r>
          </w:p>
        </w:tc>
        <w:tc>
          <w:tcPr>
            <w:tcW w:w="993" w:type="dxa"/>
            <w:vAlign w:val="center"/>
          </w:tcPr>
          <w:p w:rsidR="007C268B" w:rsidRPr="007C268B" w:rsidRDefault="007C268B" w:rsidP="007C268B">
            <w:pPr>
              <w:spacing w:after="0" w:line="240" w:lineRule="auto"/>
              <w:jc w:val="center"/>
              <w:rPr>
                <w:rFonts w:ascii="Times New Roman" w:hAnsi="Times New Roman" w:cs="Times New Roman"/>
                <w:sz w:val="20"/>
                <w:szCs w:val="20"/>
              </w:rPr>
            </w:pPr>
            <w:r w:rsidRPr="007C268B">
              <w:rPr>
                <w:rFonts w:ascii="Times New Roman" w:hAnsi="Times New Roman" w:cs="Times New Roman"/>
                <w:sz w:val="20"/>
                <w:szCs w:val="20"/>
              </w:rPr>
              <w:t>6:9:12</w:t>
            </w:r>
          </w:p>
        </w:tc>
      </w:tr>
    </w:tbl>
    <w:p w:rsidR="007C268B" w:rsidRPr="007C268B" w:rsidRDefault="007C268B" w:rsidP="007C268B">
      <w:pPr>
        <w:pStyle w:val="Default"/>
        <w:jc w:val="center"/>
        <w:rPr>
          <w:rFonts w:ascii="Times New Roman" w:hAnsi="Times New Roman"/>
          <w:b/>
          <w:bCs/>
          <w:color w:val="auto"/>
          <w:sz w:val="20"/>
          <w:lang w:val="en-IN"/>
        </w:rPr>
      </w:pPr>
    </w:p>
    <w:p w:rsidR="00AC1905" w:rsidRPr="00AC1905" w:rsidRDefault="00AC1905" w:rsidP="00AC1905">
      <w:pPr>
        <w:pStyle w:val="Default"/>
        <w:spacing w:line="276" w:lineRule="auto"/>
        <w:jc w:val="center"/>
        <w:rPr>
          <w:rFonts w:ascii="Times New Roman" w:hAnsi="Times New Roman" w:cs="Times New Roman"/>
          <w:color w:val="auto"/>
        </w:rPr>
      </w:pPr>
    </w:p>
    <w:p w:rsidR="007C268B" w:rsidRPr="007C268B" w:rsidRDefault="007C268B" w:rsidP="00013AB0">
      <w:pPr>
        <w:spacing w:after="0" w:line="240" w:lineRule="auto"/>
        <w:jc w:val="both"/>
        <w:rPr>
          <w:rFonts w:ascii="Times New Roman" w:hAnsi="Times New Roman" w:cs="Times New Roman"/>
          <w:b/>
          <w:sz w:val="20"/>
          <w:szCs w:val="20"/>
          <w:vertAlign w:val="superscript"/>
        </w:rPr>
      </w:pPr>
      <w:r w:rsidRPr="007C268B">
        <w:rPr>
          <w:rFonts w:ascii="Times New Roman" w:hAnsi="Times New Roman" w:cs="Times New Roman"/>
          <w:b/>
          <w:sz w:val="20"/>
          <w:szCs w:val="20"/>
        </w:rPr>
        <w:t>Evaluation tests for patches:</w:t>
      </w:r>
    </w:p>
    <w:p w:rsidR="00264915" w:rsidRDefault="007C268B" w:rsidP="00013AB0">
      <w:pPr>
        <w:spacing w:after="0" w:line="240" w:lineRule="auto"/>
        <w:jc w:val="both"/>
        <w:rPr>
          <w:rFonts w:ascii="Times New Roman" w:hAnsi="Times New Roman" w:cs="Times New Roman"/>
          <w:b/>
          <w:bCs/>
          <w:sz w:val="20"/>
          <w:szCs w:val="20"/>
        </w:rPr>
      </w:pPr>
      <w:r w:rsidRPr="00013AB0">
        <w:rPr>
          <w:rFonts w:ascii="Times New Roman" w:hAnsi="Times New Roman" w:cs="Times New Roman"/>
          <w:b/>
          <w:bCs/>
          <w:sz w:val="20"/>
          <w:szCs w:val="20"/>
        </w:rPr>
        <w:t xml:space="preserve">Weight Variation: </w:t>
      </w:r>
      <w:r w:rsidR="00264915">
        <w:rPr>
          <w:rFonts w:ascii="Times New Roman" w:hAnsi="Times New Roman" w:cs="Times New Roman"/>
          <w:b/>
          <w:bCs/>
          <w:sz w:val="20"/>
          <w:szCs w:val="20"/>
        </w:rPr>
        <w:t>[5]</w:t>
      </w:r>
    </w:p>
    <w:p w:rsidR="007C268B" w:rsidRPr="00013AB0" w:rsidRDefault="007C268B" w:rsidP="00013AB0">
      <w:pPr>
        <w:spacing w:after="0" w:line="240" w:lineRule="auto"/>
        <w:jc w:val="both"/>
        <w:rPr>
          <w:rFonts w:ascii="Times New Roman" w:hAnsi="Times New Roman" w:cs="Times New Roman"/>
          <w:sz w:val="20"/>
          <w:szCs w:val="20"/>
        </w:rPr>
      </w:pPr>
      <w:r w:rsidRPr="00013AB0">
        <w:rPr>
          <w:rFonts w:ascii="Times New Roman" w:hAnsi="Times New Roman" w:cs="Times New Roman"/>
          <w:sz w:val="20"/>
          <w:szCs w:val="20"/>
        </w:rPr>
        <w:t>The patches were cut in the required sizes and weights were calculated individually.</w:t>
      </w:r>
    </w:p>
    <w:p w:rsidR="00264915" w:rsidRDefault="007C268B" w:rsidP="00013AB0">
      <w:pPr>
        <w:spacing w:after="0" w:line="240" w:lineRule="auto"/>
        <w:jc w:val="both"/>
        <w:rPr>
          <w:rFonts w:ascii="Times New Roman" w:hAnsi="Times New Roman" w:cs="Times New Roman"/>
          <w:b/>
          <w:sz w:val="20"/>
          <w:szCs w:val="20"/>
        </w:rPr>
      </w:pPr>
      <w:r w:rsidRPr="00013AB0">
        <w:rPr>
          <w:rFonts w:ascii="Times New Roman" w:hAnsi="Times New Roman" w:cs="Times New Roman"/>
          <w:b/>
          <w:sz w:val="20"/>
          <w:szCs w:val="20"/>
        </w:rPr>
        <w:t xml:space="preserve">Thickness: </w:t>
      </w:r>
      <w:r w:rsidR="00264915">
        <w:rPr>
          <w:rFonts w:ascii="Times New Roman" w:hAnsi="Times New Roman" w:cs="Times New Roman"/>
          <w:b/>
          <w:sz w:val="20"/>
          <w:szCs w:val="20"/>
        </w:rPr>
        <w:t>[5]</w:t>
      </w:r>
    </w:p>
    <w:p w:rsidR="007C268B" w:rsidRPr="00013AB0" w:rsidRDefault="007C268B" w:rsidP="00013AB0">
      <w:pPr>
        <w:spacing w:after="0" w:line="240" w:lineRule="auto"/>
        <w:jc w:val="both"/>
        <w:rPr>
          <w:rFonts w:ascii="Times New Roman" w:hAnsi="Times New Roman" w:cs="Times New Roman"/>
          <w:b/>
          <w:sz w:val="20"/>
          <w:szCs w:val="20"/>
        </w:rPr>
      </w:pPr>
      <w:r w:rsidRPr="00013AB0">
        <w:rPr>
          <w:rFonts w:ascii="Times New Roman" w:hAnsi="Times New Roman" w:cs="Times New Roman"/>
          <w:sz w:val="20"/>
          <w:szCs w:val="20"/>
        </w:rPr>
        <w:t xml:space="preserve">The thickness of each </w:t>
      </w:r>
      <w:r w:rsidR="00264915" w:rsidRPr="00013AB0">
        <w:rPr>
          <w:rFonts w:ascii="Times New Roman" w:hAnsi="Times New Roman" w:cs="Times New Roman"/>
          <w:sz w:val="20"/>
          <w:szCs w:val="20"/>
        </w:rPr>
        <w:t>patch</w:t>
      </w:r>
      <w:r w:rsidRPr="00013AB0">
        <w:rPr>
          <w:rFonts w:ascii="Times New Roman" w:hAnsi="Times New Roman" w:cs="Times New Roman"/>
          <w:sz w:val="20"/>
          <w:szCs w:val="20"/>
        </w:rPr>
        <w:t xml:space="preserve"> was measured using thickness tester (screw gauge) at different positions of the film and the average was calculated.</w:t>
      </w:r>
    </w:p>
    <w:p w:rsidR="00264915" w:rsidRDefault="007C268B" w:rsidP="00013AB0">
      <w:pPr>
        <w:spacing w:after="0" w:line="240" w:lineRule="auto"/>
        <w:jc w:val="both"/>
        <w:rPr>
          <w:rFonts w:ascii="Times New Roman" w:hAnsi="Times New Roman" w:cs="Times New Roman"/>
          <w:b/>
          <w:bCs/>
          <w:sz w:val="20"/>
          <w:szCs w:val="20"/>
        </w:rPr>
      </w:pPr>
      <w:r w:rsidRPr="00013AB0">
        <w:rPr>
          <w:rFonts w:ascii="Times New Roman" w:hAnsi="Times New Roman" w:cs="Times New Roman"/>
          <w:b/>
          <w:bCs/>
          <w:sz w:val="20"/>
          <w:szCs w:val="20"/>
        </w:rPr>
        <w:t>Moisture Absorption:</w:t>
      </w:r>
      <w:r w:rsidR="00264915">
        <w:rPr>
          <w:rFonts w:ascii="Times New Roman" w:hAnsi="Times New Roman" w:cs="Times New Roman"/>
          <w:b/>
          <w:bCs/>
          <w:sz w:val="20"/>
          <w:szCs w:val="20"/>
        </w:rPr>
        <w:t>[6]</w:t>
      </w:r>
      <w:r w:rsidRPr="00013AB0">
        <w:rPr>
          <w:rFonts w:ascii="Times New Roman" w:hAnsi="Times New Roman" w:cs="Times New Roman"/>
          <w:b/>
          <w:bCs/>
          <w:sz w:val="20"/>
          <w:szCs w:val="20"/>
        </w:rPr>
        <w:t xml:space="preserve"> </w:t>
      </w:r>
    </w:p>
    <w:p w:rsidR="007C268B" w:rsidRPr="00013AB0" w:rsidRDefault="007C268B" w:rsidP="00013AB0">
      <w:pPr>
        <w:spacing w:after="0" w:line="240" w:lineRule="auto"/>
        <w:jc w:val="both"/>
        <w:rPr>
          <w:rFonts w:ascii="Times New Roman" w:hAnsi="Times New Roman" w:cs="Times New Roman"/>
          <w:sz w:val="20"/>
          <w:szCs w:val="20"/>
        </w:rPr>
      </w:pPr>
      <w:r w:rsidRPr="00013AB0">
        <w:rPr>
          <w:rFonts w:ascii="Times New Roman" w:hAnsi="Times New Roman" w:cs="Times New Roman"/>
          <w:sz w:val="20"/>
          <w:szCs w:val="20"/>
        </w:rPr>
        <w:t>The buccal patches were weighed (w</w:t>
      </w:r>
      <w:r w:rsidRPr="00647984">
        <w:rPr>
          <w:rFonts w:ascii="Times New Roman" w:hAnsi="Times New Roman" w:cs="Times New Roman"/>
          <w:sz w:val="20"/>
          <w:szCs w:val="20"/>
          <w:vertAlign w:val="subscript"/>
        </w:rPr>
        <w:t>1</w:t>
      </w:r>
      <w:r w:rsidRPr="00013AB0">
        <w:rPr>
          <w:rFonts w:ascii="Times New Roman" w:hAnsi="Times New Roman" w:cs="Times New Roman"/>
          <w:sz w:val="20"/>
          <w:szCs w:val="20"/>
        </w:rPr>
        <w:t>) and placed in desiccators having anhydrous Aluminium chloride. After 3 days, the patches were reweighed (w</w:t>
      </w:r>
      <w:r w:rsidRPr="00647984">
        <w:rPr>
          <w:rFonts w:ascii="Times New Roman" w:hAnsi="Times New Roman" w:cs="Times New Roman"/>
          <w:sz w:val="20"/>
          <w:szCs w:val="20"/>
          <w:vertAlign w:val="subscript"/>
        </w:rPr>
        <w:t>2</w:t>
      </w:r>
      <w:r w:rsidRPr="00013AB0">
        <w:rPr>
          <w:rFonts w:ascii="Times New Roman" w:hAnsi="Times New Roman" w:cs="Times New Roman"/>
          <w:sz w:val="20"/>
          <w:szCs w:val="20"/>
        </w:rPr>
        <w:t>). The % moisture absorption was calculated using</w:t>
      </w:r>
    </w:p>
    <w:p w:rsidR="007C268B" w:rsidRPr="007C268B" w:rsidRDefault="007C268B" w:rsidP="007C268B">
      <w:pPr>
        <w:spacing w:after="0" w:line="240" w:lineRule="auto"/>
        <w:ind w:left="720"/>
        <w:jc w:val="center"/>
        <w:rPr>
          <w:rFonts w:ascii="Times New Roman" w:hAnsi="Times New Roman" w:cs="Times New Roman"/>
          <w:b/>
          <w:sz w:val="20"/>
          <w:szCs w:val="20"/>
        </w:rPr>
      </w:pPr>
      <w:r w:rsidRPr="007C268B">
        <w:rPr>
          <w:rFonts w:ascii="Times New Roman" w:hAnsi="Times New Roman" w:cs="Times New Roman"/>
          <w:b/>
          <w:sz w:val="20"/>
          <w:szCs w:val="20"/>
        </w:rPr>
        <w:t xml:space="preserve">% Moisture absorption = </w:t>
      </w:r>
      <m:oMath>
        <m:f>
          <m:fPr>
            <m:ctrlPr>
              <w:rPr>
                <w:rFonts w:ascii="Cambria Math" w:hAnsi="Times New Roman" w:cs="Times New Roman"/>
                <w:b/>
                <w:i/>
                <w:sz w:val="20"/>
                <w:szCs w:val="20"/>
              </w:rPr>
            </m:ctrlPr>
          </m:fPr>
          <m:num>
            <m:r>
              <m:rPr>
                <m:sty m:val="b"/>
              </m:rPr>
              <w:rPr>
                <w:rFonts w:ascii="Cambria Math" w:hAnsi="Cambria Math" w:cs="Times New Roman"/>
                <w:sz w:val="20"/>
                <w:szCs w:val="20"/>
              </w:rPr>
              <m:t>Final</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weight</m:t>
            </m:r>
            <m:r>
              <m:rPr>
                <m:sty m:val="b"/>
              </m:rPr>
              <w:rPr>
                <w:rFonts w:ascii="Times New Roman" w:hAnsi="Times New Roman" w:cs="Times New Roman"/>
                <w:sz w:val="20"/>
                <w:szCs w:val="20"/>
              </w:rPr>
              <m:t>-</m:t>
            </m:r>
            <m:r>
              <m:rPr>
                <m:sty m:val="b"/>
              </m:rPr>
              <w:rPr>
                <w:rFonts w:ascii="Cambria Math" w:hAnsi="Cambria Math" w:cs="Times New Roman"/>
                <w:sz w:val="20"/>
                <w:szCs w:val="20"/>
              </w:rPr>
              <m:t>initial</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weight</m:t>
            </m:r>
          </m:num>
          <m:den>
            <m:r>
              <m:rPr>
                <m:sty m:val="b"/>
              </m:rPr>
              <w:rPr>
                <w:rFonts w:ascii="Cambria Math" w:hAnsi="Cambria Math" w:cs="Times New Roman"/>
                <w:sz w:val="20"/>
                <w:szCs w:val="20"/>
              </w:rPr>
              <m:t>initial</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weight</m:t>
            </m:r>
          </m:den>
        </m:f>
      </m:oMath>
      <w:r w:rsidRPr="007C268B">
        <w:rPr>
          <w:rFonts w:ascii="Times New Roman" w:eastAsiaTheme="minorEastAsia" w:hAnsi="Times New Roman" w:cs="Times New Roman"/>
          <w:b/>
          <w:sz w:val="20"/>
          <w:szCs w:val="20"/>
        </w:rPr>
        <w:t>X 100</w:t>
      </w:r>
    </w:p>
    <w:p w:rsidR="00264915" w:rsidRDefault="007C268B" w:rsidP="00013AB0">
      <w:pPr>
        <w:spacing w:after="0" w:line="240" w:lineRule="auto"/>
        <w:jc w:val="both"/>
        <w:rPr>
          <w:rFonts w:ascii="Times New Roman" w:hAnsi="Times New Roman" w:cs="Times New Roman"/>
          <w:b/>
          <w:bCs/>
          <w:sz w:val="20"/>
          <w:szCs w:val="20"/>
        </w:rPr>
      </w:pPr>
      <w:r w:rsidRPr="00013AB0">
        <w:rPr>
          <w:rFonts w:ascii="Times New Roman" w:hAnsi="Times New Roman" w:cs="Times New Roman"/>
          <w:b/>
          <w:bCs/>
          <w:sz w:val="20"/>
          <w:szCs w:val="20"/>
        </w:rPr>
        <w:t xml:space="preserve">Moisture Loss: </w:t>
      </w:r>
      <w:r w:rsidR="00264915">
        <w:rPr>
          <w:rFonts w:ascii="Times New Roman" w:hAnsi="Times New Roman" w:cs="Times New Roman"/>
          <w:b/>
          <w:bCs/>
          <w:sz w:val="20"/>
          <w:szCs w:val="20"/>
        </w:rPr>
        <w:t>[6]</w:t>
      </w:r>
    </w:p>
    <w:p w:rsidR="007C268B" w:rsidRPr="00013AB0" w:rsidRDefault="007C268B" w:rsidP="00013AB0">
      <w:pPr>
        <w:spacing w:after="0" w:line="240" w:lineRule="auto"/>
        <w:jc w:val="both"/>
        <w:rPr>
          <w:rFonts w:ascii="Times New Roman" w:hAnsi="Times New Roman" w:cs="Times New Roman"/>
          <w:sz w:val="20"/>
          <w:szCs w:val="20"/>
        </w:rPr>
      </w:pPr>
      <w:r w:rsidRPr="00013AB0">
        <w:rPr>
          <w:rFonts w:ascii="Times New Roman" w:hAnsi="Times New Roman" w:cs="Times New Roman"/>
          <w:sz w:val="20"/>
          <w:szCs w:val="20"/>
        </w:rPr>
        <w:t xml:space="preserve">The buccal patches were weighed (w1) and placed </w:t>
      </w:r>
      <w:r w:rsidR="00647984">
        <w:rPr>
          <w:rFonts w:ascii="Times New Roman" w:hAnsi="Times New Roman" w:cs="Times New Roman"/>
          <w:sz w:val="20"/>
          <w:szCs w:val="20"/>
        </w:rPr>
        <w:t>in desiccators having anhydrous c</w:t>
      </w:r>
      <w:r w:rsidRPr="00013AB0">
        <w:rPr>
          <w:rFonts w:ascii="Times New Roman" w:hAnsi="Times New Roman" w:cs="Times New Roman"/>
          <w:sz w:val="20"/>
          <w:szCs w:val="20"/>
        </w:rPr>
        <w:t xml:space="preserve">alcium chloride. After 3 days, the patches were reweighed (w2). The % moisture absorption was calculated using </w:t>
      </w:r>
    </w:p>
    <w:p w:rsidR="007C268B" w:rsidRPr="007C268B" w:rsidRDefault="007C268B" w:rsidP="007C268B">
      <w:pPr>
        <w:pStyle w:val="ListParagraph"/>
        <w:spacing w:after="0" w:line="240" w:lineRule="auto"/>
        <w:jc w:val="center"/>
        <w:rPr>
          <w:rFonts w:ascii="Times New Roman" w:hAnsi="Times New Roman" w:cs="Times New Roman"/>
          <w:b/>
          <w:sz w:val="20"/>
          <w:szCs w:val="20"/>
        </w:rPr>
      </w:pPr>
      <w:r w:rsidRPr="007C268B">
        <w:rPr>
          <w:rFonts w:ascii="Times New Roman" w:hAnsi="Times New Roman" w:cs="Times New Roman"/>
          <w:b/>
          <w:sz w:val="20"/>
          <w:szCs w:val="20"/>
        </w:rPr>
        <w:t xml:space="preserve">% Moisture loss = </w:t>
      </w:r>
      <m:oMath>
        <m:f>
          <m:fPr>
            <m:ctrlPr>
              <w:rPr>
                <w:rFonts w:ascii="Cambria Math" w:hAnsi="Times New Roman" w:cs="Times New Roman"/>
                <w:b/>
                <w:i/>
                <w:sz w:val="20"/>
                <w:szCs w:val="20"/>
              </w:rPr>
            </m:ctrlPr>
          </m:fPr>
          <m:num>
            <m:r>
              <m:rPr>
                <m:sty m:val="b"/>
              </m:rPr>
              <w:rPr>
                <w:rFonts w:ascii="Cambria Math" w:hAnsi="Cambria Math" w:cs="Times New Roman"/>
                <w:sz w:val="20"/>
                <w:szCs w:val="20"/>
              </w:rPr>
              <m:t>Initial</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weight-Final</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weight</m:t>
            </m:r>
          </m:num>
          <m:den>
            <m:r>
              <m:rPr>
                <m:sty m:val="b"/>
              </m:rPr>
              <w:rPr>
                <w:rFonts w:ascii="Cambria Math" w:hAnsi="Cambria Math" w:cs="Times New Roman"/>
                <w:sz w:val="20"/>
                <w:szCs w:val="20"/>
              </w:rPr>
              <m:t>initial</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weight</m:t>
            </m:r>
          </m:den>
        </m:f>
      </m:oMath>
      <w:r w:rsidRPr="007C268B">
        <w:rPr>
          <w:rFonts w:ascii="Times New Roman" w:eastAsiaTheme="minorEastAsia" w:hAnsi="Times New Roman" w:cs="Times New Roman"/>
          <w:b/>
          <w:sz w:val="20"/>
          <w:szCs w:val="20"/>
        </w:rPr>
        <w:t>X 100</w:t>
      </w:r>
    </w:p>
    <w:p w:rsidR="00264915" w:rsidRDefault="007C268B" w:rsidP="00013AB0">
      <w:pPr>
        <w:autoSpaceDE w:val="0"/>
        <w:autoSpaceDN w:val="0"/>
        <w:adjustRightInd w:val="0"/>
        <w:spacing w:after="0" w:line="240" w:lineRule="auto"/>
        <w:jc w:val="both"/>
        <w:rPr>
          <w:rFonts w:ascii="Times New Roman" w:hAnsi="Times New Roman" w:cs="Times New Roman"/>
          <w:b/>
          <w:sz w:val="20"/>
          <w:szCs w:val="20"/>
        </w:rPr>
      </w:pPr>
      <w:r w:rsidRPr="00013AB0">
        <w:rPr>
          <w:rFonts w:ascii="Times New Roman" w:hAnsi="Times New Roman" w:cs="Times New Roman"/>
          <w:b/>
          <w:sz w:val="20"/>
          <w:szCs w:val="20"/>
        </w:rPr>
        <w:t xml:space="preserve">Folding Endurance: </w:t>
      </w:r>
      <w:r w:rsidR="00264915">
        <w:rPr>
          <w:rFonts w:ascii="Times New Roman" w:hAnsi="Times New Roman" w:cs="Times New Roman"/>
          <w:b/>
          <w:sz w:val="20"/>
          <w:szCs w:val="20"/>
        </w:rPr>
        <w:t>[7]</w:t>
      </w:r>
    </w:p>
    <w:p w:rsidR="007C268B" w:rsidRPr="00013AB0" w:rsidRDefault="007C268B" w:rsidP="00013AB0">
      <w:pPr>
        <w:autoSpaceDE w:val="0"/>
        <w:autoSpaceDN w:val="0"/>
        <w:adjustRightInd w:val="0"/>
        <w:spacing w:after="0" w:line="240" w:lineRule="auto"/>
        <w:jc w:val="both"/>
        <w:rPr>
          <w:rFonts w:ascii="Times New Roman" w:hAnsi="Times New Roman" w:cs="Times New Roman"/>
          <w:sz w:val="20"/>
          <w:szCs w:val="20"/>
        </w:rPr>
      </w:pPr>
      <w:r w:rsidRPr="00013AB0">
        <w:rPr>
          <w:rFonts w:ascii="Times New Roman" w:hAnsi="Times New Roman" w:cs="Times New Roman"/>
          <w:sz w:val="20"/>
          <w:szCs w:val="20"/>
        </w:rPr>
        <w:t xml:space="preserve">Folding endurance of the buccal patches was determined by taking 20mmdiameter of patch was repeatedly folding at the same place till it broke. The no oftimes of patch could be folded at the same place without breaking gave the value ofthe folding endurance. </w:t>
      </w:r>
    </w:p>
    <w:p w:rsidR="00264915" w:rsidRDefault="007C268B" w:rsidP="00013AB0">
      <w:pPr>
        <w:spacing w:after="0" w:line="240" w:lineRule="auto"/>
        <w:jc w:val="both"/>
        <w:rPr>
          <w:rFonts w:ascii="Times New Roman" w:hAnsi="Times New Roman" w:cs="Times New Roman"/>
          <w:b/>
          <w:sz w:val="20"/>
          <w:szCs w:val="20"/>
        </w:rPr>
      </w:pPr>
      <w:r w:rsidRPr="00013AB0">
        <w:rPr>
          <w:rFonts w:ascii="Times New Roman" w:hAnsi="Times New Roman" w:cs="Times New Roman"/>
          <w:b/>
          <w:sz w:val="20"/>
          <w:szCs w:val="20"/>
        </w:rPr>
        <w:t xml:space="preserve">Drug content uniformity: </w:t>
      </w:r>
    </w:p>
    <w:p w:rsidR="007C268B" w:rsidRPr="00013AB0" w:rsidRDefault="007C268B" w:rsidP="00013AB0">
      <w:pPr>
        <w:spacing w:after="0" w:line="240" w:lineRule="auto"/>
        <w:jc w:val="both"/>
        <w:rPr>
          <w:rFonts w:ascii="Times New Roman" w:hAnsi="Times New Roman" w:cs="Times New Roman"/>
          <w:b/>
          <w:sz w:val="20"/>
          <w:szCs w:val="20"/>
        </w:rPr>
      </w:pPr>
      <w:r w:rsidRPr="00013AB0">
        <w:rPr>
          <w:rFonts w:ascii="Times New Roman" w:hAnsi="Times New Roman" w:cs="Times New Roman"/>
          <w:sz w:val="20"/>
          <w:szCs w:val="20"/>
        </w:rPr>
        <w:t>The films were tested for the content uniformity. A film of size 1 cm</w:t>
      </w:r>
      <w:r w:rsidRPr="00013AB0">
        <w:rPr>
          <w:rFonts w:ascii="Times New Roman" w:hAnsi="Times New Roman" w:cs="Times New Roman"/>
          <w:sz w:val="20"/>
          <w:szCs w:val="20"/>
          <w:vertAlign w:val="superscript"/>
        </w:rPr>
        <w:t>2</w:t>
      </w:r>
      <w:r w:rsidRPr="00013AB0">
        <w:rPr>
          <w:rFonts w:ascii="Times New Roman" w:hAnsi="Times New Roman" w:cs="Times New Roman"/>
          <w:sz w:val="20"/>
          <w:szCs w:val="20"/>
        </w:rPr>
        <w:t xml:space="preserve"> was cut and placed in the beaker containing 100 ml of 6.8 p</w:t>
      </w:r>
      <w:r w:rsidRPr="00013AB0">
        <w:rPr>
          <w:rFonts w:ascii="Times New Roman" w:hAnsi="Times New Roman" w:cs="Times New Roman"/>
          <w:sz w:val="20"/>
          <w:szCs w:val="20"/>
          <w:vertAlign w:val="superscript"/>
        </w:rPr>
        <w:t>H</w:t>
      </w:r>
      <w:r w:rsidRPr="00013AB0">
        <w:rPr>
          <w:rFonts w:ascii="Times New Roman" w:hAnsi="Times New Roman" w:cs="Times New Roman"/>
          <w:sz w:val="20"/>
          <w:szCs w:val="20"/>
        </w:rPr>
        <w:t xml:space="preserve"> phosphate buffer. The films were allowed to dissolve in the solution. The contents were transferred to a volumetric flask. The absorbance of the solution was subjected to spectrophotometric analysis (UV-Visible) to determine absorbance at ƛ</w:t>
      </w:r>
      <w:r w:rsidRPr="00013AB0">
        <w:rPr>
          <w:rFonts w:ascii="Times New Roman" w:hAnsi="Times New Roman" w:cs="Times New Roman"/>
          <w:sz w:val="20"/>
          <w:szCs w:val="20"/>
          <w:vertAlign w:val="subscript"/>
        </w:rPr>
        <w:t>max</w:t>
      </w:r>
      <w:r w:rsidRPr="00013AB0">
        <w:rPr>
          <w:rFonts w:ascii="Times New Roman" w:hAnsi="Times New Roman" w:cs="Times New Roman"/>
          <w:sz w:val="20"/>
          <w:szCs w:val="20"/>
        </w:rPr>
        <w:t xml:space="preserve"> of 252 nm.</w:t>
      </w:r>
    </w:p>
    <w:p w:rsidR="00264915" w:rsidRDefault="007C268B" w:rsidP="00013AB0">
      <w:pPr>
        <w:spacing w:after="0" w:line="240" w:lineRule="auto"/>
        <w:jc w:val="both"/>
        <w:rPr>
          <w:rFonts w:ascii="Times New Roman" w:hAnsi="Times New Roman" w:cs="Times New Roman"/>
          <w:b/>
          <w:sz w:val="20"/>
          <w:szCs w:val="20"/>
        </w:rPr>
      </w:pPr>
      <w:r w:rsidRPr="00013AB0">
        <w:rPr>
          <w:rFonts w:ascii="Times New Roman" w:hAnsi="Times New Roman" w:cs="Times New Roman"/>
          <w:b/>
          <w:sz w:val="20"/>
          <w:szCs w:val="20"/>
        </w:rPr>
        <w:t>Surface p</w:t>
      </w:r>
      <w:r w:rsidRPr="00013AB0">
        <w:rPr>
          <w:rFonts w:ascii="Times New Roman" w:hAnsi="Times New Roman" w:cs="Times New Roman"/>
          <w:b/>
          <w:sz w:val="20"/>
          <w:szCs w:val="20"/>
          <w:vertAlign w:val="superscript"/>
        </w:rPr>
        <w:t>H</w:t>
      </w:r>
      <w:r w:rsidRPr="00013AB0">
        <w:rPr>
          <w:rFonts w:ascii="Times New Roman" w:hAnsi="Times New Roman" w:cs="Times New Roman"/>
          <w:b/>
          <w:sz w:val="20"/>
          <w:szCs w:val="20"/>
        </w:rPr>
        <w:t xml:space="preserve">: </w:t>
      </w:r>
      <w:r w:rsidR="00264915">
        <w:rPr>
          <w:rFonts w:ascii="Times New Roman" w:hAnsi="Times New Roman" w:cs="Times New Roman"/>
          <w:b/>
          <w:sz w:val="20"/>
          <w:szCs w:val="20"/>
        </w:rPr>
        <w:t>[8]</w:t>
      </w:r>
    </w:p>
    <w:p w:rsidR="007C268B" w:rsidRPr="00013AB0" w:rsidRDefault="007C268B" w:rsidP="00013AB0">
      <w:pPr>
        <w:spacing w:after="0" w:line="240" w:lineRule="auto"/>
        <w:jc w:val="both"/>
        <w:rPr>
          <w:rFonts w:ascii="Times New Roman" w:hAnsi="Times New Roman" w:cs="Times New Roman"/>
          <w:b/>
          <w:sz w:val="20"/>
          <w:szCs w:val="20"/>
        </w:rPr>
      </w:pPr>
      <w:r w:rsidRPr="00013AB0">
        <w:rPr>
          <w:rFonts w:ascii="Times New Roman" w:hAnsi="Times New Roman" w:cs="Times New Roman"/>
          <w:sz w:val="20"/>
          <w:szCs w:val="20"/>
        </w:rPr>
        <w:t>For surface p</w:t>
      </w:r>
      <w:r w:rsidRPr="00013AB0">
        <w:rPr>
          <w:rFonts w:ascii="Times New Roman" w:hAnsi="Times New Roman" w:cs="Times New Roman"/>
          <w:sz w:val="20"/>
          <w:szCs w:val="20"/>
          <w:vertAlign w:val="superscript"/>
        </w:rPr>
        <w:t>H</w:t>
      </w:r>
      <w:r w:rsidRPr="00013AB0">
        <w:rPr>
          <w:rFonts w:ascii="Times New Roman" w:hAnsi="Times New Roman" w:cs="Times New Roman"/>
          <w:sz w:val="20"/>
          <w:szCs w:val="20"/>
        </w:rPr>
        <w:t xml:space="preserve"> determination, the patches were left to swell for 2 hours in 6.8 p</w:t>
      </w:r>
      <w:r w:rsidRPr="00013AB0">
        <w:rPr>
          <w:rFonts w:ascii="Times New Roman" w:hAnsi="Times New Roman" w:cs="Times New Roman"/>
          <w:sz w:val="20"/>
          <w:szCs w:val="20"/>
          <w:vertAlign w:val="superscript"/>
        </w:rPr>
        <w:t>H</w:t>
      </w:r>
      <w:r w:rsidRPr="00013AB0">
        <w:rPr>
          <w:rFonts w:ascii="Times New Roman" w:hAnsi="Times New Roman" w:cs="Times New Roman"/>
          <w:sz w:val="20"/>
          <w:szCs w:val="20"/>
        </w:rPr>
        <w:t xml:space="preserve"> phosphate buffer. The surface p</w:t>
      </w:r>
      <w:r w:rsidRPr="00013AB0">
        <w:rPr>
          <w:rFonts w:ascii="Times New Roman" w:hAnsi="Times New Roman" w:cs="Times New Roman"/>
          <w:sz w:val="20"/>
          <w:szCs w:val="20"/>
          <w:vertAlign w:val="superscript"/>
        </w:rPr>
        <w:t>H</w:t>
      </w:r>
      <w:r w:rsidR="00647984">
        <w:rPr>
          <w:rFonts w:ascii="Times New Roman" w:hAnsi="Times New Roman" w:cs="Times New Roman"/>
          <w:sz w:val="20"/>
          <w:szCs w:val="20"/>
          <w:vertAlign w:val="superscript"/>
        </w:rPr>
        <w:t xml:space="preserve"> </w:t>
      </w:r>
      <w:r w:rsidRPr="00013AB0">
        <w:rPr>
          <w:rFonts w:ascii="Times New Roman" w:hAnsi="Times New Roman" w:cs="Times New Roman"/>
          <w:sz w:val="20"/>
          <w:szCs w:val="20"/>
        </w:rPr>
        <w:t>was measured by means of p</w:t>
      </w:r>
      <w:r w:rsidRPr="00013AB0">
        <w:rPr>
          <w:rFonts w:ascii="Times New Roman" w:hAnsi="Times New Roman" w:cs="Times New Roman"/>
          <w:sz w:val="20"/>
          <w:szCs w:val="20"/>
          <w:vertAlign w:val="superscript"/>
        </w:rPr>
        <w:t>H</w:t>
      </w:r>
      <w:r w:rsidRPr="00013AB0">
        <w:rPr>
          <w:rFonts w:ascii="Times New Roman" w:hAnsi="Times New Roman" w:cs="Times New Roman"/>
          <w:sz w:val="20"/>
          <w:szCs w:val="20"/>
        </w:rPr>
        <w:t xml:space="preserve"> paper placed on the surface of the patches. The mean of three readings was recorded.</w:t>
      </w:r>
    </w:p>
    <w:p w:rsidR="007C268B" w:rsidRPr="00013AB0" w:rsidRDefault="007C268B" w:rsidP="00013AB0">
      <w:pPr>
        <w:spacing w:after="0" w:line="240" w:lineRule="auto"/>
        <w:jc w:val="both"/>
        <w:rPr>
          <w:rFonts w:ascii="Times New Roman" w:hAnsi="Times New Roman" w:cs="Times New Roman"/>
          <w:b/>
          <w:sz w:val="20"/>
          <w:szCs w:val="20"/>
        </w:rPr>
      </w:pPr>
      <w:r w:rsidRPr="00013AB0">
        <w:rPr>
          <w:rFonts w:ascii="Times New Roman" w:hAnsi="Times New Roman" w:cs="Times New Roman"/>
          <w:b/>
          <w:sz w:val="20"/>
          <w:szCs w:val="20"/>
        </w:rPr>
        <w:t xml:space="preserve">Swelling Index: </w:t>
      </w:r>
      <w:r w:rsidRPr="00013AB0">
        <w:rPr>
          <w:rFonts w:ascii="Times New Roman" w:hAnsi="Times New Roman" w:cs="Times New Roman"/>
          <w:sz w:val="20"/>
          <w:szCs w:val="20"/>
        </w:rPr>
        <w:t>A drug loaded film of 1 cm</w:t>
      </w:r>
      <w:r w:rsidRPr="00013AB0">
        <w:rPr>
          <w:rFonts w:ascii="Times New Roman" w:hAnsi="Times New Roman" w:cs="Times New Roman"/>
          <w:sz w:val="20"/>
          <w:szCs w:val="20"/>
          <w:vertAlign w:val="superscript"/>
        </w:rPr>
        <w:t xml:space="preserve">2 </w:t>
      </w:r>
      <w:r w:rsidRPr="00013AB0">
        <w:rPr>
          <w:rFonts w:ascii="Times New Roman" w:hAnsi="Times New Roman" w:cs="Times New Roman"/>
          <w:sz w:val="20"/>
          <w:szCs w:val="20"/>
        </w:rPr>
        <w:t>was weighed and then placed in the 50 ml of 6.8 p</w:t>
      </w:r>
      <w:r w:rsidRPr="00013AB0">
        <w:rPr>
          <w:rFonts w:ascii="Times New Roman" w:hAnsi="Times New Roman" w:cs="Times New Roman"/>
          <w:sz w:val="20"/>
          <w:szCs w:val="20"/>
          <w:vertAlign w:val="superscript"/>
        </w:rPr>
        <w:t>H</w:t>
      </w:r>
      <w:r w:rsidRPr="00013AB0">
        <w:rPr>
          <w:rFonts w:ascii="Times New Roman" w:hAnsi="Times New Roman" w:cs="Times New Roman"/>
          <w:sz w:val="20"/>
          <w:szCs w:val="20"/>
        </w:rPr>
        <w:t xml:space="preserve"> phosphate buffer. After 2 hours the patch was removed and again reweighed. The difference in the final and initial weights gave the results of weight increase due to the absorption of water and swelling of film.</w:t>
      </w:r>
    </w:p>
    <w:p w:rsidR="007C268B" w:rsidRPr="007C268B" w:rsidRDefault="007C268B" w:rsidP="007C268B">
      <w:pPr>
        <w:pStyle w:val="ListParagraph"/>
        <w:spacing w:after="0" w:line="240" w:lineRule="auto"/>
        <w:jc w:val="center"/>
        <w:rPr>
          <w:rFonts w:ascii="Times New Roman" w:hAnsi="Times New Roman" w:cs="Times New Roman"/>
          <w:b/>
          <w:sz w:val="20"/>
          <w:szCs w:val="20"/>
        </w:rPr>
      </w:pPr>
      <w:r w:rsidRPr="007C268B">
        <w:rPr>
          <w:rFonts w:ascii="Times New Roman" w:hAnsi="Times New Roman" w:cs="Times New Roman"/>
          <w:b/>
          <w:sz w:val="20"/>
          <w:szCs w:val="20"/>
        </w:rPr>
        <w:t xml:space="preserve">Swelling index = </w:t>
      </w:r>
      <m:oMath>
        <m:f>
          <m:fPr>
            <m:ctrlPr>
              <w:rPr>
                <w:rFonts w:ascii="Cambria Math" w:hAnsi="Times New Roman" w:cs="Times New Roman"/>
                <w:b/>
                <w:i/>
                <w:sz w:val="20"/>
                <w:szCs w:val="20"/>
              </w:rPr>
            </m:ctrlPr>
          </m:fPr>
          <m:num>
            <m:r>
              <m:rPr>
                <m:sty m:val="b"/>
              </m:rPr>
              <w:rPr>
                <w:rFonts w:ascii="Cambria Math" w:hAnsi="Cambria Math" w:cs="Times New Roman"/>
                <w:sz w:val="20"/>
                <w:szCs w:val="20"/>
              </w:rPr>
              <m:t>Final</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weight</m:t>
            </m:r>
            <m:r>
              <m:rPr>
                <m:sty m:val="b"/>
              </m:rPr>
              <w:rPr>
                <w:rFonts w:ascii="Times New Roman" w:hAnsi="Times New Roman" w:cs="Times New Roman"/>
                <w:sz w:val="20"/>
                <w:szCs w:val="20"/>
              </w:rPr>
              <m:t>-</m:t>
            </m:r>
            <m:r>
              <m:rPr>
                <m:sty m:val="b"/>
              </m:rPr>
              <w:rPr>
                <w:rFonts w:ascii="Cambria Math" w:hAnsi="Cambria Math" w:cs="Times New Roman"/>
                <w:sz w:val="20"/>
                <w:szCs w:val="20"/>
              </w:rPr>
              <m:t>initial</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weight</m:t>
            </m:r>
          </m:num>
          <m:den>
            <m:r>
              <m:rPr>
                <m:sty m:val="b"/>
              </m:rPr>
              <w:rPr>
                <w:rFonts w:ascii="Cambria Math" w:hAnsi="Cambria Math" w:cs="Times New Roman"/>
                <w:sz w:val="20"/>
                <w:szCs w:val="20"/>
              </w:rPr>
              <m:t>initial</m:t>
            </m:r>
            <m:r>
              <m:rPr>
                <m:sty m:val="b"/>
              </m:rPr>
              <w:rPr>
                <w:rFonts w:ascii="Cambria Math" w:hAnsi="Times New Roman" w:cs="Times New Roman"/>
                <w:sz w:val="20"/>
                <w:szCs w:val="20"/>
              </w:rPr>
              <m:t xml:space="preserve"> </m:t>
            </m:r>
            <m:r>
              <m:rPr>
                <m:sty m:val="b"/>
              </m:rPr>
              <w:rPr>
                <w:rFonts w:ascii="Cambria Math" w:hAnsi="Cambria Math" w:cs="Times New Roman"/>
                <w:sz w:val="20"/>
                <w:szCs w:val="20"/>
              </w:rPr>
              <m:t>weight</m:t>
            </m:r>
          </m:den>
        </m:f>
      </m:oMath>
      <w:r w:rsidRPr="007C268B">
        <w:rPr>
          <w:rFonts w:ascii="Times New Roman" w:eastAsiaTheme="minorEastAsia" w:hAnsi="Times New Roman" w:cs="Times New Roman"/>
          <w:b/>
          <w:sz w:val="20"/>
          <w:szCs w:val="20"/>
        </w:rPr>
        <w:t>X 100</w:t>
      </w:r>
    </w:p>
    <w:p w:rsidR="007C268B" w:rsidRPr="00013AB0" w:rsidRDefault="007C268B" w:rsidP="00013AB0">
      <w:pPr>
        <w:spacing w:after="0" w:line="240" w:lineRule="auto"/>
        <w:jc w:val="both"/>
        <w:rPr>
          <w:rFonts w:ascii="Times New Roman" w:hAnsi="Times New Roman" w:cs="Times New Roman"/>
          <w:b/>
          <w:sz w:val="20"/>
          <w:szCs w:val="20"/>
        </w:rPr>
      </w:pPr>
      <w:r w:rsidRPr="00013AB0">
        <w:rPr>
          <w:rFonts w:ascii="Times New Roman" w:hAnsi="Times New Roman" w:cs="Times New Roman"/>
          <w:b/>
          <w:sz w:val="20"/>
          <w:szCs w:val="20"/>
        </w:rPr>
        <w:t xml:space="preserve">Disintegration time: </w:t>
      </w:r>
      <w:r w:rsidRPr="00013AB0">
        <w:rPr>
          <w:rFonts w:ascii="Times New Roman" w:hAnsi="Times New Roman" w:cs="Times New Roman"/>
          <w:sz w:val="20"/>
          <w:szCs w:val="20"/>
        </w:rPr>
        <w:t>It is an important tool in designing the dosage form. It is the time required for the dosage form to break up into granules of specified size under carefully specified conditions.</w:t>
      </w:r>
    </w:p>
    <w:p w:rsidR="007C268B" w:rsidRPr="00013AB0" w:rsidRDefault="007C268B" w:rsidP="00013AB0">
      <w:pPr>
        <w:spacing w:after="0" w:line="240" w:lineRule="auto"/>
        <w:jc w:val="both"/>
        <w:rPr>
          <w:rFonts w:ascii="Times New Roman" w:hAnsi="Times New Roman" w:cs="Times New Roman"/>
          <w:b/>
          <w:sz w:val="20"/>
          <w:szCs w:val="20"/>
        </w:rPr>
      </w:pPr>
      <w:r w:rsidRPr="00013AB0">
        <w:rPr>
          <w:rFonts w:ascii="Times New Roman" w:hAnsi="Times New Roman" w:cs="Times New Roman"/>
          <w:b/>
          <w:sz w:val="20"/>
          <w:szCs w:val="20"/>
        </w:rPr>
        <w:t xml:space="preserve">Diffusion Studies: </w:t>
      </w:r>
      <w:r w:rsidRPr="00013AB0">
        <w:rPr>
          <w:rFonts w:ascii="Times New Roman" w:hAnsi="Times New Roman" w:cs="Times New Roman"/>
          <w:sz w:val="20"/>
          <w:szCs w:val="20"/>
        </w:rPr>
        <w:t>The prepared patches were cut according the required size and the attached to the open-end glass test tube; it is placed in the beaker containing 6.8 p</w:t>
      </w:r>
      <w:r w:rsidR="00D4128A">
        <w:rPr>
          <w:rFonts w:ascii="Times New Roman" w:hAnsi="Times New Roman" w:cs="Times New Roman"/>
          <w:sz w:val="20"/>
          <w:szCs w:val="20"/>
        </w:rPr>
        <w:t>H</w:t>
      </w:r>
      <w:r w:rsidRPr="00013AB0">
        <w:rPr>
          <w:rFonts w:ascii="Times New Roman" w:hAnsi="Times New Roman" w:cs="Times New Roman"/>
          <w:sz w:val="20"/>
          <w:szCs w:val="20"/>
        </w:rPr>
        <w:t xml:space="preserve"> phosphate buffer. The beaker is kept on the magnetic stirrer and temperature of 37±0.5</w:t>
      </w:r>
      <w:r w:rsidRPr="00013AB0">
        <w:rPr>
          <w:rFonts w:ascii="Times New Roman" w:hAnsi="Times New Roman" w:cs="Times New Roman"/>
          <w:sz w:val="20"/>
          <w:szCs w:val="20"/>
          <w:vertAlign w:val="superscript"/>
        </w:rPr>
        <w:t>0</w:t>
      </w:r>
      <w:r w:rsidRPr="00013AB0">
        <w:rPr>
          <w:rFonts w:ascii="Times New Roman" w:hAnsi="Times New Roman" w:cs="Times New Roman"/>
          <w:sz w:val="20"/>
          <w:szCs w:val="20"/>
        </w:rPr>
        <w:t xml:space="preserve"> C was maintained. Aliquot amount of samples are withdrawn at an interval of 1 minute and same amount of fresh medium was replaced. The absorbance of the solution was subjected to spectrophotometric analysis (UV-Visible) to determine absorbance at ƛ</w:t>
      </w:r>
      <w:r w:rsidRPr="00013AB0">
        <w:rPr>
          <w:rFonts w:ascii="Times New Roman" w:hAnsi="Times New Roman" w:cs="Times New Roman"/>
          <w:sz w:val="20"/>
          <w:szCs w:val="20"/>
          <w:vertAlign w:val="subscript"/>
        </w:rPr>
        <w:t>max</w:t>
      </w:r>
      <w:r w:rsidRPr="00013AB0">
        <w:rPr>
          <w:rFonts w:ascii="Times New Roman" w:hAnsi="Times New Roman" w:cs="Times New Roman"/>
          <w:sz w:val="20"/>
          <w:szCs w:val="20"/>
        </w:rPr>
        <w:t xml:space="preserve"> of 260 nm.</w:t>
      </w:r>
    </w:p>
    <w:p w:rsidR="007C268B" w:rsidRPr="00013AB0" w:rsidRDefault="007C268B" w:rsidP="00013AB0">
      <w:pPr>
        <w:spacing w:after="0" w:line="240" w:lineRule="auto"/>
        <w:jc w:val="both"/>
        <w:rPr>
          <w:rFonts w:ascii="Times New Roman" w:hAnsi="Times New Roman" w:cs="Times New Roman"/>
          <w:sz w:val="20"/>
          <w:szCs w:val="20"/>
        </w:rPr>
      </w:pPr>
      <w:r w:rsidRPr="00013AB0">
        <w:rPr>
          <w:rFonts w:ascii="Times New Roman" w:hAnsi="Times New Roman" w:cs="Times New Roman"/>
          <w:b/>
          <w:sz w:val="20"/>
          <w:szCs w:val="20"/>
        </w:rPr>
        <w:t xml:space="preserve">Kinetic study: </w:t>
      </w:r>
    </w:p>
    <w:p w:rsidR="007C268B" w:rsidRPr="00013AB0" w:rsidRDefault="007C268B" w:rsidP="00013AB0">
      <w:pPr>
        <w:spacing w:after="0" w:line="240" w:lineRule="auto"/>
        <w:jc w:val="both"/>
        <w:rPr>
          <w:rFonts w:ascii="Times New Roman" w:hAnsi="Times New Roman" w:cs="Times New Roman"/>
          <w:sz w:val="20"/>
          <w:szCs w:val="20"/>
        </w:rPr>
      </w:pPr>
      <w:r w:rsidRPr="00013AB0">
        <w:rPr>
          <w:rFonts w:ascii="Times New Roman" w:hAnsi="Times New Roman" w:cs="Times New Roman"/>
          <w:sz w:val="20"/>
          <w:szCs w:val="20"/>
        </w:rPr>
        <w:t>The matrix systems were reported to follow the zero order release rate and the   Diffusion mechanism for the release of the drug. To analyze the mechanism for the release and release rate kinetics of the dosage form, the data obtained was fitted into, Zero order, First order, Higuchi matrix and peppa’s model. In this by comparing the r</w:t>
      </w:r>
      <w:r w:rsidRPr="00013AB0">
        <w:rPr>
          <w:rFonts w:ascii="Times New Roman" w:hAnsi="Times New Roman" w:cs="Times New Roman"/>
          <w:sz w:val="20"/>
          <w:szCs w:val="20"/>
          <w:vertAlign w:val="superscript"/>
        </w:rPr>
        <w:t>2</w:t>
      </w:r>
      <w:r w:rsidRPr="00013AB0">
        <w:rPr>
          <w:rFonts w:ascii="Times New Roman" w:hAnsi="Times New Roman" w:cs="Times New Roman"/>
          <w:sz w:val="20"/>
          <w:szCs w:val="20"/>
        </w:rPr>
        <w:t xml:space="preserve"> Values obtained, the best fit model was selected. </w:t>
      </w:r>
    </w:p>
    <w:p w:rsidR="00387312" w:rsidRDefault="007C268B" w:rsidP="007C268B">
      <w:pPr>
        <w:pStyle w:val="ListParagraph"/>
        <w:numPr>
          <w:ilvl w:val="0"/>
          <w:numId w:val="2"/>
        </w:numPr>
        <w:tabs>
          <w:tab w:val="left" w:pos="8477"/>
        </w:tabs>
        <w:spacing w:after="0" w:line="240" w:lineRule="auto"/>
        <w:jc w:val="center"/>
        <w:rPr>
          <w:rFonts w:ascii="Times New Roman" w:hAnsi="Times New Roman" w:cs="Times New Roman"/>
          <w:b/>
          <w:sz w:val="20"/>
          <w:szCs w:val="24"/>
        </w:rPr>
      </w:pPr>
      <w:r w:rsidRPr="007C268B">
        <w:rPr>
          <w:rFonts w:ascii="Times New Roman" w:hAnsi="Times New Roman" w:cs="Times New Roman"/>
          <w:b/>
          <w:sz w:val="20"/>
          <w:szCs w:val="24"/>
        </w:rPr>
        <w:t>RESULTS AND DISCUSSION</w:t>
      </w:r>
    </w:p>
    <w:p w:rsidR="007C268B" w:rsidRDefault="00383C98" w:rsidP="00013AB0">
      <w:pPr>
        <w:tabs>
          <w:tab w:val="left" w:pos="8477"/>
        </w:tabs>
        <w:spacing w:after="0" w:line="240" w:lineRule="auto"/>
        <w:rPr>
          <w:rFonts w:ascii="Times New Roman" w:hAnsi="Times New Roman" w:cs="Times New Roman"/>
          <w:b/>
          <w:sz w:val="20"/>
          <w:szCs w:val="24"/>
        </w:rPr>
      </w:pPr>
      <w:r>
        <w:rPr>
          <w:rFonts w:ascii="Times New Roman" w:hAnsi="Times New Roman" w:cs="Times New Roman"/>
          <w:b/>
          <w:sz w:val="20"/>
          <w:szCs w:val="24"/>
        </w:rPr>
        <w:t xml:space="preserve">Drug polymer </w:t>
      </w:r>
      <w:r w:rsidR="00013AB0">
        <w:rPr>
          <w:rFonts w:ascii="Times New Roman" w:hAnsi="Times New Roman" w:cs="Times New Roman"/>
          <w:b/>
          <w:sz w:val="20"/>
          <w:szCs w:val="24"/>
        </w:rPr>
        <w:t>compatibility</w:t>
      </w:r>
      <w:r>
        <w:rPr>
          <w:rFonts w:ascii="Times New Roman" w:hAnsi="Times New Roman" w:cs="Times New Roman"/>
          <w:b/>
          <w:sz w:val="20"/>
          <w:szCs w:val="24"/>
        </w:rPr>
        <w:t xml:space="preserve"> studies:</w:t>
      </w:r>
    </w:p>
    <w:p w:rsidR="00647984" w:rsidRPr="00647984" w:rsidRDefault="00647984" w:rsidP="00647984">
      <w:pPr>
        <w:tabs>
          <w:tab w:val="left" w:pos="8477"/>
        </w:tabs>
        <w:spacing w:after="0" w:line="240" w:lineRule="auto"/>
        <w:jc w:val="both"/>
        <w:rPr>
          <w:rFonts w:ascii="Times New Roman" w:hAnsi="Times New Roman" w:cs="Times New Roman"/>
          <w:sz w:val="20"/>
          <w:szCs w:val="24"/>
        </w:rPr>
      </w:pPr>
      <w:r w:rsidRPr="00647984">
        <w:rPr>
          <w:rFonts w:ascii="Times New Roman" w:hAnsi="Times New Roman" w:cs="Times New Roman"/>
          <w:sz w:val="20"/>
          <w:szCs w:val="24"/>
        </w:rPr>
        <w:t>The IR spectrum of pure drug was found to be similar to that of standard spectrum of Acyclovir. The spectrum of Acyclovir shows the following groups at their frequencies shown in 1037, 1330, 1412, 1586, 2923, 3108 cm</w:t>
      </w:r>
      <w:r w:rsidRPr="00647984">
        <w:rPr>
          <w:rFonts w:ascii="Times New Roman" w:hAnsi="Times New Roman" w:cs="Times New Roman"/>
          <w:sz w:val="20"/>
          <w:szCs w:val="24"/>
          <w:vertAlign w:val="superscript"/>
        </w:rPr>
        <w:t>-1</w:t>
      </w:r>
      <w:r w:rsidRPr="00647984">
        <w:rPr>
          <w:rFonts w:ascii="Times New Roman" w:hAnsi="Times New Roman" w:cs="Times New Roman"/>
          <w:sz w:val="20"/>
          <w:szCs w:val="24"/>
        </w:rPr>
        <w:t>.</w:t>
      </w:r>
    </w:p>
    <w:p w:rsidR="00647984" w:rsidRDefault="00264915" w:rsidP="007C268B">
      <w:pPr>
        <w:tabs>
          <w:tab w:val="left" w:pos="8477"/>
        </w:tabs>
        <w:spacing w:after="0" w:line="240" w:lineRule="auto"/>
        <w:ind w:left="360"/>
        <w:rPr>
          <w:rFonts w:ascii="Times New Roman" w:hAnsi="Times New Roman" w:cs="Times New Roman"/>
          <w:b/>
          <w:sz w:val="20"/>
          <w:szCs w:val="24"/>
        </w:rPr>
      </w:pPr>
      <w:r>
        <w:rPr>
          <w:rFonts w:ascii="Times New Roman" w:hAnsi="Times New Roman" w:cs="Times New Roman"/>
          <w:b/>
          <w:noProof/>
          <w:sz w:val="20"/>
          <w:szCs w:val="24"/>
        </w:rPr>
        <w:drawing>
          <wp:anchor distT="0" distB="0" distL="114300" distR="114300" simplePos="0" relativeHeight="251659264" behindDoc="0" locked="0" layoutInCell="1" allowOverlap="1">
            <wp:simplePos x="0" y="0"/>
            <wp:positionH relativeFrom="column">
              <wp:posOffset>1092835</wp:posOffset>
            </wp:positionH>
            <wp:positionV relativeFrom="paragraph">
              <wp:posOffset>100965</wp:posOffset>
            </wp:positionV>
            <wp:extent cx="5118100" cy="2510790"/>
            <wp:effectExtent l="19050" t="0" r="6350" b="0"/>
            <wp:wrapThrough wrapText="bothSides">
              <wp:wrapPolygon edited="0">
                <wp:start x="-80" y="0"/>
                <wp:lineTo x="-80" y="21469"/>
                <wp:lineTo x="21627" y="21469"/>
                <wp:lineTo x="21627" y="0"/>
                <wp:lineTo x="-80" y="0"/>
              </wp:wrapPolygon>
            </wp:wrapThrough>
            <wp:docPr id="4" name="Picture 1" descr="C:\Users\MAHESH\Downloads\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ESH\Downloads\Untitled1.jpg"/>
                    <pic:cNvPicPr>
                      <a:picLocks noChangeAspect="1" noChangeArrowheads="1"/>
                    </pic:cNvPicPr>
                  </pic:nvPicPr>
                  <pic:blipFill>
                    <a:blip r:embed="rId5"/>
                    <a:srcRect/>
                    <a:stretch>
                      <a:fillRect/>
                    </a:stretch>
                  </pic:blipFill>
                  <pic:spPr bwMode="auto">
                    <a:xfrm>
                      <a:off x="0" y="0"/>
                      <a:ext cx="5118100" cy="2510790"/>
                    </a:xfrm>
                    <a:prstGeom prst="rect">
                      <a:avLst/>
                    </a:prstGeom>
                    <a:noFill/>
                    <a:ln w="9525">
                      <a:noFill/>
                      <a:miter lim="800000"/>
                      <a:headEnd/>
                      <a:tailEnd/>
                    </a:ln>
                  </pic:spPr>
                </pic:pic>
              </a:graphicData>
            </a:graphic>
          </wp:anchor>
        </w:drawing>
      </w:r>
    </w:p>
    <w:p w:rsidR="00647984" w:rsidRDefault="00647984" w:rsidP="00647984">
      <w:pPr>
        <w:tabs>
          <w:tab w:val="left" w:pos="8477"/>
        </w:tabs>
        <w:spacing w:after="0" w:line="240" w:lineRule="auto"/>
        <w:ind w:left="360"/>
        <w:jc w:val="center"/>
        <w:rPr>
          <w:rFonts w:ascii="Times New Roman" w:hAnsi="Times New Roman" w:cs="Times New Roman"/>
          <w:b/>
          <w:sz w:val="20"/>
          <w:szCs w:val="24"/>
        </w:rPr>
      </w:pPr>
    </w:p>
    <w:p w:rsidR="00647984" w:rsidRDefault="00647984" w:rsidP="007C268B">
      <w:pPr>
        <w:tabs>
          <w:tab w:val="left" w:pos="8477"/>
        </w:tabs>
        <w:spacing w:after="0" w:line="240" w:lineRule="auto"/>
        <w:ind w:left="360"/>
        <w:rPr>
          <w:rFonts w:ascii="Times New Roman" w:hAnsi="Times New Roman" w:cs="Times New Roman"/>
          <w:b/>
          <w:sz w:val="20"/>
          <w:szCs w:val="24"/>
        </w:rPr>
      </w:pPr>
    </w:p>
    <w:p w:rsidR="00647984" w:rsidRDefault="00647984" w:rsidP="007C268B">
      <w:pPr>
        <w:tabs>
          <w:tab w:val="left" w:pos="8477"/>
        </w:tabs>
        <w:spacing w:after="0" w:line="240" w:lineRule="auto"/>
        <w:ind w:left="360"/>
        <w:rPr>
          <w:rFonts w:ascii="Times New Roman" w:hAnsi="Times New Roman" w:cs="Times New Roman"/>
          <w:b/>
          <w:sz w:val="20"/>
          <w:szCs w:val="24"/>
        </w:rPr>
      </w:pPr>
    </w:p>
    <w:p w:rsidR="00647984" w:rsidRDefault="00647984" w:rsidP="007C268B">
      <w:pPr>
        <w:tabs>
          <w:tab w:val="left" w:pos="8477"/>
        </w:tabs>
        <w:spacing w:after="0" w:line="240" w:lineRule="auto"/>
        <w:ind w:left="360"/>
        <w:rPr>
          <w:rFonts w:ascii="Times New Roman" w:hAnsi="Times New Roman" w:cs="Times New Roman"/>
          <w:b/>
          <w:sz w:val="20"/>
          <w:szCs w:val="24"/>
        </w:rPr>
      </w:pPr>
    </w:p>
    <w:p w:rsidR="00647984" w:rsidRDefault="00647984" w:rsidP="007C268B">
      <w:pPr>
        <w:tabs>
          <w:tab w:val="left" w:pos="8477"/>
        </w:tabs>
        <w:spacing w:after="0" w:line="240" w:lineRule="auto"/>
        <w:ind w:left="360"/>
        <w:rPr>
          <w:rFonts w:ascii="Times New Roman" w:hAnsi="Times New Roman" w:cs="Times New Roman"/>
          <w:b/>
          <w:sz w:val="20"/>
          <w:szCs w:val="24"/>
        </w:rPr>
      </w:pPr>
    </w:p>
    <w:p w:rsidR="00647984" w:rsidRDefault="00647984" w:rsidP="007C268B">
      <w:pPr>
        <w:tabs>
          <w:tab w:val="left" w:pos="8477"/>
        </w:tabs>
        <w:spacing w:after="0" w:line="240" w:lineRule="auto"/>
        <w:ind w:left="360"/>
        <w:rPr>
          <w:rFonts w:ascii="Times New Roman" w:hAnsi="Times New Roman" w:cs="Times New Roman"/>
          <w:b/>
          <w:sz w:val="20"/>
          <w:szCs w:val="24"/>
        </w:rPr>
      </w:pPr>
    </w:p>
    <w:p w:rsidR="00647984" w:rsidRDefault="00647984" w:rsidP="007C268B">
      <w:pPr>
        <w:tabs>
          <w:tab w:val="left" w:pos="8477"/>
        </w:tabs>
        <w:spacing w:after="0" w:line="240" w:lineRule="auto"/>
        <w:ind w:left="360"/>
        <w:rPr>
          <w:rFonts w:ascii="Times New Roman" w:hAnsi="Times New Roman" w:cs="Times New Roman"/>
          <w:b/>
          <w:sz w:val="20"/>
          <w:szCs w:val="24"/>
        </w:rPr>
      </w:pPr>
    </w:p>
    <w:p w:rsidR="00647984" w:rsidRDefault="00647984" w:rsidP="007C268B">
      <w:pPr>
        <w:tabs>
          <w:tab w:val="left" w:pos="8477"/>
        </w:tabs>
        <w:spacing w:after="0" w:line="240" w:lineRule="auto"/>
        <w:ind w:left="360"/>
        <w:rPr>
          <w:rFonts w:ascii="Times New Roman" w:hAnsi="Times New Roman" w:cs="Times New Roman"/>
          <w:b/>
          <w:sz w:val="20"/>
          <w:szCs w:val="24"/>
        </w:rPr>
      </w:pPr>
    </w:p>
    <w:p w:rsidR="00647984" w:rsidRDefault="00647984" w:rsidP="007C268B">
      <w:pPr>
        <w:tabs>
          <w:tab w:val="left" w:pos="8477"/>
        </w:tabs>
        <w:spacing w:after="0" w:line="240" w:lineRule="auto"/>
        <w:ind w:left="360"/>
        <w:rPr>
          <w:rFonts w:ascii="Times New Roman" w:hAnsi="Times New Roman" w:cs="Times New Roman"/>
          <w:b/>
          <w:sz w:val="20"/>
          <w:szCs w:val="24"/>
        </w:rPr>
      </w:pPr>
    </w:p>
    <w:p w:rsidR="00647984" w:rsidRDefault="00647984" w:rsidP="007C268B">
      <w:pPr>
        <w:tabs>
          <w:tab w:val="left" w:pos="8477"/>
        </w:tabs>
        <w:spacing w:after="0" w:line="240" w:lineRule="auto"/>
        <w:ind w:left="360"/>
        <w:rPr>
          <w:rFonts w:ascii="Times New Roman" w:hAnsi="Times New Roman" w:cs="Times New Roman"/>
          <w:b/>
          <w:sz w:val="20"/>
          <w:szCs w:val="24"/>
        </w:rPr>
      </w:pPr>
    </w:p>
    <w:p w:rsidR="00647984" w:rsidRDefault="00647984" w:rsidP="007C268B">
      <w:pPr>
        <w:tabs>
          <w:tab w:val="left" w:pos="8477"/>
        </w:tabs>
        <w:spacing w:after="0" w:line="240" w:lineRule="auto"/>
        <w:ind w:left="360"/>
        <w:rPr>
          <w:rFonts w:ascii="Times New Roman" w:hAnsi="Times New Roman" w:cs="Times New Roman"/>
          <w:b/>
          <w:sz w:val="20"/>
          <w:szCs w:val="24"/>
        </w:rPr>
      </w:pPr>
    </w:p>
    <w:p w:rsidR="00647984" w:rsidRDefault="00647984" w:rsidP="007C268B">
      <w:pPr>
        <w:tabs>
          <w:tab w:val="left" w:pos="8477"/>
        </w:tabs>
        <w:spacing w:after="0" w:line="240" w:lineRule="auto"/>
        <w:ind w:left="360"/>
        <w:rPr>
          <w:rFonts w:ascii="Times New Roman" w:hAnsi="Times New Roman" w:cs="Times New Roman"/>
          <w:b/>
          <w:sz w:val="20"/>
          <w:szCs w:val="24"/>
        </w:rPr>
      </w:pPr>
    </w:p>
    <w:p w:rsidR="00647984" w:rsidRDefault="00647984" w:rsidP="007C268B">
      <w:pPr>
        <w:tabs>
          <w:tab w:val="left" w:pos="8477"/>
        </w:tabs>
        <w:spacing w:after="0" w:line="240" w:lineRule="auto"/>
        <w:ind w:left="360"/>
        <w:rPr>
          <w:rFonts w:ascii="Times New Roman" w:hAnsi="Times New Roman" w:cs="Times New Roman"/>
          <w:b/>
          <w:sz w:val="20"/>
          <w:szCs w:val="24"/>
        </w:rPr>
      </w:pPr>
    </w:p>
    <w:p w:rsidR="00647984" w:rsidRDefault="00647984" w:rsidP="007C268B">
      <w:pPr>
        <w:tabs>
          <w:tab w:val="left" w:pos="8477"/>
        </w:tabs>
        <w:spacing w:after="0" w:line="240" w:lineRule="auto"/>
        <w:ind w:left="360"/>
        <w:rPr>
          <w:rFonts w:ascii="Times New Roman" w:hAnsi="Times New Roman" w:cs="Times New Roman"/>
          <w:b/>
          <w:sz w:val="20"/>
          <w:szCs w:val="24"/>
        </w:rPr>
      </w:pPr>
    </w:p>
    <w:p w:rsidR="00647984" w:rsidRDefault="00647984" w:rsidP="007C268B">
      <w:pPr>
        <w:tabs>
          <w:tab w:val="left" w:pos="8477"/>
        </w:tabs>
        <w:spacing w:after="0" w:line="240" w:lineRule="auto"/>
        <w:ind w:left="360"/>
        <w:rPr>
          <w:rFonts w:ascii="Times New Roman" w:hAnsi="Times New Roman" w:cs="Times New Roman"/>
          <w:b/>
          <w:sz w:val="20"/>
          <w:szCs w:val="24"/>
        </w:rPr>
      </w:pPr>
    </w:p>
    <w:p w:rsidR="00647984" w:rsidRDefault="00647984" w:rsidP="007C268B">
      <w:pPr>
        <w:tabs>
          <w:tab w:val="left" w:pos="8477"/>
        </w:tabs>
        <w:spacing w:after="0" w:line="240" w:lineRule="auto"/>
        <w:ind w:left="360"/>
        <w:rPr>
          <w:rFonts w:ascii="Times New Roman" w:hAnsi="Times New Roman" w:cs="Times New Roman"/>
          <w:b/>
          <w:sz w:val="20"/>
          <w:szCs w:val="24"/>
        </w:rPr>
      </w:pPr>
    </w:p>
    <w:p w:rsidR="00647984" w:rsidRDefault="00647984" w:rsidP="007C268B">
      <w:pPr>
        <w:tabs>
          <w:tab w:val="left" w:pos="8477"/>
        </w:tabs>
        <w:spacing w:after="0" w:line="240" w:lineRule="auto"/>
        <w:ind w:left="360"/>
        <w:rPr>
          <w:rFonts w:ascii="Times New Roman" w:hAnsi="Times New Roman" w:cs="Times New Roman"/>
          <w:b/>
          <w:sz w:val="20"/>
          <w:szCs w:val="24"/>
        </w:rPr>
      </w:pPr>
    </w:p>
    <w:p w:rsidR="00647984" w:rsidRDefault="008862F7" w:rsidP="008424AF">
      <w:pPr>
        <w:tabs>
          <w:tab w:val="left" w:pos="8477"/>
        </w:tabs>
        <w:spacing w:after="0" w:line="240" w:lineRule="auto"/>
        <w:ind w:left="360"/>
        <w:jc w:val="center"/>
        <w:rPr>
          <w:rFonts w:ascii="Times New Roman" w:hAnsi="Times New Roman" w:cs="Times New Roman"/>
          <w:b/>
          <w:sz w:val="20"/>
          <w:szCs w:val="24"/>
        </w:rPr>
      </w:pPr>
      <w:r>
        <w:rPr>
          <w:rFonts w:ascii="Times New Roman" w:hAnsi="Times New Roman" w:cs="Times New Roman"/>
          <w:b/>
          <w:sz w:val="20"/>
          <w:szCs w:val="24"/>
        </w:rPr>
        <w:t>Fig</w:t>
      </w:r>
      <w:r w:rsidR="008424AF">
        <w:rPr>
          <w:rFonts w:ascii="Times New Roman" w:hAnsi="Times New Roman" w:cs="Times New Roman"/>
          <w:b/>
          <w:sz w:val="20"/>
          <w:szCs w:val="24"/>
        </w:rPr>
        <w:t>ure 1: A) FTIR Spectrum of Acyclovir B) FTIR Spectrum of Acyclovir with HPMCK4M C) FTIR Spectrum of Acyclovir with crospovidone D) FTIR Spectrum of Acyclovir with SSG</w:t>
      </w:r>
    </w:p>
    <w:p w:rsidR="00264915" w:rsidRDefault="00264915" w:rsidP="008424AF">
      <w:pPr>
        <w:tabs>
          <w:tab w:val="left" w:pos="8477"/>
        </w:tabs>
        <w:spacing w:after="0" w:line="240" w:lineRule="auto"/>
        <w:rPr>
          <w:rFonts w:ascii="Times New Roman" w:hAnsi="Times New Roman" w:cs="Times New Roman"/>
          <w:b/>
          <w:sz w:val="20"/>
          <w:szCs w:val="24"/>
        </w:rPr>
      </w:pPr>
    </w:p>
    <w:p w:rsidR="00264915" w:rsidRDefault="00264915" w:rsidP="008424AF">
      <w:pPr>
        <w:tabs>
          <w:tab w:val="left" w:pos="8477"/>
        </w:tabs>
        <w:spacing w:after="0" w:line="240" w:lineRule="auto"/>
        <w:rPr>
          <w:rFonts w:ascii="Times New Roman" w:hAnsi="Times New Roman" w:cs="Times New Roman"/>
          <w:b/>
          <w:sz w:val="20"/>
          <w:szCs w:val="24"/>
        </w:rPr>
      </w:pPr>
    </w:p>
    <w:p w:rsidR="00147C5E" w:rsidRDefault="00264915" w:rsidP="008424AF">
      <w:pPr>
        <w:tabs>
          <w:tab w:val="left" w:pos="8477"/>
        </w:tabs>
        <w:spacing w:after="0" w:line="240" w:lineRule="auto"/>
        <w:rPr>
          <w:rFonts w:ascii="Times New Roman" w:hAnsi="Times New Roman" w:cs="Times New Roman"/>
          <w:b/>
          <w:sz w:val="20"/>
          <w:szCs w:val="24"/>
        </w:rPr>
      </w:pPr>
      <w:r>
        <w:rPr>
          <w:rFonts w:ascii="Times New Roman" w:hAnsi="Times New Roman" w:cs="Times New Roman"/>
          <w:b/>
          <w:noProof/>
          <w:sz w:val="20"/>
          <w:szCs w:val="24"/>
        </w:rPr>
        <w:lastRenderedPageBreak/>
        <w:drawing>
          <wp:anchor distT="0" distB="0" distL="114300" distR="114300" simplePos="0" relativeHeight="251660288" behindDoc="0" locked="0" layoutInCell="1" allowOverlap="1">
            <wp:simplePos x="0" y="0"/>
            <wp:positionH relativeFrom="column">
              <wp:posOffset>1659890</wp:posOffset>
            </wp:positionH>
            <wp:positionV relativeFrom="paragraph">
              <wp:posOffset>-333375</wp:posOffset>
            </wp:positionV>
            <wp:extent cx="1019810" cy="2606675"/>
            <wp:effectExtent l="819150" t="0" r="789940" b="0"/>
            <wp:wrapThrough wrapText="bothSides">
              <wp:wrapPolygon edited="0">
                <wp:start x="21862" y="-213"/>
                <wp:lineTo x="477" y="-213"/>
                <wp:lineTo x="477" y="21571"/>
                <wp:lineTo x="21862" y="21571"/>
                <wp:lineTo x="21862" y="-213"/>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54585"/>
                    <a:stretch>
                      <a:fillRect/>
                    </a:stretch>
                  </pic:blipFill>
                  <pic:spPr bwMode="auto">
                    <a:xfrm rot="16200000">
                      <a:off x="0" y="0"/>
                      <a:ext cx="1019810" cy="2606675"/>
                    </a:xfrm>
                    <a:prstGeom prst="rect">
                      <a:avLst/>
                    </a:prstGeom>
                    <a:noFill/>
                    <a:ln>
                      <a:noFill/>
                    </a:ln>
                  </pic:spPr>
                </pic:pic>
              </a:graphicData>
            </a:graphic>
          </wp:anchor>
        </w:drawing>
      </w:r>
      <w:r w:rsidR="00147C5E">
        <w:rPr>
          <w:rFonts w:ascii="Times New Roman" w:hAnsi="Times New Roman" w:cs="Times New Roman"/>
          <w:b/>
          <w:sz w:val="20"/>
          <w:szCs w:val="24"/>
        </w:rPr>
        <w:t>Preparation of fast dissolving mucoadhesive Buccal patches:</w:t>
      </w:r>
    </w:p>
    <w:p w:rsidR="00147C5E" w:rsidRDefault="00147C5E" w:rsidP="008424AF">
      <w:pPr>
        <w:tabs>
          <w:tab w:val="left" w:pos="8477"/>
        </w:tabs>
        <w:spacing w:after="0" w:line="240" w:lineRule="auto"/>
        <w:rPr>
          <w:rFonts w:ascii="Times New Roman" w:hAnsi="Times New Roman" w:cs="Times New Roman"/>
          <w:sz w:val="20"/>
          <w:szCs w:val="24"/>
        </w:rPr>
      </w:pPr>
      <w:r w:rsidRPr="00147C5E">
        <w:rPr>
          <w:rFonts w:ascii="Times New Roman" w:hAnsi="Times New Roman" w:cs="Times New Roman"/>
          <w:sz w:val="20"/>
          <w:szCs w:val="24"/>
        </w:rPr>
        <w:t>Buccal patches acyclovir is prepared by solvent evaporation method.</w:t>
      </w:r>
    </w:p>
    <w:p w:rsidR="00147C5E" w:rsidRPr="00147C5E" w:rsidRDefault="00147C5E" w:rsidP="008424AF">
      <w:pPr>
        <w:tabs>
          <w:tab w:val="left" w:pos="8477"/>
        </w:tabs>
        <w:spacing w:after="0" w:line="240" w:lineRule="auto"/>
        <w:rPr>
          <w:rFonts w:ascii="Times New Roman" w:hAnsi="Times New Roman" w:cs="Times New Roman"/>
          <w:sz w:val="20"/>
          <w:szCs w:val="24"/>
        </w:rPr>
      </w:pPr>
    </w:p>
    <w:p w:rsidR="008424AF" w:rsidRDefault="008424AF" w:rsidP="008424AF">
      <w:pPr>
        <w:tabs>
          <w:tab w:val="left" w:pos="8477"/>
        </w:tabs>
        <w:spacing w:after="0" w:line="240" w:lineRule="auto"/>
        <w:ind w:left="360"/>
        <w:rPr>
          <w:rFonts w:ascii="Times New Roman" w:hAnsi="Times New Roman" w:cs="Times New Roman"/>
          <w:b/>
          <w:sz w:val="20"/>
          <w:szCs w:val="24"/>
        </w:rPr>
      </w:pPr>
    </w:p>
    <w:p w:rsidR="00647984" w:rsidRDefault="00647984" w:rsidP="007C268B">
      <w:pPr>
        <w:tabs>
          <w:tab w:val="left" w:pos="8477"/>
        </w:tabs>
        <w:spacing w:after="0" w:line="240" w:lineRule="auto"/>
        <w:ind w:left="360"/>
        <w:rPr>
          <w:rFonts w:ascii="Times New Roman" w:hAnsi="Times New Roman" w:cs="Times New Roman"/>
          <w:b/>
          <w:sz w:val="20"/>
          <w:szCs w:val="24"/>
        </w:rPr>
      </w:pPr>
    </w:p>
    <w:p w:rsidR="00647984" w:rsidRDefault="00647984" w:rsidP="007C268B">
      <w:pPr>
        <w:tabs>
          <w:tab w:val="left" w:pos="8477"/>
        </w:tabs>
        <w:spacing w:after="0" w:line="240" w:lineRule="auto"/>
        <w:ind w:left="360"/>
        <w:rPr>
          <w:rFonts w:ascii="Times New Roman" w:hAnsi="Times New Roman" w:cs="Times New Roman"/>
          <w:b/>
          <w:sz w:val="20"/>
          <w:szCs w:val="24"/>
        </w:rPr>
      </w:pPr>
    </w:p>
    <w:p w:rsidR="00647984" w:rsidRDefault="00647984" w:rsidP="007C268B">
      <w:pPr>
        <w:tabs>
          <w:tab w:val="left" w:pos="8477"/>
        </w:tabs>
        <w:spacing w:after="0" w:line="240" w:lineRule="auto"/>
        <w:ind w:left="360"/>
        <w:rPr>
          <w:rFonts w:ascii="Times New Roman" w:hAnsi="Times New Roman" w:cs="Times New Roman"/>
          <w:b/>
          <w:sz w:val="20"/>
          <w:szCs w:val="24"/>
        </w:rPr>
      </w:pPr>
    </w:p>
    <w:p w:rsidR="008862F7" w:rsidRDefault="008862F7" w:rsidP="007C268B">
      <w:pPr>
        <w:tabs>
          <w:tab w:val="left" w:pos="8477"/>
        </w:tabs>
        <w:spacing w:after="0" w:line="240" w:lineRule="auto"/>
        <w:ind w:left="360"/>
        <w:rPr>
          <w:rFonts w:ascii="Times New Roman" w:hAnsi="Times New Roman" w:cs="Times New Roman"/>
          <w:b/>
          <w:sz w:val="20"/>
          <w:szCs w:val="24"/>
        </w:rPr>
      </w:pPr>
    </w:p>
    <w:p w:rsidR="008862F7" w:rsidRDefault="008862F7" w:rsidP="007C268B">
      <w:pPr>
        <w:tabs>
          <w:tab w:val="left" w:pos="8477"/>
        </w:tabs>
        <w:spacing w:after="0" w:line="240" w:lineRule="auto"/>
        <w:ind w:left="360"/>
        <w:rPr>
          <w:rFonts w:ascii="Times New Roman" w:hAnsi="Times New Roman" w:cs="Times New Roman"/>
          <w:b/>
          <w:sz w:val="20"/>
          <w:szCs w:val="24"/>
        </w:rPr>
      </w:pPr>
    </w:p>
    <w:p w:rsidR="008862F7" w:rsidRDefault="008862F7" w:rsidP="007C268B">
      <w:pPr>
        <w:tabs>
          <w:tab w:val="left" w:pos="8477"/>
        </w:tabs>
        <w:spacing w:after="0" w:line="240" w:lineRule="auto"/>
        <w:ind w:left="360"/>
        <w:rPr>
          <w:rFonts w:ascii="Times New Roman" w:hAnsi="Times New Roman" w:cs="Times New Roman"/>
          <w:b/>
          <w:sz w:val="20"/>
          <w:szCs w:val="24"/>
        </w:rPr>
      </w:pPr>
    </w:p>
    <w:p w:rsidR="00147C5E" w:rsidRDefault="00147C5E" w:rsidP="00147C5E">
      <w:pPr>
        <w:shd w:val="clear" w:color="auto" w:fill="FFFFFF"/>
        <w:spacing w:after="0" w:line="219" w:lineRule="atLeast"/>
        <w:jc w:val="center"/>
        <w:rPr>
          <w:rFonts w:ascii="Times New Roman" w:hAnsi="Times New Roman" w:cs="Times New Roman"/>
          <w:b/>
          <w:sz w:val="20"/>
          <w:szCs w:val="24"/>
        </w:rPr>
      </w:pPr>
      <w:r>
        <w:rPr>
          <w:rFonts w:ascii="Times New Roman" w:hAnsi="Times New Roman" w:cs="Times New Roman"/>
          <w:b/>
          <w:sz w:val="20"/>
          <w:szCs w:val="24"/>
        </w:rPr>
        <w:t xml:space="preserve">Figure 2: Acyclovir fast dissolving mucoadhesive Buccal patches </w:t>
      </w:r>
    </w:p>
    <w:p w:rsidR="00147C5E" w:rsidRPr="00147C5E" w:rsidRDefault="00147C5E" w:rsidP="00147C5E">
      <w:pPr>
        <w:spacing w:after="0" w:line="240" w:lineRule="auto"/>
        <w:jc w:val="both"/>
        <w:rPr>
          <w:rFonts w:ascii="Times New Roman" w:hAnsi="Times New Roman" w:cs="Times New Roman"/>
          <w:b/>
          <w:sz w:val="20"/>
        </w:rPr>
      </w:pPr>
      <w:r w:rsidRPr="00147C5E">
        <w:rPr>
          <w:rFonts w:ascii="Times New Roman" w:hAnsi="Times New Roman" w:cs="Times New Roman"/>
          <w:b/>
          <w:sz w:val="20"/>
        </w:rPr>
        <w:t xml:space="preserve">Evaluation Results of Prepared Acyclovir Buccal Patches: </w:t>
      </w:r>
    </w:p>
    <w:p w:rsidR="00147C5E" w:rsidRPr="00147C5E" w:rsidRDefault="00147C5E" w:rsidP="00147C5E">
      <w:pPr>
        <w:spacing w:after="0" w:line="240" w:lineRule="auto"/>
        <w:jc w:val="both"/>
        <w:rPr>
          <w:rFonts w:ascii="Times New Roman" w:hAnsi="Times New Roman" w:cs="Times New Roman"/>
          <w:b/>
          <w:sz w:val="20"/>
        </w:rPr>
      </w:pPr>
      <w:r w:rsidRPr="00147C5E">
        <w:rPr>
          <w:rFonts w:ascii="Times New Roman" w:hAnsi="Times New Roman" w:cs="Times New Roman"/>
          <w:b/>
          <w:sz w:val="20"/>
        </w:rPr>
        <w:t>Weight variation:</w:t>
      </w:r>
      <w:r w:rsidR="00264915">
        <w:rPr>
          <w:rFonts w:ascii="Times New Roman" w:hAnsi="Times New Roman" w:cs="Times New Roman"/>
          <w:b/>
          <w:sz w:val="20"/>
        </w:rPr>
        <w:t xml:space="preserve"> [5]</w:t>
      </w:r>
    </w:p>
    <w:p w:rsidR="00147C5E" w:rsidRPr="00147C5E" w:rsidRDefault="00147C5E" w:rsidP="00147C5E">
      <w:pPr>
        <w:spacing w:after="0" w:line="240" w:lineRule="auto"/>
        <w:jc w:val="both"/>
        <w:rPr>
          <w:rFonts w:ascii="Times New Roman" w:hAnsi="Times New Roman" w:cs="Times New Roman"/>
          <w:sz w:val="20"/>
        </w:rPr>
      </w:pPr>
      <w:r w:rsidRPr="00147C5E">
        <w:rPr>
          <w:rFonts w:ascii="Times New Roman" w:hAnsi="Times New Roman" w:cs="Times New Roman"/>
          <w:sz w:val="20"/>
        </w:rPr>
        <w:t>Weight variation test was performed. The weights of the patches were between 0.30 gm to 0.35 gm. Hence all patches formulations passed weight variation test. Results are shown in tab</w:t>
      </w:r>
      <w:r>
        <w:rPr>
          <w:rFonts w:ascii="Times New Roman" w:hAnsi="Times New Roman" w:cs="Times New Roman"/>
          <w:sz w:val="20"/>
        </w:rPr>
        <w:t>le 2</w:t>
      </w:r>
      <w:r w:rsidRPr="00147C5E">
        <w:rPr>
          <w:rFonts w:ascii="Times New Roman" w:hAnsi="Times New Roman" w:cs="Times New Roman"/>
          <w:sz w:val="20"/>
        </w:rPr>
        <w:t xml:space="preserve">. </w:t>
      </w:r>
    </w:p>
    <w:p w:rsidR="00147C5E" w:rsidRDefault="00147C5E" w:rsidP="00147C5E">
      <w:pPr>
        <w:spacing w:after="0" w:line="240" w:lineRule="auto"/>
        <w:jc w:val="both"/>
        <w:rPr>
          <w:rFonts w:ascii="Times New Roman" w:hAnsi="Times New Roman" w:cs="Times New Roman"/>
          <w:b/>
          <w:sz w:val="20"/>
        </w:rPr>
      </w:pPr>
      <w:r w:rsidRPr="00147C5E">
        <w:rPr>
          <w:rFonts w:ascii="Times New Roman" w:hAnsi="Times New Roman" w:cs="Times New Roman"/>
          <w:b/>
          <w:sz w:val="20"/>
        </w:rPr>
        <w:t>Thickness:</w:t>
      </w:r>
      <w:r w:rsidR="00264915">
        <w:rPr>
          <w:rFonts w:ascii="Times New Roman" w:hAnsi="Times New Roman" w:cs="Times New Roman"/>
          <w:b/>
          <w:sz w:val="20"/>
        </w:rPr>
        <w:t xml:space="preserve"> [5]</w:t>
      </w:r>
    </w:p>
    <w:p w:rsidR="00147C5E" w:rsidRPr="00147C5E" w:rsidRDefault="00147C5E" w:rsidP="00147C5E">
      <w:pPr>
        <w:spacing w:after="0" w:line="240" w:lineRule="auto"/>
        <w:jc w:val="both"/>
        <w:rPr>
          <w:rFonts w:ascii="Times New Roman" w:hAnsi="Times New Roman" w:cs="Times New Roman"/>
          <w:b/>
          <w:sz w:val="20"/>
        </w:rPr>
      </w:pPr>
      <w:r w:rsidRPr="00147C5E">
        <w:rPr>
          <w:rFonts w:ascii="Times New Roman" w:hAnsi="Times New Roman" w:cs="Times New Roman"/>
          <w:sz w:val="20"/>
        </w:rPr>
        <w:t>Thickness of all the formulations was between 0.21 mm to 0.28 mm</w:t>
      </w:r>
      <w:r>
        <w:rPr>
          <w:rFonts w:ascii="Times New Roman" w:hAnsi="Times New Roman" w:cs="Times New Roman"/>
          <w:sz w:val="20"/>
        </w:rPr>
        <w:t>. Results are shown in table 2</w:t>
      </w:r>
      <w:r w:rsidRPr="00147C5E">
        <w:rPr>
          <w:rFonts w:ascii="Times New Roman" w:hAnsi="Times New Roman" w:cs="Times New Roman"/>
          <w:sz w:val="20"/>
        </w:rPr>
        <w:t>.</w:t>
      </w:r>
    </w:p>
    <w:p w:rsidR="00147C5E" w:rsidRPr="00147C5E" w:rsidRDefault="00147C5E" w:rsidP="00147C5E">
      <w:pPr>
        <w:spacing w:after="0" w:line="240" w:lineRule="auto"/>
        <w:jc w:val="both"/>
        <w:rPr>
          <w:rFonts w:ascii="Times New Roman" w:hAnsi="Times New Roman" w:cs="Times New Roman"/>
          <w:b/>
          <w:sz w:val="20"/>
        </w:rPr>
      </w:pPr>
      <w:r w:rsidRPr="00147C5E">
        <w:rPr>
          <w:rFonts w:ascii="Times New Roman" w:hAnsi="Times New Roman" w:cs="Times New Roman"/>
          <w:b/>
          <w:sz w:val="20"/>
        </w:rPr>
        <w:t>% Moisture absorption:</w:t>
      </w:r>
      <w:r w:rsidR="00264915">
        <w:rPr>
          <w:rFonts w:ascii="Times New Roman" w:hAnsi="Times New Roman" w:cs="Times New Roman"/>
          <w:b/>
          <w:sz w:val="20"/>
        </w:rPr>
        <w:t xml:space="preserve"> [6]</w:t>
      </w:r>
    </w:p>
    <w:p w:rsidR="00147C5E" w:rsidRPr="00147C5E" w:rsidRDefault="00147C5E" w:rsidP="00147C5E">
      <w:pPr>
        <w:spacing w:after="0" w:line="240" w:lineRule="auto"/>
        <w:jc w:val="both"/>
        <w:rPr>
          <w:rFonts w:ascii="Times New Roman" w:hAnsi="Times New Roman" w:cs="Times New Roman"/>
          <w:sz w:val="20"/>
        </w:rPr>
      </w:pPr>
      <w:r w:rsidRPr="00147C5E">
        <w:rPr>
          <w:rFonts w:ascii="Times New Roman" w:hAnsi="Times New Roman" w:cs="Times New Roman"/>
          <w:sz w:val="20"/>
        </w:rPr>
        <w:t>% Moisture absorption of all formulations was between 6.45 % to 14.70 %.</w:t>
      </w:r>
      <w:r>
        <w:rPr>
          <w:rFonts w:ascii="Times New Roman" w:hAnsi="Times New Roman" w:cs="Times New Roman"/>
          <w:sz w:val="20"/>
        </w:rPr>
        <w:t xml:space="preserve"> Results are shown in table 2</w:t>
      </w:r>
      <w:r w:rsidRPr="00147C5E">
        <w:rPr>
          <w:rFonts w:ascii="Times New Roman" w:hAnsi="Times New Roman" w:cs="Times New Roman"/>
          <w:sz w:val="20"/>
        </w:rPr>
        <w:t xml:space="preserve">.         </w:t>
      </w:r>
    </w:p>
    <w:p w:rsidR="00147C5E" w:rsidRPr="00147C5E" w:rsidRDefault="00147C5E" w:rsidP="00147C5E">
      <w:pPr>
        <w:spacing w:after="0" w:line="240" w:lineRule="auto"/>
        <w:jc w:val="both"/>
        <w:rPr>
          <w:rFonts w:ascii="Times New Roman" w:hAnsi="Times New Roman" w:cs="Times New Roman"/>
          <w:b/>
          <w:sz w:val="20"/>
        </w:rPr>
      </w:pPr>
      <w:r w:rsidRPr="00147C5E">
        <w:rPr>
          <w:rFonts w:ascii="Times New Roman" w:hAnsi="Times New Roman" w:cs="Times New Roman"/>
          <w:b/>
          <w:sz w:val="20"/>
        </w:rPr>
        <w:t>% Moisture loss:</w:t>
      </w:r>
      <w:r w:rsidR="00264915">
        <w:rPr>
          <w:rFonts w:ascii="Times New Roman" w:hAnsi="Times New Roman" w:cs="Times New Roman"/>
          <w:b/>
          <w:sz w:val="20"/>
        </w:rPr>
        <w:t xml:space="preserve"> [6]</w:t>
      </w:r>
    </w:p>
    <w:p w:rsidR="00147C5E" w:rsidRPr="00147C5E" w:rsidRDefault="00147C5E" w:rsidP="00147C5E">
      <w:pPr>
        <w:spacing w:after="0" w:line="240" w:lineRule="auto"/>
        <w:jc w:val="both"/>
        <w:rPr>
          <w:rFonts w:ascii="Times New Roman" w:hAnsi="Times New Roman" w:cs="Times New Roman"/>
          <w:sz w:val="20"/>
        </w:rPr>
      </w:pPr>
      <w:r w:rsidRPr="00147C5E">
        <w:rPr>
          <w:rFonts w:ascii="Times New Roman" w:hAnsi="Times New Roman" w:cs="Times New Roman"/>
          <w:sz w:val="20"/>
        </w:rPr>
        <w:t>% Moisture loss of all the formulations was between 9.09 % to 16.12 %</w:t>
      </w:r>
      <w:r>
        <w:rPr>
          <w:rFonts w:ascii="Times New Roman" w:hAnsi="Times New Roman" w:cs="Times New Roman"/>
          <w:sz w:val="20"/>
        </w:rPr>
        <w:t>. Results are shown in table 2</w:t>
      </w:r>
      <w:r w:rsidRPr="00147C5E">
        <w:rPr>
          <w:rFonts w:ascii="Times New Roman" w:hAnsi="Times New Roman" w:cs="Times New Roman"/>
          <w:sz w:val="20"/>
        </w:rPr>
        <w:t xml:space="preserve">. </w:t>
      </w:r>
    </w:p>
    <w:p w:rsidR="00147C5E" w:rsidRPr="00147C5E" w:rsidRDefault="00147C5E" w:rsidP="00147C5E">
      <w:pPr>
        <w:spacing w:after="0" w:line="240" w:lineRule="auto"/>
        <w:jc w:val="both"/>
        <w:rPr>
          <w:rFonts w:ascii="Times New Roman" w:hAnsi="Times New Roman" w:cs="Times New Roman"/>
          <w:b/>
          <w:sz w:val="20"/>
        </w:rPr>
      </w:pPr>
      <w:r w:rsidRPr="00147C5E">
        <w:rPr>
          <w:rFonts w:ascii="Times New Roman" w:hAnsi="Times New Roman" w:cs="Times New Roman"/>
          <w:b/>
          <w:sz w:val="20"/>
        </w:rPr>
        <w:t>Folding endurance:</w:t>
      </w:r>
      <w:r w:rsidR="00264915">
        <w:rPr>
          <w:rFonts w:ascii="Times New Roman" w:hAnsi="Times New Roman" w:cs="Times New Roman"/>
          <w:b/>
          <w:sz w:val="20"/>
        </w:rPr>
        <w:t xml:space="preserve"> [7]</w:t>
      </w:r>
    </w:p>
    <w:p w:rsidR="00147C5E" w:rsidRPr="00147C5E" w:rsidRDefault="00147C5E" w:rsidP="00147C5E">
      <w:pPr>
        <w:spacing w:after="0" w:line="240" w:lineRule="auto"/>
        <w:jc w:val="both"/>
        <w:rPr>
          <w:rFonts w:ascii="Times New Roman" w:hAnsi="Times New Roman" w:cs="Times New Roman"/>
          <w:sz w:val="20"/>
          <w:szCs w:val="24"/>
        </w:rPr>
      </w:pPr>
      <w:r w:rsidRPr="00147C5E">
        <w:rPr>
          <w:rFonts w:ascii="Times New Roman" w:hAnsi="Times New Roman" w:cs="Times New Roman"/>
          <w:sz w:val="20"/>
          <w:szCs w:val="24"/>
        </w:rPr>
        <w:t>The number of times the strip could be folded at the same place without breaking gives the</w:t>
      </w:r>
      <w:r>
        <w:rPr>
          <w:rFonts w:ascii="Times New Roman" w:hAnsi="Times New Roman" w:cs="Times New Roman"/>
          <w:sz w:val="20"/>
          <w:szCs w:val="24"/>
        </w:rPr>
        <w:t xml:space="preserve"> </w:t>
      </w:r>
      <w:r w:rsidRPr="00147C5E">
        <w:rPr>
          <w:rFonts w:ascii="Times New Roman" w:hAnsi="Times New Roman" w:cs="Times New Roman"/>
          <w:sz w:val="20"/>
          <w:szCs w:val="24"/>
        </w:rPr>
        <w:t>exact value of folding endurance (a measure of fragility). The folding endurance was</w:t>
      </w:r>
      <w:r>
        <w:rPr>
          <w:rFonts w:ascii="Times New Roman" w:hAnsi="Times New Roman" w:cs="Times New Roman"/>
          <w:sz w:val="20"/>
          <w:szCs w:val="24"/>
        </w:rPr>
        <w:t xml:space="preserve"> </w:t>
      </w:r>
      <w:r w:rsidRPr="00147C5E">
        <w:rPr>
          <w:rFonts w:ascii="Times New Roman" w:hAnsi="Times New Roman" w:cs="Times New Roman"/>
          <w:sz w:val="20"/>
          <w:szCs w:val="24"/>
        </w:rPr>
        <w:t>measured manually for the prepared films. A strip of 2×2 cm was cut evenly and repeatedly</w:t>
      </w:r>
      <w:r>
        <w:rPr>
          <w:rFonts w:ascii="Times New Roman" w:hAnsi="Times New Roman" w:cs="Times New Roman"/>
          <w:sz w:val="20"/>
          <w:szCs w:val="24"/>
        </w:rPr>
        <w:t xml:space="preserve"> </w:t>
      </w:r>
      <w:r w:rsidRPr="00147C5E">
        <w:rPr>
          <w:rFonts w:ascii="Times New Roman" w:hAnsi="Times New Roman" w:cs="Times New Roman"/>
          <w:sz w:val="20"/>
          <w:szCs w:val="24"/>
        </w:rPr>
        <w:t>folded at the same place till it broke.</w:t>
      </w:r>
    </w:p>
    <w:p w:rsidR="00147C5E" w:rsidRPr="00147C5E" w:rsidRDefault="00147C5E" w:rsidP="00147C5E">
      <w:pPr>
        <w:spacing w:after="0" w:line="240" w:lineRule="auto"/>
        <w:jc w:val="both"/>
        <w:rPr>
          <w:rFonts w:ascii="Times New Roman" w:hAnsi="Times New Roman" w:cs="Times New Roman"/>
          <w:b/>
          <w:sz w:val="20"/>
        </w:rPr>
      </w:pPr>
      <w:r w:rsidRPr="00147C5E">
        <w:rPr>
          <w:rFonts w:ascii="Times New Roman" w:hAnsi="Times New Roman" w:cs="Times New Roman"/>
          <w:b/>
          <w:sz w:val="20"/>
        </w:rPr>
        <w:t>Drug content:</w:t>
      </w:r>
      <w:r w:rsidR="00264915">
        <w:rPr>
          <w:rFonts w:ascii="Times New Roman" w:hAnsi="Times New Roman" w:cs="Times New Roman"/>
          <w:b/>
          <w:sz w:val="20"/>
        </w:rPr>
        <w:t xml:space="preserve"> </w:t>
      </w:r>
    </w:p>
    <w:p w:rsidR="00147C5E" w:rsidRPr="00147C5E" w:rsidRDefault="00147C5E" w:rsidP="00147C5E">
      <w:pPr>
        <w:spacing w:after="0" w:line="240" w:lineRule="auto"/>
        <w:jc w:val="both"/>
        <w:rPr>
          <w:rFonts w:ascii="Times New Roman" w:hAnsi="Times New Roman" w:cs="Times New Roman"/>
          <w:sz w:val="20"/>
        </w:rPr>
      </w:pPr>
      <w:r w:rsidRPr="00147C5E">
        <w:rPr>
          <w:rFonts w:ascii="Times New Roman" w:hAnsi="Times New Roman" w:cs="Times New Roman"/>
          <w:sz w:val="20"/>
        </w:rPr>
        <w:t>Percentage drug content of all formulations was between 85.34 to 96.73%. Th</w:t>
      </w:r>
      <w:r>
        <w:rPr>
          <w:rFonts w:ascii="Times New Roman" w:hAnsi="Times New Roman" w:cs="Times New Roman"/>
          <w:sz w:val="20"/>
        </w:rPr>
        <w:t>e results are shown in table 2</w:t>
      </w:r>
      <w:r w:rsidRPr="00147C5E">
        <w:rPr>
          <w:rFonts w:ascii="Times New Roman" w:hAnsi="Times New Roman" w:cs="Times New Roman"/>
          <w:sz w:val="20"/>
        </w:rPr>
        <w:t>.</w:t>
      </w:r>
    </w:p>
    <w:p w:rsidR="00147C5E" w:rsidRPr="00147C5E" w:rsidRDefault="00147C5E" w:rsidP="00147C5E">
      <w:pPr>
        <w:autoSpaceDE w:val="0"/>
        <w:autoSpaceDN w:val="0"/>
        <w:adjustRightInd w:val="0"/>
        <w:spacing w:after="0" w:line="240" w:lineRule="auto"/>
        <w:jc w:val="both"/>
        <w:rPr>
          <w:rFonts w:ascii="Times New Roman" w:hAnsi="Times New Roman" w:cs="Times New Roman"/>
          <w:b/>
          <w:sz w:val="20"/>
        </w:rPr>
      </w:pPr>
      <w:r w:rsidRPr="00147C5E">
        <w:rPr>
          <w:rFonts w:ascii="Times New Roman" w:hAnsi="Times New Roman" w:cs="Times New Roman"/>
          <w:b/>
          <w:sz w:val="20"/>
        </w:rPr>
        <w:t xml:space="preserve">Surface pH: </w:t>
      </w:r>
      <w:r w:rsidR="00264915">
        <w:rPr>
          <w:rFonts w:ascii="Times New Roman" w:hAnsi="Times New Roman" w:cs="Times New Roman"/>
          <w:b/>
          <w:sz w:val="20"/>
        </w:rPr>
        <w:t xml:space="preserve"> [8]</w:t>
      </w:r>
    </w:p>
    <w:p w:rsidR="00147C5E" w:rsidRPr="00147C5E" w:rsidRDefault="00147C5E" w:rsidP="00147C5E">
      <w:pPr>
        <w:autoSpaceDE w:val="0"/>
        <w:autoSpaceDN w:val="0"/>
        <w:adjustRightInd w:val="0"/>
        <w:spacing w:after="0" w:line="240" w:lineRule="auto"/>
        <w:jc w:val="both"/>
        <w:rPr>
          <w:rFonts w:ascii="Times New Roman" w:hAnsi="Times New Roman" w:cs="Times New Roman"/>
          <w:sz w:val="20"/>
        </w:rPr>
      </w:pPr>
      <w:r w:rsidRPr="00147C5E">
        <w:rPr>
          <w:rFonts w:ascii="Times New Roman" w:hAnsi="Times New Roman" w:cs="Times New Roman"/>
          <w:sz w:val="20"/>
        </w:rPr>
        <w:t>The surface pH of prepared inserts was found be in range of 6.7 to 7. This indicated that the prepared inserts would not alter the pH of the tear fluid in the eye. Results ar</w:t>
      </w:r>
      <w:r>
        <w:rPr>
          <w:rFonts w:ascii="Times New Roman" w:hAnsi="Times New Roman" w:cs="Times New Roman"/>
          <w:sz w:val="20"/>
        </w:rPr>
        <w:t>e shown in table 2</w:t>
      </w:r>
    </w:p>
    <w:p w:rsidR="00147C5E" w:rsidRPr="00147C5E" w:rsidRDefault="00147C5E" w:rsidP="00147C5E">
      <w:pPr>
        <w:autoSpaceDE w:val="0"/>
        <w:autoSpaceDN w:val="0"/>
        <w:adjustRightInd w:val="0"/>
        <w:spacing w:after="0" w:line="240" w:lineRule="auto"/>
        <w:jc w:val="both"/>
        <w:rPr>
          <w:rFonts w:ascii="Times New Roman" w:hAnsi="Times New Roman" w:cs="Times New Roman"/>
          <w:b/>
          <w:sz w:val="20"/>
        </w:rPr>
      </w:pPr>
      <w:r w:rsidRPr="00147C5E">
        <w:rPr>
          <w:rFonts w:ascii="Times New Roman" w:hAnsi="Times New Roman" w:cs="Times New Roman"/>
          <w:b/>
          <w:sz w:val="20"/>
        </w:rPr>
        <w:t>Swelling index:</w:t>
      </w:r>
    </w:p>
    <w:p w:rsidR="00147C5E" w:rsidRPr="00147C5E" w:rsidRDefault="00147C5E" w:rsidP="00147C5E">
      <w:pPr>
        <w:spacing w:after="0" w:line="240" w:lineRule="auto"/>
        <w:jc w:val="both"/>
        <w:rPr>
          <w:rFonts w:ascii="Times New Roman" w:hAnsi="Times New Roman" w:cs="Times New Roman"/>
          <w:sz w:val="20"/>
        </w:rPr>
      </w:pPr>
      <w:r w:rsidRPr="00147C5E">
        <w:rPr>
          <w:rFonts w:ascii="Times New Roman" w:hAnsi="Times New Roman" w:cs="Times New Roman"/>
          <w:sz w:val="20"/>
        </w:rPr>
        <w:t>Swelling index of all the formulations was between 0.52% to 0.86%.</w:t>
      </w:r>
      <w:r>
        <w:rPr>
          <w:rFonts w:ascii="Times New Roman" w:hAnsi="Times New Roman" w:cs="Times New Roman"/>
          <w:sz w:val="20"/>
        </w:rPr>
        <w:t xml:space="preserve"> Results are shown in table 2</w:t>
      </w:r>
      <w:r w:rsidRPr="00147C5E">
        <w:rPr>
          <w:rFonts w:ascii="Times New Roman" w:hAnsi="Times New Roman" w:cs="Times New Roman"/>
          <w:sz w:val="20"/>
        </w:rPr>
        <w:t xml:space="preserve">. </w:t>
      </w:r>
    </w:p>
    <w:p w:rsidR="00147C5E" w:rsidRPr="00147C5E" w:rsidRDefault="00147C5E" w:rsidP="00147C5E">
      <w:pPr>
        <w:spacing w:after="0" w:line="240" w:lineRule="auto"/>
        <w:jc w:val="both"/>
        <w:rPr>
          <w:rFonts w:ascii="Times New Roman" w:hAnsi="Times New Roman" w:cs="Times New Roman"/>
          <w:b/>
          <w:sz w:val="20"/>
        </w:rPr>
      </w:pPr>
      <w:r w:rsidRPr="00147C5E">
        <w:rPr>
          <w:rFonts w:ascii="Times New Roman" w:hAnsi="Times New Roman" w:cs="Times New Roman"/>
          <w:b/>
          <w:sz w:val="20"/>
        </w:rPr>
        <w:t>Disintegration time:</w:t>
      </w:r>
    </w:p>
    <w:p w:rsidR="00147C5E" w:rsidRDefault="00147C5E" w:rsidP="00147C5E">
      <w:pPr>
        <w:spacing w:after="0" w:line="240" w:lineRule="auto"/>
        <w:jc w:val="both"/>
        <w:rPr>
          <w:rFonts w:ascii="Times New Roman" w:hAnsi="Times New Roman" w:cs="Times New Roman"/>
          <w:sz w:val="20"/>
        </w:rPr>
      </w:pPr>
      <w:r w:rsidRPr="00147C5E">
        <w:rPr>
          <w:rFonts w:ascii="Times New Roman" w:hAnsi="Times New Roman" w:cs="Times New Roman"/>
          <w:sz w:val="20"/>
        </w:rPr>
        <w:t>Disintegration time of all the formulations was between 32 to 59. Results are shown in tab</w:t>
      </w:r>
      <w:r>
        <w:rPr>
          <w:rFonts w:ascii="Times New Roman" w:hAnsi="Times New Roman" w:cs="Times New Roman"/>
          <w:sz w:val="20"/>
        </w:rPr>
        <w:t>le 2</w:t>
      </w:r>
      <w:r w:rsidRPr="00147C5E">
        <w:rPr>
          <w:rFonts w:ascii="Times New Roman" w:hAnsi="Times New Roman" w:cs="Times New Roman"/>
          <w:sz w:val="20"/>
        </w:rPr>
        <w:t xml:space="preserve">. </w:t>
      </w:r>
    </w:p>
    <w:p w:rsidR="00297C7E" w:rsidRDefault="00297C7E" w:rsidP="00297C7E">
      <w:pPr>
        <w:spacing w:after="0" w:line="240" w:lineRule="auto"/>
        <w:jc w:val="center"/>
        <w:rPr>
          <w:rFonts w:ascii="Times New Roman" w:hAnsi="Times New Roman" w:cs="Times New Roman"/>
          <w:b/>
          <w:sz w:val="20"/>
        </w:rPr>
      </w:pPr>
      <w:r w:rsidRPr="00297C7E">
        <w:rPr>
          <w:rFonts w:ascii="Times New Roman" w:hAnsi="Times New Roman" w:cs="Times New Roman"/>
          <w:b/>
          <w:sz w:val="20"/>
        </w:rPr>
        <w:t xml:space="preserve">Table 2: Evaluation studies of formulated buccal patches </w:t>
      </w:r>
    </w:p>
    <w:tbl>
      <w:tblPr>
        <w:tblStyle w:val="TableGrid"/>
        <w:tblW w:w="0" w:type="auto"/>
        <w:jc w:val="center"/>
        <w:tblInd w:w="720" w:type="dxa"/>
        <w:tblLook w:val="04A0"/>
      </w:tblPr>
      <w:tblGrid>
        <w:gridCol w:w="894"/>
        <w:gridCol w:w="927"/>
        <w:gridCol w:w="1027"/>
        <w:gridCol w:w="1061"/>
        <w:gridCol w:w="939"/>
        <w:gridCol w:w="1038"/>
        <w:gridCol w:w="852"/>
        <w:gridCol w:w="853"/>
        <w:gridCol w:w="928"/>
        <w:gridCol w:w="1361"/>
      </w:tblGrid>
      <w:tr w:rsidR="00297C7E" w:rsidRPr="00297C7E" w:rsidTr="00F5135F">
        <w:trPr>
          <w:jc w:val="center"/>
        </w:trPr>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sz w:val="20"/>
                <w:szCs w:val="20"/>
              </w:rPr>
              <w:t>Formula No.</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sz w:val="20"/>
                <w:szCs w:val="20"/>
              </w:rPr>
              <w:t>Weight variation</w:t>
            </w:r>
          </w:p>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sz w:val="20"/>
                <w:szCs w:val="20"/>
              </w:rPr>
              <w:t>(mg)</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sz w:val="20"/>
                <w:szCs w:val="20"/>
              </w:rPr>
              <w:t>Thickness</w:t>
            </w:r>
          </w:p>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sz w:val="20"/>
                <w:szCs w:val="20"/>
              </w:rPr>
              <w:t>(mm)</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sz w:val="20"/>
                <w:szCs w:val="20"/>
              </w:rPr>
              <w:t>% of Moisture absorption</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sz w:val="20"/>
                <w:szCs w:val="20"/>
              </w:rPr>
              <w:t>% of Moisture loss</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sz w:val="20"/>
                <w:szCs w:val="20"/>
              </w:rPr>
              <w:t>Folding endurance</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sz w:val="20"/>
                <w:szCs w:val="20"/>
              </w:rPr>
              <w:t>Drug content</w:t>
            </w:r>
          </w:p>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sz w:val="20"/>
                <w:szCs w:val="20"/>
              </w:rPr>
              <w:t>(%)</w:t>
            </w:r>
          </w:p>
        </w:tc>
        <w:tc>
          <w:tcPr>
            <w:tcW w:w="853"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sz w:val="20"/>
                <w:szCs w:val="20"/>
              </w:rPr>
              <w:t>Surface pH</w:t>
            </w:r>
          </w:p>
        </w:tc>
        <w:tc>
          <w:tcPr>
            <w:tcW w:w="853"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bCs/>
                <w:sz w:val="20"/>
                <w:szCs w:val="20"/>
              </w:rPr>
              <w:t>Swelling</w:t>
            </w:r>
          </w:p>
          <w:p w:rsidR="00297C7E" w:rsidRPr="00297C7E" w:rsidRDefault="00297C7E" w:rsidP="00297C7E">
            <w:pPr>
              <w:spacing w:after="0" w:line="240" w:lineRule="auto"/>
              <w:jc w:val="center"/>
              <w:rPr>
                <w:rFonts w:ascii="Times New Roman" w:hAnsi="Times New Roman" w:cs="Times New Roman"/>
                <w:bCs/>
                <w:sz w:val="20"/>
                <w:szCs w:val="20"/>
              </w:rPr>
            </w:pPr>
            <w:r w:rsidRPr="00297C7E">
              <w:rPr>
                <w:rFonts w:ascii="Times New Roman" w:hAnsi="Times New Roman" w:cs="Times New Roman"/>
                <w:bCs/>
                <w:sz w:val="20"/>
                <w:szCs w:val="20"/>
              </w:rPr>
              <w:t>Index</w:t>
            </w:r>
          </w:p>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bCs/>
                <w:sz w:val="20"/>
                <w:szCs w:val="20"/>
              </w:rPr>
              <w:t>(%)</w:t>
            </w:r>
          </w:p>
        </w:tc>
        <w:tc>
          <w:tcPr>
            <w:tcW w:w="853"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bCs/>
                <w:sz w:val="20"/>
                <w:szCs w:val="20"/>
              </w:rPr>
              <w:t>Disintegration</w:t>
            </w:r>
          </w:p>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bCs/>
                <w:sz w:val="20"/>
                <w:szCs w:val="20"/>
              </w:rPr>
              <w:t>Time</w:t>
            </w:r>
          </w:p>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bCs/>
                <w:sz w:val="20"/>
                <w:szCs w:val="20"/>
              </w:rPr>
              <w:t>(sec)</w:t>
            </w:r>
          </w:p>
        </w:tc>
      </w:tr>
      <w:tr w:rsidR="00297C7E" w:rsidRPr="00297C7E" w:rsidTr="00F5135F">
        <w:trPr>
          <w:jc w:val="center"/>
        </w:trPr>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sz w:val="20"/>
                <w:szCs w:val="20"/>
              </w:rPr>
              <w:t>F1</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0.30</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0.21</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9.10</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9.09</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sz w:val="20"/>
                <w:szCs w:val="20"/>
              </w:rPr>
              <w:t>295</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98.34</w:t>
            </w:r>
          </w:p>
        </w:tc>
        <w:tc>
          <w:tcPr>
            <w:tcW w:w="853"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7.0</w:t>
            </w:r>
          </w:p>
        </w:tc>
        <w:tc>
          <w:tcPr>
            <w:tcW w:w="853" w:type="dxa"/>
            <w:vAlign w:val="center"/>
          </w:tcPr>
          <w:p w:rsidR="00297C7E" w:rsidRPr="00297C7E" w:rsidRDefault="00297C7E" w:rsidP="00297C7E">
            <w:pPr>
              <w:spacing w:after="0" w:line="240" w:lineRule="auto"/>
              <w:jc w:val="center"/>
              <w:rPr>
                <w:rFonts w:ascii="Times New Roman" w:hAnsi="Times New Roman" w:cs="Times New Roman"/>
                <w:color w:val="000000" w:themeColor="dark1"/>
                <w:kern w:val="24"/>
                <w:sz w:val="20"/>
                <w:szCs w:val="20"/>
              </w:rPr>
            </w:pPr>
            <w:r w:rsidRPr="00297C7E">
              <w:rPr>
                <w:rFonts w:ascii="Times New Roman" w:hAnsi="Times New Roman" w:cs="Times New Roman"/>
                <w:color w:val="000000" w:themeColor="dark1"/>
                <w:kern w:val="24"/>
                <w:sz w:val="20"/>
                <w:szCs w:val="20"/>
              </w:rPr>
              <w:t>0.86</w:t>
            </w:r>
          </w:p>
        </w:tc>
        <w:tc>
          <w:tcPr>
            <w:tcW w:w="853" w:type="dxa"/>
            <w:vAlign w:val="center"/>
          </w:tcPr>
          <w:p w:rsidR="00297C7E" w:rsidRPr="00297C7E" w:rsidRDefault="00297C7E" w:rsidP="00297C7E">
            <w:pPr>
              <w:spacing w:after="0" w:line="240" w:lineRule="auto"/>
              <w:jc w:val="center"/>
              <w:rPr>
                <w:rFonts w:ascii="Times New Roman" w:hAnsi="Times New Roman" w:cs="Times New Roman"/>
                <w:color w:val="000000" w:themeColor="dark1"/>
                <w:kern w:val="24"/>
                <w:sz w:val="20"/>
                <w:szCs w:val="20"/>
              </w:rPr>
            </w:pPr>
            <w:r w:rsidRPr="00297C7E">
              <w:rPr>
                <w:rFonts w:ascii="Times New Roman" w:hAnsi="Times New Roman" w:cs="Times New Roman"/>
                <w:color w:val="000000" w:themeColor="dark1"/>
                <w:kern w:val="24"/>
                <w:sz w:val="20"/>
                <w:szCs w:val="20"/>
              </w:rPr>
              <w:t>32</w:t>
            </w:r>
          </w:p>
        </w:tc>
      </w:tr>
      <w:tr w:rsidR="00297C7E" w:rsidRPr="00297C7E" w:rsidTr="00F5135F">
        <w:trPr>
          <w:jc w:val="center"/>
        </w:trPr>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sz w:val="20"/>
                <w:szCs w:val="20"/>
              </w:rPr>
              <w:t>F2</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0.33</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0.26</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15.23</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15.74</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sz w:val="20"/>
                <w:szCs w:val="20"/>
              </w:rPr>
              <w:t>267</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96.73</w:t>
            </w:r>
          </w:p>
        </w:tc>
        <w:tc>
          <w:tcPr>
            <w:tcW w:w="853"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6.8</w:t>
            </w:r>
          </w:p>
        </w:tc>
        <w:tc>
          <w:tcPr>
            <w:tcW w:w="853" w:type="dxa"/>
            <w:vAlign w:val="center"/>
          </w:tcPr>
          <w:p w:rsidR="00297C7E" w:rsidRPr="00297C7E" w:rsidRDefault="00297C7E" w:rsidP="00297C7E">
            <w:pPr>
              <w:spacing w:after="0" w:line="240" w:lineRule="auto"/>
              <w:jc w:val="center"/>
              <w:rPr>
                <w:rFonts w:ascii="Times New Roman" w:hAnsi="Times New Roman" w:cs="Times New Roman"/>
                <w:color w:val="000000" w:themeColor="dark1"/>
                <w:kern w:val="24"/>
                <w:sz w:val="20"/>
                <w:szCs w:val="20"/>
              </w:rPr>
            </w:pPr>
            <w:r w:rsidRPr="00297C7E">
              <w:rPr>
                <w:rFonts w:ascii="Times New Roman" w:hAnsi="Times New Roman" w:cs="Times New Roman"/>
                <w:color w:val="000000" w:themeColor="dark1"/>
                <w:kern w:val="24"/>
                <w:sz w:val="20"/>
                <w:szCs w:val="20"/>
              </w:rPr>
              <w:t>0.65</w:t>
            </w:r>
          </w:p>
        </w:tc>
        <w:tc>
          <w:tcPr>
            <w:tcW w:w="853" w:type="dxa"/>
            <w:vAlign w:val="center"/>
          </w:tcPr>
          <w:p w:rsidR="00297C7E" w:rsidRPr="00297C7E" w:rsidRDefault="00297C7E" w:rsidP="00297C7E">
            <w:pPr>
              <w:spacing w:after="0" w:line="240" w:lineRule="auto"/>
              <w:jc w:val="center"/>
              <w:rPr>
                <w:rFonts w:ascii="Times New Roman" w:hAnsi="Times New Roman" w:cs="Times New Roman"/>
                <w:color w:val="000000" w:themeColor="dark1"/>
                <w:kern w:val="24"/>
                <w:sz w:val="20"/>
                <w:szCs w:val="20"/>
              </w:rPr>
            </w:pPr>
            <w:r w:rsidRPr="00297C7E">
              <w:rPr>
                <w:rFonts w:ascii="Times New Roman" w:hAnsi="Times New Roman" w:cs="Times New Roman"/>
                <w:color w:val="000000" w:themeColor="dark1"/>
                <w:kern w:val="24"/>
                <w:sz w:val="20"/>
                <w:szCs w:val="20"/>
              </w:rPr>
              <w:t>34</w:t>
            </w:r>
          </w:p>
        </w:tc>
      </w:tr>
      <w:tr w:rsidR="00297C7E" w:rsidRPr="00297C7E" w:rsidTr="00F5135F">
        <w:trPr>
          <w:jc w:val="center"/>
        </w:trPr>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sz w:val="20"/>
                <w:szCs w:val="20"/>
              </w:rPr>
              <w:t>F3</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0.33</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0.23</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14.60</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11.87</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sz w:val="20"/>
                <w:szCs w:val="20"/>
              </w:rPr>
              <w:t>285</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91.63</w:t>
            </w:r>
          </w:p>
        </w:tc>
        <w:tc>
          <w:tcPr>
            <w:tcW w:w="853"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6.7</w:t>
            </w:r>
          </w:p>
        </w:tc>
        <w:tc>
          <w:tcPr>
            <w:tcW w:w="853" w:type="dxa"/>
            <w:vAlign w:val="center"/>
          </w:tcPr>
          <w:p w:rsidR="00297C7E" w:rsidRPr="00297C7E" w:rsidRDefault="00297C7E" w:rsidP="00297C7E">
            <w:pPr>
              <w:spacing w:after="0" w:line="240" w:lineRule="auto"/>
              <w:jc w:val="center"/>
              <w:rPr>
                <w:rFonts w:ascii="Times New Roman" w:hAnsi="Times New Roman" w:cs="Times New Roman"/>
                <w:color w:val="000000" w:themeColor="dark1"/>
                <w:kern w:val="24"/>
                <w:sz w:val="20"/>
                <w:szCs w:val="20"/>
              </w:rPr>
            </w:pPr>
            <w:r w:rsidRPr="00297C7E">
              <w:rPr>
                <w:rFonts w:ascii="Times New Roman" w:hAnsi="Times New Roman" w:cs="Times New Roman"/>
                <w:color w:val="000000" w:themeColor="dark1"/>
                <w:kern w:val="24"/>
                <w:sz w:val="20"/>
                <w:szCs w:val="20"/>
              </w:rPr>
              <w:t>0.61</w:t>
            </w:r>
          </w:p>
        </w:tc>
        <w:tc>
          <w:tcPr>
            <w:tcW w:w="853" w:type="dxa"/>
            <w:vAlign w:val="center"/>
          </w:tcPr>
          <w:p w:rsidR="00297C7E" w:rsidRPr="00297C7E" w:rsidRDefault="00297C7E" w:rsidP="00297C7E">
            <w:pPr>
              <w:spacing w:after="0" w:line="240" w:lineRule="auto"/>
              <w:jc w:val="center"/>
              <w:rPr>
                <w:rFonts w:ascii="Times New Roman" w:hAnsi="Times New Roman" w:cs="Times New Roman"/>
                <w:color w:val="000000" w:themeColor="dark1"/>
                <w:kern w:val="24"/>
                <w:sz w:val="20"/>
                <w:szCs w:val="20"/>
              </w:rPr>
            </w:pPr>
            <w:r w:rsidRPr="00297C7E">
              <w:rPr>
                <w:rFonts w:ascii="Times New Roman" w:hAnsi="Times New Roman" w:cs="Times New Roman"/>
                <w:color w:val="000000" w:themeColor="dark1"/>
                <w:kern w:val="24"/>
                <w:sz w:val="20"/>
                <w:szCs w:val="20"/>
              </w:rPr>
              <w:t>40</w:t>
            </w:r>
          </w:p>
        </w:tc>
      </w:tr>
      <w:tr w:rsidR="00297C7E" w:rsidRPr="00297C7E" w:rsidTr="00F5135F">
        <w:trPr>
          <w:jc w:val="center"/>
        </w:trPr>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sz w:val="20"/>
                <w:szCs w:val="20"/>
              </w:rPr>
              <w:t>F4</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0.31</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0.24</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10.52</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16.48</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sz w:val="20"/>
                <w:szCs w:val="20"/>
              </w:rPr>
              <w:t>191</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88.16</w:t>
            </w:r>
          </w:p>
        </w:tc>
        <w:tc>
          <w:tcPr>
            <w:tcW w:w="853"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6.8</w:t>
            </w:r>
          </w:p>
        </w:tc>
        <w:tc>
          <w:tcPr>
            <w:tcW w:w="853" w:type="dxa"/>
            <w:vAlign w:val="center"/>
          </w:tcPr>
          <w:p w:rsidR="00297C7E" w:rsidRPr="00297C7E" w:rsidRDefault="00297C7E" w:rsidP="00297C7E">
            <w:pPr>
              <w:spacing w:after="0" w:line="240" w:lineRule="auto"/>
              <w:jc w:val="center"/>
              <w:rPr>
                <w:rFonts w:ascii="Times New Roman" w:hAnsi="Times New Roman" w:cs="Times New Roman"/>
                <w:color w:val="000000" w:themeColor="dark1"/>
                <w:kern w:val="24"/>
                <w:sz w:val="20"/>
                <w:szCs w:val="20"/>
              </w:rPr>
            </w:pPr>
            <w:r w:rsidRPr="00297C7E">
              <w:rPr>
                <w:rFonts w:ascii="Times New Roman" w:hAnsi="Times New Roman" w:cs="Times New Roman"/>
                <w:color w:val="000000" w:themeColor="dark1"/>
                <w:kern w:val="24"/>
                <w:sz w:val="20"/>
                <w:szCs w:val="20"/>
              </w:rPr>
              <w:t>0.69</w:t>
            </w:r>
          </w:p>
        </w:tc>
        <w:tc>
          <w:tcPr>
            <w:tcW w:w="853" w:type="dxa"/>
            <w:vAlign w:val="center"/>
          </w:tcPr>
          <w:p w:rsidR="00297C7E" w:rsidRPr="00297C7E" w:rsidRDefault="00297C7E" w:rsidP="00297C7E">
            <w:pPr>
              <w:spacing w:after="0" w:line="240" w:lineRule="auto"/>
              <w:jc w:val="center"/>
              <w:rPr>
                <w:rFonts w:ascii="Times New Roman" w:hAnsi="Times New Roman" w:cs="Times New Roman"/>
                <w:color w:val="000000" w:themeColor="dark1"/>
                <w:kern w:val="24"/>
                <w:sz w:val="20"/>
                <w:szCs w:val="20"/>
              </w:rPr>
            </w:pPr>
            <w:r w:rsidRPr="00297C7E">
              <w:rPr>
                <w:rFonts w:ascii="Times New Roman" w:hAnsi="Times New Roman" w:cs="Times New Roman"/>
                <w:color w:val="000000" w:themeColor="dark1"/>
                <w:kern w:val="24"/>
                <w:sz w:val="20"/>
                <w:szCs w:val="20"/>
              </w:rPr>
              <w:t>46</w:t>
            </w:r>
          </w:p>
        </w:tc>
      </w:tr>
      <w:tr w:rsidR="00297C7E" w:rsidRPr="00297C7E" w:rsidTr="00F5135F">
        <w:trPr>
          <w:jc w:val="center"/>
        </w:trPr>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sz w:val="20"/>
                <w:szCs w:val="20"/>
              </w:rPr>
              <w:t>F5</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0.35</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0.28</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12.35</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12.20</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sz w:val="20"/>
                <w:szCs w:val="20"/>
              </w:rPr>
              <w:t>199</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94.49</w:t>
            </w:r>
          </w:p>
        </w:tc>
        <w:tc>
          <w:tcPr>
            <w:tcW w:w="853"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6.9</w:t>
            </w:r>
          </w:p>
        </w:tc>
        <w:tc>
          <w:tcPr>
            <w:tcW w:w="853" w:type="dxa"/>
            <w:vAlign w:val="center"/>
          </w:tcPr>
          <w:p w:rsidR="00297C7E" w:rsidRPr="00297C7E" w:rsidRDefault="00297C7E" w:rsidP="00297C7E">
            <w:pPr>
              <w:spacing w:after="0" w:line="240" w:lineRule="auto"/>
              <w:jc w:val="center"/>
              <w:rPr>
                <w:rFonts w:ascii="Times New Roman" w:hAnsi="Times New Roman" w:cs="Times New Roman"/>
                <w:color w:val="000000" w:themeColor="dark1"/>
                <w:kern w:val="24"/>
                <w:sz w:val="20"/>
                <w:szCs w:val="20"/>
              </w:rPr>
            </w:pPr>
            <w:r w:rsidRPr="00297C7E">
              <w:rPr>
                <w:rFonts w:ascii="Times New Roman" w:hAnsi="Times New Roman" w:cs="Times New Roman"/>
                <w:color w:val="000000" w:themeColor="dark1"/>
                <w:kern w:val="24"/>
                <w:sz w:val="20"/>
                <w:szCs w:val="20"/>
              </w:rPr>
              <w:t>0.84</w:t>
            </w:r>
          </w:p>
        </w:tc>
        <w:tc>
          <w:tcPr>
            <w:tcW w:w="853" w:type="dxa"/>
            <w:vAlign w:val="center"/>
          </w:tcPr>
          <w:p w:rsidR="00297C7E" w:rsidRPr="00297C7E" w:rsidRDefault="00297C7E" w:rsidP="00297C7E">
            <w:pPr>
              <w:spacing w:after="0" w:line="240" w:lineRule="auto"/>
              <w:jc w:val="center"/>
              <w:rPr>
                <w:rFonts w:ascii="Times New Roman" w:hAnsi="Times New Roman" w:cs="Times New Roman"/>
                <w:color w:val="000000" w:themeColor="dark1"/>
                <w:kern w:val="24"/>
                <w:sz w:val="20"/>
                <w:szCs w:val="20"/>
              </w:rPr>
            </w:pPr>
            <w:r w:rsidRPr="00297C7E">
              <w:rPr>
                <w:rFonts w:ascii="Times New Roman" w:hAnsi="Times New Roman" w:cs="Times New Roman"/>
                <w:color w:val="000000" w:themeColor="dark1"/>
                <w:kern w:val="24"/>
                <w:sz w:val="20"/>
                <w:szCs w:val="20"/>
              </w:rPr>
              <w:t>59</w:t>
            </w:r>
          </w:p>
        </w:tc>
      </w:tr>
      <w:tr w:rsidR="00297C7E" w:rsidRPr="00297C7E" w:rsidTr="00F5135F">
        <w:trPr>
          <w:jc w:val="center"/>
        </w:trPr>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sz w:val="20"/>
                <w:szCs w:val="20"/>
              </w:rPr>
              <w:t>F6</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0.34</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0.23</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6.45</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16.12</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sz w:val="20"/>
                <w:szCs w:val="20"/>
              </w:rPr>
              <w:t>205</w:t>
            </w:r>
          </w:p>
        </w:tc>
        <w:tc>
          <w:tcPr>
            <w:tcW w:w="852"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91.54</w:t>
            </w:r>
          </w:p>
        </w:tc>
        <w:tc>
          <w:tcPr>
            <w:tcW w:w="853" w:type="dxa"/>
            <w:vAlign w:val="center"/>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color w:val="000000" w:themeColor="dark1"/>
                <w:kern w:val="24"/>
                <w:sz w:val="20"/>
                <w:szCs w:val="20"/>
              </w:rPr>
              <w:t>7.0</w:t>
            </w:r>
          </w:p>
        </w:tc>
        <w:tc>
          <w:tcPr>
            <w:tcW w:w="853" w:type="dxa"/>
            <w:vAlign w:val="center"/>
          </w:tcPr>
          <w:p w:rsidR="00297C7E" w:rsidRPr="00297C7E" w:rsidRDefault="00297C7E" w:rsidP="00297C7E">
            <w:pPr>
              <w:spacing w:after="0" w:line="240" w:lineRule="auto"/>
              <w:jc w:val="center"/>
              <w:rPr>
                <w:rFonts w:ascii="Times New Roman" w:hAnsi="Times New Roman" w:cs="Times New Roman"/>
                <w:color w:val="000000" w:themeColor="dark1"/>
                <w:kern w:val="24"/>
                <w:sz w:val="20"/>
                <w:szCs w:val="20"/>
              </w:rPr>
            </w:pPr>
            <w:r w:rsidRPr="00297C7E">
              <w:rPr>
                <w:rFonts w:ascii="Times New Roman" w:hAnsi="Times New Roman" w:cs="Times New Roman"/>
                <w:color w:val="000000" w:themeColor="dark1"/>
                <w:kern w:val="24"/>
                <w:sz w:val="20"/>
                <w:szCs w:val="20"/>
              </w:rPr>
              <w:t>0.86</w:t>
            </w:r>
          </w:p>
        </w:tc>
        <w:tc>
          <w:tcPr>
            <w:tcW w:w="853" w:type="dxa"/>
            <w:vAlign w:val="center"/>
          </w:tcPr>
          <w:p w:rsidR="00297C7E" w:rsidRPr="00297C7E" w:rsidRDefault="00297C7E" w:rsidP="00297C7E">
            <w:pPr>
              <w:spacing w:after="0" w:line="240" w:lineRule="auto"/>
              <w:jc w:val="center"/>
              <w:rPr>
                <w:rFonts w:ascii="Times New Roman" w:hAnsi="Times New Roman" w:cs="Times New Roman"/>
                <w:color w:val="000000" w:themeColor="dark1"/>
                <w:kern w:val="24"/>
                <w:sz w:val="20"/>
                <w:szCs w:val="20"/>
              </w:rPr>
            </w:pPr>
            <w:r w:rsidRPr="00297C7E">
              <w:rPr>
                <w:rFonts w:ascii="Times New Roman" w:hAnsi="Times New Roman" w:cs="Times New Roman"/>
                <w:color w:val="000000" w:themeColor="dark1"/>
                <w:kern w:val="24"/>
                <w:sz w:val="20"/>
                <w:szCs w:val="20"/>
              </w:rPr>
              <w:t>54</w:t>
            </w:r>
          </w:p>
        </w:tc>
      </w:tr>
    </w:tbl>
    <w:p w:rsidR="00297C7E" w:rsidRDefault="00297C7E" w:rsidP="00297C7E">
      <w:pPr>
        <w:spacing w:after="0" w:line="240" w:lineRule="auto"/>
        <w:rPr>
          <w:rFonts w:ascii="Times New Roman" w:hAnsi="Times New Roman" w:cs="Times New Roman"/>
          <w:b/>
          <w:sz w:val="18"/>
        </w:rPr>
      </w:pPr>
    </w:p>
    <w:p w:rsidR="00297C7E" w:rsidRDefault="00297C7E" w:rsidP="00297C7E">
      <w:pPr>
        <w:spacing w:after="0" w:line="240" w:lineRule="auto"/>
        <w:rPr>
          <w:rFonts w:ascii="Times New Roman" w:hAnsi="Times New Roman" w:cs="Times New Roman"/>
          <w:b/>
          <w:sz w:val="18"/>
        </w:rPr>
      </w:pPr>
      <w:r>
        <w:rPr>
          <w:rFonts w:ascii="Times New Roman" w:hAnsi="Times New Roman" w:cs="Times New Roman"/>
          <w:b/>
          <w:sz w:val="18"/>
        </w:rPr>
        <w:t xml:space="preserve">In vitro drug release studies: </w:t>
      </w:r>
    </w:p>
    <w:p w:rsidR="00297C7E" w:rsidRDefault="00297C7E" w:rsidP="00297C7E">
      <w:pPr>
        <w:spacing w:after="0" w:line="240" w:lineRule="auto"/>
        <w:jc w:val="center"/>
        <w:rPr>
          <w:rFonts w:ascii="Times New Roman" w:hAnsi="Times New Roman" w:cs="Times New Roman"/>
          <w:b/>
          <w:sz w:val="18"/>
        </w:rPr>
      </w:pPr>
      <w:r>
        <w:rPr>
          <w:rFonts w:ascii="Times New Roman" w:hAnsi="Times New Roman" w:cs="Times New Roman"/>
          <w:b/>
          <w:sz w:val="18"/>
        </w:rPr>
        <w:t>Table 3: % Cumulative drug release studies for all formulations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tblPr>
      <w:tblGrid>
        <w:gridCol w:w="1532"/>
        <w:gridCol w:w="1352"/>
        <w:gridCol w:w="1352"/>
        <w:gridCol w:w="1352"/>
        <w:gridCol w:w="1352"/>
        <w:gridCol w:w="1352"/>
        <w:gridCol w:w="1352"/>
      </w:tblGrid>
      <w:tr w:rsidR="00297C7E" w:rsidRPr="00297C7E" w:rsidTr="00297C7E">
        <w:trPr>
          <w:trHeight w:val="20"/>
          <w:jc w:val="center"/>
        </w:trPr>
        <w:tc>
          <w:tcPr>
            <w:tcW w:w="153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b/>
                <w:bCs/>
                <w:sz w:val="20"/>
                <w:szCs w:val="20"/>
              </w:rPr>
              <w:t>Time in min</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b/>
                <w:bCs/>
                <w:sz w:val="20"/>
                <w:szCs w:val="20"/>
              </w:rPr>
              <w:t>F 1</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b/>
                <w:bCs/>
                <w:sz w:val="20"/>
                <w:szCs w:val="20"/>
              </w:rPr>
              <w:t>F 2</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b/>
                <w:bCs/>
                <w:sz w:val="20"/>
                <w:szCs w:val="20"/>
              </w:rPr>
              <w:t>F 3</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b/>
                <w:bCs/>
                <w:sz w:val="20"/>
                <w:szCs w:val="20"/>
              </w:rPr>
              <w:t>F 4</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b/>
                <w:bCs/>
                <w:sz w:val="20"/>
                <w:szCs w:val="20"/>
              </w:rPr>
              <w:t>F 5</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sz w:val="20"/>
                <w:szCs w:val="20"/>
              </w:rPr>
            </w:pPr>
            <w:r w:rsidRPr="00297C7E">
              <w:rPr>
                <w:rFonts w:ascii="Times New Roman" w:hAnsi="Times New Roman" w:cs="Times New Roman"/>
                <w:b/>
                <w:bCs/>
                <w:sz w:val="20"/>
                <w:szCs w:val="20"/>
              </w:rPr>
              <w:t>F 6</w:t>
            </w:r>
          </w:p>
        </w:tc>
      </w:tr>
      <w:tr w:rsidR="00297C7E" w:rsidRPr="00297C7E" w:rsidTr="00297C7E">
        <w:trPr>
          <w:trHeight w:val="20"/>
          <w:jc w:val="center"/>
        </w:trPr>
        <w:tc>
          <w:tcPr>
            <w:tcW w:w="153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ind w:firstLine="720"/>
              <w:rPr>
                <w:rFonts w:ascii="Times New Roman" w:hAnsi="Times New Roman" w:cs="Times New Roman"/>
                <w:sz w:val="20"/>
                <w:szCs w:val="20"/>
              </w:rPr>
            </w:pPr>
            <w:r w:rsidRPr="00297C7E">
              <w:rPr>
                <w:rFonts w:ascii="Times New Roman" w:hAnsi="Times New Roman" w:cs="Times New Roman"/>
                <w:sz w:val="20"/>
                <w:szCs w:val="20"/>
              </w:rPr>
              <w:t>0</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bCs/>
                <w:color w:val="000000"/>
                <w:sz w:val="20"/>
                <w:szCs w:val="20"/>
              </w:rPr>
            </w:pPr>
            <w:r w:rsidRPr="00297C7E">
              <w:rPr>
                <w:rFonts w:ascii="Times New Roman" w:hAnsi="Times New Roman" w:cs="Times New Roman"/>
                <w:bCs/>
                <w:color w:val="000000"/>
                <w:sz w:val="20"/>
                <w:szCs w:val="20"/>
              </w:rPr>
              <w:t>0</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0</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0</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0</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0</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0</w:t>
            </w:r>
          </w:p>
        </w:tc>
      </w:tr>
      <w:tr w:rsidR="00297C7E" w:rsidRPr="00297C7E" w:rsidTr="00297C7E">
        <w:trPr>
          <w:trHeight w:val="20"/>
          <w:jc w:val="center"/>
        </w:trPr>
        <w:tc>
          <w:tcPr>
            <w:tcW w:w="153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ind w:firstLine="720"/>
              <w:rPr>
                <w:rFonts w:ascii="Times New Roman" w:hAnsi="Times New Roman" w:cs="Times New Roman"/>
                <w:sz w:val="20"/>
                <w:szCs w:val="20"/>
              </w:rPr>
            </w:pPr>
            <w:r w:rsidRPr="00297C7E">
              <w:rPr>
                <w:rFonts w:ascii="Times New Roman" w:hAnsi="Times New Roman" w:cs="Times New Roman"/>
                <w:sz w:val="20"/>
                <w:szCs w:val="20"/>
              </w:rPr>
              <w:t>0.5</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bCs/>
                <w:color w:val="000000"/>
                <w:sz w:val="20"/>
                <w:szCs w:val="20"/>
              </w:rPr>
            </w:pPr>
            <w:r w:rsidRPr="00297C7E">
              <w:rPr>
                <w:rFonts w:ascii="Times New Roman" w:hAnsi="Times New Roman" w:cs="Times New Roman"/>
                <w:bCs/>
                <w:color w:val="000000"/>
                <w:sz w:val="20"/>
                <w:szCs w:val="20"/>
              </w:rPr>
              <w:t>25.12</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22.43</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23.37</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19.46</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24.45</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24.36</w:t>
            </w:r>
          </w:p>
        </w:tc>
      </w:tr>
      <w:tr w:rsidR="00297C7E" w:rsidRPr="00297C7E" w:rsidTr="00297C7E">
        <w:trPr>
          <w:trHeight w:val="20"/>
          <w:jc w:val="center"/>
        </w:trPr>
        <w:tc>
          <w:tcPr>
            <w:tcW w:w="153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ind w:firstLine="720"/>
              <w:rPr>
                <w:rFonts w:ascii="Times New Roman" w:hAnsi="Times New Roman" w:cs="Times New Roman"/>
                <w:sz w:val="20"/>
                <w:szCs w:val="20"/>
              </w:rPr>
            </w:pPr>
            <w:r w:rsidRPr="00297C7E">
              <w:rPr>
                <w:rFonts w:ascii="Times New Roman" w:hAnsi="Times New Roman" w:cs="Times New Roman"/>
                <w:sz w:val="20"/>
                <w:szCs w:val="20"/>
              </w:rPr>
              <w:t>1</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bCs/>
                <w:color w:val="000000"/>
                <w:sz w:val="20"/>
                <w:szCs w:val="20"/>
              </w:rPr>
            </w:pPr>
            <w:r w:rsidRPr="00297C7E">
              <w:rPr>
                <w:rFonts w:ascii="Times New Roman" w:hAnsi="Times New Roman" w:cs="Times New Roman"/>
                <w:bCs/>
                <w:color w:val="000000"/>
                <w:sz w:val="20"/>
                <w:szCs w:val="20"/>
              </w:rPr>
              <w:t>41.49</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37.63</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33.65</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24.63</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34.42</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35.42</w:t>
            </w:r>
          </w:p>
        </w:tc>
      </w:tr>
      <w:tr w:rsidR="00297C7E" w:rsidRPr="00297C7E" w:rsidTr="00297C7E">
        <w:trPr>
          <w:trHeight w:val="20"/>
          <w:jc w:val="center"/>
        </w:trPr>
        <w:tc>
          <w:tcPr>
            <w:tcW w:w="153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ind w:firstLine="720"/>
              <w:rPr>
                <w:rFonts w:ascii="Times New Roman" w:hAnsi="Times New Roman" w:cs="Times New Roman"/>
                <w:sz w:val="20"/>
                <w:szCs w:val="20"/>
              </w:rPr>
            </w:pPr>
            <w:r w:rsidRPr="00297C7E">
              <w:rPr>
                <w:rFonts w:ascii="Times New Roman" w:hAnsi="Times New Roman" w:cs="Times New Roman"/>
                <w:sz w:val="20"/>
                <w:szCs w:val="20"/>
              </w:rPr>
              <w:t>1.5</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bCs/>
                <w:color w:val="000000"/>
                <w:sz w:val="20"/>
                <w:szCs w:val="20"/>
              </w:rPr>
            </w:pPr>
            <w:r w:rsidRPr="00297C7E">
              <w:rPr>
                <w:rFonts w:ascii="Times New Roman" w:hAnsi="Times New Roman" w:cs="Times New Roman"/>
                <w:bCs/>
                <w:color w:val="000000"/>
                <w:sz w:val="20"/>
                <w:szCs w:val="20"/>
              </w:rPr>
              <w:t>50.17</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49.47</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49.34</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39.58</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43.67</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45.43</w:t>
            </w:r>
          </w:p>
        </w:tc>
      </w:tr>
      <w:tr w:rsidR="00297C7E" w:rsidRPr="00297C7E" w:rsidTr="00297C7E">
        <w:trPr>
          <w:trHeight w:val="20"/>
          <w:jc w:val="center"/>
        </w:trPr>
        <w:tc>
          <w:tcPr>
            <w:tcW w:w="153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ind w:firstLine="720"/>
              <w:rPr>
                <w:rFonts w:ascii="Times New Roman" w:hAnsi="Times New Roman" w:cs="Times New Roman"/>
                <w:sz w:val="20"/>
                <w:szCs w:val="20"/>
              </w:rPr>
            </w:pPr>
            <w:r w:rsidRPr="00297C7E">
              <w:rPr>
                <w:rFonts w:ascii="Times New Roman" w:hAnsi="Times New Roman" w:cs="Times New Roman"/>
                <w:sz w:val="20"/>
                <w:szCs w:val="20"/>
              </w:rPr>
              <w:t>2</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bCs/>
                <w:color w:val="000000"/>
                <w:sz w:val="20"/>
                <w:szCs w:val="20"/>
              </w:rPr>
            </w:pPr>
            <w:r w:rsidRPr="00297C7E">
              <w:rPr>
                <w:rFonts w:ascii="Times New Roman" w:hAnsi="Times New Roman" w:cs="Times New Roman"/>
                <w:bCs/>
                <w:color w:val="000000"/>
                <w:sz w:val="20"/>
                <w:szCs w:val="20"/>
              </w:rPr>
              <w:t>69.38</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65.14</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57.48</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64.45</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58.62</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65.88</w:t>
            </w:r>
          </w:p>
        </w:tc>
      </w:tr>
      <w:tr w:rsidR="00297C7E" w:rsidRPr="00297C7E" w:rsidTr="00297C7E">
        <w:trPr>
          <w:trHeight w:val="20"/>
          <w:jc w:val="center"/>
        </w:trPr>
        <w:tc>
          <w:tcPr>
            <w:tcW w:w="153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ind w:firstLine="720"/>
              <w:rPr>
                <w:rFonts w:ascii="Times New Roman" w:hAnsi="Times New Roman" w:cs="Times New Roman"/>
                <w:sz w:val="20"/>
                <w:szCs w:val="20"/>
              </w:rPr>
            </w:pPr>
            <w:r w:rsidRPr="00297C7E">
              <w:rPr>
                <w:rFonts w:ascii="Times New Roman" w:hAnsi="Times New Roman" w:cs="Times New Roman"/>
                <w:sz w:val="20"/>
                <w:szCs w:val="20"/>
              </w:rPr>
              <w:t>3</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bCs/>
                <w:color w:val="000000"/>
                <w:sz w:val="20"/>
                <w:szCs w:val="20"/>
              </w:rPr>
            </w:pPr>
            <w:r w:rsidRPr="00297C7E">
              <w:rPr>
                <w:rFonts w:ascii="Times New Roman" w:hAnsi="Times New Roman" w:cs="Times New Roman"/>
                <w:bCs/>
                <w:color w:val="000000"/>
                <w:sz w:val="20"/>
                <w:szCs w:val="20"/>
              </w:rPr>
              <w:t>77.64</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74.63</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68.36</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71.31</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69.71</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75.43</w:t>
            </w:r>
          </w:p>
        </w:tc>
      </w:tr>
      <w:tr w:rsidR="00297C7E" w:rsidRPr="00297C7E" w:rsidTr="00297C7E">
        <w:trPr>
          <w:trHeight w:val="20"/>
          <w:jc w:val="center"/>
        </w:trPr>
        <w:tc>
          <w:tcPr>
            <w:tcW w:w="153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ind w:firstLine="720"/>
              <w:rPr>
                <w:rFonts w:ascii="Times New Roman" w:hAnsi="Times New Roman" w:cs="Times New Roman"/>
                <w:sz w:val="20"/>
                <w:szCs w:val="20"/>
              </w:rPr>
            </w:pPr>
            <w:r w:rsidRPr="00297C7E">
              <w:rPr>
                <w:rFonts w:ascii="Times New Roman" w:hAnsi="Times New Roman" w:cs="Times New Roman"/>
                <w:sz w:val="20"/>
                <w:szCs w:val="20"/>
              </w:rPr>
              <w:t>4</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bCs/>
                <w:color w:val="000000"/>
                <w:sz w:val="20"/>
                <w:szCs w:val="20"/>
              </w:rPr>
            </w:pPr>
            <w:r w:rsidRPr="00297C7E">
              <w:rPr>
                <w:rFonts w:ascii="Times New Roman" w:hAnsi="Times New Roman" w:cs="Times New Roman"/>
                <w:bCs/>
                <w:color w:val="000000"/>
                <w:sz w:val="20"/>
                <w:szCs w:val="20"/>
              </w:rPr>
              <w:t>87.73</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83.63</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79.49</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80.41</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84.97</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85.66</w:t>
            </w:r>
          </w:p>
        </w:tc>
      </w:tr>
      <w:tr w:rsidR="00297C7E" w:rsidRPr="00297C7E" w:rsidTr="00297C7E">
        <w:trPr>
          <w:trHeight w:val="20"/>
          <w:jc w:val="center"/>
        </w:trPr>
        <w:tc>
          <w:tcPr>
            <w:tcW w:w="153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ind w:firstLine="720"/>
              <w:rPr>
                <w:rFonts w:ascii="Times New Roman" w:hAnsi="Times New Roman" w:cs="Times New Roman"/>
                <w:sz w:val="20"/>
                <w:szCs w:val="20"/>
              </w:rPr>
            </w:pPr>
            <w:r w:rsidRPr="00297C7E">
              <w:rPr>
                <w:rFonts w:ascii="Times New Roman" w:hAnsi="Times New Roman" w:cs="Times New Roman"/>
                <w:sz w:val="20"/>
                <w:szCs w:val="20"/>
              </w:rPr>
              <w:t>5</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bCs/>
                <w:color w:val="000000"/>
                <w:sz w:val="20"/>
                <w:szCs w:val="20"/>
              </w:rPr>
            </w:pPr>
            <w:r w:rsidRPr="00297C7E">
              <w:rPr>
                <w:rFonts w:ascii="Times New Roman" w:hAnsi="Times New Roman" w:cs="Times New Roman"/>
                <w:bCs/>
                <w:color w:val="000000"/>
                <w:sz w:val="20"/>
                <w:szCs w:val="20"/>
              </w:rPr>
              <w:t>97.14</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92.15</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94.59</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87.98</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95.67</w:t>
            </w:r>
          </w:p>
        </w:tc>
        <w:tc>
          <w:tcPr>
            <w:tcW w:w="1352" w:type="dxa"/>
            <w:shd w:val="clear" w:color="auto" w:fill="auto"/>
            <w:tcMar>
              <w:top w:w="15" w:type="dxa"/>
              <w:left w:w="108" w:type="dxa"/>
              <w:bottom w:w="0" w:type="dxa"/>
              <w:right w:w="108" w:type="dxa"/>
            </w:tcMar>
            <w:vAlign w:val="center"/>
            <w:hideMark/>
          </w:tcPr>
          <w:p w:rsidR="00297C7E" w:rsidRPr="00297C7E" w:rsidRDefault="00297C7E" w:rsidP="00297C7E">
            <w:pPr>
              <w:spacing w:after="0" w:line="240" w:lineRule="auto"/>
              <w:jc w:val="center"/>
              <w:rPr>
                <w:rFonts w:ascii="Times New Roman" w:hAnsi="Times New Roman" w:cs="Times New Roman"/>
                <w:color w:val="000000"/>
                <w:sz w:val="20"/>
                <w:szCs w:val="20"/>
              </w:rPr>
            </w:pPr>
            <w:r w:rsidRPr="00297C7E">
              <w:rPr>
                <w:rFonts w:ascii="Times New Roman" w:hAnsi="Times New Roman" w:cs="Times New Roman"/>
                <w:color w:val="000000"/>
                <w:sz w:val="20"/>
                <w:szCs w:val="20"/>
              </w:rPr>
              <w:t>96.74</w:t>
            </w:r>
          </w:p>
        </w:tc>
      </w:tr>
    </w:tbl>
    <w:p w:rsidR="00297C7E" w:rsidRDefault="00297C7E" w:rsidP="00297C7E">
      <w:pPr>
        <w:spacing w:after="0" w:line="240" w:lineRule="auto"/>
        <w:rPr>
          <w:rFonts w:ascii="Times New Roman" w:hAnsi="Times New Roman" w:cs="Times New Roman"/>
          <w:b/>
          <w:sz w:val="18"/>
        </w:rPr>
      </w:pPr>
    </w:p>
    <w:p w:rsidR="00147C5E" w:rsidRDefault="00147C5E" w:rsidP="00647984">
      <w:pPr>
        <w:shd w:val="clear" w:color="auto" w:fill="FFFFFF"/>
        <w:spacing w:after="0" w:line="219" w:lineRule="atLeast"/>
        <w:jc w:val="both"/>
        <w:rPr>
          <w:rFonts w:ascii="Times New Roman" w:eastAsia="Times New Roman" w:hAnsi="Times New Roman" w:cs="Times New Roman"/>
          <w:color w:val="403D39"/>
          <w:sz w:val="20"/>
          <w:szCs w:val="24"/>
          <w:highlight w:val="yellow"/>
        </w:rPr>
      </w:pPr>
    </w:p>
    <w:p w:rsidR="00297C7E" w:rsidRDefault="00297C7E" w:rsidP="007C268B">
      <w:pPr>
        <w:tabs>
          <w:tab w:val="left" w:pos="8477"/>
        </w:tabs>
        <w:spacing w:after="0" w:line="240" w:lineRule="auto"/>
        <w:ind w:left="360"/>
        <w:rPr>
          <w:rFonts w:ascii="Times New Roman" w:hAnsi="Times New Roman" w:cs="Times New Roman"/>
          <w:b/>
          <w:sz w:val="20"/>
          <w:szCs w:val="24"/>
        </w:rPr>
      </w:pPr>
      <w:r w:rsidRPr="00297C7E">
        <w:rPr>
          <w:rFonts w:ascii="Times New Roman" w:hAnsi="Times New Roman" w:cs="Times New Roman"/>
          <w:b/>
          <w:noProof/>
          <w:sz w:val="20"/>
          <w:szCs w:val="24"/>
        </w:rPr>
        <w:lastRenderedPageBreak/>
        <w:drawing>
          <wp:anchor distT="0" distB="0" distL="114300" distR="114300" simplePos="0" relativeHeight="251662336" behindDoc="0" locked="0" layoutInCell="1" allowOverlap="1">
            <wp:simplePos x="0" y="0"/>
            <wp:positionH relativeFrom="column">
              <wp:posOffset>1287780</wp:posOffset>
            </wp:positionH>
            <wp:positionV relativeFrom="paragraph">
              <wp:posOffset>-55245</wp:posOffset>
            </wp:positionV>
            <wp:extent cx="3924300" cy="2171700"/>
            <wp:effectExtent l="19050" t="0" r="19050" b="0"/>
            <wp:wrapThrough wrapText="bothSides">
              <wp:wrapPolygon edited="0">
                <wp:start x="-105" y="0"/>
                <wp:lineTo x="-105" y="21600"/>
                <wp:lineTo x="21705" y="21600"/>
                <wp:lineTo x="21705" y="0"/>
                <wp:lineTo x="-105" y="0"/>
              </wp:wrapPolygon>
            </wp:wrapThrough>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rsidR="00297C7E" w:rsidRPr="00297C7E" w:rsidRDefault="00297C7E" w:rsidP="00297C7E">
      <w:pPr>
        <w:rPr>
          <w:rFonts w:ascii="Times New Roman" w:hAnsi="Times New Roman" w:cs="Times New Roman"/>
          <w:sz w:val="20"/>
          <w:szCs w:val="24"/>
        </w:rPr>
      </w:pPr>
    </w:p>
    <w:p w:rsidR="00297C7E" w:rsidRPr="00297C7E" w:rsidRDefault="00297C7E" w:rsidP="00297C7E">
      <w:pPr>
        <w:rPr>
          <w:rFonts w:ascii="Times New Roman" w:hAnsi="Times New Roman" w:cs="Times New Roman"/>
          <w:sz w:val="20"/>
          <w:szCs w:val="24"/>
        </w:rPr>
      </w:pPr>
    </w:p>
    <w:p w:rsidR="00297C7E" w:rsidRPr="00297C7E" w:rsidRDefault="00297C7E" w:rsidP="00297C7E">
      <w:pPr>
        <w:rPr>
          <w:rFonts w:ascii="Times New Roman" w:hAnsi="Times New Roman" w:cs="Times New Roman"/>
          <w:sz w:val="20"/>
          <w:szCs w:val="24"/>
        </w:rPr>
      </w:pPr>
    </w:p>
    <w:p w:rsidR="00297C7E" w:rsidRPr="00297C7E" w:rsidRDefault="00297C7E" w:rsidP="00297C7E">
      <w:pPr>
        <w:rPr>
          <w:rFonts w:ascii="Times New Roman" w:hAnsi="Times New Roman" w:cs="Times New Roman"/>
          <w:sz w:val="20"/>
          <w:szCs w:val="24"/>
        </w:rPr>
      </w:pPr>
    </w:p>
    <w:p w:rsidR="00297C7E" w:rsidRPr="00297C7E" w:rsidRDefault="00297C7E" w:rsidP="00297C7E">
      <w:pPr>
        <w:rPr>
          <w:rFonts w:ascii="Times New Roman" w:hAnsi="Times New Roman" w:cs="Times New Roman"/>
          <w:sz w:val="20"/>
          <w:szCs w:val="24"/>
        </w:rPr>
      </w:pPr>
    </w:p>
    <w:p w:rsidR="00297C7E" w:rsidRPr="00297C7E" w:rsidRDefault="00297C7E" w:rsidP="00297C7E">
      <w:pPr>
        <w:rPr>
          <w:rFonts w:ascii="Times New Roman" w:hAnsi="Times New Roman" w:cs="Times New Roman"/>
          <w:sz w:val="20"/>
          <w:szCs w:val="24"/>
        </w:rPr>
      </w:pPr>
    </w:p>
    <w:p w:rsidR="00297C7E" w:rsidRDefault="00297C7E" w:rsidP="00297C7E">
      <w:pPr>
        <w:rPr>
          <w:rFonts w:ascii="Times New Roman" w:hAnsi="Times New Roman" w:cs="Times New Roman"/>
          <w:sz w:val="20"/>
          <w:szCs w:val="24"/>
        </w:rPr>
      </w:pPr>
    </w:p>
    <w:p w:rsidR="00647984" w:rsidRPr="00297C7E" w:rsidRDefault="00297C7E" w:rsidP="00297C7E">
      <w:pPr>
        <w:spacing w:after="0" w:line="240" w:lineRule="auto"/>
        <w:jc w:val="center"/>
        <w:rPr>
          <w:rFonts w:ascii="Times New Roman" w:hAnsi="Times New Roman" w:cs="Times New Roman"/>
          <w:b/>
          <w:sz w:val="20"/>
          <w:szCs w:val="24"/>
        </w:rPr>
      </w:pPr>
      <w:r w:rsidRPr="00297C7E">
        <w:rPr>
          <w:rFonts w:ascii="Times New Roman" w:hAnsi="Times New Roman" w:cs="Times New Roman"/>
          <w:b/>
          <w:sz w:val="20"/>
          <w:szCs w:val="24"/>
        </w:rPr>
        <w:t>Figure 3: Percentage cumulative drug release of F-F6</w:t>
      </w:r>
    </w:p>
    <w:p w:rsidR="00297C7E" w:rsidRPr="00297C7E" w:rsidRDefault="00297C7E" w:rsidP="00297C7E">
      <w:pPr>
        <w:spacing w:after="0" w:line="240" w:lineRule="auto"/>
        <w:jc w:val="both"/>
        <w:rPr>
          <w:rFonts w:ascii="Times New Roman" w:hAnsi="Times New Roman" w:cs="Times New Roman"/>
          <w:sz w:val="20"/>
          <w:szCs w:val="24"/>
        </w:rPr>
      </w:pPr>
      <w:r w:rsidRPr="00297C7E">
        <w:rPr>
          <w:rFonts w:ascii="Times New Roman" w:hAnsi="Times New Roman" w:cs="Times New Roman"/>
          <w:sz w:val="20"/>
          <w:szCs w:val="24"/>
        </w:rPr>
        <w:t>In all formulations, formulation prepared with croscarmellose showed better release compared with above five (F2, F3, F4, F5 and F6). In these formulation F1release 97.14% drug in 5 mis. Whereas F2, F3, F4, F5 and F6 were released 92.15%, 94.59%, 87.98%, 95.67% and 96.74% release respectively.</w:t>
      </w:r>
    </w:p>
    <w:p w:rsidR="00297C7E" w:rsidRPr="00297C7E" w:rsidRDefault="00297C7E" w:rsidP="00297C7E">
      <w:pPr>
        <w:spacing w:after="0" w:line="240" w:lineRule="auto"/>
        <w:jc w:val="both"/>
        <w:rPr>
          <w:rFonts w:ascii="Times New Roman" w:hAnsi="Times New Roman" w:cs="Times New Roman"/>
          <w:b/>
          <w:sz w:val="20"/>
          <w:szCs w:val="24"/>
        </w:rPr>
      </w:pPr>
      <w:r w:rsidRPr="00297C7E">
        <w:rPr>
          <w:rFonts w:ascii="Times New Roman" w:hAnsi="Times New Roman" w:cs="Times New Roman"/>
          <w:b/>
          <w:sz w:val="20"/>
          <w:szCs w:val="24"/>
        </w:rPr>
        <w:t>In vitro release kinetics:</w:t>
      </w:r>
    </w:p>
    <w:p w:rsidR="00297C7E" w:rsidRPr="00297C7E" w:rsidRDefault="00297C7E" w:rsidP="00297C7E">
      <w:pPr>
        <w:tabs>
          <w:tab w:val="left" w:pos="6343"/>
        </w:tabs>
        <w:spacing w:after="0"/>
        <w:jc w:val="center"/>
        <w:rPr>
          <w:rFonts w:ascii="Times New Roman" w:hAnsi="Times New Roman" w:cs="Times New Roman"/>
          <w:b/>
          <w:sz w:val="20"/>
          <w:szCs w:val="20"/>
        </w:rPr>
      </w:pPr>
      <w:r w:rsidRPr="00297C7E">
        <w:rPr>
          <w:rFonts w:ascii="Times New Roman" w:hAnsi="Times New Roman" w:cs="Times New Roman"/>
          <w:b/>
          <w:sz w:val="20"/>
          <w:szCs w:val="20"/>
        </w:rPr>
        <w:t>Table 4</w:t>
      </w:r>
      <w:r w:rsidRPr="00297C7E">
        <w:rPr>
          <w:rFonts w:ascii="Times New Roman" w:hAnsi="Times New Roman" w:cs="Times New Roman"/>
          <w:b/>
          <w:i/>
          <w:sz w:val="20"/>
          <w:szCs w:val="20"/>
        </w:rPr>
        <w:t xml:space="preserve">: In vitro </w:t>
      </w:r>
      <w:r w:rsidRPr="00297C7E">
        <w:rPr>
          <w:rFonts w:ascii="Times New Roman" w:hAnsi="Times New Roman" w:cs="Times New Roman"/>
          <w:b/>
          <w:sz w:val="20"/>
          <w:szCs w:val="20"/>
        </w:rPr>
        <w:t>Drug release kinetics of F1 formulation</w:t>
      </w:r>
    </w:p>
    <w:tbl>
      <w:tblPr>
        <w:tblW w:w="9665" w:type="dxa"/>
        <w:jc w:val="center"/>
        <w:tblCellMar>
          <w:left w:w="0" w:type="dxa"/>
          <w:right w:w="0" w:type="dxa"/>
        </w:tblCellMar>
        <w:tblLook w:val="04A0"/>
      </w:tblPr>
      <w:tblGrid>
        <w:gridCol w:w="1346"/>
        <w:gridCol w:w="826"/>
        <w:gridCol w:w="825"/>
        <w:gridCol w:w="827"/>
        <w:gridCol w:w="826"/>
        <w:gridCol w:w="827"/>
        <w:gridCol w:w="826"/>
        <w:gridCol w:w="830"/>
        <w:gridCol w:w="829"/>
        <w:gridCol w:w="1703"/>
      </w:tblGrid>
      <w:tr w:rsidR="00297C7E" w:rsidRPr="00297C7E" w:rsidTr="00297C7E">
        <w:trPr>
          <w:trHeight w:val="510"/>
          <w:jc w:val="center"/>
        </w:trPr>
        <w:tc>
          <w:tcPr>
            <w:tcW w:w="1346" w:type="dxa"/>
            <w:vMerge w:val="restart"/>
            <w:tcBorders>
              <w:top w:val="single" w:sz="8" w:space="0" w:color="000000"/>
              <w:left w:val="single" w:sz="8" w:space="0" w:color="000000"/>
              <w:bottom w:val="single" w:sz="8" w:space="0" w:color="000000"/>
              <w:right w:val="single" w:sz="8" w:space="0" w:color="000000"/>
            </w:tcBorders>
            <w:shd w:val="clear" w:color="auto" w:fill="auto"/>
            <w:tcMar>
              <w:top w:w="4" w:type="dxa"/>
              <w:left w:w="26" w:type="dxa"/>
              <w:bottom w:w="0" w:type="dxa"/>
              <w:right w:w="26" w:type="dxa"/>
            </w:tcMar>
            <w:vAlign w:val="center"/>
            <w:hideMark/>
          </w:tcPr>
          <w:p w:rsidR="00297C7E" w:rsidRPr="00297C7E" w:rsidRDefault="00297C7E" w:rsidP="00F5135F">
            <w:pPr>
              <w:spacing w:after="0" w:line="240" w:lineRule="auto"/>
              <w:jc w:val="center"/>
              <w:rPr>
                <w:rFonts w:ascii="Times New Roman" w:hAnsi="Times New Roman" w:cs="Times New Roman"/>
                <w:sz w:val="20"/>
                <w:szCs w:val="24"/>
              </w:rPr>
            </w:pPr>
            <w:r w:rsidRPr="00297C7E">
              <w:rPr>
                <w:rFonts w:ascii="Times New Roman" w:eastAsia="Calibri" w:hAnsi="Times New Roman" w:cs="Times New Roman"/>
                <w:b/>
                <w:bCs/>
                <w:color w:val="000000"/>
                <w:kern w:val="24"/>
                <w:sz w:val="20"/>
                <w:szCs w:val="24"/>
                <w:lang w:val="en-GB"/>
              </w:rPr>
              <w:t>Formulation code</w:t>
            </w:r>
          </w:p>
        </w:tc>
        <w:tc>
          <w:tcPr>
            <w:tcW w:w="1651"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26" w:type="dxa"/>
              <w:bottom w:w="0" w:type="dxa"/>
              <w:right w:w="26" w:type="dxa"/>
            </w:tcMar>
            <w:vAlign w:val="center"/>
            <w:hideMark/>
          </w:tcPr>
          <w:p w:rsidR="00297C7E" w:rsidRPr="00297C7E" w:rsidRDefault="00297C7E" w:rsidP="00F5135F">
            <w:pPr>
              <w:spacing w:after="0" w:line="240" w:lineRule="auto"/>
              <w:jc w:val="center"/>
              <w:rPr>
                <w:rFonts w:ascii="Times New Roman" w:hAnsi="Times New Roman" w:cs="Times New Roman"/>
                <w:sz w:val="20"/>
                <w:szCs w:val="24"/>
              </w:rPr>
            </w:pPr>
            <w:r w:rsidRPr="00297C7E">
              <w:rPr>
                <w:rFonts w:ascii="Times New Roman" w:eastAsia="Calibri" w:hAnsi="Times New Roman" w:cs="Times New Roman"/>
                <w:b/>
                <w:bCs/>
                <w:color w:val="000000"/>
                <w:kern w:val="24"/>
                <w:sz w:val="20"/>
                <w:szCs w:val="24"/>
                <w:lang w:val="en-GB"/>
              </w:rPr>
              <w:t>Zero order</w:t>
            </w:r>
          </w:p>
        </w:tc>
        <w:tc>
          <w:tcPr>
            <w:tcW w:w="1653"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26" w:type="dxa"/>
              <w:bottom w:w="0" w:type="dxa"/>
              <w:right w:w="26" w:type="dxa"/>
            </w:tcMar>
            <w:vAlign w:val="center"/>
            <w:hideMark/>
          </w:tcPr>
          <w:p w:rsidR="00297C7E" w:rsidRPr="00297C7E" w:rsidRDefault="00297C7E" w:rsidP="00F5135F">
            <w:pPr>
              <w:spacing w:after="0" w:line="240" w:lineRule="auto"/>
              <w:jc w:val="center"/>
              <w:rPr>
                <w:rFonts w:ascii="Times New Roman" w:hAnsi="Times New Roman" w:cs="Times New Roman"/>
                <w:sz w:val="20"/>
                <w:szCs w:val="24"/>
              </w:rPr>
            </w:pPr>
            <w:r w:rsidRPr="00297C7E">
              <w:rPr>
                <w:rFonts w:ascii="Times New Roman" w:eastAsia="Calibri" w:hAnsi="Times New Roman" w:cs="Times New Roman"/>
                <w:b/>
                <w:bCs/>
                <w:color w:val="000000"/>
                <w:kern w:val="24"/>
                <w:sz w:val="20"/>
                <w:szCs w:val="24"/>
                <w:lang w:val="en-GB"/>
              </w:rPr>
              <w:t>First order</w:t>
            </w:r>
          </w:p>
        </w:tc>
        <w:tc>
          <w:tcPr>
            <w:tcW w:w="1653"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26" w:type="dxa"/>
              <w:bottom w:w="0" w:type="dxa"/>
              <w:right w:w="26" w:type="dxa"/>
            </w:tcMar>
            <w:vAlign w:val="center"/>
            <w:hideMark/>
          </w:tcPr>
          <w:p w:rsidR="00297C7E" w:rsidRPr="00297C7E" w:rsidRDefault="00297C7E" w:rsidP="00F5135F">
            <w:pPr>
              <w:spacing w:after="0" w:line="240" w:lineRule="auto"/>
              <w:jc w:val="center"/>
              <w:rPr>
                <w:rFonts w:ascii="Times New Roman" w:hAnsi="Times New Roman" w:cs="Times New Roman"/>
                <w:sz w:val="20"/>
                <w:szCs w:val="24"/>
              </w:rPr>
            </w:pPr>
            <w:r w:rsidRPr="00297C7E">
              <w:rPr>
                <w:rFonts w:ascii="Times New Roman" w:eastAsia="Calibri" w:hAnsi="Times New Roman" w:cs="Times New Roman"/>
                <w:b/>
                <w:bCs/>
                <w:color w:val="000000"/>
                <w:kern w:val="24"/>
                <w:sz w:val="20"/>
                <w:szCs w:val="24"/>
                <w:lang w:val="en-GB"/>
              </w:rPr>
              <w:t>Higuchi model</w:t>
            </w:r>
          </w:p>
        </w:tc>
        <w:tc>
          <w:tcPr>
            <w:tcW w:w="1659" w:type="dxa"/>
            <w:gridSpan w:val="2"/>
            <w:tcBorders>
              <w:top w:val="single" w:sz="8" w:space="0" w:color="000000"/>
              <w:left w:val="single" w:sz="8" w:space="0" w:color="000000"/>
              <w:bottom w:val="single" w:sz="8" w:space="0" w:color="000000"/>
              <w:right w:val="single" w:sz="8" w:space="0" w:color="000000"/>
            </w:tcBorders>
            <w:shd w:val="clear" w:color="auto" w:fill="auto"/>
            <w:tcMar>
              <w:top w:w="4" w:type="dxa"/>
              <w:left w:w="26" w:type="dxa"/>
              <w:bottom w:w="0" w:type="dxa"/>
              <w:right w:w="26" w:type="dxa"/>
            </w:tcMar>
            <w:vAlign w:val="center"/>
            <w:hideMark/>
          </w:tcPr>
          <w:p w:rsidR="00297C7E" w:rsidRPr="00297C7E" w:rsidRDefault="00297C7E" w:rsidP="00F5135F">
            <w:pPr>
              <w:spacing w:after="0" w:line="240" w:lineRule="auto"/>
              <w:jc w:val="center"/>
              <w:rPr>
                <w:rFonts w:ascii="Times New Roman" w:hAnsi="Times New Roman" w:cs="Times New Roman"/>
                <w:sz w:val="20"/>
                <w:szCs w:val="24"/>
              </w:rPr>
            </w:pPr>
            <w:r w:rsidRPr="00297C7E">
              <w:rPr>
                <w:rFonts w:ascii="Times New Roman" w:eastAsia="Calibri" w:hAnsi="Times New Roman" w:cs="Times New Roman"/>
                <w:b/>
                <w:bCs/>
                <w:color w:val="000000"/>
                <w:kern w:val="24"/>
                <w:sz w:val="20"/>
                <w:szCs w:val="24"/>
                <w:lang w:val="en-GB"/>
              </w:rPr>
              <w:t>Korsmeyer-peppas</w:t>
            </w:r>
          </w:p>
        </w:tc>
        <w:tc>
          <w:tcPr>
            <w:tcW w:w="1703" w:type="dxa"/>
            <w:vMerge w:val="restart"/>
            <w:tcBorders>
              <w:top w:val="single" w:sz="8" w:space="0" w:color="000000"/>
              <w:left w:val="single" w:sz="8" w:space="0" w:color="000000"/>
              <w:right w:val="single" w:sz="8" w:space="0" w:color="000000"/>
            </w:tcBorders>
            <w:shd w:val="clear" w:color="auto" w:fill="auto"/>
            <w:tcMar>
              <w:top w:w="4" w:type="dxa"/>
              <w:left w:w="26" w:type="dxa"/>
              <w:bottom w:w="0" w:type="dxa"/>
              <w:right w:w="26" w:type="dxa"/>
            </w:tcMar>
            <w:vAlign w:val="center"/>
            <w:hideMark/>
          </w:tcPr>
          <w:p w:rsidR="00297C7E" w:rsidRPr="00297C7E" w:rsidRDefault="00297C7E" w:rsidP="00F5135F">
            <w:pPr>
              <w:spacing w:after="0" w:line="240" w:lineRule="auto"/>
              <w:jc w:val="center"/>
              <w:rPr>
                <w:rFonts w:ascii="Times New Roman" w:hAnsi="Times New Roman" w:cs="Times New Roman"/>
                <w:sz w:val="20"/>
                <w:szCs w:val="24"/>
              </w:rPr>
            </w:pPr>
            <w:r w:rsidRPr="00297C7E">
              <w:rPr>
                <w:rFonts w:ascii="Times New Roman" w:eastAsia="Calibri" w:hAnsi="Times New Roman" w:cs="Times New Roman"/>
                <w:b/>
                <w:bCs/>
                <w:color w:val="000000"/>
                <w:kern w:val="24"/>
                <w:sz w:val="20"/>
                <w:szCs w:val="24"/>
                <w:lang w:val="en-GB"/>
              </w:rPr>
              <w:t>Release Mechanism transport</w:t>
            </w:r>
          </w:p>
        </w:tc>
      </w:tr>
      <w:tr w:rsidR="00297C7E" w:rsidRPr="00297C7E" w:rsidTr="00297C7E">
        <w:trPr>
          <w:trHeight w:val="51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7C7E" w:rsidRPr="00297C7E" w:rsidRDefault="00297C7E" w:rsidP="00F5135F">
            <w:pPr>
              <w:spacing w:after="0" w:line="240" w:lineRule="auto"/>
              <w:jc w:val="center"/>
              <w:rPr>
                <w:rFonts w:ascii="Times New Roman" w:hAnsi="Times New Roman" w:cs="Times New Roman"/>
                <w:sz w:val="20"/>
                <w:szCs w:val="24"/>
              </w:rPr>
            </w:pP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4" w:type="dxa"/>
              <w:left w:w="26" w:type="dxa"/>
              <w:bottom w:w="0" w:type="dxa"/>
              <w:right w:w="26" w:type="dxa"/>
            </w:tcMar>
            <w:vAlign w:val="center"/>
            <w:hideMark/>
          </w:tcPr>
          <w:p w:rsidR="00297C7E" w:rsidRPr="00297C7E" w:rsidRDefault="00297C7E" w:rsidP="00F5135F">
            <w:pPr>
              <w:spacing w:after="0" w:line="240" w:lineRule="auto"/>
              <w:jc w:val="center"/>
              <w:rPr>
                <w:rFonts w:ascii="Times New Roman" w:hAnsi="Times New Roman" w:cs="Times New Roman"/>
                <w:sz w:val="20"/>
                <w:szCs w:val="24"/>
              </w:rPr>
            </w:pPr>
            <w:r w:rsidRPr="00297C7E">
              <w:rPr>
                <w:rFonts w:ascii="Times New Roman" w:eastAsia="Calibri" w:hAnsi="Times New Roman" w:cs="Times New Roman"/>
                <w:b/>
                <w:bCs/>
                <w:color w:val="000000"/>
                <w:kern w:val="24"/>
                <w:sz w:val="20"/>
                <w:szCs w:val="24"/>
                <w:lang w:val="en-GB"/>
              </w:rPr>
              <w:t>Slope</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4" w:type="dxa"/>
              <w:left w:w="26" w:type="dxa"/>
              <w:bottom w:w="0" w:type="dxa"/>
              <w:right w:w="26" w:type="dxa"/>
            </w:tcMar>
            <w:vAlign w:val="center"/>
            <w:hideMark/>
          </w:tcPr>
          <w:p w:rsidR="00297C7E" w:rsidRPr="00297C7E" w:rsidRDefault="00297C7E" w:rsidP="00F5135F">
            <w:pPr>
              <w:spacing w:after="0" w:line="240" w:lineRule="auto"/>
              <w:jc w:val="center"/>
              <w:rPr>
                <w:rFonts w:ascii="Times New Roman" w:hAnsi="Times New Roman" w:cs="Times New Roman"/>
                <w:sz w:val="20"/>
                <w:szCs w:val="24"/>
              </w:rPr>
            </w:pPr>
            <w:r w:rsidRPr="00297C7E">
              <w:rPr>
                <w:rFonts w:ascii="Times New Roman" w:eastAsia="Calibri" w:hAnsi="Times New Roman" w:cs="Times New Roman"/>
                <w:b/>
                <w:bCs/>
                <w:color w:val="000000"/>
                <w:kern w:val="24"/>
                <w:sz w:val="20"/>
                <w:szCs w:val="24"/>
                <w:lang w:val="en-GB"/>
              </w:rPr>
              <w:t>R</w:t>
            </w:r>
            <w:r w:rsidRPr="00297C7E">
              <w:rPr>
                <w:rFonts w:ascii="Times New Roman" w:eastAsia="Calibri" w:hAnsi="Times New Roman" w:cs="Times New Roman"/>
                <w:b/>
                <w:bCs/>
                <w:color w:val="000000"/>
                <w:kern w:val="24"/>
                <w:position w:val="7"/>
                <w:sz w:val="20"/>
                <w:szCs w:val="24"/>
                <w:vertAlign w:val="superscript"/>
                <w:lang w:val="en-GB"/>
              </w:rPr>
              <w:t>2</w:t>
            </w:r>
          </w:p>
        </w:tc>
        <w:tc>
          <w:tcPr>
            <w:tcW w:w="827" w:type="dxa"/>
            <w:tcBorders>
              <w:top w:val="single" w:sz="8" w:space="0" w:color="000000"/>
              <w:left w:val="single" w:sz="8" w:space="0" w:color="000000"/>
              <w:bottom w:val="single" w:sz="8" w:space="0" w:color="000000"/>
              <w:right w:val="single" w:sz="8" w:space="0" w:color="000000"/>
            </w:tcBorders>
            <w:shd w:val="clear" w:color="auto" w:fill="auto"/>
            <w:tcMar>
              <w:top w:w="4" w:type="dxa"/>
              <w:left w:w="26" w:type="dxa"/>
              <w:bottom w:w="0" w:type="dxa"/>
              <w:right w:w="26" w:type="dxa"/>
            </w:tcMar>
            <w:vAlign w:val="center"/>
            <w:hideMark/>
          </w:tcPr>
          <w:p w:rsidR="00297C7E" w:rsidRPr="00297C7E" w:rsidRDefault="00297C7E" w:rsidP="00F5135F">
            <w:pPr>
              <w:spacing w:after="0" w:line="240" w:lineRule="auto"/>
              <w:jc w:val="center"/>
              <w:rPr>
                <w:rFonts w:ascii="Times New Roman" w:hAnsi="Times New Roman" w:cs="Times New Roman"/>
                <w:sz w:val="20"/>
                <w:szCs w:val="24"/>
              </w:rPr>
            </w:pPr>
            <w:r w:rsidRPr="00297C7E">
              <w:rPr>
                <w:rFonts w:ascii="Times New Roman" w:eastAsia="Calibri" w:hAnsi="Times New Roman" w:cs="Times New Roman"/>
                <w:b/>
                <w:bCs/>
                <w:color w:val="000000"/>
                <w:kern w:val="24"/>
                <w:sz w:val="20"/>
                <w:szCs w:val="24"/>
                <w:lang w:val="en-GB"/>
              </w:rPr>
              <w:t>Slope</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4" w:type="dxa"/>
              <w:left w:w="26" w:type="dxa"/>
              <w:bottom w:w="0" w:type="dxa"/>
              <w:right w:w="26" w:type="dxa"/>
            </w:tcMar>
            <w:vAlign w:val="center"/>
            <w:hideMark/>
          </w:tcPr>
          <w:p w:rsidR="00297C7E" w:rsidRPr="00297C7E" w:rsidRDefault="00297C7E" w:rsidP="00F5135F">
            <w:pPr>
              <w:spacing w:after="0" w:line="240" w:lineRule="auto"/>
              <w:jc w:val="center"/>
              <w:rPr>
                <w:rFonts w:ascii="Times New Roman" w:hAnsi="Times New Roman" w:cs="Times New Roman"/>
                <w:sz w:val="20"/>
                <w:szCs w:val="24"/>
              </w:rPr>
            </w:pPr>
            <w:r w:rsidRPr="00297C7E">
              <w:rPr>
                <w:rFonts w:ascii="Times New Roman" w:eastAsia="Calibri" w:hAnsi="Times New Roman" w:cs="Times New Roman"/>
                <w:b/>
                <w:bCs/>
                <w:color w:val="000000"/>
                <w:kern w:val="24"/>
                <w:sz w:val="20"/>
                <w:szCs w:val="24"/>
                <w:lang w:val="en-GB"/>
              </w:rPr>
              <w:t>R</w:t>
            </w:r>
            <w:r w:rsidRPr="00297C7E">
              <w:rPr>
                <w:rFonts w:ascii="Times New Roman" w:eastAsia="Calibri" w:hAnsi="Times New Roman" w:cs="Times New Roman"/>
                <w:b/>
                <w:bCs/>
                <w:color w:val="000000"/>
                <w:kern w:val="24"/>
                <w:position w:val="7"/>
                <w:sz w:val="20"/>
                <w:szCs w:val="24"/>
                <w:vertAlign w:val="superscript"/>
                <w:lang w:val="en-GB"/>
              </w:rPr>
              <w:t>2</w:t>
            </w:r>
          </w:p>
        </w:tc>
        <w:tc>
          <w:tcPr>
            <w:tcW w:w="827" w:type="dxa"/>
            <w:tcBorders>
              <w:top w:val="single" w:sz="8" w:space="0" w:color="000000"/>
              <w:left w:val="single" w:sz="8" w:space="0" w:color="000000"/>
              <w:bottom w:val="single" w:sz="8" w:space="0" w:color="000000"/>
              <w:right w:val="single" w:sz="8" w:space="0" w:color="000000"/>
            </w:tcBorders>
            <w:shd w:val="clear" w:color="auto" w:fill="auto"/>
            <w:tcMar>
              <w:top w:w="4" w:type="dxa"/>
              <w:left w:w="26" w:type="dxa"/>
              <w:bottom w:w="0" w:type="dxa"/>
              <w:right w:w="26" w:type="dxa"/>
            </w:tcMar>
            <w:vAlign w:val="center"/>
            <w:hideMark/>
          </w:tcPr>
          <w:p w:rsidR="00297C7E" w:rsidRPr="00297C7E" w:rsidRDefault="00297C7E" w:rsidP="00F5135F">
            <w:pPr>
              <w:spacing w:after="0" w:line="240" w:lineRule="auto"/>
              <w:jc w:val="center"/>
              <w:rPr>
                <w:rFonts w:ascii="Times New Roman" w:hAnsi="Times New Roman" w:cs="Times New Roman"/>
                <w:sz w:val="20"/>
                <w:szCs w:val="24"/>
              </w:rPr>
            </w:pPr>
            <w:r w:rsidRPr="00297C7E">
              <w:rPr>
                <w:rFonts w:ascii="Times New Roman" w:eastAsia="Calibri" w:hAnsi="Times New Roman" w:cs="Times New Roman"/>
                <w:b/>
                <w:bCs/>
                <w:color w:val="000000"/>
                <w:kern w:val="24"/>
                <w:sz w:val="20"/>
                <w:szCs w:val="24"/>
                <w:lang w:val="en-GB"/>
              </w:rPr>
              <w:t>Slope</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4" w:type="dxa"/>
              <w:left w:w="26" w:type="dxa"/>
              <w:bottom w:w="0" w:type="dxa"/>
              <w:right w:w="26" w:type="dxa"/>
            </w:tcMar>
            <w:vAlign w:val="center"/>
            <w:hideMark/>
          </w:tcPr>
          <w:p w:rsidR="00297C7E" w:rsidRPr="00297C7E" w:rsidRDefault="00297C7E" w:rsidP="00F5135F">
            <w:pPr>
              <w:spacing w:after="0" w:line="240" w:lineRule="auto"/>
              <w:jc w:val="center"/>
              <w:rPr>
                <w:rFonts w:ascii="Times New Roman" w:hAnsi="Times New Roman" w:cs="Times New Roman"/>
                <w:sz w:val="20"/>
                <w:szCs w:val="24"/>
              </w:rPr>
            </w:pPr>
            <w:r w:rsidRPr="00297C7E">
              <w:rPr>
                <w:rFonts w:ascii="Times New Roman" w:eastAsia="Calibri" w:hAnsi="Times New Roman" w:cs="Times New Roman"/>
                <w:b/>
                <w:bCs/>
                <w:color w:val="000000"/>
                <w:kern w:val="24"/>
                <w:sz w:val="20"/>
                <w:szCs w:val="24"/>
                <w:lang w:val="en-GB"/>
              </w:rPr>
              <w:t>R</w:t>
            </w:r>
            <w:r w:rsidRPr="00297C7E">
              <w:rPr>
                <w:rFonts w:ascii="Times New Roman" w:eastAsia="Calibri" w:hAnsi="Times New Roman" w:cs="Times New Roman"/>
                <w:b/>
                <w:bCs/>
                <w:color w:val="000000"/>
                <w:kern w:val="24"/>
                <w:position w:val="7"/>
                <w:sz w:val="20"/>
                <w:szCs w:val="24"/>
                <w:vertAlign w:val="superscript"/>
                <w:lang w:val="en-GB"/>
              </w:rPr>
              <w:t>2</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4" w:type="dxa"/>
              <w:left w:w="26" w:type="dxa"/>
              <w:bottom w:w="0" w:type="dxa"/>
              <w:right w:w="26" w:type="dxa"/>
            </w:tcMar>
            <w:vAlign w:val="center"/>
            <w:hideMark/>
          </w:tcPr>
          <w:p w:rsidR="00297C7E" w:rsidRPr="00297C7E" w:rsidRDefault="00297C7E" w:rsidP="00F5135F">
            <w:pPr>
              <w:spacing w:after="0" w:line="240" w:lineRule="auto"/>
              <w:jc w:val="center"/>
              <w:rPr>
                <w:rFonts w:ascii="Times New Roman" w:hAnsi="Times New Roman" w:cs="Times New Roman"/>
                <w:sz w:val="20"/>
                <w:szCs w:val="24"/>
              </w:rPr>
            </w:pPr>
            <w:r w:rsidRPr="00297C7E">
              <w:rPr>
                <w:rFonts w:ascii="Times New Roman" w:eastAsia="Calibri" w:hAnsi="Times New Roman" w:cs="Times New Roman"/>
                <w:b/>
                <w:bCs/>
                <w:color w:val="000000"/>
                <w:kern w:val="24"/>
                <w:sz w:val="20"/>
                <w:szCs w:val="24"/>
                <w:lang w:val="en-GB"/>
              </w:rPr>
              <w:t>n</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4" w:type="dxa"/>
              <w:left w:w="26" w:type="dxa"/>
              <w:bottom w:w="0" w:type="dxa"/>
              <w:right w:w="26" w:type="dxa"/>
            </w:tcMar>
            <w:vAlign w:val="center"/>
            <w:hideMark/>
          </w:tcPr>
          <w:p w:rsidR="00297C7E" w:rsidRPr="00297C7E" w:rsidRDefault="00297C7E" w:rsidP="00F5135F">
            <w:pPr>
              <w:spacing w:after="0" w:line="240" w:lineRule="auto"/>
              <w:jc w:val="center"/>
              <w:rPr>
                <w:rFonts w:ascii="Times New Roman" w:hAnsi="Times New Roman" w:cs="Times New Roman"/>
                <w:sz w:val="20"/>
                <w:szCs w:val="24"/>
              </w:rPr>
            </w:pPr>
            <w:r w:rsidRPr="00297C7E">
              <w:rPr>
                <w:rFonts w:ascii="Times New Roman" w:eastAsia="Calibri" w:hAnsi="Times New Roman" w:cs="Times New Roman"/>
                <w:b/>
                <w:bCs/>
                <w:color w:val="000000"/>
                <w:kern w:val="24"/>
                <w:sz w:val="20"/>
                <w:szCs w:val="24"/>
                <w:lang w:val="en-GB"/>
              </w:rPr>
              <w:t>R</w:t>
            </w:r>
            <w:r w:rsidRPr="00297C7E">
              <w:rPr>
                <w:rFonts w:ascii="Times New Roman" w:eastAsia="Calibri" w:hAnsi="Times New Roman" w:cs="Times New Roman"/>
                <w:b/>
                <w:bCs/>
                <w:color w:val="000000"/>
                <w:kern w:val="24"/>
                <w:position w:val="7"/>
                <w:sz w:val="20"/>
                <w:szCs w:val="24"/>
                <w:vertAlign w:val="superscript"/>
                <w:lang w:val="en-GB"/>
              </w:rPr>
              <w:t>2</w:t>
            </w:r>
          </w:p>
        </w:tc>
        <w:tc>
          <w:tcPr>
            <w:tcW w:w="1703" w:type="dxa"/>
            <w:vMerge/>
            <w:tcBorders>
              <w:left w:val="single" w:sz="8" w:space="0" w:color="000000"/>
              <w:bottom w:val="single" w:sz="8" w:space="0" w:color="000000"/>
              <w:right w:val="single" w:sz="8" w:space="0" w:color="000000"/>
            </w:tcBorders>
            <w:shd w:val="clear" w:color="auto" w:fill="auto"/>
            <w:tcMar>
              <w:top w:w="4" w:type="dxa"/>
              <w:left w:w="26" w:type="dxa"/>
              <w:bottom w:w="0" w:type="dxa"/>
              <w:right w:w="26" w:type="dxa"/>
            </w:tcMar>
            <w:vAlign w:val="center"/>
            <w:hideMark/>
          </w:tcPr>
          <w:p w:rsidR="00297C7E" w:rsidRPr="00297C7E" w:rsidRDefault="00297C7E" w:rsidP="00F5135F">
            <w:pPr>
              <w:spacing w:after="0" w:line="240" w:lineRule="auto"/>
              <w:jc w:val="center"/>
              <w:rPr>
                <w:rFonts w:ascii="Times New Roman" w:hAnsi="Times New Roman" w:cs="Times New Roman"/>
                <w:sz w:val="20"/>
                <w:szCs w:val="24"/>
              </w:rPr>
            </w:pPr>
          </w:p>
        </w:tc>
      </w:tr>
      <w:tr w:rsidR="00297C7E" w:rsidRPr="00297C7E" w:rsidTr="00297C7E">
        <w:trPr>
          <w:trHeight w:val="510"/>
          <w:jc w:val="center"/>
        </w:trPr>
        <w:tc>
          <w:tcPr>
            <w:tcW w:w="1346" w:type="dxa"/>
            <w:tcBorders>
              <w:top w:val="single" w:sz="8" w:space="0" w:color="000000"/>
              <w:left w:val="single" w:sz="8" w:space="0" w:color="000000"/>
              <w:bottom w:val="single" w:sz="8" w:space="0" w:color="000000"/>
              <w:right w:val="single" w:sz="8" w:space="0" w:color="000000"/>
            </w:tcBorders>
            <w:shd w:val="clear" w:color="auto" w:fill="auto"/>
            <w:tcMar>
              <w:top w:w="4" w:type="dxa"/>
              <w:left w:w="26" w:type="dxa"/>
              <w:bottom w:w="0" w:type="dxa"/>
              <w:right w:w="26" w:type="dxa"/>
            </w:tcMar>
            <w:vAlign w:val="center"/>
          </w:tcPr>
          <w:p w:rsidR="00297C7E" w:rsidRPr="00297C7E" w:rsidRDefault="00297C7E" w:rsidP="00F5135F">
            <w:pPr>
              <w:spacing w:after="0" w:line="240" w:lineRule="auto"/>
              <w:jc w:val="center"/>
              <w:rPr>
                <w:sz w:val="20"/>
              </w:rPr>
            </w:pPr>
            <w:r w:rsidRPr="00297C7E">
              <w:rPr>
                <w:rFonts w:ascii="Times New Roman" w:hAnsi="Times New Roman" w:cs="Times New Roman"/>
                <w:color w:val="000000"/>
                <w:sz w:val="20"/>
                <w:szCs w:val="24"/>
              </w:rPr>
              <w:t>F1</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4" w:type="dxa"/>
              <w:left w:w="26" w:type="dxa"/>
              <w:bottom w:w="0" w:type="dxa"/>
              <w:right w:w="26" w:type="dxa"/>
            </w:tcMar>
            <w:vAlign w:val="center"/>
          </w:tcPr>
          <w:p w:rsidR="00297C7E" w:rsidRPr="00297C7E" w:rsidRDefault="00297C7E" w:rsidP="00F5135F">
            <w:pPr>
              <w:spacing w:after="0" w:line="240" w:lineRule="auto"/>
              <w:jc w:val="center"/>
              <w:rPr>
                <w:rFonts w:ascii="Times New Roman" w:hAnsi="Times New Roman" w:cs="Times New Roman"/>
                <w:sz w:val="20"/>
                <w:szCs w:val="24"/>
              </w:rPr>
            </w:pPr>
            <w:r w:rsidRPr="00297C7E">
              <w:rPr>
                <w:rFonts w:ascii="Times New Roman" w:hAnsi="Times New Roman" w:cs="Times New Roman"/>
                <w:sz w:val="20"/>
                <w:szCs w:val="24"/>
              </w:rPr>
              <w:t>17.97</w:t>
            </w:r>
          </w:p>
        </w:tc>
        <w:tc>
          <w:tcPr>
            <w:tcW w:w="825" w:type="dxa"/>
            <w:tcBorders>
              <w:top w:val="single" w:sz="8" w:space="0" w:color="000000"/>
              <w:left w:val="single" w:sz="8" w:space="0" w:color="000000"/>
              <w:bottom w:val="single" w:sz="8" w:space="0" w:color="000000"/>
              <w:right w:val="single" w:sz="8" w:space="0" w:color="000000"/>
            </w:tcBorders>
            <w:shd w:val="clear" w:color="auto" w:fill="auto"/>
            <w:tcMar>
              <w:top w:w="4" w:type="dxa"/>
              <w:left w:w="26" w:type="dxa"/>
              <w:bottom w:w="0" w:type="dxa"/>
              <w:right w:w="26" w:type="dxa"/>
            </w:tcMar>
            <w:vAlign w:val="center"/>
          </w:tcPr>
          <w:p w:rsidR="00297C7E" w:rsidRPr="00297C7E" w:rsidRDefault="00297C7E" w:rsidP="00F5135F">
            <w:pPr>
              <w:spacing w:after="0" w:line="240" w:lineRule="auto"/>
              <w:jc w:val="center"/>
              <w:rPr>
                <w:rFonts w:ascii="Times New Roman" w:hAnsi="Times New Roman" w:cs="Times New Roman"/>
                <w:sz w:val="20"/>
                <w:szCs w:val="24"/>
              </w:rPr>
            </w:pPr>
            <w:r w:rsidRPr="00297C7E">
              <w:rPr>
                <w:rFonts w:ascii="Times New Roman" w:hAnsi="Times New Roman" w:cs="Times New Roman"/>
                <w:sz w:val="20"/>
                <w:szCs w:val="24"/>
              </w:rPr>
              <w:t>0.899</w:t>
            </w:r>
          </w:p>
        </w:tc>
        <w:tc>
          <w:tcPr>
            <w:tcW w:w="827" w:type="dxa"/>
            <w:tcBorders>
              <w:top w:val="single" w:sz="8" w:space="0" w:color="000000"/>
              <w:left w:val="single" w:sz="8" w:space="0" w:color="000000"/>
              <w:bottom w:val="single" w:sz="8" w:space="0" w:color="000000"/>
              <w:right w:val="single" w:sz="8" w:space="0" w:color="000000"/>
            </w:tcBorders>
            <w:shd w:val="clear" w:color="auto" w:fill="auto"/>
            <w:tcMar>
              <w:top w:w="4" w:type="dxa"/>
              <w:left w:w="26" w:type="dxa"/>
              <w:bottom w:w="0" w:type="dxa"/>
              <w:right w:w="26" w:type="dxa"/>
            </w:tcMar>
            <w:vAlign w:val="center"/>
          </w:tcPr>
          <w:p w:rsidR="00297C7E" w:rsidRPr="00297C7E" w:rsidRDefault="00297C7E" w:rsidP="00F5135F">
            <w:pPr>
              <w:spacing w:after="0" w:line="240" w:lineRule="auto"/>
              <w:jc w:val="center"/>
              <w:rPr>
                <w:rFonts w:ascii="Times New Roman" w:hAnsi="Times New Roman" w:cs="Times New Roman"/>
                <w:sz w:val="20"/>
                <w:szCs w:val="24"/>
              </w:rPr>
            </w:pPr>
            <w:r w:rsidRPr="00297C7E">
              <w:rPr>
                <w:rFonts w:ascii="Times New Roman" w:hAnsi="Times New Roman" w:cs="Times New Roman"/>
                <w:sz w:val="20"/>
                <w:szCs w:val="24"/>
              </w:rPr>
              <w:t>-0.279</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4" w:type="dxa"/>
              <w:left w:w="26" w:type="dxa"/>
              <w:bottom w:w="0" w:type="dxa"/>
              <w:right w:w="26" w:type="dxa"/>
            </w:tcMar>
            <w:vAlign w:val="center"/>
          </w:tcPr>
          <w:p w:rsidR="00297C7E" w:rsidRPr="00297C7E" w:rsidRDefault="00297C7E" w:rsidP="00F5135F">
            <w:pPr>
              <w:spacing w:after="0" w:line="240" w:lineRule="auto"/>
              <w:jc w:val="center"/>
              <w:rPr>
                <w:rFonts w:ascii="Times New Roman" w:hAnsi="Times New Roman" w:cs="Times New Roman"/>
                <w:sz w:val="20"/>
                <w:szCs w:val="24"/>
              </w:rPr>
            </w:pPr>
            <w:r w:rsidRPr="00297C7E">
              <w:rPr>
                <w:rFonts w:ascii="Times New Roman" w:hAnsi="Times New Roman" w:cs="Times New Roman"/>
                <w:sz w:val="20"/>
                <w:szCs w:val="24"/>
              </w:rPr>
              <w:t>0.949</w:t>
            </w:r>
          </w:p>
        </w:tc>
        <w:tc>
          <w:tcPr>
            <w:tcW w:w="827" w:type="dxa"/>
            <w:tcBorders>
              <w:top w:val="single" w:sz="8" w:space="0" w:color="000000"/>
              <w:left w:val="single" w:sz="8" w:space="0" w:color="000000"/>
              <w:bottom w:val="single" w:sz="8" w:space="0" w:color="000000"/>
              <w:right w:val="single" w:sz="8" w:space="0" w:color="000000"/>
            </w:tcBorders>
            <w:shd w:val="clear" w:color="auto" w:fill="auto"/>
            <w:tcMar>
              <w:top w:w="4" w:type="dxa"/>
              <w:left w:w="26" w:type="dxa"/>
              <w:bottom w:w="0" w:type="dxa"/>
              <w:right w:w="26" w:type="dxa"/>
            </w:tcMar>
            <w:vAlign w:val="center"/>
          </w:tcPr>
          <w:p w:rsidR="00297C7E" w:rsidRPr="00297C7E" w:rsidRDefault="00297C7E" w:rsidP="00F5135F">
            <w:pPr>
              <w:spacing w:after="0" w:line="240" w:lineRule="auto"/>
              <w:jc w:val="center"/>
              <w:rPr>
                <w:rFonts w:ascii="Times New Roman" w:hAnsi="Times New Roman" w:cs="Times New Roman"/>
                <w:sz w:val="20"/>
                <w:szCs w:val="24"/>
              </w:rPr>
            </w:pPr>
            <w:r w:rsidRPr="00297C7E">
              <w:rPr>
                <w:rFonts w:ascii="Times New Roman" w:hAnsi="Times New Roman" w:cs="Times New Roman"/>
                <w:sz w:val="20"/>
                <w:szCs w:val="24"/>
              </w:rPr>
              <w:t>45.22</w:t>
            </w:r>
          </w:p>
        </w:tc>
        <w:tc>
          <w:tcPr>
            <w:tcW w:w="826" w:type="dxa"/>
            <w:tcBorders>
              <w:top w:val="single" w:sz="8" w:space="0" w:color="000000"/>
              <w:left w:val="single" w:sz="8" w:space="0" w:color="000000"/>
              <w:bottom w:val="single" w:sz="8" w:space="0" w:color="000000"/>
              <w:right w:val="single" w:sz="8" w:space="0" w:color="000000"/>
            </w:tcBorders>
            <w:shd w:val="clear" w:color="auto" w:fill="auto"/>
            <w:tcMar>
              <w:top w:w="4" w:type="dxa"/>
              <w:left w:w="26" w:type="dxa"/>
              <w:bottom w:w="0" w:type="dxa"/>
              <w:right w:w="26" w:type="dxa"/>
            </w:tcMar>
            <w:vAlign w:val="center"/>
          </w:tcPr>
          <w:p w:rsidR="00297C7E" w:rsidRPr="00297C7E" w:rsidRDefault="00297C7E" w:rsidP="00F5135F">
            <w:pPr>
              <w:spacing w:after="0" w:line="240" w:lineRule="auto"/>
              <w:jc w:val="center"/>
              <w:rPr>
                <w:rFonts w:ascii="Times New Roman" w:hAnsi="Times New Roman" w:cs="Times New Roman"/>
                <w:sz w:val="20"/>
                <w:szCs w:val="24"/>
              </w:rPr>
            </w:pPr>
            <w:r w:rsidRPr="00297C7E">
              <w:rPr>
                <w:rFonts w:ascii="Times New Roman" w:hAnsi="Times New Roman" w:cs="Times New Roman"/>
                <w:sz w:val="20"/>
                <w:szCs w:val="24"/>
              </w:rPr>
              <w:t>0.986</w:t>
            </w:r>
          </w:p>
        </w:tc>
        <w:tc>
          <w:tcPr>
            <w:tcW w:w="830" w:type="dxa"/>
            <w:tcBorders>
              <w:top w:val="single" w:sz="8" w:space="0" w:color="000000"/>
              <w:left w:val="single" w:sz="8" w:space="0" w:color="000000"/>
              <w:bottom w:val="single" w:sz="8" w:space="0" w:color="000000"/>
              <w:right w:val="single" w:sz="8" w:space="0" w:color="000000"/>
            </w:tcBorders>
            <w:shd w:val="clear" w:color="auto" w:fill="auto"/>
            <w:tcMar>
              <w:top w:w="4" w:type="dxa"/>
              <w:left w:w="26" w:type="dxa"/>
              <w:bottom w:w="0" w:type="dxa"/>
              <w:right w:w="26" w:type="dxa"/>
            </w:tcMar>
            <w:vAlign w:val="center"/>
          </w:tcPr>
          <w:p w:rsidR="00297C7E" w:rsidRPr="00297C7E" w:rsidRDefault="00297C7E" w:rsidP="00F5135F">
            <w:pPr>
              <w:spacing w:after="0" w:line="240" w:lineRule="auto"/>
              <w:jc w:val="center"/>
              <w:rPr>
                <w:rFonts w:ascii="Times New Roman" w:hAnsi="Times New Roman" w:cs="Times New Roman"/>
                <w:sz w:val="20"/>
                <w:szCs w:val="24"/>
              </w:rPr>
            </w:pPr>
            <w:r w:rsidRPr="00297C7E">
              <w:rPr>
                <w:rFonts w:ascii="Times New Roman" w:hAnsi="Times New Roman" w:cs="Times New Roman"/>
                <w:sz w:val="20"/>
                <w:szCs w:val="24"/>
              </w:rPr>
              <w:t>1.072</w:t>
            </w:r>
          </w:p>
        </w:tc>
        <w:tc>
          <w:tcPr>
            <w:tcW w:w="829" w:type="dxa"/>
            <w:tcBorders>
              <w:top w:val="single" w:sz="8" w:space="0" w:color="000000"/>
              <w:left w:val="single" w:sz="8" w:space="0" w:color="000000"/>
              <w:bottom w:val="single" w:sz="8" w:space="0" w:color="000000"/>
              <w:right w:val="single" w:sz="8" w:space="0" w:color="000000"/>
            </w:tcBorders>
            <w:shd w:val="clear" w:color="auto" w:fill="auto"/>
            <w:tcMar>
              <w:top w:w="4" w:type="dxa"/>
              <w:left w:w="26" w:type="dxa"/>
              <w:bottom w:w="0" w:type="dxa"/>
              <w:right w:w="26" w:type="dxa"/>
            </w:tcMar>
            <w:vAlign w:val="center"/>
          </w:tcPr>
          <w:p w:rsidR="00297C7E" w:rsidRPr="00297C7E" w:rsidRDefault="00297C7E" w:rsidP="00F5135F">
            <w:pPr>
              <w:spacing w:after="0" w:line="240" w:lineRule="auto"/>
              <w:jc w:val="center"/>
              <w:rPr>
                <w:rFonts w:ascii="Times New Roman" w:hAnsi="Times New Roman" w:cs="Times New Roman"/>
                <w:sz w:val="20"/>
                <w:szCs w:val="24"/>
              </w:rPr>
            </w:pPr>
            <w:r w:rsidRPr="00297C7E">
              <w:rPr>
                <w:rFonts w:ascii="Times New Roman" w:hAnsi="Times New Roman" w:cs="Times New Roman"/>
                <w:sz w:val="20"/>
                <w:szCs w:val="24"/>
              </w:rPr>
              <w:t>0.314</w:t>
            </w:r>
          </w:p>
        </w:tc>
        <w:tc>
          <w:tcPr>
            <w:tcW w:w="1703" w:type="dxa"/>
            <w:tcBorders>
              <w:top w:val="single" w:sz="8" w:space="0" w:color="000000"/>
              <w:left w:val="single" w:sz="8" w:space="0" w:color="000000"/>
              <w:bottom w:val="single" w:sz="8" w:space="0" w:color="000000"/>
              <w:right w:val="single" w:sz="8" w:space="0" w:color="000000"/>
            </w:tcBorders>
            <w:shd w:val="clear" w:color="auto" w:fill="auto"/>
            <w:tcMar>
              <w:top w:w="4" w:type="dxa"/>
              <w:left w:w="26" w:type="dxa"/>
              <w:bottom w:w="0" w:type="dxa"/>
              <w:right w:w="26" w:type="dxa"/>
            </w:tcMar>
            <w:vAlign w:val="center"/>
          </w:tcPr>
          <w:p w:rsidR="00297C7E" w:rsidRPr="00297C7E" w:rsidRDefault="00297C7E" w:rsidP="00F5135F">
            <w:pPr>
              <w:spacing w:after="0" w:line="240" w:lineRule="auto"/>
              <w:jc w:val="center"/>
              <w:rPr>
                <w:sz w:val="20"/>
              </w:rPr>
            </w:pPr>
            <w:r w:rsidRPr="00297C7E">
              <w:rPr>
                <w:rFonts w:ascii="Times New Roman" w:hAnsi="Times New Roman"/>
                <w:sz w:val="20"/>
                <w:szCs w:val="24"/>
              </w:rPr>
              <w:t>Super case II Transport</w:t>
            </w:r>
          </w:p>
        </w:tc>
      </w:tr>
    </w:tbl>
    <w:p w:rsidR="00714A5C" w:rsidRPr="00714A5C" w:rsidRDefault="00714A5C" w:rsidP="00714A5C">
      <w:pPr>
        <w:autoSpaceDE w:val="0"/>
        <w:autoSpaceDN w:val="0"/>
        <w:adjustRightInd w:val="0"/>
        <w:spacing w:after="0" w:line="240" w:lineRule="auto"/>
        <w:jc w:val="both"/>
        <w:rPr>
          <w:rFonts w:ascii="Times New Roman" w:hAnsi="Times New Roman" w:cs="Times New Roman"/>
          <w:sz w:val="20"/>
          <w:szCs w:val="24"/>
        </w:rPr>
      </w:pPr>
      <w:r w:rsidRPr="00714A5C">
        <w:rPr>
          <w:rFonts w:ascii="Times New Roman" w:hAnsi="Times New Roman" w:cs="Times New Roman"/>
          <w:sz w:val="20"/>
          <w:szCs w:val="24"/>
        </w:rPr>
        <w:t>Best formulation F1 were subjected for four different models viz. Zero order, First order, Higuchi order and Peppas model equations and all the formulations best fit in to the higuchi model by giving the values of diffusional exponent (n) in the range of 0–98.57that indicate the formulation had release the drug by diffusion followed by erosion mechanism.</w:t>
      </w:r>
    </w:p>
    <w:p w:rsidR="00297C7E" w:rsidRDefault="00714A5C" w:rsidP="00714A5C">
      <w:pPr>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 xml:space="preserve">4. </w:t>
      </w:r>
      <w:r w:rsidRPr="00714A5C">
        <w:rPr>
          <w:rFonts w:ascii="Times New Roman" w:hAnsi="Times New Roman" w:cs="Times New Roman"/>
          <w:b/>
          <w:sz w:val="20"/>
          <w:szCs w:val="24"/>
        </w:rPr>
        <w:t>C</w:t>
      </w:r>
      <w:r>
        <w:rPr>
          <w:rFonts w:ascii="Times New Roman" w:hAnsi="Times New Roman" w:cs="Times New Roman"/>
          <w:b/>
          <w:sz w:val="20"/>
          <w:szCs w:val="24"/>
        </w:rPr>
        <w:t>ONCLUSION</w:t>
      </w:r>
    </w:p>
    <w:p w:rsidR="00714A5C" w:rsidRDefault="00714A5C" w:rsidP="00714A5C">
      <w:pPr>
        <w:spacing w:after="0" w:line="240" w:lineRule="auto"/>
        <w:jc w:val="both"/>
        <w:rPr>
          <w:rFonts w:ascii="Times New Roman" w:hAnsi="Times New Roman" w:cs="Times New Roman"/>
          <w:sz w:val="20"/>
          <w:szCs w:val="24"/>
        </w:rPr>
      </w:pPr>
      <w:r w:rsidRPr="00714A5C">
        <w:rPr>
          <w:rFonts w:ascii="Times New Roman" w:hAnsi="Times New Roman" w:cs="Times New Roman"/>
          <w:sz w:val="20"/>
          <w:szCs w:val="24"/>
        </w:rPr>
        <w:t xml:space="preserve">These results indicated that F1 (drug 50 mg) with croscarmellose of Acyclovir buccal patches has achieved the objective of considerable influence on the physio chemical characteristics and releasing property. The concentration of Croscarmellose in the formulation determines the drug release from the patches. As the concentration of Croscarmellose increases, drug release also increases. So, finally the best concentration of Croscarmellose was found to be 20 mg and formulation </w:t>
      </w:r>
      <w:r>
        <w:rPr>
          <w:rFonts w:ascii="Times New Roman" w:hAnsi="Times New Roman" w:cs="Times New Roman"/>
          <w:sz w:val="20"/>
          <w:szCs w:val="24"/>
        </w:rPr>
        <w:t>F</w:t>
      </w:r>
      <w:r w:rsidRPr="00714A5C">
        <w:rPr>
          <w:rFonts w:ascii="Times New Roman" w:hAnsi="Times New Roman" w:cs="Times New Roman"/>
          <w:sz w:val="20"/>
          <w:szCs w:val="24"/>
        </w:rPr>
        <w:t>1 gave the best results.</w:t>
      </w:r>
    </w:p>
    <w:p w:rsidR="00714A5C" w:rsidRDefault="00714A5C" w:rsidP="00714A5C">
      <w:pPr>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 xml:space="preserve">5.  </w:t>
      </w:r>
      <w:r w:rsidRPr="00714A5C">
        <w:rPr>
          <w:rFonts w:ascii="Times New Roman" w:hAnsi="Times New Roman" w:cs="Times New Roman"/>
          <w:b/>
          <w:sz w:val="20"/>
          <w:szCs w:val="24"/>
        </w:rPr>
        <w:t>ACKNOWLEDGEMENT</w:t>
      </w:r>
    </w:p>
    <w:p w:rsidR="00714A5C" w:rsidRDefault="00714A5C" w:rsidP="00714A5C">
      <w:pPr>
        <w:autoSpaceDE w:val="0"/>
        <w:autoSpaceDN w:val="0"/>
        <w:adjustRightInd w:val="0"/>
        <w:spacing w:after="0" w:line="240" w:lineRule="auto"/>
        <w:jc w:val="both"/>
        <w:rPr>
          <w:rFonts w:ascii="Times New Roman" w:hAnsi="Times New Roman" w:cs="Times New Roman"/>
          <w:sz w:val="20"/>
          <w:szCs w:val="24"/>
        </w:rPr>
      </w:pPr>
      <w:r w:rsidRPr="00714A5C">
        <w:rPr>
          <w:rFonts w:ascii="Times New Roman" w:hAnsi="Times New Roman" w:cs="Times New Roman"/>
          <w:sz w:val="20"/>
          <w:szCs w:val="24"/>
        </w:rPr>
        <w:t>The authors are thankful to Secretary Dr. M. Santhiramudu through Dr. C. Madhusudhana Chetty</w:t>
      </w:r>
      <w:r>
        <w:rPr>
          <w:rFonts w:ascii="Times New Roman" w:hAnsi="Times New Roman" w:cs="Times New Roman"/>
          <w:sz w:val="20"/>
          <w:szCs w:val="24"/>
        </w:rPr>
        <w:t xml:space="preserve"> </w:t>
      </w:r>
      <w:r w:rsidRPr="00714A5C">
        <w:rPr>
          <w:rFonts w:ascii="Times New Roman" w:hAnsi="Times New Roman" w:cs="Times New Roman"/>
          <w:sz w:val="20"/>
          <w:szCs w:val="24"/>
        </w:rPr>
        <w:t>Principal of Santhiram college of Pharmacy, Nandyal, Andhra Pradesh, for providing necessary</w:t>
      </w:r>
      <w:r>
        <w:rPr>
          <w:rFonts w:ascii="Times New Roman" w:hAnsi="Times New Roman" w:cs="Times New Roman"/>
          <w:sz w:val="20"/>
          <w:szCs w:val="24"/>
        </w:rPr>
        <w:t xml:space="preserve"> </w:t>
      </w:r>
      <w:r w:rsidRPr="00714A5C">
        <w:rPr>
          <w:rFonts w:ascii="Times New Roman" w:hAnsi="Times New Roman" w:cs="Times New Roman"/>
          <w:sz w:val="20"/>
          <w:szCs w:val="24"/>
        </w:rPr>
        <w:t>facilities to carry out this research work.</w:t>
      </w:r>
    </w:p>
    <w:p w:rsidR="00714A5C" w:rsidRPr="00714A5C" w:rsidRDefault="00714A5C" w:rsidP="00714A5C">
      <w:pPr>
        <w:autoSpaceDE w:val="0"/>
        <w:autoSpaceDN w:val="0"/>
        <w:adjustRightInd w:val="0"/>
        <w:spacing w:after="0" w:line="240" w:lineRule="auto"/>
        <w:jc w:val="center"/>
        <w:rPr>
          <w:rFonts w:ascii="Times New Roman" w:hAnsi="Times New Roman" w:cs="Times New Roman"/>
          <w:b/>
          <w:sz w:val="20"/>
          <w:szCs w:val="24"/>
        </w:rPr>
      </w:pPr>
      <w:r>
        <w:rPr>
          <w:rFonts w:ascii="Times New Roman" w:hAnsi="Times New Roman" w:cs="Times New Roman"/>
          <w:b/>
          <w:sz w:val="20"/>
          <w:szCs w:val="24"/>
        </w:rPr>
        <w:t>6. REFERENCES</w:t>
      </w:r>
    </w:p>
    <w:p w:rsidR="00BD6E19" w:rsidRPr="00BD6E19" w:rsidRDefault="00BD6E19" w:rsidP="00BD6E19">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BD6E19">
        <w:rPr>
          <w:rFonts w:ascii="Times New Roman" w:hAnsi="Times New Roman" w:cs="Times New Roman"/>
          <w:color w:val="000000"/>
          <w:sz w:val="20"/>
          <w:szCs w:val="20"/>
        </w:rPr>
        <w:t xml:space="preserve">Donald L. Wise, Hand Book of Pharmaceutical Controlled Release Technology, PP.no. 431-433. </w:t>
      </w:r>
    </w:p>
    <w:p w:rsidR="00BD6E19" w:rsidRPr="00BD6E19" w:rsidRDefault="00BD6E19" w:rsidP="00BD6E19">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BD6E19">
        <w:rPr>
          <w:rFonts w:ascii="Times New Roman" w:hAnsi="Times New Roman" w:cs="Times New Roman"/>
          <w:bCs/>
          <w:color w:val="000000"/>
          <w:sz w:val="20"/>
          <w:szCs w:val="20"/>
        </w:rPr>
        <w:t>D. Maheswara Reddy, C. Madhusudhana Chetty, Y. Dastagiri Reddy, P. Komali, B. Sri Divya, S. Sandhya Rani, Formulation and Evaluation of Fast Dissolving Buccal Patches of Tenofovir Disoproxil Fumarate</w:t>
      </w:r>
      <w:r w:rsidRPr="00BD6E19">
        <w:rPr>
          <w:rFonts w:ascii="Times New Roman" w:hAnsi="Times New Roman" w:cs="Times New Roman"/>
          <w:bCs/>
          <w:sz w:val="20"/>
          <w:szCs w:val="20"/>
        </w:rPr>
        <w:t>, Research J. Pharm. and Tech. 14(1): January 2021.</w:t>
      </w:r>
    </w:p>
    <w:p w:rsidR="00BD6E19" w:rsidRPr="00BD6E19" w:rsidRDefault="00BD6E19" w:rsidP="00BD6E19">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BD6E19">
        <w:rPr>
          <w:rFonts w:ascii="Times New Roman" w:hAnsi="Times New Roman" w:cs="Times New Roman"/>
          <w:sz w:val="20"/>
          <w:szCs w:val="20"/>
        </w:rPr>
        <w:t>Shojaei, H.A. Transbuccal delivery of Acyclovir (II): Feasibility, System design and In vitro Permeation Studies. J. Pharm. Pharm. Sci, v.1, n.2, p.66-73, 1998.</w:t>
      </w:r>
    </w:p>
    <w:p w:rsidR="00BD6E19" w:rsidRPr="00BD6E19" w:rsidRDefault="00BD6E19" w:rsidP="00BD6E19">
      <w:pPr>
        <w:pStyle w:val="ListParagraph"/>
        <w:numPr>
          <w:ilvl w:val="0"/>
          <w:numId w:val="6"/>
        </w:numPr>
        <w:autoSpaceDE w:val="0"/>
        <w:autoSpaceDN w:val="0"/>
        <w:adjustRightInd w:val="0"/>
        <w:spacing w:after="0" w:line="240" w:lineRule="auto"/>
        <w:jc w:val="both"/>
        <w:rPr>
          <w:rFonts w:ascii="Times New Roman" w:hAnsi="Times New Roman" w:cs="Times New Roman"/>
          <w:color w:val="000000"/>
          <w:sz w:val="20"/>
          <w:szCs w:val="20"/>
        </w:rPr>
      </w:pPr>
      <w:r w:rsidRPr="00BD6E19">
        <w:rPr>
          <w:rFonts w:ascii="Times New Roman" w:hAnsi="Times New Roman" w:cs="Times New Roman"/>
          <w:bCs/>
          <w:color w:val="211D1E"/>
          <w:sz w:val="20"/>
          <w:szCs w:val="24"/>
        </w:rPr>
        <w:t>Ankita Saxena, Gulab Tewari, Shubhini Awasthi Saraf, Formulation and evaluation of mucoadhesive buccal patch of acyclovir utilizing inclusion phenomenon, Brazilian Journal of Pharmaceutical Sciences,2011:47(4);887-897.</w:t>
      </w:r>
    </w:p>
    <w:p w:rsidR="00264915" w:rsidRDefault="00264915" w:rsidP="00264915">
      <w:pPr>
        <w:pStyle w:val="ListParagraph"/>
        <w:numPr>
          <w:ilvl w:val="0"/>
          <w:numId w:val="6"/>
        </w:numPr>
        <w:spacing w:after="0" w:line="240" w:lineRule="auto"/>
        <w:jc w:val="both"/>
        <w:rPr>
          <w:rFonts w:ascii="Times New Roman" w:hAnsi="Times New Roman" w:cs="Times New Roman"/>
          <w:color w:val="303030"/>
          <w:sz w:val="20"/>
          <w:szCs w:val="24"/>
          <w:shd w:val="clear" w:color="auto" w:fill="FFFFFF"/>
        </w:rPr>
      </w:pPr>
      <w:r w:rsidRPr="00EB789E">
        <w:rPr>
          <w:rFonts w:ascii="Times New Roman" w:hAnsi="Times New Roman" w:cs="Times New Roman"/>
          <w:color w:val="303030"/>
          <w:sz w:val="20"/>
          <w:szCs w:val="24"/>
          <w:shd w:val="clear" w:color="auto" w:fill="FFFFFF"/>
        </w:rPr>
        <w:t>Verma N, Wahi AK, Verma A, Chattopadhayay P. Evaluation of a mucoadhesive buccal patch for delivery of atenolol: </w:t>
      </w:r>
      <w:r w:rsidRPr="00EB789E">
        <w:rPr>
          <w:rStyle w:val="Emphasis"/>
          <w:rFonts w:ascii="Times New Roman" w:hAnsi="Times New Roman" w:cs="Times New Roman"/>
          <w:color w:val="303030"/>
          <w:sz w:val="20"/>
          <w:szCs w:val="24"/>
          <w:shd w:val="clear" w:color="auto" w:fill="FFFFFF"/>
        </w:rPr>
        <w:t>in vitro</w:t>
      </w:r>
      <w:r w:rsidRPr="00EB789E">
        <w:rPr>
          <w:rFonts w:ascii="Times New Roman" w:hAnsi="Times New Roman" w:cs="Times New Roman"/>
          <w:color w:val="303030"/>
          <w:sz w:val="20"/>
          <w:szCs w:val="24"/>
          <w:shd w:val="clear" w:color="auto" w:fill="FFFFFF"/>
        </w:rPr>
        <w:t> screening of bioadhesion. </w:t>
      </w:r>
      <w:r w:rsidRPr="00EB789E">
        <w:rPr>
          <w:rStyle w:val="ref-journal"/>
          <w:rFonts w:ascii="Times New Roman" w:hAnsi="Times New Roman" w:cs="Times New Roman"/>
          <w:i/>
          <w:iCs/>
          <w:color w:val="303030"/>
          <w:sz w:val="20"/>
          <w:szCs w:val="24"/>
          <w:shd w:val="clear" w:color="auto" w:fill="FFFFFF"/>
        </w:rPr>
        <w:t>J Pure Appl Microbiol. </w:t>
      </w:r>
      <w:r w:rsidRPr="00EB789E">
        <w:rPr>
          <w:rFonts w:ascii="Times New Roman" w:hAnsi="Times New Roman" w:cs="Times New Roman"/>
          <w:color w:val="303030"/>
          <w:sz w:val="20"/>
          <w:szCs w:val="24"/>
          <w:shd w:val="clear" w:color="auto" w:fill="FFFFFF"/>
        </w:rPr>
        <w:t>2007;</w:t>
      </w:r>
      <w:r w:rsidRPr="00EB789E">
        <w:rPr>
          <w:rStyle w:val="ref-vol"/>
          <w:rFonts w:ascii="Times New Roman" w:hAnsi="Times New Roman" w:cs="Times New Roman"/>
          <w:color w:val="303030"/>
          <w:sz w:val="20"/>
          <w:szCs w:val="24"/>
          <w:shd w:val="clear" w:color="auto" w:fill="FFFFFF"/>
        </w:rPr>
        <w:t>1</w:t>
      </w:r>
      <w:r w:rsidRPr="00EB789E">
        <w:rPr>
          <w:rFonts w:ascii="Times New Roman" w:hAnsi="Times New Roman" w:cs="Times New Roman"/>
          <w:color w:val="303030"/>
          <w:sz w:val="20"/>
          <w:szCs w:val="24"/>
          <w:shd w:val="clear" w:color="auto" w:fill="FFFFFF"/>
        </w:rPr>
        <w:t>:115–118.</w:t>
      </w:r>
    </w:p>
    <w:p w:rsidR="00264915" w:rsidRDefault="00264915" w:rsidP="00264915">
      <w:pPr>
        <w:pStyle w:val="ListParagraph"/>
        <w:numPr>
          <w:ilvl w:val="0"/>
          <w:numId w:val="6"/>
        </w:numPr>
        <w:spacing w:after="0" w:line="240" w:lineRule="auto"/>
        <w:jc w:val="both"/>
        <w:rPr>
          <w:rFonts w:ascii="Times New Roman" w:hAnsi="Times New Roman" w:cs="Times New Roman"/>
          <w:color w:val="303030"/>
          <w:sz w:val="20"/>
          <w:szCs w:val="24"/>
          <w:shd w:val="clear" w:color="auto" w:fill="FFFFFF"/>
        </w:rPr>
      </w:pPr>
      <w:r w:rsidRPr="00EB789E">
        <w:rPr>
          <w:rFonts w:ascii="Times New Roman" w:hAnsi="Times New Roman" w:cs="Times New Roman"/>
          <w:color w:val="303030"/>
          <w:sz w:val="20"/>
          <w:szCs w:val="24"/>
          <w:shd w:val="clear" w:color="auto" w:fill="FFFFFF"/>
        </w:rPr>
        <w:t>Attama A, Akpa PA, Onugwu LE, Igwilo G. Novel buccoadhesive delivery system of hydrochlorothiazide formulated with ethyl cellulose hydroxypropyl methylcellulose interpolymer complex. Scientific Res Essay. 2008;3(6):26–33.</w:t>
      </w:r>
    </w:p>
    <w:p w:rsidR="00264915" w:rsidRDefault="00264915" w:rsidP="00264915">
      <w:pPr>
        <w:pStyle w:val="ListParagraph"/>
        <w:numPr>
          <w:ilvl w:val="0"/>
          <w:numId w:val="6"/>
        </w:numPr>
        <w:spacing w:after="0" w:line="240" w:lineRule="auto"/>
        <w:jc w:val="both"/>
        <w:rPr>
          <w:rFonts w:ascii="Times New Roman" w:hAnsi="Times New Roman" w:cs="Times New Roman"/>
          <w:color w:val="303030"/>
          <w:sz w:val="20"/>
          <w:szCs w:val="24"/>
          <w:shd w:val="clear" w:color="auto" w:fill="FFFFFF"/>
        </w:rPr>
      </w:pPr>
      <w:r w:rsidRPr="00EB789E">
        <w:rPr>
          <w:rFonts w:ascii="Times New Roman" w:hAnsi="Times New Roman" w:cs="Times New Roman"/>
          <w:color w:val="303030"/>
          <w:sz w:val="20"/>
          <w:szCs w:val="24"/>
          <w:shd w:val="clear" w:color="auto" w:fill="FFFFFF"/>
        </w:rPr>
        <w:t>Nafee NA, Ahemed F, Borale A. Preparation and evaluation of mucoadhesive patches for delivery of cetylpyridinium chloride (CPC). Acta Pharma. 2003; 199–212.</w:t>
      </w:r>
    </w:p>
    <w:p w:rsidR="00264915" w:rsidRDefault="00264915" w:rsidP="00264915">
      <w:pPr>
        <w:pStyle w:val="ListParagraph"/>
        <w:numPr>
          <w:ilvl w:val="0"/>
          <w:numId w:val="6"/>
        </w:numPr>
        <w:spacing w:after="0" w:line="240" w:lineRule="auto"/>
        <w:jc w:val="both"/>
        <w:rPr>
          <w:rFonts w:ascii="Times New Roman" w:hAnsi="Times New Roman" w:cs="Times New Roman"/>
          <w:color w:val="303030"/>
          <w:sz w:val="20"/>
          <w:szCs w:val="24"/>
          <w:shd w:val="clear" w:color="auto" w:fill="FFFFFF"/>
        </w:rPr>
      </w:pPr>
      <w:r w:rsidRPr="00EB789E">
        <w:rPr>
          <w:rFonts w:ascii="Times New Roman" w:hAnsi="Times New Roman" w:cs="Times New Roman"/>
          <w:color w:val="303030"/>
          <w:sz w:val="20"/>
          <w:szCs w:val="24"/>
          <w:shd w:val="clear" w:color="auto" w:fill="FFFFFF"/>
        </w:rPr>
        <w:t>Giannola LI, De Caro V, Giandalia G, Siragusa MG, Tripodo C, Florena AM, et al. Release of naltrexone on buccal mucosa: Permeation studies, histological aspects and matrix system design. Eur J Pharm Biopharm. 2007;67:425–33.</w:t>
      </w:r>
    </w:p>
    <w:p w:rsidR="00BD6E19" w:rsidRPr="00BD6E19" w:rsidRDefault="00BD6E19" w:rsidP="00264915">
      <w:pPr>
        <w:pStyle w:val="ListParagraph"/>
        <w:autoSpaceDE w:val="0"/>
        <w:autoSpaceDN w:val="0"/>
        <w:adjustRightInd w:val="0"/>
        <w:spacing w:after="0" w:line="240" w:lineRule="auto"/>
        <w:jc w:val="both"/>
        <w:rPr>
          <w:rFonts w:ascii="Times New Roman" w:hAnsi="Times New Roman" w:cs="Times New Roman"/>
          <w:color w:val="000000"/>
          <w:sz w:val="20"/>
          <w:szCs w:val="20"/>
        </w:rPr>
      </w:pPr>
    </w:p>
    <w:sectPr w:rsidR="00BD6E19" w:rsidRPr="00BD6E19" w:rsidSect="00AC1905">
      <w:pgSz w:w="11907" w:h="16839"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85C16"/>
    <w:multiLevelType w:val="hybridMultilevel"/>
    <w:tmpl w:val="7110E3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7D52BE"/>
    <w:multiLevelType w:val="hybridMultilevel"/>
    <w:tmpl w:val="94424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E21536"/>
    <w:multiLevelType w:val="hybridMultilevel"/>
    <w:tmpl w:val="4414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72238E"/>
    <w:multiLevelType w:val="multilevel"/>
    <w:tmpl w:val="698C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5399E"/>
    <w:multiLevelType w:val="hybridMultilevel"/>
    <w:tmpl w:val="4414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9E07D6"/>
    <w:multiLevelType w:val="hybridMultilevel"/>
    <w:tmpl w:val="7F6828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FB0DDE"/>
    <w:multiLevelType w:val="hybridMultilevel"/>
    <w:tmpl w:val="4058E74E"/>
    <w:lvl w:ilvl="0" w:tplc="1ACC4F7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801415"/>
    <w:multiLevelType w:val="hybridMultilevel"/>
    <w:tmpl w:val="B67E6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2F3EF6"/>
    <w:multiLevelType w:val="hybridMultilevel"/>
    <w:tmpl w:val="4414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6"/>
  </w:num>
  <w:num w:numId="5">
    <w:abstractNumId w:val="1"/>
  </w:num>
  <w:num w:numId="6">
    <w:abstractNumId w:val="2"/>
  </w:num>
  <w:num w:numId="7">
    <w:abstractNumId w:val="8"/>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compat/>
  <w:rsids>
    <w:rsidRoot w:val="00AC1905"/>
    <w:rsid w:val="00013AB0"/>
    <w:rsid w:val="000A7EFD"/>
    <w:rsid w:val="00147C5E"/>
    <w:rsid w:val="00236503"/>
    <w:rsid w:val="00264915"/>
    <w:rsid w:val="00297C7E"/>
    <w:rsid w:val="00354412"/>
    <w:rsid w:val="00383C98"/>
    <w:rsid w:val="00387312"/>
    <w:rsid w:val="00413AE0"/>
    <w:rsid w:val="00543889"/>
    <w:rsid w:val="00567338"/>
    <w:rsid w:val="00624DA0"/>
    <w:rsid w:val="00631BA8"/>
    <w:rsid w:val="00647984"/>
    <w:rsid w:val="00714A5C"/>
    <w:rsid w:val="007B0B5C"/>
    <w:rsid w:val="007C268B"/>
    <w:rsid w:val="007C78EE"/>
    <w:rsid w:val="00810C62"/>
    <w:rsid w:val="008424AF"/>
    <w:rsid w:val="008862F7"/>
    <w:rsid w:val="008A41BF"/>
    <w:rsid w:val="009525F8"/>
    <w:rsid w:val="00952945"/>
    <w:rsid w:val="009735A8"/>
    <w:rsid w:val="00AC1905"/>
    <w:rsid w:val="00B07E19"/>
    <w:rsid w:val="00B95744"/>
    <w:rsid w:val="00BD6E19"/>
    <w:rsid w:val="00BE59BF"/>
    <w:rsid w:val="00C16770"/>
    <w:rsid w:val="00C95836"/>
    <w:rsid w:val="00D4128A"/>
    <w:rsid w:val="00DE4B61"/>
    <w:rsid w:val="00E01013"/>
    <w:rsid w:val="00FB063D"/>
    <w:rsid w:val="00FD63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905"/>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C1905"/>
    <w:pPr>
      <w:autoSpaceDE w:val="0"/>
      <w:autoSpaceDN w:val="0"/>
      <w:adjustRightInd w:val="0"/>
      <w:jc w:val="left"/>
    </w:pPr>
    <w:rPr>
      <w:rFonts w:ascii="Bookman Old Style" w:eastAsia="Calibri" w:hAnsi="Bookman Old Style" w:cs="Bookman Old Style"/>
      <w:color w:val="000000"/>
      <w:sz w:val="24"/>
      <w:szCs w:val="24"/>
    </w:rPr>
  </w:style>
  <w:style w:type="character" w:styleId="Hyperlink">
    <w:name w:val="Hyperlink"/>
    <w:basedOn w:val="DefaultParagraphFont"/>
    <w:uiPriority w:val="99"/>
    <w:unhideWhenUsed/>
    <w:rsid w:val="00AC1905"/>
    <w:rPr>
      <w:color w:val="0000FF" w:themeColor="hyperlink"/>
      <w:u w:val="single"/>
    </w:rPr>
  </w:style>
  <w:style w:type="paragraph" w:styleId="ListParagraph">
    <w:name w:val="List Paragraph"/>
    <w:basedOn w:val="Normal"/>
    <w:uiPriority w:val="34"/>
    <w:qFormat/>
    <w:rsid w:val="00FD63C6"/>
    <w:pPr>
      <w:ind w:left="720"/>
      <w:contextualSpacing/>
    </w:pPr>
  </w:style>
  <w:style w:type="table" w:styleId="TableGrid">
    <w:name w:val="Table Grid"/>
    <w:basedOn w:val="TableNormal"/>
    <w:uiPriority w:val="59"/>
    <w:rsid w:val="007C268B"/>
    <w:pPr>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26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68B"/>
    <w:rPr>
      <w:rFonts w:ascii="Tahoma" w:hAnsi="Tahoma" w:cs="Tahoma"/>
      <w:sz w:val="16"/>
      <w:szCs w:val="16"/>
    </w:rPr>
  </w:style>
  <w:style w:type="character" w:styleId="Emphasis">
    <w:name w:val="Emphasis"/>
    <w:basedOn w:val="DefaultParagraphFont"/>
    <w:uiPriority w:val="20"/>
    <w:qFormat/>
    <w:rsid w:val="00264915"/>
    <w:rPr>
      <w:i/>
      <w:iCs/>
    </w:rPr>
  </w:style>
  <w:style w:type="character" w:customStyle="1" w:styleId="ref-journal">
    <w:name w:val="ref-journal"/>
    <w:basedOn w:val="DefaultParagraphFont"/>
    <w:rsid w:val="00264915"/>
  </w:style>
  <w:style w:type="character" w:customStyle="1" w:styleId="ref-vol">
    <w:name w:val="ref-vol"/>
    <w:basedOn w:val="DefaultParagraphFont"/>
    <w:rsid w:val="00264915"/>
  </w:style>
</w:styles>
</file>

<file path=word/webSettings.xml><?xml version="1.0" encoding="utf-8"?>
<w:webSettings xmlns:r="http://schemas.openxmlformats.org/officeDocument/2006/relationships" xmlns:w="http://schemas.openxmlformats.org/wordprocessingml/2006/main">
  <w:divs>
    <w:div w:id="1580939355">
      <w:bodyDiv w:val="1"/>
      <w:marLeft w:val="0"/>
      <w:marRight w:val="0"/>
      <w:marTop w:val="0"/>
      <w:marBottom w:val="0"/>
      <w:divBdr>
        <w:top w:val="none" w:sz="0" w:space="0" w:color="auto"/>
        <w:left w:val="none" w:sz="0" w:space="0" w:color="auto"/>
        <w:bottom w:val="none" w:sz="0" w:space="0" w:color="auto"/>
        <w:right w:val="none" w:sz="0" w:space="0" w:color="auto"/>
      </w:divBdr>
      <w:divsChild>
        <w:div w:id="543368457">
          <w:marLeft w:val="103"/>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F:\Project\SRCP\M.Pharm\2022-23\Akhila\Thesis\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50">
                <a:latin typeface="Times New Roman" pitchFamily="18" charset="0"/>
                <a:cs typeface="Times New Roman" pitchFamily="18" charset="0"/>
              </a:rPr>
              <a:t>% CDR of formulation</a:t>
            </a:r>
            <a:r>
              <a:rPr lang="en-US" sz="1050" baseline="0">
                <a:latin typeface="Times New Roman" pitchFamily="18" charset="0"/>
                <a:cs typeface="Times New Roman" pitchFamily="18" charset="0"/>
              </a:rPr>
              <a:t> F1-F6</a:t>
            </a:r>
            <a:endParaRPr lang="en-US" sz="1050">
              <a:latin typeface="Times New Roman" pitchFamily="18" charset="0"/>
              <a:cs typeface="Times New Roman" pitchFamily="18" charset="0"/>
            </a:endParaRPr>
          </a:p>
        </c:rich>
      </c:tx>
    </c:title>
    <c:plotArea>
      <c:layout/>
      <c:scatterChart>
        <c:scatterStyle val="lineMarker"/>
        <c:ser>
          <c:idx val="0"/>
          <c:order val="0"/>
          <c:tx>
            <c:strRef>
              <c:f>Sheet1!$B$1</c:f>
              <c:strCache>
                <c:ptCount val="1"/>
                <c:pt idx="0">
                  <c:v>F 1</c:v>
                </c:pt>
              </c:strCache>
            </c:strRef>
          </c:tx>
          <c:spPr>
            <a:ln w="9525"/>
          </c:spPr>
          <c:xVal>
            <c:numRef>
              <c:f>Sheet1!$A$2:$A$9</c:f>
              <c:numCache>
                <c:formatCode>General</c:formatCode>
                <c:ptCount val="8"/>
                <c:pt idx="0">
                  <c:v>0</c:v>
                </c:pt>
                <c:pt idx="1">
                  <c:v>0.5</c:v>
                </c:pt>
                <c:pt idx="2">
                  <c:v>1</c:v>
                </c:pt>
                <c:pt idx="3">
                  <c:v>1.5</c:v>
                </c:pt>
                <c:pt idx="4">
                  <c:v>2</c:v>
                </c:pt>
                <c:pt idx="5">
                  <c:v>3</c:v>
                </c:pt>
                <c:pt idx="6">
                  <c:v>4</c:v>
                </c:pt>
                <c:pt idx="7">
                  <c:v>5</c:v>
                </c:pt>
              </c:numCache>
            </c:numRef>
          </c:xVal>
          <c:yVal>
            <c:numRef>
              <c:f>Sheet1!$B$2:$B$9</c:f>
              <c:numCache>
                <c:formatCode>General</c:formatCode>
                <c:ptCount val="8"/>
                <c:pt idx="0">
                  <c:v>0</c:v>
                </c:pt>
                <c:pt idx="1">
                  <c:v>25.12</c:v>
                </c:pt>
                <c:pt idx="2">
                  <c:v>41.49</c:v>
                </c:pt>
                <c:pt idx="3">
                  <c:v>50.17</c:v>
                </c:pt>
                <c:pt idx="4">
                  <c:v>69.38</c:v>
                </c:pt>
                <c:pt idx="5">
                  <c:v>77.64</c:v>
                </c:pt>
                <c:pt idx="6">
                  <c:v>87.73</c:v>
                </c:pt>
                <c:pt idx="7">
                  <c:v>97.14</c:v>
                </c:pt>
              </c:numCache>
            </c:numRef>
          </c:yVal>
        </c:ser>
        <c:ser>
          <c:idx val="1"/>
          <c:order val="1"/>
          <c:tx>
            <c:strRef>
              <c:f>Sheet1!$C$1</c:f>
              <c:strCache>
                <c:ptCount val="1"/>
                <c:pt idx="0">
                  <c:v>F 2</c:v>
                </c:pt>
              </c:strCache>
            </c:strRef>
          </c:tx>
          <c:spPr>
            <a:ln w="9525"/>
          </c:spPr>
          <c:xVal>
            <c:numRef>
              <c:f>Sheet1!$A$2:$A$9</c:f>
              <c:numCache>
                <c:formatCode>General</c:formatCode>
                <c:ptCount val="8"/>
                <c:pt idx="0">
                  <c:v>0</c:v>
                </c:pt>
                <c:pt idx="1">
                  <c:v>0.5</c:v>
                </c:pt>
                <c:pt idx="2">
                  <c:v>1</c:v>
                </c:pt>
                <c:pt idx="3">
                  <c:v>1.5</c:v>
                </c:pt>
                <c:pt idx="4">
                  <c:v>2</c:v>
                </c:pt>
                <c:pt idx="5">
                  <c:v>3</c:v>
                </c:pt>
                <c:pt idx="6">
                  <c:v>4</c:v>
                </c:pt>
                <c:pt idx="7">
                  <c:v>5</c:v>
                </c:pt>
              </c:numCache>
            </c:numRef>
          </c:xVal>
          <c:yVal>
            <c:numRef>
              <c:f>Sheet1!$C$2:$C$9</c:f>
              <c:numCache>
                <c:formatCode>General</c:formatCode>
                <c:ptCount val="8"/>
                <c:pt idx="0">
                  <c:v>0</c:v>
                </c:pt>
                <c:pt idx="1">
                  <c:v>22.43</c:v>
                </c:pt>
                <c:pt idx="2">
                  <c:v>37.630000000000003</c:v>
                </c:pt>
                <c:pt idx="3">
                  <c:v>49.47</c:v>
                </c:pt>
                <c:pt idx="4">
                  <c:v>65.14</c:v>
                </c:pt>
                <c:pt idx="5">
                  <c:v>74.63</c:v>
                </c:pt>
                <c:pt idx="6">
                  <c:v>83.63</c:v>
                </c:pt>
                <c:pt idx="7">
                  <c:v>92.149999999999991</c:v>
                </c:pt>
              </c:numCache>
            </c:numRef>
          </c:yVal>
        </c:ser>
        <c:ser>
          <c:idx val="2"/>
          <c:order val="2"/>
          <c:tx>
            <c:strRef>
              <c:f>Sheet1!$D$1</c:f>
              <c:strCache>
                <c:ptCount val="1"/>
                <c:pt idx="0">
                  <c:v>F 3</c:v>
                </c:pt>
              </c:strCache>
            </c:strRef>
          </c:tx>
          <c:spPr>
            <a:ln w="9525"/>
          </c:spPr>
          <c:xVal>
            <c:numRef>
              <c:f>Sheet1!$A$2:$A$9</c:f>
              <c:numCache>
                <c:formatCode>General</c:formatCode>
                <c:ptCount val="8"/>
                <c:pt idx="0">
                  <c:v>0</c:v>
                </c:pt>
                <c:pt idx="1">
                  <c:v>0.5</c:v>
                </c:pt>
                <c:pt idx="2">
                  <c:v>1</c:v>
                </c:pt>
                <c:pt idx="3">
                  <c:v>1.5</c:v>
                </c:pt>
                <c:pt idx="4">
                  <c:v>2</c:v>
                </c:pt>
                <c:pt idx="5">
                  <c:v>3</c:v>
                </c:pt>
                <c:pt idx="6">
                  <c:v>4</c:v>
                </c:pt>
                <c:pt idx="7">
                  <c:v>5</c:v>
                </c:pt>
              </c:numCache>
            </c:numRef>
          </c:xVal>
          <c:yVal>
            <c:numRef>
              <c:f>Sheet1!$D$2:$D$9</c:f>
              <c:numCache>
                <c:formatCode>General</c:formatCode>
                <c:ptCount val="8"/>
                <c:pt idx="0">
                  <c:v>0</c:v>
                </c:pt>
                <c:pt idx="1">
                  <c:v>23.37</c:v>
                </c:pt>
                <c:pt idx="2">
                  <c:v>33.65</c:v>
                </c:pt>
                <c:pt idx="3">
                  <c:v>49.339999999999996</c:v>
                </c:pt>
                <c:pt idx="4">
                  <c:v>57.48</c:v>
                </c:pt>
                <c:pt idx="5">
                  <c:v>68.36</c:v>
                </c:pt>
                <c:pt idx="6">
                  <c:v>79.489999999999995</c:v>
                </c:pt>
                <c:pt idx="7">
                  <c:v>94.59</c:v>
                </c:pt>
              </c:numCache>
            </c:numRef>
          </c:yVal>
        </c:ser>
        <c:ser>
          <c:idx val="3"/>
          <c:order val="3"/>
          <c:tx>
            <c:strRef>
              <c:f>Sheet1!$E$1</c:f>
              <c:strCache>
                <c:ptCount val="1"/>
                <c:pt idx="0">
                  <c:v>F 4</c:v>
                </c:pt>
              </c:strCache>
            </c:strRef>
          </c:tx>
          <c:spPr>
            <a:ln w="9525"/>
          </c:spPr>
          <c:xVal>
            <c:numRef>
              <c:f>Sheet1!$A$2:$A$9</c:f>
              <c:numCache>
                <c:formatCode>General</c:formatCode>
                <c:ptCount val="8"/>
                <c:pt idx="0">
                  <c:v>0</c:v>
                </c:pt>
                <c:pt idx="1">
                  <c:v>0.5</c:v>
                </c:pt>
                <c:pt idx="2">
                  <c:v>1</c:v>
                </c:pt>
                <c:pt idx="3">
                  <c:v>1.5</c:v>
                </c:pt>
                <c:pt idx="4">
                  <c:v>2</c:v>
                </c:pt>
                <c:pt idx="5">
                  <c:v>3</c:v>
                </c:pt>
                <c:pt idx="6">
                  <c:v>4</c:v>
                </c:pt>
                <c:pt idx="7">
                  <c:v>5</c:v>
                </c:pt>
              </c:numCache>
            </c:numRef>
          </c:xVal>
          <c:yVal>
            <c:numRef>
              <c:f>Sheet1!$E$2:$E$9</c:f>
              <c:numCache>
                <c:formatCode>General</c:formatCode>
                <c:ptCount val="8"/>
                <c:pt idx="0">
                  <c:v>0</c:v>
                </c:pt>
                <c:pt idx="1">
                  <c:v>19.459999999999987</c:v>
                </c:pt>
                <c:pt idx="2">
                  <c:v>24.630000000000031</c:v>
                </c:pt>
                <c:pt idx="3">
                  <c:v>39.58</c:v>
                </c:pt>
                <c:pt idx="4">
                  <c:v>64.45</c:v>
                </c:pt>
                <c:pt idx="5">
                  <c:v>71.31</c:v>
                </c:pt>
                <c:pt idx="6">
                  <c:v>80.410000000000025</c:v>
                </c:pt>
                <c:pt idx="7">
                  <c:v>87.98</c:v>
                </c:pt>
              </c:numCache>
            </c:numRef>
          </c:yVal>
        </c:ser>
        <c:ser>
          <c:idx val="4"/>
          <c:order val="4"/>
          <c:tx>
            <c:strRef>
              <c:f>Sheet1!$F$1</c:f>
              <c:strCache>
                <c:ptCount val="1"/>
                <c:pt idx="0">
                  <c:v>F 5</c:v>
                </c:pt>
              </c:strCache>
            </c:strRef>
          </c:tx>
          <c:spPr>
            <a:ln w="9525"/>
          </c:spPr>
          <c:xVal>
            <c:numRef>
              <c:f>Sheet1!$A$2:$A$9</c:f>
              <c:numCache>
                <c:formatCode>General</c:formatCode>
                <c:ptCount val="8"/>
                <c:pt idx="0">
                  <c:v>0</c:v>
                </c:pt>
                <c:pt idx="1">
                  <c:v>0.5</c:v>
                </c:pt>
                <c:pt idx="2">
                  <c:v>1</c:v>
                </c:pt>
                <c:pt idx="3">
                  <c:v>1.5</c:v>
                </c:pt>
                <c:pt idx="4">
                  <c:v>2</c:v>
                </c:pt>
                <c:pt idx="5">
                  <c:v>3</c:v>
                </c:pt>
                <c:pt idx="6">
                  <c:v>4</c:v>
                </c:pt>
                <c:pt idx="7">
                  <c:v>5</c:v>
                </c:pt>
              </c:numCache>
            </c:numRef>
          </c:xVal>
          <c:yVal>
            <c:numRef>
              <c:f>Sheet1!$F$2:$F$9</c:f>
              <c:numCache>
                <c:formatCode>General</c:formatCode>
                <c:ptCount val="8"/>
                <c:pt idx="0">
                  <c:v>0</c:v>
                </c:pt>
                <c:pt idx="1">
                  <c:v>24.45</c:v>
                </c:pt>
                <c:pt idx="2">
                  <c:v>34.42</c:v>
                </c:pt>
                <c:pt idx="3">
                  <c:v>43.67</c:v>
                </c:pt>
                <c:pt idx="4">
                  <c:v>58.620000000000012</c:v>
                </c:pt>
                <c:pt idx="5">
                  <c:v>69.709999999999994</c:v>
                </c:pt>
                <c:pt idx="6">
                  <c:v>84.97</c:v>
                </c:pt>
                <c:pt idx="7">
                  <c:v>95.669999999999987</c:v>
                </c:pt>
              </c:numCache>
            </c:numRef>
          </c:yVal>
        </c:ser>
        <c:ser>
          <c:idx val="5"/>
          <c:order val="5"/>
          <c:tx>
            <c:strRef>
              <c:f>Sheet1!$G$1</c:f>
              <c:strCache>
                <c:ptCount val="1"/>
                <c:pt idx="0">
                  <c:v>F 6</c:v>
                </c:pt>
              </c:strCache>
            </c:strRef>
          </c:tx>
          <c:spPr>
            <a:ln w="9525"/>
          </c:spPr>
          <c:xVal>
            <c:numRef>
              <c:f>Sheet1!$A$2:$A$9</c:f>
              <c:numCache>
                <c:formatCode>General</c:formatCode>
                <c:ptCount val="8"/>
                <c:pt idx="0">
                  <c:v>0</c:v>
                </c:pt>
                <c:pt idx="1">
                  <c:v>0.5</c:v>
                </c:pt>
                <c:pt idx="2">
                  <c:v>1</c:v>
                </c:pt>
                <c:pt idx="3">
                  <c:v>1.5</c:v>
                </c:pt>
                <c:pt idx="4">
                  <c:v>2</c:v>
                </c:pt>
                <c:pt idx="5">
                  <c:v>3</c:v>
                </c:pt>
                <c:pt idx="6">
                  <c:v>4</c:v>
                </c:pt>
                <c:pt idx="7">
                  <c:v>5</c:v>
                </c:pt>
              </c:numCache>
            </c:numRef>
          </c:xVal>
          <c:yVal>
            <c:numRef>
              <c:f>Sheet1!$G$2:$G$9</c:f>
              <c:numCache>
                <c:formatCode>General</c:formatCode>
                <c:ptCount val="8"/>
                <c:pt idx="0">
                  <c:v>0</c:v>
                </c:pt>
                <c:pt idx="1">
                  <c:v>24.36</c:v>
                </c:pt>
                <c:pt idx="2">
                  <c:v>35.42</c:v>
                </c:pt>
                <c:pt idx="3">
                  <c:v>45.43</c:v>
                </c:pt>
                <c:pt idx="4">
                  <c:v>65.88</c:v>
                </c:pt>
                <c:pt idx="5">
                  <c:v>75.430000000000007</c:v>
                </c:pt>
                <c:pt idx="6">
                  <c:v>85.66</c:v>
                </c:pt>
                <c:pt idx="7">
                  <c:v>96.740000000000023</c:v>
                </c:pt>
              </c:numCache>
            </c:numRef>
          </c:yVal>
        </c:ser>
        <c:axId val="117954432"/>
        <c:axId val="145096704"/>
      </c:scatterChart>
      <c:valAx>
        <c:axId val="117954432"/>
        <c:scaling>
          <c:orientation val="minMax"/>
        </c:scaling>
        <c:axPos val="b"/>
        <c:title>
          <c:tx>
            <c:rich>
              <a:bodyPr/>
              <a:lstStyle/>
              <a:p>
                <a:pPr>
                  <a:defRPr/>
                </a:pPr>
                <a:r>
                  <a:rPr lang="en-US" sz="1000">
                    <a:latin typeface="Times New Roman" pitchFamily="18" charset="0"/>
                    <a:cs typeface="Times New Roman" pitchFamily="18" charset="0"/>
                  </a:rPr>
                  <a:t>Time</a:t>
                </a:r>
                <a:r>
                  <a:rPr lang="en-US" sz="1000" baseline="0">
                    <a:latin typeface="Times New Roman" pitchFamily="18" charset="0"/>
                    <a:cs typeface="Times New Roman" pitchFamily="18" charset="0"/>
                  </a:rPr>
                  <a:t> in min</a:t>
                </a:r>
                <a:endParaRPr lang="en-US" sz="1000">
                  <a:latin typeface="Times New Roman" pitchFamily="18" charset="0"/>
                  <a:cs typeface="Times New Roman" pitchFamily="18" charset="0"/>
                </a:endParaRPr>
              </a:p>
            </c:rich>
          </c:tx>
        </c:title>
        <c:numFmt formatCode="General" sourceLinked="1"/>
        <c:tickLblPos val="nextTo"/>
        <c:crossAx val="145096704"/>
        <c:crosses val="autoZero"/>
        <c:crossBetween val="midCat"/>
      </c:valAx>
      <c:valAx>
        <c:axId val="145096704"/>
        <c:scaling>
          <c:orientation val="minMax"/>
        </c:scaling>
        <c:axPos val="l"/>
        <c:title>
          <c:tx>
            <c:rich>
              <a:bodyPr rot="-5400000" vert="horz"/>
              <a:lstStyle/>
              <a:p>
                <a:pPr>
                  <a:defRPr/>
                </a:pPr>
                <a:r>
                  <a:rPr lang="en-US" sz="1000">
                    <a:latin typeface="Times New Roman" pitchFamily="18" charset="0"/>
                    <a:cs typeface="Times New Roman" pitchFamily="18" charset="0"/>
                  </a:rPr>
                  <a:t>% CDR</a:t>
                </a:r>
              </a:p>
            </c:rich>
          </c:tx>
        </c:title>
        <c:numFmt formatCode="General" sourceLinked="1"/>
        <c:tickLblPos val="nextTo"/>
        <c:crossAx val="117954432"/>
        <c:crosses val="autoZero"/>
        <c:crossBetween val="midCat"/>
      </c:valAx>
    </c:plotArea>
    <c:legend>
      <c:legendPos val="r"/>
      <c:txPr>
        <a:bodyPr/>
        <a:lstStyle/>
        <a:p>
          <a:pPr>
            <a:defRPr>
              <a:latin typeface="Times New Roman" pitchFamily="18" charset="0"/>
              <a:cs typeface="Times New Roman" pitchFamily="18" charset="0"/>
            </a:defRPr>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2231</Words>
  <Characters>12717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MAHESH</dc:creator>
  <cp:lastModifiedBy>SRCP</cp:lastModifiedBy>
  <cp:revision>2</cp:revision>
  <dcterms:created xsi:type="dcterms:W3CDTF">2023-07-14T10:04:00Z</dcterms:created>
  <dcterms:modified xsi:type="dcterms:W3CDTF">2023-07-14T10:04:00Z</dcterms:modified>
</cp:coreProperties>
</file>