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B5F6" w14:textId="77777777" w:rsidR="00CF7AEC" w:rsidRDefault="00B60A6C" w:rsidP="00005D7D">
      <w:pPr>
        <w:spacing w:line="360" w:lineRule="auto"/>
        <w:jc w:val="center"/>
        <w:rPr>
          <w:b/>
          <w:sz w:val="36"/>
          <w:szCs w:val="36"/>
        </w:rPr>
      </w:pPr>
      <w:r w:rsidRPr="00005D7D">
        <w:rPr>
          <w:b/>
          <w:sz w:val="36"/>
          <w:szCs w:val="36"/>
        </w:rPr>
        <w:t>Pro drug development</w:t>
      </w:r>
    </w:p>
    <w:p w14:paraId="6E787AC0" w14:textId="77777777" w:rsidR="00CB55DA" w:rsidRDefault="00CB55DA" w:rsidP="00CB55DA">
      <w:pPr>
        <w:spacing w:line="360" w:lineRule="auto"/>
        <w:rPr>
          <w:b/>
          <w:szCs w:val="24"/>
        </w:rPr>
      </w:pPr>
      <w:r w:rsidRPr="00CB55DA">
        <w:rPr>
          <w:b/>
          <w:szCs w:val="24"/>
        </w:rPr>
        <w:t xml:space="preserve">Abstract </w:t>
      </w:r>
    </w:p>
    <w:p w14:paraId="1F0A1688" w14:textId="782C1CE3" w:rsidR="00CB55DA" w:rsidRPr="00CB55DA" w:rsidRDefault="00EE3CFC" w:rsidP="00CB55DA">
      <w:pPr>
        <w:spacing w:line="360" w:lineRule="auto"/>
        <w:rPr>
          <w:szCs w:val="24"/>
        </w:rPr>
      </w:pPr>
      <w:r w:rsidRPr="00EE3CFC">
        <w:rPr>
          <w:szCs w:val="24"/>
        </w:rPr>
        <w:t xml:space="preserve">Prodrugs are drugs that have been biochemically or enzymatically modified in a way that allows the parent drug to be released once within the body. After being released, the substance may produce its desired pharmacological effect. </w:t>
      </w:r>
      <w:r w:rsidR="00CB55DA" w:rsidRPr="00CB55DA">
        <w:rPr>
          <w:szCs w:val="24"/>
        </w:rPr>
        <w:t xml:space="preserve">The selection of prodrug design as a strategy is a viable solution for addressing various challenges encountered in drug discovery and development, </w:t>
      </w:r>
      <w:r w:rsidR="00EB46A3" w:rsidRPr="00EB46A3">
        <w:rPr>
          <w:szCs w:val="24"/>
        </w:rPr>
        <w:t xml:space="preserve">aspects include durability, safety, lability, dissolution, transport, and medication specificity. Prodrug design is a novel method for targeting drugs by altering their physiochemical, biological, or pharmacokinetic features. </w:t>
      </w:r>
      <w:r w:rsidR="00CB55DA" w:rsidRPr="00CB55DA">
        <w:rPr>
          <w:szCs w:val="24"/>
        </w:rPr>
        <w:t xml:space="preserve">Approximately 10-14% of pharmaceutical substances that have received global approval can be categorized as prodrugs. </w:t>
      </w:r>
      <w:r w:rsidR="002A5E27" w:rsidRPr="002A5E27">
        <w:rPr>
          <w:szCs w:val="24"/>
        </w:rPr>
        <w:t xml:space="preserve">This chapter presents a thorough examination of the introduction, classification, rationale of prodrug approach, and various methodologies employed in prodrug drug design. </w:t>
      </w:r>
      <w:r w:rsidR="00AA3906" w:rsidRPr="00AA3906">
        <w:rPr>
          <w:szCs w:val="24"/>
        </w:rPr>
        <w:t xml:space="preserve">It also delves into the many ways prodrug design might be used to the pharmaceutical industry. </w:t>
      </w:r>
      <w:r w:rsidR="002A5E27" w:rsidRPr="002A5E27">
        <w:rPr>
          <w:szCs w:val="24"/>
        </w:rPr>
        <w:t>Furthermore, it examines the essential functional groups that can be employed in the design of prodrugs.</w:t>
      </w:r>
    </w:p>
    <w:p w14:paraId="610F1FC5" w14:textId="77777777" w:rsidR="00CB55DA" w:rsidRPr="00CB55DA" w:rsidRDefault="00CB55DA" w:rsidP="00CB55DA">
      <w:pPr>
        <w:spacing w:line="360" w:lineRule="auto"/>
        <w:rPr>
          <w:b/>
          <w:szCs w:val="24"/>
        </w:rPr>
      </w:pPr>
      <w:r>
        <w:rPr>
          <w:b/>
          <w:szCs w:val="24"/>
        </w:rPr>
        <w:t xml:space="preserve">Keywords: </w:t>
      </w:r>
      <w:r w:rsidRPr="00CB55DA">
        <w:rPr>
          <w:szCs w:val="24"/>
        </w:rPr>
        <w:t>Prodrug design</w:t>
      </w:r>
      <w:r>
        <w:rPr>
          <w:b/>
          <w:szCs w:val="24"/>
        </w:rPr>
        <w:t xml:space="preserve">, </w:t>
      </w:r>
      <w:r w:rsidRPr="00CB55DA">
        <w:rPr>
          <w:szCs w:val="24"/>
        </w:rPr>
        <w:t>drug development</w:t>
      </w:r>
      <w:r>
        <w:rPr>
          <w:szCs w:val="24"/>
        </w:rPr>
        <w:t xml:space="preserve">, </w:t>
      </w:r>
      <w:r w:rsidRPr="00CB55DA">
        <w:rPr>
          <w:szCs w:val="24"/>
        </w:rPr>
        <w:t>pharmacokinetic</w:t>
      </w:r>
      <w:r>
        <w:rPr>
          <w:szCs w:val="24"/>
        </w:rPr>
        <w:t xml:space="preserve">, </w:t>
      </w:r>
      <w:r w:rsidRPr="00CB55DA">
        <w:rPr>
          <w:szCs w:val="24"/>
        </w:rPr>
        <w:t>drug discovery</w:t>
      </w:r>
    </w:p>
    <w:p w14:paraId="1C42A388" w14:textId="77777777" w:rsidR="00A86213" w:rsidRPr="00A86213" w:rsidRDefault="00EE5C3E" w:rsidP="00EE5C3E">
      <w:pPr>
        <w:pStyle w:val="Heading1"/>
      </w:pPr>
      <w:r>
        <w:t>1. INTRODUCTION</w:t>
      </w:r>
    </w:p>
    <w:p w14:paraId="43885F83" w14:textId="3B0A353F" w:rsidR="00A86213" w:rsidRDefault="00B81E83" w:rsidP="00005D7D">
      <w:pPr>
        <w:spacing w:line="360" w:lineRule="auto"/>
      </w:pPr>
      <w:r w:rsidRPr="00B81E83">
        <w:t xml:space="preserve">A "prodrug" is a molecule that, via metabolic biotransformation, may become a "active drug" after originally having no pharmacological action. </w:t>
      </w:r>
      <w:r w:rsidR="00814334" w:rsidRPr="00814334">
        <w:t>This alteration may take place before to, during, or after absorption, or at predetermined locations throughout the body</w:t>
      </w:r>
      <w:r w:rsidR="005617D9">
        <w:fldChar w:fldCharType="begin" w:fldLock="1"/>
      </w:r>
      <w:r w:rsidR="008A6774">
        <w:instrText>ADDIN CSL_CITATION {"citationItems":[{"id":"ITEM-1","itemData":{"DOI":"10.1136/bmj.2.5260.1131","ISBN":"8032714073","ISSN":"0959-8138","abstract":"Essentials of Medical Pharmacology is a unique blend of basic and applied pharmacology. It provides wide coverage from principles of drug action to skill of informed and rational selection of drugs - The 5th edition has been thoroughly revised and updated to include recently introduced drugs and published information. This edition places emphasis on 'evidence based medicine' by reference to reliable interventional drug trials conducted particularly over the past two decades. Updated therapeutic guidelines from eminent professional bodies, WHO and National Health Programmes are summarised in relevant areas - Illustrations have been improved and enriched. The layout is made more attractive and user friendly.","author":[{"dropping-particle":"","family":"Burn","given":"J. H.","non-dropping-particle":"","parse-names":false,"suffix":""}],"container-title":"Bmj","id":"ITEM-1","issue":"5260","issued":{"date-parts":[["1961"]]},"number-of-pages":"1131-1131","title":"Medical Pharmacology","type":"book","volume":"2"},"uris":["http://www.mendeley.com/documents/?uuid=ec6e2f0f-155d-4c4d-a73c-bc7a47b12adf","http://www.mendeley.com/documents/?uuid=c7d2803e-3d15-417b-b22a-0f9ca2e45caf"]}],"mendeley":{"formattedCitation":"[1]","plainTextFormattedCitation":"[1]","previouslyFormattedCitation":"[1]"},"properties":{"noteIndex":0},"schema":"https://github.com/citation-style-language/schema/raw/master/csl-citation.json"}</w:instrText>
      </w:r>
      <w:r w:rsidR="005617D9">
        <w:fldChar w:fldCharType="separate"/>
      </w:r>
      <w:r w:rsidR="0085739C" w:rsidRPr="0085739C">
        <w:rPr>
          <w:noProof/>
        </w:rPr>
        <w:t>[1]</w:t>
      </w:r>
      <w:r w:rsidR="005617D9">
        <w:fldChar w:fldCharType="end"/>
      </w:r>
      <w:r w:rsidR="0085739C">
        <w:t>.</w:t>
      </w:r>
      <w:r w:rsidR="009E2F94" w:rsidRPr="009E2F94">
        <w:t xml:space="preserve"> </w:t>
      </w:r>
      <w:r w:rsidR="00D53BCB" w:rsidRPr="00D53BCB">
        <w:t>Adrian Albert first used the term "prodrug" in 1958 to describe "therapeutic agents that are initially inactive but can be converted into one or more active metabolites." This process occurs before the substance exhibits any pharmacological activity. The term "Drug Latentiation" is widely used to describe prodrug design in the scientific literature</w:t>
      </w:r>
      <w:r w:rsidR="005617D9">
        <w:fldChar w:fldCharType="begin" w:fldLock="1"/>
      </w:r>
      <w:r w:rsidR="008A6774">
        <w:instrText>ADDIN CSL_CITATION {"citationItems":[{"id":"ITEM-1","itemData":{"author":[{"dropping-particle":"","family":"Ram","given":"Parajuli Rishi","non-dropping-particle":"","parse-names":false,"suffix":""},{"dropping-particle":"","family":"Priyanka","given":"Pokhrel","non-dropping-particle":"","parse-names":false,"suffix":""},{"dropping-particle":"","family":"Shreekrishna","given":"Lamichane","non-dropping-particle":"","parse-names":false,"suffix":""},{"dropping-particle":"","family":"Saroj","given":"Shrestha","non-dropping-particle":"","parse-names":false,"suffix":""}],"id":"ITEM-1","issue":"3","issued":{"date-parts":[["2015"]]},"page":"5-9","title":"Research Article Prodrug As a Novel Approach of Drug Delivery- a Review","type":"article-journal","volume":"5"},"uris":["http://www.mendeley.com/documents/?uuid=d5c3bf9e-a25e-432c-9991-f26215f00b1b","http://www.mendeley.com/documents/?uuid=afe0e777-21ff-4e52-b802-8fb04f89818a"]}],"mendeley":{"formattedCitation":"[2]","plainTextFormattedCitation":"[2]","previouslyFormattedCitation":"[2]"},"properties":{"noteIndex":0},"schema":"https://github.com/citation-style-language/schema/raw/master/csl-citation.json"}</w:instrText>
      </w:r>
      <w:r w:rsidR="005617D9">
        <w:fldChar w:fldCharType="separate"/>
      </w:r>
      <w:r w:rsidR="0085739C" w:rsidRPr="0085739C">
        <w:rPr>
          <w:noProof/>
        </w:rPr>
        <w:t>[2]</w:t>
      </w:r>
      <w:r w:rsidR="005617D9">
        <w:fldChar w:fldCharType="end"/>
      </w:r>
      <w:r w:rsidR="0085739C">
        <w:t>.</w:t>
      </w:r>
    </w:p>
    <w:p w14:paraId="61C50CE3" w14:textId="77777777" w:rsidR="00A86213" w:rsidRDefault="00A86213" w:rsidP="00005D7D">
      <w:pPr>
        <w:spacing w:line="360" w:lineRule="auto"/>
        <w:rPr>
          <w:b/>
        </w:rPr>
      </w:pPr>
      <w:r>
        <w:rPr>
          <w:b/>
          <w:noProof/>
        </w:rPr>
        <w:lastRenderedPageBreak/>
        <w:drawing>
          <wp:inline distT="0" distB="0" distL="0" distR="0" wp14:anchorId="04A629F0" wp14:editId="75A39894">
            <wp:extent cx="5731510" cy="1695542"/>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1510" cy="1695542"/>
                    </a:xfrm>
                    <a:prstGeom prst="rect">
                      <a:avLst/>
                    </a:prstGeom>
                    <a:noFill/>
                    <a:ln w="9525">
                      <a:noFill/>
                      <a:miter lim="800000"/>
                      <a:headEnd/>
                      <a:tailEnd/>
                    </a:ln>
                  </pic:spPr>
                </pic:pic>
              </a:graphicData>
            </a:graphic>
          </wp:inline>
        </w:drawing>
      </w:r>
    </w:p>
    <w:p w14:paraId="5F8C5AAC" w14:textId="77777777" w:rsidR="00A86213" w:rsidRPr="00EE5C3E" w:rsidRDefault="00EE5C3E" w:rsidP="00EE5C3E">
      <w:pPr>
        <w:pStyle w:val="Caption"/>
        <w:jc w:val="center"/>
        <w:rPr>
          <w:rFonts w:ascii="Times New Roman" w:hAnsi="Times New Roman" w:cs="Times New Roman"/>
          <w:sz w:val="24"/>
          <w:szCs w:val="24"/>
        </w:rPr>
      </w:pPr>
      <w:r w:rsidRPr="00EE5C3E">
        <w:rPr>
          <w:rFonts w:ascii="Times New Roman" w:hAnsi="Times New Roman" w:cs="Times New Roman"/>
          <w:sz w:val="24"/>
          <w:szCs w:val="24"/>
        </w:rPr>
        <w:t xml:space="preserve">Figure </w:t>
      </w:r>
      <w:r w:rsidR="005617D9" w:rsidRPr="00EE5C3E">
        <w:rPr>
          <w:rFonts w:ascii="Times New Roman" w:hAnsi="Times New Roman" w:cs="Times New Roman"/>
          <w:sz w:val="24"/>
          <w:szCs w:val="24"/>
        </w:rPr>
        <w:fldChar w:fldCharType="begin"/>
      </w:r>
      <w:r w:rsidRPr="00EE5C3E">
        <w:rPr>
          <w:rFonts w:ascii="Times New Roman" w:hAnsi="Times New Roman" w:cs="Times New Roman"/>
          <w:sz w:val="24"/>
          <w:szCs w:val="24"/>
        </w:rPr>
        <w:instrText xml:space="preserve"> SEQ Figure \* ARABIC </w:instrText>
      </w:r>
      <w:r w:rsidR="005617D9" w:rsidRPr="00EE5C3E">
        <w:rPr>
          <w:rFonts w:ascii="Times New Roman" w:hAnsi="Times New Roman" w:cs="Times New Roman"/>
          <w:sz w:val="24"/>
          <w:szCs w:val="24"/>
        </w:rPr>
        <w:fldChar w:fldCharType="separate"/>
      </w:r>
      <w:r>
        <w:rPr>
          <w:rFonts w:ascii="Times New Roman" w:hAnsi="Times New Roman" w:cs="Times New Roman"/>
          <w:noProof/>
          <w:sz w:val="24"/>
          <w:szCs w:val="24"/>
        </w:rPr>
        <w:t>1</w:t>
      </w:r>
      <w:r w:rsidR="005617D9" w:rsidRPr="00EE5C3E">
        <w:rPr>
          <w:rFonts w:ascii="Times New Roman" w:hAnsi="Times New Roman" w:cs="Times New Roman"/>
          <w:sz w:val="24"/>
          <w:szCs w:val="24"/>
        </w:rPr>
        <w:fldChar w:fldCharType="end"/>
      </w:r>
      <w:r w:rsidR="00A86213" w:rsidRPr="00EE5C3E">
        <w:rPr>
          <w:rFonts w:ascii="Times New Roman" w:hAnsi="Times New Roman" w:cs="Times New Roman"/>
          <w:sz w:val="24"/>
          <w:szCs w:val="24"/>
        </w:rPr>
        <w:t>: Fate of prodrug approach</w:t>
      </w:r>
    </w:p>
    <w:p w14:paraId="267F5C24" w14:textId="50F4E72C" w:rsidR="00A86213" w:rsidRDefault="004E6E68" w:rsidP="00005D7D">
      <w:pPr>
        <w:spacing w:line="360" w:lineRule="auto"/>
      </w:pPr>
      <w:r w:rsidRPr="004E6E68">
        <w:t>Limited bioavailability, inadequate absorption, unpleasant responses, and first pass metabolism are only some of the unfavourable physiochemical and biological features shared by the vast majority of pharmacological compounds. Physical, chemical, or biological approaches may be used to reduce the aforementioned problems, hence increasing the therapeutic efficacy of these medications. The controlled release formulations used in physical procedures include the sustained release and extended release formulations. Taking a biological approach requires making adjustments to how a patient takes their medication, which may or may not be well received. Finally, we turn to pharmacologic intervention, namely the administration of a prodrug, as our third and last strategy. This strategy has been deemed more effective than either physical or biological approaches</w:t>
      </w:r>
      <w:r w:rsidR="009E2F94" w:rsidRPr="009E2F94">
        <w:t>.</w:t>
      </w:r>
    </w:p>
    <w:p w14:paraId="7EFE9AE1" w14:textId="77777777" w:rsidR="0072242D" w:rsidRPr="0072242D" w:rsidRDefault="00EE5C3E" w:rsidP="00EE5C3E">
      <w:pPr>
        <w:pStyle w:val="Heading2"/>
      </w:pPr>
      <w:r>
        <w:t>1.1 Objectives of prodrug design</w:t>
      </w:r>
    </w:p>
    <w:p w14:paraId="0888A6B9" w14:textId="77777777" w:rsidR="009E2F94" w:rsidRDefault="009E2F94" w:rsidP="00005D7D">
      <w:pPr>
        <w:spacing w:line="360" w:lineRule="auto"/>
      </w:pPr>
      <w:r>
        <w:t xml:space="preserve">Bringing active medications to the appropriate active sites is one </w:t>
      </w:r>
      <w:r w:rsidR="0085739C">
        <w:t>of prodrugs key goals</w:t>
      </w:r>
      <w:r>
        <w:t xml:space="preserve">. </w:t>
      </w:r>
    </w:p>
    <w:p w14:paraId="7D70B9C8" w14:textId="18526CC9" w:rsidR="009E2F94" w:rsidRDefault="009E2F94" w:rsidP="00005D7D">
      <w:pPr>
        <w:spacing w:line="360" w:lineRule="auto"/>
      </w:pPr>
      <w:r>
        <w:t xml:space="preserve">• </w:t>
      </w:r>
      <w:r w:rsidR="00274A37" w:rsidRPr="00274A37">
        <w:t>If we want to get the pharmacological benefits we want while keeping unwanted metabolic and toxicological consequences to a minimum, we need to find the right balance</w:t>
      </w:r>
      <w:r w:rsidR="005617D9">
        <w:fldChar w:fldCharType="begin" w:fldLock="1"/>
      </w:r>
      <w:r w:rsidR="008A6774">
        <w:instrText>ADDIN CSL_CITATION {"citationItems":[{"id":"ITEM-1","itemData":{"author":[{"dropping-particle":"","family":"Gennaro A","given":"","non-dropping-particle":"","parse-names":false,"suffix":""}],"container-title":"Angewandte Chemie International Edition","id":"ITEM-1","issued":{"date-parts":[["2000"]]},"number-of-pages":"951– 952. 781, 807, 817, 987, 989, 993, 994.","title":"“The Science and Practice of Pharmacy.”","type":"book","volume":"6(11)"},"uris":["http://www.mendeley.com/documents/?uuid=f4593f98-5abe-443f-9eef-8f89beee6553","http://www.mendeley.com/documents/?uuid=944430d4-b841-42a8-a4d6-5bc8abde17c8"]}],"mendeley":{"formattedCitation":"[3]","plainTextFormattedCitation":"[3]","previouslyFormattedCitation":"[3]"},"properties":{"noteIndex":0},"schema":"https://github.com/citation-style-language/schema/raw/master/csl-citation.json"}</w:instrText>
      </w:r>
      <w:r w:rsidR="005617D9">
        <w:fldChar w:fldCharType="separate"/>
      </w:r>
      <w:r w:rsidR="0085739C" w:rsidRPr="0085739C">
        <w:rPr>
          <w:noProof/>
        </w:rPr>
        <w:t>[3]</w:t>
      </w:r>
      <w:r w:rsidR="005617D9">
        <w:fldChar w:fldCharType="end"/>
      </w:r>
      <w:r>
        <w:t xml:space="preserve">. </w:t>
      </w:r>
    </w:p>
    <w:p w14:paraId="68941ECC" w14:textId="77777777" w:rsidR="009E2F94" w:rsidRDefault="009E2F94" w:rsidP="00005D7D">
      <w:pPr>
        <w:spacing w:line="360" w:lineRule="auto"/>
      </w:pPr>
      <w:r>
        <w:t xml:space="preserve">• To increase the clinical and therapeutic efficacy of medications with </w:t>
      </w:r>
      <w:r w:rsidR="00005D7D">
        <w:t>unfavorable</w:t>
      </w:r>
      <w:r>
        <w:t xml:space="preserve"> qualities that would otherwise limit their clinical use. </w:t>
      </w:r>
    </w:p>
    <w:p w14:paraId="156E5CBE" w14:textId="2A84732E" w:rsidR="0072242D" w:rsidRDefault="009E2F94" w:rsidP="00005D7D">
      <w:pPr>
        <w:spacing w:line="360" w:lineRule="auto"/>
      </w:pPr>
      <w:r>
        <w:t xml:space="preserve">• </w:t>
      </w:r>
      <w:r w:rsidR="00513BD6" w:rsidRPr="00513BD6">
        <w:t xml:space="preserve">Not to use drugs in combination in the clinic in the hopes of increasing one drug's efficacy or decreasing the other's side effects. </w:t>
      </w:r>
      <w:r>
        <w:t xml:space="preserve">The </w:t>
      </w:r>
      <w:r w:rsidR="00005D7D">
        <w:t>delivery to the site of action or equal absorption is</w:t>
      </w:r>
      <w:r>
        <w:t xml:space="preserve"> not guaranteed by simultaneous administration. </w:t>
      </w:r>
      <w:r w:rsidR="00DD5393" w:rsidRPr="00DD5393">
        <w:t xml:space="preserve">Therefore, the mutual prodrug notion is applicable when concomitant administration of two synergistic medications is required. </w:t>
      </w:r>
      <w:r w:rsidR="00F0746C" w:rsidRPr="00F0746C">
        <w:lastRenderedPageBreak/>
        <w:t>Mutual prodrugs are synthesised with the pharmacological purpose of improving the efficacy, delivery, and safety of both parent drugs</w:t>
      </w:r>
      <w:r w:rsidR="005617D9">
        <w:fldChar w:fldCharType="begin" w:fldLock="1"/>
      </w:r>
      <w:r w:rsidR="008A6774">
        <w:instrText>ADDIN CSL_CITATION {"citationItems":[{"id":"ITEM-1","itemData":{"DOI":"10.23880/macij-16000136","author":[{"dropping-particle":"","family":"Kumar","given":"Kapil","non-dropping-particle":"","parse-names":false,"suffix":""}],"container-title":"Medicinal &amp; Analytical Chemistry International Journal","id":"ITEM-1","issue":"2","issued":{"date-parts":[["2019"]]},"page":"232-241","title":"Drug Design: An Overview","type":"article-journal","volume":"3"},"uris":["http://www.mendeley.com/documents/?uuid=876b5656-078b-4033-bfa9-00b5d2482502","http://www.mendeley.com/documents/?uuid=ef37b1ba-5f02-415d-ace6-db5cddaa11f8"]}],"mendeley":{"formattedCitation":"[4]","plainTextFormattedCitation":"[4]","previouslyFormattedCitation":"[4]"},"properties":{"noteIndex":0},"schema":"https://github.com/citation-style-language/schema/raw/master/csl-citation.json"}</w:instrText>
      </w:r>
      <w:r w:rsidR="005617D9">
        <w:fldChar w:fldCharType="separate"/>
      </w:r>
      <w:r w:rsidR="0085739C" w:rsidRPr="0085739C">
        <w:rPr>
          <w:noProof/>
        </w:rPr>
        <w:t>[4]</w:t>
      </w:r>
      <w:r w:rsidR="005617D9">
        <w:fldChar w:fldCharType="end"/>
      </w:r>
      <w:r>
        <w:t>.</w:t>
      </w:r>
    </w:p>
    <w:p w14:paraId="45E89654" w14:textId="77777777" w:rsidR="00A86213" w:rsidRDefault="00EE5C3E" w:rsidP="00EE5C3E">
      <w:pPr>
        <w:pStyle w:val="Heading1"/>
      </w:pPr>
      <w:r>
        <w:t xml:space="preserve">2. </w:t>
      </w:r>
      <w:r w:rsidR="00A86213" w:rsidRPr="00A86213">
        <w:t>NEED TO DESIGN PRODRUG</w:t>
      </w:r>
    </w:p>
    <w:p w14:paraId="06DBDBED" w14:textId="0B2DE388" w:rsidR="009E2F94" w:rsidRDefault="00561EE5" w:rsidP="00005D7D">
      <w:pPr>
        <w:spacing w:line="360" w:lineRule="auto"/>
      </w:pPr>
      <w:r w:rsidRPr="00561EE5">
        <w:t xml:space="preserve">The bioavailability and therapeutic effectiveness of the parent chemical must be carefully considered prior to the manufacture of a prodrug for a particular pharmacological agent. </w:t>
      </w:r>
      <w:r w:rsidR="00B86739" w:rsidRPr="00B86739">
        <w:t>The prodrug is intended to increase the bioavailability and therapeutic efficacy of the parent drug</w:t>
      </w:r>
      <w:r w:rsidR="000C5CB9" w:rsidRPr="000C5CB9">
        <w:t>. The development of a prodrug depends on a number of crucial aspects</w:t>
      </w:r>
      <w:r w:rsidR="005617D9">
        <w:fldChar w:fldCharType="begin" w:fldLock="1"/>
      </w:r>
      <w:r w:rsidR="008A6774">
        <w:instrText>ADDIN CSL_CITATION {"citationItems":[{"id":"ITEM-1","itemData":{"DOI":"https://doi.org/10.1016/j.cbpa.2009.04.620","ISSN":"1367-5931","abstract":"In this mini review, prodrugs are discussed with a focus on their pharmaceutical, pharmacokinetic, and pharmacodynamic objectives, as well as on the resulting therapeutic benefits. Carrier-linked prodrugs remain the most extensively investigated and receive due attention here with recent successes highlighted. A clear trend is apparent in modern prodrug research, namely the increased attention given to the knowledge-based design of bioprecursors, namely prodrugs devoid of a detachable promoiety. In most cases, such prodrugs are activated by in situ reduction, hence their designation as bioreductive prodrugs. This is a particularly active field in the design of more selective, small-molecule antitumor agents. New antimicrobial agents are also in the pipeline. In addition, biooxidative bioprecursors offer a promising strategy in specific cases, as illustrated by the successful antiaggregating agent clopidogrel.","author":[{"dropping-particle":"","family":"Testa","given":"Bernard","non-dropping-particle":"","parse-names":false,"suffix":""}],"container-title":"Current Opinion in Chemical Biology","id":"ITEM-1","issue":"3","issued":{"date-parts":[["2009"]]},"page":"338-344","title":"Prodrugs: bridging pharmacodynamic/pharmacokinetic gaps","type":"article-journal","volume":"13"},"uris":["http://www.mendeley.com/documents/?uuid=a4b0d0ef-904f-4e11-bb5f-3ede775c13e6","http://www.mendeley.com/documents/?uuid=bc3b1601-18e4-4083-a274-eb7089747557"]}],"mendeley":{"formattedCitation":"[5]","plainTextFormattedCitation":"[5]","previouslyFormattedCitation":"[5]"},"properties":{"noteIndex":0},"schema":"https://github.com/citation-style-language/schema/raw/master/csl-citation.json"}</w:instrText>
      </w:r>
      <w:r w:rsidR="005617D9">
        <w:fldChar w:fldCharType="separate"/>
      </w:r>
      <w:r w:rsidR="0085739C" w:rsidRPr="0085739C">
        <w:rPr>
          <w:noProof/>
        </w:rPr>
        <w:t>[5]</w:t>
      </w:r>
      <w:r w:rsidR="005617D9">
        <w:fldChar w:fldCharType="end"/>
      </w:r>
      <w:r w:rsidR="009E2F94">
        <w:t>.</w:t>
      </w:r>
    </w:p>
    <w:p w14:paraId="3B90CA8C" w14:textId="77777777" w:rsidR="009E2F94" w:rsidRDefault="009E2F94" w:rsidP="00005D7D">
      <w:pPr>
        <w:pStyle w:val="ListParagraph"/>
        <w:numPr>
          <w:ilvl w:val="0"/>
          <w:numId w:val="4"/>
        </w:numPr>
        <w:spacing w:line="360" w:lineRule="auto"/>
      </w:pPr>
      <w:r>
        <w:t xml:space="preserve">This study focuses on the enhancement of pharmaceutical parameters, such as solubility, chemical stability, organoleptic quality, and reduction of adverse effects, in order to address challenges related to local administration and the inherent properties of active drugs. </w:t>
      </w:r>
    </w:p>
    <w:p w14:paraId="3CB72038" w14:textId="68E052DC" w:rsidR="009E2F94" w:rsidRDefault="00647612" w:rsidP="00005D7D">
      <w:pPr>
        <w:pStyle w:val="ListParagraph"/>
        <w:numPr>
          <w:ilvl w:val="0"/>
          <w:numId w:val="4"/>
        </w:numPr>
        <w:spacing w:line="360" w:lineRule="auto"/>
      </w:pPr>
      <w:r w:rsidRPr="00647612">
        <w:t xml:space="preserve">The degree of presystemic metabolism of the active medication impacts pharmacokinetic factors such as absorption, time profile, and organ or tissue-selective delivery. </w:t>
      </w:r>
      <w:r w:rsidR="009E2F94">
        <w:t>As presystemic metabolism decreases, these parameters tend to increase</w:t>
      </w:r>
      <w:r w:rsidR="005617D9">
        <w:fldChar w:fldCharType="begin" w:fldLock="1"/>
      </w:r>
      <w:r w:rsidR="008A6774">
        <w:instrText>ADDIN CSL_CITATION {"citationItems":[{"id":"ITEM-1","itemData":{"DOI":"10.1002/9783527633166.ch10","ISBN":"9783527321186","author":[{"dropping-particle":"","family":"Laine","given":"Krista","non-dropping-particle":"","parse-names":false,"suffix":""},{"dropping-particle":"","family":"Huttunen","given":"Kristiina","non-dropping-particle":"","parse-names":false,"suffix":""}],"id":"ITEM-1","issued":{"date-parts":[["2011"]]},"number-of-pages":"231-252","title":"Enzyme-Activated Prodrug Strategies for Site-Selective Drug Delivery","type":"book"},"uris":["http://www.mendeley.com/documents/?uuid=1a7a082b-6330-45f5-bedf-97032fd59c1b","http://www.mendeley.com/documents/?uuid=14dcfeda-5709-4b2b-99e8-1e1fa685ddaf"]}],"mendeley":{"formattedCitation":"[6]","plainTextFormattedCitation":"[6]","previouslyFormattedCitation":"[6]"},"properties":{"noteIndex":0},"schema":"https://github.com/citation-style-language/schema/raw/master/csl-citation.json"}</w:instrText>
      </w:r>
      <w:r w:rsidR="005617D9">
        <w:fldChar w:fldCharType="separate"/>
      </w:r>
      <w:r w:rsidR="0085739C" w:rsidRPr="0085739C">
        <w:rPr>
          <w:noProof/>
        </w:rPr>
        <w:t>[6]</w:t>
      </w:r>
      <w:r w:rsidR="005617D9">
        <w:fldChar w:fldCharType="end"/>
      </w:r>
      <w:r w:rsidR="009E2F94">
        <w:t xml:space="preserve">. </w:t>
      </w:r>
    </w:p>
    <w:p w14:paraId="585BE97F" w14:textId="140439FA" w:rsidR="009E2F94" w:rsidRDefault="000939D7" w:rsidP="00005D7D">
      <w:pPr>
        <w:pStyle w:val="ListParagraph"/>
        <w:numPr>
          <w:ilvl w:val="0"/>
          <w:numId w:val="4"/>
        </w:numPr>
        <w:spacing w:line="360" w:lineRule="auto"/>
      </w:pPr>
      <w:r w:rsidRPr="000939D7">
        <w:t>In order to reduce the toxicity and drug resistance of a parent active medication, pharmacodynamics factors play a significant role</w:t>
      </w:r>
      <w:r>
        <w:t xml:space="preserve">, </w:t>
      </w:r>
      <w:r w:rsidR="009E2F94">
        <w:t>while simultaneously enhancing the therapeutic/selectivity index</w:t>
      </w:r>
      <w:r w:rsidR="005617D9">
        <w:fldChar w:fldCharType="begin" w:fldLock="1"/>
      </w:r>
      <w:r w:rsidR="008A6774">
        <w:instrText>ADDIN CSL_CITATION {"citationItems":[{"id":"ITEM-1","itemData":{"author":[{"dropping-particle":"","family":"Teagarden","given":"DL","non-dropping-particle":"","parse-names":false,"suffix":""},{"dropping-particle":"","family":"Sandeep","given":"N","non-dropping-particle":"","parse-names":false,"suffix":""}],"id":"ITEM-1","issued":{"date-parts":[["2007"]]},"title":"Prodrugs: Challenges and Rewards (Part 1, Biotechnology: Pharmaceutical Aspects).","type":"article-journal"},"uris":["http://www.mendeley.com/documents/?uuid=c9c080e5-f49f-4c5b-b5e7-174e0ac8fb99","http://www.mendeley.com/documents/?uuid=b84683a2-5ae1-40dc-bcc4-fa851f2d0dd5"]}],"mendeley":{"formattedCitation":"[7]","plainTextFormattedCitation":"[7]","previouslyFormattedCitation":"[7]"},"properties":{"noteIndex":0},"schema":"https://github.com/citation-style-language/schema/raw/master/csl-citation.json"}</w:instrText>
      </w:r>
      <w:r w:rsidR="005617D9">
        <w:fldChar w:fldCharType="separate"/>
      </w:r>
      <w:r w:rsidR="009012ED" w:rsidRPr="009012ED">
        <w:rPr>
          <w:noProof/>
        </w:rPr>
        <w:t>[7]</w:t>
      </w:r>
      <w:r w:rsidR="005617D9">
        <w:fldChar w:fldCharType="end"/>
      </w:r>
      <w:r w:rsidR="009E2F94">
        <w:t>.</w:t>
      </w:r>
    </w:p>
    <w:p w14:paraId="59198F37" w14:textId="1B96CE4B" w:rsidR="00A86213" w:rsidRDefault="009E2F94" w:rsidP="00005D7D">
      <w:pPr>
        <w:spacing w:line="360" w:lineRule="auto"/>
      </w:pPr>
      <w:r>
        <w:t xml:space="preserve">Based on the parameters discussed above, it can be concluded that the </w:t>
      </w:r>
      <w:r w:rsidR="00005D7D">
        <w:t>utilization</w:t>
      </w:r>
      <w:r>
        <w:t xml:space="preserve"> of a prodrug strategy has emerged as a well-established and influential method for enhancing the pharmaceutical, pharmacokinetic, </w:t>
      </w:r>
      <w:r w:rsidR="007302F8" w:rsidRPr="007302F8">
        <w:t xml:space="preserve">Throughout the drug development process, pharmacokinetic and pharmacodynamic features of a possible active drug candidate </w:t>
      </w:r>
      <w:r w:rsidR="005617D9">
        <w:fldChar w:fldCharType="begin" w:fldLock="1"/>
      </w:r>
      <w:r w:rsidR="008A6774">
        <w:instrText>ADDIN CSL_CITATION {"citationItems":[{"id":"ITEM-1","itemData":{"DOI":"https://doi.org/10.1002/jps.22205","ISSN":"0022-3549","abstract":"ABSTRACT: The prodrug approach to resolving formulation, delivery, and toxicity limitations on problematic drugs has had its proponents and detractors. Over the last 10 years or so, about 20% of all new small molecule NCEs have been prodrugs—a number that will surprise some. As chemists begin to explore new chemical spaces, larger and more complex molecules present greater drug delivery challenges. Prodrugs provide a means of solving these challenges, but also have their limitations. Prodrugs are becoming an integral part of the drug discovery paradigm in some large pharma companies, and a number of small biotech companies have been built around the design and application of prodrugs to improve drug candidates. Some issues facing the area of prodrug research and the commercialization of prodrugs are discussed.","author":[{"dropping-particle":"","family":"Stella","given":"Valentino J","non-dropping-particle":"","parse-names":false,"suffix":""}],"container-title":"Journal of Pharmaceutical Sciences","id":"ITEM-1","issue":"12","issued":{"date-parts":[["2010"]]},"page":"4755-4765","title":"Prodrugs: Some Thoughts and Current Issues","type":"article-journal","volume":"99"},"uris":["http://www.mendeley.com/documents/?uuid=2a57b08d-f293-401d-90ab-24f5777d879c","http://www.mendeley.com/documents/?uuid=f636846e-4da4-4e22-9cce-6964a17839dd"]}],"mendeley":{"formattedCitation":"[8]","plainTextFormattedCitation":"[8]","previouslyFormattedCitation":"[8]"},"properties":{"noteIndex":0},"schema":"https://github.com/citation-style-language/schema/raw/master/csl-citation.json"}</w:instrText>
      </w:r>
      <w:r w:rsidR="005617D9">
        <w:fldChar w:fldCharType="separate"/>
      </w:r>
      <w:r w:rsidR="009012ED" w:rsidRPr="009012ED">
        <w:rPr>
          <w:noProof/>
        </w:rPr>
        <w:t>[8]</w:t>
      </w:r>
      <w:r w:rsidR="005617D9">
        <w:fldChar w:fldCharType="end"/>
      </w:r>
      <w:r>
        <w:t>.</w:t>
      </w:r>
    </w:p>
    <w:p w14:paraId="44982844" w14:textId="77777777" w:rsidR="00A86213" w:rsidRDefault="00EE5C3E" w:rsidP="00EE5C3E">
      <w:pPr>
        <w:pStyle w:val="Heading1"/>
      </w:pPr>
      <w:r>
        <w:t xml:space="preserve">3. CLASSIFICATION OF PRODRUGS: </w:t>
      </w:r>
    </w:p>
    <w:p w14:paraId="1C4D9923" w14:textId="6AD6CA94" w:rsidR="00A86213" w:rsidRDefault="00E2321B" w:rsidP="00005D7D">
      <w:pPr>
        <w:spacing w:line="360" w:lineRule="auto"/>
      </w:pPr>
      <w:r w:rsidRPr="00E2321B">
        <w:t>Based on their chemical make-up, lipophilicity, bioactivation strategy, and catalyst, prodrugs may be divided into two classes</w:t>
      </w:r>
      <w:r w:rsidR="005617D9">
        <w:fldChar w:fldCharType="begin" w:fldLock="1"/>
      </w:r>
      <w:r w:rsidR="008A6774">
        <w:instrText>ADDIN CSL_CITATION {"citationItems":[{"id":"ITEM-1","itemData":{"DOI":"10.33786/jcpr.2013.v03i02.002","ISSN":"22307834","abstract":"Non-steroidal anti-inflammatory drugs (NSAIDs) are commonly used for the treatment of chronic inflammatory diseases, such as arthritis. NSAIDs are the most popularly used OTC drugs worldwide. Despite the intensive research that has been aimed at the development of NSAIDs, their clinical usefulness is still restricted by their GI side effects like gastric irritation, ulceration, bleeding, and perforation and in some cases may develop into life threatening conditions. The side effects produced by NSAIDs are generally attributed due to presence of free carboxylic acid functionality. The Prodrug approach can be applied to solve this problem, which is an established tool to mask the side-effects of drugs. The present work was targeted at the designing of carrier linked prodrug of Acetyl Salicylic acid with Glucosamine.Acetyl Salicylic acid produces its anti-inflammatory effects via suppressing the activity of cyclooxygenase (COX), an enzyme which is responsible for the production of pro-inflammatory mediators such as the prostaglandins. The synthesized prodrug was characterized by analytical and spectral data. The synthesized prodrug was also evaluated for its anti-inflammatory activity and ulcerogenicity. It exhibited increase in anti-inflammatory activity and significantly less ulcerogenic ability than parent drug.","author":[{"dropping-particle":"","family":".","given":"Khade M.M","non-dropping-particle":"","parse-names":false,"suffix":""},{"dropping-particle":"","family":".","given":"Salunkhe A.M","non-dropping-particle":"","parse-names":false,"suffix":""},{"dropping-particle":"","family":".","given":"Doijad R.C","non-dropping-particle":"","parse-names":false,"suffix":""},{"dropping-particle":"","family":".","given":"Patil S.J","non-dropping-particle":"","parse-names":false,"suffix":""}],"container-title":"Journal of Current Pharma Research","id":"ITEM-1","issue":"2","issued":{"date-parts":[["2013"]]},"page":"784-790","title":"A Prodrug Design: Synthesis and Biological Screening of Cox II Inhibitor","type":"article-journal","volume":"3"},"uris":["http://www.mendeley.com/documents/?uuid=7bf69538-7b1e-4503-b2fb-006d14c623d7","http://www.mendeley.com/documents/?uuid=315d11e3-ffc7-4577-83f9-e44f2b76d2db"]}],"mendeley":{"formattedCitation":"[9]","plainTextFormattedCitation":"[9]","previouslyFormattedCitation":"[9]"},"properties":{"noteIndex":0},"schema":"https://github.com/citation-style-language/schema/raw/master/csl-citation.json"}</w:instrText>
      </w:r>
      <w:r w:rsidR="005617D9">
        <w:fldChar w:fldCharType="separate"/>
      </w:r>
      <w:r w:rsidR="009012ED" w:rsidRPr="009012ED">
        <w:rPr>
          <w:noProof/>
        </w:rPr>
        <w:t>[9]</w:t>
      </w:r>
      <w:r w:rsidR="005617D9">
        <w:fldChar w:fldCharType="end"/>
      </w:r>
      <w:r w:rsidR="009E2F94" w:rsidRPr="009E2F94">
        <w:t>.</w:t>
      </w:r>
      <w:r w:rsidR="00A86213">
        <w:t xml:space="preserve"> </w:t>
      </w:r>
    </w:p>
    <w:p w14:paraId="67F8A4C9" w14:textId="77777777" w:rsidR="00A86213" w:rsidRDefault="00A86213" w:rsidP="00005D7D">
      <w:pPr>
        <w:spacing w:line="360" w:lineRule="auto"/>
      </w:pPr>
      <w:r>
        <w:t xml:space="preserve">A. Carrier – linked prodrugs. </w:t>
      </w:r>
    </w:p>
    <w:p w14:paraId="48D6A164" w14:textId="77777777" w:rsidR="00A86213" w:rsidRDefault="00A86213" w:rsidP="00005D7D">
      <w:pPr>
        <w:spacing w:line="360" w:lineRule="auto"/>
      </w:pPr>
      <w:r>
        <w:t>B. Bio precursor prodrug.</w:t>
      </w:r>
    </w:p>
    <w:p w14:paraId="6CFA4228" w14:textId="77777777" w:rsidR="00A86213" w:rsidRPr="009E2F94" w:rsidRDefault="00EE5C3E" w:rsidP="00005D7D">
      <w:pPr>
        <w:spacing w:line="360" w:lineRule="auto"/>
        <w:rPr>
          <w:b/>
        </w:rPr>
      </w:pPr>
      <w:r>
        <w:rPr>
          <w:b/>
        </w:rPr>
        <w:lastRenderedPageBreak/>
        <w:t xml:space="preserve">A. </w:t>
      </w:r>
      <w:r w:rsidR="00A86213" w:rsidRPr="009E2F94">
        <w:rPr>
          <w:b/>
        </w:rPr>
        <w:t xml:space="preserve">Carrier linked prodrug: </w:t>
      </w:r>
    </w:p>
    <w:p w14:paraId="57C8E7A6" w14:textId="640035CC" w:rsidR="009E2F94" w:rsidRDefault="00F16DC4" w:rsidP="00005D7D">
      <w:pPr>
        <w:spacing w:line="360" w:lineRule="auto"/>
      </w:pPr>
      <w:r w:rsidRPr="00F16DC4">
        <w:t xml:space="preserve">The molecule has a functional group that can be broken down by enzymes, </w:t>
      </w:r>
      <w:r w:rsidR="009E2F94">
        <w:t xml:space="preserve">such as ester hydrolysis, thereby exposing the active pharmaceutical agents. Ideally, the group that is eliminated should possess pharmacological inactivity and non-toxicity, while the connecting bond should exhibit lability to ensure effective activation in an in vivo setting. </w:t>
      </w:r>
      <w:r w:rsidR="00BB31DF" w:rsidRPr="00BB31DF">
        <w:t>Conjugation of a carrier moiety to the active pharmaceutical component alters the pharmacokinetics and pharmacodynamics of the resulting "carrier-linked prodrug."</w:t>
      </w:r>
      <w:r w:rsidR="00BB31DF" w:rsidRPr="00BB31DF">
        <w:t xml:space="preserve"> </w:t>
      </w:r>
      <w:r w:rsidR="005617D9">
        <w:fldChar w:fldCharType="begin" w:fldLock="1"/>
      </w:r>
      <w:r w:rsidR="008A6774">
        <w:instrText>ADDIN CSL_CITATION {"citationItems":[{"id":"ITEM-1","itemData":{"DOI":"https://doi.org/10.1016/j.ejmech.2016.10.061","ISSN":"0223-5234","abstract":"In this review we highlight the most modern trends in the prodrug strategy. In drug research and development, the prodrug concept has found a number of useful applications. Selected examples of this approach are provided in this paper and they are classified according to the aim of their design.","author":[{"dropping-particle":"","family":"Abet","given":"Valentina","non-dropping-particle":"","parse-names":false,"suffix":""},{"dropping-particle":"","family":"Filace","given":"Fabiana","non-dropping-particle":"","parse-names":false,"suffix":""},{"dropping-particle":"","family":"Recio","given":"Javier","non-dropping-particle":"","parse-names":false,"suffix":""},{"dropping-particle":"","family":"Alvarez-Builla","given":"Julio","non-dropping-particle":"","parse-names":false,"suffix":""},{"dropping-particle":"","family":"Burgos","given":"Carolina","non-dropping-particle":"","parse-names":false,"suffix":""}],"container-title":"European Journal of Medicinal Chemistry","id":"ITEM-1","issued":{"date-parts":[["2017"]]},"page":"810-827","title":"Prodrug approach: An overview of recent cases","type":"article-journal","volume":"127"},"uris":["http://www.mendeley.com/documents/?uuid=7aa93326-bbdd-4fe3-a054-600768499612","http://www.mendeley.com/documents/?uuid=93efbdef-c4e7-4067-802a-081ed245997b"]}],"mendeley":{"formattedCitation":"[10]","plainTextFormattedCitation":"[10]","previouslyFormattedCitation":"[10]"},"properties":{"noteIndex":0},"schema":"https://github.com/citation-style-language/schema/raw/master/csl-citation.json"}</w:instrText>
      </w:r>
      <w:r w:rsidR="005617D9">
        <w:fldChar w:fldCharType="separate"/>
      </w:r>
      <w:r w:rsidR="009012ED" w:rsidRPr="009012ED">
        <w:rPr>
          <w:noProof/>
        </w:rPr>
        <w:t>[10]</w:t>
      </w:r>
      <w:r w:rsidR="005617D9">
        <w:fldChar w:fldCharType="end"/>
      </w:r>
      <w:r w:rsidR="009E2F94">
        <w:t xml:space="preserve">. </w:t>
      </w:r>
    </w:p>
    <w:p w14:paraId="516BB387" w14:textId="77777777" w:rsidR="00A86213" w:rsidRDefault="009E2F94" w:rsidP="00005D7D">
      <w:pPr>
        <w:spacing w:line="360" w:lineRule="auto"/>
      </w:pPr>
      <w:r>
        <w:t>The classification of a carrier is contingent upon its nature.</w:t>
      </w:r>
    </w:p>
    <w:p w14:paraId="2BD33549" w14:textId="6F87A82C" w:rsidR="00A86213" w:rsidRDefault="00BB31DF" w:rsidP="00005D7D">
      <w:pPr>
        <w:pStyle w:val="ListParagraph"/>
        <w:numPr>
          <w:ilvl w:val="0"/>
          <w:numId w:val="1"/>
        </w:numPr>
        <w:spacing w:line="360" w:lineRule="auto"/>
      </w:pPr>
      <w:r w:rsidRPr="00BB31DF">
        <w:rPr>
          <w:b/>
        </w:rPr>
        <w:t>Prodrugs that act in two stages (sometimes called "double prodrugs" or "cascade-latentiated prodrugs")</w:t>
      </w:r>
      <w:r w:rsidR="00A86213" w:rsidRPr="00EE5C3E">
        <w:rPr>
          <w:b/>
        </w:rPr>
        <w:t xml:space="preserve">: </w:t>
      </w:r>
      <w:r w:rsidR="006E3A42" w:rsidRPr="006E3A42">
        <w:t xml:space="preserve">The active pharmaceutical component in a prodrug is attached by chemical bonds to an inert carrier or transport molecule, most often an ester or amide. </w:t>
      </w:r>
      <w:r w:rsidR="009E2F94" w:rsidRPr="009E2F94">
        <w:t xml:space="preserve">The lipophilicity of these prodrugs has been significantly altered as a result of the carrier that is attached to them. The active pharmaceutical compound is liberated through hydrolytic cleavage, which can occur either through chemical or enzymatic processes. </w:t>
      </w:r>
      <w:r w:rsidR="004F2F47" w:rsidRPr="004F2F47">
        <w:t>After in vivo enzymatic or non-enzymatic assault, the prodrug and carrier should not be hazardous</w:t>
      </w:r>
      <w:r w:rsidR="005617D9">
        <w:fldChar w:fldCharType="begin" w:fldLock="1"/>
      </w:r>
      <w:r w:rsidR="008A6774">
        <w:instrText>ADDIN CSL_CITATION {"citationItems":[{"id":"ITEM-1","itemData":{"DOI":"10.1016/c2009-0-22221-5","author":[{"dropping-particle":"","family":"Richard B. Silverman","given":"Mark W. Holladay","non-dropping-particle":"","parse-names":false,"suffix":""}],"container-title":"The Organic Chemistry of Drug Design and Drug Action","id":"ITEM-1","issued":{"date-parts":[["1992"]]},"number-of-pages":"536","title":"The Organic Chemistry of Drug Design and Drug Action","type":"book"},"uris":["http://www.mendeley.com/documents/?uuid=ae4e424e-7aac-483c-9619-735839f698cc","http://www.mendeley.com/documents/?uuid=13d7fe6a-7c78-429c-96c3-dec9a5dbf93e"]}],"mendeley":{"formattedCitation":"[11]","plainTextFormattedCitation":"[11]","previouslyFormattedCitation":"[11]"},"properties":{"noteIndex":0},"schema":"https://github.com/citation-style-language/schema/raw/master/csl-citation.json"}</w:instrText>
      </w:r>
      <w:r w:rsidR="005617D9">
        <w:fldChar w:fldCharType="separate"/>
      </w:r>
      <w:r w:rsidR="009012ED" w:rsidRPr="009012ED">
        <w:rPr>
          <w:noProof/>
        </w:rPr>
        <w:t>[11]</w:t>
      </w:r>
      <w:r w:rsidR="005617D9">
        <w:fldChar w:fldCharType="end"/>
      </w:r>
      <w:r w:rsidR="009E2F94" w:rsidRPr="009E2F94">
        <w:t>.</w:t>
      </w:r>
      <w:r w:rsidR="00A86213">
        <w:t xml:space="preserve"> </w:t>
      </w:r>
    </w:p>
    <w:p w14:paraId="60AFF2EE" w14:textId="192ECE30" w:rsidR="00A86213" w:rsidRDefault="00A86213" w:rsidP="00005D7D">
      <w:pPr>
        <w:pStyle w:val="ListParagraph"/>
        <w:numPr>
          <w:ilvl w:val="0"/>
          <w:numId w:val="1"/>
        </w:numPr>
        <w:spacing w:line="360" w:lineRule="auto"/>
      </w:pPr>
      <w:r w:rsidRPr="00EE5C3E">
        <w:rPr>
          <w:b/>
        </w:rPr>
        <w:t>Tripartate Prodrug:</w:t>
      </w:r>
      <w:r>
        <w:t xml:space="preserve"> </w:t>
      </w:r>
      <w:r w:rsidR="00B96183" w:rsidRPr="00B96183">
        <w:t>In this situation, the drug moiety is not bound to the carrier moiety in any way.</w:t>
      </w:r>
      <w:r w:rsidR="00105887" w:rsidRPr="00105887">
        <w:t xml:space="preserve"> The linker is attached to the carrier molecule once the drug moiety has been conjugated to the linker</w:t>
      </w:r>
      <w:r w:rsidR="009E2F94" w:rsidRPr="009E2F94">
        <w:t>.</w:t>
      </w:r>
    </w:p>
    <w:p w14:paraId="59078441" w14:textId="2667B169" w:rsidR="00A86213" w:rsidRDefault="00A86213" w:rsidP="00005D7D">
      <w:pPr>
        <w:pStyle w:val="ListParagraph"/>
        <w:numPr>
          <w:ilvl w:val="0"/>
          <w:numId w:val="1"/>
        </w:numPr>
        <w:spacing w:line="360" w:lineRule="auto"/>
      </w:pPr>
      <w:r w:rsidRPr="00EE5C3E">
        <w:rPr>
          <w:b/>
        </w:rPr>
        <w:t>Macromolecular prodrugs:</w:t>
      </w:r>
      <w:r>
        <w:t xml:space="preserve"> </w:t>
      </w:r>
      <w:r w:rsidR="00392376" w:rsidRPr="00392376">
        <w:t xml:space="preserve">Carrier molecules are used in many contexts, and they may be any number of macromolecules </w:t>
      </w:r>
      <w:r w:rsidR="00DE1E56" w:rsidRPr="00DE1E56">
        <w:t>containing proteins, peptides, polymers, polysaccharides, and dextrans</w:t>
      </w:r>
      <w:r w:rsidR="00DE1E56" w:rsidRPr="00DE1E56">
        <w:t xml:space="preserve"> </w:t>
      </w:r>
      <w:r w:rsidR="005617D9">
        <w:fldChar w:fldCharType="begin" w:fldLock="1"/>
      </w:r>
      <w:r w:rsidR="008A6774">
        <w:instrText>ADDIN CSL_CITATION {"citationItems":[{"id":"ITEM-1","itemData":{"DOI":"10.1007/s13318-011-0035-z","ISSN":"2107-0180","abstract":"The concept of prodrugs has been successfully executed for life cycle management options of several approved drugs and drugs in development. In addition to imparting ideal biopharmaceutical properties, such as solubility, permeability and lipophilicity, some prodrug concepts have also enabled site-specific drug delivery, prolonged the duration of therapeutic effect and improved therapeutic index. The strategic inclusion of prodrug concept during drug discovery and early development process brings in some unique challenges. The communication provides balanced perspectives on the rational use and challenges of prodrug concept during the drug discovery and development process.","author":[{"dropping-particle":"","family":"Srinivas","given":"Nuggehally R","non-dropping-particle":"","parse-names":false,"suffix":""}],"container-title":"European Journal of Drug Metabolism and Pharmacokinetics","id":"ITEM-1","issue":"2","issued":{"date-parts":[["2011"]]},"page":"49-59","title":"The rationality for using prodrug approach in drug discovery programs for new xenobiotics: opportunities and challenges","type":"article-journal","volume":"36"},"uris":["http://www.mendeley.com/documents/?uuid=a8818241-55bc-4e81-9248-d274917728ee","http://www.mendeley.com/documents/?uuid=482be716-0345-4bf7-9352-6ce680a32cbc"]}],"mendeley":{"formattedCitation":"[12]","plainTextFormattedCitation":"[12]","previouslyFormattedCitation":"[12]"},"properties":{"noteIndex":0},"schema":"https://github.com/citation-style-language/schema/raw/master/csl-citation.json"}</w:instrText>
      </w:r>
      <w:r w:rsidR="005617D9">
        <w:fldChar w:fldCharType="separate"/>
      </w:r>
      <w:r w:rsidR="009012ED" w:rsidRPr="009012ED">
        <w:rPr>
          <w:noProof/>
        </w:rPr>
        <w:t>[12]</w:t>
      </w:r>
      <w:r w:rsidR="005617D9">
        <w:fldChar w:fldCharType="end"/>
      </w:r>
      <w:r w:rsidR="009E2F94" w:rsidRPr="009E2F94">
        <w:t>.</w:t>
      </w:r>
      <w:r>
        <w:t xml:space="preserve"> </w:t>
      </w:r>
    </w:p>
    <w:p w14:paraId="10698BC1" w14:textId="78A5161D" w:rsidR="00A86213" w:rsidRDefault="00A86213" w:rsidP="00005D7D">
      <w:pPr>
        <w:pStyle w:val="ListParagraph"/>
        <w:numPr>
          <w:ilvl w:val="0"/>
          <w:numId w:val="1"/>
        </w:numPr>
        <w:spacing w:line="360" w:lineRule="auto"/>
      </w:pPr>
      <w:r w:rsidRPr="00EE5C3E">
        <w:rPr>
          <w:b/>
        </w:rPr>
        <w:t>Site- specific prodrugs:</w:t>
      </w:r>
      <w:r>
        <w:t xml:space="preserve"> </w:t>
      </w:r>
      <w:r w:rsidR="006D5097" w:rsidRPr="006D5097">
        <w:t>A carrier's role in medication delivery is to deliver the medicine's active ingredient to a precise location</w:t>
      </w:r>
      <w:r w:rsidR="009E2F94" w:rsidRPr="009E2F94">
        <w:t>.</w:t>
      </w:r>
      <w:r>
        <w:t xml:space="preserve"> </w:t>
      </w:r>
    </w:p>
    <w:p w14:paraId="3C23324C" w14:textId="3A522B59" w:rsidR="00A86213" w:rsidRDefault="00A86213" w:rsidP="00005D7D">
      <w:pPr>
        <w:pStyle w:val="ListParagraph"/>
        <w:numPr>
          <w:ilvl w:val="0"/>
          <w:numId w:val="1"/>
        </w:numPr>
        <w:spacing w:line="360" w:lineRule="auto"/>
      </w:pPr>
      <w:r w:rsidRPr="00EE5C3E">
        <w:rPr>
          <w:b/>
        </w:rPr>
        <w:t>Mutual prodrug:</w:t>
      </w:r>
      <w:r>
        <w:t xml:space="preserve"> </w:t>
      </w:r>
      <w:r w:rsidR="009E2F94" w:rsidRPr="009E2F94">
        <w:t xml:space="preserve">Where another physiologically active medication is </w:t>
      </w:r>
      <w:r w:rsidR="00CB55DA" w:rsidRPr="009E2F94">
        <w:t>utilized</w:t>
      </w:r>
      <w:r w:rsidR="009E2F94" w:rsidRPr="009E2F94">
        <w:t xml:space="preserve"> as the carrier rather than a benign one. </w:t>
      </w:r>
      <w:r w:rsidR="00892D4D" w:rsidRPr="00892D4D">
        <w:t>Mutual prodrugs are a kind of synergistic combination of two drugs with complementary pharmacological effects.</w:t>
      </w:r>
      <w:r w:rsidR="009E2F94" w:rsidRPr="009E2F94">
        <w:t xml:space="preserve"> It's possible that selecting a carrier with a biological action similar to the parent medication's </w:t>
      </w:r>
      <w:r w:rsidR="009E2F94" w:rsidRPr="009E2F94">
        <w:lastRenderedPageBreak/>
        <w:t xml:space="preserve">might result in synergistic action, or that selecting a carrier with a biological action not present in the parent drug would result in additive benefit. </w:t>
      </w:r>
      <w:r w:rsidR="00892D4D" w:rsidRPr="00892D4D">
        <w:t xml:space="preserve">The carrier might be another medication, one that helps the primary drug reach its target tissue or organ. </w:t>
      </w:r>
      <w:r w:rsidR="009E2F94" w:rsidRPr="009E2F94">
        <w:t>Some undesirable effects of the parent medications may be avoided by using the carrier drug</w:t>
      </w:r>
      <w:r w:rsidR="005617D9">
        <w:fldChar w:fldCharType="begin" w:fldLock="1"/>
      </w:r>
      <w:r w:rsidR="008A6774">
        <w:instrText>ADDIN CSL_CITATION {"citationItems":[{"id":"ITEM-1","itemData":{"DOI":"10.3390/pharmaceutics12111031","ISBN":"9728647948","ISSN":"19994923","abstract":"Prodrugs are bioreversible, inactive drug derivatives, which have the ability to convert into a parent drug in the body. In the past, prodrugs were used as a last option; however, nowadays, prodrugs are considered already in the early stages of drug development. Optimal prodrug needs to have effective absorption, distribution, metabolism, and elimination (ADME) features to be chemically stable, to be selective towards the particular site in the body, and to have appropriate safety. Traditional prodrug approach aims to improve physicochemical/biopharmaceutical drug properties; modern prodrugs also include cellular and molecular parameters to accomplish desired drug effect and site-specificity. Here, we present recently investigated prodrugs, their pharmaceutical and clinical advantages, and challenges facing the overall prodrug development. Given examples illustrate that prodrugs can accomplish appropriate solubility, increase permeability, provide site-specific targeting (i.e., to organs, tissues, enzymes, or transporters), overcome rapid drug metabolism, decrease toxicity, or provide better patient compliance, all with the aim to provide optimal drug therapy and outcome. Overall, the prodrug approach is a powerful tool to decrease the time/costs of developing new drug entities and improve overall drug therapy.","author":[{"dropping-particle":"","family":"Markovic","given":"Milica","non-dropping-particle":"","parse-names":false,"suffix":""},{"dropping-particle":"","family":"Ben-Shabat","given":"Shimon","non-dropping-particle":"","parse-names":false,"suffix":""},{"dropping-particle":"","family":"Dahan","given":"Arik","non-dropping-particle":"","parse-names":false,"suffix":""}],"container-title":"Pharmaceutics","id":"ITEM-1","issue":"11","issued":{"date-parts":[["2020"]]},"page":"1-12","title":"Prodrugs for improved drug delivery: Lessons learned from recently developed and marketed products","type":"article-journal","volume":"12"},"uris":["http://www.mendeley.com/documents/?uuid=0f5a7876-0f43-4841-ba6d-6f37e96427c1","http://www.mendeley.com/documents/?uuid=d3f7c6b8-9c8a-4dbe-8bf9-957415379cc7"]}],"mendeley":{"formattedCitation":"[13]","plainTextFormattedCitation":"[13]","previouslyFormattedCitation":"[13]"},"properties":{"noteIndex":0},"schema":"https://github.com/citation-style-language/schema/raw/master/csl-citation.json"}</w:instrText>
      </w:r>
      <w:r w:rsidR="005617D9">
        <w:fldChar w:fldCharType="separate"/>
      </w:r>
      <w:r w:rsidR="009012ED" w:rsidRPr="009012ED">
        <w:rPr>
          <w:noProof/>
        </w:rPr>
        <w:t>[13]</w:t>
      </w:r>
      <w:r w:rsidR="005617D9">
        <w:fldChar w:fldCharType="end"/>
      </w:r>
      <w:r w:rsidR="009E2F94" w:rsidRPr="009E2F94">
        <w:t>.</w:t>
      </w:r>
    </w:p>
    <w:p w14:paraId="2D4D5684" w14:textId="77777777" w:rsidR="00A86213" w:rsidRPr="009E2F94" w:rsidRDefault="00EE5C3E" w:rsidP="00005D7D">
      <w:pPr>
        <w:spacing w:line="360" w:lineRule="auto"/>
        <w:rPr>
          <w:b/>
        </w:rPr>
      </w:pPr>
      <w:r>
        <w:rPr>
          <w:b/>
        </w:rPr>
        <w:t xml:space="preserve">B. </w:t>
      </w:r>
      <w:r w:rsidR="00A86213" w:rsidRPr="009E2F94">
        <w:rPr>
          <w:b/>
        </w:rPr>
        <w:t xml:space="preserve">Bioprecursor/Metabolic precursor: </w:t>
      </w:r>
    </w:p>
    <w:p w14:paraId="0AFCD5AE" w14:textId="77777777" w:rsidR="00A86213" w:rsidRDefault="009E2F94" w:rsidP="00005D7D">
      <w:pPr>
        <w:spacing w:line="360" w:lineRule="auto"/>
      </w:pPr>
      <w:r w:rsidRPr="009E2F94">
        <w:t xml:space="preserve">In this method, a carrier molecule is not used. To achieve the desired therapeutic effect, an inactive medication is chemically modified to produce a product that is already an active drug or is </w:t>
      </w:r>
      <w:r w:rsidR="00005D7D" w:rsidRPr="009E2F94">
        <w:t>metabolized</w:t>
      </w:r>
      <w:r w:rsidRPr="009E2F94">
        <w:t xml:space="preserve"> into an active form. This procedure might include either oxidation or reduction in the chemical reaction.(for instance, amine aldehyde carboxylic acid)</w:t>
      </w:r>
      <w:r w:rsidR="005617D9">
        <w:fldChar w:fldCharType="begin" w:fldLock="1"/>
      </w:r>
      <w:r w:rsidR="008A6774">
        <w:instrText>ADDIN CSL_CITATION {"citationItems":[{"id":"ITEM-1","itemData":{"DOI":"10.1016/j.ejps.2010.09.014","ISSN":"09280987","PMID":"20888411","abstract":"Codrug or mutual prodrug is an approach where various effective drugs, which are associated with some drawbacks, can be modified by attaching with other drugs of same or different categories directly or via a linkage. More appropriately one can say combining two different pharmacophores with similar or different pharmacological activities elicit synergistic action or help to target the parent drug to specific site/organ/cells respectively. This approach is commonly used to improve physicochemical, biopharmaceutical and drug delivery properties of therapeutic agents. © 2010 Elsevier B.V.","author":[{"dropping-particle":"","family":"Das","given":"N.","non-dropping-particle":"","parse-names":false,"suffix":""},{"dropping-particle":"","family":"Dhanawat","given":"M.","non-dropping-particle":"","parse-names":false,"suffix":""},{"dropping-particle":"","family":"Dash","given":"B.","non-dropping-particle":"","parse-names":false,"suffix":""},{"dropping-particle":"","family":"Nagarwal","given":"R. C.","non-dropping-particle":"","parse-names":false,"suffix":""},{"dropping-particle":"","family":"Shrivastava","given":"S. K.","non-dropping-particle":"","parse-names":false,"suffix":""}],"container-title":"European Journal of Pharmaceutical Sciences","id":"ITEM-1","issue":"5","issued":{"date-parts":[["2010"]]},"page":"571-588","publisher":"Elsevier B.V.","title":"Codrug: An efficient approach for drug optimization","type":"article-journal","volume":"41"},"uris":["http://www.mendeley.com/documents/?uuid=aaa49fce-a530-4342-9463-8e3ee4ff7c74","http://www.mendeley.com/documents/?uuid=6a331689-133a-4db6-8d83-33d771c355b8"]}],"mendeley":{"formattedCitation":"[14]","plainTextFormattedCitation":"[14]","previouslyFormattedCitation":"[14]"},"properties":{"noteIndex":0},"schema":"https://github.com/citation-style-language/schema/raw/master/csl-citation.json"}</w:instrText>
      </w:r>
      <w:r w:rsidR="005617D9">
        <w:fldChar w:fldCharType="separate"/>
      </w:r>
      <w:r w:rsidR="00BF17CC" w:rsidRPr="00BF17CC">
        <w:rPr>
          <w:noProof/>
        </w:rPr>
        <w:t>[14]</w:t>
      </w:r>
      <w:r w:rsidR="005617D9">
        <w:fldChar w:fldCharType="end"/>
      </w:r>
      <w:r w:rsidRPr="009E2F94">
        <w:t>.</w:t>
      </w:r>
    </w:p>
    <w:p w14:paraId="209E31E1" w14:textId="77777777" w:rsidR="00A86213" w:rsidRPr="00A86213" w:rsidRDefault="00EE5C3E" w:rsidP="00005D7D">
      <w:pPr>
        <w:spacing w:line="360" w:lineRule="auto"/>
        <w:rPr>
          <w:b/>
        </w:rPr>
      </w:pPr>
      <w:r>
        <w:rPr>
          <w:b/>
        </w:rPr>
        <w:t xml:space="preserve">3.1 </w:t>
      </w:r>
      <w:r w:rsidR="00A86213" w:rsidRPr="00A86213">
        <w:rPr>
          <w:b/>
        </w:rPr>
        <w:t xml:space="preserve">Recent Classification of Prodrugs </w:t>
      </w:r>
    </w:p>
    <w:p w14:paraId="6FEC4B05" w14:textId="753CA98D" w:rsidR="00A86213" w:rsidRDefault="00516000" w:rsidP="00005D7D">
      <w:pPr>
        <w:spacing w:line="360" w:lineRule="auto"/>
      </w:pPr>
      <w:r w:rsidRPr="00516000">
        <w:t xml:space="preserve">Prodrugs may be separated from the pharmacologically active drug molecule at different stages of the conversion process. </w:t>
      </w:r>
      <w:r w:rsidR="00CD7F5C" w:rsidRPr="00CD7F5C">
        <w:t xml:space="preserve">This information might help clarify the kinetics of site conversion and the relative contributions of the prodrug as well as the active parent drug to the product's efficacy and safety. </w:t>
      </w:r>
      <w:r w:rsidR="009E2F94" w:rsidRPr="009E2F94">
        <w:t>This research yields a further ca</w:t>
      </w:r>
      <w:r w:rsidR="00BF17CC">
        <w:t xml:space="preserve">tegorization of the prodrugs </w:t>
      </w:r>
      <w:r w:rsidR="005617D9">
        <w:fldChar w:fldCharType="begin" w:fldLock="1"/>
      </w:r>
      <w:r w:rsidR="008A6774">
        <w:instrText>ADDIN CSL_CITATION {"citationItems":[{"id":"ITEM-1","itemData":{"DOI":"10.3390/ph2030077","ISSN":"14248247","abstract":"Many therapeutic agents are manufactured and administered in prodrug forms. In this paper, a new classification system for prodrugs is proposed to provide useful information about where in the body a prodrug is converted to the active drug. In this system, prodrugs are classified into Type I or Type II and the respective Subtypes IA, IB, IIA, IIB or IIC based on their sites of conversion into the final active drug form. For Type I prodrugs, conversion occurs intracellularly (e.g., antiviral nucleoside analogs, lipid-lowering statins), whereas conversion of Type II prodrugs occurs extracellularly, for examples in digestive fluids, systemic circulation or other extracellular body fluids (e.g., etoposide phosphate, valganciclovir, fosamprenavir). Type IA prodrugs refer to those that are converted at the cellular targets of therapeutic actions, whereas Type IB prodrugs' conversion occurs in the primary metabolic tissues such as liver, gut, or lung. For Type II prodrugs, the conversion process could either take place extracellularly in the milieu of gastrointestinal fluids (Type IIA), in the systemic circulation and/or other systemic extracellular fluid compartments (Type IIB), or near therapeutical target cells (Type IIC). A prodrug may belong to multiple categories and be recognized as a Mixed-Type prodrug. For example a prodrug may be converted both in target cells and metabolic tissues such as liver (i.e., named as a Type IA/IB prodrug), or one converted in both GI fluids and systemic circulations (i.e., named as a Type IIA/IIB prodrug). The Mixed-Type compound can be further distinguished as a Parallel Mixed-Type or Sequential Mixed-Type prodrug depending on the conversion processes that proceed with, either in concurrent or in sequential steps. Because traditional analysis of drug actions has always been focused on the site of action and mode of action, the proposed classification of prodrugs based on cellular locations of conversion is in line with current thought processes of regulatory review and risk assessment of both prodrug and active drug. By gaining insights regarding the site of action through prodrug nomenclature, risk benefit evaluation can be made more efficiently because both information on kinetics and impact of tissues involved are adequately revealed through prodrug subtype designated. In conclusion, the new system of classification will add to existing knowledge of prodrug classifications, and will provide improved insight into the co…","author":[{"dropping-particle":"","family":"Wu","given":"Kuei Meng","non-dropping-particle":"","parse-names":false,"suffix":""}],"container-title":"Pharmaceuticals","id":"ITEM-1","issue":"3","issued":{"date-parts":[["2009"]]},"page":"77-81","title":"A new classification of prodrugs: Regulatory perspectives","type":"article-journal","volume":"2"},"uris":["http://www.mendeley.com/documents/?uuid=55e17839-4add-4fc2-8e93-d1d1dab7c50e"]}],"mendeley":{"formattedCitation":"[15]","plainTextFormattedCitation":"[15]","previouslyFormattedCitation":"[15]"},"properties":{"noteIndex":0},"schema":"https://github.com/citation-style-language/schema/raw/master/csl-citation.json"}</w:instrText>
      </w:r>
      <w:r w:rsidR="005617D9">
        <w:fldChar w:fldCharType="separate"/>
      </w:r>
      <w:r w:rsidR="00BF17CC" w:rsidRPr="00BF17CC">
        <w:rPr>
          <w:noProof/>
        </w:rPr>
        <w:t>[15]</w:t>
      </w:r>
      <w:r w:rsidR="005617D9">
        <w:fldChar w:fldCharType="end"/>
      </w:r>
      <w:r w:rsidR="009E2F94" w:rsidRPr="009E2F94">
        <w:t>:</w:t>
      </w:r>
    </w:p>
    <w:p w14:paraId="5706E731" w14:textId="77777777" w:rsidR="00A86213" w:rsidRDefault="00A86213" w:rsidP="00005D7D">
      <w:pPr>
        <w:spacing w:line="360" w:lineRule="auto"/>
      </w:pPr>
      <w:r>
        <w:sym w:font="Symbol" w:char="F0B7"/>
      </w:r>
      <w:r>
        <w:t xml:space="preserve"> Type I </w:t>
      </w:r>
    </w:p>
    <w:p w14:paraId="3EE01DB0" w14:textId="77777777" w:rsidR="00A86213" w:rsidRDefault="00A86213" w:rsidP="00005D7D">
      <w:pPr>
        <w:spacing w:line="360" w:lineRule="auto"/>
      </w:pPr>
      <w:r>
        <w:sym w:font="Symbol" w:char="F0B7"/>
      </w:r>
      <w:r>
        <w:t xml:space="preserve"> Type II</w:t>
      </w:r>
    </w:p>
    <w:p w14:paraId="36DFCF71" w14:textId="51F6C1E5" w:rsidR="00A86213" w:rsidRDefault="00FF04E2" w:rsidP="00005D7D">
      <w:pPr>
        <w:spacing w:line="360" w:lineRule="auto"/>
      </w:pPr>
      <w:r w:rsidRPr="00FF04E2">
        <w:t xml:space="preserve">Type I prodrugs include antiviral nucleoside analogues and lipid-lowering strains, </w:t>
      </w:r>
      <w:r w:rsidR="003F5B4E" w:rsidRPr="003F5B4E">
        <w:t>Type II extracellularly converted prodrugs include etoposide phosphate, valganciclovir, fosamprenavir, antibody-directed enzyme prodrugs, gene-directed enzyme prodrugs, and virus-directed enzyme prodrugs</w:t>
      </w:r>
      <w:r w:rsidR="009E2F94" w:rsidRPr="009E2F94">
        <w:t>.</w:t>
      </w:r>
    </w:p>
    <w:p w14:paraId="4325E81C" w14:textId="27845396" w:rsidR="0072242D" w:rsidRDefault="00A86213" w:rsidP="00005D7D">
      <w:pPr>
        <w:spacing w:line="360" w:lineRule="auto"/>
      </w:pPr>
      <w:r>
        <w:t>Both type, i.e., Type I a</w:t>
      </w:r>
      <w:r w:rsidR="00FF0F42">
        <w:t>s well as</w:t>
      </w:r>
      <w:r>
        <w:t xml:space="preserve"> Type II, are further classified into their subtypes: </w:t>
      </w:r>
    </w:p>
    <w:p w14:paraId="20464DA5" w14:textId="77777777" w:rsidR="0072242D" w:rsidRDefault="00A86213" w:rsidP="00005D7D">
      <w:pPr>
        <w:spacing w:line="360" w:lineRule="auto"/>
      </w:pPr>
      <w:r>
        <w:sym w:font="Symbol" w:char="F0B7"/>
      </w:r>
      <w:r>
        <w:t xml:space="preserve"> Type I </w:t>
      </w:r>
    </w:p>
    <w:p w14:paraId="441D73C1" w14:textId="77777777" w:rsidR="0072242D" w:rsidRDefault="00A86213" w:rsidP="00005D7D">
      <w:pPr>
        <w:spacing w:line="360" w:lineRule="auto"/>
      </w:pPr>
      <w:r>
        <w:t xml:space="preserve">1. Type IA </w:t>
      </w:r>
    </w:p>
    <w:p w14:paraId="38EE9186" w14:textId="77777777" w:rsidR="0072242D" w:rsidRDefault="00A86213" w:rsidP="00005D7D">
      <w:pPr>
        <w:spacing w:line="360" w:lineRule="auto"/>
      </w:pPr>
      <w:r>
        <w:lastRenderedPageBreak/>
        <w:t xml:space="preserve">2. Type IB </w:t>
      </w:r>
    </w:p>
    <w:p w14:paraId="3351966D" w14:textId="77777777" w:rsidR="0072242D" w:rsidRDefault="00A86213" w:rsidP="00005D7D">
      <w:pPr>
        <w:spacing w:line="360" w:lineRule="auto"/>
      </w:pPr>
      <w:r>
        <w:sym w:font="Symbol" w:char="F0B7"/>
      </w:r>
      <w:r>
        <w:t xml:space="preserve"> Type II </w:t>
      </w:r>
    </w:p>
    <w:p w14:paraId="5C0497C8" w14:textId="77777777" w:rsidR="0072242D" w:rsidRDefault="00A86213" w:rsidP="00005D7D">
      <w:pPr>
        <w:spacing w:line="360" w:lineRule="auto"/>
      </w:pPr>
      <w:r>
        <w:t xml:space="preserve">1. Type IIA </w:t>
      </w:r>
    </w:p>
    <w:p w14:paraId="373FB8BC" w14:textId="77777777" w:rsidR="0072242D" w:rsidRDefault="00A86213" w:rsidP="00005D7D">
      <w:pPr>
        <w:spacing w:line="360" w:lineRule="auto"/>
      </w:pPr>
      <w:r>
        <w:t xml:space="preserve">2. Type IIB </w:t>
      </w:r>
    </w:p>
    <w:p w14:paraId="229EDF69" w14:textId="77777777" w:rsidR="00A86213" w:rsidRDefault="00A86213" w:rsidP="00005D7D">
      <w:pPr>
        <w:spacing w:line="360" w:lineRule="auto"/>
      </w:pPr>
      <w:r>
        <w:t>3. Type IIC</w:t>
      </w:r>
    </w:p>
    <w:p w14:paraId="43ED9430" w14:textId="77777777" w:rsidR="009E2F94" w:rsidRDefault="009E2F94" w:rsidP="00005D7D">
      <w:pPr>
        <w:spacing w:line="360" w:lineRule="auto"/>
      </w:pPr>
      <w:r>
        <w:t xml:space="preserve">Prodrugs classified as Type IA undergo metabolism at the cellular sites where their therapeutic effects are exerted, whereas Type IB prodrugs are </w:t>
      </w:r>
      <w:r w:rsidR="00005D7D">
        <w:t>metabolized</w:t>
      </w:r>
      <w:r>
        <w:t xml:space="preserve"> into their active parent drugs through metabolic tissues, such as the liver. </w:t>
      </w:r>
    </w:p>
    <w:p w14:paraId="0C5AD580" w14:textId="1367CBFB" w:rsidR="009E2F94" w:rsidRDefault="00D05A57" w:rsidP="00005D7D">
      <w:pPr>
        <w:spacing w:line="360" w:lineRule="auto"/>
      </w:pPr>
      <w:r w:rsidRPr="00D05A57">
        <w:t xml:space="preserve">Therapeutically relevant tissues/cells (Type IIC) or the systemic circulation (Type IIB) are responsible for the extracellular conversion of type II prodrugs. Important enzymes involved in this process include esterases and phosphatases. </w:t>
      </w:r>
      <w:r w:rsidR="009E2F94">
        <w:t xml:space="preserve">Table 1 </w:t>
      </w:r>
      <w:r w:rsidR="005617D9">
        <w:fldChar w:fldCharType="begin" w:fldLock="1"/>
      </w:r>
      <w:r w:rsidR="008A6774">
        <w:instrText>ADDIN CSL_CITATION {"citationItems":[{"id":"ITEM-1","itemData":{"DOI":"10.3390/ph2030077","ISSN":"14248247","abstract":"Many therapeutic agents are manufactured and administered in prodrug forms. In this paper, a new classification system for prodrugs is proposed to provide useful information about where in the body a prodrug is converted to the active drug. In this system, prodrugs are classified into Type I or Type II and the respective Subtypes IA, IB, IIA, IIB or IIC based on their sites of conversion into the final active drug form. For Type I prodrugs, conversion occurs intracellularly (e.g., antiviral nucleoside analogs, lipid-lowering statins), whereas conversion of Type II prodrugs occurs extracellularly, for examples in digestive fluids, systemic circulation or other extracellular body fluids (e.g., etoposide phosphate, valganciclovir, fosamprenavir). Type IA prodrugs refer to those that are converted at the cellular targets of therapeutic actions, whereas Type IB prodrugs' conversion occurs in the primary metabolic tissues such as liver, gut, or lung. For Type II prodrugs, the conversion process could either take place extracellularly in the milieu of gastrointestinal fluids (Type IIA), in the systemic circulation and/or other systemic extracellular fluid compartments (Type IIB), or near therapeutical target cells (Type IIC). A prodrug may belong to multiple categories and be recognized as a Mixed-Type prodrug. For example a prodrug may be converted both in target cells and metabolic tissues such as liver (i.e., named as a Type IA/IB prodrug), or one converted in both GI fluids and systemic circulations (i.e., named as a Type IIA/IIB prodrug). The Mixed-Type compound can be further distinguished as a Parallel Mixed-Type or Sequential Mixed-Type prodrug depending on the conversion processes that proceed with, either in concurrent or in sequential steps. Because traditional analysis of drug actions has always been focused on the site of action and mode of action, the proposed classification of prodrugs based on cellular locations of conversion is in line with current thought processes of regulatory review and risk assessment of both prodrug and active drug. By gaining insights regarding the site of action through prodrug nomenclature, risk benefit evaluation can be made more efficiently because both information on kinetics and impact of tissues involved are adequately revealed through prodrug subtype designated. In conclusion, the new system of classification will add to existing knowledge of prodrug classifications, and will provide improved insight into the co…","author":[{"dropping-particle":"","family":"Wu","given":"Kuei Meng","non-dropping-particle":"","parse-names":false,"suffix":""}],"container-title":"Pharmaceuticals","id":"ITEM-1","issue":"3","issued":{"date-parts":[["2009"]]},"page":"77-81","title":"A new classification of prodrugs: Regulatory perspectives","type":"article-journal","volume":"2"},"uris":["http://www.mendeley.com/documents/?uuid=55e17839-4add-4fc2-8e93-d1d1dab7c50e"]}],"mendeley":{"formattedCitation":"[15]","plainTextFormattedCitation":"[15]","previouslyFormattedCitation":"[15]"},"properties":{"noteIndex":0},"schema":"https://github.com/citation-style-language/schema/raw/master/csl-citation.json"}</w:instrText>
      </w:r>
      <w:r w:rsidR="005617D9">
        <w:fldChar w:fldCharType="separate"/>
      </w:r>
      <w:r w:rsidR="008A6774" w:rsidRPr="008A6774">
        <w:rPr>
          <w:noProof/>
        </w:rPr>
        <w:t>[15]</w:t>
      </w:r>
      <w:r w:rsidR="005617D9">
        <w:fldChar w:fldCharType="end"/>
      </w:r>
      <w:r w:rsidR="008A6774">
        <w:t xml:space="preserve"> </w:t>
      </w:r>
      <w:r w:rsidR="009E2F94">
        <w:t xml:space="preserve">provides a selection of examples for Type I and Type II prodrugs. </w:t>
      </w:r>
    </w:p>
    <w:p w14:paraId="13BD3DBC" w14:textId="036CDCC9" w:rsidR="0072242D" w:rsidRDefault="00491CBE" w:rsidP="00005D7D">
      <w:pPr>
        <w:spacing w:line="360" w:lineRule="auto"/>
      </w:pPr>
      <w:r w:rsidRPr="00491CBE">
        <w:t>Chemical stability, high solubility in aqueous solutions, effective transcellular absorption, as well as resistance to hydrolysis during the absorption phase are all hallmarks of an effective prodrug</w:t>
      </w:r>
      <w:r w:rsidR="005617D9">
        <w:fldChar w:fldCharType="begin" w:fldLock="1"/>
      </w:r>
      <w:r w:rsidR="00155D1D">
        <w:instrText>ADDIN CSL_CITATION {"citationItems":[{"id":"ITEM-1","itemData":{"DOI":"10.2174/1389200033489253","ISSN":"13892002","PMID":"14683475","abstract":"Many drugs are administered at sites that are remote from their site of action. The most common route of drug delivery is the oral route. The optimal physicochemical properties to allow high transcellular absorption following oral administration are well established and include a limit on molecular size, hydrogen bonding potential and adequate lipophilicity. For many drug targets, synthetic strategies can be devised to balance the physicochemical properties required for high transcellular absorption and the SAR for the drug target. However, there are drug targets where the SAR requires properties at odds with good membrane permeability. These include a requirement for significant polarity and groups that exhibit high hydrogen bonding potential such as carboxylic acids and alcohols. In such cases, prodrug strategies have been employed. The rationale behind the prodrug strategy is to introduce lipophilicity and mask hydrogen bonding groups of an active compound by the addition of another moiety, most commonly an ester. An ideal ester prodrug should exhibit the following properties: 1). Weak (or no) activity against any pharmacological target, 2). Chemical stability across a pH range, 3). High aqueous solubility, 4). Good transcellular absorption, 5). Resistance to hydrolysis during the absorption phase, 6). Rapid and quantitative breakdown to yield high circulating concentrations of the active component post absorption. This paper will review the literature around marketed prodrugs and determine the most appropriate prodrug characteristics. In addition, it will examine potential Discovery approaches to optimising prodrug delivery and recommend a strategy for prosecuting an oral prodrug approach.","author":[{"dropping-particle":"","family":"Beaumont","given":"Kevin","non-dropping-particle":"","parse-names":false,"suffix":""},{"dropping-particle":"","family":"Webster","given":"Robert","non-dropping-particle":"","parse-names":false,"suffix":""},{"dropping-particle":"","family":"Gardner","given":"Iain","non-dropping-particle":"","parse-names":false,"suffix":""},{"dropping-particle":"","family":"Dack","given":"Kevin","non-dropping-particle":"","parse-names":false,"suffix":""}],"container-title":"Current Drug Metabolism","id":"ITEM-1","issue":"6","issued":{"date-parts":[["2005"]]},"page":"461-485","title":"Design of Ester Prodrugs to Enhance Oral Absorption of Poorly Permeable Compounds: Challenges to the Discovery Scientist","type":"article-journal","volume":"4"},"uris":["http://www.mendeley.com/documents/?uuid=e6bbc6f3-ea39-4c5d-8468-49666b5f9ae7"]}],"mendeley":{"formattedCitation":"[16]","plainTextFormattedCitation":"[16]","previouslyFormattedCitation":"[16]"},"properties":{"noteIndex":0},"schema":"https://github.com/citation-style-language/schema/raw/master/csl-citation.json"}</w:instrText>
      </w:r>
      <w:r w:rsidR="005617D9">
        <w:fldChar w:fldCharType="separate"/>
      </w:r>
      <w:r w:rsidR="008A6774" w:rsidRPr="008A6774">
        <w:rPr>
          <w:noProof/>
        </w:rPr>
        <w:t>[16]</w:t>
      </w:r>
      <w:r w:rsidR="005617D9">
        <w:fldChar w:fldCharType="end"/>
      </w:r>
      <w:r w:rsidR="009E2F94">
        <w:t>.</w:t>
      </w:r>
    </w:p>
    <w:p w14:paraId="5DF60B8B" w14:textId="77777777" w:rsidR="009E2F94" w:rsidRPr="00EE5C3E" w:rsidRDefault="00EE5C3E" w:rsidP="00EE5C3E">
      <w:pPr>
        <w:pStyle w:val="Caption"/>
        <w:jc w:val="center"/>
        <w:rPr>
          <w:rFonts w:ascii="Times New Roman" w:hAnsi="Times New Roman" w:cs="Times New Roman"/>
          <w:sz w:val="24"/>
          <w:szCs w:val="24"/>
        </w:rPr>
      </w:pPr>
      <w:r w:rsidRPr="00EE5C3E">
        <w:rPr>
          <w:rFonts w:ascii="Times New Roman" w:hAnsi="Times New Roman" w:cs="Times New Roman"/>
          <w:sz w:val="24"/>
          <w:szCs w:val="24"/>
        </w:rPr>
        <w:t xml:space="preserve">Table </w:t>
      </w:r>
      <w:r w:rsidR="005617D9" w:rsidRPr="00EE5C3E">
        <w:rPr>
          <w:rFonts w:ascii="Times New Roman" w:hAnsi="Times New Roman" w:cs="Times New Roman"/>
          <w:sz w:val="24"/>
          <w:szCs w:val="24"/>
        </w:rPr>
        <w:fldChar w:fldCharType="begin"/>
      </w:r>
      <w:r w:rsidRPr="00EE5C3E">
        <w:rPr>
          <w:rFonts w:ascii="Times New Roman" w:hAnsi="Times New Roman" w:cs="Times New Roman"/>
          <w:sz w:val="24"/>
          <w:szCs w:val="24"/>
        </w:rPr>
        <w:instrText xml:space="preserve"> SEQ Table \* ARABIC </w:instrText>
      </w:r>
      <w:r w:rsidR="005617D9" w:rsidRPr="00EE5C3E">
        <w:rPr>
          <w:rFonts w:ascii="Times New Roman" w:hAnsi="Times New Roman" w:cs="Times New Roman"/>
          <w:sz w:val="24"/>
          <w:szCs w:val="24"/>
        </w:rPr>
        <w:fldChar w:fldCharType="separate"/>
      </w:r>
      <w:r>
        <w:rPr>
          <w:rFonts w:ascii="Times New Roman" w:hAnsi="Times New Roman" w:cs="Times New Roman"/>
          <w:noProof/>
          <w:sz w:val="24"/>
          <w:szCs w:val="24"/>
        </w:rPr>
        <w:t>1</w:t>
      </w:r>
      <w:r w:rsidR="005617D9" w:rsidRPr="00EE5C3E">
        <w:rPr>
          <w:rFonts w:ascii="Times New Roman" w:hAnsi="Times New Roman" w:cs="Times New Roman"/>
          <w:sz w:val="24"/>
          <w:szCs w:val="24"/>
        </w:rPr>
        <w:fldChar w:fldCharType="end"/>
      </w:r>
      <w:r w:rsidRPr="00EE5C3E">
        <w:rPr>
          <w:rFonts w:ascii="Times New Roman" w:hAnsi="Times New Roman" w:cs="Times New Roman"/>
          <w:sz w:val="24"/>
          <w:szCs w:val="24"/>
        </w:rPr>
        <w:t xml:space="preserve">: </w:t>
      </w:r>
      <w:r w:rsidR="009E2F94" w:rsidRPr="00EE5C3E">
        <w:rPr>
          <w:rFonts w:ascii="Times New Roman" w:hAnsi="Times New Roman" w:cs="Times New Roman"/>
          <w:sz w:val="24"/>
          <w:szCs w:val="24"/>
        </w:rPr>
        <w:t>Recent classification of prodrugs</w:t>
      </w:r>
    </w:p>
    <w:tbl>
      <w:tblPr>
        <w:tblW w:w="91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894"/>
        <w:gridCol w:w="1896"/>
        <w:gridCol w:w="1893"/>
        <w:gridCol w:w="1896"/>
      </w:tblGrid>
      <w:tr w:rsidR="009E2F94" w14:paraId="29708F78" w14:textId="77777777" w:rsidTr="00EE5C3E">
        <w:trPr>
          <w:trHeight w:val="828"/>
          <w:jc w:val="center"/>
        </w:trPr>
        <w:tc>
          <w:tcPr>
            <w:tcW w:w="1538" w:type="dxa"/>
            <w:tcBorders>
              <w:left w:val="single" w:sz="6" w:space="0" w:color="000000"/>
            </w:tcBorders>
          </w:tcPr>
          <w:p w14:paraId="4325C0D1" w14:textId="77777777" w:rsidR="009E2F94" w:rsidRDefault="009E2F94" w:rsidP="00005D7D">
            <w:pPr>
              <w:pStyle w:val="TableParagraph"/>
              <w:spacing w:line="360" w:lineRule="auto"/>
              <w:ind w:left="420"/>
              <w:rPr>
                <w:b/>
              </w:rPr>
            </w:pPr>
            <w:r>
              <w:rPr>
                <w:b/>
              </w:rPr>
              <w:t>Type</w:t>
            </w:r>
            <w:r>
              <w:rPr>
                <w:b/>
                <w:spacing w:val="-2"/>
              </w:rPr>
              <w:t xml:space="preserve"> </w:t>
            </w:r>
            <w:r>
              <w:rPr>
                <w:b/>
              </w:rPr>
              <w:t>of</w:t>
            </w:r>
          </w:p>
          <w:p w14:paraId="1A62EC4B" w14:textId="77777777" w:rsidR="009E2F94" w:rsidRDefault="009E2F94" w:rsidP="00005D7D">
            <w:pPr>
              <w:pStyle w:val="TableParagraph"/>
              <w:spacing w:before="137" w:line="360" w:lineRule="auto"/>
              <w:ind w:left="376"/>
              <w:rPr>
                <w:b/>
              </w:rPr>
            </w:pPr>
            <w:r>
              <w:rPr>
                <w:b/>
              </w:rPr>
              <w:t>Prodrug</w:t>
            </w:r>
          </w:p>
        </w:tc>
        <w:tc>
          <w:tcPr>
            <w:tcW w:w="1894" w:type="dxa"/>
          </w:tcPr>
          <w:p w14:paraId="600FAEF8" w14:textId="77777777" w:rsidR="009E2F94" w:rsidRDefault="009E2F94" w:rsidP="00005D7D">
            <w:pPr>
              <w:pStyle w:val="TableParagraph"/>
              <w:spacing w:before="205" w:line="360" w:lineRule="auto"/>
              <w:ind w:right="520"/>
              <w:jc w:val="right"/>
              <w:rPr>
                <w:b/>
              </w:rPr>
            </w:pPr>
            <w:r>
              <w:rPr>
                <w:b/>
              </w:rPr>
              <w:t>Subtypes</w:t>
            </w:r>
          </w:p>
        </w:tc>
        <w:tc>
          <w:tcPr>
            <w:tcW w:w="1896" w:type="dxa"/>
          </w:tcPr>
          <w:p w14:paraId="54B84300" w14:textId="77777777" w:rsidR="009E2F94" w:rsidRDefault="009E2F94" w:rsidP="00005D7D">
            <w:pPr>
              <w:pStyle w:val="TableParagraph"/>
              <w:spacing w:line="360" w:lineRule="auto"/>
              <w:ind w:left="302" w:right="297"/>
              <w:jc w:val="center"/>
              <w:rPr>
                <w:b/>
              </w:rPr>
            </w:pPr>
            <w:r>
              <w:rPr>
                <w:b/>
              </w:rPr>
              <w:t>Site</w:t>
            </w:r>
            <w:r>
              <w:rPr>
                <w:b/>
                <w:spacing w:val="-3"/>
              </w:rPr>
              <w:t xml:space="preserve"> </w:t>
            </w:r>
            <w:r>
              <w:rPr>
                <w:b/>
              </w:rPr>
              <w:t>of</w:t>
            </w:r>
          </w:p>
          <w:p w14:paraId="3BEF27D9" w14:textId="77777777" w:rsidR="009E2F94" w:rsidRDefault="009E2F94" w:rsidP="00005D7D">
            <w:pPr>
              <w:pStyle w:val="TableParagraph"/>
              <w:spacing w:before="137" w:line="360" w:lineRule="auto"/>
              <w:ind w:left="304" w:right="297"/>
              <w:jc w:val="center"/>
              <w:rPr>
                <w:b/>
              </w:rPr>
            </w:pPr>
            <w:r>
              <w:rPr>
                <w:b/>
              </w:rPr>
              <w:t>conversion</w:t>
            </w:r>
          </w:p>
        </w:tc>
        <w:tc>
          <w:tcPr>
            <w:tcW w:w="1893" w:type="dxa"/>
          </w:tcPr>
          <w:p w14:paraId="60D8894B" w14:textId="77777777" w:rsidR="009E2F94" w:rsidRDefault="009E2F94" w:rsidP="00005D7D">
            <w:pPr>
              <w:pStyle w:val="TableParagraph"/>
              <w:spacing w:before="205" w:line="360" w:lineRule="auto"/>
              <w:ind w:left="114" w:right="98"/>
              <w:jc w:val="center"/>
              <w:rPr>
                <w:b/>
              </w:rPr>
            </w:pPr>
            <w:r>
              <w:rPr>
                <w:b/>
              </w:rPr>
              <w:t>Tissues</w:t>
            </w:r>
          </w:p>
        </w:tc>
        <w:tc>
          <w:tcPr>
            <w:tcW w:w="1896" w:type="dxa"/>
          </w:tcPr>
          <w:p w14:paraId="6E17FDCD" w14:textId="77777777" w:rsidR="009E2F94" w:rsidRDefault="009E2F94" w:rsidP="00005D7D">
            <w:pPr>
              <w:pStyle w:val="TableParagraph"/>
              <w:spacing w:before="205" w:line="360" w:lineRule="auto"/>
              <w:ind w:left="504"/>
              <w:rPr>
                <w:b/>
              </w:rPr>
            </w:pPr>
            <w:r>
              <w:rPr>
                <w:b/>
              </w:rPr>
              <w:t>Examples</w:t>
            </w:r>
          </w:p>
        </w:tc>
      </w:tr>
      <w:tr w:rsidR="009E2F94" w14:paraId="2006AB07" w14:textId="77777777" w:rsidTr="00EE5C3E">
        <w:trPr>
          <w:trHeight w:val="1241"/>
          <w:jc w:val="center"/>
        </w:trPr>
        <w:tc>
          <w:tcPr>
            <w:tcW w:w="1538" w:type="dxa"/>
            <w:vMerge w:val="restart"/>
            <w:tcBorders>
              <w:left w:val="single" w:sz="6" w:space="0" w:color="000000"/>
            </w:tcBorders>
          </w:tcPr>
          <w:p w14:paraId="5E3CBAF2" w14:textId="77777777" w:rsidR="009E2F94" w:rsidRDefault="009E2F94" w:rsidP="00005D7D">
            <w:pPr>
              <w:pStyle w:val="TableParagraph"/>
              <w:spacing w:line="360" w:lineRule="auto"/>
              <w:rPr>
                <w:sz w:val="26"/>
              </w:rPr>
            </w:pPr>
          </w:p>
          <w:p w14:paraId="5ADCB346" w14:textId="77777777" w:rsidR="009E2F94" w:rsidRDefault="009E2F94" w:rsidP="00005D7D">
            <w:pPr>
              <w:pStyle w:val="TableParagraph"/>
              <w:spacing w:line="360" w:lineRule="auto"/>
              <w:rPr>
                <w:sz w:val="26"/>
              </w:rPr>
            </w:pPr>
          </w:p>
          <w:p w14:paraId="5FD66AB5" w14:textId="77777777" w:rsidR="009E2F94" w:rsidRDefault="009E2F94" w:rsidP="00005D7D">
            <w:pPr>
              <w:pStyle w:val="TableParagraph"/>
              <w:spacing w:before="9" w:line="360" w:lineRule="auto"/>
              <w:rPr>
                <w:sz w:val="37"/>
              </w:rPr>
            </w:pPr>
          </w:p>
          <w:p w14:paraId="3FC87945" w14:textId="77777777" w:rsidR="009E2F94" w:rsidRDefault="009E2F94" w:rsidP="00005D7D">
            <w:pPr>
              <w:pStyle w:val="TableParagraph"/>
              <w:spacing w:before="1" w:line="360" w:lineRule="auto"/>
              <w:ind w:left="494"/>
            </w:pPr>
            <w:r>
              <w:t>Type</w:t>
            </w:r>
            <w:r>
              <w:rPr>
                <w:spacing w:val="1"/>
              </w:rPr>
              <w:t xml:space="preserve"> </w:t>
            </w:r>
            <w:r>
              <w:t>I</w:t>
            </w:r>
          </w:p>
        </w:tc>
        <w:tc>
          <w:tcPr>
            <w:tcW w:w="1894" w:type="dxa"/>
          </w:tcPr>
          <w:p w14:paraId="08E12BE7" w14:textId="77777777" w:rsidR="009E2F94" w:rsidRDefault="009E2F94" w:rsidP="00005D7D">
            <w:pPr>
              <w:pStyle w:val="TableParagraph"/>
              <w:spacing w:before="4" w:line="360" w:lineRule="auto"/>
              <w:rPr>
                <w:sz w:val="35"/>
              </w:rPr>
            </w:pPr>
          </w:p>
          <w:p w14:paraId="415DFC9B" w14:textId="77777777" w:rsidR="009E2F94" w:rsidRDefault="009E2F94" w:rsidP="00005D7D">
            <w:pPr>
              <w:pStyle w:val="TableParagraph"/>
              <w:spacing w:line="360" w:lineRule="auto"/>
              <w:ind w:right="590"/>
              <w:jc w:val="right"/>
            </w:pPr>
            <w:r>
              <w:t>Type</w:t>
            </w:r>
            <w:r>
              <w:rPr>
                <w:spacing w:val="-1"/>
              </w:rPr>
              <w:t xml:space="preserve"> </w:t>
            </w:r>
            <w:r>
              <w:t>IA</w:t>
            </w:r>
          </w:p>
        </w:tc>
        <w:tc>
          <w:tcPr>
            <w:tcW w:w="1896" w:type="dxa"/>
          </w:tcPr>
          <w:p w14:paraId="4DB0AF48" w14:textId="77777777" w:rsidR="009E2F94" w:rsidRDefault="009E2F94" w:rsidP="00005D7D">
            <w:pPr>
              <w:pStyle w:val="TableParagraph"/>
              <w:spacing w:before="4" w:line="360" w:lineRule="auto"/>
              <w:rPr>
                <w:sz w:val="35"/>
              </w:rPr>
            </w:pPr>
          </w:p>
          <w:p w14:paraId="0E41495B" w14:textId="77777777" w:rsidR="009E2F94" w:rsidRDefault="009E2F94" w:rsidP="00005D7D">
            <w:pPr>
              <w:pStyle w:val="TableParagraph"/>
              <w:spacing w:line="360" w:lineRule="auto"/>
              <w:ind w:left="416"/>
            </w:pPr>
            <w:r>
              <w:t>Intracellular</w:t>
            </w:r>
          </w:p>
        </w:tc>
        <w:tc>
          <w:tcPr>
            <w:tcW w:w="1893" w:type="dxa"/>
          </w:tcPr>
          <w:p w14:paraId="79A7E69F" w14:textId="77777777" w:rsidR="009E2F94" w:rsidRDefault="009E2F94" w:rsidP="00005D7D">
            <w:pPr>
              <w:pStyle w:val="TableParagraph"/>
              <w:spacing w:before="200" w:line="360" w:lineRule="auto"/>
              <w:ind w:left="428" w:right="398" w:firstLine="261"/>
            </w:pPr>
            <w:r>
              <w:t>Target</w:t>
            </w:r>
            <w:r>
              <w:rPr>
                <w:spacing w:val="1"/>
              </w:rPr>
              <w:t xml:space="preserve"> </w:t>
            </w:r>
            <w:r>
              <w:t>tissues/cells</w:t>
            </w:r>
          </w:p>
        </w:tc>
        <w:tc>
          <w:tcPr>
            <w:tcW w:w="1896" w:type="dxa"/>
          </w:tcPr>
          <w:p w14:paraId="3947554D" w14:textId="77777777" w:rsidR="009E2F94" w:rsidRDefault="009E2F94" w:rsidP="00005D7D">
            <w:pPr>
              <w:pStyle w:val="TableParagraph"/>
              <w:spacing w:line="360" w:lineRule="auto"/>
              <w:ind w:left="311" w:right="297"/>
              <w:jc w:val="center"/>
            </w:pPr>
            <w:r>
              <w:t>Acyclovir</w:t>
            </w:r>
          </w:p>
          <w:p w14:paraId="00A0486A" w14:textId="77777777" w:rsidR="009E2F94" w:rsidRDefault="009E2F94" w:rsidP="00005D7D">
            <w:pPr>
              <w:pStyle w:val="TableParagraph"/>
              <w:spacing w:before="28" w:line="360" w:lineRule="auto"/>
              <w:ind w:left="312" w:right="297"/>
              <w:jc w:val="center"/>
            </w:pPr>
            <w:r>
              <w:rPr>
                <w:spacing w:val="-1"/>
              </w:rPr>
              <w:t>5-Fluorouracil</w:t>
            </w:r>
            <w:r>
              <w:rPr>
                <w:spacing w:val="-57"/>
              </w:rPr>
              <w:t xml:space="preserve"> </w:t>
            </w:r>
            <w:r>
              <w:t>L-Dopa</w:t>
            </w:r>
          </w:p>
        </w:tc>
      </w:tr>
      <w:tr w:rsidR="009E2F94" w14:paraId="4FCA6826" w14:textId="77777777" w:rsidTr="00EE5C3E">
        <w:trPr>
          <w:trHeight w:val="1244"/>
          <w:jc w:val="center"/>
        </w:trPr>
        <w:tc>
          <w:tcPr>
            <w:tcW w:w="1538" w:type="dxa"/>
            <w:vMerge/>
            <w:tcBorders>
              <w:top w:val="nil"/>
              <w:left w:val="single" w:sz="6" w:space="0" w:color="000000"/>
            </w:tcBorders>
          </w:tcPr>
          <w:p w14:paraId="3ADBFEF1" w14:textId="77777777" w:rsidR="009E2F94" w:rsidRDefault="009E2F94" w:rsidP="00005D7D">
            <w:pPr>
              <w:spacing w:line="360" w:lineRule="auto"/>
              <w:rPr>
                <w:sz w:val="2"/>
                <w:szCs w:val="2"/>
              </w:rPr>
            </w:pPr>
          </w:p>
        </w:tc>
        <w:tc>
          <w:tcPr>
            <w:tcW w:w="1894" w:type="dxa"/>
          </w:tcPr>
          <w:p w14:paraId="24D028E6" w14:textId="77777777" w:rsidR="009E2F94" w:rsidRDefault="009E2F94" w:rsidP="00005D7D">
            <w:pPr>
              <w:pStyle w:val="TableParagraph"/>
              <w:spacing w:before="6" w:line="360" w:lineRule="auto"/>
              <w:rPr>
                <w:sz w:val="35"/>
              </w:rPr>
            </w:pPr>
          </w:p>
          <w:p w14:paraId="60BDCA55" w14:textId="77777777" w:rsidR="009E2F94" w:rsidRDefault="009E2F94" w:rsidP="00005D7D">
            <w:pPr>
              <w:pStyle w:val="TableParagraph"/>
              <w:spacing w:before="1" w:line="360" w:lineRule="auto"/>
              <w:ind w:right="596"/>
              <w:jc w:val="right"/>
            </w:pPr>
            <w:r>
              <w:t>Type</w:t>
            </w:r>
            <w:r>
              <w:rPr>
                <w:spacing w:val="-1"/>
              </w:rPr>
              <w:t xml:space="preserve"> </w:t>
            </w:r>
            <w:r>
              <w:t>IB</w:t>
            </w:r>
          </w:p>
        </w:tc>
        <w:tc>
          <w:tcPr>
            <w:tcW w:w="1896" w:type="dxa"/>
          </w:tcPr>
          <w:p w14:paraId="6C08035B" w14:textId="77777777" w:rsidR="009E2F94" w:rsidRDefault="009E2F94" w:rsidP="00005D7D">
            <w:pPr>
              <w:pStyle w:val="TableParagraph"/>
              <w:spacing w:before="6" w:line="360" w:lineRule="auto"/>
              <w:rPr>
                <w:sz w:val="35"/>
              </w:rPr>
            </w:pPr>
          </w:p>
          <w:p w14:paraId="0A75AA28" w14:textId="77777777" w:rsidR="009E2F94" w:rsidRDefault="009E2F94" w:rsidP="00005D7D">
            <w:pPr>
              <w:pStyle w:val="TableParagraph"/>
              <w:spacing w:before="1" w:line="360" w:lineRule="auto"/>
              <w:ind w:left="416"/>
            </w:pPr>
            <w:r>
              <w:t>Intracellular</w:t>
            </w:r>
          </w:p>
        </w:tc>
        <w:tc>
          <w:tcPr>
            <w:tcW w:w="1893" w:type="dxa"/>
          </w:tcPr>
          <w:p w14:paraId="5F0D69D1" w14:textId="77777777" w:rsidR="009E2F94" w:rsidRDefault="009E2F94" w:rsidP="00005D7D">
            <w:pPr>
              <w:pStyle w:val="TableParagraph"/>
              <w:spacing w:line="360" w:lineRule="auto"/>
              <w:ind w:left="114" w:right="98"/>
              <w:jc w:val="center"/>
            </w:pPr>
            <w:r>
              <w:t>Metabolic</w:t>
            </w:r>
            <w:r>
              <w:rPr>
                <w:spacing w:val="-14"/>
              </w:rPr>
              <w:t xml:space="preserve"> </w:t>
            </w:r>
            <w:r>
              <w:t>tissues</w:t>
            </w:r>
            <w:r>
              <w:rPr>
                <w:spacing w:val="-57"/>
              </w:rPr>
              <w:t xml:space="preserve"> </w:t>
            </w:r>
            <w:r>
              <w:t>like</w:t>
            </w:r>
            <w:r>
              <w:rPr>
                <w:spacing w:val="-2"/>
              </w:rPr>
              <w:t xml:space="preserve"> </w:t>
            </w:r>
            <w:r>
              <w:t>liver and</w:t>
            </w:r>
            <w:r>
              <w:rPr>
                <w:spacing w:val="-1"/>
              </w:rPr>
              <w:t xml:space="preserve"> </w:t>
            </w:r>
            <w:r>
              <w:t>GI</w:t>
            </w:r>
          </w:p>
          <w:p w14:paraId="20A153FD" w14:textId="77777777" w:rsidR="009E2F94" w:rsidRDefault="009E2F94" w:rsidP="00005D7D">
            <w:pPr>
              <w:pStyle w:val="TableParagraph"/>
              <w:spacing w:line="360" w:lineRule="auto"/>
              <w:ind w:left="112" w:right="103"/>
              <w:jc w:val="center"/>
            </w:pPr>
            <w:r>
              <w:t>mucosal</w:t>
            </w:r>
            <w:r>
              <w:rPr>
                <w:spacing w:val="-2"/>
              </w:rPr>
              <w:t xml:space="preserve"> </w:t>
            </w:r>
            <w:r>
              <w:t>cells</w:t>
            </w:r>
          </w:p>
        </w:tc>
        <w:tc>
          <w:tcPr>
            <w:tcW w:w="1896" w:type="dxa"/>
          </w:tcPr>
          <w:p w14:paraId="681FDB50" w14:textId="77777777" w:rsidR="009E2F94" w:rsidRDefault="009E2F94" w:rsidP="00005D7D">
            <w:pPr>
              <w:pStyle w:val="TableParagraph"/>
              <w:spacing w:line="360" w:lineRule="auto"/>
              <w:ind w:left="478" w:right="464" w:firstLine="4"/>
              <w:jc w:val="center"/>
            </w:pPr>
            <w:r>
              <w:t>Captopril</w:t>
            </w:r>
            <w:r>
              <w:rPr>
                <w:spacing w:val="1"/>
              </w:rPr>
              <w:t xml:space="preserve"> </w:t>
            </w:r>
            <w:r>
              <w:rPr>
                <w:spacing w:val="-1"/>
              </w:rPr>
              <w:t>Phenacetin</w:t>
            </w:r>
          </w:p>
          <w:p w14:paraId="292D7411" w14:textId="77777777" w:rsidR="009E2F94" w:rsidRDefault="009E2F94" w:rsidP="00005D7D">
            <w:pPr>
              <w:pStyle w:val="TableParagraph"/>
              <w:spacing w:line="360" w:lineRule="auto"/>
              <w:ind w:left="109" w:right="95"/>
              <w:jc w:val="center"/>
            </w:pPr>
            <w:r>
              <w:t>Carbamazepine</w:t>
            </w:r>
          </w:p>
        </w:tc>
      </w:tr>
      <w:tr w:rsidR="009E2F94" w14:paraId="0595F5C4" w14:textId="77777777" w:rsidTr="00EE5C3E">
        <w:trPr>
          <w:trHeight w:val="828"/>
          <w:jc w:val="center"/>
        </w:trPr>
        <w:tc>
          <w:tcPr>
            <w:tcW w:w="1538" w:type="dxa"/>
            <w:vMerge w:val="restart"/>
            <w:tcBorders>
              <w:left w:val="single" w:sz="6" w:space="0" w:color="000000"/>
            </w:tcBorders>
          </w:tcPr>
          <w:p w14:paraId="230A4795" w14:textId="77777777" w:rsidR="009E2F94" w:rsidRDefault="009E2F94" w:rsidP="00005D7D">
            <w:pPr>
              <w:pStyle w:val="TableParagraph"/>
              <w:spacing w:line="360" w:lineRule="auto"/>
              <w:rPr>
                <w:sz w:val="26"/>
              </w:rPr>
            </w:pPr>
          </w:p>
          <w:p w14:paraId="5C68E76F" w14:textId="77777777" w:rsidR="009E2F94" w:rsidRDefault="009E2F94" w:rsidP="00005D7D">
            <w:pPr>
              <w:pStyle w:val="TableParagraph"/>
              <w:spacing w:line="360" w:lineRule="auto"/>
              <w:rPr>
                <w:sz w:val="26"/>
              </w:rPr>
            </w:pPr>
          </w:p>
          <w:p w14:paraId="3F837207" w14:textId="77777777" w:rsidR="009E2F94" w:rsidRDefault="009E2F94" w:rsidP="00005D7D">
            <w:pPr>
              <w:pStyle w:val="TableParagraph"/>
              <w:spacing w:line="360" w:lineRule="auto"/>
              <w:rPr>
                <w:sz w:val="26"/>
              </w:rPr>
            </w:pPr>
          </w:p>
          <w:p w14:paraId="30BA552E" w14:textId="77777777" w:rsidR="009E2F94" w:rsidRDefault="009E2F94" w:rsidP="00005D7D">
            <w:pPr>
              <w:pStyle w:val="TableParagraph"/>
              <w:spacing w:before="5" w:line="360" w:lineRule="auto"/>
              <w:rPr>
                <w:sz w:val="30"/>
              </w:rPr>
            </w:pPr>
          </w:p>
          <w:p w14:paraId="776288FE" w14:textId="77777777" w:rsidR="009E2F94" w:rsidRDefault="009E2F94" w:rsidP="00005D7D">
            <w:pPr>
              <w:pStyle w:val="TableParagraph"/>
              <w:spacing w:line="360" w:lineRule="auto"/>
              <w:ind w:left="453"/>
            </w:pPr>
            <w:r>
              <w:t>Type</w:t>
            </w:r>
            <w:r>
              <w:rPr>
                <w:spacing w:val="1"/>
              </w:rPr>
              <w:t xml:space="preserve"> </w:t>
            </w:r>
            <w:r>
              <w:t>II</w:t>
            </w:r>
          </w:p>
        </w:tc>
        <w:tc>
          <w:tcPr>
            <w:tcW w:w="1894" w:type="dxa"/>
          </w:tcPr>
          <w:p w14:paraId="1A2E7CD3" w14:textId="77777777" w:rsidR="009E2F94" w:rsidRDefault="009E2F94" w:rsidP="00005D7D">
            <w:pPr>
              <w:pStyle w:val="TableParagraph"/>
              <w:spacing w:line="360" w:lineRule="auto"/>
              <w:ind w:right="549"/>
              <w:jc w:val="right"/>
            </w:pPr>
            <w:r>
              <w:t>Type</w:t>
            </w:r>
            <w:r>
              <w:rPr>
                <w:spacing w:val="-1"/>
              </w:rPr>
              <w:t xml:space="preserve"> </w:t>
            </w:r>
            <w:r>
              <w:t>IIA</w:t>
            </w:r>
          </w:p>
        </w:tc>
        <w:tc>
          <w:tcPr>
            <w:tcW w:w="1896" w:type="dxa"/>
          </w:tcPr>
          <w:p w14:paraId="04776A92" w14:textId="77777777" w:rsidR="009E2F94" w:rsidRDefault="009E2F94" w:rsidP="00005D7D">
            <w:pPr>
              <w:pStyle w:val="TableParagraph"/>
              <w:spacing w:before="200" w:line="360" w:lineRule="auto"/>
              <w:ind w:left="382"/>
            </w:pPr>
            <w:r>
              <w:t>Extracellular</w:t>
            </w:r>
          </w:p>
        </w:tc>
        <w:tc>
          <w:tcPr>
            <w:tcW w:w="1893" w:type="dxa"/>
          </w:tcPr>
          <w:p w14:paraId="74401430" w14:textId="77777777" w:rsidR="009E2F94" w:rsidRDefault="009E2F94" w:rsidP="00005D7D">
            <w:pPr>
              <w:pStyle w:val="TableParagraph"/>
              <w:spacing w:before="200" w:line="360" w:lineRule="auto"/>
              <w:ind w:left="114" w:right="103"/>
              <w:jc w:val="center"/>
            </w:pPr>
            <w:r>
              <w:t>GI</w:t>
            </w:r>
            <w:r>
              <w:rPr>
                <w:spacing w:val="-5"/>
              </w:rPr>
              <w:t xml:space="preserve"> </w:t>
            </w:r>
            <w:r>
              <w:t>Fluids</w:t>
            </w:r>
          </w:p>
        </w:tc>
        <w:tc>
          <w:tcPr>
            <w:tcW w:w="1896" w:type="dxa"/>
          </w:tcPr>
          <w:p w14:paraId="59537BA2" w14:textId="77777777" w:rsidR="009E2F94" w:rsidRDefault="009E2F94" w:rsidP="00005D7D">
            <w:pPr>
              <w:pStyle w:val="TableParagraph"/>
              <w:spacing w:line="360" w:lineRule="auto"/>
              <w:ind w:left="110" w:right="95"/>
              <w:jc w:val="center"/>
            </w:pPr>
            <w:r>
              <w:t>Loperamide</w:t>
            </w:r>
            <w:r>
              <w:rPr>
                <w:spacing w:val="-2"/>
              </w:rPr>
              <w:t xml:space="preserve"> </w:t>
            </w:r>
            <w:r>
              <w:t>oxide</w:t>
            </w:r>
          </w:p>
          <w:p w14:paraId="72BADBFA" w14:textId="77777777" w:rsidR="009E2F94" w:rsidRDefault="009E2F94" w:rsidP="00005D7D">
            <w:pPr>
              <w:pStyle w:val="TableParagraph"/>
              <w:spacing w:before="139" w:line="360" w:lineRule="auto"/>
              <w:ind w:left="110" w:right="93"/>
              <w:jc w:val="center"/>
            </w:pPr>
            <w:r>
              <w:t>Sulphasalazine</w:t>
            </w:r>
          </w:p>
        </w:tc>
      </w:tr>
      <w:tr w:rsidR="009E2F94" w14:paraId="69FA71E5" w14:textId="77777777" w:rsidTr="00EE5C3E">
        <w:trPr>
          <w:trHeight w:val="1656"/>
          <w:jc w:val="center"/>
        </w:trPr>
        <w:tc>
          <w:tcPr>
            <w:tcW w:w="1538" w:type="dxa"/>
            <w:vMerge/>
            <w:tcBorders>
              <w:top w:val="nil"/>
              <w:left w:val="single" w:sz="6" w:space="0" w:color="000000"/>
            </w:tcBorders>
          </w:tcPr>
          <w:p w14:paraId="65022210" w14:textId="77777777" w:rsidR="009E2F94" w:rsidRDefault="009E2F94" w:rsidP="00005D7D">
            <w:pPr>
              <w:spacing w:line="360" w:lineRule="auto"/>
              <w:rPr>
                <w:sz w:val="2"/>
                <w:szCs w:val="2"/>
              </w:rPr>
            </w:pPr>
          </w:p>
        </w:tc>
        <w:tc>
          <w:tcPr>
            <w:tcW w:w="1894" w:type="dxa"/>
          </w:tcPr>
          <w:p w14:paraId="1DE1B30E" w14:textId="77777777" w:rsidR="009E2F94" w:rsidRDefault="009E2F94" w:rsidP="00005D7D">
            <w:pPr>
              <w:pStyle w:val="TableParagraph"/>
              <w:spacing w:line="360" w:lineRule="auto"/>
              <w:ind w:right="557"/>
              <w:jc w:val="right"/>
            </w:pPr>
            <w:r>
              <w:t>Type</w:t>
            </w:r>
            <w:r>
              <w:rPr>
                <w:spacing w:val="-1"/>
              </w:rPr>
              <w:t xml:space="preserve"> </w:t>
            </w:r>
            <w:r>
              <w:t>IIB</w:t>
            </w:r>
          </w:p>
        </w:tc>
        <w:tc>
          <w:tcPr>
            <w:tcW w:w="1896" w:type="dxa"/>
          </w:tcPr>
          <w:p w14:paraId="769EE17F" w14:textId="77777777" w:rsidR="009E2F94" w:rsidRDefault="009E2F94" w:rsidP="00005D7D">
            <w:pPr>
              <w:pStyle w:val="TableParagraph"/>
              <w:spacing w:before="203" w:line="360" w:lineRule="auto"/>
              <w:ind w:left="382"/>
            </w:pPr>
            <w:r>
              <w:t>Extracellular</w:t>
            </w:r>
          </w:p>
        </w:tc>
        <w:tc>
          <w:tcPr>
            <w:tcW w:w="1893" w:type="dxa"/>
          </w:tcPr>
          <w:p w14:paraId="483DB4EE" w14:textId="77777777" w:rsidR="009E2F94" w:rsidRDefault="009E2F94" w:rsidP="00005D7D">
            <w:pPr>
              <w:pStyle w:val="TableParagraph"/>
              <w:spacing w:line="360" w:lineRule="auto"/>
              <w:ind w:left="128" w:right="111" w:hanging="3"/>
              <w:jc w:val="center"/>
            </w:pPr>
            <w:r>
              <w:t>Systemic</w:t>
            </w:r>
            <w:r>
              <w:rPr>
                <w:spacing w:val="1"/>
              </w:rPr>
              <w:t xml:space="preserve"> </w:t>
            </w:r>
            <w:r>
              <w:t>circulation or</w:t>
            </w:r>
            <w:r>
              <w:rPr>
                <w:spacing w:val="1"/>
              </w:rPr>
              <w:t xml:space="preserve"> </w:t>
            </w:r>
            <w:r>
              <w:t>other</w:t>
            </w:r>
            <w:r>
              <w:rPr>
                <w:spacing w:val="-15"/>
              </w:rPr>
              <w:t xml:space="preserve"> </w:t>
            </w:r>
            <w:r>
              <w:t>extracellular</w:t>
            </w:r>
          </w:p>
          <w:p w14:paraId="0252E89B" w14:textId="77777777" w:rsidR="009E2F94" w:rsidRDefault="009E2F94" w:rsidP="00005D7D">
            <w:pPr>
              <w:pStyle w:val="TableParagraph"/>
              <w:spacing w:line="360" w:lineRule="auto"/>
              <w:ind w:left="114" w:right="103"/>
              <w:jc w:val="center"/>
            </w:pPr>
            <w:r>
              <w:t>compartments</w:t>
            </w:r>
          </w:p>
        </w:tc>
        <w:tc>
          <w:tcPr>
            <w:tcW w:w="1896" w:type="dxa"/>
          </w:tcPr>
          <w:p w14:paraId="41B22321" w14:textId="77777777" w:rsidR="009E2F94" w:rsidRDefault="009E2F94" w:rsidP="00005D7D">
            <w:pPr>
              <w:pStyle w:val="TableParagraph"/>
              <w:spacing w:line="360" w:lineRule="auto"/>
              <w:ind w:left="560" w:right="136" w:hanging="387"/>
            </w:pPr>
            <w:r>
              <w:t>Chloramphenicol succinate</w:t>
            </w:r>
          </w:p>
        </w:tc>
      </w:tr>
      <w:tr w:rsidR="009E2F94" w14:paraId="3DB3D25A" w14:textId="77777777" w:rsidTr="00EE5C3E">
        <w:trPr>
          <w:trHeight w:val="1080"/>
          <w:jc w:val="center"/>
        </w:trPr>
        <w:tc>
          <w:tcPr>
            <w:tcW w:w="1538" w:type="dxa"/>
            <w:vMerge/>
            <w:tcBorders>
              <w:top w:val="nil"/>
              <w:left w:val="single" w:sz="6" w:space="0" w:color="000000"/>
            </w:tcBorders>
          </w:tcPr>
          <w:p w14:paraId="47F044EB" w14:textId="77777777" w:rsidR="009E2F94" w:rsidRDefault="009E2F94" w:rsidP="00005D7D">
            <w:pPr>
              <w:spacing w:line="360" w:lineRule="auto"/>
              <w:rPr>
                <w:sz w:val="2"/>
                <w:szCs w:val="2"/>
              </w:rPr>
            </w:pPr>
          </w:p>
        </w:tc>
        <w:tc>
          <w:tcPr>
            <w:tcW w:w="1894" w:type="dxa"/>
          </w:tcPr>
          <w:p w14:paraId="6790C655" w14:textId="77777777" w:rsidR="009E2F94" w:rsidRDefault="009E2F94" w:rsidP="00005D7D">
            <w:pPr>
              <w:pStyle w:val="TableParagraph"/>
              <w:spacing w:before="7" w:line="360" w:lineRule="auto"/>
              <w:rPr>
                <w:sz w:val="35"/>
              </w:rPr>
            </w:pPr>
          </w:p>
          <w:p w14:paraId="3815985A" w14:textId="77777777" w:rsidR="009E2F94" w:rsidRDefault="009E2F94" w:rsidP="00005D7D">
            <w:pPr>
              <w:pStyle w:val="TableParagraph"/>
              <w:spacing w:line="360" w:lineRule="auto"/>
              <w:ind w:right="557"/>
              <w:jc w:val="right"/>
            </w:pPr>
            <w:r>
              <w:t>Type</w:t>
            </w:r>
            <w:r>
              <w:rPr>
                <w:spacing w:val="-1"/>
              </w:rPr>
              <w:t xml:space="preserve"> </w:t>
            </w:r>
            <w:r>
              <w:t>IIC</w:t>
            </w:r>
          </w:p>
        </w:tc>
        <w:tc>
          <w:tcPr>
            <w:tcW w:w="1896" w:type="dxa"/>
          </w:tcPr>
          <w:p w14:paraId="2F8276A2" w14:textId="77777777" w:rsidR="009E2F94" w:rsidRDefault="009E2F94" w:rsidP="00005D7D">
            <w:pPr>
              <w:pStyle w:val="TableParagraph"/>
              <w:spacing w:before="7" w:line="360" w:lineRule="auto"/>
              <w:rPr>
                <w:sz w:val="35"/>
              </w:rPr>
            </w:pPr>
          </w:p>
          <w:p w14:paraId="3B0DF8B2" w14:textId="77777777" w:rsidR="009E2F94" w:rsidRDefault="009E2F94" w:rsidP="00005D7D">
            <w:pPr>
              <w:pStyle w:val="TableParagraph"/>
              <w:spacing w:line="360" w:lineRule="auto"/>
              <w:ind w:left="382"/>
            </w:pPr>
            <w:r>
              <w:t>Extracellular</w:t>
            </w:r>
          </w:p>
        </w:tc>
        <w:tc>
          <w:tcPr>
            <w:tcW w:w="1893" w:type="dxa"/>
          </w:tcPr>
          <w:p w14:paraId="220AA852" w14:textId="77777777" w:rsidR="009E2F94" w:rsidRDefault="009E2F94" w:rsidP="00005D7D">
            <w:pPr>
              <w:pStyle w:val="TableParagraph"/>
              <w:spacing w:before="7" w:line="360" w:lineRule="auto"/>
              <w:rPr>
                <w:sz w:val="35"/>
              </w:rPr>
            </w:pPr>
          </w:p>
          <w:p w14:paraId="0DE81B99" w14:textId="77777777" w:rsidR="009E2F94" w:rsidRDefault="009E2F94" w:rsidP="00005D7D">
            <w:pPr>
              <w:pStyle w:val="TableParagraph"/>
              <w:spacing w:line="360" w:lineRule="auto"/>
              <w:ind w:left="114" w:right="103"/>
              <w:jc w:val="center"/>
            </w:pPr>
            <w:r>
              <w:t>Target</w:t>
            </w:r>
            <w:r>
              <w:rPr>
                <w:spacing w:val="-4"/>
              </w:rPr>
              <w:t xml:space="preserve"> </w:t>
            </w:r>
            <w:r>
              <w:t>tissue/cells</w:t>
            </w:r>
          </w:p>
        </w:tc>
        <w:tc>
          <w:tcPr>
            <w:tcW w:w="1896" w:type="dxa"/>
          </w:tcPr>
          <w:p w14:paraId="1C776CD7" w14:textId="77777777" w:rsidR="009E2F94" w:rsidRDefault="009E2F94" w:rsidP="00005D7D">
            <w:pPr>
              <w:pStyle w:val="TableParagraph"/>
              <w:spacing w:line="360" w:lineRule="auto"/>
              <w:ind w:left="620"/>
            </w:pPr>
            <w:r>
              <w:t>ADEPT</w:t>
            </w:r>
          </w:p>
          <w:p w14:paraId="2C9726AF" w14:textId="77777777" w:rsidR="009E2F94" w:rsidRDefault="009E2F94" w:rsidP="00005D7D">
            <w:pPr>
              <w:pStyle w:val="TableParagraph"/>
              <w:spacing w:before="6" w:line="360" w:lineRule="auto"/>
              <w:ind w:left="620" w:right="582"/>
            </w:pPr>
            <w:r>
              <w:t>GDEPT</w:t>
            </w:r>
            <w:r>
              <w:rPr>
                <w:w w:val="99"/>
              </w:rPr>
              <w:t xml:space="preserve"> </w:t>
            </w:r>
            <w:r>
              <w:t>VDEPT</w:t>
            </w:r>
          </w:p>
        </w:tc>
      </w:tr>
    </w:tbl>
    <w:p w14:paraId="3699AB2D" w14:textId="77777777" w:rsidR="0072242D" w:rsidRPr="0072242D" w:rsidRDefault="00EE5C3E" w:rsidP="00EE5C3E">
      <w:pPr>
        <w:pStyle w:val="Heading1"/>
      </w:pPr>
      <w:r>
        <w:t xml:space="preserve">4. </w:t>
      </w:r>
      <w:r w:rsidR="0072242D" w:rsidRPr="0072242D">
        <w:t>FUNCTIONAL GROU</w:t>
      </w:r>
      <w:r>
        <w:t>PS AMENABLE TO PRODRUG DESIGN</w:t>
      </w:r>
      <w:r w:rsidR="0072242D" w:rsidRPr="0072242D">
        <w:t xml:space="preserve"> </w:t>
      </w:r>
    </w:p>
    <w:p w14:paraId="4048A714" w14:textId="77777777" w:rsidR="0072242D" w:rsidRDefault="009E2F94" w:rsidP="00005D7D">
      <w:pPr>
        <w:spacing w:line="360" w:lineRule="auto"/>
      </w:pPr>
      <w:r w:rsidRPr="009E2F94">
        <w:t>It is advisable to incorporate the design of a suitable prodrug structure during the initial phases of preclinical development, taking into account the potential impact of prodrugs on the distribution, effectiveness, and toxicity of the parent drug</w:t>
      </w:r>
      <w:r w:rsidR="00F0323B">
        <w:t xml:space="preserve"> </w:t>
      </w:r>
      <w:r w:rsidR="005617D9">
        <w:fldChar w:fldCharType="begin" w:fldLock="1"/>
      </w:r>
      <w:r w:rsidR="00F0323B">
        <w:instrText>ADDIN CSL_CITATION {"citationItems":[{"id":"ITEM-1","itemData":{"DOI":"10.1038/nrd2468","ISSN":"14741776","PMID":"18219308","abstract":"Prodrugs are bioreversible derivatives of drug molecules that undergo an enzymatic and/or chemical transformation in vivo to release the active parent drug, which can then exert the desired pharmacological effect. In both drug discovery and development, prodrugs have become an established tool for improving physicochemical, biopharmaceutical or pharmacokinetic properties of pharmacologically active agents. About 5-7% of drugs approved worldwide can be classified as prodrugs, and the implementation of a prodrug approach in the early stages of drug discovery is a growing trend. To illustrate the applicability of the prodrug strategy, this article describes the most common functional groups that are amenable to prodrug design, and highlights examples of prodrugs that are either launched or are undergoing human trials.","author":[{"dropping-particle":"","family":"Rautio","given":"Jarkko","non-dropping-particle":"","parse-names":false,"suffix":""},{"dropping-particle":"","family":"Kumpulainen","given":"Hanna","non-dropping-particle":"","parse-names":false,"suffix":""},{"dropping-particle":"","family":"Heimbach","given":"Tycho","non-dropping-particle":"","parse-names":false,"suffix":""},{"dropping-particle":"","family":"Oliyai","given":"Reza","non-dropping-particle":"","parse-names":false,"suffix":""},{"dropping-particle":"","family":"Oh","given":"Dooman","non-dropping-particle":"","parse-names":false,"suffix":""},{"dropping-particle":"","family":"Järvinen","given":"Tomi","non-dropping-particle":"","parse-names":false,"suffix":""},{"dropping-particle":"","family":"Savolainen","given":"Jouko","non-dropping-particle":"","parse-names":false,"suffix":""}],"container-title":"Nature Reviews Drug Discovery","id":"ITEM-1","issue":"3","issued":{"date-parts":[["2008"]]},"page":"255-270","title":"Prodrugs: Design and clinical applications","type":"article-journal","volume":"7"},"uris":["http://www.mendeley.com/documents/?uuid=e321e701-230e-4803-826a-54eb111132a8"]}],"mendeley":{"formattedCitation":"[17]","plainTextFormattedCitation":"[17]","previouslyFormattedCitation":"[17]"},"properties":{"noteIndex":0},"schema":"https://github.com/citation-style-language/schema/raw/master/csl-citation.json"}</w:instrText>
      </w:r>
      <w:r w:rsidR="005617D9">
        <w:fldChar w:fldCharType="separate"/>
      </w:r>
      <w:r w:rsidR="00F0323B" w:rsidRPr="00F0323B">
        <w:rPr>
          <w:noProof/>
        </w:rPr>
        <w:t>[17]</w:t>
      </w:r>
      <w:r w:rsidR="005617D9">
        <w:fldChar w:fldCharType="end"/>
      </w:r>
      <w:r w:rsidR="00F0323B">
        <w:t xml:space="preserve"> </w:t>
      </w:r>
      <w:r w:rsidRPr="009E2F94">
        <w:t xml:space="preserve">. When designing a prodrug structure, it is imperative to thoroughly </w:t>
      </w:r>
      <w:r w:rsidR="00005D7D" w:rsidRPr="009E2F94">
        <w:t>analyze</w:t>
      </w:r>
      <w:r w:rsidRPr="009E2F94">
        <w:t xml:space="preserve"> several significant factors. These factors encompass</w:t>
      </w:r>
      <w:r w:rsidR="0072242D">
        <w:t xml:space="preserve"> </w:t>
      </w:r>
    </w:p>
    <w:p w14:paraId="3E3E79EA" w14:textId="77777777" w:rsidR="0072242D" w:rsidRDefault="0072242D" w:rsidP="00005D7D">
      <w:pPr>
        <w:spacing w:line="360" w:lineRule="auto"/>
      </w:pPr>
      <w:r w:rsidRPr="00EE5C3E">
        <w:rPr>
          <w:b/>
        </w:rPr>
        <w:t>Parent drug:</w:t>
      </w:r>
      <w:r>
        <w:t xml:space="preserve"> </w:t>
      </w:r>
      <w:r w:rsidR="009E2F94" w:rsidRPr="009E2F94">
        <w:t>Which functional groups may be changed chemically to form prodrugs.</w:t>
      </w:r>
      <w:r>
        <w:t xml:space="preserve"> </w:t>
      </w:r>
    </w:p>
    <w:p w14:paraId="7DD7E311" w14:textId="742B82E9" w:rsidR="0072242D" w:rsidRDefault="0072242D" w:rsidP="00005D7D">
      <w:pPr>
        <w:spacing w:line="360" w:lineRule="auto"/>
      </w:pPr>
      <w:r w:rsidRPr="00EE5C3E">
        <w:rPr>
          <w:b/>
        </w:rPr>
        <w:lastRenderedPageBreak/>
        <w:t>Promoiety:</w:t>
      </w:r>
      <w:r>
        <w:t xml:space="preserve"> </w:t>
      </w:r>
      <w:r w:rsidR="009E2F94" w:rsidRPr="009E2F94">
        <w:t xml:space="preserve">Ideally, this should be quickly and safely eliminated from the body. </w:t>
      </w:r>
      <w:r w:rsidR="00F3000C" w:rsidRPr="00F3000C">
        <w:t>When choosing a promotiety, it's important to consider the patient's current health, their treatment options, and how long they want to stay on those options</w:t>
      </w:r>
      <w:r w:rsidR="005617D9">
        <w:fldChar w:fldCharType="begin" w:fldLock="1"/>
      </w:r>
      <w:r w:rsidR="003D517B">
        <w:instrText>ADDIN CSL_CITATION {"citationItems":[{"id":"ITEM-1","itemData":{"DOI":"10.1016/S1734-1140(13)70959-9","ISSN":"22995684","PMID":"23563019","abstract":"It is estimated that about 10% of the drugs approved worldwide can be classified as prodrugs. Prodrugs, which have no or poor biological activity, are chemically modified versions of a pharmacologically active agent, which must undergo transformation in vivo to release the active drug. They are designed in order to improve the physicochemical, biopharmaceutical and/or pharmacokinetic properties of pharmacologically potent compounds. This article describes the basic functional groups that are amenable to prodrug design, and highlights the major applications of the prodrug strategy, including the ability to improve oral absorption and aqueous solubility, increase lipophilicity, enhance active transport, as well as achieve site-selective delivery. Special emphasis is given to the role of the prodrug concept in the design of new anticancer therapies, including antibody-directed enzyme prodrug therapy (ADEPT) and gene-directed enzyme prodrug therapy (GDEPT). Copyright © 2013 by Institute of Pharmacology Polish Academy of Sciences.","author":[{"dropping-particle":"","family":"Zawilska","given":"Jolanta B.","non-dropping-particle":"","parse-names":false,"suffix":""},{"dropping-particle":"","family":"Wojcieszak","given":"Jakub","non-dropping-particle":"","parse-names":false,"suffix":""},{"dropping-particle":"","family":"Olejniczak","given":"Agnieszka B.","non-dropping-particle":"","parse-names":false,"suffix":""}],"container-title":"Pharmacological Reports","id":"ITEM-1","issue":"1","issued":{"date-parts":[["2013"]]},"page":"1-14","title":"Prodrugs: A challenge for the drug development","type":"article-journal","volume":"65"},"uris":["http://www.mendeley.com/documents/?uuid=155ddded-f6d8-44f2-83f7-b7f106cb60be"]}],"mendeley":{"formattedCitation":"[18]","plainTextFormattedCitation":"[18]","previouslyFormattedCitation":"[18]"},"properties":{"noteIndex":0},"schema":"https://github.com/citation-style-language/schema/raw/master/csl-citation.json"}</w:instrText>
      </w:r>
      <w:r w:rsidR="005617D9">
        <w:fldChar w:fldCharType="separate"/>
      </w:r>
      <w:r w:rsidR="00F0323B" w:rsidRPr="00F0323B">
        <w:rPr>
          <w:noProof/>
        </w:rPr>
        <w:t>[18]</w:t>
      </w:r>
      <w:r w:rsidR="005617D9">
        <w:fldChar w:fldCharType="end"/>
      </w:r>
      <w:r w:rsidR="009E2F94" w:rsidRPr="009E2F94">
        <w:t>.</w:t>
      </w:r>
      <w:r>
        <w:t xml:space="preserve"> </w:t>
      </w:r>
    </w:p>
    <w:p w14:paraId="697AE72B" w14:textId="77777777" w:rsidR="00BD285D" w:rsidRDefault="0072242D" w:rsidP="00BD285D">
      <w:pPr>
        <w:spacing w:line="360" w:lineRule="auto"/>
      </w:pPr>
      <w:r w:rsidRPr="00EE5C3E">
        <w:rPr>
          <w:b/>
        </w:rPr>
        <w:t>Parent and prodrug:</w:t>
      </w:r>
      <w:r>
        <w:t xml:space="preserve"> </w:t>
      </w:r>
      <w:r w:rsidR="00BD285D">
        <w:t xml:space="preserve">The four phases of pharmacokinetics—absorption, distribution, metabolism, and excretion—must be well understood. </w:t>
      </w:r>
    </w:p>
    <w:p w14:paraId="4A514CA0" w14:textId="428FBBBD" w:rsidR="0072242D" w:rsidRDefault="00BD285D" w:rsidP="00BD285D">
      <w:pPr>
        <w:spacing w:line="360" w:lineRule="auto"/>
      </w:pPr>
      <w:r>
        <w:t>Prodrugs may be made using various functional groups, such as carboxyl, hydroxyl, amine, phosphate/phosphonate, andas well as carbonyl. Prodrugs may be made by rearranging functional groups such as esters, carbonates, carbamates, amides, phosphates, as well as oximes</w:t>
      </w:r>
      <w:r w:rsidR="005617D9">
        <w:fldChar w:fldCharType="begin" w:fldLock="1"/>
      </w:r>
      <w:r w:rsidR="001C428A">
        <w:instrText>ADDIN CSL_CITATION {"citationItems":[{"id":"ITEM-1","itemData":{"DOI":"10.1016/j.ijpharm.2019.118498","ISSN":"18733476","PMID":"31301465","abstract":"Water solubility has been identified as a critical parameter and the main responsible by affecting poor performance of oral drug delivery. Poorly soluble drugs can originate unsatisfactory ADME properties leading to low oral bioavailability, insufficient chemical stability, low half-life, fast pre-systemic metabolism and difficulties in formulation. In this context, the prodrug design is an alternative in order to improve physicochemical, biopharmaceutical and pharmacokinetic properties such as permeability, solubility, bioavailability, chemical stability and metabolism of molecules presenting poor drug-like properties. In this article we highlight the importance of the prodrug design in the early stages of drug discovery and development process, in an attempt to diminish the attrition rate and end up falling into the valley of death. Selected examples of this strategy are provided in this review and they are classified by some basic functional groups that are amenable to the prodrug approach with the aim of increasing aqueous solubility of poorly water-soluble compounds. Over the past decade, the number of approved prodrugs is considerable among all drugs launched in the market, emphasizing the importance of this tool on drug design. It is reported that 10% of all marketed drug worldwide can be classified as prodrugs. Furthermore, prodrugs designed to be more water soluble launched in the past decade are summarized in a table to have a closer look and finally state that the prodrug design is an amenable approach to increase water solubility.","author":[{"dropping-particle":"","family":"Sanches","given":"Bruna M.A.","non-dropping-particle":"","parse-names":false,"suffix":""},{"dropping-particle":"","family":"Ferreira","given":"Elizabeth I.","non-dropping-particle":"","parse-names":false,"suffix":""}],"container-title":"International Journal of Pharmaceutics","id":"ITEM-1","issue":"May","issued":{"date-parts":[["2019"]]},"page":"118498","publisher":"Elsevier","title":"Is prodrug design an approach to increase water solubility?","type":"article-journal","volume":"568"},"uris":["http://www.mendeley.com/documents/?uuid=56ee7e10-65c6-43a1-aa20-2813ebe37ac3"]}],"mendeley":{"formattedCitation":"[19]","plainTextFormattedCitation":"[19]","previouslyFormattedCitation":"[19]"},"properties":{"noteIndex":0},"schema":"https://github.com/citation-style-language/schema/raw/master/csl-citation.json"}</w:instrText>
      </w:r>
      <w:r w:rsidR="005617D9">
        <w:fldChar w:fldCharType="separate"/>
      </w:r>
      <w:r w:rsidR="003D517B" w:rsidRPr="003D517B">
        <w:rPr>
          <w:noProof/>
        </w:rPr>
        <w:t>[19]</w:t>
      </w:r>
      <w:r w:rsidR="005617D9">
        <w:fldChar w:fldCharType="end"/>
      </w:r>
      <w:r w:rsidR="009E2F94" w:rsidRPr="009E2F94">
        <w:t>.</w:t>
      </w:r>
    </w:p>
    <w:p w14:paraId="2BF57B6E" w14:textId="77777777" w:rsidR="0072242D" w:rsidRPr="0072242D" w:rsidRDefault="00EE5C3E" w:rsidP="00EE5C3E">
      <w:pPr>
        <w:pStyle w:val="Heading1"/>
      </w:pPr>
      <w:r>
        <w:t xml:space="preserve">5. </w:t>
      </w:r>
      <w:r w:rsidR="0072242D" w:rsidRPr="0072242D">
        <w:t>PRODRUG</w:t>
      </w:r>
      <w:r>
        <w:t xml:space="preserve"> INCORPORATED DRUG DELIVERY</w:t>
      </w:r>
    </w:p>
    <w:p w14:paraId="038CF49F" w14:textId="77777777" w:rsidR="0072242D" w:rsidRDefault="009E2F94" w:rsidP="00005D7D">
      <w:pPr>
        <w:spacing w:line="360" w:lineRule="auto"/>
      </w:pPr>
      <w:r w:rsidRPr="009E2F94">
        <w:t>For greatest effectiveness, the colloidal drug delivery system must contain the highest amount of medication. This is because the system releases the drug that has been encapsulated when it is in circulation or after being recognized by a cell</w:t>
      </w:r>
      <w:r w:rsidR="001C428A">
        <w:t xml:space="preserve"> </w:t>
      </w:r>
      <w:r w:rsidR="005617D9">
        <w:fldChar w:fldCharType="begin" w:fldLock="1"/>
      </w:r>
      <w:r w:rsidR="001C428A">
        <w:instrText>ADDIN CSL_CITATION {"citationItems":[{"id":"ITEM-1","itemData":{"DOI":"10.1016/j.ajps.2013.09.002","ISSN":"2221285X","abstract":"Numerous systems have been designed during the past three decades to improve bioavailability of ophthalmic drug delivery, including: ocular prodrugs and nanotechnology-based drug delivery system. The former can improve the efficacy of ocular drug via enhancing corneal penetration of ocular drugs, prolonging their duration of action and/or reducing the systemic side-effects, unfortunately, some characteristics of the prodrugs, such as poorly aqueous stability, poorly aqueous solubility and severe eye irritation probably, limit their clinical practice and cannot be ignored. As we all know, nanotechnology for ocular drug delivery can carry poorly soluble drugs, protect the encapsulated molecules from hydrolysis, control the rate of drug delivery and prolong the precorneal retention of drugs. All of these merits may solve the problems in the utilization of ocular prodrugs and increase the bioavailability of ocular drug delivery. By reviewing recent advances of prodrugs and nanostructures in ocular drug delivery, this paper focus specifically on the promising prospects of nanocarriers overcoming the drawbacks of prodrugs for ophthalmic drug delivery by precorneal routes.","author":[{"dropping-particle":"","family":"Ye","given":"Tiantian","non-dropping-particle":"","parse-names":false,"suffix":""},{"dropping-particle":"","family":"Yuan","given":"Kun","non-dropping-particle":"","parse-names":false,"suffix":""},{"dropping-particle":"","family":"Zhang","given":"Wenji","non-dropping-particle":"","parse-names":false,"suffix":""},{"dropping-particle":"","family":"Song","given":"Shuangshuang","non-dropping-particle":"","parse-names":false,"suffix":""},{"dropping-particle":"","family":"Chen","given":"Fen","non-dropping-particle":"","parse-names":false,"suffix":""},{"dropping-particle":"","family":"Yang","given":"Xinggang","non-dropping-particle":"","parse-names":false,"suffix":""},{"dropping-particle":"","family":"Wang","given":"Shujun","non-dropping-particle":"","parse-names":false,"suffix":""},{"dropping-particle":"","family":"Bi","given":"Jianwei","non-dropping-particle":"","parse-names":false,"suffix":""},{"dropping-particle":"","family":"Pan","given":"Weisan","non-dropping-particle":"","parse-names":false,"suffix":""}],"container-title":"Asian Journal of Pharmaceutical Sciences","id":"ITEM-1","issue":"4","issued":{"date-parts":[["2013"]]},"page":"207-217","publisher":"Elsevier Ltd and IIR","title":"Prodrugs incorporated into nanotechnology-based drug delivery systems for possible improvement in bioavailability of ocular drugs delivery","type":"article-journal","volume":"8"},"uris":["http://www.mendeley.com/documents/?uuid=e066bd9b-f9fc-46e4-8dfc-466fe01fcdf2"]}],"mendeley":{"formattedCitation":"[20]","plainTextFormattedCitation":"[20]","previouslyFormattedCitation":"[20]"},"properties":{"noteIndex":0},"schema":"https://github.com/citation-style-language/schema/raw/master/csl-citation.json"}</w:instrText>
      </w:r>
      <w:r w:rsidR="005617D9">
        <w:fldChar w:fldCharType="separate"/>
      </w:r>
      <w:r w:rsidR="001C428A" w:rsidRPr="001C428A">
        <w:rPr>
          <w:noProof/>
        </w:rPr>
        <w:t>[20]</w:t>
      </w:r>
      <w:r w:rsidR="005617D9">
        <w:fldChar w:fldCharType="end"/>
      </w:r>
      <w:r w:rsidRPr="009E2F94">
        <w:t>.</w:t>
      </w:r>
    </w:p>
    <w:p w14:paraId="51911A14" w14:textId="6C466E19" w:rsidR="0072242D" w:rsidRDefault="0072242D" w:rsidP="00005D7D">
      <w:pPr>
        <w:spacing w:line="360" w:lineRule="auto"/>
      </w:pPr>
      <w:r w:rsidRPr="00EE5C3E">
        <w:rPr>
          <w:b/>
        </w:rPr>
        <w:t>Liposome:</w:t>
      </w:r>
      <w:r>
        <w:t xml:space="preserve"> </w:t>
      </w:r>
      <w:r w:rsidR="009E2F94" w:rsidRPr="009E2F94">
        <w:t xml:space="preserve">Liposomes are composed of a lipid bilayer with water molecules interspersed between the lipid bilayers. </w:t>
      </w:r>
      <w:r w:rsidR="00732CF7" w:rsidRPr="00732CF7">
        <w:t xml:space="preserve">Based on the drug's physicochemical qualities, </w:t>
      </w:r>
      <w:r w:rsidR="001F75E2" w:rsidRPr="001F75E2">
        <w:t xml:space="preserve">Both the lipid bilayer and the aqueous environment may incorporate it. </w:t>
      </w:r>
      <w:r w:rsidR="009E2F94" w:rsidRPr="009E2F94">
        <w:t xml:space="preserve">The drug with lower hydrophobicity demonstrates reduced entrapment efficiency. </w:t>
      </w:r>
      <w:r w:rsidR="0046596E" w:rsidRPr="0046596E">
        <w:t>However, the entrapment effectiveness of the delivery method is enhanced by increasing their hydrophobicity through fatty acid derivatives. The entrapment effectiveness of the prodrug tramcinolone palmitate, for instance, was 85%</w:t>
      </w:r>
      <w:r w:rsidR="0046596E">
        <w:fldChar w:fldCharType="begin" w:fldLock="1"/>
      </w:r>
      <w:r w:rsidR="0046596E">
        <w:instrText>ADDIN CSL_CITATION {"citationItems":[{"id":"ITEM-1","itemData":{"DOI":"10.1208/s12248-014-9670-z","ISSN":"15507416","PMID":"25269430","abstract":"The combination of lipid drug delivery systems with prodrugs offers several advantages including improved pharmacokinetics, increased absorption, and facilitated targeting. Lipidization and use of lipid carriers can increase the pharmacological half-life of the drug, thus improving pharmacokinetics and allowing less frequent dosing. Lipids also offer advantages such as increased absorption through the intestines for oral drug absorption and to the CNS for brain delivery. Furthermore, the use of lipid delivery systems can enhance drug targeting. Endogenous proteins bind lipids in the blood and carry them to the liver to enable targeting of this organ. Drugs with significant side effects in the stomach can be specifically delivered to enterocytes by exploiting lipases for prodrug activation. Finally, lipids can be used to target the lymphatic system, thus bypassing the liver and avoiding first-pass metabolism. Lymphatic targeting is also important for antiviral drugs in the protection of B and T lymphocytes. In this review, both lipid-drug conjugates and lipid-based carriers will be discussed. An overview, including the chemistry and assembly of the systems, as well as examples from the clinic and in development, will be provided.","author":[{"dropping-particle":"","family":"Zaro","given":"Jennica L.","non-dropping-particle":"","parse-names":false,"suffix":""}],"container-title":"AAPS Journal","id":"ITEM-1","issue":"1","issued":{"date-parts":[["2015"]]},"page":"83-92","title":"Lipid-Based Drug Carriers for Prodrugs to Enhance Drug Delivery","type":"article-journal","volume":"17"},"uris":["http://www.mendeley.com/documents/?uuid=251e350f-cac9-497a-b0db-c7648ff092fb"]}],"mendeley":{"formattedCitation":"[21]","plainTextFormattedCitation":"[21]","previouslyFormattedCitation":"[21]"},"properties":{"noteIndex":0},"schema":"https://github.com/citation-style-language/schema/raw/master/csl-citation.json"}</w:instrText>
      </w:r>
      <w:r w:rsidR="0046596E">
        <w:fldChar w:fldCharType="separate"/>
      </w:r>
      <w:r w:rsidR="0046596E" w:rsidRPr="001C428A">
        <w:rPr>
          <w:noProof/>
        </w:rPr>
        <w:t>[21]</w:t>
      </w:r>
      <w:r w:rsidR="0046596E">
        <w:fldChar w:fldCharType="end"/>
      </w:r>
      <w:r w:rsidR="009E2F94" w:rsidRPr="009E2F94">
        <w:t xml:space="preserve">, whereas triamcinolone acetonide, with </w:t>
      </w:r>
      <w:r w:rsidR="00005D7D" w:rsidRPr="009E2F94">
        <w:t>5</w:t>
      </w:r>
      <w:r w:rsidR="009E2F94" w:rsidRPr="009E2F94">
        <w:t>% entrapment efficiency, displayed lower efficacy in this regard.</w:t>
      </w:r>
    </w:p>
    <w:p w14:paraId="46A25273" w14:textId="0C4F6327" w:rsidR="0072242D" w:rsidRDefault="00005D7D" w:rsidP="00005D7D">
      <w:pPr>
        <w:spacing w:line="360" w:lineRule="auto"/>
      </w:pPr>
      <w:r w:rsidRPr="00EE5C3E">
        <w:rPr>
          <w:b/>
        </w:rPr>
        <w:t>Lipoprotein</w:t>
      </w:r>
      <w:r w:rsidR="0072242D" w:rsidRPr="00EE5C3E">
        <w:rPr>
          <w:b/>
        </w:rPr>
        <w:t xml:space="preserve">: </w:t>
      </w:r>
      <w:r w:rsidR="009E2F94" w:rsidRPr="009E2F94">
        <w:t xml:space="preserve">Since lipoproteins are not immunogenic, the reticuloendothelial system doesn't </w:t>
      </w:r>
      <w:r w:rsidRPr="009E2F94">
        <w:t>recognize</w:t>
      </w:r>
      <w:r w:rsidR="009E2F94" w:rsidRPr="009E2F94">
        <w:t xml:space="preserve"> them when they circulate in the bloodstream transporting lipids. </w:t>
      </w:r>
      <w:r w:rsidR="007F1073" w:rsidRPr="007F1073">
        <w:t>Neo HDL particles are made up of a core of nonpolar triglycerides, a monolayer of phospholipids, and a membrane</w:t>
      </w:r>
      <w:r w:rsidR="007F1073">
        <w:t xml:space="preserve">, </w:t>
      </w:r>
      <w:r w:rsidR="002D2A5E" w:rsidRPr="002D2A5E">
        <w:t xml:space="preserve">as well as an apoprotein embedded in the phospholipids. </w:t>
      </w:r>
      <w:r w:rsidR="005617D9">
        <w:fldChar w:fldCharType="begin" w:fldLock="1"/>
      </w:r>
      <w:r w:rsidR="00543A62">
        <w:instrText>ADDIN CSL_CITATION {"citationItems":[{"id":"ITEM-1","itemData":{"DOI":"10.7150/ntno.37738","ISSN":"22067418","PMID":"31911893","abstract":"The hydrophobicity and high potency of many therapeutic agents makes them difficult to use effectively in clinical practice. This work focuses on conjugating phospholipid tails (2T) onto podophyllotoxin (P) and its analogue (N) using a linker and characterizing the effects of their incorporation into lipid-based drug delivery vehicles for triggered ultrasound delivery. Differential Scanning Calorimetry results show that successfully synthesized lipophilic prodrugs, 2T-P (~28 % yield) and 2T-N(~26 % yield), incorporate within the lipid membranes of liposomes. As a result of this, increased stability and incorporation are observed in 2T-P and 2T-N in comparison to the parent compounds P and N. Molecular dynamic simulation results support that prodrugs remain within the lipid membrane over a relevant range of concentrations. 2T-N’s (IC50: 20 nM) biological activity was retained in HeLa cells (cervical cancer), whereas 2T-P’s (IC50: ~4 µM) suffered, presumably due to steric hindrance. Proof-of-concept studies using ultrasound in vitro microbubble and nanodroplet delivery vehicles establish that these prodrugs are capable of localized drug delivery. This study provides useful information about the synthesis of double tail analogues of insoluble chemotherapeutic agents to facilitate incorporation into drug delivery vehicles. The phospholipid attachment strategy presented here could be applied to other well suited drugs such as gemcitabine, commonly known for its treatment of pancreatic cancer.","author":[{"dropping-particle":"","family":"Márquez","given":"Mendi G.","non-dropping-particle":"","parse-names":false,"suffix":""},{"dropping-particle":"","family":"Dotson","given":"Rachel","non-dropping-particle":"","parse-names":false,"suffix":""},{"dropping-particle":"","family":"Pias","given":"Sally","non-dropping-particle":"","parse-names":false,"suffix":""},{"dropping-particle":"V.","family":"Frolova","given":"Liliya","non-dropping-particle":"","parse-names":false,"suffix":""},{"dropping-particle":"","family":"Tartis","given":"Michaelann S.","non-dropping-particle":"","parse-names":false,"suffix":""}],"container-title":"Nanotheranostics","id":"ITEM-1","issue":"1","issued":{"date-parts":[["2020"]]},"page":"40-56","title":"Phospholipid prodrug conjugates of insoluble chemotherapeutic agents for ultrasound targeted drug delivery","type":"article-journal","volume":"4"},"uris":["http://www.mendeley.com/documents/?uuid=f6e25fc2-e21d-4a96-b128-a1c2d32cd6f8"]}],"mendeley":{"formattedCitation":"[22]","plainTextFormattedCitation":"[22]","previouslyFormattedCitation":"[22]"},"properties":{"noteIndex":0},"schema":"https://github.com/citation-style-language/schema/raw/master/csl-citation.json"}</w:instrText>
      </w:r>
      <w:r w:rsidR="005617D9">
        <w:fldChar w:fldCharType="separate"/>
      </w:r>
      <w:r w:rsidR="00C91BBB" w:rsidRPr="00C91BBB">
        <w:rPr>
          <w:noProof/>
        </w:rPr>
        <w:t>[22]</w:t>
      </w:r>
      <w:r w:rsidR="005617D9">
        <w:fldChar w:fldCharType="end"/>
      </w:r>
      <w:r w:rsidR="009E2F94" w:rsidRPr="009E2F94">
        <w:t xml:space="preserve"> Since apoproteins are required for LDL identification, the medicine in question must be incorporated into the lipid moiety; however, most drugs lack the essential lipophilicity, necessitating the development of a lipophilic prodrug.</w:t>
      </w:r>
    </w:p>
    <w:p w14:paraId="5C41CFCE" w14:textId="796D407A" w:rsidR="0072242D" w:rsidRDefault="0072242D" w:rsidP="00005D7D">
      <w:pPr>
        <w:spacing w:line="360" w:lineRule="auto"/>
      </w:pPr>
      <w:r w:rsidRPr="00EE5C3E">
        <w:rPr>
          <w:b/>
        </w:rPr>
        <w:lastRenderedPageBreak/>
        <w:t xml:space="preserve">Emulsion: </w:t>
      </w:r>
      <w:r w:rsidR="00F8791F" w:rsidRPr="00F8791F">
        <w:t>Sustained delivery strategies, such as passage targeted to macrophages as well as active targeting by ligand attachment, need the medicine's lipophilicity for production as an oil in water emulsion. Esterification of etoposide yields a phenolic hydroxy derivative that is soluble in cholesteryl ester oil lipid emulsions, making etoposide suitable for use as a lipophilic prodrug</w:t>
      </w:r>
      <w:r w:rsidR="00F8791F">
        <w:fldChar w:fldCharType="begin" w:fldLock="1"/>
      </w:r>
      <w:r w:rsidR="00F8791F">
        <w:instrText>ADDIN CSL_CITATION {"citationItems":[{"id":"ITEM-1","itemData":{"DOI":"10.1186/s12951-022-01257-4","ISSN":"1477-3155","abstract":"A widely established prodrug strategy can effectively optimize the unappealing properties of therapeutic agents in cancer treatment. Among them, lipidic prodrugs extremely uplift the physicochemical properties, site-specificity, and antitumor activities of therapeutic agents while reducing systemic toxicity. Although great perspectives have been summarized in the progress of prodrug-based nanoplatforms, no attention has been paid to emphasizing the rational design of small-molecule lipidic prodrugs (SLPs). With the aim of outlining the prospect of the SLPs approach, the review will first provide an overview of conjugation strategies that are amenable to SLPs fabrication. Then, the rational design of SLPs in response to the physiological barriers of chemotherapeutic agents is highlighted. Finally, their biomedical applications are also emphasized with special functions, followed by a brief introduction of the promising opportunities and potential challenges of SLPs-based drug delivery systems (DDSs) in clinical application.","author":[{"dropping-particle":"","family":"Huang","given":"Lingling","non-dropping-particle":"","parse-names":false,"suffix":""},{"dropping-particle":"","family":"Yang","given":"Jianmiao","non-dropping-particle":"","parse-names":false,"suffix":""},{"dropping-particle":"","family":"Wang","given":"Tiantian","non-dropping-particle":"","parse-names":false,"suffix":""},{"dropping-particle":"","family":"Gao","given":"Jianqing","non-dropping-particle":"","parse-names":false,"suffix":""},{"dropping-particle":"","family":"Xu","given":"Donghang","non-dropping-particle":"","parse-names":false,"suffix":""}],"container-title":"Journal of Nanobiotechnology","id":"ITEM-1","issue":"1","issued":{"date-parts":[["2022"]]},"page":"49","title":"Engineering of small-molecule lipidic prodrugs as novel nanomedicines for enhanced drug delivery","type":"article-journal","volume":"20"},"uris":["http://www.mendeley.com/documents/?uuid=df2f0733-08b4-4538-8cbc-f26e48d8d265"]}],"mendeley":{"formattedCitation":"[23]","plainTextFormattedCitation":"[23]","previouslyFormattedCitation":"[23]"},"properties":{"noteIndex":0},"schema":"https://github.com/citation-style-language/schema/raw/master/csl-citation.json"}</w:instrText>
      </w:r>
      <w:r w:rsidR="00F8791F">
        <w:fldChar w:fldCharType="separate"/>
      </w:r>
      <w:r w:rsidR="00F8791F" w:rsidRPr="00543A62">
        <w:rPr>
          <w:noProof/>
        </w:rPr>
        <w:t>[23]</w:t>
      </w:r>
      <w:r w:rsidR="00F8791F">
        <w:fldChar w:fldCharType="end"/>
      </w:r>
      <w:r w:rsidR="009E2F94" w:rsidRPr="009E2F94">
        <w:t>.</w:t>
      </w:r>
    </w:p>
    <w:p w14:paraId="63CDFD5B" w14:textId="77777777" w:rsidR="0072242D" w:rsidRDefault="00005D7D" w:rsidP="00005D7D">
      <w:pPr>
        <w:spacing w:line="360" w:lineRule="auto"/>
      </w:pPr>
      <w:r w:rsidRPr="00EE5C3E">
        <w:rPr>
          <w:b/>
        </w:rPr>
        <w:t>Solid</w:t>
      </w:r>
      <w:r w:rsidR="0072242D" w:rsidRPr="00EE5C3E">
        <w:rPr>
          <w:b/>
        </w:rPr>
        <w:t xml:space="preserve"> Lipid Nanoparticle:</w:t>
      </w:r>
      <w:r w:rsidR="0072242D">
        <w:t xml:space="preserve"> </w:t>
      </w:r>
      <w:r w:rsidR="009E2F94" w:rsidRPr="009E2F94">
        <w:t xml:space="preserve">Nanoparticles with a solid core of phospholipids included a solid core of high melting point triglyceride. It has the potential for extended release since it uses natural lipids and the medicine is incorporated into the triglyceride core. </w:t>
      </w:r>
      <w:r w:rsidR="005617D9">
        <w:fldChar w:fldCharType="begin" w:fldLock="1"/>
      </w:r>
      <w:r w:rsidR="0069392F">
        <w:instrText>ADDIN CSL_CITATION {"citationItems":[{"id":"ITEM-1","itemData":{"DOI":"10.9790/3013-26103444","ISSN":"09757058","abstract":"Solid lipid nanopaticles were developed in early 1990s as an alternative to other traditional colloidal carriers like liposomes, polymeric nanoparticles and emulsions as they have advantages like controlled drug release and targeted drug delivery with increased stability. This paper gives an overview about the potential advantages and also the disadvantages of solid lipid nanoparticles, the excipients and all the different methods involved in their production including the membrane contractor method. Aspects of SLN stability and the influence of various excipients (used in SLN production) on stability with other secondary steps involved in their stabilization like freeze drying, spray drying etc. Problems associated with SLN production and instrumental techniques used in production are thoroughly discussed. Special attention is given to models of drug incorporation in SLN and the release pattern of SLN. Analytical methods involved in SLN evaluations are discussed in detail and the major applications of SLNs mainly targeted drug delivery are discussed.","author":[{"dropping-particle":"","family":"Yadav","given":"Neha","non-dropping-particle":"","parse-names":false,"suffix":""},{"dropping-particle":"","family":"Khatak","given":"Sunil","non-dropping-particle":"","parse-names":false,"suffix":""},{"dropping-particle":"","family":"Singh Sara","given":"Udai Vir","non-dropping-particle":"","parse-names":false,"suffix":""}],"container-title":"International Journal of Applied Pharmaceutics","id":"ITEM-1","issue":"2","issued":{"date-parts":[["2013"]]},"page":"8-18","title":"Solid lipid nanoparticles- A review","type":"article-journal","volume":"5"},"uris":["http://www.mendeley.com/documents/?uuid=9dfbca06-d217-4c1b-bbb5-16a614170046"]}],"mendeley":{"formattedCitation":"[24]","plainTextFormattedCitation":"[24]","previouslyFormattedCitation":"[24]"},"properties":{"noteIndex":0},"schema":"https://github.com/citation-style-language/schema/raw/master/csl-citation.json"}</w:instrText>
      </w:r>
      <w:r w:rsidR="005617D9">
        <w:fldChar w:fldCharType="separate"/>
      </w:r>
      <w:r w:rsidR="00A01D31" w:rsidRPr="00A01D31">
        <w:rPr>
          <w:noProof/>
        </w:rPr>
        <w:t>[24]</w:t>
      </w:r>
      <w:r w:rsidR="005617D9">
        <w:fldChar w:fldCharType="end"/>
      </w:r>
      <w:r w:rsidR="00A01D31">
        <w:t xml:space="preserve"> </w:t>
      </w:r>
      <w:r w:rsidR="009E2F94" w:rsidRPr="009E2F94">
        <w:t>Incorporating the medicines into the triglyceride phase of the emulsion (for sustained release) is preferable. The inclusion of the Azidothymidine palmitate ester prodrug is more efficient than the cleavage of Azidothymidine.</w:t>
      </w:r>
    </w:p>
    <w:p w14:paraId="707D7EFF" w14:textId="77777777" w:rsidR="0072242D" w:rsidRDefault="00EE5C3E" w:rsidP="00EE5C3E">
      <w:pPr>
        <w:pStyle w:val="Heading2"/>
      </w:pPr>
      <w:r>
        <w:t xml:space="preserve">5.2 </w:t>
      </w:r>
      <w:r w:rsidR="0072242D" w:rsidRPr="0072242D">
        <w:t xml:space="preserve">Methods </w:t>
      </w:r>
      <w:r>
        <w:t xml:space="preserve">of Evaluation of Prodrugs </w:t>
      </w:r>
    </w:p>
    <w:p w14:paraId="197DEEE8" w14:textId="3A1F2F7E" w:rsidR="0072242D" w:rsidRDefault="003F3293" w:rsidP="00005D7D">
      <w:pPr>
        <w:spacing w:line="360" w:lineRule="auto"/>
      </w:pPr>
      <w:r w:rsidRPr="003F3293">
        <w:t xml:space="preserve">Absorption, distribution, and elimination (ADME) are all influenced by the drug's physical and chemical characteristics, including its solubility, lipophilicity, pH, surface area, and molecular weight. </w:t>
      </w:r>
      <w:r w:rsidR="0000184A" w:rsidRPr="0000184A">
        <w:t>The most crucial factors among these that determine how drugs act in vivo are pH, solubility, and lipophilicity.</w:t>
      </w:r>
      <w:r w:rsidR="009E2F94" w:rsidRPr="009E2F94">
        <w:t>.</w:t>
      </w:r>
    </w:p>
    <w:p w14:paraId="0F42EDE9" w14:textId="31CE96D3" w:rsidR="0072242D" w:rsidRDefault="0072242D" w:rsidP="00005D7D">
      <w:pPr>
        <w:spacing w:line="360" w:lineRule="auto"/>
      </w:pPr>
      <w:r w:rsidRPr="00EE5C3E">
        <w:rPr>
          <w:b/>
        </w:rPr>
        <w:t xml:space="preserve">Solubility Measurement: </w:t>
      </w:r>
      <w:r w:rsidR="009E2F94" w:rsidRPr="009E2F94">
        <w:t xml:space="preserve">A surplus of each mutual prodrug is placed in separate vials with various solvents, </w:t>
      </w:r>
      <w:r w:rsidR="00841057" w:rsidRPr="00841057">
        <w:t xml:space="preserve">For the solubility test, </w:t>
      </w:r>
      <w:r w:rsidR="00681073" w:rsidRPr="00681073">
        <w:t>24 hours of stirring at 37 °C are used to dilute a 10 ml sample with the solvent of choice (deionized water, n-hexane, phosphate buffers of varied pH values, etc.).</w:t>
      </w:r>
      <w:r w:rsidR="00841057" w:rsidRPr="00841057">
        <w:t xml:space="preserve"> Spin the mixtures at 900 RPM for 5 minutes, and then strain the supernatant through a cellulose acetate membrane filter. </w:t>
      </w:r>
      <w:r w:rsidR="00B84D92" w:rsidRPr="00B84D92">
        <w:t>After the filtrates have been diluted appropriately, an appropriate analytical method, such as HPAE-PAD, UV spectroscopy, or HPLC, is used to quantify the concentration of mutual prodrug in each sample</w:t>
      </w:r>
      <w:r w:rsidR="00841057">
        <w:fldChar w:fldCharType="begin" w:fldLock="1"/>
      </w:r>
      <w:r w:rsidR="00841057">
        <w:instrText>ADDIN CSL_CITATION {"citationItems":[{"id":"ITEM-1","itemData":{"DOI":"10.5599/admet.686","ISSN":"18487718","abstract":"Several key topics in solubility measurement and interpretation are briefly summarized and illustrated with case studies drawing on published solubility determinations as a function of pH. Featured are examples of ionizable molecules that exhibit solubility-pH curve distortion from that predicted by the traditionally used Henderson-Hasselbalch equation and possible interpretations for these distortions are provided. The scope is not exhaustive; rather it is focused on detailed descriptions of a few cases. Topics discussed are limitations of kinetic solubility, 'brick-dust and grease-balls,' applications of simulated and human intestinal fluids, supersaturation and the relevance of pre-nucleation clusters and sub-micellar aggregates in the formation of solids, drug-buffer/excipient complexation, hydrotropic solubilization, acid-base 'supersolubilization,' cocrystal route to supersaturation, as well as data quality assessment and solubility prediction. The goal is to highlight principles of solution equilibria - graphically more than mathematically - that could invite better assay design, to result in improved quality of measurements, and to impart a deeper understanding of the underlying solution chemistry in suspensions of drug solids. The value of solid state characterizations is stressed but not covered explicitly in this mini-review.","author":[{"dropping-particle":"","family":"Bergström","given":"Christel A.S.","non-dropping-particle":"","parse-names":false,"suffix":""},{"dropping-particle":"","family":"Avdeef","given":"Alex","non-dropping-particle":"","parse-names":false,"suffix":""}],"container-title":"ADMET and DMPK","id":"ITEM-1","issue":"2","issued":{"date-parts":[["2019"]]},"page":"88-105","title":"Perspectives in solubility measurement and interpretation","type":"article-journal","volume":"7"},"uris":["http://www.mendeley.com/documents/?uuid=8ab35467-6fa0-4845-b389-2b8d7d559884"]}],"mendeley":{"formattedCitation":"[25]","plainTextFormattedCitation":"[25]","previouslyFormattedCitation":"[25]"},"properties":{"noteIndex":0},"schema":"https://github.com/citation-style-language/schema/raw/master/csl-citation.json"}</w:instrText>
      </w:r>
      <w:r w:rsidR="00841057">
        <w:fldChar w:fldCharType="separate"/>
      </w:r>
      <w:r w:rsidR="00841057" w:rsidRPr="0069392F">
        <w:rPr>
          <w:noProof/>
        </w:rPr>
        <w:t>[25]</w:t>
      </w:r>
      <w:r w:rsidR="00841057">
        <w:fldChar w:fldCharType="end"/>
      </w:r>
      <w:r w:rsidR="009E2F94" w:rsidRPr="009E2F94">
        <w:t>.</w:t>
      </w:r>
    </w:p>
    <w:p w14:paraId="15ADBCE5" w14:textId="389CD605" w:rsidR="0072242D" w:rsidRDefault="0072242D" w:rsidP="00005D7D">
      <w:pPr>
        <w:spacing w:line="360" w:lineRule="auto"/>
      </w:pPr>
      <w:r w:rsidRPr="00EE5C3E">
        <w:rPr>
          <w:b/>
        </w:rPr>
        <w:t>Determination of Partition Coefficients:</w:t>
      </w:r>
      <w:r>
        <w:t xml:space="preserve"> </w:t>
      </w:r>
      <w:r w:rsidR="00D73A04" w:rsidRPr="00D73A04">
        <w:t xml:space="preserve">Lipophilicity is often evaluated by measuring the molecule's partition coefficient between water or a buffer as well as n-octanol or cyclohexane. </w:t>
      </w:r>
      <w:r w:rsidR="009E2F94" w:rsidRPr="009E2F94">
        <w:t xml:space="preserve">A key structural element influencing both the pharmacokinetics and pharmacodynamics of medicines is lipophilicity. Ammonium ions are produced by a chemical compound's partition coefficient. </w:t>
      </w:r>
      <w:r w:rsidR="005617D9">
        <w:fldChar w:fldCharType="begin" w:fldLock="1"/>
      </w:r>
      <w:r w:rsidR="001A6358">
        <w:instrText>ADDIN CSL_CITATION {"citationItems":[{"id":"ITEM-1","itemData":{"DOI":"10.3390/pr9122221","ISSN":"22279717","abstract":"The present research aimed to synthesize ketoprofen prodrugs and to demonstrate their potentiality for oral treatment to treat chronic inflammation by reducing its hepatotoxicity and gastrointestinal irritation. Methyl 2-(3-benzoyl phenyl) propanoate, ethyl 2-(3-benzoyl phenyl) propanoate and propyl 2-(3-benzoyl phenyl) propanoate was synthesized by esterification and identified by nuclear magnetic resonance (1 HNMR) and infrared (IR) spectrometric analysis. In silico SwissADME and ProTox-II analysis stated methyl derivative as ideal candidate for oral absorption, having a &gt;30-fold LD50 value compared to ketoprofen with no hepatotoxicity. Moreover, in vivo hepatotoxicity study demonstrates that these ester prodrugs have significantly lower effects on liver toxicity compared to pure ketoprofen. Furthermore, ex vivo intestinal permeation enhancement ratio was statistically significant (* p &lt; 0.05) compared to ketoprofen. Likewise, the prodrugs were found to exhibit not only remarkable in vitro anti-proteolytic and lysosomal membrane stabilization potentials, but also significant efficiency to alleviate pain induced by inflammation, as well as central and peripheral stimulus in mice model in vivo. These outcomes recommend that ketoprofen ester prodrugs, especially methyl derivative, can be a cost-effective candidate for prolonged treatment of chronic inflammatory diseases.","author":[{"dropping-particle":"","family":"Mazumder","given":"Kishor","non-dropping-particle":"","parse-names":false,"suffix":""},{"dropping-particle":"","family":"Hossain","given":"Md Emran","non-dropping-particle":"","parse-names":false,"suffix":""},{"dropping-particle":"","family":"Aktar","given":"Asma","non-dropping-particle":"","parse-names":false,"suffix":""},{"dropping-particle":"","family":"Mohiuddin","given":"Mohammad","non-dropping-particle":"","parse-names":false,"suffix":""},{"dropping-particle":"","family":"Sarkar","given":"Kishore Kumar","non-dropping-particle":"","parse-names":false,"suffix":""},{"dropping-particle":"","family":"Biswas","given":"Biswajit","non-dropping-particle":"","parse-names":false,"suffix":""},{"dropping-particle":"","family":"Aziz","given":"Md Abdullah","non-dropping-particle":"","parse-names":false,"suffix":""},{"dropping-particle":"","family":"Abid","given":"Md Ahsan","non-dropping-particle":"","parse-names":false,"suffix":""},{"dropping-particle":"","family":"Fukase","given":"Koichi","non-dropping-particle":"","parse-names":false,"suffix":""}],"container-title":"Processes","id":"ITEM-1","issue":"12","issued":{"date-parts":[["2021"]]},"title":"In silico analysis and experimental evaluation of ester prodrugs of ketoprofen for oral delivery: With a view to reduce toxicity","type":"article-journal","volume":"9"},"uris":["http://www.mendeley.com/documents/?uuid=aa60b8ad-6773-43ed-8dfb-b508064010f9"]}],"mendeley":{"formattedCitation":"[26]","plainTextFormattedCitation":"[26]","previouslyFormattedCitation":"[26]"},"properties":{"noteIndex":0},"schema":"https://github.com/citation-style-language/schema/raw/master/csl-citation.json"}</w:instrText>
      </w:r>
      <w:r w:rsidR="005617D9">
        <w:fldChar w:fldCharType="separate"/>
      </w:r>
      <w:r w:rsidR="001A6358" w:rsidRPr="001A6358">
        <w:rPr>
          <w:noProof/>
        </w:rPr>
        <w:t>[26]</w:t>
      </w:r>
      <w:r w:rsidR="005617D9">
        <w:fldChar w:fldCharType="end"/>
      </w:r>
      <w:r w:rsidR="001A6358">
        <w:t xml:space="preserve"> </w:t>
      </w:r>
      <w:r w:rsidR="000A4464" w:rsidRPr="000A4464">
        <w:t xml:space="preserve">Since urine has a slightly acidic pH in the bladder, methenamine is used as an antiseptic for the urinary system. </w:t>
      </w:r>
      <w:r w:rsidR="009E2F94" w:rsidRPr="009E2F94">
        <w:t>The pills are enteric coated to stop this prodrug from hydrolyzing in the stomach's acidic environment.</w:t>
      </w:r>
    </w:p>
    <w:p w14:paraId="453447FA" w14:textId="047B0E13" w:rsidR="0072242D" w:rsidRDefault="0072242D" w:rsidP="00005D7D">
      <w:pPr>
        <w:spacing w:line="360" w:lineRule="auto"/>
      </w:pPr>
      <w:r w:rsidRPr="00EE5C3E">
        <w:rPr>
          <w:b/>
        </w:rPr>
        <w:lastRenderedPageBreak/>
        <w:t>In vitro pH Hydrolysis study:</w:t>
      </w:r>
      <w:r>
        <w:t xml:space="preserve"> </w:t>
      </w:r>
      <w:r w:rsidR="00D4264C" w:rsidRPr="00D4264C">
        <w:t xml:space="preserve">Hydrolysis tests in aqueous buffer are carried out to ascertain whether or not the prodrug hydrolyzes, and if so, to what extent. </w:t>
      </w:r>
      <w:r w:rsidR="00B61C77" w:rsidRPr="00B61C77">
        <w:t xml:space="preserve">This information may be used to speculate on what happens to mutual prodrugs in the system. </w:t>
      </w:r>
      <w:r w:rsidR="000971E6" w:rsidRPr="000971E6">
        <w:t>Hydrolysis kinetics may be studied by recording the reaction rate and the half-life (t1/2)</w:t>
      </w:r>
      <w:r w:rsidR="000971E6">
        <w:t xml:space="preserve">, </w:t>
      </w:r>
      <w:r w:rsidR="00B61C77" w:rsidRPr="00B61C77">
        <w:t>as well as the rise in free drug concentration over time.</w:t>
      </w:r>
      <w:r w:rsidR="00CF4C8F" w:rsidRPr="00CF4C8F">
        <w:t xml:space="preserve"> </w:t>
      </w:r>
      <w:r w:rsidR="00CF4C8F">
        <w:fldChar w:fldCharType="begin" w:fldLock="1"/>
      </w:r>
      <w:r w:rsidR="00CF4C8F">
        <w:instrText>ADDIN CSL_CITATION {"citationItems":[{"id":"ITEM-1","itemData":{"DOI":"10.1016/j.bmc.2019.02.046","ISSN":"14643391","PMID":"30819618","abstract":"Paclitaxel (PTX) is the first-line treatment drug for breast cancer. However, drug resistance after a course of treatment and low selectivity restricted its clinical utility sometimes. In this study, we successfully bound PTX and vorinostat (SAHA) to form co-prodrugs based on the synergistic anticancer effects. The PTX-SAHA co-prodrugs were conjugated by glycine (1a) and succinic acid (1b) respectively and the former has shown better activity in cytotoxicity, cell cycle arrest and western-blot experiments. Therefore, 1a was further prepared to nanomicelles with mPEG 2000 -PLA 1750 as the carrier by using thin film method. PTX-SAHA co-prodrug nanomicelles were spherical with a particle size of 20–100 nm. In vitro drug release test showed 1a nanomicelles had sustained release effect, which could reduce the resistance of PTX. In vitro cytotoxicity was evaluated by SRB assay in HCT-116 cells, MCF-7 cells and drug-resistant MCF-7/ADR cells. The results showed 1a nanomicelles had comparable or even better cytotoxicity than PTX especially in the MCF-7/ADR cells. All the results suggested that PTX-SAHA co-prodrug nanomicelles were promising treatment for PTX resistance cancer.","author":[{"dropping-particle":"","family":"Liu","given":"Shuangxi","non-dropping-particle":"","parse-names":false,"suffix":""},{"dropping-particle":"","family":"Zhang","given":"Kaili","non-dropping-particle":"","parse-names":false,"suffix":""},{"dropping-particle":"","family":"Zhu","given":"Qiwen","non-dropping-particle":"","parse-names":false,"suffix":""},{"dropping-particle":"","family":"Shen","given":"Qianqian","non-dropping-particle":"","parse-names":false,"suffix":""},{"dropping-particle":"","family":"Zhang","given":"Qiumeng","non-dropping-particle":"","parse-names":false,"suffix":""},{"dropping-particle":"","family":"Yu","given":"Jiahui","non-dropping-particle":"","parse-names":false,"suffix":""},{"dropping-particle":"","family":"Chen","given":"Yi","non-dropping-particle":"","parse-names":false,"suffix":""},{"dropping-particle":"","family":"Lu","given":"Wei","non-dropping-particle":"","parse-names":false,"suffix":""}],"container-title":"Bioorganic and Medicinal Chemistry","id":"ITEM-1","issue":"7","issued":{"date-parts":[["2019"]]},"page":"1405-1413","publisher":"Elsevier","title":"Synthesis and biological evaluation of paclitaxel and vorinostat co-prodrugs for overcoming drug resistance in cancer therapy in vitro","type":"article-journal","volume":"27"},"uris":["http://www.mendeley.com/documents/?uuid=04004183-3c6f-4db6-927e-3f46ec07aecf"]}],"mendeley":{"formattedCitation":"[27]","plainTextFormattedCitation":"[27]"},"properties":{"noteIndex":0},"schema":"https://github.com/citation-style-language/schema/raw/master/csl-citation.json"}</w:instrText>
      </w:r>
      <w:r w:rsidR="00CF4C8F">
        <w:fldChar w:fldCharType="separate"/>
      </w:r>
      <w:r w:rsidR="00CF4C8F" w:rsidRPr="001A6358">
        <w:rPr>
          <w:noProof/>
        </w:rPr>
        <w:t>[27]</w:t>
      </w:r>
      <w:r w:rsidR="00CF4C8F">
        <w:fldChar w:fldCharType="end"/>
      </w:r>
    </w:p>
    <w:p w14:paraId="01BA10CD" w14:textId="77777777" w:rsidR="0072242D" w:rsidRDefault="00EE5C3E" w:rsidP="00EE5C3E">
      <w:pPr>
        <w:pStyle w:val="Heading1"/>
      </w:pPr>
      <w:r>
        <w:t xml:space="preserve">6. </w:t>
      </w:r>
      <w:r w:rsidRPr="00A86FF2">
        <w:t>RATIONALE OF PRODRUG APPROACH</w:t>
      </w:r>
    </w:p>
    <w:p w14:paraId="5A2326D1" w14:textId="77777777" w:rsidR="009E2F94" w:rsidRPr="009E2F94" w:rsidRDefault="009E2F94" w:rsidP="00005D7D">
      <w:pPr>
        <w:pStyle w:val="Heading1"/>
        <w:keepNext w:val="0"/>
        <w:keepLines w:val="0"/>
        <w:widowControl w:val="0"/>
        <w:numPr>
          <w:ilvl w:val="0"/>
          <w:numId w:val="2"/>
        </w:numPr>
        <w:tabs>
          <w:tab w:val="left" w:pos="881"/>
        </w:tabs>
        <w:autoSpaceDE w:val="0"/>
        <w:autoSpaceDN w:val="0"/>
        <w:spacing w:before="0"/>
        <w:ind w:hanging="361"/>
      </w:pPr>
      <w:r>
        <w:t>Prodrugs</w:t>
      </w:r>
      <w:r>
        <w:rPr>
          <w:spacing w:val="-2"/>
        </w:rPr>
        <w:t xml:space="preserve"> </w:t>
      </w:r>
      <w:r>
        <w:t>having</w:t>
      </w:r>
      <w:r>
        <w:rPr>
          <w:spacing w:val="-2"/>
        </w:rPr>
        <w:t xml:space="preserve"> </w:t>
      </w:r>
      <w:r>
        <w:t>improved</w:t>
      </w:r>
      <w:r>
        <w:rPr>
          <w:spacing w:val="-1"/>
        </w:rPr>
        <w:t xml:space="preserve"> </w:t>
      </w:r>
      <w:r>
        <w:t>water</w:t>
      </w:r>
      <w:r>
        <w:rPr>
          <w:spacing w:val="-3"/>
        </w:rPr>
        <w:t xml:space="preserve"> </w:t>
      </w:r>
      <w:r>
        <w:t>solubility:</w:t>
      </w:r>
    </w:p>
    <w:p w14:paraId="11950F6D" w14:textId="5EED69BF" w:rsidR="009E2F94" w:rsidRDefault="009E2F94" w:rsidP="00005D7D">
      <w:pPr>
        <w:spacing w:line="360" w:lineRule="auto"/>
      </w:pPr>
      <w:r w:rsidRPr="009E2F94">
        <w:t xml:space="preserve">Many active medicinal agents don't dissolve well in water, which is a big problem because these active agents could be used to treat diseases. Getting the best stability is one of the hardest parts of finding new drugs. By increasing the rate of dissolving, the prodrug method helped solve the problem of many medicinal drugs not being able to dissolve in water. </w:t>
      </w:r>
      <w:r w:rsidR="008965E8" w:rsidRPr="008965E8">
        <w:t>Phosphoric acid and amino acid esters or amides may be employed.</w:t>
      </w:r>
      <w:r w:rsidRPr="009E2F94">
        <w:t xml:space="preserve"> </w:t>
      </w:r>
      <w:r w:rsidR="005617D9">
        <w:fldChar w:fldCharType="begin" w:fldLock="1"/>
      </w:r>
      <w:r w:rsidR="001A6358">
        <w:instrText>ADDIN CSL_CITATION {"citationItems":[{"id":"ITEM-1","itemData":{"DOI":"10.1002/bdd","ISSN":"0142-2782 (Print)\\r0142-2782 (Linking)","abstract":"A major part of the science of pharmacokinetics is the modeling of the underlying processes that contribute to drug disposition. The purpose of pharmacokinetic models is to summarize the knowledge gained in preclinical and clinical studies at various stages in drug development and to rationally guide future studies with the use of adequately predictive models. This review highlights a variety of recent advances in mechanistic pharmacokinetic modeling. It is aimed at a broad audience, and hence, an attempt was made to maintain a balance between technical information and practical applications of pharmacokinetic modeling. It is hoped that drug researchers from all disciplines would be able to get a flavor of the function and capacity of pharmacokinetic modelers and their contribution to drug development. While this review is not intended to be a technical reference on modeling approaches, the roles of statistical applications and population methodologies are discussed where appropriate.","author":[{"dropping-particle":"","family":"Ahmad","given":"Alaa M","non-dropping-particle":"","parse-names":false,"suffix":""}],"container-title":"Biopharmaceutics &amp; drug disposition","id":"ITEM-1","issue":"3","issued":{"date-parts":[["2007"]]},"page":"135-143","title":"Potential pharmacokinetic interactions between antiretrovirals and medicinal plants used as complementary and African traditional medicines","type":"article-journal","volume":"28"},"uris":["http://www.mendeley.com/documents/?uuid=e958170e-f5d0-4336-bc32-ce092119f0ed"]}],"mendeley":{"formattedCitation":"[28]","plainTextFormattedCitation":"[28]","previouslyFormattedCitation":"[27]"},"properties":{"noteIndex":0},"schema":"https://github.com/citation-style-language/schema/raw/master/csl-citation.json"}</w:instrText>
      </w:r>
      <w:r w:rsidR="005617D9">
        <w:fldChar w:fldCharType="separate"/>
      </w:r>
      <w:r w:rsidR="001A6358" w:rsidRPr="001A6358">
        <w:rPr>
          <w:noProof/>
        </w:rPr>
        <w:t>[28]</w:t>
      </w:r>
      <w:r w:rsidR="005617D9">
        <w:fldChar w:fldCharType="end"/>
      </w:r>
      <w:r w:rsidR="00155D1D">
        <w:t xml:space="preserve">, </w:t>
      </w:r>
      <w:r w:rsidR="005617D9">
        <w:fldChar w:fldCharType="begin" w:fldLock="1"/>
      </w:r>
      <w:r w:rsidR="001A6358">
        <w:instrText>ADDIN CSL_CITATION {"citationItems":[{"id":"ITEM-1","itemData":{"DOI":"10.1002/cbdv.200900114","ISSN":"16121872","PMID":"19937841","abstract":"Low water solubility and low bioavailability are frequent problems in drug development, particularly in the area of central nervous system (CNS) drugs. This short review describes selected prodrug approaches which have been developed to enhance the bioavailability of drugs, especially that of poorly soluble drugs. Some of the most successful drugs on the market are prodrugs. With a better understanding of active-transport processes at cell membranes in the gut as well as at the blood-brain barrier, the importance of prodrug approaches will further increase in the future. Prodrug approaches will already be considered in the early phase of drug discovery. © 2009 Verlag Helvetica Chimica Acta AG.","author":[{"dropping-particle":"","family":"Müller","given":"Christa E.","non-dropping-particle":"","parse-names":false,"suffix":""}],"container-title":"Chemistry and Biodiversity","id":"ITEM-1","issue":"11","issued":{"date-parts":[["2009"]]},"page":"2071-2083","title":"Prodrug approaches for enhancing the bioavailability of drugs with low solubility","type":"article-journal","volume":"6"},"uris":["http://www.mendeley.com/documents/?uuid=4397f2fe-ef51-49d6-a93f-51c7e0fcba28"]}],"mendeley":{"formattedCitation":"[29]","plainTextFormattedCitation":"[29]","previouslyFormattedCitation":"[28]"},"properties":{"noteIndex":0},"schema":"https://github.com/citation-style-language/schema/raw/master/csl-citation.json"}</w:instrText>
      </w:r>
      <w:r w:rsidR="005617D9">
        <w:fldChar w:fldCharType="separate"/>
      </w:r>
      <w:r w:rsidR="001A6358" w:rsidRPr="001A6358">
        <w:rPr>
          <w:noProof/>
        </w:rPr>
        <w:t>[29]</w:t>
      </w:r>
      <w:r w:rsidR="005617D9">
        <w:fldChar w:fldCharType="end"/>
      </w:r>
      <w:r w:rsidR="00155D1D">
        <w:t xml:space="preserve"> </w:t>
      </w:r>
      <w:r w:rsidRPr="009E2F94">
        <w:t xml:space="preserve">Phosphate esters are often used to make it easier for drugs that are taken by mouth or given by a parent to dissolve in water. </w:t>
      </w:r>
      <w:r w:rsidR="005617D9">
        <w:fldChar w:fldCharType="begin" w:fldLock="1"/>
      </w:r>
      <w:r w:rsidR="001A6358">
        <w:instrText>ADDIN CSL_CITATION {"citationItems":[{"id":"ITEM-1","itemData":{"DOI":"10.1016/j.addr.2007.05.013","ISSN":"0169409X","PMID":"17628203","abstract":"Drug design in recent years has attempted to explore new chemical spaces resulting in more complex, larger molecular weight molecules, often with limited water solubility. To deliver molecules with these properties, pharmaceutical scientists have explored many different techniques. An older but time-tested strategy is the design of bioreversible, more water-soluble derivatives of the problematic molecule, or prodrugs. This review explores the use of prodrugs to effect improved oral and parenteral delivery of poorly water-soluble problematic drugs, using both marketed as well as investigational prodrugs as examples. Prodrug interventions should be considered early in the drug discovery paradigm rather than as a technique of last resort. Their importance is supported by the increasing percentage of approved new drug entities that are, in fact, prodrugs. © 2007 Elsevier B.V. All rights reserved.","author":[{"dropping-particle":"","family":"Stella","given":"Valentino J.","non-dropping-particle":"","parse-names":false,"suffix":""},{"dropping-particle":"","family":"Nti-Addae","given":"Kwame W.","non-dropping-particle":"","parse-names":false,"suffix":""}],"container-title":"Advanced Drug Delivery Reviews","id":"ITEM-1","issue":"7","issued":{"date-parts":[["2007"]]},"page":"677-694","title":"Prodrug strategies to overcome poor water solubility","type":"article-journal","volume":"59"},"uris":["http://www.mendeley.com/documents/?uuid=2dbfaa59-d9ba-4217-9cef-2a74e87e88c3"]}],"mendeley":{"formattedCitation":"[30]","plainTextFormattedCitation":"[30]","previouslyFormattedCitation":"[29]"},"properties":{"noteIndex":0},"schema":"https://github.com/citation-style-language/schema/raw/master/csl-citation.json"}</w:instrText>
      </w:r>
      <w:r w:rsidR="005617D9">
        <w:fldChar w:fldCharType="separate"/>
      </w:r>
      <w:r w:rsidR="001A6358" w:rsidRPr="001A6358">
        <w:rPr>
          <w:noProof/>
        </w:rPr>
        <w:t>[30]</w:t>
      </w:r>
      <w:r w:rsidR="005617D9">
        <w:fldChar w:fldCharType="end"/>
      </w:r>
      <w:r w:rsidR="004B6423">
        <w:t xml:space="preserve"> </w:t>
      </w:r>
      <w:r w:rsidRPr="009E2F94">
        <w:t xml:space="preserve">Endogenous phosphatase enzymes take the phosphate ester prodrug, like fosphenytoin sodium phosphate prodrug, and turn it into the active parent drug. </w:t>
      </w:r>
      <w:r w:rsidR="00B95996" w:rsidRPr="00B95996">
        <w:t>In order to increase their water solubility, active parent medications are often mixed with amino acid esters or amide prodrugs. Acyclovir (1), gancyclovir (</w:t>
      </w:r>
      <w:r w:rsidR="00BE592C">
        <w:t>2</w:t>
      </w:r>
      <w:r w:rsidR="00B95996" w:rsidRPr="00B95996">
        <w:t>), valacyclovir (</w:t>
      </w:r>
      <w:r w:rsidR="00BE592C">
        <w:t>3</w:t>
      </w:r>
      <w:r w:rsidR="00B95996" w:rsidRPr="00B95996">
        <w:t>), and valganciclovir (</w:t>
      </w:r>
      <w:r w:rsidR="00BE592C">
        <w:t>4</w:t>
      </w:r>
      <w:r w:rsidR="00B95996" w:rsidRPr="00B95996">
        <w:t>) are all made more water-soluble by being converted to their valine esters.</w:t>
      </w:r>
      <w:r w:rsidR="00A053B3" w:rsidRPr="00A053B3">
        <w:t xml:space="preserve"> </w:t>
      </w:r>
      <w:r w:rsidR="005617D9">
        <w:fldChar w:fldCharType="begin" w:fldLock="1"/>
      </w:r>
      <w:r w:rsidR="001A6358">
        <w:instrText>ADDIN CSL_CITATION {"citationItems":[{"id":"ITEM-1","itemData":{"DOI":"10.1016/j.addr.2011.11.007","ISSN":"0169409X","PMID":"22138074","abstract":"Hyperexcitation in the central nervous system is the root cause of a number of disorders of the brain ranging from acute injury to chronic and progressive diseases. The major limitation to treatment of these ailments is the miniscule, yet formidable blood-brain barrier. To deliver therapeutic agents to the site of desired action, a number of biomedical engineering strategies have been developed including prodrug formulations that allow for either passive diffusion or active transport across this barrier. In the case of prodrugs, once in the brain compartment, the active therapeutic agent is released. In this review, we discuss in some detail a number of factors related to treatment of central nervous system hyperexcitation including molecular targets, disorders, prodrug strategies, and focused case studies of a number of therapeutics that are at a variety of stages of clinical development. © 2011.","author":[{"dropping-particle":"","family":"Vytla","given":"Devaiah","non-dropping-particle":"","parse-names":false,"suffix":""},{"dropping-particle":"","family":"Combs-Bachmann","given":"Rosamund E.","non-dropping-particle":"","parse-names":false,"suffix":""},{"dropping-particle":"","family":"Hussey","given":"Amanda M.","non-dropping-particle":"","parse-names":false,"suffix":""},{"dropping-particle":"","family":"McCarron","given":"Stephen T.","non-dropping-particle":"","parse-names":false,"suffix":""},{"dropping-particle":"","family":"McCarthy","given":"Devon S.","non-dropping-particle":"","parse-names":false,"suffix":""},{"dropping-particle":"","family":"Chambers","given":"James J.","non-dropping-particle":"","parse-names":false,"suffix":""}],"container-title":"Advanced Drug Delivery Reviews","id":"ITEM-1","issue":"7","issued":{"date-parts":[["2012"]]},"page":"666-685","publisher":"Elsevier B.V.","title":"Prodrug approaches to reduce hyperexcitation in the CNS","type":"article-journal","volume":"64"},"uris":["http://www.mendeley.com/documents/?uuid=18338401-98f6-4730-9a6b-c4f882cad59e"]}],"mendeley":{"formattedCitation":"[31]","plainTextFormattedCitation":"[31]","previouslyFormattedCitation":"[30]"},"properties":{"noteIndex":0},"schema":"https://github.com/citation-style-language/schema/raw/master/csl-citation.json"}</w:instrText>
      </w:r>
      <w:r w:rsidR="005617D9">
        <w:fldChar w:fldCharType="separate"/>
      </w:r>
      <w:r w:rsidR="001A6358" w:rsidRPr="001A6358">
        <w:rPr>
          <w:noProof/>
        </w:rPr>
        <w:t>[31]</w:t>
      </w:r>
      <w:r w:rsidR="005617D9">
        <w:fldChar w:fldCharType="end"/>
      </w:r>
      <w:r w:rsidR="0055007C">
        <w:t xml:space="preserve"> </w:t>
      </w:r>
      <w:r w:rsidRPr="009E2F94">
        <w:t>The solubility of acyclovir in water is between 15% and 30%, while the solubility of its valine-prodrug in water is 50%.</w:t>
      </w:r>
      <w:r w:rsidR="00097DA8">
        <w:t xml:space="preserve"> </w:t>
      </w:r>
      <w:r w:rsidR="005617D9">
        <w:fldChar w:fldCharType="begin" w:fldLock="1"/>
      </w:r>
      <w:r w:rsidR="001A6358">
        <w:instrText xml:space="preserve">ADDIN CSL_CITATION {"citationItems":[{"id":"ITEM-1","itemData":{"DOI":"10.1016/j.ijpharm.2006.01.050","ISSN":"03785173","PMID":"16759825","abstract":"The absolute bioavailability of the prodrug valacyclovir, the l-valyl ester of acyclovir, after oral administration is </w:instrText>
      </w:r>
      <w:r w:rsidR="001A6358">
        <w:rPr>
          <w:rFonts w:ascii="Cambria Math" w:hAnsi="Cambria Math" w:cs="Cambria Math"/>
        </w:rPr>
        <w:instrText>∼</w:instrText>
      </w:r>
      <w:r w:rsidR="001A6358">
        <w:instrText>54.5%. Since premature hydrolysis of this prodrug in the intestinal lumen may be a possible reason for its incomplete bioavailability and the chemical and enzymatic stability of the valacyclovir has been investigated. Release rates were investigated in both phosphate buffers with varying pH as well as in human and dog gastrointestinal fluids. The stability of the prodrug was found to be dependent on pH. This prodrug is chemically stable along the acidic pH side (under 4), while the prodrug degrades in alkaline medium through a base-catalyzed pseudo-first-order kinetics. The degradation of the prodrug valacyclovir progressed faster in intestinal fluid than in phosphate buffer at the same pH. There was no appreciable release of valacyclovir neither in the human and dog stomach contents nor in phosphate buffers at pHs fewer than 4, although its degradation was fastest in the human and dog stomach contents. In light of this result, we can conclude that the degradation of the valacyclovir in the upper intestinal lumen is probably one of the causes of its poor bioavailability. © 2006 Elsevier B.V. All rights reserved.","author":[{"dropping-particle":"","family":"Granero","given":"Gladys E.","non-dropping-particle":"","parse-names":false,"suffix":""},{"dropping-particle":"","family":"Amidon","given":"Gordon L.","non-dropping-particle":"","parse-names":false,"suffix":""}],"container-title":"International Journal of Pharmaceutics","id":"ITEM-1","issue":"1","issued":{"date-parts":[["2006"]]},"page":"14-18","title":"Stability of valacyclovir: Implications for its oral bioavailability","type":"article-journal","volume":"317"},"uris":["http://www.mendeley.com/documents/?uuid=84149ead-d133-46d2-ade1-0a41efe4bfdd"]}],"mendeley":{"formattedCitation":"[32]","plainTextFormattedCitation":"[32]","previouslyFormattedCitation":"[31]"},"properties":{"noteIndex":0},"schema":"https://github.com/citation-style-language/schema/raw/master/csl-citation.json"}</w:instrText>
      </w:r>
      <w:r w:rsidR="005617D9">
        <w:fldChar w:fldCharType="separate"/>
      </w:r>
      <w:r w:rsidR="001A6358" w:rsidRPr="001A6358">
        <w:rPr>
          <w:noProof/>
        </w:rPr>
        <w:t>[32]</w:t>
      </w:r>
      <w:r w:rsidR="005617D9">
        <w:fldChar w:fldCharType="end"/>
      </w:r>
      <w:r w:rsidR="00466A5C">
        <w:t xml:space="preserve">, </w:t>
      </w:r>
      <w:r w:rsidR="005617D9">
        <w:fldChar w:fldCharType="begin" w:fldLock="1"/>
      </w:r>
      <w:r w:rsidR="001A6358">
        <w:instrText>ADDIN CSL_CITATION {"citationItems":[{"id":"ITEM-1","itemData":{"DOI":"10.2174/092986710793205426","ISSN":"09298673","PMID":"20858214","abstract":"The prodrug design is a versatile, powerful method that can be applied to a wide range of parent drug molecules, administration routes, and formulations. Clinically, the majority of prodrugs are used with the aim of enhancing drug permeation by increasing lipophilicity, or by improving aqueous solubility. Prodrug design may improve the bioavailability of parent molecule, and thus can be integrated into the iterative process of lead optimization, rather than employing it as a post-hoc approach. The purpose of this review is to provide an update of advances and progress in the knowledge of current strategic approaches of prodrug design, along with their real-world utility in drug discovery and development. The review covers the type of prodrugs and functional groups that are amenable to prodrug design. Various prodrug approaches for improving oral drug delivery are discussed, with numerous examples of marketed prodrugs, including improved aqueous solubility, improved lipophilicity, transporter-mediated absorption, and prodrug design to achieve site-specific delivery. Tools employed for prodrug screening, and specific challenges in prodrug research and development are also elaborated. This article is intended to encourage discovery scientists to be creative and consider a rationally designed prodrug approach during the lead optimization phase of drug discovery programs, when the structure activity relationship (SAR) for the drug target is incompatible with pharmacokinetic or biopharmaceutical objectives.","author":[{"dropping-particle":"","family":"Jana","given":"S.","non-dropping-particle":"","parse-names":false,"suffix":""},{"dropping-particle":"","family":"Mandlekar","given":"S.","non-dropping-particle":"","parse-names":false,"suffix":""},{"dropping-particle":"","family":"Marathe","given":"P.","non-dropping-particle":"","parse-names":false,"suffix":""}],"container-title":"Current Medicinal Chemistry","id":"ITEM-1","issue":"32","issued":{"date-parts":[["2010"]]},"page":"3874-3908","title":"Prodrug Design to Improve Pharmacokinetic and Drug Delivery Properties: Challenges to the Discovery Scientists","type":"article-journal","volume":"17"},"uris":["http://www.mendeley.com/documents/?uuid=04131962-47cc-4e68-b095-2f5112a5dde2"]}],"mendeley":{"formattedCitation":"[33]","plainTextFormattedCitation":"[33]","previouslyFormattedCitation":"[32]"},"properties":{"noteIndex":0},"schema":"https://github.com/citation-style-language/schema/raw/master/csl-citation.json"}</w:instrText>
      </w:r>
      <w:r w:rsidR="005617D9">
        <w:fldChar w:fldCharType="separate"/>
      </w:r>
      <w:r w:rsidR="001A6358" w:rsidRPr="001A6358">
        <w:rPr>
          <w:noProof/>
        </w:rPr>
        <w:t>[33]</w:t>
      </w:r>
      <w:r w:rsidR="005617D9">
        <w:fldChar w:fldCharType="end"/>
      </w:r>
      <w:r w:rsidR="00466A5C">
        <w:t xml:space="preserve"> </w:t>
      </w:r>
      <w:r w:rsidR="00D65CA3" w:rsidRPr="00D65CA3">
        <w:t xml:space="preserve">These prodrugs are easily absorbed by intestinal epithelial cells through small peptide transporters (PEPT 1). </w:t>
      </w:r>
      <w:r w:rsidR="00EE5C3E">
        <w:t>(Figure 2</w:t>
      </w:r>
      <w:r w:rsidRPr="009E2F94">
        <w:t>)</w:t>
      </w:r>
    </w:p>
    <w:p w14:paraId="1E7D7781" w14:textId="77777777" w:rsidR="009E2F94" w:rsidRDefault="009E2F94" w:rsidP="00005D7D">
      <w:pPr>
        <w:spacing w:line="360" w:lineRule="auto"/>
        <w:rPr>
          <w:noProof/>
        </w:rPr>
      </w:pPr>
      <w:r>
        <w:rPr>
          <w:noProof/>
        </w:rPr>
        <w:drawing>
          <wp:inline distT="0" distB="0" distL="0" distR="0" wp14:anchorId="20214F0B" wp14:editId="38E2146A">
            <wp:extent cx="2586990" cy="1706880"/>
            <wp:effectExtent l="19050" t="0" r="3810" b="0"/>
            <wp:docPr id="7" name="Picture 7" descr="Aciclovi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iclovir - Wikipedia"/>
                    <pic:cNvPicPr>
                      <a:picLocks noChangeAspect="1" noChangeArrowheads="1"/>
                    </pic:cNvPicPr>
                  </pic:nvPicPr>
                  <pic:blipFill>
                    <a:blip r:embed="rId9" cstate="print"/>
                    <a:srcRect/>
                    <a:stretch>
                      <a:fillRect/>
                    </a:stretch>
                  </pic:blipFill>
                  <pic:spPr bwMode="auto">
                    <a:xfrm>
                      <a:off x="0" y="0"/>
                      <a:ext cx="2588403" cy="1707812"/>
                    </a:xfrm>
                    <a:prstGeom prst="rect">
                      <a:avLst/>
                    </a:prstGeom>
                    <a:noFill/>
                    <a:ln w="9525">
                      <a:noFill/>
                      <a:miter lim="800000"/>
                      <a:headEnd/>
                      <a:tailEnd/>
                    </a:ln>
                  </pic:spPr>
                </pic:pic>
              </a:graphicData>
            </a:graphic>
          </wp:inline>
        </w:drawing>
      </w:r>
      <w:r w:rsidRPr="009E2F94">
        <w:t xml:space="preserve"> </w:t>
      </w:r>
      <w:r>
        <w:rPr>
          <w:noProof/>
        </w:rPr>
        <w:t xml:space="preserve">              </w:t>
      </w:r>
      <w:r>
        <w:rPr>
          <w:noProof/>
        </w:rPr>
        <w:drawing>
          <wp:inline distT="0" distB="0" distL="0" distR="0" wp14:anchorId="543601EB" wp14:editId="36F4854A">
            <wp:extent cx="2453640" cy="1836420"/>
            <wp:effectExtent l="19050" t="0" r="3810" b="0"/>
            <wp:docPr id="10" name="Picture 10" descr="Valaciclovi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alaciclovir - Wikipedia"/>
                    <pic:cNvPicPr>
                      <a:picLocks noChangeAspect="1" noChangeArrowheads="1"/>
                    </pic:cNvPicPr>
                  </pic:nvPicPr>
                  <pic:blipFill>
                    <a:blip r:embed="rId10" cstate="print"/>
                    <a:srcRect/>
                    <a:stretch>
                      <a:fillRect/>
                    </a:stretch>
                  </pic:blipFill>
                  <pic:spPr bwMode="auto">
                    <a:xfrm>
                      <a:off x="0" y="0"/>
                      <a:ext cx="2457033" cy="1838959"/>
                    </a:xfrm>
                    <a:prstGeom prst="rect">
                      <a:avLst/>
                    </a:prstGeom>
                    <a:noFill/>
                    <a:ln w="9525">
                      <a:noFill/>
                      <a:miter lim="800000"/>
                      <a:headEnd/>
                      <a:tailEnd/>
                    </a:ln>
                  </pic:spPr>
                </pic:pic>
              </a:graphicData>
            </a:graphic>
          </wp:inline>
        </w:drawing>
      </w:r>
    </w:p>
    <w:p w14:paraId="4E5E5E76" w14:textId="77777777" w:rsidR="009E2F94" w:rsidRPr="00482310" w:rsidRDefault="00482310" w:rsidP="00005D7D">
      <w:pPr>
        <w:spacing w:line="360" w:lineRule="auto"/>
        <w:ind w:left="360"/>
        <w:rPr>
          <w:b/>
        </w:rPr>
      </w:pPr>
      <w:r w:rsidRPr="00482310">
        <w:rPr>
          <w:b/>
        </w:rPr>
        <w:t xml:space="preserve">          </w:t>
      </w:r>
      <w:r>
        <w:rPr>
          <w:b/>
        </w:rPr>
        <w:t>(1)</w:t>
      </w:r>
      <w:r w:rsidRPr="00482310">
        <w:rPr>
          <w:b/>
        </w:rPr>
        <w:t xml:space="preserve">                    </w:t>
      </w:r>
      <w:r w:rsidR="009E2F94" w:rsidRPr="00482310">
        <w:rPr>
          <w:b/>
        </w:rPr>
        <w:t xml:space="preserve">                                                </w:t>
      </w:r>
      <w:r>
        <w:rPr>
          <w:b/>
        </w:rPr>
        <w:t xml:space="preserve">                         </w:t>
      </w:r>
      <w:r w:rsidR="009E2F94" w:rsidRPr="00482310">
        <w:rPr>
          <w:b/>
        </w:rPr>
        <w:t xml:space="preserve">   (2)</w:t>
      </w:r>
    </w:p>
    <w:p w14:paraId="155AC377" w14:textId="77777777" w:rsidR="009E2F94" w:rsidRPr="00EE5C3E" w:rsidRDefault="00EE5C3E" w:rsidP="00EE5C3E">
      <w:pPr>
        <w:pStyle w:val="Caption"/>
        <w:jc w:val="center"/>
        <w:rPr>
          <w:rFonts w:ascii="Times New Roman" w:hAnsi="Times New Roman" w:cs="Times New Roman"/>
          <w:sz w:val="24"/>
          <w:szCs w:val="24"/>
        </w:rPr>
      </w:pPr>
      <w:r w:rsidRPr="00EE5C3E">
        <w:rPr>
          <w:rFonts w:ascii="Times New Roman" w:hAnsi="Times New Roman" w:cs="Times New Roman"/>
          <w:sz w:val="24"/>
          <w:szCs w:val="24"/>
        </w:rPr>
        <w:t xml:space="preserve">Figure </w:t>
      </w:r>
      <w:r w:rsidR="005617D9" w:rsidRPr="00EE5C3E">
        <w:rPr>
          <w:rFonts w:ascii="Times New Roman" w:hAnsi="Times New Roman" w:cs="Times New Roman"/>
          <w:sz w:val="24"/>
          <w:szCs w:val="24"/>
        </w:rPr>
        <w:fldChar w:fldCharType="begin"/>
      </w:r>
      <w:r w:rsidRPr="00EE5C3E">
        <w:rPr>
          <w:rFonts w:ascii="Times New Roman" w:hAnsi="Times New Roman" w:cs="Times New Roman"/>
          <w:sz w:val="24"/>
          <w:szCs w:val="24"/>
        </w:rPr>
        <w:instrText xml:space="preserve"> SEQ Figure \* ARABIC </w:instrText>
      </w:r>
      <w:r w:rsidR="005617D9" w:rsidRPr="00EE5C3E">
        <w:rPr>
          <w:rFonts w:ascii="Times New Roman" w:hAnsi="Times New Roman" w:cs="Times New Roman"/>
          <w:sz w:val="24"/>
          <w:szCs w:val="24"/>
        </w:rPr>
        <w:fldChar w:fldCharType="separate"/>
      </w:r>
      <w:r>
        <w:rPr>
          <w:rFonts w:ascii="Times New Roman" w:hAnsi="Times New Roman" w:cs="Times New Roman"/>
          <w:noProof/>
          <w:sz w:val="24"/>
          <w:szCs w:val="24"/>
        </w:rPr>
        <w:t>2</w:t>
      </w:r>
      <w:r w:rsidR="005617D9" w:rsidRPr="00EE5C3E">
        <w:rPr>
          <w:rFonts w:ascii="Times New Roman" w:hAnsi="Times New Roman" w:cs="Times New Roman"/>
          <w:sz w:val="24"/>
          <w:szCs w:val="24"/>
        </w:rPr>
        <w:fldChar w:fldCharType="end"/>
      </w:r>
      <w:r w:rsidR="009E2F94" w:rsidRPr="00EE5C3E">
        <w:rPr>
          <w:rFonts w:ascii="Times New Roman" w:hAnsi="Times New Roman" w:cs="Times New Roman"/>
          <w:sz w:val="24"/>
          <w:szCs w:val="24"/>
        </w:rPr>
        <w:t>:</w:t>
      </w:r>
      <w:r w:rsidR="009E2F94" w:rsidRPr="00EE5C3E">
        <w:rPr>
          <w:rFonts w:ascii="Times New Roman" w:hAnsi="Times New Roman" w:cs="Times New Roman"/>
          <w:spacing w:val="-1"/>
          <w:sz w:val="24"/>
          <w:szCs w:val="24"/>
        </w:rPr>
        <w:t xml:space="preserve"> </w:t>
      </w:r>
      <w:r w:rsidR="009E2F94" w:rsidRPr="00EE5C3E">
        <w:rPr>
          <w:rFonts w:ascii="Times New Roman" w:hAnsi="Times New Roman" w:cs="Times New Roman"/>
          <w:sz w:val="24"/>
          <w:szCs w:val="24"/>
        </w:rPr>
        <w:t>Chemical</w:t>
      </w:r>
      <w:r w:rsidR="009E2F94" w:rsidRPr="00EE5C3E">
        <w:rPr>
          <w:rFonts w:ascii="Times New Roman" w:hAnsi="Times New Roman" w:cs="Times New Roman"/>
          <w:spacing w:val="-2"/>
          <w:sz w:val="24"/>
          <w:szCs w:val="24"/>
        </w:rPr>
        <w:t xml:space="preserve"> </w:t>
      </w:r>
      <w:r w:rsidR="009E2F94" w:rsidRPr="00EE5C3E">
        <w:rPr>
          <w:rFonts w:ascii="Times New Roman" w:hAnsi="Times New Roman" w:cs="Times New Roman"/>
          <w:sz w:val="24"/>
          <w:szCs w:val="24"/>
        </w:rPr>
        <w:t>Structures</w:t>
      </w:r>
      <w:r w:rsidR="009E2F94" w:rsidRPr="00EE5C3E">
        <w:rPr>
          <w:rFonts w:ascii="Times New Roman" w:hAnsi="Times New Roman" w:cs="Times New Roman"/>
          <w:spacing w:val="-1"/>
          <w:sz w:val="24"/>
          <w:szCs w:val="24"/>
        </w:rPr>
        <w:t xml:space="preserve"> </w:t>
      </w:r>
      <w:r w:rsidR="009E2F94" w:rsidRPr="00EE5C3E">
        <w:rPr>
          <w:rFonts w:ascii="Times New Roman" w:hAnsi="Times New Roman" w:cs="Times New Roman"/>
          <w:sz w:val="24"/>
          <w:szCs w:val="24"/>
        </w:rPr>
        <w:t>of Acyclovir</w:t>
      </w:r>
      <w:r w:rsidR="009E2F94" w:rsidRPr="00EE5C3E">
        <w:rPr>
          <w:rFonts w:ascii="Times New Roman" w:hAnsi="Times New Roman" w:cs="Times New Roman"/>
          <w:spacing w:val="-3"/>
          <w:sz w:val="24"/>
          <w:szCs w:val="24"/>
        </w:rPr>
        <w:t xml:space="preserve"> </w:t>
      </w:r>
      <w:r w:rsidR="009E2F94" w:rsidRPr="00EE5C3E">
        <w:rPr>
          <w:rFonts w:ascii="Times New Roman" w:hAnsi="Times New Roman" w:cs="Times New Roman"/>
          <w:sz w:val="24"/>
          <w:szCs w:val="24"/>
        </w:rPr>
        <w:t>and</w:t>
      </w:r>
      <w:r w:rsidR="009E2F94" w:rsidRPr="00EE5C3E">
        <w:rPr>
          <w:rFonts w:ascii="Times New Roman" w:hAnsi="Times New Roman" w:cs="Times New Roman"/>
          <w:spacing w:val="-1"/>
          <w:sz w:val="24"/>
          <w:szCs w:val="24"/>
        </w:rPr>
        <w:t xml:space="preserve"> </w:t>
      </w:r>
      <w:r w:rsidR="009E2F94" w:rsidRPr="00EE5C3E">
        <w:rPr>
          <w:rFonts w:ascii="Times New Roman" w:hAnsi="Times New Roman" w:cs="Times New Roman"/>
          <w:sz w:val="24"/>
          <w:szCs w:val="24"/>
        </w:rPr>
        <w:t>its</w:t>
      </w:r>
      <w:r w:rsidR="009E2F94" w:rsidRPr="00EE5C3E">
        <w:rPr>
          <w:rFonts w:ascii="Times New Roman" w:hAnsi="Times New Roman" w:cs="Times New Roman"/>
          <w:spacing w:val="-1"/>
          <w:sz w:val="24"/>
          <w:szCs w:val="24"/>
        </w:rPr>
        <w:t xml:space="preserve"> </w:t>
      </w:r>
      <w:r w:rsidR="009E2F94" w:rsidRPr="00EE5C3E">
        <w:rPr>
          <w:rFonts w:ascii="Times New Roman" w:hAnsi="Times New Roman" w:cs="Times New Roman"/>
          <w:sz w:val="24"/>
          <w:szCs w:val="24"/>
        </w:rPr>
        <w:t>Valine-Prodrug</w:t>
      </w:r>
    </w:p>
    <w:p w14:paraId="5609639A" w14:textId="77777777" w:rsidR="00543F82" w:rsidRPr="00482310" w:rsidRDefault="00543F82" w:rsidP="00005D7D">
      <w:pPr>
        <w:pStyle w:val="ListParagraph"/>
        <w:numPr>
          <w:ilvl w:val="0"/>
          <w:numId w:val="2"/>
        </w:numPr>
        <w:spacing w:line="360" w:lineRule="auto"/>
        <w:rPr>
          <w:b/>
        </w:rPr>
      </w:pPr>
      <w:r w:rsidRPr="00482310">
        <w:rPr>
          <w:b/>
        </w:rPr>
        <w:lastRenderedPageBreak/>
        <w:t>Prodrugs as support materials</w:t>
      </w:r>
    </w:p>
    <w:p w14:paraId="413EEDB3" w14:textId="6D26C100" w:rsidR="009E2F94" w:rsidRDefault="00543F82" w:rsidP="00005D7D">
      <w:pPr>
        <w:spacing w:line="360" w:lineRule="auto"/>
      </w:pPr>
      <w:r w:rsidRPr="00543F82">
        <w:t xml:space="preserve">After administration, the medication must go through a number of pharmacokinetic and pharmacological obstacles. Today's site-selective drug delivery method, or prodrug design method, is employed to address this issue. </w:t>
      </w:r>
      <w:r w:rsidR="00D65CA3" w:rsidRPr="00D65CA3">
        <w:t xml:space="preserve">Sodium-dependent multivitamin transporter (SMVT) as well as monocarboxylic acid transporter-1 (MCT), both of which are present in the colon, recognise gabapentin enacarbil, the prodrug of gabapentin (3), as a substrate. </w:t>
      </w:r>
      <w:r w:rsidRPr="00543F82">
        <w:t>The pharmacokinetics, bioavailability, and absor</w:t>
      </w:r>
      <w:r w:rsidR="00806E9C">
        <w:t>ption of gabapentin enacarbil (</w:t>
      </w:r>
      <w:r w:rsidRPr="00543F82">
        <w:t>4) are superior to those of the parent medication gabapentin</w:t>
      </w:r>
      <w:r w:rsidR="00E8041E">
        <w:t xml:space="preserve">. </w:t>
      </w:r>
      <w:r w:rsidR="005617D9">
        <w:fldChar w:fldCharType="begin" w:fldLock="1"/>
      </w:r>
      <w:r w:rsidR="001A6358">
        <w:instrText>ADDIN CSL_CITATION {"citationItems":[{"id":"ITEM-1","itemData":{"DOI":"10.1002/jps","abstract":"The solubility of stearic acid, ranitidine hydrochloride, and stavudine were predicted in selected organic solvents. The experimental solubility data of stearic acid and ranitidine hydrochloride were reported in previous work of the authors and stavudine's solubility was measured in this work. Equilibrium aqueous solubility of crystalline stauvudine was determined at controlled temperatures by stirring and filtration, with spectrophotometric quantification. The new model developed in Part 11 of this communication was modified as a semipredictive model with two adjustable parameters. Predicting the solubility data with the NRTL model using just one experimental point resulted in a big error while the modified new model and the UNIQUAC model showed much smaller errors. A new method was proposed in this work for predicting the solubility data of all polymorphs of a given compound using the experimental solubility data of one of the polymorphs of the same chemical compound. Although in general, the UNIQUAC model predictions were marginally superior, the new model is simpler and does not require the molecular parameters such as Van der Waals area and volume. The solubility prediction in a mixture of solvents using the NRTL and UNIQUAC models was also discussed.","author":[{"dropping-particle":"","family":"Psimadas","given":"Dimitrios","non-dropping-particle":"","parse-names":false,"suffix":""},{"dropping-particle":"","family":"Georgoulias","given":"Panagiotis","non-dropping-particle":"","parse-names":false,"suffix":""},{"dropping-particle":"","family":"Valotassiou","given":"Varvara","non-dropping-particle":"","parse-names":false,"suffix":""},{"dropping-particle":"","family":"Loudos","given":"George","non-dropping-particle":"","parse-names":false,"suffix":""}],"container-title":"Journal of pharmaceutical sciences","id":"ITEM-1","issue":"7","issued":{"date-parts":[["2012"]]},"page":"2271-2280","title":"Molecular Nanomedicine Towards Cancer :","type":"article-journal","volume":"101"},"uris":["http://www.mendeley.com/documents/?uuid=a49c7f05-e923-4644-8aad-d07e16e8d91b"]}],"mendeley":{"formattedCitation":"[34]","plainTextFormattedCitation":"[34]","previouslyFormattedCitation":"[33]"},"properties":{"noteIndex":0},"schema":"https://github.com/citation-style-language/schema/raw/master/csl-citation.json"}</w:instrText>
      </w:r>
      <w:r w:rsidR="005617D9">
        <w:fldChar w:fldCharType="separate"/>
      </w:r>
      <w:r w:rsidR="001A6358" w:rsidRPr="001A6358">
        <w:rPr>
          <w:noProof/>
        </w:rPr>
        <w:t>[34]</w:t>
      </w:r>
      <w:r w:rsidR="005617D9">
        <w:fldChar w:fldCharType="end"/>
      </w:r>
      <w:r w:rsidR="00F962BB">
        <w:t xml:space="preserve"> </w:t>
      </w:r>
      <w:r w:rsidRPr="00543F82">
        <w:t>ACE inhibitors, antiviral medications, and anticancer prodrugs are further examples of drugs that funct</w:t>
      </w:r>
      <w:r w:rsidR="00482310">
        <w:t xml:space="preserve">ion as a substrate for (PEPT 1) </w:t>
      </w:r>
      <w:r w:rsidR="00EE5C3E">
        <w:t>(Figure 3</w:t>
      </w:r>
      <w:r w:rsidR="00482310">
        <w:t>)</w:t>
      </w:r>
      <w:r w:rsidRPr="00543F82">
        <w:t>.</w:t>
      </w:r>
    </w:p>
    <w:p w14:paraId="2631D54E" w14:textId="77777777" w:rsidR="00482310" w:rsidRDefault="00482310" w:rsidP="00005D7D">
      <w:pPr>
        <w:spacing w:line="360" w:lineRule="auto"/>
      </w:pPr>
      <w:r>
        <w:rPr>
          <w:noProof/>
        </w:rPr>
        <w:drawing>
          <wp:inline distT="0" distB="0" distL="0" distR="0" wp14:anchorId="5DAA3775" wp14:editId="661E5998">
            <wp:extent cx="2724150" cy="2016843"/>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2727468" cy="2019300"/>
                    </a:xfrm>
                    <a:prstGeom prst="rect">
                      <a:avLst/>
                    </a:prstGeom>
                    <a:noFill/>
                    <a:ln w="9525">
                      <a:noFill/>
                      <a:miter lim="800000"/>
                      <a:headEnd/>
                      <a:tailEnd/>
                    </a:ln>
                  </pic:spPr>
                </pic:pic>
              </a:graphicData>
            </a:graphic>
          </wp:inline>
        </w:drawing>
      </w:r>
      <w:r>
        <w:rPr>
          <w:noProof/>
        </w:rPr>
        <w:t xml:space="preserve"> </w:t>
      </w:r>
      <w:r>
        <w:rPr>
          <w:noProof/>
        </w:rPr>
        <w:drawing>
          <wp:inline distT="0" distB="0" distL="0" distR="0" wp14:anchorId="3560111C" wp14:editId="417D206F">
            <wp:extent cx="2724150" cy="212598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2724150" cy="2125980"/>
                    </a:xfrm>
                    <a:prstGeom prst="rect">
                      <a:avLst/>
                    </a:prstGeom>
                    <a:noFill/>
                    <a:ln w="9525">
                      <a:noFill/>
                      <a:miter lim="800000"/>
                      <a:headEnd/>
                      <a:tailEnd/>
                    </a:ln>
                  </pic:spPr>
                </pic:pic>
              </a:graphicData>
            </a:graphic>
          </wp:inline>
        </w:drawing>
      </w:r>
    </w:p>
    <w:p w14:paraId="60D0CCAD" w14:textId="77777777" w:rsidR="00806E9C" w:rsidRDefault="00482310" w:rsidP="00005D7D">
      <w:pPr>
        <w:tabs>
          <w:tab w:val="left" w:pos="1236"/>
        </w:tabs>
        <w:spacing w:line="360" w:lineRule="auto"/>
        <w:ind w:left="520"/>
      </w:pPr>
      <w:r>
        <w:t xml:space="preserve">                          (3)                                                              (4)                                                                                                                                 </w:t>
      </w:r>
    </w:p>
    <w:p w14:paraId="454903A8" w14:textId="77777777" w:rsidR="00482310" w:rsidRPr="00EE5C3E" w:rsidRDefault="00EE5C3E" w:rsidP="00EE5C3E">
      <w:pPr>
        <w:pStyle w:val="Caption"/>
        <w:jc w:val="center"/>
        <w:rPr>
          <w:rFonts w:ascii="Times New Roman" w:hAnsi="Times New Roman" w:cs="Times New Roman"/>
          <w:sz w:val="24"/>
          <w:szCs w:val="24"/>
        </w:rPr>
      </w:pPr>
      <w:r w:rsidRPr="00EE5C3E">
        <w:rPr>
          <w:rFonts w:ascii="Times New Roman" w:hAnsi="Times New Roman" w:cs="Times New Roman"/>
          <w:sz w:val="24"/>
          <w:szCs w:val="24"/>
        </w:rPr>
        <w:t xml:space="preserve">Figure </w:t>
      </w:r>
      <w:r w:rsidR="005617D9" w:rsidRPr="00EE5C3E">
        <w:rPr>
          <w:rFonts w:ascii="Times New Roman" w:hAnsi="Times New Roman" w:cs="Times New Roman"/>
          <w:sz w:val="24"/>
          <w:szCs w:val="24"/>
        </w:rPr>
        <w:fldChar w:fldCharType="begin"/>
      </w:r>
      <w:r w:rsidRPr="00EE5C3E">
        <w:rPr>
          <w:rFonts w:ascii="Times New Roman" w:hAnsi="Times New Roman" w:cs="Times New Roman"/>
          <w:sz w:val="24"/>
          <w:szCs w:val="24"/>
        </w:rPr>
        <w:instrText xml:space="preserve"> SEQ Figure \* ARABIC </w:instrText>
      </w:r>
      <w:r w:rsidR="005617D9" w:rsidRPr="00EE5C3E">
        <w:rPr>
          <w:rFonts w:ascii="Times New Roman" w:hAnsi="Times New Roman" w:cs="Times New Roman"/>
          <w:sz w:val="24"/>
          <w:szCs w:val="24"/>
        </w:rPr>
        <w:fldChar w:fldCharType="separate"/>
      </w:r>
      <w:r>
        <w:rPr>
          <w:rFonts w:ascii="Times New Roman" w:hAnsi="Times New Roman" w:cs="Times New Roman"/>
          <w:noProof/>
          <w:sz w:val="24"/>
          <w:szCs w:val="24"/>
        </w:rPr>
        <w:t>3</w:t>
      </w:r>
      <w:r w:rsidR="005617D9" w:rsidRPr="00EE5C3E">
        <w:rPr>
          <w:rFonts w:ascii="Times New Roman" w:hAnsi="Times New Roman" w:cs="Times New Roman"/>
          <w:sz w:val="24"/>
          <w:szCs w:val="24"/>
        </w:rPr>
        <w:fldChar w:fldCharType="end"/>
      </w:r>
      <w:r w:rsidR="00482310" w:rsidRPr="00EE5C3E">
        <w:rPr>
          <w:rFonts w:ascii="Times New Roman" w:hAnsi="Times New Roman" w:cs="Times New Roman"/>
          <w:sz w:val="24"/>
          <w:szCs w:val="24"/>
        </w:rPr>
        <w:t>:</w:t>
      </w:r>
      <w:r w:rsidR="00482310" w:rsidRPr="00EE5C3E">
        <w:rPr>
          <w:rFonts w:ascii="Times New Roman" w:hAnsi="Times New Roman" w:cs="Times New Roman"/>
          <w:spacing w:val="-2"/>
          <w:sz w:val="24"/>
          <w:szCs w:val="24"/>
        </w:rPr>
        <w:t xml:space="preserve"> </w:t>
      </w:r>
      <w:r w:rsidR="00482310" w:rsidRPr="00EE5C3E">
        <w:rPr>
          <w:rFonts w:ascii="Times New Roman" w:hAnsi="Times New Roman" w:cs="Times New Roman"/>
          <w:sz w:val="24"/>
          <w:szCs w:val="24"/>
        </w:rPr>
        <w:t>Chemical</w:t>
      </w:r>
      <w:r w:rsidR="00482310" w:rsidRPr="00EE5C3E">
        <w:rPr>
          <w:rFonts w:ascii="Times New Roman" w:hAnsi="Times New Roman" w:cs="Times New Roman"/>
          <w:spacing w:val="-2"/>
          <w:sz w:val="24"/>
          <w:szCs w:val="24"/>
        </w:rPr>
        <w:t xml:space="preserve"> </w:t>
      </w:r>
      <w:r w:rsidR="00482310" w:rsidRPr="00EE5C3E">
        <w:rPr>
          <w:rFonts w:ascii="Times New Roman" w:hAnsi="Times New Roman" w:cs="Times New Roman"/>
          <w:sz w:val="24"/>
          <w:szCs w:val="24"/>
        </w:rPr>
        <w:t>Structures</w:t>
      </w:r>
      <w:r w:rsidR="00482310" w:rsidRPr="00EE5C3E">
        <w:rPr>
          <w:rFonts w:ascii="Times New Roman" w:hAnsi="Times New Roman" w:cs="Times New Roman"/>
          <w:spacing w:val="-1"/>
          <w:sz w:val="24"/>
          <w:szCs w:val="24"/>
        </w:rPr>
        <w:t xml:space="preserve"> </w:t>
      </w:r>
      <w:r w:rsidR="00482310" w:rsidRPr="00EE5C3E">
        <w:rPr>
          <w:rFonts w:ascii="Times New Roman" w:hAnsi="Times New Roman" w:cs="Times New Roman"/>
          <w:sz w:val="24"/>
          <w:szCs w:val="24"/>
        </w:rPr>
        <w:t>of</w:t>
      </w:r>
      <w:r w:rsidR="00482310" w:rsidRPr="00EE5C3E">
        <w:rPr>
          <w:rFonts w:ascii="Times New Roman" w:hAnsi="Times New Roman" w:cs="Times New Roman"/>
          <w:spacing w:val="-1"/>
          <w:sz w:val="24"/>
          <w:szCs w:val="24"/>
        </w:rPr>
        <w:t xml:space="preserve"> </w:t>
      </w:r>
      <w:r w:rsidR="00482310" w:rsidRPr="00EE5C3E">
        <w:rPr>
          <w:rFonts w:ascii="Times New Roman" w:hAnsi="Times New Roman" w:cs="Times New Roman"/>
          <w:sz w:val="24"/>
          <w:szCs w:val="24"/>
        </w:rPr>
        <w:t>Gabapentin</w:t>
      </w:r>
      <w:r w:rsidR="00482310" w:rsidRPr="00EE5C3E">
        <w:rPr>
          <w:rFonts w:ascii="Times New Roman" w:hAnsi="Times New Roman" w:cs="Times New Roman"/>
          <w:spacing w:val="-2"/>
          <w:sz w:val="24"/>
          <w:szCs w:val="24"/>
        </w:rPr>
        <w:t xml:space="preserve"> </w:t>
      </w:r>
      <w:r w:rsidR="00482310" w:rsidRPr="00EE5C3E">
        <w:rPr>
          <w:rFonts w:ascii="Times New Roman" w:hAnsi="Times New Roman" w:cs="Times New Roman"/>
          <w:sz w:val="24"/>
          <w:szCs w:val="24"/>
        </w:rPr>
        <w:t>and</w:t>
      </w:r>
      <w:r w:rsidR="00482310" w:rsidRPr="00EE5C3E">
        <w:rPr>
          <w:rFonts w:ascii="Times New Roman" w:hAnsi="Times New Roman" w:cs="Times New Roman"/>
          <w:spacing w:val="-3"/>
          <w:sz w:val="24"/>
          <w:szCs w:val="24"/>
        </w:rPr>
        <w:t xml:space="preserve"> </w:t>
      </w:r>
      <w:r w:rsidR="00482310" w:rsidRPr="00EE5C3E">
        <w:rPr>
          <w:rFonts w:ascii="Times New Roman" w:hAnsi="Times New Roman" w:cs="Times New Roman"/>
          <w:sz w:val="24"/>
          <w:szCs w:val="24"/>
        </w:rPr>
        <w:t>Gabapentin</w:t>
      </w:r>
      <w:r w:rsidR="00482310" w:rsidRPr="00EE5C3E">
        <w:rPr>
          <w:rFonts w:ascii="Times New Roman" w:hAnsi="Times New Roman" w:cs="Times New Roman"/>
          <w:spacing w:val="-2"/>
          <w:sz w:val="24"/>
          <w:szCs w:val="24"/>
        </w:rPr>
        <w:t xml:space="preserve"> </w:t>
      </w:r>
      <w:r w:rsidR="00482310" w:rsidRPr="00EE5C3E">
        <w:rPr>
          <w:rFonts w:ascii="Times New Roman" w:hAnsi="Times New Roman" w:cs="Times New Roman"/>
          <w:sz w:val="24"/>
          <w:szCs w:val="24"/>
        </w:rPr>
        <w:t>enacarbil</w:t>
      </w:r>
    </w:p>
    <w:p w14:paraId="1D1E12B5" w14:textId="77777777" w:rsidR="00482310" w:rsidRPr="00EE5C3E" w:rsidRDefault="00482310" w:rsidP="00005D7D">
      <w:pPr>
        <w:pStyle w:val="ListParagraph"/>
        <w:numPr>
          <w:ilvl w:val="0"/>
          <w:numId w:val="2"/>
        </w:numPr>
        <w:tabs>
          <w:tab w:val="left" w:pos="1236"/>
        </w:tabs>
        <w:spacing w:line="360" w:lineRule="auto"/>
        <w:rPr>
          <w:b/>
        </w:rPr>
      </w:pPr>
      <w:r w:rsidRPr="00EE5C3E">
        <w:rPr>
          <w:b/>
        </w:rPr>
        <w:t>Prodru</w:t>
      </w:r>
      <w:r w:rsidR="00EE5C3E">
        <w:rPr>
          <w:b/>
        </w:rPr>
        <w:t>gs with enhanced lipophilicity</w:t>
      </w:r>
    </w:p>
    <w:p w14:paraId="2C9F7999" w14:textId="77777777" w:rsidR="00AF6B7B" w:rsidRDefault="00482310" w:rsidP="0051637B">
      <w:pPr>
        <w:tabs>
          <w:tab w:val="left" w:pos="1236"/>
        </w:tabs>
        <w:spacing w:line="360" w:lineRule="auto"/>
      </w:pPr>
      <w:r>
        <w:t xml:space="preserve">Since phospholipids make up biological membranes, lipophilicity is necessary for transport across these membranes. Drugs that are polar or </w:t>
      </w:r>
      <w:r w:rsidR="00005D7D">
        <w:t>ionized</w:t>
      </w:r>
      <w:r>
        <w:t xml:space="preserve"> may be transformed into esters to increase their lipophilicity. </w:t>
      </w:r>
      <w:r w:rsidR="005617D9">
        <w:fldChar w:fldCharType="begin" w:fldLock="1"/>
      </w:r>
      <w:r w:rsidR="001A6358">
        <w:instrText>ADDIN CSL_CITATION {"citationItems":[{"id":"ITEM-1","itemData":{"DOI":"10.1161/ATVBAHA.110.203604","ISSN":"10795642","PMID":"20671233","abstract":"Dabigatran is a highly selective, reversible, and potent thrombin inhibitor and is orally available as the prodrug, dabigatran etexilate. It has shown antithrombotic efficacy in animal models of thrombosis, with a rapid onset of action and predictable pharmacodynamic response. Peak plasma concentrations of dabigatran occur 1 to 2 hours after ingestion of the prodrug. The terminal half-life of dabigatran is 12 to 14 hours in elderly volunteers. Dabigatran is not metabolized by cytochrome P450 isoenzymes and does not interact with food. Dabigatran has a low potential for drug-drug interactions and is predominantly renally excreted. Dabigatran etexilate as chronic therapy effectively prevents the recurrence of venous thromboembolism and cardioembolic stroke. For the first time, it has been demonstrated clinically that there may be an effective and safe alternative to warfarin. © 2010 American Heart Association, Inc.","author":[{"dropping-particle":"","family":"Eisert","given":"Wolfgang G.","non-dropping-particle":"","parse-names":false,"suffix":""},{"dropping-particle":"","family":"Hauel","given":"Norbert","non-dropping-particle":"","parse-names":false,"suffix":""},{"dropping-particle":"","family":"Stangier","given":"Joachim","non-dropping-particle":"","parse-names":false,"suffix":""},{"dropping-particle":"","family":"Wienen","given":"Wolfgang","non-dropping-particle":"","parse-names":false,"suffix":""},{"dropping-particle":"","family":"Clemens","given":"Andreas","non-dropping-particle":"","parse-names":false,"suffix":""},{"dropping-particle":"","family":"Ryn","given":"Joanne","non-dropping-particle":"Van","parse-names":false,"suffix":""}],"container-title":"Arteriosclerosis, Thrombosis, and Vascular Biology","id":"ITEM-1","issue":"10","issued":{"date-parts":[["2010"]]},"page":"1885-1889","title":"Dabigatran: An oral novel potent reversible nonpeptide inhibitor of thrombin","type":"article-journal","volume":"30"},"uris":["http://www.mendeley.com/documents/?uuid=ab46ab06-a6e9-4c83-bfbf-2f81f894ea13"]}],"mendeley":{"formattedCitation":"[35]","plainTextFormattedCitation":"[35]","previouslyFormattedCitation":"[34]"},"properties":{"noteIndex":0},"schema":"https://github.com/citation-style-language/schema/raw/master/csl-citation.json"}</w:instrText>
      </w:r>
      <w:r w:rsidR="005617D9">
        <w:fldChar w:fldCharType="separate"/>
      </w:r>
      <w:r w:rsidR="001A6358" w:rsidRPr="001A6358">
        <w:rPr>
          <w:noProof/>
        </w:rPr>
        <w:t>[35]</w:t>
      </w:r>
      <w:r w:rsidR="005617D9">
        <w:fldChar w:fldCharType="end"/>
      </w:r>
      <w:r w:rsidR="00741925">
        <w:t xml:space="preserve"> </w:t>
      </w:r>
      <w:r>
        <w:t xml:space="preserve">In order to create more lipophilic aryl and alkyl esters, hydrophilic groups including hydroxyl, thiol, carboxyl, phosphates, and amines may be found in parent medicines. The enzymatic activity of </w:t>
      </w:r>
      <w:r w:rsidR="00005D7D">
        <w:t>esterase</w:t>
      </w:r>
      <w:r>
        <w:t xml:space="preserve"> may change these esters into their active parent medication. </w:t>
      </w:r>
      <w:r w:rsidR="005617D9">
        <w:fldChar w:fldCharType="begin" w:fldLock="1"/>
      </w:r>
      <w:r w:rsidR="001A6358">
        <w:instrText xml:space="preserve">ADDIN CSL_CITATION {"citationItems":[{"id":"ITEM-1","itemData":{"DOI":"10.1124/dmd.107.019083.atrial","ISSN":"00909556","PMID":"18006647","abstract":"The pharmacokinetics and metabolism of the direct thrombin inhibitor dabigatran (BIBR 953 ZW, β-alanine, N-[[2-[[[4-(amino-iminomethyl) phenyl]amino]methyl]-1-methyl-1H-benzimidazol-5-yl]carbonyl]-N-2-pyridinyl) were studied in 10 healthy males, who received 200 mg of [14C]dabigatran etexilate (BIBR 1048 MS, the oral prodrug of dabigatran) or an i.v. infusion of 5 mg of [14C]dabigatran. Radioactivity was measured in plasma, urine, and feces over 1 week. The metabolite pattern was analyzed by high-performance liquid chromatography with on-line radioactivity detection, and metabolite structures were elucidated by mass spectrometry. Dabigatran etexilate was rapidly converted to dabigatran, with peak plasma dabigatran concentrations being attained after approximately 1.5 h; the bioavailability of dabigatran after p.o. administration of dabigatran etexilate was 7.2%. Dabigatran was predominantly excreted in the feces after p.o. treatment and in the urine after i.v. treatment. The mean terminal half-life of dabigatran was approximately 8 h. The predominant metabolic reaction was esterase-mediated hydrolysis of dabigatran etexilate to dabigatran. Phase I metabolites accounted for ≤0.6% of the dose in urine and 5.8% of the dose in feces following p.o. administration and ≤1.5 and 0.2%, respectively, following i.v. administration. Dabigatran acylglucuronides accounted for 0.4 and 4% of the dose in urine after p.o. and i.v. dosing, respectively. In vitro experiments confirmed that dabigatran etexilate is metabolized primarily by esterases and that cytochrome P450 plays no relevant role. These findings suggest that pharmacologically active concentrations of dabigatran are readily achieved after p.o. administration of dabigatran etexilate and that the potential for clinically relevant interactions between dabigatran and drugs metabolized by cytochrome P450 is low. Copyright © 2008 by The American Society for Pharmacology and Experimental Therapeutics.","author":[{"dropping-particle":"","family":"Blech","given":"Stefan","non-dropping-particle":"","parse-names":false,"suffix":""},{"dropping-particle":"","family":"Ebner","given":"Thomas","non-dropping-particle":"","parse-names":false,"suffix":""},{"dropping-particle":"","family":"Ludwig-Schwellinger","given":"Eva","non-dropping-particle":"","parse-names":false,"suffix":""},{"dropping-particle":"","family":"Stangier","given":"Joachim","non-dropping-particle":"","parse-names":false,"suffix":""},{"dropping-particle":"","family":"Roth","given":"Willy","non-dropping-particle":"","parse-names":false,"suffix":""}],"container-title":"Drug Metabolism and Disposition","id":"ITEM-1","issue":"2","issued":{"date-parts":[["2008"]]},"page":"386-399","title":"DABE po </w:instrText>
      </w:r>
      <w:r w:rsidR="001A6358">
        <w:rPr>
          <w:rFonts w:ascii="MS Gothic" w:eastAsia="MS Gothic" w:hAnsi="MS Gothic" w:cs="MS Gothic" w:hint="eastAsia"/>
        </w:rPr>
        <w:instrText>ヒト（</w:instrText>
      </w:r>
      <w:r w:rsidR="001A6358">
        <w:instrText>Galtine</w:instrText>
      </w:r>
      <w:r w:rsidR="001A6358">
        <w:rPr>
          <w:rFonts w:ascii="MS Gothic" w:eastAsia="MS Gothic" w:hAnsi="MS Gothic" w:cs="MS Gothic" w:hint="eastAsia"/>
        </w:rPr>
        <w:instrText>が使用）</w:instrText>
      </w:r>
      <w:r w:rsidR="001A6358">
        <w:instrText>","type":"article-journal","volume":"36"},"uris":["http://www.mendeley.com/documents/?uuid=8e3929c5-8881-47e8-8333-7c7153c3191c"]}],"mendeley":{"formattedCitation":"[36]","plainTextFormattedCitation":"[36]","previouslyFormattedCitation":"[35]"},"properties":{"noteIndex":0},"schema":"https://github.com/citation-style-language/schema/raw/master/csl-citation.json"}</w:instrText>
      </w:r>
      <w:r w:rsidR="005617D9">
        <w:fldChar w:fldCharType="separate"/>
      </w:r>
      <w:r w:rsidR="001A6358" w:rsidRPr="001A6358">
        <w:rPr>
          <w:noProof/>
        </w:rPr>
        <w:t>[36]</w:t>
      </w:r>
      <w:r w:rsidR="005617D9">
        <w:fldChar w:fldCharType="end"/>
      </w:r>
      <w:r w:rsidR="00FA0E2E">
        <w:t xml:space="preserve"> </w:t>
      </w:r>
      <w:r>
        <w:t xml:space="preserve">Consider the polar, permanently charged molecule dabigatran, which has an extremely limited bioavailability owing to its strong polarity. </w:t>
      </w:r>
      <w:r w:rsidR="00015B1A" w:rsidRPr="00015B1A">
        <w:t xml:space="preserve">Bioavailability of </w:t>
      </w:r>
      <w:r w:rsidR="00015B1A" w:rsidRPr="00015B1A">
        <w:lastRenderedPageBreak/>
        <w:t>dabigatran was dramatically increased with the addition of the prodrug etexilate, which masked the drug's polarity.</w:t>
      </w:r>
    </w:p>
    <w:p w14:paraId="63ED0241" w14:textId="3335A8F4" w:rsidR="00482310" w:rsidRDefault="0051637B" w:rsidP="0051637B">
      <w:pPr>
        <w:tabs>
          <w:tab w:val="left" w:pos="1236"/>
        </w:tabs>
        <w:spacing w:line="360" w:lineRule="auto"/>
      </w:pPr>
      <w:r>
        <w:t xml:space="preserve">The roles played by groups containing carboxylic acid ester or carbamic acid ester are distinct. Timolol (5) is a derivative of o-butyryl timolol (6), a prodrug with a logP/D value of 2.08 compared to timolol's logP/D value of 0.04.[18] </w:t>
      </w:r>
      <w:r w:rsidR="005617D9">
        <w:fldChar w:fldCharType="begin" w:fldLock="1"/>
      </w:r>
      <w:r w:rsidR="001A6358">
        <w:instrText>ADDIN CSL_CITATION {"citationItems":[{"id":"ITEM-1","itemData":{"DOI":"10.2174/156802611797183230","ISSN":"15680266","PMID":"21671868","abstract":"The study of prodrugs that are chemically modified bioreversible derivatives of active drug compounds to alter their undesired properties has been expanded widely during the last decades. Despite the commercial success the prodrugs have afforded, the concept is still quite unknown among many scientist. Furthermore, many scientists regard prodrugs as a pure interest of academic research groups and not as a feasible solution to improve the delivery or targeting properties of new chemical entities, drug candidates failed in clinical trials, or drugs withdrawn from the market. Although there are still unmet needs that require addressing, prodrugs should be seen as fine-tuning tools for the successful drug research and development. This review represents the potential of prodrugs to improve the drug delivery by enhanced aqueous solubility or permeability as well as describes several targeted prodrug strategies. © 2011 Bentham Science Publishers.","author":[{"dropping-particle":"","family":"M. Huttunen","given":"Kristiina","non-dropping-particle":"","parse-names":false,"suffix":""},{"dropping-particle":"","family":"Rautio","given":"Jarkko","non-dropping-particle":"","parse-names":false,"suffix":""}],"container-title":"Current Topics in Medicinal Chemistry","id":"ITEM-1","issue":"18","issued":{"date-parts":[["2011"]]},"page":"2265-2287","title":"Prodrugs - An Efficient Way to Breach Delivery and Targeting Barriers","type":"article-journal","volume":"11"},"uris":["http://www.mendeley.com/documents/?uuid=3f6c3144-e52f-4cb4-9a66-98907ce69f2d"]}],"mendeley":{"formattedCitation":"[37]","plainTextFormattedCitation":"[37]","previouslyFormattedCitation":"[36]"},"properties":{"noteIndex":0},"schema":"https://github.com/citation-style-language/schema/raw/master/csl-citation.json"}</w:instrText>
      </w:r>
      <w:r w:rsidR="005617D9">
        <w:fldChar w:fldCharType="separate"/>
      </w:r>
      <w:r w:rsidR="001A6358" w:rsidRPr="001A6358">
        <w:rPr>
          <w:noProof/>
        </w:rPr>
        <w:t>[37]</w:t>
      </w:r>
      <w:r w:rsidR="005617D9">
        <w:fldChar w:fldCharType="end"/>
      </w:r>
      <w:r w:rsidR="000C67B8">
        <w:t xml:space="preserve"> </w:t>
      </w:r>
      <w:r w:rsidR="00EE5C3E">
        <w:t>(figure 4</w:t>
      </w:r>
      <w:r w:rsidR="00482310">
        <w:t>).</w:t>
      </w:r>
    </w:p>
    <w:p w14:paraId="167C5ABF" w14:textId="77777777" w:rsidR="00482310" w:rsidRDefault="00482310" w:rsidP="00005D7D">
      <w:pPr>
        <w:tabs>
          <w:tab w:val="left" w:pos="1236"/>
        </w:tabs>
        <w:spacing w:line="360" w:lineRule="auto"/>
      </w:pPr>
      <w:r>
        <w:rPr>
          <w:noProof/>
        </w:rPr>
        <w:drawing>
          <wp:inline distT="0" distB="0" distL="0" distR="0" wp14:anchorId="7852242D" wp14:editId="0242DB19">
            <wp:extent cx="2526030" cy="1577340"/>
            <wp:effectExtent l="1905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2528304" cy="1578760"/>
                    </a:xfrm>
                    <a:prstGeom prst="rect">
                      <a:avLst/>
                    </a:prstGeom>
                    <a:noFill/>
                    <a:ln w="9525">
                      <a:noFill/>
                      <a:miter lim="800000"/>
                      <a:headEnd/>
                      <a:tailEnd/>
                    </a:ln>
                  </pic:spPr>
                </pic:pic>
              </a:graphicData>
            </a:graphic>
          </wp:inline>
        </w:drawing>
      </w:r>
      <w:r>
        <w:rPr>
          <w:noProof/>
        </w:rPr>
        <w:drawing>
          <wp:inline distT="0" distB="0" distL="0" distR="0" wp14:anchorId="59DBEE3A" wp14:editId="654EFDFD">
            <wp:extent cx="2922270" cy="172212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srcRect/>
                    <a:stretch>
                      <a:fillRect/>
                    </a:stretch>
                  </pic:blipFill>
                  <pic:spPr bwMode="auto">
                    <a:xfrm>
                      <a:off x="0" y="0"/>
                      <a:ext cx="2922270" cy="1722120"/>
                    </a:xfrm>
                    <a:prstGeom prst="rect">
                      <a:avLst/>
                    </a:prstGeom>
                    <a:noFill/>
                    <a:ln w="9525">
                      <a:noFill/>
                      <a:miter lim="800000"/>
                      <a:headEnd/>
                      <a:tailEnd/>
                    </a:ln>
                  </pic:spPr>
                </pic:pic>
              </a:graphicData>
            </a:graphic>
          </wp:inline>
        </w:drawing>
      </w:r>
    </w:p>
    <w:p w14:paraId="3BB210C7" w14:textId="77777777" w:rsidR="00482310" w:rsidRDefault="00482310" w:rsidP="00005D7D">
      <w:pPr>
        <w:tabs>
          <w:tab w:val="left" w:pos="1812"/>
        </w:tabs>
        <w:spacing w:line="360" w:lineRule="auto"/>
      </w:pPr>
      <w:r>
        <w:tab/>
        <w:t>(5)                                                            (6)</w:t>
      </w:r>
    </w:p>
    <w:p w14:paraId="393A6F65" w14:textId="77777777" w:rsidR="00482310" w:rsidRPr="00EE5C3E" w:rsidRDefault="00EE5C3E" w:rsidP="00EE5C3E">
      <w:pPr>
        <w:pStyle w:val="Caption"/>
        <w:jc w:val="center"/>
        <w:rPr>
          <w:rFonts w:ascii="Times New Roman" w:hAnsi="Times New Roman" w:cs="Times New Roman"/>
          <w:sz w:val="24"/>
          <w:szCs w:val="24"/>
        </w:rPr>
      </w:pPr>
      <w:r w:rsidRPr="00EE5C3E">
        <w:rPr>
          <w:rFonts w:ascii="Times New Roman" w:hAnsi="Times New Roman" w:cs="Times New Roman"/>
          <w:sz w:val="24"/>
          <w:szCs w:val="24"/>
        </w:rPr>
        <w:t xml:space="preserve">Figure </w:t>
      </w:r>
      <w:r w:rsidR="005617D9" w:rsidRPr="00EE5C3E">
        <w:rPr>
          <w:rFonts w:ascii="Times New Roman" w:hAnsi="Times New Roman" w:cs="Times New Roman"/>
          <w:sz w:val="24"/>
          <w:szCs w:val="24"/>
        </w:rPr>
        <w:fldChar w:fldCharType="begin"/>
      </w:r>
      <w:r w:rsidRPr="00EE5C3E">
        <w:rPr>
          <w:rFonts w:ascii="Times New Roman" w:hAnsi="Times New Roman" w:cs="Times New Roman"/>
          <w:sz w:val="24"/>
          <w:szCs w:val="24"/>
        </w:rPr>
        <w:instrText xml:space="preserve"> SEQ Figure \* ARABIC </w:instrText>
      </w:r>
      <w:r w:rsidR="005617D9" w:rsidRPr="00EE5C3E">
        <w:rPr>
          <w:rFonts w:ascii="Times New Roman" w:hAnsi="Times New Roman" w:cs="Times New Roman"/>
          <w:sz w:val="24"/>
          <w:szCs w:val="24"/>
        </w:rPr>
        <w:fldChar w:fldCharType="separate"/>
      </w:r>
      <w:r>
        <w:rPr>
          <w:rFonts w:ascii="Times New Roman" w:hAnsi="Times New Roman" w:cs="Times New Roman"/>
          <w:noProof/>
          <w:sz w:val="24"/>
          <w:szCs w:val="24"/>
        </w:rPr>
        <w:t>4</w:t>
      </w:r>
      <w:r w:rsidR="005617D9" w:rsidRPr="00EE5C3E">
        <w:rPr>
          <w:rFonts w:ascii="Times New Roman" w:hAnsi="Times New Roman" w:cs="Times New Roman"/>
          <w:sz w:val="24"/>
          <w:szCs w:val="24"/>
        </w:rPr>
        <w:fldChar w:fldCharType="end"/>
      </w:r>
      <w:r w:rsidR="00482310" w:rsidRPr="00EE5C3E">
        <w:rPr>
          <w:rFonts w:ascii="Times New Roman" w:hAnsi="Times New Roman" w:cs="Times New Roman"/>
          <w:sz w:val="24"/>
          <w:szCs w:val="24"/>
        </w:rPr>
        <w:t>:</w:t>
      </w:r>
      <w:r w:rsidR="00482310" w:rsidRPr="00EE5C3E">
        <w:rPr>
          <w:rFonts w:ascii="Times New Roman" w:hAnsi="Times New Roman" w:cs="Times New Roman"/>
          <w:spacing w:val="-1"/>
          <w:sz w:val="24"/>
          <w:szCs w:val="24"/>
        </w:rPr>
        <w:t xml:space="preserve"> </w:t>
      </w:r>
      <w:r w:rsidR="00482310" w:rsidRPr="00EE5C3E">
        <w:rPr>
          <w:rFonts w:ascii="Times New Roman" w:hAnsi="Times New Roman" w:cs="Times New Roman"/>
          <w:sz w:val="24"/>
          <w:szCs w:val="24"/>
        </w:rPr>
        <w:t>Chemical</w:t>
      </w:r>
      <w:r w:rsidR="00482310" w:rsidRPr="00EE5C3E">
        <w:rPr>
          <w:rFonts w:ascii="Times New Roman" w:hAnsi="Times New Roman" w:cs="Times New Roman"/>
          <w:spacing w:val="-1"/>
          <w:sz w:val="24"/>
          <w:szCs w:val="24"/>
        </w:rPr>
        <w:t xml:space="preserve"> </w:t>
      </w:r>
      <w:r w:rsidR="00482310" w:rsidRPr="00EE5C3E">
        <w:rPr>
          <w:rFonts w:ascii="Times New Roman" w:hAnsi="Times New Roman" w:cs="Times New Roman"/>
          <w:sz w:val="24"/>
          <w:szCs w:val="24"/>
        </w:rPr>
        <w:t>Structures</w:t>
      </w:r>
      <w:r w:rsidR="00482310" w:rsidRPr="00EE5C3E">
        <w:rPr>
          <w:rFonts w:ascii="Times New Roman" w:hAnsi="Times New Roman" w:cs="Times New Roman"/>
          <w:spacing w:val="-1"/>
          <w:sz w:val="24"/>
          <w:szCs w:val="24"/>
        </w:rPr>
        <w:t xml:space="preserve"> </w:t>
      </w:r>
      <w:r w:rsidR="00482310" w:rsidRPr="00EE5C3E">
        <w:rPr>
          <w:rFonts w:ascii="Times New Roman" w:hAnsi="Times New Roman" w:cs="Times New Roman"/>
          <w:sz w:val="24"/>
          <w:szCs w:val="24"/>
        </w:rPr>
        <w:t>of</w:t>
      </w:r>
      <w:r w:rsidR="00482310" w:rsidRPr="00EE5C3E">
        <w:rPr>
          <w:rFonts w:ascii="Times New Roman" w:hAnsi="Times New Roman" w:cs="Times New Roman"/>
          <w:spacing w:val="-1"/>
          <w:sz w:val="24"/>
          <w:szCs w:val="24"/>
        </w:rPr>
        <w:t xml:space="preserve"> </w:t>
      </w:r>
      <w:r w:rsidR="00482310" w:rsidRPr="00EE5C3E">
        <w:rPr>
          <w:rFonts w:ascii="Times New Roman" w:hAnsi="Times New Roman" w:cs="Times New Roman"/>
          <w:sz w:val="24"/>
          <w:szCs w:val="24"/>
        </w:rPr>
        <w:t>Timolol</w:t>
      </w:r>
      <w:r w:rsidR="00482310" w:rsidRPr="00EE5C3E">
        <w:rPr>
          <w:rFonts w:ascii="Times New Roman" w:hAnsi="Times New Roman" w:cs="Times New Roman"/>
          <w:spacing w:val="-1"/>
          <w:sz w:val="24"/>
          <w:szCs w:val="24"/>
        </w:rPr>
        <w:t xml:space="preserve"> </w:t>
      </w:r>
      <w:r w:rsidR="00482310" w:rsidRPr="00EE5C3E">
        <w:rPr>
          <w:rFonts w:ascii="Times New Roman" w:hAnsi="Times New Roman" w:cs="Times New Roman"/>
          <w:sz w:val="24"/>
          <w:szCs w:val="24"/>
        </w:rPr>
        <w:t>and</w:t>
      </w:r>
      <w:r w:rsidR="00482310" w:rsidRPr="00EE5C3E">
        <w:rPr>
          <w:rFonts w:ascii="Times New Roman" w:hAnsi="Times New Roman" w:cs="Times New Roman"/>
          <w:spacing w:val="-1"/>
          <w:sz w:val="24"/>
          <w:szCs w:val="24"/>
        </w:rPr>
        <w:t xml:space="preserve"> </w:t>
      </w:r>
      <w:r w:rsidR="00482310" w:rsidRPr="00EE5C3E">
        <w:rPr>
          <w:rFonts w:ascii="Times New Roman" w:hAnsi="Times New Roman" w:cs="Times New Roman"/>
          <w:sz w:val="24"/>
          <w:szCs w:val="24"/>
        </w:rPr>
        <w:t>its</w:t>
      </w:r>
      <w:r w:rsidR="00482310" w:rsidRPr="00EE5C3E">
        <w:rPr>
          <w:rFonts w:ascii="Times New Roman" w:hAnsi="Times New Roman" w:cs="Times New Roman"/>
          <w:spacing w:val="-4"/>
          <w:sz w:val="24"/>
          <w:szCs w:val="24"/>
        </w:rPr>
        <w:t xml:space="preserve"> </w:t>
      </w:r>
      <w:r w:rsidR="00482310" w:rsidRPr="00EE5C3E">
        <w:rPr>
          <w:rFonts w:ascii="Times New Roman" w:hAnsi="Times New Roman" w:cs="Times New Roman"/>
          <w:sz w:val="24"/>
          <w:szCs w:val="24"/>
        </w:rPr>
        <w:t>prodrug</w:t>
      </w:r>
    </w:p>
    <w:p w14:paraId="11D04C03" w14:textId="77777777" w:rsidR="00482310" w:rsidRPr="00482310" w:rsidRDefault="00482310" w:rsidP="00005D7D">
      <w:pPr>
        <w:pStyle w:val="ListParagraph"/>
        <w:numPr>
          <w:ilvl w:val="0"/>
          <w:numId w:val="2"/>
        </w:numPr>
        <w:tabs>
          <w:tab w:val="left" w:pos="1812"/>
        </w:tabs>
        <w:spacing w:line="360" w:lineRule="auto"/>
        <w:rPr>
          <w:b/>
        </w:rPr>
      </w:pPr>
      <w:r w:rsidRPr="00482310">
        <w:rPr>
          <w:b/>
        </w:rPr>
        <w:t>Chemotherapeutic prodrugs for enhanced effectiveness and targetability:</w:t>
      </w:r>
    </w:p>
    <w:p w14:paraId="7F00CC27" w14:textId="09DD461C" w:rsidR="00482310" w:rsidRDefault="00482310" w:rsidP="00005D7D">
      <w:pPr>
        <w:tabs>
          <w:tab w:val="left" w:pos="1812"/>
        </w:tabs>
        <w:spacing w:line="360" w:lineRule="auto"/>
      </w:pPr>
      <w:r>
        <w:t xml:space="preserve">Many ailments are treated with chemotherapy. </w:t>
      </w:r>
      <w:r w:rsidR="0051637B" w:rsidRPr="0051637B">
        <w:t xml:space="preserve">One of the most common conditions treated with chemotherapeutic medicines is cancer. </w:t>
      </w:r>
      <w:r>
        <w:t xml:space="preserve">The bulk of anticancer drugs work by preventing cell growth and stopping the cell cycle at a certain point in order to exercise their oncostatic effects. However, since many oncostatic medications have poor </w:t>
      </w:r>
      <w:r w:rsidR="00005D7D">
        <w:t>tumor</w:t>
      </w:r>
      <w:r>
        <w:t xml:space="preserve"> cell selectivity, they often harm normal cells in addition to </w:t>
      </w:r>
      <w:r w:rsidR="00005D7D">
        <w:t>tumor</w:t>
      </w:r>
      <w:r>
        <w:t xml:space="preserve"> cells. As a result, this issue reduces these medicines' long-term efficacy. </w:t>
      </w:r>
      <w:r w:rsidR="00AF6B7B" w:rsidRPr="00AF6B7B">
        <w:t>The prodrug strategy attempts to solve this issue. Anticancer prodrugs must be transported to tumour cells, where they may be transformed into their deadly parent drugs by endogenous or engineered enzymes. Overexpressed molecules in cancer cells but not in healthy ones may be the target of certain anticancer medicines. Target ligand-conjugated prodrugs, prodrugs that are cleavable by enzymes, prodrugs that are connected with membrane transporters, and polymeric prodrug</w:t>
      </w:r>
      <w:r w:rsidR="002247A2">
        <w:t>,</w:t>
      </w:r>
      <w:r w:rsidR="00217540" w:rsidRPr="00217540">
        <w:t xml:space="preserve"> and enzyme-activated prodrug treatment (ADEPT) are all subsets of the novel family of chemotherapeutic prodrugs. </w:t>
      </w:r>
      <w:r w:rsidR="00217540">
        <w:fldChar w:fldCharType="begin" w:fldLock="1"/>
      </w:r>
      <w:r w:rsidR="00217540">
        <w:instrText>ADDIN CSL_CITATION {"citationItems":[{"id":"ITEM-1","itemData":{"DOI":"10.1016/j.addr.2011.02.002","ISSN":"0169409X","PMID":"21333700","abstract":"As the mainstay in the treatment of various cancers for several decades, chemotherapy is successful but still faces challenges including non-selectivity and high toxicity. Improving the selectivity is therefore a critical step to improve the therapeutic efficacy of chemotherapy. Prodrug is one of the most promising approaches to increase the selectivity and efficacy of a chemotherapy drug. The classical prodrug approach is to improve the pharmaceutical properties (solubility, stability, permeability, irritation, distribution, etc.) via a simple chemical modification. This review will focus on various targeted prodrug designs that have been developed to increase the selectivity of chemotherapy drugs. Various tumor-targeting ligands, transporter-associated ligands, and polymers can be incorporated in a prodrug to enhance the tumor uptake. Prodrugs can also be activated by enzymes that are specifically expressed at a higher level in tumors, leading to a selective anti-tumor effect. This can be achieved by conjugating the enzyme to a tumor-specific antibody, or delivering a vector expressing the enzyme into tumor cells. © 2011 Elsevier B.V.","author":[{"dropping-particle":"","family":"Mahato","given":"Rubi","non-dropping-particle":"","parse-names":false,"suffix":""},{"dropping-particle":"","family":"Tai","given":"Wanyi","non-dropping-particle":"","parse-names":false,"suffix":""},{"dropping-particle":"","family":"Cheng","given":"Kun","non-dropping-particle":"","parse-names":false,"suffix":""}],"container-title":"Advanced Drug Delivery Reviews","id":"ITEM-1","issue":"8","issued":{"date-parts":[["2011"]]},"page":"659-670","title":"Prodrugs for improving tumor targetability and efficiency","type":"article-journal","volume":"63"},"uris":["http://www.mendeley.com/documents/?uuid=105605fd-8d3a-4730-bd58-e9bc981685c4"]}],"mendeley":{"formattedCitation":"[38]","plainTextFormattedCitation":"[38]","previouslyFormattedCitation":"[37]"},"properties":{"noteIndex":0},"schema":"https://github.com/citation-style-language/schema/raw/master/csl-citation.json"}</w:instrText>
      </w:r>
      <w:r w:rsidR="00217540">
        <w:fldChar w:fldCharType="separate"/>
      </w:r>
      <w:r w:rsidR="00217540" w:rsidRPr="001A6358">
        <w:rPr>
          <w:noProof/>
        </w:rPr>
        <w:t>[38]</w:t>
      </w:r>
      <w:r w:rsidR="00217540">
        <w:fldChar w:fldCharType="end"/>
      </w:r>
    </w:p>
    <w:p w14:paraId="5CA4F5CB" w14:textId="77777777" w:rsidR="00BC684C" w:rsidRPr="00BC684C" w:rsidRDefault="00BC684C" w:rsidP="00005D7D">
      <w:pPr>
        <w:pStyle w:val="ListParagraph"/>
        <w:numPr>
          <w:ilvl w:val="0"/>
          <w:numId w:val="2"/>
        </w:numPr>
        <w:tabs>
          <w:tab w:val="left" w:pos="1812"/>
        </w:tabs>
        <w:spacing w:line="360" w:lineRule="auto"/>
        <w:rPr>
          <w:b/>
        </w:rPr>
      </w:pPr>
      <w:r w:rsidRPr="00BC684C">
        <w:rPr>
          <w:b/>
        </w:rPr>
        <w:t>Prodrug impact on presystemic excretion and metabolism:</w:t>
      </w:r>
    </w:p>
    <w:p w14:paraId="3F764FE0" w14:textId="7AD34EA2" w:rsidR="00482310" w:rsidRDefault="00BC684C" w:rsidP="00005D7D">
      <w:pPr>
        <w:tabs>
          <w:tab w:val="left" w:pos="1812"/>
        </w:tabs>
        <w:spacing w:line="360" w:lineRule="auto"/>
      </w:pPr>
      <w:r>
        <w:lastRenderedPageBreak/>
        <w:t xml:space="preserve">Presystemic metabolism in the liver and GI tract has an impact on the drug's availability in systemic circulation. </w:t>
      </w:r>
      <w:r w:rsidR="00EC2E75" w:rsidRPr="00EC2E75">
        <w:t xml:space="preserve">The drug's effectiveness was reduced because to its presystemic metabolism. </w:t>
      </w:r>
      <w:r>
        <w:t xml:space="preserve">This issue has been solved using a variety of administration route modifications, formulation innovations, such as the sublingual route, and controlled release formulations. The prodrug method may also block presystemic metabolism by masking the functional groups that are metabolically labile. For example, terbutaline experiences fast presystemic metabolism; </w:t>
      </w:r>
      <w:r w:rsidR="00217540" w:rsidRPr="00217540">
        <w:t>Therefore, it was halted by replacing the phenolic groups in its structure with bis-dimethylcarbamate.</w:t>
      </w:r>
      <w:r w:rsidR="003D31D1">
        <w:t xml:space="preserve"> </w:t>
      </w:r>
      <w:r w:rsidR="005617D9">
        <w:fldChar w:fldCharType="begin" w:fldLock="1"/>
      </w:r>
      <w:r w:rsidR="001A6358">
        <w:instrText>ADDIN CSL_CITATION {"citationItems":[{"id":"ITEM-1","itemData":{"author":[{"dropping-particle":"","family":"Svenssont","given":"Leif- A","non-dropping-particle":"","parse-names":false,"suffix":""},{"dropping-particle":"","family":"Tunek","given":"Anders","non-dropping-particle":"","parse-names":false,"suffix":""},{"dropping-particle":"","family":"Stability","given":"A Biological","non-dropping-particle":"","parse-names":false,"suffix":""}],"id":"ITEM-1","issue":"2","issued":{"date-parts":[["1988"]]},"page":"165-194","title":"BlOACTlVATlON OF PRESYSTEMICALLY STABLE PRODRUGS *","type":"article-journal","volume":"19"},"uris":["http://www.mendeley.com/documents/?uuid=cbdf6aca-e2da-428e-ac15-365e293260ff"]}],"mendeley":{"formattedCitation":"[39]","plainTextFormattedCitation":"[39]","previouslyFormattedCitation":"[38]"},"properties":{"noteIndex":0},"schema":"https://github.com/citation-style-language/schema/raw/master/csl-citation.json"}</w:instrText>
      </w:r>
      <w:r w:rsidR="005617D9">
        <w:fldChar w:fldCharType="separate"/>
      </w:r>
      <w:r w:rsidR="001A6358" w:rsidRPr="001A6358">
        <w:rPr>
          <w:noProof/>
        </w:rPr>
        <w:t>[39]</w:t>
      </w:r>
      <w:r w:rsidR="005617D9">
        <w:fldChar w:fldCharType="end"/>
      </w:r>
      <w:r w:rsidR="003E245E">
        <w:t xml:space="preserve"> </w:t>
      </w:r>
      <w:r>
        <w:t>An further issue with excessive excretion is linked to the parent drug's increased solubility in water. By integrating lipophilic promoters, this may be regulated.</w:t>
      </w:r>
    </w:p>
    <w:p w14:paraId="38E32A21" w14:textId="77777777" w:rsidR="00BC684C" w:rsidRPr="00BC684C" w:rsidRDefault="00BC684C" w:rsidP="00005D7D">
      <w:pPr>
        <w:pStyle w:val="ListParagraph"/>
        <w:numPr>
          <w:ilvl w:val="0"/>
          <w:numId w:val="2"/>
        </w:numPr>
        <w:tabs>
          <w:tab w:val="left" w:pos="1812"/>
        </w:tabs>
        <w:spacing w:line="360" w:lineRule="auto"/>
        <w:rPr>
          <w:b/>
        </w:rPr>
      </w:pPr>
      <w:r w:rsidRPr="00BC684C">
        <w:rPr>
          <w:b/>
        </w:rPr>
        <w:t>Prodrugs' function in CNS delivery</w:t>
      </w:r>
    </w:p>
    <w:p w14:paraId="7DD40116" w14:textId="32FA4565" w:rsidR="00BC684C" w:rsidRDefault="00E31935" w:rsidP="00005D7D">
      <w:pPr>
        <w:tabs>
          <w:tab w:val="left" w:pos="1812"/>
        </w:tabs>
        <w:spacing w:line="360" w:lineRule="auto"/>
      </w:pPr>
      <w:r w:rsidRPr="00E31935">
        <w:t xml:space="preserve">Many therapeutic chemicals cannot pass the blood-brain barrier (BBB), which is a key obstacle in the development of CNS-acting medications. </w:t>
      </w:r>
      <w:r w:rsidR="00BC684C">
        <w:t xml:space="preserve">Endothelial cells from brain </w:t>
      </w:r>
      <w:r w:rsidR="00005D7D">
        <w:t>micro vessels</w:t>
      </w:r>
      <w:r w:rsidR="00BC684C">
        <w:t xml:space="preserve"> joined by very tight connections make up the BBB. </w:t>
      </w:r>
      <w:r w:rsidR="00F05C7F" w:rsidRPr="00F05C7F">
        <w:t xml:space="preserve">Epithelial cells have transporter proteins on both the luminal as well as abluminal sides. </w:t>
      </w:r>
      <w:r w:rsidR="00F25B56" w:rsidRPr="00F25B56">
        <w:t>allowing chemicals to be transported across the BBB with a carrier. Thus, there are three possible entry points for drugs into the brain.</w:t>
      </w:r>
      <w:r w:rsidR="0039085B">
        <w:fldChar w:fldCharType="begin" w:fldLock="1"/>
      </w:r>
      <w:r w:rsidR="0039085B">
        <w:instrText>ADDIN CSL_CITATION {"citationItems":[{"id":"ITEM-1","itemData":{"DOI":"10.1016/j.nbd.2009.07.030","ISSN":"09699961","PMID":"19664713","abstract":"Neural signalling within the central nervous system (CNS) requires a highly controlled microenvironment. Cells at three key interfaces form barriers between the blood and the CNS: the blood-brain barrier (BBB), blood-CSF barrier and the arachnoid barrier. The BBB at the level of brain microvessel endothelium is the major site of blood-CNS exchange. The structure and function of the BBB is summarised, the physical barrier formed by the endothelial tight junctions, and the transport barrier resulting from membrane transporters and vesicular mechanisms. The roles of associated cells are outlined, especially the endfeet of astrocytic glial cells, and pericytes and microglia. The embryonic development of the BBB, and changes in pathology are described. The BBB is subject to short and long-term regulation, which may be disturbed in pathology. Any programme for drug discovery or delivery, to target or avoid the CNS, needs to consider the special features of the BBB. © 2009 Elsevier Inc. All rights reserved.","author":[{"dropping-particle":"","family":"Abbott","given":"N. Joan","non-dropping-particle":"","parse-names":false,"suffix":""},{"dropping-particle":"","family":"Patabendige","given":"Adjanie A.K.","non-dropping-particle":"","parse-names":false,"suffix":""},{"dropping-particle":"","family":"Dolman","given":"Diana E.M.","non-dropping-particle":"","parse-names":false,"suffix":""},{"dropping-particle":"","family":"Yusof","given":"Siti R.","non-dropping-particle":"","parse-names":false,"suffix":""},{"dropping-particle":"","family":"Begley","given":"David J.","non-dropping-particle":"","parse-names":false,"suffix":""}],"container-title":"Neurobiology of Disease","id":"ITEM-1","issue":"1","issued":{"date-parts":[["2010"]]},"page":"13-25","publisher":"Elsevier Inc.","title":"Structure and function of the blood-brain barrier","type":"article-journal","volume":"37"},"uris":["http://www.mendeley.com/documents/?uuid=4977f2e3-78da-43f4-ac5f-b8068025922b"]}],"mendeley":{"formattedCitation":"[40]","plainTextFormattedCitation":"[40]","previouslyFormattedCitation":"[39]"},"properties":{"noteIndex":0},"schema":"https://github.com/citation-style-language/schema/raw/master/csl-citation.json"}</w:instrText>
      </w:r>
      <w:r w:rsidR="0039085B">
        <w:fldChar w:fldCharType="separate"/>
      </w:r>
      <w:r w:rsidR="0039085B" w:rsidRPr="001A6358">
        <w:rPr>
          <w:noProof/>
        </w:rPr>
        <w:t>[40]</w:t>
      </w:r>
      <w:r w:rsidR="0039085B">
        <w:fldChar w:fldCharType="end"/>
      </w:r>
    </w:p>
    <w:p w14:paraId="37670570" w14:textId="77777777" w:rsidR="003460F0" w:rsidRDefault="00BC684C" w:rsidP="00005D7D">
      <w:pPr>
        <w:tabs>
          <w:tab w:val="left" w:pos="1812"/>
        </w:tabs>
        <w:spacing w:line="360" w:lineRule="auto"/>
      </w:pPr>
      <w:r>
        <w:t xml:space="preserve">(a) </w:t>
      </w:r>
      <w:r w:rsidR="001025C5" w:rsidRPr="001025C5">
        <w:t>Polar group masking to enhance passive diffusion.</w:t>
      </w:r>
      <w:r w:rsidR="001025C5" w:rsidRPr="001025C5">
        <w:t xml:space="preserve"> </w:t>
      </w:r>
    </w:p>
    <w:p w14:paraId="69F29AE9" w14:textId="216EEC2C" w:rsidR="00BC684C" w:rsidRDefault="00BC684C" w:rsidP="00005D7D">
      <w:pPr>
        <w:tabs>
          <w:tab w:val="left" w:pos="1812"/>
        </w:tabs>
        <w:spacing w:line="360" w:lineRule="auto"/>
      </w:pPr>
      <w:r>
        <w:t>(b) Increasing the transport across the BBB that is mediated by carriers or receptors.</w:t>
      </w:r>
    </w:p>
    <w:p w14:paraId="1B2DDE46" w14:textId="77777777" w:rsidR="00BC684C" w:rsidRDefault="00BC684C" w:rsidP="00005D7D">
      <w:pPr>
        <w:tabs>
          <w:tab w:val="left" w:pos="1812"/>
        </w:tabs>
        <w:spacing w:line="360" w:lineRule="auto"/>
      </w:pPr>
      <w:r>
        <w:t>(c) Reducing the amount of drug efflux into the blood from the brain.</w:t>
      </w:r>
      <w:r w:rsidR="00825E46">
        <w:t xml:space="preserve"> </w:t>
      </w:r>
      <w:r w:rsidR="005617D9">
        <w:fldChar w:fldCharType="begin" w:fldLock="1"/>
      </w:r>
      <w:r w:rsidR="001A6358">
        <w:instrText>ADDIN CSL_CITATION {"citationItems":[{"id":"ITEM-1","itemData":{"DOI":"10.2165/0023210-200923010-00003","ISSN":"1172-7047","abstract":"Being the most delicate organ of the body, the brain is protected against potentially toxic substances by the blood-brain barrier (BBB), which restricts the entry of most pharmaceuticals into the brain. The developmental process for new drugs for the treatment of CNS disorders has not kept pace with progress in molecular neurosciences because most of the new drugs discovered are unable to cross the BBB. The clinical failure of CNS drug delivery may be attributed largely to a lack of appropriate drug delivery systems. Localized and controlled delivery of drugs at their desired site of action is preferred because it reduces toxicity and increases treatment efficiency. The present review provides an insight into some of the recent advances made in the field of brain drug delivery.The various strategies that have been explored to increase drug delivery into the brain include (i) chemical delivery systems, such as lipid-mediated transport, the prodrug approach and the lock-in system; (ii) biological delivery systems, in which pharmaceuticals are re-engineered to cross the BBB via specific endogenous transporters localized within the brain capillary endothelium; (iii) disruption of the BBB, for example by modification of tight junctions, which causes a controlled and transient increase in the permeability of brain capillaries; (iv) the use of molecular Trojan horses, such as peptidomimetic monoclonal antibodies to transport large molecules (e.g. antibodies, recombinant proteins, nonviral gene medicines or RNA interference drugs) across the BBB; and (v) particulate drug carrier systems. Receptor-mediated transport systems exist for certain endogenous peptides, such as insulin and transferrin, enabling these molecules to cross the BBB in vivo.The use of polymers for local drug delivery has greatly expanded the spectrum of drugs available for the treatment of brain diseases, such as malignant tumours and Alzheimer's disease. In addition, various drug delivery systems (e.g. liposomes, microspheres, nanoparticles, nanogels and bionanocapsules) have been used to enhance drug delivery to the brain. Recently, microchips and biodegradable polymers have become important in brain tumour therapy.The intense search for alternative routes of drug delivery (e.g. intranasal drug delivery, convection-enhanced diffusion and intrathecal/intraventricular drug delivery systems) has been driven by the need to overcome the physiological barriers of the brain and to achieve high dru…","author":[{"dropping-particle":"","family":"Patel","given":"Mayur M","non-dropping-particle":"","parse-names":false,"suffix":""},{"dropping-particle":"","family":"Goyal","given":"Bhoomika R","non-dropping-particle":"","parse-names":false,"suffix":""},{"dropping-particle":"V","family":"Bhadada","given":"Shraddha","non-dropping-particle":"","parse-names":false,"suffix":""},{"dropping-particle":"","family":"Bhatt","given":"Jay S","non-dropping-particle":"","parse-names":false,"suffix":""},{"dropping-particle":"","family":"Amin","given":"Avani F","non-dropping-particle":"","parse-names":false,"suffix":""}],"container-title":"CNS Drugs","id":"ITEM-1","issue":"1","issued":{"date-parts":[["2009"]]},"page":"35-58","title":"Getting into the Brain","type":"article-journal","volume":"23"},"uris":["http://www.mendeley.com/documents/?uuid=b233936c-e244-416f-9a2f-4267bcf49310"]}],"mendeley":{"formattedCitation":"[41]","plainTextFormattedCitation":"[41]","previouslyFormattedCitation":"[40]"},"properties":{"noteIndex":0},"schema":"https://github.com/citation-style-language/schema/raw/master/csl-citation.json"}</w:instrText>
      </w:r>
      <w:r w:rsidR="005617D9">
        <w:fldChar w:fldCharType="separate"/>
      </w:r>
      <w:r w:rsidR="001A6358" w:rsidRPr="001A6358">
        <w:rPr>
          <w:noProof/>
        </w:rPr>
        <w:t>[41]</w:t>
      </w:r>
      <w:r w:rsidR="005617D9">
        <w:fldChar w:fldCharType="end"/>
      </w:r>
    </w:p>
    <w:p w14:paraId="49B4E00C" w14:textId="77777777" w:rsidR="00BC684C" w:rsidRDefault="00BC684C" w:rsidP="00005D7D">
      <w:pPr>
        <w:tabs>
          <w:tab w:val="left" w:pos="1812"/>
        </w:tabs>
        <w:spacing w:line="360" w:lineRule="auto"/>
      </w:pPr>
      <w:r>
        <w:t>The following list includes the different endogenous transporters found at the BBB's brain capillary endothelial:</w:t>
      </w:r>
    </w:p>
    <w:p w14:paraId="3B04042D" w14:textId="77777777" w:rsidR="00BC684C" w:rsidRDefault="00BC684C" w:rsidP="00005D7D">
      <w:pPr>
        <w:pStyle w:val="ListParagraph"/>
        <w:numPr>
          <w:ilvl w:val="0"/>
          <w:numId w:val="7"/>
        </w:numPr>
        <w:tabs>
          <w:tab w:val="left" w:pos="1812"/>
        </w:tabs>
        <w:spacing w:line="360" w:lineRule="auto"/>
      </w:pPr>
      <w:r>
        <w:t xml:space="preserve">LAT1 (Large neutral amino acid transporters) </w:t>
      </w:r>
    </w:p>
    <w:p w14:paraId="242107B1" w14:textId="77777777" w:rsidR="00BC684C" w:rsidRDefault="00BC684C" w:rsidP="00005D7D">
      <w:pPr>
        <w:pStyle w:val="ListParagraph"/>
        <w:numPr>
          <w:ilvl w:val="0"/>
          <w:numId w:val="7"/>
        </w:numPr>
        <w:tabs>
          <w:tab w:val="left" w:pos="1812"/>
        </w:tabs>
        <w:spacing w:line="360" w:lineRule="auto"/>
      </w:pPr>
      <w:r>
        <w:t xml:space="preserve">MCT (Monocarboxylic acid transporters) </w:t>
      </w:r>
    </w:p>
    <w:p w14:paraId="2230E6DF" w14:textId="77777777" w:rsidR="00BC684C" w:rsidRDefault="00BC684C" w:rsidP="00005D7D">
      <w:pPr>
        <w:pStyle w:val="ListParagraph"/>
        <w:numPr>
          <w:ilvl w:val="0"/>
          <w:numId w:val="7"/>
        </w:numPr>
        <w:tabs>
          <w:tab w:val="left" w:pos="1812"/>
        </w:tabs>
        <w:spacing w:line="360" w:lineRule="auto"/>
      </w:pPr>
      <w:r>
        <w:t xml:space="preserve">GLUT1 (Glucose transporters) </w:t>
      </w:r>
    </w:p>
    <w:p w14:paraId="4915BD1F" w14:textId="77777777" w:rsidR="00BC684C" w:rsidRDefault="00BC684C" w:rsidP="00005D7D">
      <w:pPr>
        <w:pStyle w:val="ListParagraph"/>
        <w:numPr>
          <w:ilvl w:val="0"/>
          <w:numId w:val="7"/>
        </w:numPr>
        <w:tabs>
          <w:tab w:val="left" w:pos="1812"/>
        </w:tabs>
        <w:spacing w:line="360" w:lineRule="auto"/>
      </w:pPr>
      <w:r>
        <w:t xml:space="preserve">PEPT1 (Peptide transporters) </w:t>
      </w:r>
    </w:p>
    <w:p w14:paraId="62052C5F" w14:textId="77777777" w:rsidR="00BC684C" w:rsidRDefault="00BC684C" w:rsidP="00005D7D">
      <w:pPr>
        <w:pStyle w:val="ListParagraph"/>
        <w:numPr>
          <w:ilvl w:val="0"/>
          <w:numId w:val="7"/>
        </w:numPr>
        <w:tabs>
          <w:tab w:val="left" w:pos="1812"/>
        </w:tabs>
        <w:spacing w:line="360" w:lineRule="auto"/>
      </w:pPr>
      <w:r>
        <w:lastRenderedPageBreak/>
        <w:t xml:space="preserve">OCT (Organic cation transporters) </w:t>
      </w:r>
    </w:p>
    <w:p w14:paraId="7B8417BE" w14:textId="77777777" w:rsidR="00BC684C" w:rsidRDefault="00BC684C" w:rsidP="00005D7D">
      <w:pPr>
        <w:pStyle w:val="ListParagraph"/>
        <w:numPr>
          <w:ilvl w:val="0"/>
          <w:numId w:val="7"/>
        </w:numPr>
        <w:tabs>
          <w:tab w:val="left" w:pos="1812"/>
        </w:tabs>
        <w:spacing w:line="360" w:lineRule="auto"/>
      </w:pPr>
      <w:r>
        <w:t>OAT (Organic anion transporters)</w:t>
      </w:r>
    </w:p>
    <w:p w14:paraId="158FCF0F" w14:textId="77777777" w:rsidR="00BC684C" w:rsidRDefault="00BC684C" w:rsidP="00005D7D">
      <w:pPr>
        <w:pStyle w:val="ListParagraph"/>
        <w:numPr>
          <w:ilvl w:val="0"/>
          <w:numId w:val="7"/>
        </w:numPr>
        <w:tabs>
          <w:tab w:val="left" w:pos="1812"/>
        </w:tabs>
        <w:spacing w:line="360" w:lineRule="auto"/>
      </w:pPr>
      <w:r>
        <w:t>CNT (Concentrative nucleoside and nucleotide transporters)</w:t>
      </w:r>
    </w:p>
    <w:p w14:paraId="49072FD1" w14:textId="25A6459E" w:rsidR="00BC684C" w:rsidRDefault="00B07FF4" w:rsidP="00005D7D">
      <w:pPr>
        <w:tabs>
          <w:tab w:val="left" w:pos="1812"/>
        </w:tabs>
        <w:spacing w:line="360" w:lineRule="auto"/>
      </w:pPr>
      <w:r w:rsidRPr="00B07FF4">
        <w:t xml:space="preserve">The targeted prodrug approach has been proposed as a means to enhance pharmaceutical bioavailability and BBB permeability. </w:t>
      </w:r>
      <w:r w:rsidR="00BC684C">
        <w:t xml:space="preserve">The targeted prodrugs' production is influenced by the target site's cells, tissues, enzymes, and transporters. Before the prodrug is created, extensive understanding about target site transporters, enzymes, and how they interact with parent drugs or ligands to be </w:t>
      </w:r>
      <w:r w:rsidR="00005D7D">
        <w:t>recognized</w:t>
      </w:r>
      <w:r w:rsidR="00BC684C">
        <w:t xml:space="preserve"> there is necessary. </w:t>
      </w:r>
      <w:r w:rsidR="005617D9">
        <w:fldChar w:fldCharType="begin" w:fldLock="1"/>
      </w:r>
      <w:r w:rsidR="001A6358">
        <w:instrText>ADDIN CSL_CITATION {"citationItems":[{"id":"ITEM-1","itemData":{"DOI":"10.1517/17425247.2012.697055","ISSN":"17425247","PMID":"22703376","abstract":"Introduction: The molecular revolution greatly impacted the field of drug design and delivery in general, and the utilization of the prodrug approach in particular. The increasing understanding of membrane transporters has promoted a novel 'targeted-prodrug' approach utilizing carrier-mediated transport to increase intestinal permeability, as well as specific enzymes to promote activation to the parent drug. Areas covered: This article provides the reader with a concise overview of this modern approach to prodrug design. Targeting the oligopeptide transporter PEPT1 for absorption and the serine hydrolase valacyclovirase for activation will be presented as examples for the successful utilization of this approach. Additionally, the use of computational approaches, such as DFT and ab initio molecular orbital methods, in modern prodrugs design will be discussed. Expert opinion: Overall, in the coming years, more and more information will undoubtedly become available regarding intestinal transporters and potential enzymes that may be exploited for the targeted modern prodrug approach. Hence, the concept of prodrug design can no longer be viewed as merely a chemical modification to solve problems associated with parent compounds. Rather, it opens promising opportunities for precise and efficient drug delivery, as well as enhancement of treatment options and therapeutic efficacy. © 2012 Informa UK, Ltd.","author":[{"dropping-particle":"","family":"Dahan","given":"Arik","non-dropping-particle":"","parse-names":false,"suffix":""},{"dropping-particle":"","family":"Khamis","given":"Mustafa","non-dropping-particle":"","parse-names":false,"suffix":""},{"dropping-particle":"","family":"Agbaria","given":"Riad","non-dropping-particle":"","parse-names":false,"suffix":""},{"dropping-particle":"","family":"Karaman","given":"Rafik","non-dropping-particle":"","parse-names":false,"suffix":""}],"container-title":"Expert Opinion on Drug Delivery","id":"ITEM-1","issue":"8","issued":{"date-parts":[["2012"]]},"page":"1001-1013","title":"Targeted prodrugs in oral drug delivery: The modern molecular biopharmaceutical approach","type":"article-journal","volume":"9"},"uris":["http://www.mendeley.com/documents/?uuid=d28010bb-d713-45bd-bb57-e154605d97d9"]}],"mendeley":{"formattedCitation":"[42]","plainTextFormattedCitation":"[42]","previouslyFormattedCitation":"[41]"},"properties":{"noteIndex":0},"schema":"https://github.com/citation-style-language/schema/raw/master/csl-citation.json"}</w:instrText>
      </w:r>
      <w:r w:rsidR="005617D9">
        <w:fldChar w:fldCharType="separate"/>
      </w:r>
      <w:r w:rsidR="001A6358" w:rsidRPr="001A6358">
        <w:rPr>
          <w:noProof/>
        </w:rPr>
        <w:t>[42]</w:t>
      </w:r>
      <w:r w:rsidR="005617D9">
        <w:fldChar w:fldCharType="end"/>
      </w:r>
      <w:r w:rsidR="00A355D6">
        <w:t xml:space="preserve">, </w:t>
      </w:r>
      <w:r w:rsidR="005617D9">
        <w:fldChar w:fldCharType="begin" w:fldLock="1"/>
      </w:r>
      <w:r w:rsidR="001A6358">
        <w:instrText>ADDIN CSL_CITATION {"citationItems":[{"id":"ITEM-1","itemData":{"DOI":"10.1111/cbdd.12224","ISSN":"17470277","PMID":"23998799","abstract":"This review provides the reader a concise overview of the majority of prodrug approaches with the emphasis on the modern approaches to prodrug design. The chemical approach catalyzed by metabolic enzymes which is considered as widely used among all other approaches to minimize the undesirable drug physicochemical properties is discussed. Part of this review will shed light on the use of molecular orbital methods such as DFT, semiempirical and ab initio for the design of novel prodrugs. This novel prodrug approach implies prodrug design based on enzyme models that were utilized for mimicking enzyme catalysis. The computational approach exploited for the prodrug design involves molecular orbital and molecular mechanics (DFT, ab initio, and MM2) calculations and correlations between experimental and calculated values of intramolecular processes that were experimentally studied to assign the factors determining the reaction rates in certain processes for better understanding on how enzymes might exert their extraordinary catalysis. This review discusses a novel prodrug approach which implies prodrug design based on enzyme models that were utilized for mimicking enzyme catalysis. The computational approach exploited for the prodrugs design involves molecular orbital and molecular mechanics calculations and correlations between experimental and calculated values of intramolecular processes that were experimentally studied to assign the factors determining the reaction rates. © 2013 John Wiley &amp; Sons A/S.","author":[{"dropping-particle":"","family":"Karaman","given":"Rafik","non-dropping-particle":"","parse-names":false,"suffix":""}],"container-title":"Chemical Biology and Drug Design","id":"ITEM-1","issue":"6","issued":{"date-parts":[["2013"]]},"page":"643-668","title":"Prodrugs design based on inter- and intramolecular chemical processes","type":"article-journal","volume":"82"},"uris":["http://www.mendeley.com/documents/?uuid=db25dcaa-ebb8-46e7-9150-29276f7c8d28"]}],"mendeley":{"formattedCitation":"[43]","plainTextFormattedCitation":"[43]","previouslyFormattedCitation":"[42]"},"properties":{"noteIndex":0},"schema":"https://github.com/citation-style-language/schema/raw/master/csl-citation.json"}</w:instrText>
      </w:r>
      <w:r w:rsidR="005617D9">
        <w:fldChar w:fldCharType="separate"/>
      </w:r>
      <w:r w:rsidR="001A6358" w:rsidRPr="001A6358">
        <w:rPr>
          <w:noProof/>
        </w:rPr>
        <w:t>[43]</w:t>
      </w:r>
      <w:r w:rsidR="005617D9">
        <w:fldChar w:fldCharType="end"/>
      </w:r>
      <w:r w:rsidR="00A355D6">
        <w:t xml:space="preserve"> </w:t>
      </w:r>
      <w:r w:rsidR="00BC684C">
        <w:t>Thiorphan (7), for instance, has a low BBB permeability, but its thiol derivatives have been shown to have a remarkable BBB penetration and a great analgesic efficacy. These derivatives include thiorphan's monoacylated product (S-acetylthiorphan, 8) and its benzyl ester (Acetorphan, 9).</w:t>
      </w:r>
      <w:r w:rsidR="00D949CA">
        <w:t xml:space="preserve"> </w:t>
      </w:r>
      <w:r w:rsidR="005617D9">
        <w:fldChar w:fldCharType="begin" w:fldLock="1"/>
      </w:r>
      <w:r w:rsidR="001A6358">
        <w:instrText>ADDIN CSL_CITATION {"citationItems":[{"id":"ITEM-1","itemData":{"ISSN":"00223565","PMID":"3519939","abstract":"Acetorphan, i.e. N-[(R,S)-3-acetylmercapto-2-benzylpropanoyl]-glycine, benzyl ester, is a lipophilic derivative of Thiorphan, a potent inhibitor of 'enkephalinase' (EC 3.4.24.11). On purified enkephalinase its inhibitory potency was approximately 1000 fold less than that of Thiorphan but became close to the latter (nanomolar) when it was incubated previously with cerebral membranes. After parenteral administration of mice and rats (1-10 mg/kg) extensive inhibition of cerebral enkephalinase was shown by 1) the depressed enzyme activity in brain membranes from treated animals and 2) the long-lasting potentiation of analgesia elicited by (D-ala2,Met5)enkephalin (i.c.v.). This suggests that acetorphan easily enters the brain where the active Thiorphan is released. Parenteral acetorphan elicited a series of naloxone-reversible, opioid-like effects, most of which were described previously with intracerebral Thiorphan or other enkephalinase inhibitors. Antinociceptive effects were found in some tests (hot plate jump and phenylbenzoquinone-induced writhing) but not in others (hot plate licking and tail withdrawal). 'Antidepressant' effect was found in the 'mouse despair' test and antidiarrhoeal effect in the rat castor oil test. Acetorphan also elicited significant increases and decreases in turnover indexes of serotonin and noradrenaline, respectively, in mouse cerebral cortex. In mice chronically treated with acetorphan, the antinociceptive activity of the compound was not modified markedly and no overt withdrawal symptom could be observed after either treatment interruption or administration of naloxone.","author":[{"dropping-particle":"","family":"Lecomte","given":"J. M.","non-dropping-particle":"","parse-names":false,"suffix":""},{"dropping-particle":"","family":"Costentin","given":"J.","non-dropping-particle":"","parse-names":false,"suffix":""},{"dropping-particle":"","family":"Vlaiculescu","given":"A.","non-dropping-particle":"","parse-names":false,"suffix":""},{"dropping-particle":"","family":"Chaillet","given":"P.","non-dropping-particle":"","parse-names":false,"suffix":""},{"dropping-particle":"","family":"Marcais-Collado","given":"H.","non-dropping-particle":"","parse-names":false,"suffix":""},{"dropping-particle":"","family":"Llorens-Cortes","given":"C.","non-dropping-particle":"","parse-names":false,"suffix":""},{"dropping-particle":"","family":"Leboyer","given":"M.","non-dropping-particle":"","parse-names":false,"suffix":""},{"dropping-particle":"","family":"Schwartz","given":"J. C.","non-dropping-particle":"","parse-names":false,"suffix":""}],"container-title":"Journal of Pharmacology and Experimental Therapeutics","id":"ITEM-1","issue":"3","issued":{"date-parts":[["1986"]]},"page":"937-944","title":"Pharmacological properties of acetorphan, a parenterally active 'enkephalinase' inhibitor","type":"article-journal","volume":"237"},"uris":["http://www.mendeley.com/documents/?uuid=3d8f332d-bd33-4c05-800e-37177e4939b1"]}],"mendeley":{"formattedCitation":"[44]","plainTextFormattedCitation":"[44]","previouslyFormattedCitation":"[43]"},"properties":{"noteIndex":0},"schema":"https://github.com/citation-style-language/schema/raw/master/csl-citation.json"}</w:instrText>
      </w:r>
      <w:r w:rsidR="005617D9">
        <w:fldChar w:fldCharType="separate"/>
      </w:r>
      <w:r w:rsidR="001A6358" w:rsidRPr="001A6358">
        <w:rPr>
          <w:noProof/>
        </w:rPr>
        <w:t>[44]</w:t>
      </w:r>
      <w:r w:rsidR="005617D9">
        <w:fldChar w:fldCharType="end"/>
      </w:r>
      <w:r w:rsidR="007860C8">
        <w:t xml:space="preserve">, </w:t>
      </w:r>
      <w:r w:rsidR="005617D9">
        <w:fldChar w:fldCharType="begin" w:fldLock="1"/>
      </w:r>
      <w:r w:rsidR="001A6358">
        <w:instrText>ADDIN CSL_CITATION {"citationItems":[{"id":"ITEM-1","itemData":{"DOI":"10.1016/0014-2999(93)90371-N","ISSN":"00142999","PMID":"8276061","abstract":"As hydrolysis in serum of acetorphan to acetylthiorphan (N-[(R,S)-3-acetylmercapto-2-benzolpropanoyl]glycine) has been evidenced, both the neutral endopeptidase inhibition in vitro acetylthiorphan and analgesic potency of acetylthiorphan after intravenous administration to mice in two analgesic models, the hot-plate and the tail-flick tests, were compared with those of thiorphan and acetorphan. Acetylthiorphan showed a decreased degree of neutral endopeptidase inhibition (IC50 = 316 ± 38 nM) compared to thiorphan (IC50 = 1.8 ± 0.2 nM). After intravenous administration followed by the hot-plate jump latency tests, acetylthiorphan elicited a degree of analgesia equivalent to that with acetorphan but longer lasting. Like acetorphan and thiorphan, acetylthiorphan was deviod of analgesic activity in the tail-flick test. The results indicated that S-acetylation of the thiol function in acetylthiorphan ensures sufficient lipophilicity to permit crossing of the blood-brain barrier and that acetylthiorphan acts via a prodrug mechanism. © 1993.","author":[{"dropping-particle":"","family":"Lambert","given":"Didier M.","non-dropping-particle":"","parse-names":false,"suffix":""},{"dropping-particle":"","family":"Mergen","given":"Frank","non-dropping-particle":"","parse-names":false,"suffix":""},{"dropping-particle":"","family":"Poupaert","given":"Jacques H.","non-dropping-particle":"","parse-names":false,"suffix":""},{"dropping-particle":"","family":"Dumont","given":"Pierre","non-dropping-particle":"","parse-names":false,"suffix":""}],"container-title":"European Journal of Pharmacology","id":"ITEM-1","issue":"2","issued":{"date-parts":[["1993"]]},"page":"129-134","title":"Analgesic potency of S-acetylthiorphan after intravenous administration to mice","type":"article-journal","volume":"243"},"uris":["http://www.mendeley.com/documents/?uuid=5e645b20-f75d-4b0c-81aa-b85198bf8182"]}],"mendeley":{"formattedCitation":"[45]","plainTextFormattedCitation":"[45]","previouslyFormattedCitation":"[44]"},"properties":{"noteIndex":0},"schema":"https://github.com/citation-style-language/schema/raw/master/csl-citation.json"}</w:instrText>
      </w:r>
      <w:r w:rsidR="005617D9">
        <w:fldChar w:fldCharType="separate"/>
      </w:r>
      <w:r w:rsidR="001A6358" w:rsidRPr="001A6358">
        <w:rPr>
          <w:noProof/>
        </w:rPr>
        <w:t>[45]</w:t>
      </w:r>
      <w:r w:rsidR="005617D9">
        <w:fldChar w:fldCharType="end"/>
      </w:r>
    </w:p>
    <w:p w14:paraId="33C235B3" w14:textId="77777777" w:rsidR="00BC684C" w:rsidRDefault="00BC684C" w:rsidP="00005D7D">
      <w:pPr>
        <w:tabs>
          <w:tab w:val="left" w:pos="1812"/>
        </w:tabs>
        <w:spacing w:line="360" w:lineRule="auto"/>
      </w:pPr>
      <w:r>
        <w:rPr>
          <w:noProof/>
        </w:rPr>
        <w:drawing>
          <wp:inline distT="0" distB="0" distL="0" distR="0" wp14:anchorId="2272B85D" wp14:editId="26179F61">
            <wp:extent cx="2491740" cy="1684020"/>
            <wp:effectExtent l="1905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srcRect l="5899"/>
                    <a:stretch>
                      <a:fillRect/>
                    </a:stretch>
                  </pic:blipFill>
                  <pic:spPr bwMode="auto">
                    <a:xfrm>
                      <a:off x="0" y="0"/>
                      <a:ext cx="2491740" cy="1684020"/>
                    </a:xfrm>
                    <a:prstGeom prst="rect">
                      <a:avLst/>
                    </a:prstGeom>
                    <a:noFill/>
                    <a:ln w="9525">
                      <a:noFill/>
                      <a:miter lim="800000"/>
                      <a:headEnd/>
                      <a:tailEnd/>
                    </a:ln>
                  </pic:spPr>
                </pic:pic>
              </a:graphicData>
            </a:graphic>
          </wp:inline>
        </w:drawing>
      </w:r>
      <w:r w:rsidRPr="00BC684C">
        <w:t xml:space="preserve"> </w:t>
      </w:r>
      <w:r>
        <w:rPr>
          <w:noProof/>
        </w:rPr>
        <w:drawing>
          <wp:inline distT="0" distB="0" distL="0" distR="0" wp14:anchorId="734A0CAC" wp14:editId="7AD52AC7">
            <wp:extent cx="3082290" cy="1722120"/>
            <wp:effectExtent l="19050" t="0" r="381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3082290" cy="1722120"/>
                    </a:xfrm>
                    <a:prstGeom prst="rect">
                      <a:avLst/>
                    </a:prstGeom>
                    <a:noFill/>
                    <a:ln w="9525">
                      <a:noFill/>
                      <a:miter lim="800000"/>
                      <a:headEnd/>
                      <a:tailEnd/>
                    </a:ln>
                  </pic:spPr>
                </pic:pic>
              </a:graphicData>
            </a:graphic>
          </wp:inline>
        </w:drawing>
      </w:r>
    </w:p>
    <w:p w14:paraId="3C92E686" w14:textId="77777777" w:rsidR="00BC684C" w:rsidRDefault="00BC684C" w:rsidP="00005D7D">
      <w:pPr>
        <w:tabs>
          <w:tab w:val="left" w:pos="2220"/>
        </w:tabs>
        <w:spacing w:line="360" w:lineRule="auto"/>
      </w:pPr>
      <w:r>
        <w:tab/>
        <w:t>(7)                                                                    (8)</w:t>
      </w:r>
    </w:p>
    <w:p w14:paraId="6AA27BFE" w14:textId="77777777" w:rsidR="00BC684C" w:rsidRDefault="00BC684C" w:rsidP="00005D7D">
      <w:pPr>
        <w:tabs>
          <w:tab w:val="left" w:pos="2220"/>
        </w:tabs>
        <w:spacing w:line="360" w:lineRule="auto"/>
        <w:jc w:val="center"/>
      </w:pPr>
      <w:r>
        <w:rPr>
          <w:noProof/>
        </w:rPr>
        <w:drawing>
          <wp:inline distT="0" distB="0" distL="0" distR="0" wp14:anchorId="5ED6FDB7" wp14:editId="78D04532">
            <wp:extent cx="4602480" cy="1600200"/>
            <wp:effectExtent l="1905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a:stretch>
                      <a:fillRect/>
                    </a:stretch>
                  </pic:blipFill>
                  <pic:spPr bwMode="auto">
                    <a:xfrm>
                      <a:off x="0" y="0"/>
                      <a:ext cx="4602480" cy="1600200"/>
                    </a:xfrm>
                    <a:prstGeom prst="rect">
                      <a:avLst/>
                    </a:prstGeom>
                    <a:noFill/>
                    <a:ln w="9525">
                      <a:noFill/>
                      <a:miter lim="800000"/>
                      <a:headEnd/>
                      <a:tailEnd/>
                    </a:ln>
                  </pic:spPr>
                </pic:pic>
              </a:graphicData>
            </a:graphic>
          </wp:inline>
        </w:drawing>
      </w:r>
    </w:p>
    <w:p w14:paraId="767BACE4" w14:textId="77777777" w:rsidR="00BC684C" w:rsidRDefault="00BC684C" w:rsidP="00005D7D">
      <w:pPr>
        <w:tabs>
          <w:tab w:val="left" w:pos="2220"/>
        </w:tabs>
        <w:spacing w:line="360" w:lineRule="auto"/>
      </w:pPr>
      <w:r>
        <w:t xml:space="preserve">                                                                (9)</w:t>
      </w:r>
    </w:p>
    <w:p w14:paraId="01A49D12" w14:textId="77777777" w:rsidR="00BC684C" w:rsidRPr="00EE5C3E" w:rsidRDefault="00EE5C3E" w:rsidP="00EE5C3E">
      <w:pPr>
        <w:pStyle w:val="Caption"/>
        <w:jc w:val="center"/>
        <w:rPr>
          <w:rFonts w:ascii="Times New Roman" w:hAnsi="Times New Roman" w:cs="Times New Roman"/>
          <w:sz w:val="24"/>
          <w:szCs w:val="24"/>
        </w:rPr>
      </w:pPr>
      <w:r w:rsidRPr="00EE5C3E">
        <w:rPr>
          <w:rFonts w:ascii="Times New Roman" w:hAnsi="Times New Roman" w:cs="Times New Roman"/>
          <w:sz w:val="24"/>
          <w:szCs w:val="24"/>
        </w:rPr>
        <w:t xml:space="preserve">Figure </w:t>
      </w:r>
      <w:r w:rsidR="005617D9" w:rsidRPr="00EE5C3E">
        <w:rPr>
          <w:rFonts w:ascii="Times New Roman" w:hAnsi="Times New Roman" w:cs="Times New Roman"/>
          <w:sz w:val="24"/>
          <w:szCs w:val="24"/>
        </w:rPr>
        <w:fldChar w:fldCharType="begin"/>
      </w:r>
      <w:r w:rsidRPr="00EE5C3E">
        <w:rPr>
          <w:rFonts w:ascii="Times New Roman" w:hAnsi="Times New Roman" w:cs="Times New Roman"/>
          <w:sz w:val="24"/>
          <w:szCs w:val="24"/>
        </w:rPr>
        <w:instrText xml:space="preserve"> SEQ Figure \* ARABIC </w:instrText>
      </w:r>
      <w:r w:rsidR="005617D9" w:rsidRPr="00EE5C3E">
        <w:rPr>
          <w:rFonts w:ascii="Times New Roman" w:hAnsi="Times New Roman" w:cs="Times New Roman"/>
          <w:sz w:val="24"/>
          <w:szCs w:val="24"/>
        </w:rPr>
        <w:fldChar w:fldCharType="separate"/>
      </w:r>
      <w:r>
        <w:rPr>
          <w:rFonts w:ascii="Times New Roman" w:hAnsi="Times New Roman" w:cs="Times New Roman"/>
          <w:noProof/>
          <w:sz w:val="24"/>
          <w:szCs w:val="24"/>
        </w:rPr>
        <w:t>5</w:t>
      </w:r>
      <w:r w:rsidR="005617D9" w:rsidRPr="00EE5C3E">
        <w:rPr>
          <w:rFonts w:ascii="Times New Roman" w:hAnsi="Times New Roman" w:cs="Times New Roman"/>
          <w:sz w:val="24"/>
          <w:szCs w:val="24"/>
        </w:rPr>
        <w:fldChar w:fldCharType="end"/>
      </w:r>
      <w:r w:rsidR="00BC684C" w:rsidRPr="00EE5C3E">
        <w:rPr>
          <w:rFonts w:ascii="Times New Roman" w:hAnsi="Times New Roman" w:cs="Times New Roman"/>
          <w:sz w:val="24"/>
          <w:szCs w:val="24"/>
        </w:rPr>
        <w:t>:</w:t>
      </w:r>
      <w:r w:rsidR="00BC684C" w:rsidRPr="00EE5C3E">
        <w:rPr>
          <w:rFonts w:ascii="Times New Roman" w:hAnsi="Times New Roman" w:cs="Times New Roman"/>
          <w:spacing w:val="-2"/>
          <w:sz w:val="24"/>
          <w:szCs w:val="24"/>
        </w:rPr>
        <w:t xml:space="preserve"> </w:t>
      </w:r>
      <w:r w:rsidR="00BC684C" w:rsidRPr="00EE5C3E">
        <w:rPr>
          <w:rFonts w:ascii="Times New Roman" w:hAnsi="Times New Roman" w:cs="Times New Roman"/>
          <w:sz w:val="24"/>
          <w:szCs w:val="24"/>
        </w:rPr>
        <w:t>Chemical</w:t>
      </w:r>
      <w:r w:rsidR="00BC684C" w:rsidRPr="00EE5C3E">
        <w:rPr>
          <w:rFonts w:ascii="Times New Roman" w:hAnsi="Times New Roman" w:cs="Times New Roman"/>
          <w:spacing w:val="-2"/>
          <w:sz w:val="24"/>
          <w:szCs w:val="24"/>
        </w:rPr>
        <w:t xml:space="preserve"> </w:t>
      </w:r>
      <w:r w:rsidR="00BC684C" w:rsidRPr="00EE5C3E">
        <w:rPr>
          <w:rFonts w:ascii="Times New Roman" w:hAnsi="Times New Roman" w:cs="Times New Roman"/>
          <w:sz w:val="24"/>
          <w:szCs w:val="24"/>
        </w:rPr>
        <w:t>structures</w:t>
      </w:r>
      <w:r w:rsidR="00BC684C" w:rsidRPr="00EE5C3E">
        <w:rPr>
          <w:rFonts w:ascii="Times New Roman" w:hAnsi="Times New Roman" w:cs="Times New Roman"/>
          <w:spacing w:val="-2"/>
          <w:sz w:val="24"/>
          <w:szCs w:val="24"/>
        </w:rPr>
        <w:t xml:space="preserve"> </w:t>
      </w:r>
      <w:r w:rsidR="00BC684C" w:rsidRPr="00EE5C3E">
        <w:rPr>
          <w:rFonts w:ascii="Times New Roman" w:hAnsi="Times New Roman" w:cs="Times New Roman"/>
          <w:sz w:val="24"/>
          <w:szCs w:val="24"/>
        </w:rPr>
        <w:t>of Thiorphan,</w:t>
      </w:r>
      <w:r w:rsidR="00BC684C" w:rsidRPr="00EE5C3E">
        <w:rPr>
          <w:rFonts w:ascii="Times New Roman" w:hAnsi="Times New Roman" w:cs="Times New Roman"/>
          <w:spacing w:val="1"/>
          <w:sz w:val="24"/>
          <w:szCs w:val="24"/>
        </w:rPr>
        <w:t xml:space="preserve"> </w:t>
      </w:r>
      <w:r w:rsidR="00BC684C" w:rsidRPr="00EE5C3E">
        <w:rPr>
          <w:rFonts w:ascii="Times New Roman" w:hAnsi="Times New Roman" w:cs="Times New Roman"/>
          <w:sz w:val="24"/>
          <w:szCs w:val="24"/>
        </w:rPr>
        <w:t>S-acetylthiorphan,</w:t>
      </w:r>
      <w:r w:rsidR="00BC684C" w:rsidRPr="00EE5C3E">
        <w:rPr>
          <w:rFonts w:ascii="Times New Roman" w:hAnsi="Times New Roman" w:cs="Times New Roman"/>
          <w:spacing w:val="-2"/>
          <w:sz w:val="24"/>
          <w:szCs w:val="24"/>
        </w:rPr>
        <w:t xml:space="preserve"> </w:t>
      </w:r>
      <w:r w:rsidR="00BC684C" w:rsidRPr="00EE5C3E">
        <w:rPr>
          <w:rFonts w:ascii="Times New Roman" w:hAnsi="Times New Roman" w:cs="Times New Roman"/>
          <w:sz w:val="24"/>
          <w:szCs w:val="24"/>
        </w:rPr>
        <w:t>and</w:t>
      </w:r>
      <w:r w:rsidR="00BC684C" w:rsidRPr="00EE5C3E">
        <w:rPr>
          <w:rFonts w:ascii="Times New Roman" w:hAnsi="Times New Roman" w:cs="Times New Roman"/>
          <w:spacing w:val="-2"/>
          <w:sz w:val="24"/>
          <w:szCs w:val="24"/>
        </w:rPr>
        <w:t xml:space="preserve"> </w:t>
      </w:r>
      <w:r w:rsidR="00BC684C" w:rsidRPr="00EE5C3E">
        <w:rPr>
          <w:rFonts w:ascii="Times New Roman" w:hAnsi="Times New Roman" w:cs="Times New Roman"/>
          <w:sz w:val="24"/>
          <w:szCs w:val="24"/>
        </w:rPr>
        <w:t>Acetorphan</w:t>
      </w:r>
    </w:p>
    <w:p w14:paraId="232A60EE" w14:textId="509E8EE0" w:rsidR="00BC684C" w:rsidRDefault="00EE5C3E" w:rsidP="00EE5C3E">
      <w:pPr>
        <w:pStyle w:val="Heading2"/>
      </w:pPr>
      <w:r>
        <w:lastRenderedPageBreak/>
        <w:t xml:space="preserve">6.1 </w:t>
      </w:r>
      <w:r w:rsidR="002E7D66" w:rsidRPr="002E7D66">
        <w:t>Methods for Optimising Prodrug Distribution in the Intended Setting</w:t>
      </w:r>
    </w:p>
    <w:p w14:paraId="2BD55671" w14:textId="2D80319D" w:rsidR="00BC684C" w:rsidRDefault="00971E62" w:rsidP="00005D7D">
      <w:pPr>
        <w:tabs>
          <w:tab w:val="left" w:pos="2220"/>
        </w:tabs>
        <w:spacing w:line="360" w:lineRule="auto"/>
      </w:pPr>
      <w:r w:rsidRPr="00971E62">
        <w:t xml:space="preserve">To avoid the unwanted effects of their parent medication, prodrugs might be designed to target certain enzymes or carriers. Understanding carrier systems and enzymes that are capable of targeting is crucial for this kind of targeted prodrug creation. </w:t>
      </w:r>
      <w:r w:rsidR="00BC684C" w:rsidRPr="00BC684C">
        <w:t>As a result, the targeted prodrugs will be separated into two primary categories: those that target certain membrane transporters and those that target specific enzymes.</w:t>
      </w:r>
    </w:p>
    <w:p w14:paraId="6727FD11" w14:textId="42A59355" w:rsidR="00287EF1" w:rsidRDefault="00BC684C" w:rsidP="00287EF1">
      <w:pPr>
        <w:tabs>
          <w:tab w:val="left" w:pos="2220"/>
        </w:tabs>
        <w:spacing w:line="360" w:lineRule="auto"/>
        <w:rPr>
          <w:b/>
        </w:rPr>
      </w:pPr>
      <w:r w:rsidRPr="00BC684C">
        <w:rPr>
          <w:b/>
        </w:rPr>
        <w:t xml:space="preserve">(A) </w:t>
      </w:r>
      <w:r w:rsidR="00287EF1" w:rsidRPr="00287EF1">
        <w:rPr>
          <w:b/>
        </w:rPr>
        <w:t>Membrane transporter prodrug design</w:t>
      </w:r>
    </w:p>
    <w:p w14:paraId="72B6DCB4" w14:textId="7CB4F6A7" w:rsidR="00005D7D" w:rsidRDefault="00BC684C" w:rsidP="00005D7D">
      <w:pPr>
        <w:tabs>
          <w:tab w:val="left" w:pos="2220"/>
        </w:tabs>
        <w:spacing w:line="360" w:lineRule="auto"/>
      </w:pPr>
      <w:r w:rsidRPr="00BC684C">
        <w:t xml:space="preserve">With the aid of transporters, a variety of medicinal medicines have significantly improved their ability to traverse cellular membranes. </w:t>
      </w:r>
      <w:r w:rsidR="00BA37D0" w:rsidRPr="00BA37D0">
        <w:t xml:space="preserve">These transporters are crucial for drug metabolism, elimination, and uptake. </w:t>
      </w:r>
      <w:r w:rsidR="00BA6595" w:rsidRPr="00BA6595">
        <w:t xml:space="preserve">Because these transporters have such a significant impact on the pharmacokinetic properties of the drug, learning more about them is crucial. </w:t>
      </w:r>
      <w:r w:rsidR="00BA37D0" w:rsidRPr="00BA37D0">
        <w:t xml:space="preserve">It has been postulated that interactions with these membrane transporters are part of how a given medication gets disposed of in the body. </w:t>
      </w:r>
      <w:r w:rsidR="00E705BB" w:rsidRPr="00E705BB">
        <w:t>The transporters are found mostly in the liver, kidneys, and intestines, but are also found in other organs</w:t>
      </w:r>
      <w:r w:rsidR="00E705BB">
        <w:t xml:space="preserve"> </w:t>
      </w:r>
      <w:r w:rsidR="00BA37D0" w:rsidRPr="00BA37D0">
        <w:t xml:space="preserve">because of the crucial roles these organs play in the absorption, distribution, and elimination processes. </w:t>
      </w:r>
      <w:r w:rsidR="00BA37D0">
        <w:fldChar w:fldCharType="begin" w:fldLock="1"/>
      </w:r>
      <w:r w:rsidR="00BA37D0">
        <w:instrText>ADDIN CSL_CITATION {"citationItems":[{"id":"ITEM-1","itemData":{"DOI":"10.1038/nrd2438","ISSN":"14741776","PMID":"18309312","abstract":"It is generally thought that many drug molecules are transported across biological membranes via passive diffusion at a rate related to their lipophilicity. However, the types of biophysical forces involved in the interaction of drugs with lipid membranes are no different from those involved in their interaction with proteins, and so arguments based on lipophilicity could also be applied to drug uptake by membrane transporters or carriers. In this article, we discuss the evidence supporting the idea that rather than being an exception, carrier-mediated and active uptake of drugs may be more common than is usually assumed - including a summary of specific cases in which drugs are known to be taken up into cells via defined carriers - and consider the implications for drug discovery and development.","author":[{"dropping-particle":"","family":"Dobson","given":"Paul D.","non-dropping-particle":"","parse-names":false,"suffix":""},{"dropping-particle":"","family":"Kell","given":"Douglas B.","non-dropping-particle":"","parse-names":false,"suffix":""}],"container-title":"Nature Reviews Drug Discovery","id":"ITEM-1","issue":"3","issued":{"date-parts":[["2008"]]},"page":"205-220","title":"Carrier-mediated cellular uptake of pharmaceutical drugs: An exception or the rule?","type":"article-journal","volume":"7"},"uris":["http://www.mendeley.com/documents/?uuid=7ccf3991-1454-4039-b1ec-c41359699a03"]}],"mendeley":{"formattedCitation":"[46]","plainTextFormattedCitation":"[46]","previouslyFormattedCitation":"[45]"},"properties":{"noteIndex":0},"schema":"https://github.com/citation-style-language/schema/raw/master/csl-citation.json"}</w:instrText>
      </w:r>
      <w:r w:rsidR="00BA37D0">
        <w:fldChar w:fldCharType="separate"/>
      </w:r>
      <w:r w:rsidR="00BA37D0" w:rsidRPr="001A6358">
        <w:rPr>
          <w:noProof/>
        </w:rPr>
        <w:t>[46]</w:t>
      </w:r>
      <w:r w:rsidR="00BA37D0">
        <w:fldChar w:fldCharType="end"/>
      </w:r>
    </w:p>
    <w:p w14:paraId="6C3DE1CF" w14:textId="592E7B2B" w:rsidR="00BC684C" w:rsidRDefault="00BA37D0" w:rsidP="00005D7D">
      <w:pPr>
        <w:tabs>
          <w:tab w:val="left" w:pos="2220"/>
        </w:tabs>
        <w:spacing w:line="360" w:lineRule="auto"/>
      </w:pPr>
      <w:r w:rsidRPr="00BA37D0">
        <w:t xml:space="preserve">SLC (Solute Carriers) as well as ABC (ATP Binding Cassette) are the two main types of drug transporters. </w:t>
      </w:r>
      <w:r w:rsidR="00BC684C" w:rsidRPr="00BC684C">
        <w:t xml:space="preserve">The transporters may be categorised as either efflux transporters or influx transporters based on which way they carry the substrate through the cell membrane. </w:t>
      </w:r>
      <w:r w:rsidR="0038475D" w:rsidRPr="0038475D">
        <w:t>The ATP hydrolysis reaction energy is used by the ABC transporters to expel substrate from the cell, therefore classifying them as efflux transporters</w:t>
      </w:r>
      <w:r w:rsidR="009338FC">
        <w:t xml:space="preserve"> </w:t>
      </w:r>
      <w:r w:rsidR="00382C3D" w:rsidRPr="00382C3D">
        <w:t xml:space="preserve">and into the extracellular environment. Since the SLC transporters allow for the diffusional uptake of substrates, they fall under the category of influx transporters. The substrate concentration gradient and the ion connections across the membrane dictate whether SLC transporters work as unidirectional or as both influx as well as efflux transporters. </w:t>
      </w:r>
      <w:r w:rsidR="00CB018C" w:rsidRPr="00CB018C">
        <w:t xml:space="preserve">Understanding the interplay between apical as well as basolateral membrane transporters in epithelial cells is crucial at this time. It is crucial to study efflux and influx transporters in organs such the gut, liver, as well as kidney in order to understand the magnitude and direction of drug movements in these tissues. </w:t>
      </w:r>
      <w:r w:rsidR="00BC684C" w:rsidRPr="00BC684C">
        <w:t xml:space="preserve">Figures 12, 13, and 14 below illustrate the transporters found in the colon, liver, and kidney </w:t>
      </w:r>
      <w:r w:rsidR="005617D9">
        <w:fldChar w:fldCharType="begin" w:fldLock="1"/>
      </w:r>
      <w:r w:rsidR="001A6358">
        <w:instrText>ADDIN CSL_CITATION {"citationItems":[{"id":"ITEM-1","itemData":{"ISSN":"15396509","PMID":"22284781","abstract":"Drug transporters mediate the movement of endobiotics and xenobiotics across biological membranes in multiple organs and in most tissues. As such, they are involved in physiology, development of disease, drug pharmacokinetics, and ultimately the clinical response to a myriad of medications. Genetic variants in transporters cause population-specific differences in drug transport and are responsible for considerable inter-individual variation in physiology and pharmacotherapy. The purpose of this review is to provide a broad overview of how inherited variants in transporters are associated with disease etiology, disease state, and the pharmacological treatment of diseases. Given that there are thousands of published papers related to the interplay between transporter genetics and medicine, this review will provide examples that exemplify the broader focus of the literature. © 2013, Discovery Medicine.","author":[{"dropping-particle":"","family":"Sissung","given":"Tristan M.","non-dropping-particle":"","parse-names":false,"suffix":""},{"dropping-particle":"","family":"Troutman","given":"Sarah M.","non-dropping-particle":"","parse-names":false,"suffix":""},{"dropping-particle":"","family":"Campbell","given":"Tessa J.","non-dropping-particle":"","parse-names":false,"suffix":""},{"dropping-particle":"","family":"Pressler","given":"Heather M.","non-dropping-particle":"","parse-names":false,"suffix":""},{"dropping-particle":"","family":"Sung","given":"Hyeyoung","non-dropping-particle":"","parse-names":false,"suffix":""},{"dropping-particle":"","family":"Bates","given":"Susan E.","non-dropping-particle":"","parse-names":false,"suffix":""},{"dropping-particle":"","family":"Figg","given":"William D.","non-dropping-particle":"","parse-names":false,"suffix":""}],"container-title":"Discovery Medicine","id":"ITEM-1","issue":"68","issued":{"date-parts":[["2013"]]},"page":"19-34","title":"Transporter pharmacogenetics: Transporter polymorphisms affect normal physiology, diseases, and pharmacotherapy","type":"article-journal","volume":"13"},"uris":["http://www.mendeley.com/documents/?uuid=d68a511c-5312-4753-9e87-04a517761dcd"]}],"mendeley":{"formattedCitation":"[47]","plainTextFormattedCitation":"[47]","previouslyFormattedCitation":"[46]"},"properties":{"noteIndex":0},"schema":"https://github.com/citation-style-language/schema/raw/master/csl-citation.json"}</w:instrText>
      </w:r>
      <w:r w:rsidR="005617D9">
        <w:fldChar w:fldCharType="separate"/>
      </w:r>
      <w:r w:rsidR="001A6358" w:rsidRPr="001A6358">
        <w:rPr>
          <w:noProof/>
        </w:rPr>
        <w:t>[47]</w:t>
      </w:r>
      <w:r w:rsidR="005617D9">
        <w:fldChar w:fldCharType="end"/>
      </w:r>
      <w:r w:rsidR="00BC684C" w:rsidRPr="00BC684C">
        <w:t>.</w:t>
      </w:r>
    </w:p>
    <w:p w14:paraId="1D0CA089" w14:textId="77777777" w:rsidR="00BC684C" w:rsidRDefault="00BC684C" w:rsidP="00005D7D">
      <w:pPr>
        <w:tabs>
          <w:tab w:val="left" w:pos="2220"/>
        </w:tabs>
        <w:spacing w:line="360" w:lineRule="auto"/>
        <w:jc w:val="center"/>
        <w:rPr>
          <w:b/>
        </w:rPr>
      </w:pPr>
      <w:r w:rsidRPr="00BC684C">
        <w:rPr>
          <w:b/>
          <w:noProof/>
        </w:rPr>
        <w:lastRenderedPageBreak/>
        <w:drawing>
          <wp:inline distT="0" distB="0" distL="0" distR="0" wp14:anchorId="68FB88B2" wp14:editId="14B8067C">
            <wp:extent cx="5438687" cy="3017520"/>
            <wp:effectExtent l="0" t="0" r="0" b="0"/>
            <wp:docPr id="37" name="image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0.png"/>
                    <pic:cNvPicPr/>
                  </pic:nvPicPr>
                  <pic:blipFill>
                    <a:blip r:embed="rId18" cstate="print"/>
                    <a:stretch>
                      <a:fillRect/>
                    </a:stretch>
                  </pic:blipFill>
                  <pic:spPr>
                    <a:xfrm>
                      <a:off x="0" y="0"/>
                      <a:ext cx="5438687" cy="3017520"/>
                    </a:xfrm>
                    <a:prstGeom prst="rect">
                      <a:avLst/>
                    </a:prstGeom>
                  </pic:spPr>
                </pic:pic>
              </a:graphicData>
            </a:graphic>
          </wp:inline>
        </w:drawing>
      </w:r>
    </w:p>
    <w:p w14:paraId="69E82409" w14:textId="6FD5795F" w:rsidR="00BC684C" w:rsidRDefault="00EE5C3E" w:rsidP="002C10E5">
      <w:pPr>
        <w:pStyle w:val="Caption"/>
      </w:pPr>
      <w:r w:rsidRPr="00EE5C3E">
        <w:rPr>
          <w:rFonts w:ascii="Times New Roman" w:hAnsi="Times New Roman" w:cs="Times New Roman"/>
          <w:sz w:val="24"/>
          <w:szCs w:val="24"/>
        </w:rPr>
        <w:t xml:space="preserve">Figure </w:t>
      </w:r>
      <w:r w:rsidR="005617D9" w:rsidRPr="00EE5C3E">
        <w:rPr>
          <w:rFonts w:ascii="Times New Roman" w:hAnsi="Times New Roman" w:cs="Times New Roman"/>
          <w:sz w:val="24"/>
          <w:szCs w:val="24"/>
        </w:rPr>
        <w:fldChar w:fldCharType="begin"/>
      </w:r>
      <w:r w:rsidRPr="00EE5C3E">
        <w:rPr>
          <w:rFonts w:ascii="Times New Roman" w:hAnsi="Times New Roman" w:cs="Times New Roman"/>
          <w:sz w:val="24"/>
          <w:szCs w:val="24"/>
        </w:rPr>
        <w:instrText xml:space="preserve"> SEQ Figure \* ARABIC </w:instrText>
      </w:r>
      <w:r w:rsidR="005617D9" w:rsidRPr="00EE5C3E">
        <w:rPr>
          <w:rFonts w:ascii="Times New Roman" w:hAnsi="Times New Roman" w:cs="Times New Roman"/>
          <w:sz w:val="24"/>
          <w:szCs w:val="24"/>
        </w:rPr>
        <w:fldChar w:fldCharType="separate"/>
      </w:r>
      <w:r>
        <w:rPr>
          <w:rFonts w:ascii="Times New Roman" w:hAnsi="Times New Roman" w:cs="Times New Roman"/>
          <w:noProof/>
          <w:sz w:val="24"/>
          <w:szCs w:val="24"/>
        </w:rPr>
        <w:t>6</w:t>
      </w:r>
      <w:r w:rsidR="005617D9" w:rsidRPr="00EE5C3E">
        <w:rPr>
          <w:rFonts w:ascii="Times New Roman" w:hAnsi="Times New Roman" w:cs="Times New Roman"/>
          <w:sz w:val="24"/>
          <w:szCs w:val="24"/>
        </w:rPr>
        <w:fldChar w:fldCharType="end"/>
      </w:r>
      <w:r w:rsidR="00BC684C" w:rsidRPr="00EE5C3E">
        <w:rPr>
          <w:rFonts w:ascii="Times New Roman" w:hAnsi="Times New Roman" w:cs="Times New Roman"/>
          <w:sz w:val="24"/>
          <w:szCs w:val="24"/>
        </w:rPr>
        <w:t xml:space="preserve">: </w:t>
      </w:r>
      <w:r w:rsidR="002C10E5" w:rsidRPr="002C10E5">
        <w:rPr>
          <w:rFonts w:ascii="Times New Roman" w:hAnsi="Times New Roman" w:cs="Times New Roman"/>
          <w:sz w:val="24"/>
          <w:szCs w:val="24"/>
        </w:rPr>
        <w:t>gastrointestinally expressed transporters. The red molecules are efflux transporters that return the substrate to the intestinal lumen, while the blue molecules are influx transporters that move the substrate from the intestinal lumen into the blood.</w:t>
      </w:r>
      <w:r w:rsidR="00BC684C" w:rsidRPr="00BC684C">
        <w:rPr>
          <w:noProof/>
        </w:rPr>
        <w:drawing>
          <wp:inline distT="0" distB="0" distL="0" distR="0" wp14:anchorId="72DD7326" wp14:editId="34976A2C">
            <wp:extent cx="5106971" cy="3084576"/>
            <wp:effectExtent l="0" t="0" r="0" b="0"/>
            <wp:docPr id="41" name="image6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61.jpeg"/>
                    <pic:cNvPicPr/>
                  </pic:nvPicPr>
                  <pic:blipFill>
                    <a:blip r:embed="rId19" cstate="print"/>
                    <a:stretch>
                      <a:fillRect/>
                    </a:stretch>
                  </pic:blipFill>
                  <pic:spPr>
                    <a:xfrm>
                      <a:off x="0" y="0"/>
                      <a:ext cx="5106971" cy="3084576"/>
                    </a:xfrm>
                    <a:prstGeom prst="rect">
                      <a:avLst/>
                    </a:prstGeom>
                  </pic:spPr>
                </pic:pic>
              </a:graphicData>
            </a:graphic>
          </wp:inline>
        </w:drawing>
      </w:r>
    </w:p>
    <w:p w14:paraId="09BB4DDB" w14:textId="4FC3ABA4" w:rsidR="001F004B" w:rsidRPr="00EE5C3E" w:rsidRDefault="00EE5C3E" w:rsidP="00EE5C3E">
      <w:pPr>
        <w:pStyle w:val="Caption"/>
        <w:rPr>
          <w:rFonts w:ascii="Times New Roman" w:hAnsi="Times New Roman" w:cs="Times New Roman"/>
          <w:sz w:val="24"/>
          <w:szCs w:val="24"/>
        </w:rPr>
      </w:pPr>
      <w:r w:rsidRPr="00EE5C3E">
        <w:rPr>
          <w:rFonts w:ascii="Times New Roman" w:hAnsi="Times New Roman" w:cs="Times New Roman"/>
          <w:sz w:val="24"/>
          <w:szCs w:val="24"/>
        </w:rPr>
        <w:t xml:space="preserve">Figure </w:t>
      </w:r>
      <w:r w:rsidR="005617D9" w:rsidRPr="00EE5C3E">
        <w:rPr>
          <w:rFonts w:ascii="Times New Roman" w:hAnsi="Times New Roman" w:cs="Times New Roman"/>
          <w:sz w:val="24"/>
          <w:szCs w:val="24"/>
        </w:rPr>
        <w:fldChar w:fldCharType="begin"/>
      </w:r>
      <w:r w:rsidRPr="00EE5C3E">
        <w:rPr>
          <w:rFonts w:ascii="Times New Roman" w:hAnsi="Times New Roman" w:cs="Times New Roman"/>
          <w:sz w:val="24"/>
          <w:szCs w:val="24"/>
        </w:rPr>
        <w:instrText xml:space="preserve"> SEQ Figure \* ARABIC </w:instrText>
      </w:r>
      <w:r w:rsidR="005617D9" w:rsidRPr="00EE5C3E">
        <w:rPr>
          <w:rFonts w:ascii="Times New Roman" w:hAnsi="Times New Roman" w:cs="Times New Roman"/>
          <w:sz w:val="24"/>
          <w:szCs w:val="24"/>
        </w:rPr>
        <w:fldChar w:fldCharType="separate"/>
      </w:r>
      <w:r>
        <w:rPr>
          <w:rFonts w:ascii="Times New Roman" w:hAnsi="Times New Roman" w:cs="Times New Roman"/>
          <w:noProof/>
          <w:sz w:val="24"/>
          <w:szCs w:val="24"/>
        </w:rPr>
        <w:t>7</w:t>
      </w:r>
      <w:r w:rsidR="005617D9" w:rsidRPr="00EE5C3E">
        <w:rPr>
          <w:rFonts w:ascii="Times New Roman" w:hAnsi="Times New Roman" w:cs="Times New Roman"/>
          <w:sz w:val="24"/>
          <w:szCs w:val="24"/>
        </w:rPr>
        <w:fldChar w:fldCharType="end"/>
      </w:r>
      <w:r w:rsidR="001F004B" w:rsidRPr="00EE5C3E">
        <w:rPr>
          <w:rFonts w:ascii="Times New Roman" w:hAnsi="Times New Roman" w:cs="Times New Roman"/>
          <w:sz w:val="24"/>
          <w:szCs w:val="24"/>
        </w:rPr>
        <w:t xml:space="preserve">: </w:t>
      </w:r>
      <w:r w:rsidR="00CC09D4" w:rsidRPr="00CC09D4">
        <w:rPr>
          <w:rFonts w:ascii="Times New Roman" w:hAnsi="Times New Roman" w:cs="Times New Roman"/>
          <w:sz w:val="24"/>
          <w:szCs w:val="24"/>
        </w:rPr>
        <w:t>Hepatocyte-expressed transporters. There are two types of transporters in the liver; blue ones carry medications from the bloodstream into the hepatocytes where they are metabolised, while red ones carry drugs and their metabolites out of the liver and into the bile or back into the bloodstream.</w:t>
      </w:r>
    </w:p>
    <w:p w14:paraId="71A68334" w14:textId="77777777" w:rsidR="001F004B" w:rsidRDefault="001F004B" w:rsidP="00005D7D">
      <w:pPr>
        <w:spacing w:line="360" w:lineRule="auto"/>
        <w:jc w:val="center"/>
      </w:pPr>
      <w:r w:rsidRPr="001F004B">
        <w:rPr>
          <w:noProof/>
        </w:rPr>
        <w:lastRenderedPageBreak/>
        <w:drawing>
          <wp:inline distT="0" distB="0" distL="0" distR="0" wp14:anchorId="2FD0ED15" wp14:editId="7D2402F6">
            <wp:extent cx="4325620" cy="3019425"/>
            <wp:effectExtent l="0" t="0" r="0" b="0"/>
            <wp:docPr id="43" name="image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62.png"/>
                    <pic:cNvPicPr/>
                  </pic:nvPicPr>
                  <pic:blipFill>
                    <a:blip r:embed="rId20" cstate="print"/>
                    <a:stretch>
                      <a:fillRect/>
                    </a:stretch>
                  </pic:blipFill>
                  <pic:spPr>
                    <a:xfrm>
                      <a:off x="0" y="0"/>
                      <a:ext cx="4325620" cy="3019425"/>
                    </a:xfrm>
                    <a:prstGeom prst="rect">
                      <a:avLst/>
                    </a:prstGeom>
                  </pic:spPr>
                </pic:pic>
              </a:graphicData>
            </a:graphic>
          </wp:inline>
        </w:drawing>
      </w:r>
    </w:p>
    <w:p w14:paraId="1C044805" w14:textId="10E0D1D5" w:rsidR="001F004B" w:rsidRPr="00EE5C3E" w:rsidRDefault="00EE5C3E" w:rsidP="00EE5C3E">
      <w:pPr>
        <w:pStyle w:val="Caption"/>
        <w:rPr>
          <w:rFonts w:ascii="Times New Roman" w:hAnsi="Times New Roman" w:cs="Times New Roman"/>
          <w:sz w:val="24"/>
          <w:szCs w:val="24"/>
        </w:rPr>
      </w:pPr>
      <w:r w:rsidRPr="00EE5C3E">
        <w:rPr>
          <w:rFonts w:ascii="Times New Roman" w:hAnsi="Times New Roman" w:cs="Times New Roman"/>
          <w:sz w:val="24"/>
          <w:szCs w:val="24"/>
        </w:rPr>
        <w:t xml:space="preserve">Figure </w:t>
      </w:r>
      <w:r w:rsidR="005617D9" w:rsidRPr="00EE5C3E">
        <w:rPr>
          <w:rFonts w:ascii="Times New Roman" w:hAnsi="Times New Roman" w:cs="Times New Roman"/>
          <w:sz w:val="24"/>
          <w:szCs w:val="24"/>
        </w:rPr>
        <w:fldChar w:fldCharType="begin"/>
      </w:r>
      <w:r w:rsidRPr="00EE5C3E">
        <w:rPr>
          <w:rFonts w:ascii="Times New Roman" w:hAnsi="Times New Roman" w:cs="Times New Roman"/>
          <w:sz w:val="24"/>
          <w:szCs w:val="24"/>
        </w:rPr>
        <w:instrText xml:space="preserve"> SEQ Figure \* ARABIC </w:instrText>
      </w:r>
      <w:r w:rsidR="005617D9" w:rsidRPr="00EE5C3E">
        <w:rPr>
          <w:rFonts w:ascii="Times New Roman" w:hAnsi="Times New Roman" w:cs="Times New Roman"/>
          <w:sz w:val="24"/>
          <w:szCs w:val="24"/>
        </w:rPr>
        <w:fldChar w:fldCharType="separate"/>
      </w:r>
      <w:r w:rsidRPr="00EE5C3E">
        <w:rPr>
          <w:rFonts w:ascii="Times New Roman" w:hAnsi="Times New Roman" w:cs="Times New Roman"/>
          <w:noProof/>
          <w:sz w:val="24"/>
          <w:szCs w:val="24"/>
        </w:rPr>
        <w:t>8</w:t>
      </w:r>
      <w:r w:rsidR="005617D9" w:rsidRPr="00EE5C3E">
        <w:rPr>
          <w:rFonts w:ascii="Times New Roman" w:hAnsi="Times New Roman" w:cs="Times New Roman"/>
          <w:sz w:val="24"/>
          <w:szCs w:val="24"/>
        </w:rPr>
        <w:fldChar w:fldCharType="end"/>
      </w:r>
      <w:r w:rsidR="001F004B" w:rsidRPr="00EE5C3E">
        <w:rPr>
          <w:rFonts w:ascii="Times New Roman" w:hAnsi="Times New Roman" w:cs="Times New Roman"/>
          <w:sz w:val="24"/>
          <w:szCs w:val="24"/>
        </w:rPr>
        <w:t xml:space="preserve">: </w:t>
      </w:r>
      <w:r w:rsidR="006C49CB" w:rsidRPr="006C49CB">
        <w:rPr>
          <w:rFonts w:ascii="Times New Roman" w:hAnsi="Times New Roman" w:cs="Times New Roman"/>
          <w:sz w:val="24"/>
          <w:szCs w:val="24"/>
        </w:rPr>
        <w:t>Transporters expressed in the proximal tubule of the kidney. Substrates in the circulation are transported back into renal epithelial cells by blue influx transporters on the basolateral membrane (BLM). Transporters that transfer substrates back into the bloodstream are coloured red</w:t>
      </w:r>
      <w:r w:rsidR="001F004B" w:rsidRPr="00EE5C3E">
        <w:rPr>
          <w:rFonts w:ascii="Times New Roman" w:hAnsi="Times New Roman" w:cs="Times New Roman"/>
          <w:sz w:val="24"/>
          <w:szCs w:val="24"/>
        </w:rPr>
        <w:t>.</w:t>
      </w:r>
    </w:p>
    <w:p w14:paraId="6B4BB178" w14:textId="77777777" w:rsidR="001F004B" w:rsidRDefault="001F004B" w:rsidP="00005D7D">
      <w:pPr>
        <w:spacing w:line="360" w:lineRule="auto"/>
      </w:pPr>
      <w:r w:rsidRPr="001F004B">
        <w:rPr>
          <w:b/>
        </w:rPr>
        <w:t>(B) Prodrug Design: Selecting Particular Enzymes</w:t>
      </w:r>
      <w:r w:rsidRPr="001F004B">
        <w:t xml:space="preserve"> </w:t>
      </w:r>
    </w:p>
    <w:p w14:paraId="51E437A3" w14:textId="25022027" w:rsidR="001F004B" w:rsidRPr="001F004B" w:rsidRDefault="001F004B" w:rsidP="00005D7D">
      <w:pPr>
        <w:spacing w:line="360" w:lineRule="auto"/>
        <w:rPr>
          <w:b/>
        </w:rPr>
      </w:pPr>
      <w:r w:rsidRPr="001F004B">
        <w:t xml:space="preserve">The strategy of designing enzyme-targeted prodrugs may be utilized extensively to enhance oral medication absorption as well as site-specific drug administration. Enzymes may be a significant target for enhancing the absorption of oral </w:t>
      </w:r>
      <w:r w:rsidR="001B7727" w:rsidRPr="001F004B">
        <w:t xml:space="preserve">medications. </w:t>
      </w:r>
      <w:r w:rsidR="005617D9">
        <w:fldChar w:fldCharType="begin" w:fldLock="1"/>
      </w:r>
      <w:r w:rsidR="001A6358">
        <w:instrText>ADDIN CSL_CITATION {"citationItems":[{"id":"ITEM-1","itemData":{"DOI":"10.1002/jps.2600691203","ISSN":"15206017","PMID":"6780682","abstract":"A strategy for improving the intestinal absorption of water‐insoluble drugs was developed and tested. The strategy is based on making a soluble derivative of an insoluble compound which, in turn, is a substrate for enzymes in the surface coat of the brush border region of the microvillous membrane. Consequently, just prior to reaching the membrane, the physical properties of the diffusing species are changed from polar to nonpolar. The experimental test used two drug–drug derivative pairs, estrone–lysine estrone ester and p‐nitroaniline–lysine p‐nitroanilide. Wall permeabilities were determined using an external perfusion technique in the rat intestine and a laminar flow convective diffusion model for transport in the lumen. Analysis of the permeability results indicates that the derivatives have higher wall permeabilities than the parent compounds and that the microvillous surface coat may be a significant contributor to the intestinal wall resistance. Comparison of the absorption rates for estrone and the lysine estrone ester indicates that the absorption rate of the derivative could be up to five orders of magnitude greater than that for the parent compound. Copyright © 1980 Wiley‐Liss, Inc., A Wiley Company","author":[{"dropping-particle":"","family":"Amidon","given":"G. L.","non-dropping-particle":"","parse-names":false,"suffix":""},{"dropping-particle":"","family":"Leesman","given":"G. D.","non-dropping-particle":"","parse-names":false,"suffix":""},{"dropping-particle":"","family":"Elliott","given":"R. L.","non-dropping-particle":"","parse-names":false,"suffix":""}],"container-title":"Journal of Pharmaceutical Sciences","id":"ITEM-1","issue":"12","issued":{"date-parts":[["1980"]]},"page":"1363-1368","title":"Improving intestinal absorption of water‐insoluble compounds: A membrane metabolism strategy","type":"article-journal","volume":"69"},"uris":["http://www.mendeley.com/documents/?uuid=3ad8b36a-dfdb-4bc2-ba92-4a3fb13bfe4b"]}],"mendeley":{"formattedCitation":"[48]","plainTextFormattedCitation":"[48]","previouslyFormattedCitation":"[47]"},"properties":{"noteIndex":0},"schema":"https://github.com/citation-style-language/schema/raw/master/csl-citation.json"}</w:instrText>
      </w:r>
      <w:r w:rsidR="005617D9">
        <w:fldChar w:fldCharType="separate"/>
      </w:r>
      <w:r w:rsidR="001A6358" w:rsidRPr="001A6358">
        <w:rPr>
          <w:noProof/>
        </w:rPr>
        <w:t>[48]</w:t>
      </w:r>
      <w:r w:rsidR="005617D9">
        <w:fldChar w:fldCharType="end"/>
      </w:r>
      <w:r w:rsidR="00E71B25">
        <w:t xml:space="preserve"> </w:t>
      </w:r>
      <w:r w:rsidR="00E12205" w:rsidRPr="00E12205">
        <w:t>Second, site-specificity, which is required for localised actions with minimal systemic side effect</w:t>
      </w:r>
      <w:r w:rsidR="00E12205">
        <w:t>,</w:t>
      </w:r>
      <w:r w:rsidRPr="001F004B">
        <w:t xml:space="preserve"> is a key justification for utilizing enzyme-targeted </w:t>
      </w:r>
      <w:r w:rsidR="001B7727" w:rsidRPr="001F004B">
        <w:t xml:space="preserve">prodrugs. </w:t>
      </w:r>
      <w:r w:rsidR="005617D9">
        <w:fldChar w:fldCharType="begin" w:fldLock="1"/>
      </w:r>
      <w:r w:rsidR="00995A8D">
        <w:instrText>ADDIN CSL_CITATION {"citationItems":[{"id":"ITEM-1","itemData":{"DOI":"https://doi.org/10.1016/j.ejmech.2016.10.061","ISSN":"0223-5234","abstract":"In this review we highlight the most modern trends in the prodrug strategy. In drug research and development, the prodrug concept has found a number of useful applications. Selected examples of this approach are provided in this paper and they are classified according to the aim of their design.","author":[{"dropping-particle":"","family":"Abet","given":"Valentina","non-dropping-particle":"","parse-names":false,"suffix":""},{"dropping-particle":"","family":"Filace","given":"Fabiana","non-dropping-particle":"","parse-names":false,"suffix":""},{"dropping-particle":"","family":"Recio","given":"Javier","non-dropping-particle":"","parse-names":false,"suffix":""},{"dropping-particle":"","family":"Alvarez-Builla","given":"Julio","non-dropping-particle":"","parse-names":false,"suffix":""},{"dropping-particle":"","family":"Burgos","given":"Carolina","non-dropping-particle":"","parse-names":false,"suffix":""}],"container-title":"European Journal of Medicinal Chemistry","id":"ITEM-1","issued":{"date-parts":[["2017"]]},"page":"810-827","title":"Prodrug approach: An overview of recent cases","type":"article-journal","volume":"127"},"uris":["http://www.mendeley.com/documents/?uuid=93efbdef-c4e7-4067-802a-081ed245997b"]}],"mendeley":{"formattedCitation":"[10]","plainTextFormattedCitation":"[10]","previouslyFormattedCitation":"[10]"},"properties":{"noteIndex":0},"schema":"https://github.com/citation-style-language/schema/raw/master/csl-citation.json"}</w:instrText>
      </w:r>
      <w:r w:rsidR="005617D9">
        <w:fldChar w:fldCharType="separate"/>
      </w:r>
      <w:r w:rsidR="00995A8D" w:rsidRPr="00995A8D">
        <w:rPr>
          <w:noProof/>
        </w:rPr>
        <w:t>[10]</w:t>
      </w:r>
      <w:r w:rsidR="005617D9">
        <w:fldChar w:fldCharType="end"/>
      </w:r>
      <w:r w:rsidR="00995A8D">
        <w:t xml:space="preserve"> </w:t>
      </w:r>
      <w:r w:rsidRPr="001F004B">
        <w:t>This section will explore how enzyme focused prodrug design may increase the site specificity of prodrugs.</w:t>
      </w:r>
    </w:p>
    <w:p w14:paraId="3B37498C" w14:textId="77777777" w:rsidR="001F004B" w:rsidRPr="00EE5C3E" w:rsidRDefault="001F004B" w:rsidP="00EE5C3E">
      <w:pPr>
        <w:pStyle w:val="ListParagraph"/>
        <w:numPr>
          <w:ilvl w:val="0"/>
          <w:numId w:val="8"/>
        </w:numPr>
        <w:spacing w:line="360" w:lineRule="auto"/>
        <w:rPr>
          <w:b/>
        </w:rPr>
      </w:pPr>
      <w:r w:rsidRPr="00EE5C3E">
        <w:rPr>
          <w:b/>
        </w:rPr>
        <w:t xml:space="preserve">Enzyme-Targeted Prodrug Approach for Site-Specificity: </w:t>
      </w:r>
    </w:p>
    <w:p w14:paraId="27316E16" w14:textId="77777777" w:rsidR="00CF4B39" w:rsidRDefault="00DC0929" w:rsidP="00005D7D">
      <w:pPr>
        <w:spacing w:line="360" w:lineRule="auto"/>
      </w:pPr>
      <w:r w:rsidRPr="00DC0929">
        <w:t xml:space="preserve">Enzyme-targeted prodrug therapy works by having a tissue-specific enzyme activate a prodrug, which is subsequently metabolised by the body. </w:t>
      </w:r>
      <w:r w:rsidR="001F004B" w:rsidRPr="001F004B">
        <w:t xml:space="preserve">The enzyme found in the tissue may be more concentrated or specialized to that tissue. Today, it has been proposed that enzyme-targeted site-specificity plays a crucial role in cancer treatment. It has been discovered that large levels of activating enzymes provide prodrugs their site-specificity and are in charge of effectively treating animal </w:t>
      </w:r>
      <w:r w:rsidR="001B7727" w:rsidRPr="001F004B">
        <w:t xml:space="preserve">tumors. </w:t>
      </w:r>
      <w:r w:rsidR="005617D9">
        <w:fldChar w:fldCharType="begin" w:fldLock="1"/>
      </w:r>
      <w:r w:rsidR="001A6358">
        <w:instrText>ADDIN CSL_CITATION {"citationItems":[{"id":"ITEM-1","itemData":{"DOI":"10.1016/j.addr.2011.02.002","ISSN":"0169409X","PMID":"21333700","abstract":"As the mainstay in the treatment of various cancers for several decades, chemotherapy is successful but still faces challenges including non-selectivity and high toxicity. Improving the selectivity is therefore a critical step to improve the therapeutic efficacy of chemotherapy. Prodrug is one of the most promising approaches to increase the selectivity and efficacy of a chemotherapy drug. The classical prodrug approach is to improve the pharmaceutical properties (solubility, stability, permeability, irritation, distribution, etc.) via a simple chemical modification. This review will focus on various targeted prodrug designs that have been developed to increase the selectivity of chemotherapy drugs. Various tumor-targeting ligands, transporter-associated ligands, and polymers can be incorporated in a prodrug to enhance the tumor uptake. Prodrugs can also be activated by enzymes that are specifically expressed at a higher level in tumors, leading to a selective anti-tumor effect. This can be achieved by conjugating the enzyme to a tumor-specific antibody, or delivering a vector expressing the enzyme into tumor cells. © 2011 Elsevier B.V.","author":[{"dropping-particle":"","family":"Mahato","given":"Rubi","non-dropping-particle":"","parse-names":false,"suffix":""},{"dropping-particle":"","family":"Tai","given":"Wanyi","non-dropping-particle":"","parse-names":false,"suffix":""},{"dropping-particle":"","family":"Cheng","given":"Kun","non-dropping-particle":"","parse-names":false,"suffix":""}],"container-title":"Advanced Drug Delivery Reviews","id":"ITEM-1","issue":"8","issued":{"date-parts":[["2011"]]},"page":"659-670","title":"Prodrugs for improving tumor targetability and efficiency","type":"article-journal","volume":"63"},"uris":["http://www.mendeley.com/documents/?uuid=105605fd-8d3a-4730-bd58-e9bc981685c4"]}],"mendeley":{"formattedCitation":"[38]","plainTextFormattedCitation":"[38]","previouslyFormattedCitation":"[37]"},"properties":{"noteIndex":0},"schema":"https://github.com/citation-style-language/schema/raw/master/csl-citation.json"}</w:instrText>
      </w:r>
      <w:r w:rsidR="005617D9">
        <w:fldChar w:fldCharType="separate"/>
      </w:r>
      <w:r w:rsidR="001A6358" w:rsidRPr="001A6358">
        <w:rPr>
          <w:noProof/>
        </w:rPr>
        <w:t>[38]</w:t>
      </w:r>
      <w:r w:rsidR="005617D9">
        <w:fldChar w:fldCharType="end"/>
      </w:r>
      <w:r w:rsidR="009322A8">
        <w:t xml:space="preserve"> </w:t>
      </w:r>
      <w:r w:rsidR="00EE2B13" w:rsidRPr="00EE2B13">
        <w:t xml:space="preserve">It was shown that large concentrations of activating enzymes in human tumours are unusual, and that these enzymes are not linked to any specific </w:t>
      </w:r>
      <w:r w:rsidR="00EE2B13" w:rsidRPr="00EE2B13">
        <w:lastRenderedPageBreak/>
        <w:t xml:space="preserve">tumour type. </w:t>
      </w:r>
      <w:r w:rsidR="005617D9">
        <w:fldChar w:fldCharType="begin" w:fldLock="1"/>
      </w:r>
      <w:r w:rsidR="001A6358">
        <w:instrText>ADDIN CSL_CITATION {"citationItems":[{"id":"ITEM-1","itemData":{"DOI":"10.1016/j.addr.2011.02.002","ISSN":"0169409X","PMID":"21333700","abstract":"As the mainstay in the treatment of various cancers for several decades, chemotherapy is successful but still faces challenges including non-selectivity and high toxicity. Improving the selectivity is therefore a critical step to improve the therapeutic efficacy of chemotherapy. Prodrug is one of the most promising approaches to increase the selectivity and efficacy of a chemotherapy drug. The classical prodrug approach is to improve the pharmaceutical properties (solubility, stability, permeability, irritation, distribution, etc.) via a simple chemical modification. This review will focus on various targeted prodrug designs that have been developed to increase the selectivity of chemotherapy drugs. Various tumor-targeting ligands, transporter-associated ligands, and polymers can be incorporated in a prodrug to enhance the tumor uptake. Prodrugs can also be activated by enzymes that are specifically expressed at a higher level in tumors, leading to a selective anti-tumor effect. This can be achieved by conjugating the enzyme to a tumor-specific antibody, or delivering a vector expressing the enzyme into tumor cells. © 2011 Elsevier B.V.","author":[{"dropping-particle":"","family":"Mahato","given":"Rubi","non-dropping-particle":"","parse-names":false,"suffix":""},{"dropping-particle":"","family":"Tai","given":"Wanyi","non-dropping-particle":"","parse-names":false,"suffix":""},{"dropping-particle":"","family":"Cheng","given":"Kun","non-dropping-particle":"","parse-names":false,"suffix":""}],"container-title":"Advanced Drug Delivery Reviews","id":"ITEM-1","issue":"8","issued":{"date-parts":[["2011"]]},"page":"659-670","title":"Prodrugs for improving tumor targetability and efficiency","type":"article-journal","volume":"63"},"uris":["http://www.mendeley.com/documents/?uuid=105605fd-8d3a-4730-bd58-e9bc981685c4"]}],"mendeley":{"formattedCitation":"[38]","plainTextFormattedCitation":"[38]","previouslyFormattedCitation":"[37]"},"properties":{"noteIndex":0},"schema":"https://github.com/citation-style-language/schema/raw/master/csl-citation.json"}</w:instrText>
      </w:r>
      <w:r w:rsidR="005617D9">
        <w:fldChar w:fldCharType="separate"/>
      </w:r>
      <w:r w:rsidR="001A6358" w:rsidRPr="001A6358">
        <w:rPr>
          <w:noProof/>
        </w:rPr>
        <w:t>[38]</w:t>
      </w:r>
      <w:r w:rsidR="005617D9">
        <w:fldChar w:fldCharType="end"/>
      </w:r>
      <w:r w:rsidR="00EF5B1C">
        <w:t xml:space="preserve"> </w:t>
      </w:r>
      <w:r w:rsidR="001F004B" w:rsidRPr="001F004B">
        <w:t xml:space="preserve">Therefore, adopting the enzyme focused strategy to treat human tumors presented significant challenges. </w:t>
      </w:r>
      <w:r w:rsidR="00CF4B39" w:rsidRPr="00CF4B39">
        <w:t xml:space="preserve">Prodrug activation enzymes need to be localised in the particular cancer cells before they can be administered, hence new methods have been proposed as a viable treatment. The terms for these approaches are: </w:t>
      </w:r>
    </w:p>
    <w:p w14:paraId="41EF1CEF" w14:textId="2F1080FE" w:rsidR="001F004B" w:rsidRDefault="001F004B" w:rsidP="00005D7D">
      <w:pPr>
        <w:spacing w:line="360" w:lineRule="auto"/>
      </w:pPr>
      <w:r>
        <w:t xml:space="preserve">ADEPT (Antibody Directed Enzyme Prodrug Therapy) </w:t>
      </w:r>
    </w:p>
    <w:p w14:paraId="0D35CA27" w14:textId="77777777" w:rsidR="001F004B" w:rsidRPr="00BC684C" w:rsidRDefault="001F004B" w:rsidP="00005D7D">
      <w:pPr>
        <w:spacing w:line="360" w:lineRule="auto"/>
      </w:pPr>
      <w:r>
        <w:t>GDEPT (Gene Directed Enzyme Prodrug Therapy).</w:t>
      </w:r>
    </w:p>
    <w:p w14:paraId="2E3E0A33" w14:textId="77777777" w:rsidR="00560636" w:rsidRPr="00560636" w:rsidRDefault="000A3F00" w:rsidP="00560636">
      <w:pPr>
        <w:pStyle w:val="ListParagraph"/>
        <w:numPr>
          <w:ilvl w:val="0"/>
          <w:numId w:val="12"/>
        </w:numPr>
        <w:tabs>
          <w:tab w:val="left" w:pos="2220"/>
        </w:tabs>
        <w:spacing w:line="360" w:lineRule="auto"/>
        <w:rPr>
          <w:b/>
        </w:rPr>
      </w:pPr>
      <w:r w:rsidRPr="00560636">
        <w:rPr>
          <w:b/>
        </w:rPr>
        <w:t xml:space="preserve">Prodrug Site-Specificity: The ADEPT and GDEPT Concept in General </w:t>
      </w:r>
    </w:p>
    <w:p w14:paraId="7F7C869B" w14:textId="1AB0411B" w:rsidR="00F46442" w:rsidRDefault="00F46442" w:rsidP="00F46442">
      <w:pPr>
        <w:tabs>
          <w:tab w:val="left" w:pos="2220"/>
        </w:tabs>
        <w:spacing w:line="360" w:lineRule="auto"/>
      </w:pPr>
      <w:r w:rsidRPr="00F46442">
        <w:t xml:space="preserve">By creating a compound with a monoclonal antibody that selectively targets tumour cells, </w:t>
      </w:r>
      <w:r w:rsidR="00285307" w:rsidRPr="00285307">
        <w:t xml:space="preserve">The ADEPT method involves bringing the drug-activating enzyme to the surface of cancer cells. </w:t>
      </w:r>
      <w:r w:rsidRPr="00F46442">
        <w:t xml:space="preserve">Systemic administration of the non-toxic prodrug leads to cytotoxic effects on tumour cells due to </w:t>
      </w:r>
      <w:r w:rsidR="00513498" w:rsidRPr="00513498">
        <w:t>the drug-activating enzyme is already in place, so it may turn the medicine into a poison</w:t>
      </w:r>
      <w:r w:rsidRPr="00F46442">
        <w:t xml:space="preserve">. </w:t>
      </w:r>
      <w:r w:rsidR="005617D9">
        <w:fldChar w:fldCharType="begin" w:fldLock="1"/>
      </w:r>
      <w:r w:rsidR="001A6358">
        <w:instrText>ADDIN CSL_CITATION {"citationItems":[{"id":"ITEM-1","itemData":{"ISSN":"0250-7005","abstract":"Over the last decade several attempts have been made to generate an active drug from an inactive precursor, by the action of an enzyme present predominantly at the tumour site. The aim was to develop a new, less cytotoxic strategy for the treatment of cancer, by exploiting properties distinguishing neoplastic and normal cells. In fact, monoclonal antibodies were used to carry enzymes at the tumour sites, in a two-step approach, known as Antibody Directed Enzyme Prodrug Therapy (ADEPT). We reviewed the experimental and clinical considerations of this strategy and we presented its problems and limitations. We concluded that ADEPT holds the potential of an effective and relatively non-toxic treatment of cancer and it is expected that the research which is in progress will make ADEPT an important element of the anticancer armament.","author":[{"dropping-particle":"","family":"Syrigos","given":"K N","non-dropping-particle":"","parse-names":false,"suffix":""},{"dropping-particle":"","family":"Epenetos","given":"A A","non-dropping-particle":"","parse-names":false,"suffix":""}],"container-title":"Anticancer research","id":"ITEM-1","issue":"1A","issued":{"date-parts":[["1999"]]},"language":"eng","page":"605-613","publisher-place":"Department of Clinical Oncology, Imperial College of Science, Technology and Medicine, London, U.K.","title":"Antibody directed enzyme prodrug therapy (ADEPT): a review of the experimental and clinical considerations","type":"article-journal","volume":"19"},"uris":["http://www.mendeley.com/documents/?uuid=28ff9956-1085-4873-ab8d-2a36d2a5b6b7"]}],"mendeley":{"formattedCitation":"[49]","plainTextFormattedCitation":"[49]","previouslyFormattedCitation":"[48]"},"properties":{"noteIndex":0},"schema":"https://github.com/citation-style-language/schema/raw/master/csl-citation.json"}</w:instrText>
      </w:r>
      <w:r w:rsidR="005617D9">
        <w:fldChar w:fldCharType="separate"/>
      </w:r>
      <w:r w:rsidR="001A6358" w:rsidRPr="001A6358">
        <w:rPr>
          <w:noProof/>
        </w:rPr>
        <w:t>[49]</w:t>
      </w:r>
      <w:r w:rsidR="005617D9">
        <w:fldChar w:fldCharType="end"/>
      </w:r>
      <w:r w:rsidR="00646CDD">
        <w:t xml:space="preserve">, </w:t>
      </w:r>
      <w:r w:rsidR="005617D9">
        <w:fldChar w:fldCharType="begin" w:fldLock="1"/>
      </w:r>
      <w:r w:rsidR="001A6358">
        <w:instrText>ADDIN CSL_CITATION {"citationItems":[{"id":"ITEM-1","itemData":{"author":[{"dropping-particle":"","family":"Xu","given":"Guang","non-dropping-particle":"","parse-names":false,"suffix":""},{"dropping-particle":"","family":"Mcleod","given":"Howard L","non-dropping-particle":"","parse-names":false,"suffix":""}],"id":"ITEM-1","issue":"November","issued":{"date-parts":[["2001"]]},"page":"3314-3324","title":"Strategies for Enzyme / Prodrug Cancer Therapy 1","type":"article-journal","volume":"7"},"uris":["http://www.mendeley.com/documents/?uuid=7b1528ee-6acd-4bfb-9b91-2253be1918ef"]}],"mendeley":{"formattedCitation":"[50]","plainTextFormattedCitation":"[50]","previouslyFormattedCitation":"[49]"},"properties":{"noteIndex":0},"schema":"https://github.com/citation-style-language/schema/raw/master/csl-citation.json"}</w:instrText>
      </w:r>
      <w:r w:rsidR="005617D9">
        <w:fldChar w:fldCharType="separate"/>
      </w:r>
      <w:r w:rsidR="001A6358" w:rsidRPr="001A6358">
        <w:rPr>
          <w:noProof/>
        </w:rPr>
        <w:t>[50]</w:t>
      </w:r>
      <w:r w:rsidR="005617D9">
        <w:fldChar w:fldCharType="end"/>
      </w:r>
      <w:r w:rsidR="00410CA9">
        <w:t xml:space="preserve"> </w:t>
      </w:r>
      <w:r w:rsidRPr="00F46442">
        <w:t xml:space="preserve">Combinations of antibodies, enzymes, and prodrug have proven that ADEPT is effective against several types of human tumour xenografts. </w:t>
      </w:r>
      <w:r w:rsidR="005617D9">
        <w:fldChar w:fldCharType="begin" w:fldLock="1"/>
      </w:r>
      <w:r w:rsidR="001A6358">
        <w:instrText>ADDIN CSL_CITATION {"citationItems":[{"id":"ITEM-1","itemData":{"DOI":"10.1208/ps020106","ISSN":"15221059","PMID":"11741222","abstract":"Classical prodrug design often represents a nonspecific chemical approach to mask undesirable drug properties such as limited bioavailability, lack of site specificity, and chemical instability. On the other hand, targeted prodrug design represents a new strategy for directed and efficient drug delivery. Particularly, targeting the prodrugs to a specific enzyme or a specific membrane transporter, or both, has potential as a selective drug delivery system in cancer chemotherapy or as an efficient oral drug delivery system. Site-selective targeting with prodrugs can be further enhanced by the simultaneous use of gene delivery to express the requisite enzymes or transporters. This review highlights evolving strategies in targeted prodrug design, including antibody-directed enzyme prodrug therapy, gene-directed enzyme prodrug therapy, and peptide transporter-associated prodrug therapy.","author":[{"dropping-particle":"","family":"Han","given":"Hyo Kyung","non-dropping-particle":"","parse-names":false,"suffix":""},{"dropping-particle":"","family":"Amidon","given":"Gordon L.","non-dropping-particle":"","parse-names":false,"suffix":""}],"container-title":"AAPS PharmSci","id":"ITEM-1","issue":"1","issued":{"date-parts":[["2000"]]},"page":"48-58","title":"Targeted prodrug design to optimize drug delivery","type":"article-journal","volume":"2"},"uris":["http://www.mendeley.com/documents/?uuid=14098982-0b8e-430f-9698-52b9c37bbc1d"]}],"mendeley":{"formattedCitation":"[51]","plainTextFormattedCitation":"[51]","previouslyFormattedCitation":"[50]"},"properties":{"noteIndex":0},"schema":"https://github.com/citation-style-language/schema/raw/master/csl-citation.json"}</w:instrText>
      </w:r>
      <w:r w:rsidR="005617D9">
        <w:fldChar w:fldCharType="separate"/>
      </w:r>
      <w:r w:rsidR="001A6358" w:rsidRPr="001A6358">
        <w:rPr>
          <w:noProof/>
        </w:rPr>
        <w:t>[51]</w:t>
      </w:r>
      <w:r w:rsidR="005617D9">
        <w:fldChar w:fldCharType="end"/>
      </w:r>
      <w:r w:rsidR="002904BB">
        <w:t xml:space="preserve"> </w:t>
      </w:r>
      <w:r w:rsidR="00560636" w:rsidRPr="00560636">
        <w:t xml:space="preserve">Rather of giving the patient the active medicine directly, </w:t>
      </w:r>
      <w:r w:rsidR="009338FC" w:rsidRPr="009338FC">
        <w:t xml:space="preserve">By combining a prodrug (an inactive form of the active drug) with a gene that is decoded in the target cells, the GDEPT technique may produce the enzyme directly. </w:t>
      </w:r>
      <w:r w:rsidR="00560636" w:rsidRPr="00560636">
        <w:t>An enzyme gene is delivered to cancer cells and healthy cells through vectors, where it activates the prodrug.</w:t>
      </w:r>
      <w:r w:rsidR="00C64309" w:rsidRPr="00C64309">
        <w:t xml:space="preserve"> </w:t>
      </w:r>
      <w:r>
        <w:t>In GDEPT, vector delivery presents the greatest difficulty. The search-and-destroy strategy and the induction strategy have been proposed as the two basic sorts of tactics.</w:t>
      </w:r>
    </w:p>
    <w:p w14:paraId="6744EB0E" w14:textId="77777777" w:rsidR="00F46442" w:rsidRDefault="00F46442" w:rsidP="00F46442">
      <w:pPr>
        <w:tabs>
          <w:tab w:val="left" w:pos="2220"/>
        </w:tabs>
        <w:spacing w:line="360" w:lineRule="auto"/>
      </w:pPr>
      <w:r>
        <w:t>Vectors are supplied locally in the induction method to boost the immune system and kill tumour cells, while in the hunt &amp; destroy technique they specifically target tumour cells for elimination. When it comes to the success of this approach, the choice of vectors for gene delivery is critical. Vectors may be created in a lab, but those produced from microorganisms, such as viruses and bacteria, are more frequent. In both ADEPT and GDEPT, enzyme choice is a primary source of anxiety. Here are some things to keep in mind when picking an enzyme for ADEPT or GDEPT:</w:t>
      </w:r>
    </w:p>
    <w:p w14:paraId="59FA76F0" w14:textId="222B5238" w:rsidR="00F46442" w:rsidRDefault="00ED655C" w:rsidP="00F46442">
      <w:pPr>
        <w:pStyle w:val="ListParagraph"/>
        <w:numPr>
          <w:ilvl w:val="0"/>
          <w:numId w:val="8"/>
        </w:numPr>
        <w:tabs>
          <w:tab w:val="left" w:pos="2220"/>
        </w:tabs>
        <w:spacing w:line="360" w:lineRule="auto"/>
      </w:pPr>
      <w:r w:rsidRPr="00ED655C">
        <w:t>The enzyme would be simple to deal with because of its monomeric structure and low molecular weight, and protein modification would be theoretically possible</w:t>
      </w:r>
      <w:r w:rsidR="00F46442">
        <w:t>.</w:t>
      </w:r>
    </w:p>
    <w:p w14:paraId="78B1C2E1" w14:textId="77777777" w:rsidR="00F46442" w:rsidRDefault="00F46442" w:rsidP="00F46442">
      <w:pPr>
        <w:pStyle w:val="ListParagraph"/>
        <w:numPr>
          <w:ilvl w:val="0"/>
          <w:numId w:val="8"/>
        </w:numPr>
        <w:tabs>
          <w:tab w:val="left" w:pos="2220"/>
        </w:tabs>
        <w:spacing w:line="360" w:lineRule="auto"/>
      </w:pPr>
      <w:r>
        <w:lastRenderedPageBreak/>
        <w:t xml:space="preserve">Non-human or non-mammalian enzymes are the favoured targets, and for good reason. </w:t>
      </w:r>
    </w:p>
    <w:p w14:paraId="568E2EF1" w14:textId="77777777" w:rsidR="001F004B" w:rsidRDefault="00F46442" w:rsidP="00F46442">
      <w:pPr>
        <w:pStyle w:val="ListParagraph"/>
        <w:numPr>
          <w:ilvl w:val="0"/>
          <w:numId w:val="8"/>
        </w:numPr>
        <w:tabs>
          <w:tab w:val="left" w:pos="2220"/>
        </w:tabs>
        <w:spacing w:line="360" w:lineRule="auto"/>
      </w:pPr>
      <w:r>
        <w:t>When it comes to specificity, enzymes of a microbial origin are crucial.</w:t>
      </w:r>
      <w:r w:rsidR="001B7727" w:rsidRPr="006506F4">
        <w:t xml:space="preserve"> </w:t>
      </w:r>
      <w:r w:rsidR="005617D9">
        <w:fldChar w:fldCharType="begin" w:fldLock="1"/>
      </w:r>
      <w:r w:rsidR="001A6358">
        <w:instrText>ADDIN CSL_CITATION {"citationItems":[{"id":"ITEM-1","itemData":{"DOI":"10.1038/bjc.1987.237","ISSN":"15321827","PMID":"3426915","author":[{"dropping-particle":"","family":"Bagshawe","given":"K. D.","non-dropping-particle":"","parse-names":false,"suffix":""}],"container-title":"British Journal of Cancer","id":"ITEM-1","issue":"5","issued":{"date-parts":[["1987"]]},"page":"531-532","title":"Antibody directed enzymes revive anti-cancer prodrugs concept","type":"article-journal","volume":"56"},"uris":["http://www.mendeley.com/documents/?uuid=2c9102a5-4197-4832-89cd-9e69401614c6"]}],"mendeley":{"formattedCitation":"[52]","plainTextFormattedCitation":"[52]","previouslyFormattedCitation":"[51]"},"properties":{"noteIndex":0},"schema":"https://github.com/citation-style-language/schema/raw/master/csl-citation.json"}</w:instrText>
      </w:r>
      <w:r w:rsidR="005617D9">
        <w:fldChar w:fldCharType="separate"/>
      </w:r>
      <w:r w:rsidR="001A6358" w:rsidRPr="001A6358">
        <w:rPr>
          <w:noProof/>
        </w:rPr>
        <w:t>[52]</w:t>
      </w:r>
      <w:r w:rsidR="005617D9">
        <w:fldChar w:fldCharType="end"/>
      </w:r>
      <w:r w:rsidR="00EF0016">
        <w:t xml:space="preserve"> </w:t>
      </w:r>
      <w:r w:rsidR="001F004B" w:rsidRPr="006506F4">
        <w:t>(Table 2)</w:t>
      </w:r>
    </w:p>
    <w:p w14:paraId="27ABC179" w14:textId="77777777" w:rsidR="00005D7D" w:rsidRPr="00EE5C3E" w:rsidRDefault="00EE5C3E" w:rsidP="00EE5C3E">
      <w:pPr>
        <w:pStyle w:val="Caption"/>
        <w:jc w:val="center"/>
        <w:rPr>
          <w:rFonts w:ascii="Times New Roman" w:hAnsi="Times New Roman" w:cs="Times New Roman"/>
          <w:sz w:val="24"/>
          <w:szCs w:val="24"/>
        </w:rPr>
      </w:pPr>
      <w:r w:rsidRPr="00EE5C3E">
        <w:rPr>
          <w:rFonts w:ascii="Times New Roman" w:hAnsi="Times New Roman" w:cs="Times New Roman"/>
          <w:sz w:val="24"/>
          <w:szCs w:val="24"/>
        </w:rPr>
        <w:t xml:space="preserve">Table </w:t>
      </w:r>
      <w:r w:rsidR="005617D9" w:rsidRPr="00EE5C3E">
        <w:rPr>
          <w:rFonts w:ascii="Times New Roman" w:hAnsi="Times New Roman" w:cs="Times New Roman"/>
          <w:sz w:val="24"/>
          <w:szCs w:val="24"/>
        </w:rPr>
        <w:fldChar w:fldCharType="begin"/>
      </w:r>
      <w:r w:rsidRPr="00EE5C3E">
        <w:rPr>
          <w:rFonts w:ascii="Times New Roman" w:hAnsi="Times New Roman" w:cs="Times New Roman"/>
          <w:sz w:val="24"/>
          <w:szCs w:val="24"/>
        </w:rPr>
        <w:instrText xml:space="preserve"> SEQ Table \* ARABIC </w:instrText>
      </w:r>
      <w:r w:rsidR="005617D9" w:rsidRPr="00EE5C3E">
        <w:rPr>
          <w:rFonts w:ascii="Times New Roman" w:hAnsi="Times New Roman" w:cs="Times New Roman"/>
          <w:sz w:val="24"/>
          <w:szCs w:val="24"/>
        </w:rPr>
        <w:fldChar w:fldCharType="separate"/>
      </w:r>
      <w:r w:rsidRPr="00EE5C3E">
        <w:rPr>
          <w:rFonts w:ascii="Times New Roman" w:hAnsi="Times New Roman" w:cs="Times New Roman"/>
          <w:noProof/>
          <w:sz w:val="24"/>
          <w:szCs w:val="24"/>
        </w:rPr>
        <w:t>2</w:t>
      </w:r>
      <w:r w:rsidR="005617D9" w:rsidRPr="00EE5C3E">
        <w:rPr>
          <w:rFonts w:ascii="Times New Roman" w:hAnsi="Times New Roman" w:cs="Times New Roman"/>
          <w:sz w:val="24"/>
          <w:szCs w:val="24"/>
        </w:rPr>
        <w:fldChar w:fldCharType="end"/>
      </w:r>
      <w:r w:rsidR="00005D7D" w:rsidRPr="00EE5C3E">
        <w:rPr>
          <w:rFonts w:ascii="Times New Roman" w:hAnsi="Times New Roman" w:cs="Times New Roman"/>
          <w:sz w:val="24"/>
          <w:szCs w:val="24"/>
        </w:rPr>
        <w:t>: Endogenous Enzymes Responsible For Prodrug Activation</w:t>
      </w:r>
    </w:p>
    <w:tbl>
      <w:tblPr>
        <w:tblStyle w:val="TableGrid"/>
        <w:tblW w:w="0" w:type="auto"/>
        <w:tblLook w:val="04A0" w:firstRow="1" w:lastRow="0" w:firstColumn="1" w:lastColumn="0" w:noHBand="0" w:noVBand="1"/>
      </w:tblPr>
      <w:tblGrid>
        <w:gridCol w:w="1827"/>
        <w:gridCol w:w="1807"/>
        <w:gridCol w:w="1788"/>
        <w:gridCol w:w="1805"/>
        <w:gridCol w:w="2016"/>
      </w:tblGrid>
      <w:tr w:rsidR="006C27EA" w:rsidRPr="00D35AD9" w14:paraId="53DCC6BB" w14:textId="77777777" w:rsidTr="006C27EA">
        <w:tc>
          <w:tcPr>
            <w:tcW w:w="1848" w:type="dxa"/>
          </w:tcPr>
          <w:p w14:paraId="032A0458" w14:textId="77777777" w:rsidR="006C27EA" w:rsidRPr="00D35AD9" w:rsidRDefault="006C27EA" w:rsidP="00D35AD9">
            <w:pPr>
              <w:pStyle w:val="TableParagraph"/>
              <w:spacing w:line="360" w:lineRule="auto"/>
              <w:jc w:val="center"/>
              <w:rPr>
                <w:b/>
                <w:sz w:val="24"/>
                <w:szCs w:val="24"/>
              </w:rPr>
            </w:pPr>
            <w:r w:rsidRPr="00D35AD9">
              <w:rPr>
                <w:b/>
                <w:sz w:val="24"/>
                <w:szCs w:val="24"/>
              </w:rPr>
              <w:t>CLASS</w:t>
            </w:r>
          </w:p>
        </w:tc>
        <w:tc>
          <w:tcPr>
            <w:tcW w:w="1848" w:type="dxa"/>
          </w:tcPr>
          <w:p w14:paraId="7DF55F15" w14:textId="77777777" w:rsidR="006C27EA" w:rsidRPr="00D35AD9" w:rsidRDefault="006C27EA" w:rsidP="00D35AD9">
            <w:pPr>
              <w:pStyle w:val="TableParagraph"/>
              <w:spacing w:line="360" w:lineRule="auto"/>
              <w:jc w:val="center"/>
              <w:rPr>
                <w:b/>
                <w:sz w:val="24"/>
                <w:szCs w:val="24"/>
              </w:rPr>
            </w:pPr>
            <w:r w:rsidRPr="00D35AD9">
              <w:rPr>
                <w:b/>
                <w:sz w:val="24"/>
                <w:szCs w:val="24"/>
              </w:rPr>
              <w:t>ENZYME</w:t>
            </w:r>
          </w:p>
        </w:tc>
        <w:tc>
          <w:tcPr>
            <w:tcW w:w="1849" w:type="dxa"/>
          </w:tcPr>
          <w:p w14:paraId="494DB4E6" w14:textId="77777777" w:rsidR="006C27EA" w:rsidRPr="00D35AD9" w:rsidRDefault="006C27EA" w:rsidP="00D35AD9">
            <w:pPr>
              <w:pStyle w:val="TableParagraph"/>
              <w:spacing w:line="360" w:lineRule="auto"/>
              <w:jc w:val="center"/>
              <w:rPr>
                <w:b/>
                <w:sz w:val="24"/>
                <w:szCs w:val="24"/>
              </w:rPr>
            </w:pPr>
            <w:r w:rsidRPr="00D35AD9">
              <w:rPr>
                <w:b/>
                <w:sz w:val="24"/>
                <w:szCs w:val="24"/>
              </w:rPr>
              <w:t>DRUG</w:t>
            </w:r>
          </w:p>
        </w:tc>
        <w:tc>
          <w:tcPr>
            <w:tcW w:w="1849" w:type="dxa"/>
          </w:tcPr>
          <w:p w14:paraId="4521A74F" w14:textId="77777777" w:rsidR="006C27EA" w:rsidRPr="00D35AD9" w:rsidRDefault="006C27EA" w:rsidP="00D35AD9">
            <w:pPr>
              <w:pStyle w:val="TableParagraph"/>
              <w:spacing w:line="360" w:lineRule="auto"/>
              <w:jc w:val="center"/>
              <w:rPr>
                <w:b/>
                <w:sz w:val="24"/>
                <w:szCs w:val="24"/>
              </w:rPr>
            </w:pPr>
            <w:r w:rsidRPr="00D35AD9">
              <w:rPr>
                <w:b/>
                <w:sz w:val="24"/>
                <w:szCs w:val="24"/>
              </w:rPr>
              <w:t>PRODRUG</w:t>
            </w:r>
          </w:p>
        </w:tc>
        <w:tc>
          <w:tcPr>
            <w:tcW w:w="1849" w:type="dxa"/>
          </w:tcPr>
          <w:p w14:paraId="371C4DAD" w14:textId="77777777" w:rsidR="006C27EA" w:rsidRPr="00D35AD9" w:rsidRDefault="006C27EA" w:rsidP="00D35AD9">
            <w:pPr>
              <w:pStyle w:val="TableParagraph"/>
              <w:spacing w:line="360" w:lineRule="auto"/>
              <w:jc w:val="center"/>
              <w:rPr>
                <w:b/>
                <w:sz w:val="24"/>
                <w:szCs w:val="24"/>
              </w:rPr>
            </w:pPr>
            <w:r w:rsidRPr="00D35AD9">
              <w:rPr>
                <w:b/>
                <w:sz w:val="24"/>
                <w:szCs w:val="24"/>
              </w:rPr>
              <w:t>P’COLOGY</w:t>
            </w:r>
          </w:p>
        </w:tc>
      </w:tr>
      <w:tr w:rsidR="006C27EA" w:rsidRPr="00D35AD9" w14:paraId="402F4EF4" w14:textId="77777777" w:rsidTr="006C27EA">
        <w:tc>
          <w:tcPr>
            <w:tcW w:w="1848" w:type="dxa"/>
          </w:tcPr>
          <w:p w14:paraId="57C0C874" w14:textId="77777777" w:rsidR="006C27EA" w:rsidRPr="00D35AD9" w:rsidRDefault="006C27EA" w:rsidP="006C27EA">
            <w:pPr>
              <w:pStyle w:val="TableParagraph"/>
              <w:spacing w:line="360" w:lineRule="auto"/>
              <w:rPr>
                <w:sz w:val="24"/>
                <w:szCs w:val="24"/>
              </w:rPr>
            </w:pPr>
            <w:r w:rsidRPr="00D35AD9">
              <w:rPr>
                <w:sz w:val="24"/>
                <w:szCs w:val="24"/>
              </w:rPr>
              <w:t>Oxidoreductase</w:t>
            </w:r>
          </w:p>
        </w:tc>
        <w:tc>
          <w:tcPr>
            <w:tcW w:w="1848" w:type="dxa"/>
          </w:tcPr>
          <w:p w14:paraId="19D6DFC9" w14:textId="77777777" w:rsidR="006C27EA" w:rsidRPr="00D35AD9" w:rsidRDefault="006C27EA" w:rsidP="006C27EA">
            <w:pPr>
              <w:pStyle w:val="TableParagraph"/>
              <w:spacing w:line="360" w:lineRule="auto"/>
              <w:jc w:val="left"/>
              <w:rPr>
                <w:sz w:val="24"/>
                <w:szCs w:val="24"/>
              </w:rPr>
            </w:pPr>
            <w:r w:rsidRPr="00D35AD9">
              <w:rPr>
                <w:sz w:val="24"/>
                <w:szCs w:val="24"/>
              </w:rPr>
              <w:t>Aldehyde Oxidase</w:t>
            </w:r>
          </w:p>
        </w:tc>
        <w:tc>
          <w:tcPr>
            <w:tcW w:w="1849" w:type="dxa"/>
          </w:tcPr>
          <w:p w14:paraId="6353ED19" w14:textId="77777777" w:rsidR="006C27EA" w:rsidRPr="00D35AD9" w:rsidRDefault="006C27EA" w:rsidP="006C27EA">
            <w:pPr>
              <w:pStyle w:val="TableParagraph"/>
              <w:spacing w:line="360" w:lineRule="auto"/>
              <w:rPr>
                <w:sz w:val="24"/>
                <w:szCs w:val="24"/>
              </w:rPr>
            </w:pPr>
            <w:r w:rsidRPr="00D35AD9">
              <w:rPr>
                <w:sz w:val="24"/>
                <w:szCs w:val="24"/>
              </w:rPr>
              <w:t>5-ehynyluracil</w:t>
            </w:r>
          </w:p>
        </w:tc>
        <w:tc>
          <w:tcPr>
            <w:tcW w:w="1849" w:type="dxa"/>
          </w:tcPr>
          <w:p w14:paraId="25BBB213" w14:textId="77777777" w:rsidR="006C27EA" w:rsidRPr="00D35AD9" w:rsidRDefault="006C27EA" w:rsidP="006C27EA">
            <w:pPr>
              <w:pStyle w:val="TableParagraph"/>
              <w:spacing w:line="360" w:lineRule="auto"/>
              <w:rPr>
                <w:sz w:val="24"/>
                <w:szCs w:val="24"/>
              </w:rPr>
            </w:pPr>
            <w:r w:rsidRPr="00D35AD9">
              <w:rPr>
                <w:sz w:val="24"/>
                <w:szCs w:val="24"/>
              </w:rPr>
              <w:t>5-ethynyl2(1H)- pyrimidinone</w:t>
            </w:r>
          </w:p>
        </w:tc>
        <w:tc>
          <w:tcPr>
            <w:tcW w:w="1849" w:type="dxa"/>
          </w:tcPr>
          <w:p w14:paraId="2CAB3C26" w14:textId="77777777" w:rsidR="006C27EA" w:rsidRPr="00D35AD9" w:rsidRDefault="006C27EA" w:rsidP="006C27EA">
            <w:pPr>
              <w:pStyle w:val="TableParagraph"/>
              <w:spacing w:line="360" w:lineRule="auto"/>
              <w:rPr>
                <w:sz w:val="24"/>
                <w:szCs w:val="24"/>
              </w:rPr>
            </w:pPr>
            <w:r w:rsidRPr="00D35AD9">
              <w:rPr>
                <w:sz w:val="24"/>
                <w:szCs w:val="24"/>
              </w:rPr>
              <w:t>Mechanism-based inhibitor of dihydropyrimidine dehydrogenase (DPD)</w:t>
            </w:r>
          </w:p>
        </w:tc>
      </w:tr>
      <w:tr w:rsidR="006C27EA" w:rsidRPr="00D35AD9" w14:paraId="2A46E5A5" w14:textId="77777777" w:rsidTr="006C27EA">
        <w:tc>
          <w:tcPr>
            <w:tcW w:w="1848" w:type="dxa"/>
          </w:tcPr>
          <w:p w14:paraId="71F4B59D" w14:textId="77777777" w:rsidR="006C27EA" w:rsidRPr="00D35AD9" w:rsidRDefault="006C27EA" w:rsidP="006C27EA">
            <w:pPr>
              <w:pStyle w:val="TableParagraph"/>
              <w:spacing w:line="360" w:lineRule="auto"/>
              <w:rPr>
                <w:sz w:val="24"/>
                <w:szCs w:val="24"/>
              </w:rPr>
            </w:pPr>
          </w:p>
        </w:tc>
        <w:tc>
          <w:tcPr>
            <w:tcW w:w="1848" w:type="dxa"/>
          </w:tcPr>
          <w:p w14:paraId="53E8331B" w14:textId="77777777" w:rsidR="006C27EA" w:rsidRPr="00D35AD9" w:rsidRDefault="006C27EA" w:rsidP="006C27EA">
            <w:pPr>
              <w:pStyle w:val="TableParagraph"/>
              <w:spacing w:line="360" w:lineRule="auto"/>
              <w:jc w:val="left"/>
              <w:rPr>
                <w:sz w:val="24"/>
                <w:szCs w:val="24"/>
              </w:rPr>
            </w:pPr>
            <w:r w:rsidRPr="00D35AD9">
              <w:rPr>
                <w:sz w:val="24"/>
                <w:szCs w:val="24"/>
              </w:rPr>
              <w:t>Amino acid oxidase</w:t>
            </w:r>
          </w:p>
        </w:tc>
        <w:tc>
          <w:tcPr>
            <w:tcW w:w="1849" w:type="dxa"/>
          </w:tcPr>
          <w:p w14:paraId="0DFD8261" w14:textId="77777777" w:rsidR="006C27EA" w:rsidRPr="00D35AD9" w:rsidRDefault="006C27EA" w:rsidP="006C27EA">
            <w:pPr>
              <w:pStyle w:val="TableParagraph"/>
              <w:spacing w:line="360" w:lineRule="auto"/>
              <w:rPr>
                <w:sz w:val="24"/>
                <w:szCs w:val="24"/>
              </w:rPr>
            </w:pPr>
            <w:r w:rsidRPr="00D35AD9">
              <w:rPr>
                <w:sz w:val="24"/>
                <w:szCs w:val="24"/>
              </w:rPr>
              <w:t>Hydrogen peroxide</w:t>
            </w:r>
          </w:p>
        </w:tc>
        <w:tc>
          <w:tcPr>
            <w:tcW w:w="1849" w:type="dxa"/>
          </w:tcPr>
          <w:p w14:paraId="517F8879" w14:textId="77777777" w:rsidR="006C27EA" w:rsidRPr="00D35AD9" w:rsidRDefault="006C27EA" w:rsidP="006C27EA">
            <w:pPr>
              <w:pStyle w:val="TableParagraph"/>
              <w:spacing w:line="360" w:lineRule="auto"/>
              <w:rPr>
                <w:sz w:val="24"/>
                <w:szCs w:val="24"/>
              </w:rPr>
            </w:pPr>
            <w:r w:rsidRPr="00D35AD9">
              <w:rPr>
                <w:sz w:val="24"/>
                <w:szCs w:val="24"/>
              </w:rPr>
              <w:t>d-alanine</w:t>
            </w:r>
          </w:p>
        </w:tc>
        <w:tc>
          <w:tcPr>
            <w:tcW w:w="1849" w:type="dxa"/>
          </w:tcPr>
          <w:p w14:paraId="24A35D81" w14:textId="77777777" w:rsidR="006C27EA" w:rsidRPr="00D35AD9" w:rsidRDefault="006C27EA" w:rsidP="006C27EA">
            <w:pPr>
              <w:pStyle w:val="TableParagraph"/>
              <w:spacing w:line="360" w:lineRule="auto"/>
              <w:rPr>
                <w:sz w:val="24"/>
                <w:szCs w:val="24"/>
              </w:rPr>
            </w:pPr>
            <w:r w:rsidRPr="00D35AD9">
              <w:rPr>
                <w:sz w:val="24"/>
                <w:szCs w:val="24"/>
              </w:rPr>
              <w:t>Oxidative stress</w:t>
            </w:r>
          </w:p>
        </w:tc>
      </w:tr>
      <w:tr w:rsidR="006C27EA" w:rsidRPr="00D35AD9" w14:paraId="2644FD7E" w14:textId="77777777" w:rsidTr="006C27EA">
        <w:tc>
          <w:tcPr>
            <w:tcW w:w="1848" w:type="dxa"/>
          </w:tcPr>
          <w:p w14:paraId="7CE4C53A" w14:textId="77777777" w:rsidR="006C27EA" w:rsidRPr="00D35AD9" w:rsidRDefault="006C27EA" w:rsidP="006C27EA">
            <w:pPr>
              <w:pStyle w:val="TableParagraph"/>
              <w:spacing w:line="360" w:lineRule="auto"/>
              <w:rPr>
                <w:sz w:val="24"/>
                <w:szCs w:val="24"/>
              </w:rPr>
            </w:pPr>
          </w:p>
        </w:tc>
        <w:tc>
          <w:tcPr>
            <w:tcW w:w="1848" w:type="dxa"/>
          </w:tcPr>
          <w:p w14:paraId="6F6F3D8D" w14:textId="77777777" w:rsidR="006C27EA" w:rsidRPr="00D35AD9" w:rsidRDefault="006C27EA" w:rsidP="006C27EA">
            <w:pPr>
              <w:pStyle w:val="TableParagraph"/>
              <w:spacing w:line="360" w:lineRule="auto"/>
              <w:jc w:val="left"/>
              <w:rPr>
                <w:sz w:val="24"/>
                <w:szCs w:val="24"/>
              </w:rPr>
            </w:pPr>
            <w:r w:rsidRPr="00D35AD9">
              <w:rPr>
                <w:sz w:val="24"/>
                <w:szCs w:val="24"/>
              </w:rPr>
              <w:t>Cytochrome P450 reductase</w:t>
            </w:r>
          </w:p>
        </w:tc>
        <w:tc>
          <w:tcPr>
            <w:tcW w:w="1849" w:type="dxa"/>
          </w:tcPr>
          <w:p w14:paraId="19993140" w14:textId="77777777" w:rsidR="006C27EA" w:rsidRPr="00D35AD9" w:rsidRDefault="006C27EA" w:rsidP="006C27EA">
            <w:pPr>
              <w:pStyle w:val="TableParagraph"/>
              <w:spacing w:line="360" w:lineRule="auto"/>
              <w:rPr>
                <w:sz w:val="24"/>
                <w:szCs w:val="24"/>
              </w:rPr>
            </w:pPr>
            <w:r w:rsidRPr="00D35AD9">
              <w:rPr>
                <w:sz w:val="24"/>
                <w:szCs w:val="24"/>
              </w:rPr>
              <w:t>Nitroxide radical</w:t>
            </w:r>
          </w:p>
        </w:tc>
        <w:tc>
          <w:tcPr>
            <w:tcW w:w="1849" w:type="dxa"/>
          </w:tcPr>
          <w:p w14:paraId="250334CD" w14:textId="77777777" w:rsidR="006C27EA" w:rsidRPr="00D35AD9" w:rsidRDefault="006C27EA" w:rsidP="006C27EA">
            <w:pPr>
              <w:pStyle w:val="TableParagraph"/>
              <w:spacing w:line="360" w:lineRule="auto"/>
              <w:rPr>
                <w:sz w:val="24"/>
                <w:szCs w:val="24"/>
              </w:rPr>
            </w:pPr>
            <w:r w:rsidRPr="00D35AD9">
              <w:rPr>
                <w:sz w:val="24"/>
                <w:szCs w:val="24"/>
              </w:rPr>
              <w:t>Tirapazamine</w:t>
            </w:r>
          </w:p>
        </w:tc>
        <w:tc>
          <w:tcPr>
            <w:tcW w:w="1849" w:type="dxa"/>
          </w:tcPr>
          <w:p w14:paraId="070D5A11" w14:textId="77777777" w:rsidR="006C27EA" w:rsidRPr="00D35AD9" w:rsidRDefault="006C27EA" w:rsidP="006C27EA">
            <w:pPr>
              <w:pStyle w:val="TableParagraph"/>
              <w:spacing w:line="360" w:lineRule="auto"/>
              <w:rPr>
                <w:sz w:val="24"/>
                <w:szCs w:val="24"/>
              </w:rPr>
            </w:pPr>
            <w:r w:rsidRPr="00D35AD9">
              <w:rPr>
                <w:sz w:val="24"/>
                <w:szCs w:val="24"/>
              </w:rPr>
              <w:t>DNA alkylation and oxidative stress</w:t>
            </w:r>
          </w:p>
        </w:tc>
      </w:tr>
      <w:tr w:rsidR="006C27EA" w:rsidRPr="00D35AD9" w14:paraId="037AC9D5" w14:textId="77777777" w:rsidTr="006C27EA">
        <w:tc>
          <w:tcPr>
            <w:tcW w:w="1848" w:type="dxa"/>
          </w:tcPr>
          <w:p w14:paraId="3FBD90E8" w14:textId="77777777" w:rsidR="006C27EA" w:rsidRPr="00D35AD9" w:rsidRDefault="006C27EA" w:rsidP="006C27EA">
            <w:pPr>
              <w:pStyle w:val="TableParagraph"/>
              <w:spacing w:line="360" w:lineRule="auto"/>
              <w:rPr>
                <w:sz w:val="24"/>
                <w:szCs w:val="24"/>
              </w:rPr>
            </w:pPr>
          </w:p>
        </w:tc>
        <w:tc>
          <w:tcPr>
            <w:tcW w:w="1848" w:type="dxa"/>
          </w:tcPr>
          <w:p w14:paraId="666CEEB8" w14:textId="77777777" w:rsidR="006C27EA" w:rsidRPr="00D35AD9" w:rsidRDefault="006C27EA" w:rsidP="006C27EA">
            <w:pPr>
              <w:pStyle w:val="TableParagraph"/>
              <w:spacing w:line="360" w:lineRule="auto"/>
              <w:jc w:val="left"/>
              <w:rPr>
                <w:sz w:val="24"/>
                <w:szCs w:val="24"/>
              </w:rPr>
            </w:pPr>
            <w:r w:rsidRPr="00D35AD9">
              <w:rPr>
                <w:sz w:val="24"/>
                <w:szCs w:val="24"/>
              </w:rPr>
              <w:t>DT- diaphorase</w:t>
            </w:r>
          </w:p>
        </w:tc>
        <w:tc>
          <w:tcPr>
            <w:tcW w:w="1849" w:type="dxa"/>
          </w:tcPr>
          <w:p w14:paraId="7C0EEBE5" w14:textId="77777777" w:rsidR="006C27EA" w:rsidRPr="00D35AD9" w:rsidRDefault="006C27EA" w:rsidP="006C27EA">
            <w:pPr>
              <w:pStyle w:val="TableParagraph"/>
              <w:spacing w:line="360" w:lineRule="auto"/>
              <w:rPr>
                <w:sz w:val="24"/>
                <w:szCs w:val="24"/>
              </w:rPr>
            </w:pPr>
            <w:r w:rsidRPr="00D35AD9">
              <w:rPr>
                <w:sz w:val="24"/>
                <w:szCs w:val="24"/>
              </w:rPr>
              <w:t>Semiquinone radical</w:t>
            </w:r>
          </w:p>
        </w:tc>
        <w:tc>
          <w:tcPr>
            <w:tcW w:w="1849" w:type="dxa"/>
          </w:tcPr>
          <w:p w14:paraId="637CB556" w14:textId="77777777" w:rsidR="006C27EA" w:rsidRPr="00D35AD9" w:rsidRDefault="006C27EA" w:rsidP="006C27EA">
            <w:pPr>
              <w:pStyle w:val="TableParagraph"/>
              <w:spacing w:line="360" w:lineRule="auto"/>
              <w:rPr>
                <w:sz w:val="24"/>
                <w:szCs w:val="24"/>
              </w:rPr>
            </w:pPr>
            <w:r w:rsidRPr="00D35AD9">
              <w:rPr>
                <w:sz w:val="24"/>
                <w:szCs w:val="24"/>
              </w:rPr>
              <w:t>Diaziquone</w:t>
            </w:r>
          </w:p>
        </w:tc>
        <w:tc>
          <w:tcPr>
            <w:tcW w:w="1849" w:type="dxa"/>
          </w:tcPr>
          <w:p w14:paraId="42459BE7" w14:textId="77777777" w:rsidR="006C27EA" w:rsidRPr="00D35AD9" w:rsidRDefault="006C27EA" w:rsidP="006C27EA">
            <w:pPr>
              <w:pStyle w:val="TableParagraph"/>
              <w:spacing w:line="360" w:lineRule="auto"/>
              <w:rPr>
                <w:sz w:val="24"/>
                <w:szCs w:val="24"/>
              </w:rPr>
            </w:pPr>
            <w:r w:rsidRPr="00D35AD9">
              <w:rPr>
                <w:sz w:val="24"/>
                <w:szCs w:val="24"/>
              </w:rPr>
              <w:t>DNA alkylation and oxidative stress</w:t>
            </w:r>
          </w:p>
        </w:tc>
      </w:tr>
      <w:tr w:rsidR="006C27EA" w:rsidRPr="00D35AD9" w14:paraId="43B1416A" w14:textId="77777777" w:rsidTr="006C27EA">
        <w:tc>
          <w:tcPr>
            <w:tcW w:w="1848" w:type="dxa"/>
          </w:tcPr>
          <w:p w14:paraId="189DACD9" w14:textId="77777777" w:rsidR="006C27EA" w:rsidRPr="00D35AD9" w:rsidRDefault="006C27EA" w:rsidP="006C27EA">
            <w:pPr>
              <w:pStyle w:val="TableParagraph"/>
              <w:spacing w:line="360" w:lineRule="auto"/>
              <w:rPr>
                <w:sz w:val="24"/>
                <w:szCs w:val="24"/>
              </w:rPr>
            </w:pPr>
          </w:p>
        </w:tc>
        <w:tc>
          <w:tcPr>
            <w:tcW w:w="1848" w:type="dxa"/>
          </w:tcPr>
          <w:p w14:paraId="73FCCAB5" w14:textId="77777777" w:rsidR="006C27EA" w:rsidRPr="00D35AD9" w:rsidRDefault="006C27EA" w:rsidP="006C27EA">
            <w:pPr>
              <w:pStyle w:val="TableParagraph"/>
              <w:spacing w:line="360" w:lineRule="auto"/>
              <w:jc w:val="left"/>
              <w:rPr>
                <w:sz w:val="24"/>
                <w:szCs w:val="24"/>
              </w:rPr>
            </w:pPr>
            <w:r w:rsidRPr="00D35AD9">
              <w:rPr>
                <w:sz w:val="24"/>
                <w:szCs w:val="24"/>
              </w:rPr>
              <w:t>Cytochrome P450</w:t>
            </w:r>
          </w:p>
        </w:tc>
        <w:tc>
          <w:tcPr>
            <w:tcW w:w="1849" w:type="dxa"/>
          </w:tcPr>
          <w:p w14:paraId="43F985B4" w14:textId="77777777" w:rsidR="006C27EA" w:rsidRPr="00D35AD9" w:rsidRDefault="006C27EA" w:rsidP="006C27EA">
            <w:pPr>
              <w:pStyle w:val="TableParagraph"/>
              <w:spacing w:line="360" w:lineRule="auto"/>
              <w:rPr>
                <w:sz w:val="24"/>
                <w:szCs w:val="24"/>
              </w:rPr>
            </w:pPr>
            <w:r w:rsidRPr="00D35AD9">
              <w:rPr>
                <w:sz w:val="24"/>
                <w:szCs w:val="24"/>
              </w:rPr>
              <w:t>AQ4</w:t>
            </w:r>
          </w:p>
        </w:tc>
        <w:tc>
          <w:tcPr>
            <w:tcW w:w="1849" w:type="dxa"/>
          </w:tcPr>
          <w:p w14:paraId="568B1F49" w14:textId="77777777" w:rsidR="006C27EA" w:rsidRPr="00D35AD9" w:rsidRDefault="006C27EA" w:rsidP="006C27EA">
            <w:pPr>
              <w:pStyle w:val="TableParagraph"/>
              <w:spacing w:line="360" w:lineRule="auto"/>
              <w:rPr>
                <w:sz w:val="24"/>
                <w:szCs w:val="24"/>
              </w:rPr>
            </w:pPr>
            <w:r w:rsidRPr="00D35AD9">
              <w:rPr>
                <w:sz w:val="24"/>
                <w:szCs w:val="24"/>
              </w:rPr>
              <w:t>AQ4N</w:t>
            </w:r>
          </w:p>
        </w:tc>
        <w:tc>
          <w:tcPr>
            <w:tcW w:w="1849" w:type="dxa"/>
          </w:tcPr>
          <w:p w14:paraId="323C05A4" w14:textId="77777777" w:rsidR="006C27EA" w:rsidRPr="00D35AD9" w:rsidRDefault="006C27EA" w:rsidP="006C27EA">
            <w:pPr>
              <w:pStyle w:val="TableParagraph"/>
              <w:spacing w:line="360" w:lineRule="auto"/>
              <w:rPr>
                <w:sz w:val="24"/>
                <w:szCs w:val="24"/>
              </w:rPr>
            </w:pPr>
            <w:r w:rsidRPr="00D35AD9">
              <w:rPr>
                <w:sz w:val="24"/>
                <w:szCs w:val="24"/>
              </w:rPr>
              <w:t>Topoisomerase II inhibitor</w:t>
            </w:r>
          </w:p>
        </w:tc>
      </w:tr>
      <w:tr w:rsidR="006C27EA" w:rsidRPr="00D35AD9" w14:paraId="761F134E" w14:textId="77777777" w:rsidTr="006C27EA">
        <w:tc>
          <w:tcPr>
            <w:tcW w:w="1848" w:type="dxa"/>
          </w:tcPr>
          <w:p w14:paraId="02275B60" w14:textId="77777777" w:rsidR="006C27EA" w:rsidRPr="00D35AD9" w:rsidRDefault="006C27EA" w:rsidP="006C27EA">
            <w:pPr>
              <w:pStyle w:val="TableParagraph"/>
              <w:spacing w:line="360" w:lineRule="auto"/>
              <w:rPr>
                <w:sz w:val="24"/>
                <w:szCs w:val="24"/>
              </w:rPr>
            </w:pPr>
          </w:p>
        </w:tc>
        <w:tc>
          <w:tcPr>
            <w:tcW w:w="1848" w:type="dxa"/>
          </w:tcPr>
          <w:p w14:paraId="3AE91983" w14:textId="77777777" w:rsidR="006C27EA" w:rsidRPr="00D35AD9" w:rsidRDefault="006C27EA" w:rsidP="006C27EA">
            <w:pPr>
              <w:pStyle w:val="TableParagraph"/>
              <w:spacing w:line="360" w:lineRule="auto"/>
              <w:jc w:val="left"/>
              <w:rPr>
                <w:sz w:val="24"/>
                <w:szCs w:val="24"/>
              </w:rPr>
            </w:pPr>
            <w:r w:rsidRPr="00D35AD9">
              <w:rPr>
                <w:sz w:val="24"/>
                <w:szCs w:val="24"/>
              </w:rPr>
              <w:t>Tyrosinase</w:t>
            </w:r>
          </w:p>
        </w:tc>
        <w:tc>
          <w:tcPr>
            <w:tcW w:w="1849" w:type="dxa"/>
          </w:tcPr>
          <w:p w14:paraId="1B8493CE" w14:textId="77777777" w:rsidR="006C27EA" w:rsidRPr="00D35AD9" w:rsidRDefault="006C27EA" w:rsidP="006C27EA">
            <w:pPr>
              <w:pStyle w:val="TableParagraph"/>
              <w:spacing w:line="360" w:lineRule="auto"/>
              <w:rPr>
                <w:sz w:val="24"/>
                <w:szCs w:val="24"/>
              </w:rPr>
            </w:pPr>
            <w:r w:rsidRPr="00D35AD9">
              <w:rPr>
                <w:sz w:val="24"/>
                <w:szCs w:val="24"/>
              </w:rPr>
              <w:t>Phenol mustard</w:t>
            </w:r>
          </w:p>
        </w:tc>
        <w:tc>
          <w:tcPr>
            <w:tcW w:w="1849" w:type="dxa"/>
          </w:tcPr>
          <w:p w14:paraId="48270ED1" w14:textId="77777777" w:rsidR="006C27EA" w:rsidRPr="00D35AD9" w:rsidRDefault="006C27EA" w:rsidP="006C27EA">
            <w:pPr>
              <w:pStyle w:val="TableParagraph"/>
              <w:spacing w:line="360" w:lineRule="auto"/>
              <w:rPr>
                <w:sz w:val="24"/>
                <w:szCs w:val="24"/>
              </w:rPr>
            </w:pPr>
            <w:r w:rsidRPr="00D35AD9">
              <w:rPr>
                <w:sz w:val="24"/>
                <w:szCs w:val="24"/>
              </w:rPr>
              <w:t>Phenyl mustard</w:t>
            </w:r>
          </w:p>
        </w:tc>
        <w:tc>
          <w:tcPr>
            <w:tcW w:w="1849" w:type="dxa"/>
          </w:tcPr>
          <w:p w14:paraId="1D703E9F" w14:textId="77777777" w:rsidR="006C27EA" w:rsidRPr="00D35AD9" w:rsidRDefault="006C27EA" w:rsidP="006C27EA">
            <w:pPr>
              <w:pStyle w:val="TableParagraph"/>
              <w:spacing w:line="360" w:lineRule="auto"/>
              <w:rPr>
                <w:sz w:val="24"/>
                <w:szCs w:val="24"/>
              </w:rPr>
            </w:pPr>
            <w:r w:rsidRPr="00D35AD9">
              <w:rPr>
                <w:sz w:val="24"/>
                <w:szCs w:val="24"/>
              </w:rPr>
              <w:t>DNA alkylation</w:t>
            </w:r>
          </w:p>
        </w:tc>
      </w:tr>
      <w:tr w:rsidR="006C27EA" w:rsidRPr="00D35AD9" w14:paraId="410C5ADD" w14:textId="77777777" w:rsidTr="006C27EA">
        <w:tc>
          <w:tcPr>
            <w:tcW w:w="1848" w:type="dxa"/>
          </w:tcPr>
          <w:p w14:paraId="2134845C" w14:textId="77777777" w:rsidR="006C27EA" w:rsidRPr="00D35AD9" w:rsidRDefault="006C27EA" w:rsidP="006C27EA">
            <w:pPr>
              <w:pStyle w:val="TableParagraph"/>
              <w:spacing w:line="360" w:lineRule="auto"/>
              <w:rPr>
                <w:sz w:val="24"/>
                <w:szCs w:val="24"/>
              </w:rPr>
            </w:pPr>
            <w:r w:rsidRPr="00D35AD9">
              <w:rPr>
                <w:sz w:val="24"/>
                <w:szCs w:val="24"/>
              </w:rPr>
              <w:t>Transferases</w:t>
            </w:r>
          </w:p>
        </w:tc>
        <w:tc>
          <w:tcPr>
            <w:tcW w:w="1848" w:type="dxa"/>
          </w:tcPr>
          <w:p w14:paraId="76C67BFC" w14:textId="77777777" w:rsidR="006C27EA" w:rsidRPr="00D35AD9" w:rsidRDefault="006C27EA" w:rsidP="006C27EA">
            <w:pPr>
              <w:pStyle w:val="TableParagraph"/>
              <w:spacing w:line="360" w:lineRule="auto"/>
              <w:jc w:val="left"/>
              <w:rPr>
                <w:sz w:val="24"/>
                <w:szCs w:val="24"/>
              </w:rPr>
            </w:pPr>
            <w:r w:rsidRPr="00D35AD9">
              <w:rPr>
                <w:sz w:val="24"/>
                <w:szCs w:val="24"/>
              </w:rPr>
              <w:t>Glutathione Stransferase</w:t>
            </w:r>
          </w:p>
        </w:tc>
        <w:tc>
          <w:tcPr>
            <w:tcW w:w="1849" w:type="dxa"/>
          </w:tcPr>
          <w:p w14:paraId="378F6616" w14:textId="77777777" w:rsidR="006C27EA" w:rsidRPr="00D35AD9" w:rsidRDefault="006C27EA" w:rsidP="006C27EA">
            <w:pPr>
              <w:pStyle w:val="TableParagraph"/>
              <w:spacing w:line="360" w:lineRule="auto"/>
              <w:rPr>
                <w:sz w:val="24"/>
                <w:szCs w:val="24"/>
              </w:rPr>
            </w:pPr>
            <w:r w:rsidRPr="00D35AD9">
              <w:rPr>
                <w:sz w:val="24"/>
                <w:szCs w:val="24"/>
              </w:rPr>
              <w:t>6-MP</w:t>
            </w:r>
          </w:p>
        </w:tc>
        <w:tc>
          <w:tcPr>
            <w:tcW w:w="1849" w:type="dxa"/>
          </w:tcPr>
          <w:p w14:paraId="134C376E" w14:textId="77777777" w:rsidR="006C27EA" w:rsidRPr="00D35AD9" w:rsidRDefault="006C27EA" w:rsidP="006C27EA">
            <w:pPr>
              <w:pStyle w:val="TableParagraph"/>
              <w:spacing w:line="360" w:lineRule="auto"/>
              <w:rPr>
                <w:sz w:val="24"/>
                <w:szCs w:val="24"/>
              </w:rPr>
            </w:pPr>
            <w:r w:rsidRPr="00D35AD9">
              <w:rPr>
                <w:sz w:val="24"/>
                <w:szCs w:val="24"/>
              </w:rPr>
              <w:t>PTA</w:t>
            </w:r>
          </w:p>
        </w:tc>
        <w:tc>
          <w:tcPr>
            <w:tcW w:w="1849" w:type="dxa"/>
          </w:tcPr>
          <w:p w14:paraId="6DF73DD7" w14:textId="77777777" w:rsidR="006C27EA" w:rsidRPr="00D35AD9" w:rsidRDefault="006C27EA" w:rsidP="006C27EA">
            <w:pPr>
              <w:pStyle w:val="TableParagraph"/>
              <w:spacing w:line="360" w:lineRule="auto"/>
              <w:rPr>
                <w:sz w:val="24"/>
                <w:szCs w:val="24"/>
              </w:rPr>
            </w:pPr>
            <w:r w:rsidRPr="00D35AD9">
              <w:rPr>
                <w:sz w:val="24"/>
                <w:szCs w:val="24"/>
              </w:rPr>
              <w:t>Antimetabolite</w:t>
            </w:r>
          </w:p>
        </w:tc>
      </w:tr>
      <w:tr w:rsidR="006C27EA" w:rsidRPr="00D35AD9" w14:paraId="06918597" w14:textId="77777777" w:rsidTr="006C27EA">
        <w:tc>
          <w:tcPr>
            <w:tcW w:w="1848" w:type="dxa"/>
          </w:tcPr>
          <w:p w14:paraId="1206B092" w14:textId="77777777" w:rsidR="006C27EA" w:rsidRPr="00D35AD9" w:rsidRDefault="006C27EA" w:rsidP="006C27EA">
            <w:pPr>
              <w:pStyle w:val="TableParagraph"/>
              <w:spacing w:line="360" w:lineRule="auto"/>
              <w:rPr>
                <w:sz w:val="24"/>
                <w:szCs w:val="24"/>
              </w:rPr>
            </w:pPr>
          </w:p>
        </w:tc>
        <w:tc>
          <w:tcPr>
            <w:tcW w:w="1848" w:type="dxa"/>
          </w:tcPr>
          <w:p w14:paraId="25B0942D" w14:textId="77777777" w:rsidR="006C27EA" w:rsidRPr="00D35AD9" w:rsidRDefault="006C27EA" w:rsidP="006C27EA">
            <w:pPr>
              <w:pStyle w:val="TableParagraph"/>
              <w:spacing w:line="360" w:lineRule="auto"/>
              <w:jc w:val="left"/>
              <w:rPr>
                <w:sz w:val="24"/>
                <w:szCs w:val="24"/>
              </w:rPr>
            </w:pPr>
            <w:r w:rsidRPr="00D35AD9">
              <w:rPr>
                <w:sz w:val="24"/>
                <w:szCs w:val="24"/>
              </w:rPr>
              <w:t>Thymidine phosphorylase</w:t>
            </w:r>
          </w:p>
        </w:tc>
        <w:tc>
          <w:tcPr>
            <w:tcW w:w="1849" w:type="dxa"/>
          </w:tcPr>
          <w:p w14:paraId="0231529A" w14:textId="77777777" w:rsidR="006C27EA" w:rsidRPr="00D35AD9" w:rsidRDefault="006C27EA" w:rsidP="006C27EA">
            <w:pPr>
              <w:pStyle w:val="TableParagraph"/>
              <w:spacing w:line="360" w:lineRule="auto"/>
              <w:rPr>
                <w:sz w:val="24"/>
                <w:szCs w:val="24"/>
              </w:rPr>
            </w:pPr>
            <w:r w:rsidRPr="00D35AD9">
              <w:rPr>
                <w:sz w:val="24"/>
                <w:szCs w:val="24"/>
              </w:rPr>
              <w:t>5-FU</w:t>
            </w:r>
          </w:p>
        </w:tc>
        <w:tc>
          <w:tcPr>
            <w:tcW w:w="1849" w:type="dxa"/>
          </w:tcPr>
          <w:p w14:paraId="393A7FAA" w14:textId="77777777" w:rsidR="006C27EA" w:rsidRPr="00D35AD9" w:rsidRDefault="006C27EA" w:rsidP="006C27EA">
            <w:pPr>
              <w:pStyle w:val="TableParagraph"/>
              <w:spacing w:line="360" w:lineRule="auto"/>
              <w:rPr>
                <w:sz w:val="24"/>
                <w:szCs w:val="24"/>
              </w:rPr>
            </w:pPr>
            <w:r w:rsidRPr="00D35AD9">
              <w:rPr>
                <w:sz w:val="24"/>
                <w:szCs w:val="24"/>
              </w:rPr>
              <w:t>5’-deoxy-5- flurouridine</w:t>
            </w:r>
          </w:p>
        </w:tc>
        <w:tc>
          <w:tcPr>
            <w:tcW w:w="1849" w:type="dxa"/>
          </w:tcPr>
          <w:p w14:paraId="14406C90" w14:textId="554F8FD4" w:rsidR="006C27EA" w:rsidRPr="00D35AD9" w:rsidRDefault="009B55CB" w:rsidP="006C27EA">
            <w:pPr>
              <w:pStyle w:val="TableParagraph"/>
              <w:spacing w:line="360" w:lineRule="auto"/>
              <w:rPr>
                <w:sz w:val="24"/>
                <w:szCs w:val="24"/>
              </w:rPr>
            </w:pPr>
            <w:r w:rsidRPr="009B55CB">
              <w:rPr>
                <w:sz w:val="24"/>
                <w:szCs w:val="24"/>
              </w:rPr>
              <w:t>Interferon stimulates pyrimidine nucleoside phosphorylase expression.</w:t>
            </w:r>
          </w:p>
        </w:tc>
      </w:tr>
      <w:tr w:rsidR="006C27EA" w:rsidRPr="00D35AD9" w14:paraId="05010AD5" w14:textId="77777777" w:rsidTr="006C27EA">
        <w:tc>
          <w:tcPr>
            <w:tcW w:w="1848" w:type="dxa"/>
          </w:tcPr>
          <w:p w14:paraId="17BEAAF4" w14:textId="77777777" w:rsidR="006C27EA" w:rsidRPr="00D35AD9" w:rsidRDefault="006C27EA" w:rsidP="006C27EA">
            <w:pPr>
              <w:pStyle w:val="TableParagraph"/>
              <w:spacing w:line="360" w:lineRule="auto"/>
              <w:rPr>
                <w:sz w:val="24"/>
                <w:szCs w:val="24"/>
              </w:rPr>
            </w:pPr>
            <w:r w:rsidRPr="00D35AD9">
              <w:rPr>
                <w:sz w:val="24"/>
                <w:szCs w:val="24"/>
              </w:rPr>
              <w:t>Hydrolases</w:t>
            </w:r>
          </w:p>
        </w:tc>
        <w:tc>
          <w:tcPr>
            <w:tcW w:w="1848" w:type="dxa"/>
          </w:tcPr>
          <w:p w14:paraId="08B115DB" w14:textId="77777777" w:rsidR="006C27EA" w:rsidRPr="00D35AD9" w:rsidRDefault="00D35AD9" w:rsidP="006C27EA">
            <w:pPr>
              <w:pStyle w:val="TableParagraph"/>
              <w:spacing w:line="360" w:lineRule="auto"/>
              <w:jc w:val="left"/>
              <w:rPr>
                <w:sz w:val="24"/>
                <w:szCs w:val="24"/>
              </w:rPr>
            </w:pPr>
            <w:r w:rsidRPr="00D35AD9">
              <w:rPr>
                <w:sz w:val="24"/>
                <w:szCs w:val="24"/>
              </w:rPr>
              <w:t>Carboxyl esterase</w:t>
            </w:r>
          </w:p>
        </w:tc>
        <w:tc>
          <w:tcPr>
            <w:tcW w:w="1849" w:type="dxa"/>
          </w:tcPr>
          <w:p w14:paraId="0CA0236A" w14:textId="77777777" w:rsidR="006C27EA" w:rsidRPr="00D35AD9" w:rsidRDefault="006C27EA" w:rsidP="006C27EA">
            <w:pPr>
              <w:pStyle w:val="TableParagraph"/>
              <w:spacing w:line="360" w:lineRule="auto"/>
              <w:rPr>
                <w:sz w:val="24"/>
                <w:szCs w:val="24"/>
              </w:rPr>
            </w:pPr>
            <w:r w:rsidRPr="00D35AD9">
              <w:rPr>
                <w:sz w:val="24"/>
                <w:szCs w:val="24"/>
              </w:rPr>
              <w:t>5-FU</w:t>
            </w:r>
          </w:p>
        </w:tc>
        <w:tc>
          <w:tcPr>
            <w:tcW w:w="1849" w:type="dxa"/>
          </w:tcPr>
          <w:p w14:paraId="767B5D77" w14:textId="77777777" w:rsidR="006C27EA" w:rsidRPr="00D35AD9" w:rsidRDefault="006C27EA" w:rsidP="006C27EA">
            <w:pPr>
              <w:pStyle w:val="TableParagraph"/>
              <w:spacing w:line="360" w:lineRule="auto"/>
              <w:rPr>
                <w:sz w:val="24"/>
                <w:szCs w:val="24"/>
              </w:rPr>
            </w:pPr>
            <w:r w:rsidRPr="00D35AD9">
              <w:rPr>
                <w:sz w:val="24"/>
                <w:szCs w:val="24"/>
              </w:rPr>
              <w:t>Capecitabine</w:t>
            </w:r>
          </w:p>
        </w:tc>
        <w:tc>
          <w:tcPr>
            <w:tcW w:w="1849" w:type="dxa"/>
          </w:tcPr>
          <w:p w14:paraId="75BD94C4" w14:textId="77777777" w:rsidR="006C27EA" w:rsidRPr="00D35AD9" w:rsidRDefault="006C27EA" w:rsidP="006C27EA">
            <w:pPr>
              <w:pStyle w:val="TableParagraph"/>
              <w:spacing w:line="360" w:lineRule="auto"/>
              <w:rPr>
                <w:sz w:val="24"/>
                <w:szCs w:val="24"/>
              </w:rPr>
            </w:pPr>
            <w:r w:rsidRPr="00D35AD9">
              <w:rPr>
                <w:sz w:val="24"/>
                <w:szCs w:val="24"/>
              </w:rPr>
              <w:t>Thymidylate synthase inhibitor</w:t>
            </w:r>
          </w:p>
        </w:tc>
      </w:tr>
      <w:tr w:rsidR="006C27EA" w:rsidRPr="00D35AD9" w14:paraId="708C0DA5" w14:textId="77777777" w:rsidTr="006C27EA">
        <w:tc>
          <w:tcPr>
            <w:tcW w:w="1848" w:type="dxa"/>
          </w:tcPr>
          <w:p w14:paraId="140948F3" w14:textId="77777777" w:rsidR="006C27EA" w:rsidRPr="00D35AD9" w:rsidRDefault="006C27EA" w:rsidP="006C27EA">
            <w:pPr>
              <w:pStyle w:val="TableParagraph"/>
              <w:spacing w:line="360" w:lineRule="auto"/>
              <w:rPr>
                <w:sz w:val="24"/>
                <w:szCs w:val="24"/>
              </w:rPr>
            </w:pPr>
          </w:p>
        </w:tc>
        <w:tc>
          <w:tcPr>
            <w:tcW w:w="1848" w:type="dxa"/>
          </w:tcPr>
          <w:p w14:paraId="43405543" w14:textId="77777777" w:rsidR="006C27EA" w:rsidRPr="00D35AD9" w:rsidRDefault="006C27EA" w:rsidP="006C27EA">
            <w:pPr>
              <w:pStyle w:val="TableParagraph"/>
              <w:spacing w:line="360" w:lineRule="auto"/>
              <w:jc w:val="left"/>
              <w:rPr>
                <w:sz w:val="24"/>
                <w:szCs w:val="24"/>
              </w:rPr>
            </w:pPr>
            <w:r w:rsidRPr="00D35AD9">
              <w:rPr>
                <w:sz w:val="24"/>
                <w:szCs w:val="24"/>
              </w:rPr>
              <w:t>Alkaline phosphatase</w:t>
            </w:r>
          </w:p>
        </w:tc>
        <w:tc>
          <w:tcPr>
            <w:tcW w:w="1849" w:type="dxa"/>
          </w:tcPr>
          <w:p w14:paraId="1613D404" w14:textId="77777777" w:rsidR="006C27EA" w:rsidRPr="00D35AD9" w:rsidRDefault="006C27EA" w:rsidP="006C27EA">
            <w:pPr>
              <w:pStyle w:val="TableParagraph"/>
              <w:spacing w:line="360" w:lineRule="auto"/>
              <w:rPr>
                <w:sz w:val="24"/>
                <w:szCs w:val="24"/>
              </w:rPr>
            </w:pPr>
            <w:r w:rsidRPr="00D35AD9">
              <w:rPr>
                <w:sz w:val="24"/>
                <w:szCs w:val="24"/>
              </w:rPr>
              <w:t>3-AP</w:t>
            </w:r>
          </w:p>
        </w:tc>
        <w:tc>
          <w:tcPr>
            <w:tcW w:w="1849" w:type="dxa"/>
          </w:tcPr>
          <w:p w14:paraId="11B96DC8" w14:textId="77777777" w:rsidR="006C27EA" w:rsidRPr="00D35AD9" w:rsidRDefault="006C27EA" w:rsidP="006C27EA">
            <w:pPr>
              <w:pStyle w:val="TableParagraph"/>
              <w:spacing w:line="360" w:lineRule="auto"/>
              <w:rPr>
                <w:sz w:val="24"/>
                <w:szCs w:val="24"/>
              </w:rPr>
            </w:pPr>
            <w:r w:rsidRPr="00D35AD9">
              <w:rPr>
                <w:sz w:val="24"/>
                <w:szCs w:val="24"/>
              </w:rPr>
              <w:t>3-AP phosphate</w:t>
            </w:r>
          </w:p>
        </w:tc>
        <w:tc>
          <w:tcPr>
            <w:tcW w:w="1849" w:type="dxa"/>
          </w:tcPr>
          <w:p w14:paraId="11B53A58" w14:textId="77777777" w:rsidR="006C27EA" w:rsidRPr="00D35AD9" w:rsidRDefault="006C27EA" w:rsidP="006C27EA">
            <w:pPr>
              <w:pStyle w:val="TableParagraph"/>
              <w:spacing w:line="360" w:lineRule="auto"/>
              <w:rPr>
                <w:sz w:val="24"/>
                <w:szCs w:val="24"/>
              </w:rPr>
            </w:pPr>
          </w:p>
        </w:tc>
      </w:tr>
      <w:tr w:rsidR="006C27EA" w:rsidRPr="00D35AD9" w14:paraId="0EF3E9A4" w14:textId="77777777" w:rsidTr="006C27EA">
        <w:tc>
          <w:tcPr>
            <w:tcW w:w="1848" w:type="dxa"/>
          </w:tcPr>
          <w:p w14:paraId="47F45E50" w14:textId="77777777" w:rsidR="006C27EA" w:rsidRPr="00D35AD9" w:rsidRDefault="006C27EA" w:rsidP="006C27EA">
            <w:pPr>
              <w:pStyle w:val="TableParagraph"/>
              <w:spacing w:line="360" w:lineRule="auto"/>
              <w:rPr>
                <w:sz w:val="24"/>
                <w:szCs w:val="24"/>
              </w:rPr>
            </w:pPr>
          </w:p>
        </w:tc>
        <w:tc>
          <w:tcPr>
            <w:tcW w:w="1848" w:type="dxa"/>
          </w:tcPr>
          <w:p w14:paraId="04D30825" w14:textId="77777777" w:rsidR="006C27EA" w:rsidRPr="00D35AD9" w:rsidRDefault="006C27EA" w:rsidP="006C27EA">
            <w:pPr>
              <w:pStyle w:val="TableParagraph"/>
              <w:spacing w:line="360" w:lineRule="auto"/>
              <w:jc w:val="left"/>
              <w:rPr>
                <w:sz w:val="24"/>
                <w:szCs w:val="24"/>
              </w:rPr>
            </w:pPr>
            <w:r w:rsidRPr="00D35AD9">
              <w:rPr>
                <w:sz w:val="24"/>
                <w:szCs w:val="24"/>
              </w:rPr>
              <w:t>β-glucuronidase</w:t>
            </w:r>
          </w:p>
        </w:tc>
        <w:tc>
          <w:tcPr>
            <w:tcW w:w="1849" w:type="dxa"/>
          </w:tcPr>
          <w:p w14:paraId="2EEC2831" w14:textId="77777777" w:rsidR="006C27EA" w:rsidRPr="00D35AD9" w:rsidRDefault="006C27EA" w:rsidP="006C27EA">
            <w:pPr>
              <w:pStyle w:val="TableParagraph"/>
              <w:spacing w:line="360" w:lineRule="auto"/>
              <w:rPr>
                <w:sz w:val="24"/>
                <w:szCs w:val="24"/>
              </w:rPr>
            </w:pPr>
            <w:r w:rsidRPr="00D35AD9">
              <w:rPr>
                <w:sz w:val="24"/>
                <w:szCs w:val="24"/>
              </w:rPr>
              <w:t>paclitaxel</w:t>
            </w:r>
          </w:p>
        </w:tc>
        <w:tc>
          <w:tcPr>
            <w:tcW w:w="1849" w:type="dxa"/>
          </w:tcPr>
          <w:p w14:paraId="34CEB4D8" w14:textId="77777777" w:rsidR="006C27EA" w:rsidRPr="00D35AD9" w:rsidRDefault="006C27EA" w:rsidP="006C27EA">
            <w:pPr>
              <w:pStyle w:val="TableParagraph"/>
              <w:spacing w:line="360" w:lineRule="auto"/>
              <w:rPr>
                <w:sz w:val="24"/>
                <w:szCs w:val="24"/>
              </w:rPr>
            </w:pPr>
            <w:r w:rsidRPr="00D35AD9">
              <w:rPr>
                <w:sz w:val="24"/>
                <w:szCs w:val="24"/>
              </w:rPr>
              <w:t>Paclitaxel glucuronide</w:t>
            </w:r>
          </w:p>
        </w:tc>
        <w:tc>
          <w:tcPr>
            <w:tcW w:w="1849" w:type="dxa"/>
          </w:tcPr>
          <w:p w14:paraId="78FCA286" w14:textId="77777777" w:rsidR="006C27EA" w:rsidRPr="00D35AD9" w:rsidRDefault="006C27EA" w:rsidP="006C27EA">
            <w:pPr>
              <w:pStyle w:val="TableParagraph"/>
              <w:spacing w:line="360" w:lineRule="auto"/>
              <w:rPr>
                <w:sz w:val="24"/>
                <w:szCs w:val="24"/>
              </w:rPr>
            </w:pPr>
            <w:r w:rsidRPr="00D35AD9">
              <w:rPr>
                <w:sz w:val="24"/>
                <w:szCs w:val="24"/>
              </w:rPr>
              <w:t>Microtubule binding</w:t>
            </w:r>
          </w:p>
        </w:tc>
      </w:tr>
      <w:tr w:rsidR="006C27EA" w:rsidRPr="00D35AD9" w14:paraId="27E0B46A" w14:textId="77777777" w:rsidTr="006C27EA">
        <w:tc>
          <w:tcPr>
            <w:tcW w:w="1848" w:type="dxa"/>
          </w:tcPr>
          <w:p w14:paraId="3E56EEE7" w14:textId="77777777" w:rsidR="006C27EA" w:rsidRPr="00D35AD9" w:rsidRDefault="006C27EA" w:rsidP="006C27EA">
            <w:pPr>
              <w:pStyle w:val="TableParagraph"/>
              <w:spacing w:line="360" w:lineRule="auto"/>
              <w:rPr>
                <w:sz w:val="24"/>
                <w:szCs w:val="24"/>
              </w:rPr>
            </w:pPr>
            <w:r w:rsidRPr="00D35AD9">
              <w:rPr>
                <w:sz w:val="24"/>
                <w:szCs w:val="24"/>
              </w:rPr>
              <w:t>Lyases</w:t>
            </w:r>
          </w:p>
        </w:tc>
        <w:tc>
          <w:tcPr>
            <w:tcW w:w="1848" w:type="dxa"/>
          </w:tcPr>
          <w:p w14:paraId="2817E1D8" w14:textId="77777777" w:rsidR="006C27EA" w:rsidRPr="00D35AD9" w:rsidRDefault="006C27EA" w:rsidP="006C27EA">
            <w:pPr>
              <w:pStyle w:val="TableParagraph"/>
              <w:spacing w:line="360" w:lineRule="auto"/>
              <w:jc w:val="left"/>
              <w:rPr>
                <w:sz w:val="24"/>
                <w:szCs w:val="24"/>
              </w:rPr>
            </w:pPr>
            <w:r w:rsidRPr="00D35AD9">
              <w:rPr>
                <w:sz w:val="24"/>
                <w:szCs w:val="24"/>
              </w:rPr>
              <w:t>Cysteine conjugate-β-lyase</w:t>
            </w:r>
          </w:p>
        </w:tc>
        <w:tc>
          <w:tcPr>
            <w:tcW w:w="1849" w:type="dxa"/>
          </w:tcPr>
          <w:p w14:paraId="373FF1B6" w14:textId="77777777" w:rsidR="006C27EA" w:rsidRPr="00D35AD9" w:rsidRDefault="006C27EA" w:rsidP="006C27EA">
            <w:pPr>
              <w:pStyle w:val="TableParagraph"/>
              <w:spacing w:line="360" w:lineRule="auto"/>
              <w:rPr>
                <w:sz w:val="24"/>
                <w:szCs w:val="24"/>
              </w:rPr>
            </w:pPr>
            <w:r w:rsidRPr="00D35AD9">
              <w:rPr>
                <w:sz w:val="24"/>
                <w:szCs w:val="24"/>
              </w:rPr>
              <w:t>Selenol</w:t>
            </w:r>
          </w:p>
        </w:tc>
        <w:tc>
          <w:tcPr>
            <w:tcW w:w="1849" w:type="dxa"/>
          </w:tcPr>
          <w:p w14:paraId="2B28AF95" w14:textId="77777777" w:rsidR="006C27EA" w:rsidRPr="00D35AD9" w:rsidRDefault="006C27EA" w:rsidP="006C27EA">
            <w:pPr>
              <w:pStyle w:val="TableParagraph"/>
              <w:spacing w:line="360" w:lineRule="auto"/>
              <w:rPr>
                <w:sz w:val="24"/>
                <w:szCs w:val="24"/>
              </w:rPr>
            </w:pPr>
            <w:r w:rsidRPr="00D35AD9">
              <w:rPr>
                <w:sz w:val="24"/>
                <w:szCs w:val="24"/>
              </w:rPr>
              <w:t>SeCys conjugate</w:t>
            </w:r>
          </w:p>
        </w:tc>
        <w:tc>
          <w:tcPr>
            <w:tcW w:w="1849" w:type="dxa"/>
          </w:tcPr>
          <w:p w14:paraId="52E4A026" w14:textId="77777777" w:rsidR="006C27EA" w:rsidRPr="00D35AD9" w:rsidRDefault="006C27EA" w:rsidP="006C27EA">
            <w:pPr>
              <w:pStyle w:val="TableParagraph"/>
              <w:spacing w:line="360" w:lineRule="auto"/>
              <w:rPr>
                <w:sz w:val="24"/>
                <w:szCs w:val="24"/>
              </w:rPr>
            </w:pPr>
            <w:r w:rsidRPr="00D35AD9">
              <w:rPr>
                <w:sz w:val="24"/>
                <w:szCs w:val="24"/>
              </w:rPr>
              <w:t>Apoptosis</w:t>
            </w:r>
          </w:p>
        </w:tc>
      </w:tr>
    </w:tbl>
    <w:p w14:paraId="7275FB7B" w14:textId="77777777" w:rsidR="00D35AD9" w:rsidRDefault="00D35AD9" w:rsidP="006C27EA">
      <w:pPr>
        <w:tabs>
          <w:tab w:val="left" w:pos="2220"/>
        </w:tabs>
        <w:spacing w:line="360" w:lineRule="auto"/>
        <w:rPr>
          <w:b/>
        </w:rPr>
      </w:pPr>
    </w:p>
    <w:p w14:paraId="333D87A2" w14:textId="77777777" w:rsidR="00D35AD9" w:rsidRPr="00D35AD9" w:rsidRDefault="00D35AD9" w:rsidP="006C27EA">
      <w:pPr>
        <w:tabs>
          <w:tab w:val="left" w:pos="2220"/>
        </w:tabs>
        <w:spacing w:line="360" w:lineRule="auto"/>
        <w:rPr>
          <w:b/>
        </w:rPr>
      </w:pPr>
      <w:r w:rsidRPr="00D35AD9">
        <w:rPr>
          <w:b/>
        </w:rPr>
        <w:t>APPLICATION OF PRODRUG</w:t>
      </w:r>
    </w:p>
    <w:p w14:paraId="5A8925B2" w14:textId="77777777" w:rsidR="00D35AD9" w:rsidRPr="00D35AD9" w:rsidRDefault="00D35AD9" w:rsidP="00005D7D">
      <w:pPr>
        <w:tabs>
          <w:tab w:val="left" w:pos="2220"/>
        </w:tabs>
        <w:spacing w:line="360" w:lineRule="auto"/>
        <w:rPr>
          <w:b/>
        </w:rPr>
      </w:pPr>
      <w:r w:rsidRPr="00D35AD9">
        <w:rPr>
          <w:b/>
        </w:rPr>
        <w:t xml:space="preserve">Pharmaceutical Applications </w:t>
      </w:r>
    </w:p>
    <w:p w14:paraId="5A780151" w14:textId="77777777" w:rsidR="00D35AD9" w:rsidRPr="00D35AD9" w:rsidRDefault="00D35AD9" w:rsidP="00005D7D">
      <w:pPr>
        <w:tabs>
          <w:tab w:val="left" w:pos="2220"/>
        </w:tabs>
        <w:spacing w:line="360" w:lineRule="auto"/>
        <w:rPr>
          <w:b/>
        </w:rPr>
      </w:pPr>
      <w:r w:rsidRPr="00D35AD9">
        <w:rPr>
          <w:b/>
        </w:rPr>
        <w:t xml:space="preserve">1) Improvement of taste </w:t>
      </w:r>
    </w:p>
    <w:p w14:paraId="48D77098" w14:textId="77777777" w:rsidR="00F46442" w:rsidRDefault="00F46442" w:rsidP="00F46442">
      <w:pPr>
        <w:tabs>
          <w:tab w:val="left" w:pos="2220"/>
        </w:tabs>
        <w:spacing w:line="360" w:lineRule="auto"/>
      </w:pPr>
      <w:r>
        <w:t>The drug's bitter, acidic, or caustic taste is a major factor in low compliance, especially among paediatric patients. There are two methods that may be used to mask the drug's unpleasant taste.</w:t>
      </w:r>
    </w:p>
    <w:p w14:paraId="0C074DD7" w14:textId="77777777" w:rsidR="00F46442" w:rsidRDefault="00F46442" w:rsidP="00F46442">
      <w:pPr>
        <w:pStyle w:val="ListParagraph"/>
        <w:numPr>
          <w:ilvl w:val="0"/>
          <w:numId w:val="9"/>
        </w:numPr>
        <w:tabs>
          <w:tab w:val="left" w:pos="2220"/>
        </w:tabs>
        <w:spacing w:line="360" w:lineRule="auto"/>
      </w:pPr>
      <w:r>
        <w:t xml:space="preserve">One, the medicine becomes less soluble in the mouth. </w:t>
      </w:r>
    </w:p>
    <w:p w14:paraId="0F41E3AF" w14:textId="77777777" w:rsidR="00F46442" w:rsidRDefault="00F46442" w:rsidP="00F46442">
      <w:pPr>
        <w:pStyle w:val="ListParagraph"/>
        <w:numPr>
          <w:ilvl w:val="0"/>
          <w:numId w:val="9"/>
        </w:numPr>
        <w:tabs>
          <w:tab w:val="left" w:pos="2220"/>
        </w:tabs>
        <w:spacing w:line="360" w:lineRule="auto"/>
      </w:pPr>
      <w:r>
        <w:lastRenderedPageBreak/>
        <w:t xml:space="preserve">Second, to eliminate the perception of bitterness or sourness by decreasing the drug's affinity for taste receptors. </w:t>
      </w:r>
    </w:p>
    <w:p w14:paraId="6DC87B5A" w14:textId="77777777" w:rsidR="00D35AD9" w:rsidRDefault="00F46442" w:rsidP="00F46442">
      <w:pPr>
        <w:pStyle w:val="ListParagraph"/>
        <w:numPr>
          <w:ilvl w:val="0"/>
          <w:numId w:val="9"/>
        </w:numPr>
        <w:tabs>
          <w:tab w:val="left" w:pos="2220"/>
        </w:tabs>
        <w:spacing w:line="360" w:lineRule="auto"/>
      </w:pPr>
      <w:r>
        <w:t>Flavor-enhanced prodrug</w:t>
      </w:r>
    </w:p>
    <w:p w14:paraId="3F31102D" w14:textId="77777777" w:rsidR="00D35AD9" w:rsidRPr="00D35AD9" w:rsidRDefault="00D35AD9" w:rsidP="00005D7D">
      <w:pPr>
        <w:tabs>
          <w:tab w:val="left" w:pos="2220"/>
        </w:tabs>
        <w:spacing w:line="360" w:lineRule="auto"/>
        <w:rPr>
          <w:b/>
        </w:rPr>
      </w:pPr>
      <w:r w:rsidRPr="00D35AD9">
        <w:rPr>
          <w:b/>
        </w:rPr>
        <w:t xml:space="preserve">2) Improvement of odor </w:t>
      </w:r>
    </w:p>
    <w:p w14:paraId="58465827" w14:textId="77777777" w:rsidR="00F46442" w:rsidRDefault="00F46442" w:rsidP="00F46442">
      <w:pPr>
        <w:tabs>
          <w:tab w:val="left" w:pos="2220"/>
        </w:tabs>
        <w:spacing w:line="360" w:lineRule="auto"/>
      </w:pPr>
      <w:r>
        <w:t xml:space="preserve">Strong odours are associated with substances that have a high vapour pressure (and a low boiling point). </w:t>
      </w:r>
    </w:p>
    <w:p w14:paraId="1DB0A6CA" w14:textId="77777777" w:rsidR="00F46442" w:rsidRDefault="00F46442" w:rsidP="00F46442">
      <w:pPr>
        <w:pStyle w:val="ListParagraph"/>
        <w:numPr>
          <w:ilvl w:val="0"/>
          <w:numId w:val="10"/>
        </w:numPr>
        <w:tabs>
          <w:tab w:val="left" w:pos="2220"/>
        </w:tabs>
        <w:spacing w:line="360" w:lineRule="auto"/>
      </w:pPr>
      <w:r>
        <w:t xml:space="preserve">For instance, ethylmercapto, a medication beneficial in treating leprosy, is transformed into its phthalate ester, which has a foul odour at boiling point (B.P.) 35c. </w:t>
      </w:r>
    </w:p>
    <w:p w14:paraId="1CFB45F6" w14:textId="77777777" w:rsidR="00D35AD9" w:rsidRDefault="00F46442" w:rsidP="00F46442">
      <w:pPr>
        <w:pStyle w:val="ListParagraph"/>
        <w:numPr>
          <w:ilvl w:val="0"/>
          <w:numId w:val="10"/>
        </w:numPr>
        <w:tabs>
          <w:tab w:val="left" w:pos="2220"/>
        </w:tabs>
        <w:spacing w:line="360" w:lineRule="auto"/>
      </w:pPr>
      <w:r>
        <w:t>High-B.P., odourless diethyldithio-isopthalate. After being rubbed into the skin, the esters in the prodrug are metabolised by thioesterase into the parent drug.</w:t>
      </w:r>
    </w:p>
    <w:p w14:paraId="6EB7B925" w14:textId="77777777" w:rsidR="00D35AD9" w:rsidRPr="00D35AD9" w:rsidRDefault="00D35AD9" w:rsidP="00005D7D">
      <w:pPr>
        <w:tabs>
          <w:tab w:val="left" w:pos="2220"/>
        </w:tabs>
        <w:spacing w:line="360" w:lineRule="auto"/>
        <w:rPr>
          <w:b/>
        </w:rPr>
      </w:pPr>
      <w:r w:rsidRPr="00D35AD9">
        <w:rPr>
          <w:b/>
        </w:rPr>
        <w:t xml:space="preserve">3) Change of physical form of drug </w:t>
      </w:r>
    </w:p>
    <w:p w14:paraId="1946A4EC" w14:textId="77777777" w:rsidR="00F46442" w:rsidRDefault="00F46442" w:rsidP="00F46442">
      <w:pPr>
        <w:tabs>
          <w:tab w:val="left" w:pos="2220"/>
        </w:tabs>
        <w:spacing w:line="360" w:lineRule="auto"/>
      </w:pPr>
      <w:r>
        <w:t xml:space="preserve">• Some medications that are only available as liquids, particularly those with very high doses, cannot be made into tablets. In order to transform a liquid medicine into a solid prodrug, a symmetrical molecule with a stronger propensity to crystallise must be formed. </w:t>
      </w:r>
    </w:p>
    <w:p w14:paraId="4631BB8A" w14:textId="77777777" w:rsidR="00D35AD9" w:rsidRDefault="00F46442" w:rsidP="00F46442">
      <w:pPr>
        <w:tabs>
          <w:tab w:val="left" w:pos="2220"/>
        </w:tabs>
        <w:spacing w:line="360" w:lineRule="auto"/>
      </w:pPr>
      <w:r>
        <w:t>• Ethyl mercapto- and trichloro-ethanol esters are an example;</w:t>
      </w:r>
    </w:p>
    <w:p w14:paraId="7CF473BF" w14:textId="77777777" w:rsidR="00D35AD9" w:rsidRPr="00D35AD9" w:rsidRDefault="00D35AD9" w:rsidP="00005D7D">
      <w:pPr>
        <w:tabs>
          <w:tab w:val="left" w:pos="2220"/>
        </w:tabs>
        <w:spacing w:line="360" w:lineRule="auto"/>
        <w:rPr>
          <w:b/>
        </w:rPr>
      </w:pPr>
      <w:r w:rsidRPr="00D35AD9">
        <w:rPr>
          <w:b/>
        </w:rPr>
        <w:t xml:space="preserve">4) Reduction in GIT irritation </w:t>
      </w:r>
    </w:p>
    <w:p w14:paraId="490965B1" w14:textId="5A64BE30" w:rsidR="00D35AD9" w:rsidRDefault="00F55D0C" w:rsidP="00005D7D">
      <w:pPr>
        <w:tabs>
          <w:tab w:val="left" w:pos="2220"/>
        </w:tabs>
        <w:spacing w:line="360" w:lineRule="auto"/>
      </w:pPr>
      <w:r w:rsidRPr="00F55D0C">
        <w:t xml:space="preserve">By making direct touch, stimulating acid secretion more, and interacting with the mucosal layer, </w:t>
      </w:r>
      <w:r w:rsidR="00F46442" w:rsidRPr="00F46442">
        <w:t>which certain drugs irritate and harm the stomach mucosa. This is notably true with salicylates among NSAIDs. They bring about an acidic stomach and ulcers.</w:t>
      </w:r>
      <w:r w:rsidR="00D35AD9">
        <w:t xml:space="preserve"> </w:t>
      </w:r>
    </w:p>
    <w:p w14:paraId="088F0228" w14:textId="77777777" w:rsidR="00D35AD9" w:rsidRPr="00D35AD9" w:rsidRDefault="00D35AD9" w:rsidP="00005D7D">
      <w:pPr>
        <w:tabs>
          <w:tab w:val="left" w:pos="2220"/>
        </w:tabs>
        <w:spacing w:line="360" w:lineRule="auto"/>
        <w:rPr>
          <w:b/>
        </w:rPr>
      </w:pPr>
      <w:r w:rsidRPr="00D35AD9">
        <w:rPr>
          <w:b/>
        </w:rPr>
        <w:t xml:space="preserve">5) Reduction of pain on injection </w:t>
      </w:r>
    </w:p>
    <w:p w14:paraId="4EC61F45" w14:textId="59813EE2" w:rsidR="006008BA" w:rsidRDefault="00F46442" w:rsidP="00F46442">
      <w:pPr>
        <w:tabs>
          <w:tab w:val="left" w:pos="2220"/>
        </w:tabs>
        <w:spacing w:line="360" w:lineRule="auto"/>
      </w:pPr>
      <w:r>
        <w:t xml:space="preserve">• </w:t>
      </w:r>
      <w:r w:rsidR="00E262D6" w:rsidRPr="00E262D6">
        <w:t>Intramuscular injections may be painful when the medication precipitates into the surrounding cell or when the fluid is extremely acidic, alkaline, or alcoholic.</w:t>
      </w:r>
    </w:p>
    <w:p w14:paraId="3B55DF95" w14:textId="77777777" w:rsidR="0017292F" w:rsidRDefault="0017292F" w:rsidP="00F46442">
      <w:pPr>
        <w:tabs>
          <w:tab w:val="left" w:pos="2220"/>
        </w:tabs>
        <w:spacing w:line="360" w:lineRule="auto"/>
      </w:pPr>
    </w:p>
    <w:p w14:paraId="04A9DC03" w14:textId="69F7495B" w:rsidR="00D35AD9" w:rsidRDefault="00F46442" w:rsidP="00F46442">
      <w:pPr>
        <w:tabs>
          <w:tab w:val="left" w:pos="2220"/>
        </w:tabs>
        <w:spacing w:line="360" w:lineRule="auto"/>
      </w:pPr>
      <w:r>
        <w:lastRenderedPageBreak/>
        <w:t>• For instance, clindomycin hydrochloride's limited water solubility and phenytoin's alkaline solution contribute to the discomfort of injection. Clindamycin's 2-phosphate ester, a more water-soluble prodrug, is one way to get around this problem.</w:t>
      </w:r>
    </w:p>
    <w:p w14:paraId="036A08D4" w14:textId="77777777" w:rsidR="00D35AD9" w:rsidRPr="00D35AD9" w:rsidRDefault="00D35AD9" w:rsidP="00005D7D">
      <w:pPr>
        <w:tabs>
          <w:tab w:val="left" w:pos="2220"/>
        </w:tabs>
        <w:spacing w:line="360" w:lineRule="auto"/>
        <w:rPr>
          <w:b/>
        </w:rPr>
      </w:pPr>
      <w:r w:rsidRPr="00D35AD9">
        <w:rPr>
          <w:b/>
        </w:rPr>
        <w:t xml:space="preserve">6) Enhancement of chemical stability </w:t>
      </w:r>
    </w:p>
    <w:p w14:paraId="15E1672A" w14:textId="77777777" w:rsidR="00F46442" w:rsidRDefault="00F46442" w:rsidP="00F46442">
      <w:pPr>
        <w:tabs>
          <w:tab w:val="left" w:pos="2220"/>
        </w:tabs>
        <w:spacing w:line="360" w:lineRule="auto"/>
      </w:pPr>
      <w:r>
        <w:t xml:space="preserve">• Stability may occur either throughout the drug's self-life or in the GIT after oral administration. In the case of an intravenous drug, steadiness in self-life is crucial. Lyophilization, the process of transforming a liquid into a powder that must be reconstituted before use, is the standard method. Another viable option for raising the agent's stability is prodrug design. </w:t>
      </w:r>
    </w:p>
    <w:p w14:paraId="033F67F0" w14:textId="77777777" w:rsidR="00F46442" w:rsidRDefault="00F46442" w:rsidP="00F46442">
      <w:pPr>
        <w:tabs>
          <w:tab w:val="left" w:pos="2220"/>
        </w:tabs>
        <w:spacing w:line="360" w:lineRule="auto"/>
      </w:pPr>
      <w:r>
        <w:t xml:space="preserve">• Azacytidine, a medication used to treat cancer. This medication is easily hydrolyzed in water, while its bisulfiteprodrug is resistant to hydrolysis and degradation at acidic pH, in addition to being more soluble in water. </w:t>
      </w:r>
    </w:p>
    <w:p w14:paraId="32832613" w14:textId="77777777" w:rsidR="00D35AD9" w:rsidRDefault="00F46442" w:rsidP="00F46442">
      <w:pPr>
        <w:tabs>
          <w:tab w:val="left" w:pos="2220"/>
        </w:tabs>
        <w:spacing w:line="360" w:lineRule="auto"/>
      </w:pPr>
      <w:r>
        <w:t>Activation of the prodrug takes place at a physiological PH of 7.4.</w:t>
      </w:r>
    </w:p>
    <w:p w14:paraId="6C58701B" w14:textId="77777777" w:rsidR="00D35AD9" w:rsidRPr="00D35AD9" w:rsidRDefault="00D35AD9" w:rsidP="00005D7D">
      <w:pPr>
        <w:tabs>
          <w:tab w:val="left" w:pos="2220"/>
        </w:tabs>
        <w:spacing w:line="360" w:lineRule="auto"/>
        <w:rPr>
          <w:b/>
        </w:rPr>
      </w:pPr>
      <w:r w:rsidRPr="00D35AD9">
        <w:rPr>
          <w:b/>
        </w:rPr>
        <w:t xml:space="preserve">Pharmacokinetic application </w:t>
      </w:r>
    </w:p>
    <w:p w14:paraId="17D1BE69" w14:textId="77777777" w:rsidR="00D35AD9" w:rsidRPr="00F46442" w:rsidRDefault="00D35AD9" w:rsidP="00005D7D">
      <w:pPr>
        <w:tabs>
          <w:tab w:val="left" w:pos="2220"/>
        </w:tabs>
        <w:spacing w:line="360" w:lineRule="auto"/>
        <w:rPr>
          <w:b/>
        </w:rPr>
      </w:pPr>
      <w:r w:rsidRPr="00F46442">
        <w:rPr>
          <w:b/>
        </w:rPr>
        <w:t xml:space="preserve">1) Enhancement of bio-availability (lipophilicity) </w:t>
      </w:r>
    </w:p>
    <w:p w14:paraId="64828CB2" w14:textId="77777777" w:rsidR="00F46442" w:rsidRDefault="00F46442" w:rsidP="00F46442">
      <w:pPr>
        <w:tabs>
          <w:tab w:val="left" w:pos="2220"/>
        </w:tabs>
        <w:spacing w:line="360" w:lineRule="auto"/>
      </w:pPr>
      <w:r>
        <w:t xml:space="preserve">Increasing bioavailability by increasing lipophilicity has several benefits, the most notable of which is a decreased need for new dose. </w:t>
      </w:r>
    </w:p>
    <w:p w14:paraId="7F5C7E99" w14:textId="77777777" w:rsidR="00D35AD9" w:rsidRDefault="00F46442" w:rsidP="00F46442">
      <w:pPr>
        <w:tabs>
          <w:tab w:val="left" w:pos="2220"/>
        </w:tabs>
        <w:spacing w:line="360" w:lineRule="auto"/>
      </w:pPr>
      <w:r>
        <w:t>For instance, about a third as much bacampicillin is needed to get the same results as ampicillin.</w:t>
      </w:r>
    </w:p>
    <w:p w14:paraId="1A71B00A" w14:textId="77777777" w:rsidR="00D35AD9" w:rsidRPr="00D35AD9" w:rsidRDefault="00D35AD9" w:rsidP="00005D7D">
      <w:pPr>
        <w:tabs>
          <w:tab w:val="left" w:pos="2220"/>
        </w:tabs>
        <w:spacing w:line="360" w:lineRule="auto"/>
        <w:rPr>
          <w:b/>
        </w:rPr>
      </w:pPr>
      <w:r w:rsidRPr="00D35AD9">
        <w:rPr>
          <w:b/>
        </w:rPr>
        <w:t xml:space="preserve">2) Prevention of presystemic metabolism </w:t>
      </w:r>
    </w:p>
    <w:p w14:paraId="167B3E3C" w14:textId="77777777" w:rsidR="00F46442" w:rsidRDefault="00F46442" w:rsidP="00F46442">
      <w:pPr>
        <w:tabs>
          <w:tab w:val="left" w:pos="2220"/>
        </w:tabs>
        <w:spacing w:line="360" w:lineRule="auto"/>
      </w:pPr>
      <w:r>
        <w:t xml:space="preserve">• The use of corticosteroid esters or prodrugs may reduce the significant first-pass hepatic metabolism that occurs with a number of corticosteroids. </w:t>
      </w:r>
    </w:p>
    <w:p w14:paraId="110F4C08" w14:textId="77777777" w:rsidR="00F46442" w:rsidRDefault="00F46442" w:rsidP="00F46442">
      <w:pPr>
        <w:tabs>
          <w:tab w:val="left" w:pos="2220"/>
        </w:tabs>
        <w:spacing w:line="360" w:lineRule="auto"/>
      </w:pPr>
      <w:r>
        <w:t xml:space="preserve">• Triamcin is one such example. </w:t>
      </w:r>
    </w:p>
    <w:p w14:paraId="12E48648" w14:textId="77777777" w:rsidR="00F46442" w:rsidRDefault="00F46442" w:rsidP="00F46442">
      <w:pPr>
        <w:tabs>
          <w:tab w:val="left" w:pos="2220"/>
        </w:tabs>
        <w:spacing w:line="360" w:lineRule="auto"/>
      </w:pPr>
      <w:r>
        <w:lastRenderedPageBreak/>
        <w:t xml:space="preserve">Drugs with short biological half-lives must be dosed more often. Controlled drug release and prodrug strategies may be used to get around this problem. </w:t>
      </w:r>
    </w:p>
    <w:p w14:paraId="562E9F13" w14:textId="77777777" w:rsidR="007727BF" w:rsidRDefault="00F46442" w:rsidP="00F46442">
      <w:pPr>
        <w:tabs>
          <w:tab w:val="left" w:pos="2220"/>
        </w:tabs>
        <w:spacing w:line="360" w:lineRule="auto"/>
      </w:pPr>
      <w:r>
        <w:t xml:space="preserve">1. </w:t>
      </w:r>
      <w:r w:rsidR="007A00ED" w:rsidRPr="007A00ED">
        <w:t>How quickly the prodrug enters the bloodstream once it has been applied or injected;</w:t>
      </w:r>
    </w:p>
    <w:p w14:paraId="76ECC821" w14:textId="7C975F44" w:rsidR="00F46442" w:rsidRDefault="00F46442" w:rsidP="00F46442">
      <w:pPr>
        <w:tabs>
          <w:tab w:val="left" w:pos="2220"/>
        </w:tabs>
        <w:spacing w:line="360" w:lineRule="auto"/>
      </w:pPr>
      <w:r>
        <w:t xml:space="preserve">2. The pace at which the prodrug is metabolised in the body. </w:t>
      </w:r>
    </w:p>
    <w:p w14:paraId="74C6A20E" w14:textId="1C401055" w:rsidR="00D35AD9" w:rsidRDefault="007727BF" w:rsidP="00F46442">
      <w:pPr>
        <w:tabs>
          <w:tab w:val="left" w:pos="2220"/>
        </w:tabs>
        <w:spacing w:line="360" w:lineRule="auto"/>
      </w:pPr>
      <w:r w:rsidRPr="007727BF">
        <w:t>The rate at which a prodrug is metabolised by the liver is known as its "prodrug hepatic clearance</w:t>
      </w:r>
      <w:r>
        <w:t>”</w:t>
      </w:r>
      <w:r w:rsidR="00F46442">
        <w:t>.</w:t>
      </w:r>
    </w:p>
    <w:p w14:paraId="0343EDE6" w14:textId="77777777" w:rsidR="00D35AD9" w:rsidRPr="00D35AD9" w:rsidRDefault="00D35AD9" w:rsidP="00005D7D">
      <w:pPr>
        <w:tabs>
          <w:tab w:val="left" w:pos="2220"/>
        </w:tabs>
        <w:spacing w:line="360" w:lineRule="auto"/>
        <w:rPr>
          <w:b/>
        </w:rPr>
      </w:pPr>
      <w:r w:rsidRPr="00D35AD9">
        <w:rPr>
          <w:b/>
        </w:rPr>
        <w:t xml:space="preserve">3) Reduction of toxicity </w:t>
      </w:r>
    </w:p>
    <w:p w14:paraId="600A38F0" w14:textId="77777777" w:rsidR="00F46442" w:rsidRDefault="00F46442" w:rsidP="00F46442">
      <w:pPr>
        <w:pStyle w:val="ListParagraph"/>
        <w:numPr>
          <w:ilvl w:val="0"/>
          <w:numId w:val="11"/>
        </w:numPr>
        <w:tabs>
          <w:tab w:val="left" w:pos="2220"/>
        </w:tabs>
        <w:spacing w:line="360" w:lineRule="auto"/>
      </w:pPr>
      <w:r>
        <w:t xml:space="preserve">A drug's design should aim to create a compound with both high activity and minimal toxicity. </w:t>
      </w:r>
    </w:p>
    <w:p w14:paraId="03374BBA" w14:textId="0873B40B" w:rsidR="00F46442" w:rsidRDefault="00F94CB0" w:rsidP="00F46442">
      <w:pPr>
        <w:pStyle w:val="ListParagraph"/>
        <w:numPr>
          <w:ilvl w:val="0"/>
          <w:numId w:val="11"/>
        </w:numPr>
        <w:tabs>
          <w:tab w:val="left" w:pos="2220"/>
        </w:tabs>
        <w:spacing w:line="360" w:lineRule="auto"/>
      </w:pPr>
      <w:r w:rsidRPr="00F94CB0">
        <w:t xml:space="preserve">Prodrug design has been utilised before to deal with the problem of systemic medications generating undesirable local effects, </w:t>
      </w:r>
      <w:r w:rsidR="00F46442">
        <w:t xml:space="preserve">such as gastrointestinal discomfort with NSAIDs. </w:t>
      </w:r>
    </w:p>
    <w:p w14:paraId="7B60BE56" w14:textId="77777777" w:rsidR="00D35AD9" w:rsidRDefault="00F46442" w:rsidP="00F46442">
      <w:pPr>
        <w:pStyle w:val="ListParagraph"/>
        <w:numPr>
          <w:ilvl w:val="0"/>
          <w:numId w:val="11"/>
        </w:numPr>
        <w:tabs>
          <w:tab w:val="left" w:pos="2220"/>
        </w:tabs>
        <w:spacing w:line="360" w:lineRule="auto"/>
      </w:pPr>
      <w:r>
        <w:t>Bioprecursorsulindac is still another example. It is transformed to a sulfoxide, which is easier on the stomach and allows for improved absorption into the bloodstream.</w:t>
      </w:r>
    </w:p>
    <w:p w14:paraId="4972EA0C" w14:textId="77777777" w:rsidR="00D35AD9" w:rsidRPr="00D35AD9" w:rsidRDefault="00D35AD9" w:rsidP="00005D7D">
      <w:pPr>
        <w:tabs>
          <w:tab w:val="left" w:pos="2220"/>
        </w:tabs>
        <w:spacing w:line="360" w:lineRule="auto"/>
        <w:rPr>
          <w:b/>
        </w:rPr>
      </w:pPr>
      <w:r w:rsidRPr="00D35AD9">
        <w:rPr>
          <w:b/>
        </w:rPr>
        <w:t xml:space="preserve">4) Site-specific drug delivery </w:t>
      </w:r>
    </w:p>
    <w:p w14:paraId="5889A20E" w14:textId="77777777" w:rsidR="00D35AD9" w:rsidRDefault="00D35AD9" w:rsidP="00005D7D">
      <w:pPr>
        <w:tabs>
          <w:tab w:val="left" w:pos="2220"/>
        </w:tabs>
        <w:spacing w:line="360" w:lineRule="auto"/>
      </w:pPr>
      <w:r>
        <w:sym w:font="Symbol" w:char="F0B7"/>
      </w:r>
      <w:r>
        <w:t xml:space="preserve"> </w:t>
      </w:r>
      <w:r w:rsidR="00F46442" w:rsidRPr="00F46442">
        <w:t>When a medicine enters the bloodstream, it travels to all parts of the body, both the intended target and the rest of the body.</w:t>
      </w:r>
      <w:r>
        <w:t xml:space="preserve"> </w:t>
      </w:r>
    </w:p>
    <w:p w14:paraId="331AC8CE" w14:textId="77777777" w:rsidR="00D35AD9" w:rsidRPr="00D35AD9" w:rsidRDefault="00D35AD9" w:rsidP="00005D7D">
      <w:pPr>
        <w:tabs>
          <w:tab w:val="left" w:pos="2220"/>
        </w:tabs>
        <w:spacing w:line="360" w:lineRule="auto"/>
        <w:rPr>
          <w:b/>
        </w:rPr>
      </w:pPr>
      <w:r w:rsidRPr="00D35AD9">
        <w:rPr>
          <w:b/>
        </w:rPr>
        <w:t>LI</w:t>
      </w:r>
      <w:r w:rsidR="00F46442">
        <w:rPr>
          <w:b/>
        </w:rPr>
        <w:t xml:space="preserve">MITATIONS OF PRODRUG DESIGN: </w:t>
      </w:r>
    </w:p>
    <w:p w14:paraId="6D54D399" w14:textId="77777777" w:rsidR="0030598D" w:rsidRDefault="00F46442" w:rsidP="00F46442">
      <w:pPr>
        <w:tabs>
          <w:tab w:val="left" w:pos="2220"/>
        </w:tabs>
        <w:spacing w:line="360" w:lineRule="auto"/>
      </w:pPr>
      <w:r>
        <w:t xml:space="preserve">Prodrug design has been quite effective in reducing a number of undesired drug features, </w:t>
      </w:r>
      <w:r w:rsidR="0017292F" w:rsidRPr="0017292F">
        <w:t>The assessment of pharmacological, pharmacokinetic, toxicological, and clinical features, in particular, may provide a number of novel difficulties.</w:t>
      </w:r>
    </w:p>
    <w:p w14:paraId="6F6203D8" w14:textId="4030B8A2" w:rsidR="0021529B" w:rsidRDefault="00F46442" w:rsidP="00F46442">
      <w:pPr>
        <w:tabs>
          <w:tab w:val="left" w:pos="2220"/>
        </w:tabs>
        <w:spacing w:line="360" w:lineRule="auto"/>
      </w:pPr>
      <w:r w:rsidRPr="00F46442">
        <w:rPr>
          <w:b/>
        </w:rPr>
        <w:t>Pharmacological issues:</w:t>
      </w:r>
      <w:r>
        <w:t xml:space="preserve"> </w:t>
      </w:r>
      <w:r w:rsidR="0030598D" w:rsidRPr="0030598D">
        <w:t>Preliminary in vitro screening approaches, such as binding tests, reuptake of neurotransmitters, as well as enzyme inhibition assessment, are not possible since bioactivation to their active species is needed</w:t>
      </w:r>
      <w:r w:rsidR="009A2538" w:rsidRPr="009A2538">
        <w:t>.</w:t>
      </w:r>
    </w:p>
    <w:p w14:paraId="13BE2914" w14:textId="67FF460D" w:rsidR="00F46442" w:rsidRDefault="00F46442" w:rsidP="00F46442">
      <w:pPr>
        <w:tabs>
          <w:tab w:val="left" w:pos="2220"/>
        </w:tabs>
        <w:spacing w:line="360" w:lineRule="auto"/>
      </w:pPr>
      <w:r w:rsidRPr="00F46442">
        <w:rPr>
          <w:b/>
        </w:rPr>
        <w:lastRenderedPageBreak/>
        <w:t>Toxicological issues</w:t>
      </w:r>
      <w:r>
        <w:t xml:space="preserve"> </w:t>
      </w:r>
      <w:r w:rsidR="0021529B" w:rsidRPr="0021529B">
        <w:t xml:space="preserve">include releasing pharmacokinetic modifiers that may trigger enzymes or modify drug excretion, producing hazardous byproducts, and using up important molecules throughout the prodrug activation process. </w:t>
      </w:r>
      <w:r>
        <w:t>These toxicity mechanisms are unique to prodrugs and are not present in parent drugs.</w:t>
      </w:r>
    </w:p>
    <w:p w14:paraId="013AB1E5" w14:textId="09AB713F" w:rsidR="00F46442" w:rsidRDefault="00F46442" w:rsidP="00F46442">
      <w:pPr>
        <w:tabs>
          <w:tab w:val="left" w:pos="2220"/>
        </w:tabs>
        <w:spacing w:line="360" w:lineRule="auto"/>
      </w:pPr>
      <w:r w:rsidRPr="00F46442">
        <w:rPr>
          <w:b/>
        </w:rPr>
        <w:t xml:space="preserve">Pharmacokinetic Issues: </w:t>
      </w:r>
      <w:r w:rsidR="00AA471C" w:rsidRPr="00AA471C">
        <w:t xml:space="preserve">Problems in the pharmacokinetic investigations suggest that the mutual prodrug is not the optimal substrate for the activating enzymes. </w:t>
      </w:r>
      <w:r>
        <w:t xml:space="preserve">Numerous misunderstandings may result from pharmacokinetic research. One must consider the variations in their separate time periods of action when comparing mutual prodrugs and parent compounds. </w:t>
      </w:r>
      <w:r w:rsidR="00B67B04" w:rsidRPr="00B67B04">
        <w:t>In other cases, mutual prodrugs may not reach their full potential until far later than their parent substances.</w:t>
      </w:r>
      <w:r w:rsidR="005D6CE8" w:rsidRPr="005D6CE8">
        <w:t xml:space="preserve"> a comparison of AUC is a more appropriate criterion</w:t>
      </w:r>
      <w:r>
        <w:t>.</w:t>
      </w:r>
    </w:p>
    <w:p w14:paraId="43C75890" w14:textId="466BC1CD" w:rsidR="00CB55DA" w:rsidRDefault="00F46442" w:rsidP="00F46442">
      <w:pPr>
        <w:tabs>
          <w:tab w:val="left" w:pos="2220"/>
        </w:tabs>
        <w:spacing w:line="360" w:lineRule="auto"/>
        <w:rPr>
          <w:b/>
        </w:rPr>
      </w:pPr>
      <w:r w:rsidRPr="00F46442">
        <w:rPr>
          <w:b/>
        </w:rPr>
        <w:t>Clinical stage issues:</w:t>
      </w:r>
      <w:r>
        <w:t xml:space="preserve"> Animal tests' ability to predict human behaviour is also under dispute. </w:t>
      </w:r>
      <w:r w:rsidR="007B0990" w:rsidRPr="007B0990">
        <w:t>Although two prodrugs derived from the same parent medicine may seem to have equivalent active doses in rats, this may not be the case in human research</w:t>
      </w:r>
      <w:r>
        <w:t>.</w:t>
      </w:r>
    </w:p>
    <w:p w14:paraId="519D52E5" w14:textId="77777777" w:rsidR="00D35AD9" w:rsidRPr="00CB55DA" w:rsidRDefault="00CB55DA" w:rsidP="00CB55DA">
      <w:pPr>
        <w:rPr>
          <w:b/>
        </w:rPr>
      </w:pPr>
      <w:r w:rsidRPr="00CB55DA">
        <w:rPr>
          <w:b/>
        </w:rPr>
        <w:t xml:space="preserve">Conclusion </w:t>
      </w:r>
    </w:p>
    <w:p w14:paraId="1B82048B" w14:textId="45D363EE" w:rsidR="00CB55DA" w:rsidRDefault="0097456D" w:rsidP="00CB55DA">
      <w:pPr>
        <w:spacing w:line="360" w:lineRule="auto"/>
      </w:pPr>
      <w:r w:rsidRPr="0097456D">
        <w:t xml:space="preserve">The development of prodrugs has great potential to increase the therapeutic efficacy and/or decrease the adverse effects of pharmacologically active treatments. This approach improves the drug's solubility, stability, permeability, bioavailability, and biological half-life, and administration efficiency by directing it to specific tissues. </w:t>
      </w:r>
      <w:r w:rsidR="009D2828" w:rsidRPr="009D2828">
        <w:t xml:space="preserve">Therefore, the incorporation of prodrugs into the standard model of drug development should come as no surprise. A rising number of newly authorised pharmacological substances are prodrugs, demonstrating their significance. Although prodrug design has come a long way, particularly in the early phases of drug development, </w:t>
      </w:r>
      <w:r w:rsidR="002F4437" w:rsidRPr="002F4437">
        <w:t>Much research and development is needed before prodrugs may be considered cutting edge in modern pharmacotherapy</w:t>
      </w:r>
      <w:r w:rsidR="00CB55DA" w:rsidRPr="00CB55DA">
        <w:t>.</w:t>
      </w:r>
    </w:p>
    <w:p w14:paraId="65F50ACE" w14:textId="77777777" w:rsidR="00BF17CC" w:rsidRPr="00BF17CC" w:rsidRDefault="00BF17CC" w:rsidP="00CB55DA">
      <w:pPr>
        <w:spacing w:line="360" w:lineRule="auto"/>
        <w:rPr>
          <w:b/>
        </w:rPr>
      </w:pPr>
      <w:r w:rsidRPr="00BF17CC">
        <w:rPr>
          <w:b/>
        </w:rPr>
        <w:t xml:space="preserve">References </w:t>
      </w:r>
    </w:p>
    <w:p w14:paraId="04AC7787" w14:textId="77777777" w:rsidR="001A6358" w:rsidRPr="001A6358" w:rsidRDefault="005617D9" w:rsidP="001A6358">
      <w:pPr>
        <w:widowControl w:val="0"/>
        <w:autoSpaceDE w:val="0"/>
        <w:autoSpaceDN w:val="0"/>
        <w:adjustRightInd w:val="0"/>
        <w:spacing w:line="360" w:lineRule="auto"/>
        <w:ind w:left="640" w:hanging="640"/>
        <w:rPr>
          <w:rFonts w:cs="Times New Roman"/>
          <w:noProof/>
          <w:szCs w:val="24"/>
        </w:rPr>
      </w:pPr>
      <w:r>
        <w:fldChar w:fldCharType="begin" w:fldLock="1"/>
      </w:r>
      <w:r w:rsidR="00BF17CC">
        <w:instrText xml:space="preserve">ADDIN Mendeley Bibliography CSL_BIBLIOGRAPHY </w:instrText>
      </w:r>
      <w:r>
        <w:fldChar w:fldCharType="separate"/>
      </w:r>
      <w:r w:rsidR="001A6358" w:rsidRPr="001A6358">
        <w:rPr>
          <w:rFonts w:cs="Times New Roman"/>
          <w:noProof/>
          <w:szCs w:val="24"/>
        </w:rPr>
        <w:t>[1]</w:t>
      </w:r>
      <w:r w:rsidR="001A6358" w:rsidRPr="001A6358">
        <w:rPr>
          <w:rFonts w:cs="Times New Roman"/>
          <w:noProof/>
          <w:szCs w:val="24"/>
        </w:rPr>
        <w:tab/>
        <w:t xml:space="preserve">J. H. Burn, </w:t>
      </w:r>
      <w:r w:rsidR="001A6358" w:rsidRPr="001A6358">
        <w:rPr>
          <w:rFonts w:cs="Times New Roman"/>
          <w:i/>
          <w:iCs/>
          <w:noProof/>
          <w:szCs w:val="24"/>
        </w:rPr>
        <w:t>Medical Pharmacology</w:t>
      </w:r>
      <w:r w:rsidR="001A6358" w:rsidRPr="001A6358">
        <w:rPr>
          <w:rFonts w:cs="Times New Roman"/>
          <w:noProof/>
          <w:szCs w:val="24"/>
        </w:rPr>
        <w:t>, vol. 2, no. 5260. 1961. doi: 10.1136/bmj.2.5260.1131.</w:t>
      </w:r>
    </w:p>
    <w:p w14:paraId="67721EBA"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[2]</w:t>
      </w:r>
      <w:r w:rsidRPr="001A6358">
        <w:rPr>
          <w:rFonts w:cs="Times New Roman"/>
          <w:noProof/>
          <w:szCs w:val="24"/>
        </w:rPr>
        <w:tab/>
        <w:t>P. R. Ram, P. Priyanka, L. Shreekrishna, and S. Saroj, “Research Article Prodrug As a Novel Approach of Drug Delivery- a Review,” vol. 5, no. 3, pp. 5–9, 2015.</w:t>
      </w:r>
    </w:p>
    <w:p w14:paraId="2011B79D"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lastRenderedPageBreak/>
        <w:t>[3]</w:t>
      </w:r>
      <w:r w:rsidRPr="001A6358">
        <w:rPr>
          <w:rFonts w:cs="Times New Roman"/>
          <w:noProof/>
          <w:szCs w:val="24"/>
        </w:rPr>
        <w:tab/>
        <w:t xml:space="preserve">Gennaro A, </w:t>
      </w:r>
      <w:r w:rsidRPr="001A6358">
        <w:rPr>
          <w:rFonts w:cs="Times New Roman"/>
          <w:i/>
          <w:iCs/>
          <w:noProof/>
          <w:szCs w:val="24"/>
        </w:rPr>
        <w:t>“The Science and Practice of Pharmacy.,”</w:t>
      </w:r>
      <w:r w:rsidRPr="001A6358">
        <w:rPr>
          <w:rFonts w:cs="Times New Roman"/>
          <w:noProof/>
          <w:szCs w:val="24"/>
        </w:rPr>
        <w:t xml:space="preserve"> vol. 6(11). 2000.</w:t>
      </w:r>
    </w:p>
    <w:p w14:paraId="62BDC70B"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[4]</w:t>
      </w:r>
      <w:r w:rsidRPr="001A6358">
        <w:rPr>
          <w:rFonts w:cs="Times New Roman"/>
          <w:noProof/>
          <w:szCs w:val="24"/>
        </w:rPr>
        <w:tab/>
        <w:t xml:space="preserve">K. Kumar, “Drug Design: An Overview,” </w:t>
      </w:r>
      <w:r w:rsidRPr="001A6358">
        <w:rPr>
          <w:rFonts w:cs="Times New Roman"/>
          <w:i/>
          <w:iCs/>
          <w:noProof/>
          <w:szCs w:val="24"/>
        </w:rPr>
        <w:t>Med. Anal. Chem. Int. J.</w:t>
      </w:r>
      <w:r w:rsidRPr="001A6358">
        <w:rPr>
          <w:rFonts w:cs="Times New Roman"/>
          <w:noProof/>
          <w:szCs w:val="24"/>
        </w:rPr>
        <w:t>, vol. 3, no. 2, pp. 232–241, 2019, doi: 10.23880/macij-16000136.</w:t>
      </w:r>
    </w:p>
    <w:p w14:paraId="2589D600"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[5]</w:t>
      </w:r>
      <w:r w:rsidRPr="001A6358">
        <w:rPr>
          <w:rFonts w:cs="Times New Roman"/>
          <w:noProof/>
          <w:szCs w:val="24"/>
        </w:rPr>
        <w:tab/>
        <w:t xml:space="preserve">B. Testa, “Prodrugs: bridging pharmacodynamic/pharmacokinetic gaps,” </w:t>
      </w:r>
      <w:r w:rsidRPr="001A6358">
        <w:rPr>
          <w:rFonts w:cs="Times New Roman"/>
          <w:i/>
          <w:iCs/>
          <w:noProof/>
          <w:szCs w:val="24"/>
        </w:rPr>
        <w:t>Curr. Opin. Chem. Biol.</w:t>
      </w:r>
      <w:r w:rsidRPr="001A6358">
        <w:rPr>
          <w:rFonts w:cs="Times New Roman"/>
          <w:noProof/>
          <w:szCs w:val="24"/>
        </w:rPr>
        <w:t>, vol. 13, no. 3, pp. 338–344, 2009, doi: https://doi.org/10.1016/j.cbpa.2009.04.620.</w:t>
      </w:r>
    </w:p>
    <w:p w14:paraId="33E39225"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[6]</w:t>
      </w:r>
      <w:r w:rsidRPr="001A6358">
        <w:rPr>
          <w:rFonts w:cs="Times New Roman"/>
          <w:noProof/>
          <w:szCs w:val="24"/>
        </w:rPr>
        <w:tab/>
        <w:t xml:space="preserve">K. Laine and K. Huttunen, </w:t>
      </w:r>
      <w:r w:rsidRPr="001A6358">
        <w:rPr>
          <w:rFonts w:cs="Times New Roman"/>
          <w:i/>
          <w:iCs/>
          <w:noProof/>
          <w:szCs w:val="24"/>
        </w:rPr>
        <w:t>Enzyme-Activated Prodrug Strategies for Site-Selective Drug Delivery</w:t>
      </w:r>
      <w:r w:rsidRPr="001A6358">
        <w:rPr>
          <w:rFonts w:cs="Times New Roman"/>
          <w:noProof/>
          <w:szCs w:val="24"/>
        </w:rPr>
        <w:t>. 2011. doi: 10.1002/9783527633166.ch10.</w:t>
      </w:r>
    </w:p>
    <w:p w14:paraId="3C6A6E9B"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[7]</w:t>
      </w:r>
      <w:r w:rsidRPr="001A6358">
        <w:rPr>
          <w:rFonts w:cs="Times New Roman"/>
          <w:noProof/>
          <w:szCs w:val="24"/>
        </w:rPr>
        <w:tab/>
        <w:t>D. Teagarden and N. Sandeep, “Prodrugs: Challenges and Rewards (Part 1, Biotechnology: Pharmaceutical Aspects).,” 2007.</w:t>
      </w:r>
    </w:p>
    <w:p w14:paraId="5A220FFE"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[8]</w:t>
      </w:r>
      <w:r w:rsidRPr="001A6358">
        <w:rPr>
          <w:rFonts w:cs="Times New Roman"/>
          <w:noProof/>
          <w:szCs w:val="24"/>
        </w:rPr>
        <w:tab/>
        <w:t xml:space="preserve">V. J. Stella, “Prodrugs: Some Thoughts and Current Issues,” </w:t>
      </w:r>
      <w:r w:rsidRPr="001A6358">
        <w:rPr>
          <w:rFonts w:cs="Times New Roman"/>
          <w:i/>
          <w:iCs/>
          <w:noProof/>
          <w:szCs w:val="24"/>
        </w:rPr>
        <w:t>J. Pharm. Sci.</w:t>
      </w:r>
      <w:r w:rsidRPr="001A6358">
        <w:rPr>
          <w:rFonts w:cs="Times New Roman"/>
          <w:noProof/>
          <w:szCs w:val="24"/>
        </w:rPr>
        <w:t>, vol. 99, no. 12, pp. 4755–4765, 2010, doi: https://doi.org/10.1002/jps.22205.</w:t>
      </w:r>
    </w:p>
    <w:p w14:paraId="67CC5B63"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[9]</w:t>
      </w:r>
      <w:r w:rsidRPr="001A6358">
        <w:rPr>
          <w:rFonts w:cs="Times New Roman"/>
          <w:noProof/>
          <w:szCs w:val="24"/>
        </w:rPr>
        <w:tab/>
        <w:t xml:space="preserve">. K. M. ., . S. A. ., . D. R. ., and . P. S. ., “A Prodrug Design: Synthesis and Biological Screening of Cox II Inhibitor,” </w:t>
      </w:r>
      <w:r w:rsidRPr="001A6358">
        <w:rPr>
          <w:rFonts w:cs="Times New Roman"/>
          <w:i/>
          <w:iCs/>
          <w:noProof/>
          <w:szCs w:val="24"/>
        </w:rPr>
        <w:t>J. Curr. Pharma Res.</w:t>
      </w:r>
      <w:r w:rsidRPr="001A6358">
        <w:rPr>
          <w:rFonts w:cs="Times New Roman"/>
          <w:noProof/>
          <w:szCs w:val="24"/>
        </w:rPr>
        <w:t>, vol. 3, no. 2, pp. 784–790, 2013, doi: 10.33786/jcpr.2013.v03i02.002.</w:t>
      </w:r>
    </w:p>
    <w:p w14:paraId="25DAD62F"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[10]</w:t>
      </w:r>
      <w:r w:rsidRPr="001A6358">
        <w:rPr>
          <w:rFonts w:cs="Times New Roman"/>
          <w:noProof/>
          <w:szCs w:val="24"/>
        </w:rPr>
        <w:tab/>
        <w:t xml:space="preserve">V. Abet, F. Filace, J. Recio, J. Alvarez-Builla, and C. Burgos, “Prodrug approach: An overview of recent cases,” </w:t>
      </w:r>
      <w:r w:rsidRPr="001A6358">
        <w:rPr>
          <w:rFonts w:cs="Times New Roman"/>
          <w:i/>
          <w:iCs/>
          <w:noProof/>
          <w:szCs w:val="24"/>
        </w:rPr>
        <w:t>Eur. J. Med. Chem.</w:t>
      </w:r>
      <w:r w:rsidRPr="001A6358">
        <w:rPr>
          <w:rFonts w:cs="Times New Roman"/>
          <w:noProof/>
          <w:szCs w:val="24"/>
        </w:rPr>
        <w:t>, vol. 127, pp. 810–827, 2017, doi: https://doi.org/10.1016/j.ejmech.2016.10.061.</w:t>
      </w:r>
    </w:p>
    <w:p w14:paraId="57578E28"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[11]</w:t>
      </w:r>
      <w:r w:rsidRPr="001A6358">
        <w:rPr>
          <w:rFonts w:cs="Times New Roman"/>
          <w:noProof/>
          <w:szCs w:val="24"/>
        </w:rPr>
        <w:tab/>
        <w:t xml:space="preserve">M. W. H. Richard B. Silverman, </w:t>
      </w:r>
      <w:r w:rsidRPr="001A6358">
        <w:rPr>
          <w:rFonts w:cs="Times New Roman"/>
          <w:i/>
          <w:iCs/>
          <w:noProof/>
          <w:szCs w:val="24"/>
        </w:rPr>
        <w:t>The Organic Chemistry of Drug Design and Drug Action</w:t>
      </w:r>
      <w:r w:rsidRPr="001A6358">
        <w:rPr>
          <w:rFonts w:cs="Times New Roman"/>
          <w:noProof/>
          <w:szCs w:val="24"/>
        </w:rPr>
        <w:t>. 1992. doi: 10.1016/c2009-0-22221-5.</w:t>
      </w:r>
    </w:p>
    <w:p w14:paraId="54F58081"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[12]</w:t>
      </w:r>
      <w:r w:rsidRPr="001A6358">
        <w:rPr>
          <w:rFonts w:cs="Times New Roman"/>
          <w:noProof/>
          <w:szCs w:val="24"/>
        </w:rPr>
        <w:tab/>
        <w:t xml:space="preserve">N. R. Srinivas, “The rationality for using prodrug approach in drug discovery programs for new xenobiotics: opportunities and challenges,” </w:t>
      </w:r>
      <w:r w:rsidRPr="001A6358">
        <w:rPr>
          <w:rFonts w:cs="Times New Roman"/>
          <w:i/>
          <w:iCs/>
          <w:noProof/>
          <w:szCs w:val="24"/>
        </w:rPr>
        <w:t>Eur. J. Drug Metab. Pharmacokinet.</w:t>
      </w:r>
      <w:r w:rsidRPr="001A6358">
        <w:rPr>
          <w:rFonts w:cs="Times New Roman"/>
          <w:noProof/>
          <w:szCs w:val="24"/>
        </w:rPr>
        <w:t>, vol. 36, no. 2, pp. 49–59, 2011, doi: 10.1007/s13318-011-0035-z.</w:t>
      </w:r>
    </w:p>
    <w:p w14:paraId="694FA4E2"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[13]</w:t>
      </w:r>
      <w:r w:rsidRPr="001A6358">
        <w:rPr>
          <w:rFonts w:cs="Times New Roman"/>
          <w:noProof/>
          <w:szCs w:val="24"/>
        </w:rPr>
        <w:tab/>
        <w:t xml:space="preserve">M. Markovic, S. Ben-Shabat, and A. Dahan, “Prodrugs for improved drug delivery: Lessons learned from recently developed and marketed products,” </w:t>
      </w:r>
      <w:r w:rsidRPr="001A6358">
        <w:rPr>
          <w:rFonts w:cs="Times New Roman"/>
          <w:i/>
          <w:iCs/>
          <w:noProof/>
          <w:szCs w:val="24"/>
        </w:rPr>
        <w:t>Pharmaceutics</w:t>
      </w:r>
      <w:r w:rsidRPr="001A6358">
        <w:rPr>
          <w:rFonts w:cs="Times New Roman"/>
          <w:noProof/>
          <w:szCs w:val="24"/>
        </w:rPr>
        <w:t>, vol. 12, no. 11, pp. 1–12, 2020, doi: 10.3390/pharmaceutics12111031.</w:t>
      </w:r>
    </w:p>
    <w:p w14:paraId="2F757201"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lastRenderedPageBreak/>
        <w:t>[14]</w:t>
      </w:r>
      <w:r w:rsidRPr="001A6358">
        <w:rPr>
          <w:rFonts w:cs="Times New Roman"/>
          <w:noProof/>
          <w:szCs w:val="24"/>
        </w:rPr>
        <w:tab/>
        <w:t xml:space="preserve">N. Das, M. Dhanawat, B. Dash, R. C. Nagarwal, and S. K. Shrivastava, “Codrug: An efficient approach for drug optimization,” </w:t>
      </w:r>
      <w:r w:rsidRPr="001A6358">
        <w:rPr>
          <w:rFonts w:cs="Times New Roman"/>
          <w:i/>
          <w:iCs/>
          <w:noProof/>
          <w:szCs w:val="24"/>
        </w:rPr>
        <w:t>Eur. J. Pharm. Sci.</w:t>
      </w:r>
      <w:r w:rsidRPr="001A6358">
        <w:rPr>
          <w:rFonts w:cs="Times New Roman"/>
          <w:noProof/>
          <w:szCs w:val="24"/>
        </w:rPr>
        <w:t>, vol. 41, no. 5, pp. 571–588, 2010, doi: 10.1016/j.ejps.2010.09.014.</w:t>
      </w:r>
    </w:p>
    <w:p w14:paraId="47A36C86"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[15]</w:t>
      </w:r>
      <w:r w:rsidRPr="001A6358">
        <w:rPr>
          <w:rFonts w:cs="Times New Roman"/>
          <w:noProof/>
          <w:szCs w:val="24"/>
        </w:rPr>
        <w:tab/>
        <w:t xml:space="preserve">K. M. Wu, “A new classification of prodrugs: Regulatory perspectives,” </w:t>
      </w:r>
      <w:r w:rsidRPr="001A6358">
        <w:rPr>
          <w:rFonts w:cs="Times New Roman"/>
          <w:i/>
          <w:iCs/>
          <w:noProof/>
          <w:szCs w:val="24"/>
        </w:rPr>
        <w:t>Pharmaceuticals</w:t>
      </w:r>
      <w:r w:rsidRPr="001A6358">
        <w:rPr>
          <w:rFonts w:cs="Times New Roman"/>
          <w:noProof/>
          <w:szCs w:val="24"/>
        </w:rPr>
        <w:t>, vol. 2, no. 3, pp. 77–81, 2009, doi: 10.3390/ph2030077.</w:t>
      </w:r>
    </w:p>
    <w:p w14:paraId="63873A8D"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[16]</w:t>
      </w:r>
      <w:r w:rsidRPr="001A6358">
        <w:rPr>
          <w:rFonts w:cs="Times New Roman"/>
          <w:noProof/>
          <w:szCs w:val="24"/>
        </w:rPr>
        <w:tab/>
        <w:t xml:space="preserve">K. Beaumont, R. Webster, I. Gardner, and K. Dack, “Design of Ester Prodrugs to Enhance Oral Absorption of Poorly Permeable Compounds: Challenges to the Discovery Scientist,” </w:t>
      </w:r>
      <w:r w:rsidRPr="001A6358">
        <w:rPr>
          <w:rFonts w:cs="Times New Roman"/>
          <w:i/>
          <w:iCs/>
          <w:noProof/>
          <w:szCs w:val="24"/>
        </w:rPr>
        <w:t>Curr. Drug Metab.</w:t>
      </w:r>
      <w:r w:rsidRPr="001A6358">
        <w:rPr>
          <w:rFonts w:cs="Times New Roman"/>
          <w:noProof/>
          <w:szCs w:val="24"/>
        </w:rPr>
        <w:t>, vol. 4, no. 6, pp. 461–485, 2005, doi: 10.2174/1389200033489253.</w:t>
      </w:r>
    </w:p>
    <w:p w14:paraId="55DE2650"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[17]</w:t>
      </w:r>
      <w:r w:rsidRPr="001A6358">
        <w:rPr>
          <w:rFonts w:cs="Times New Roman"/>
          <w:noProof/>
          <w:szCs w:val="24"/>
        </w:rPr>
        <w:tab/>
        <w:t xml:space="preserve">J. Rautio </w:t>
      </w:r>
      <w:r w:rsidRPr="001A6358">
        <w:rPr>
          <w:rFonts w:cs="Times New Roman"/>
          <w:i/>
          <w:iCs/>
          <w:noProof/>
          <w:szCs w:val="24"/>
        </w:rPr>
        <w:t>et al.</w:t>
      </w:r>
      <w:r w:rsidRPr="001A6358">
        <w:rPr>
          <w:rFonts w:cs="Times New Roman"/>
          <w:noProof/>
          <w:szCs w:val="24"/>
        </w:rPr>
        <w:t xml:space="preserve">, “Prodrugs: Design and clinical applications,” </w:t>
      </w:r>
      <w:r w:rsidRPr="001A6358">
        <w:rPr>
          <w:rFonts w:cs="Times New Roman"/>
          <w:i/>
          <w:iCs/>
          <w:noProof/>
          <w:szCs w:val="24"/>
        </w:rPr>
        <w:t>Nat. Rev. Drug Discov.</w:t>
      </w:r>
      <w:r w:rsidRPr="001A6358">
        <w:rPr>
          <w:rFonts w:cs="Times New Roman"/>
          <w:noProof/>
          <w:szCs w:val="24"/>
        </w:rPr>
        <w:t>, vol. 7, no. 3, pp. 255–270, 2008, doi: 10.1038/nrd2468.</w:t>
      </w:r>
    </w:p>
    <w:p w14:paraId="4670A4E7"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[18]</w:t>
      </w:r>
      <w:r w:rsidRPr="001A6358">
        <w:rPr>
          <w:rFonts w:cs="Times New Roman"/>
          <w:noProof/>
          <w:szCs w:val="24"/>
        </w:rPr>
        <w:tab/>
        <w:t xml:space="preserve">J. B. Zawilska, J. Wojcieszak, and A. B. Olejniczak, “Prodrugs: A challenge for the drug development,” </w:t>
      </w:r>
      <w:r w:rsidRPr="001A6358">
        <w:rPr>
          <w:rFonts w:cs="Times New Roman"/>
          <w:i/>
          <w:iCs/>
          <w:noProof/>
          <w:szCs w:val="24"/>
        </w:rPr>
        <w:t>Pharmacol. Reports</w:t>
      </w:r>
      <w:r w:rsidRPr="001A6358">
        <w:rPr>
          <w:rFonts w:cs="Times New Roman"/>
          <w:noProof/>
          <w:szCs w:val="24"/>
        </w:rPr>
        <w:t>, vol. 65, no. 1, pp. 1–14, 2013, doi: 10.1016/S1734-1140(13)70959-9.</w:t>
      </w:r>
    </w:p>
    <w:p w14:paraId="6A730396"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[19]</w:t>
      </w:r>
      <w:r w:rsidRPr="001A6358">
        <w:rPr>
          <w:rFonts w:cs="Times New Roman"/>
          <w:noProof/>
          <w:szCs w:val="24"/>
        </w:rPr>
        <w:tab/>
        <w:t xml:space="preserve">B. M. A. Sanches and E. I. Ferreira, “Is prodrug design an approach to increase water solubility?,” </w:t>
      </w:r>
      <w:r w:rsidRPr="001A6358">
        <w:rPr>
          <w:rFonts w:cs="Times New Roman"/>
          <w:i/>
          <w:iCs/>
          <w:noProof/>
          <w:szCs w:val="24"/>
        </w:rPr>
        <w:t>Int. J. Pharm.</w:t>
      </w:r>
      <w:r w:rsidRPr="001A6358">
        <w:rPr>
          <w:rFonts w:cs="Times New Roman"/>
          <w:noProof/>
          <w:szCs w:val="24"/>
        </w:rPr>
        <w:t>, vol. 568, no. May, p. 118498, 2019, doi: 10.1016/j.ijpharm.2019.118498.</w:t>
      </w:r>
    </w:p>
    <w:p w14:paraId="595D913E"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[20]</w:t>
      </w:r>
      <w:r w:rsidRPr="001A6358">
        <w:rPr>
          <w:rFonts w:cs="Times New Roman"/>
          <w:noProof/>
          <w:szCs w:val="24"/>
        </w:rPr>
        <w:tab/>
        <w:t xml:space="preserve">T. Ye </w:t>
      </w:r>
      <w:r w:rsidRPr="001A6358">
        <w:rPr>
          <w:rFonts w:cs="Times New Roman"/>
          <w:i/>
          <w:iCs/>
          <w:noProof/>
          <w:szCs w:val="24"/>
        </w:rPr>
        <w:t>et al.</w:t>
      </w:r>
      <w:r w:rsidRPr="001A6358">
        <w:rPr>
          <w:rFonts w:cs="Times New Roman"/>
          <w:noProof/>
          <w:szCs w:val="24"/>
        </w:rPr>
        <w:t xml:space="preserve">, “Prodrugs incorporated into nanotechnology-based drug delivery systems for possible improvement in bioavailability of ocular drugs delivery,” </w:t>
      </w:r>
      <w:r w:rsidRPr="001A6358">
        <w:rPr>
          <w:rFonts w:cs="Times New Roman"/>
          <w:i/>
          <w:iCs/>
          <w:noProof/>
          <w:szCs w:val="24"/>
        </w:rPr>
        <w:t>Asian J. Pharm. Sci.</w:t>
      </w:r>
      <w:r w:rsidRPr="001A6358">
        <w:rPr>
          <w:rFonts w:cs="Times New Roman"/>
          <w:noProof/>
          <w:szCs w:val="24"/>
        </w:rPr>
        <w:t>, vol. 8, no. 4, pp. 207–217, 2013, doi: 10.1016/j.ajps.2013.09.002.</w:t>
      </w:r>
    </w:p>
    <w:p w14:paraId="7599EC1C"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[21]</w:t>
      </w:r>
      <w:r w:rsidRPr="001A6358">
        <w:rPr>
          <w:rFonts w:cs="Times New Roman"/>
          <w:noProof/>
          <w:szCs w:val="24"/>
        </w:rPr>
        <w:tab/>
        <w:t xml:space="preserve">J. L. Zaro, “Lipid-Based Drug Carriers for Prodrugs to Enhance Drug Delivery,” </w:t>
      </w:r>
      <w:r w:rsidRPr="001A6358">
        <w:rPr>
          <w:rFonts w:cs="Times New Roman"/>
          <w:i/>
          <w:iCs/>
          <w:noProof/>
          <w:szCs w:val="24"/>
        </w:rPr>
        <w:t>AAPS J.</w:t>
      </w:r>
      <w:r w:rsidRPr="001A6358">
        <w:rPr>
          <w:rFonts w:cs="Times New Roman"/>
          <w:noProof/>
          <w:szCs w:val="24"/>
        </w:rPr>
        <w:t>, vol. 17, no. 1, pp. 83–92, 2015, doi: 10.1208/s12248-014-9670-z.</w:t>
      </w:r>
    </w:p>
    <w:p w14:paraId="2D03E04A"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[22]</w:t>
      </w:r>
      <w:r w:rsidRPr="001A6358">
        <w:rPr>
          <w:rFonts w:cs="Times New Roman"/>
          <w:noProof/>
          <w:szCs w:val="24"/>
        </w:rPr>
        <w:tab/>
        <w:t xml:space="preserve">M. G. Márquez, R. Dotson, S. Pias, L. V. Frolova, and M. S. Tartis, “Phospholipid prodrug conjugates of insoluble chemotherapeutic agents for ultrasound targeted drug delivery,” </w:t>
      </w:r>
      <w:r w:rsidRPr="001A6358">
        <w:rPr>
          <w:rFonts w:cs="Times New Roman"/>
          <w:i/>
          <w:iCs/>
          <w:noProof/>
          <w:szCs w:val="24"/>
        </w:rPr>
        <w:t>Nanotheranostics</w:t>
      </w:r>
      <w:r w:rsidRPr="001A6358">
        <w:rPr>
          <w:rFonts w:cs="Times New Roman"/>
          <w:noProof/>
          <w:szCs w:val="24"/>
        </w:rPr>
        <w:t>, vol. 4, no. 1, pp. 40–56, 2020, doi: 10.7150/ntno.37738.</w:t>
      </w:r>
    </w:p>
    <w:p w14:paraId="08C042F0"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[23]</w:t>
      </w:r>
      <w:r w:rsidRPr="001A6358">
        <w:rPr>
          <w:rFonts w:cs="Times New Roman"/>
          <w:noProof/>
          <w:szCs w:val="24"/>
        </w:rPr>
        <w:tab/>
        <w:t xml:space="preserve">L. Huang, J. Yang, T. Wang, J. Gao, and D. Xu, “Engineering of small-molecule lipidic prodrugs as novel nanomedicines for enhanced drug delivery,” </w:t>
      </w:r>
      <w:r w:rsidRPr="001A6358">
        <w:rPr>
          <w:rFonts w:cs="Times New Roman"/>
          <w:i/>
          <w:iCs/>
          <w:noProof/>
          <w:szCs w:val="24"/>
        </w:rPr>
        <w:t xml:space="preserve">J. </w:t>
      </w:r>
      <w:r w:rsidRPr="001A6358">
        <w:rPr>
          <w:rFonts w:cs="Times New Roman"/>
          <w:i/>
          <w:iCs/>
          <w:noProof/>
          <w:szCs w:val="24"/>
        </w:rPr>
        <w:lastRenderedPageBreak/>
        <w:t>Nanobiotechnology</w:t>
      </w:r>
      <w:r w:rsidRPr="001A6358">
        <w:rPr>
          <w:rFonts w:cs="Times New Roman"/>
          <w:noProof/>
          <w:szCs w:val="24"/>
        </w:rPr>
        <w:t>, vol. 20, no. 1, p. 49, 2022, doi: 10.1186/s12951-022-01257-4.</w:t>
      </w:r>
    </w:p>
    <w:p w14:paraId="52D4B2AD"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[24]</w:t>
      </w:r>
      <w:r w:rsidRPr="001A6358">
        <w:rPr>
          <w:rFonts w:cs="Times New Roman"/>
          <w:noProof/>
          <w:szCs w:val="24"/>
        </w:rPr>
        <w:tab/>
        <w:t xml:space="preserve">N. Yadav, S. Khatak, and U. V. Singh Sara, “Solid lipid nanoparticles- A review,” </w:t>
      </w:r>
      <w:r w:rsidRPr="001A6358">
        <w:rPr>
          <w:rFonts w:cs="Times New Roman"/>
          <w:i/>
          <w:iCs/>
          <w:noProof/>
          <w:szCs w:val="24"/>
        </w:rPr>
        <w:t>Int. J. Appl. Pharm.</w:t>
      </w:r>
      <w:r w:rsidRPr="001A6358">
        <w:rPr>
          <w:rFonts w:cs="Times New Roman"/>
          <w:noProof/>
          <w:szCs w:val="24"/>
        </w:rPr>
        <w:t>, vol. 5, no. 2, pp. 8–18, 2013, doi: 10.9790/3013-26103444.</w:t>
      </w:r>
    </w:p>
    <w:p w14:paraId="44D7673F"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[25]</w:t>
      </w:r>
      <w:r w:rsidRPr="001A6358">
        <w:rPr>
          <w:rFonts w:cs="Times New Roman"/>
          <w:noProof/>
          <w:szCs w:val="24"/>
        </w:rPr>
        <w:tab/>
        <w:t xml:space="preserve">C. A. S. Bergström and A. Avdeef, “Perspectives in solubility measurement and interpretation,” </w:t>
      </w:r>
      <w:r w:rsidRPr="001A6358">
        <w:rPr>
          <w:rFonts w:cs="Times New Roman"/>
          <w:i/>
          <w:iCs/>
          <w:noProof/>
          <w:szCs w:val="24"/>
        </w:rPr>
        <w:t>ADMET DMPK</w:t>
      </w:r>
      <w:r w:rsidRPr="001A6358">
        <w:rPr>
          <w:rFonts w:cs="Times New Roman"/>
          <w:noProof/>
          <w:szCs w:val="24"/>
        </w:rPr>
        <w:t>, vol. 7, no. 2, pp. 88–105, 2019, doi: 10.5599/admet.686.</w:t>
      </w:r>
    </w:p>
    <w:p w14:paraId="16A0B1E8"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[26]</w:t>
      </w:r>
      <w:r w:rsidRPr="001A6358">
        <w:rPr>
          <w:rFonts w:cs="Times New Roman"/>
          <w:noProof/>
          <w:szCs w:val="24"/>
        </w:rPr>
        <w:tab/>
        <w:t xml:space="preserve">K. Mazumder </w:t>
      </w:r>
      <w:r w:rsidRPr="001A6358">
        <w:rPr>
          <w:rFonts w:cs="Times New Roman"/>
          <w:i/>
          <w:iCs/>
          <w:noProof/>
          <w:szCs w:val="24"/>
        </w:rPr>
        <w:t>et al.</w:t>
      </w:r>
      <w:r w:rsidRPr="001A6358">
        <w:rPr>
          <w:rFonts w:cs="Times New Roman"/>
          <w:noProof/>
          <w:szCs w:val="24"/>
        </w:rPr>
        <w:t xml:space="preserve">, “In silico analysis and experimental evaluation of ester prodrugs of ketoprofen for oral delivery: With a view to reduce toxicity,” </w:t>
      </w:r>
      <w:r w:rsidRPr="001A6358">
        <w:rPr>
          <w:rFonts w:cs="Times New Roman"/>
          <w:i/>
          <w:iCs/>
          <w:noProof/>
          <w:szCs w:val="24"/>
        </w:rPr>
        <w:t>Processes</w:t>
      </w:r>
      <w:r w:rsidRPr="001A6358">
        <w:rPr>
          <w:rFonts w:cs="Times New Roman"/>
          <w:noProof/>
          <w:szCs w:val="24"/>
        </w:rPr>
        <w:t>, vol. 9, no. 12, 2021, doi: 10.3390/pr9122221.</w:t>
      </w:r>
    </w:p>
    <w:p w14:paraId="2DD5D8D7"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[27]</w:t>
      </w:r>
      <w:r w:rsidRPr="001A6358">
        <w:rPr>
          <w:rFonts w:cs="Times New Roman"/>
          <w:noProof/>
          <w:szCs w:val="24"/>
        </w:rPr>
        <w:tab/>
        <w:t xml:space="preserve">S. Liu </w:t>
      </w:r>
      <w:r w:rsidRPr="001A6358">
        <w:rPr>
          <w:rFonts w:cs="Times New Roman"/>
          <w:i/>
          <w:iCs/>
          <w:noProof/>
          <w:szCs w:val="24"/>
        </w:rPr>
        <w:t>et al.</w:t>
      </w:r>
      <w:r w:rsidRPr="001A6358">
        <w:rPr>
          <w:rFonts w:cs="Times New Roman"/>
          <w:noProof/>
          <w:szCs w:val="24"/>
        </w:rPr>
        <w:t xml:space="preserve">, “Synthesis and biological evaluation of paclitaxel and vorinostat co-prodrugs for overcoming drug resistance in cancer therapy in vitro,” </w:t>
      </w:r>
      <w:r w:rsidRPr="001A6358">
        <w:rPr>
          <w:rFonts w:cs="Times New Roman"/>
          <w:i/>
          <w:iCs/>
          <w:noProof/>
          <w:szCs w:val="24"/>
        </w:rPr>
        <w:t>Bioorganic Med. Chem.</w:t>
      </w:r>
      <w:r w:rsidRPr="001A6358">
        <w:rPr>
          <w:rFonts w:cs="Times New Roman"/>
          <w:noProof/>
          <w:szCs w:val="24"/>
        </w:rPr>
        <w:t>, vol. 27, no. 7, pp. 1405–1413, 2019, doi: 10.1016/j.bmc.2019.02.046.</w:t>
      </w:r>
    </w:p>
    <w:p w14:paraId="7FEC757C"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[28]</w:t>
      </w:r>
      <w:r w:rsidRPr="001A6358">
        <w:rPr>
          <w:rFonts w:cs="Times New Roman"/>
          <w:noProof/>
          <w:szCs w:val="24"/>
        </w:rPr>
        <w:tab/>
        <w:t xml:space="preserve">A. M. Ahmad, “Potential pharmacokinetic interactions between antiretrovirals and medicinal plants used as complementary and African traditional medicines,” </w:t>
      </w:r>
      <w:r w:rsidRPr="001A6358">
        <w:rPr>
          <w:rFonts w:cs="Times New Roman"/>
          <w:i/>
          <w:iCs/>
          <w:noProof/>
          <w:szCs w:val="24"/>
        </w:rPr>
        <w:t>Biopharm. Drug Dispos.</w:t>
      </w:r>
      <w:r w:rsidRPr="001A6358">
        <w:rPr>
          <w:rFonts w:cs="Times New Roman"/>
          <w:noProof/>
          <w:szCs w:val="24"/>
        </w:rPr>
        <w:t>, vol. 28, no. 3, pp. 135–143, 2007, doi: 10.1002/bdd.</w:t>
      </w:r>
    </w:p>
    <w:p w14:paraId="2D641DE5"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[29]</w:t>
      </w:r>
      <w:r w:rsidRPr="001A6358">
        <w:rPr>
          <w:rFonts w:cs="Times New Roman"/>
          <w:noProof/>
          <w:szCs w:val="24"/>
        </w:rPr>
        <w:tab/>
        <w:t xml:space="preserve">C. E. Müller, “Prodrug approaches for enhancing the bioavailability of drugs with low solubility,” </w:t>
      </w:r>
      <w:r w:rsidRPr="001A6358">
        <w:rPr>
          <w:rFonts w:cs="Times New Roman"/>
          <w:i/>
          <w:iCs/>
          <w:noProof/>
          <w:szCs w:val="24"/>
        </w:rPr>
        <w:t>Chem. Biodivers.</w:t>
      </w:r>
      <w:r w:rsidRPr="001A6358">
        <w:rPr>
          <w:rFonts w:cs="Times New Roman"/>
          <w:noProof/>
          <w:szCs w:val="24"/>
        </w:rPr>
        <w:t>, vol. 6, no. 11, pp. 2071–2083, 2009, doi: 10.1002/cbdv.200900114.</w:t>
      </w:r>
    </w:p>
    <w:p w14:paraId="74DB99CD"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[30]</w:t>
      </w:r>
      <w:r w:rsidRPr="001A6358">
        <w:rPr>
          <w:rFonts w:cs="Times New Roman"/>
          <w:noProof/>
          <w:szCs w:val="24"/>
        </w:rPr>
        <w:tab/>
        <w:t xml:space="preserve">V. J. Stella and K. W. Nti-Addae, “Prodrug strategies to overcome poor water solubility,” </w:t>
      </w:r>
      <w:r w:rsidRPr="001A6358">
        <w:rPr>
          <w:rFonts w:cs="Times New Roman"/>
          <w:i/>
          <w:iCs/>
          <w:noProof/>
          <w:szCs w:val="24"/>
        </w:rPr>
        <w:t>Adv. Drug Deliv. Rev.</w:t>
      </w:r>
      <w:r w:rsidRPr="001A6358">
        <w:rPr>
          <w:rFonts w:cs="Times New Roman"/>
          <w:noProof/>
          <w:szCs w:val="24"/>
        </w:rPr>
        <w:t>, vol. 59, no. 7, pp. 677–694, 2007, doi: 10.1016/j.addr.2007.05.013.</w:t>
      </w:r>
    </w:p>
    <w:p w14:paraId="27A855D8"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[31]</w:t>
      </w:r>
      <w:r w:rsidRPr="001A6358">
        <w:rPr>
          <w:rFonts w:cs="Times New Roman"/>
          <w:noProof/>
          <w:szCs w:val="24"/>
        </w:rPr>
        <w:tab/>
        <w:t xml:space="preserve">D. Vytla, R. E. Combs-Bachmann, A. M. Hussey, S. T. McCarron, D. S. McCarthy, and J. J. Chambers, “Prodrug approaches to reduce hyperexcitation in the CNS,” </w:t>
      </w:r>
      <w:r w:rsidRPr="001A6358">
        <w:rPr>
          <w:rFonts w:cs="Times New Roman"/>
          <w:i/>
          <w:iCs/>
          <w:noProof/>
          <w:szCs w:val="24"/>
        </w:rPr>
        <w:t>Adv. Drug Deliv. Rev.</w:t>
      </w:r>
      <w:r w:rsidRPr="001A6358">
        <w:rPr>
          <w:rFonts w:cs="Times New Roman"/>
          <w:noProof/>
          <w:szCs w:val="24"/>
        </w:rPr>
        <w:t>, vol. 64, no. 7, pp. 666–685, 2012, doi: 10.1016/j.addr.2011.11.007.</w:t>
      </w:r>
    </w:p>
    <w:p w14:paraId="7FF2096B"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[32]</w:t>
      </w:r>
      <w:r w:rsidRPr="001A6358">
        <w:rPr>
          <w:rFonts w:cs="Times New Roman"/>
          <w:noProof/>
          <w:szCs w:val="24"/>
        </w:rPr>
        <w:tab/>
        <w:t xml:space="preserve">G. E. Granero and G. L. Amidon, “Stability of valacyclovir: Implications for its oral bioavailability,” </w:t>
      </w:r>
      <w:r w:rsidRPr="001A6358">
        <w:rPr>
          <w:rFonts w:cs="Times New Roman"/>
          <w:i/>
          <w:iCs/>
          <w:noProof/>
          <w:szCs w:val="24"/>
        </w:rPr>
        <w:t>Int. J. Pharm.</w:t>
      </w:r>
      <w:r w:rsidRPr="001A6358">
        <w:rPr>
          <w:rFonts w:cs="Times New Roman"/>
          <w:noProof/>
          <w:szCs w:val="24"/>
        </w:rPr>
        <w:t>, vol. 317, no. 1, pp. 14–18, 2006, doi: 10.1016/j.ijpharm.2006.01.050.</w:t>
      </w:r>
    </w:p>
    <w:p w14:paraId="036058CB"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lastRenderedPageBreak/>
        <w:t>[33]</w:t>
      </w:r>
      <w:r w:rsidRPr="001A6358">
        <w:rPr>
          <w:rFonts w:cs="Times New Roman"/>
          <w:noProof/>
          <w:szCs w:val="24"/>
        </w:rPr>
        <w:tab/>
        <w:t xml:space="preserve">S. Jana, S. Mandlekar, and P. Marathe, “Prodrug Design to Improve Pharmacokinetic and Drug Delivery Properties: Challenges to the Discovery Scientists,” </w:t>
      </w:r>
      <w:r w:rsidRPr="001A6358">
        <w:rPr>
          <w:rFonts w:cs="Times New Roman"/>
          <w:i/>
          <w:iCs/>
          <w:noProof/>
          <w:szCs w:val="24"/>
        </w:rPr>
        <w:t>Curr. Med. Chem.</w:t>
      </w:r>
      <w:r w:rsidRPr="001A6358">
        <w:rPr>
          <w:rFonts w:cs="Times New Roman"/>
          <w:noProof/>
          <w:szCs w:val="24"/>
        </w:rPr>
        <w:t>, vol. 17, no. 32, pp. 3874–3908, 2010, doi: 10.2174/092986710793205426.</w:t>
      </w:r>
    </w:p>
    <w:p w14:paraId="223B0E3C"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[34]</w:t>
      </w:r>
      <w:r w:rsidRPr="001A6358">
        <w:rPr>
          <w:rFonts w:cs="Times New Roman"/>
          <w:noProof/>
          <w:szCs w:val="24"/>
        </w:rPr>
        <w:tab/>
        <w:t xml:space="preserve">D. Psimadas, P. Georgoulias, V. Valotassiou, and G. Loudos, “Molecular Nanomedicine Towards Cancer :,” </w:t>
      </w:r>
      <w:r w:rsidRPr="001A6358">
        <w:rPr>
          <w:rFonts w:cs="Times New Roman"/>
          <w:i/>
          <w:iCs/>
          <w:noProof/>
          <w:szCs w:val="24"/>
        </w:rPr>
        <w:t>J. Pharm. Sci.</w:t>
      </w:r>
      <w:r w:rsidRPr="001A6358">
        <w:rPr>
          <w:rFonts w:cs="Times New Roman"/>
          <w:noProof/>
          <w:szCs w:val="24"/>
        </w:rPr>
        <w:t>, vol. 101, no. 7, pp. 2271–2280, 2012, doi: 10.1002/jps.</w:t>
      </w:r>
    </w:p>
    <w:p w14:paraId="4E9DC6E6"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[35]</w:t>
      </w:r>
      <w:r w:rsidRPr="001A6358">
        <w:rPr>
          <w:rFonts w:cs="Times New Roman"/>
          <w:noProof/>
          <w:szCs w:val="24"/>
        </w:rPr>
        <w:tab/>
        <w:t xml:space="preserve">W. G. Eisert, N. Hauel, J. Stangier, W. Wienen, A. Clemens, and J. Van Ryn, “Dabigatran: An oral novel potent reversible nonpeptide inhibitor of thrombin,” </w:t>
      </w:r>
      <w:r w:rsidRPr="001A6358">
        <w:rPr>
          <w:rFonts w:cs="Times New Roman"/>
          <w:i/>
          <w:iCs/>
          <w:noProof/>
          <w:szCs w:val="24"/>
        </w:rPr>
        <w:t>Arterioscler. Thromb. Vasc. Biol.</w:t>
      </w:r>
      <w:r w:rsidRPr="001A6358">
        <w:rPr>
          <w:rFonts w:cs="Times New Roman"/>
          <w:noProof/>
          <w:szCs w:val="24"/>
        </w:rPr>
        <w:t>, vol. 30, no. 10, pp. 1885–1889, 2010, doi: 10.1161/ATVBAHA.110.203604.</w:t>
      </w:r>
    </w:p>
    <w:p w14:paraId="15E43AC0"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[36]</w:t>
      </w:r>
      <w:r w:rsidRPr="001A6358">
        <w:rPr>
          <w:rFonts w:cs="Times New Roman"/>
          <w:noProof/>
          <w:szCs w:val="24"/>
        </w:rPr>
        <w:tab/>
        <w:t xml:space="preserve">S. Blech, T. Ebner, E. Ludwig-Schwellinger, J. Stangier, and W. Roth, “DABE po </w:t>
      </w:r>
      <w:r w:rsidRPr="001A6358">
        <w:rPr>
          <w:rFonts w:eastAsia="MS Gothic" w:cs="Times New Roman" w:hint="eastAsia"/>
          <w:noProof/>
          <w:szCs w:val="24"/>
        </w:rPr>
        <w:t>ヒト（</w:t>
      </w:r>
      <w:r w:rsidRPr="001A6358">
        <w:rPr>
          <w:rFonts w:cs="Times New Roman"/>
          <w:noProof/>
          <w:szCs w:val="24"/>
        </w:rPr>
        <w:t>Galtine</w:t>
      </w:r>
      <w:r w:rsidRPr="001A6358">
        <w:rPr>
          <w:rFonts w:eastAsia="MS Gothic" w:cs="Times New Roman" w:hint="eastAsia"/>
          <w:noProof/>
          <w:szCs w:val="24"/>
        </w:rPr>
        <w:t>が使用）</w:t>
      </w:r>
      <w:r w:rsidRPr="001A6358">
        <w:rPr>
          <w:rFonts w:cs="Times New Roman"/>
          <w:noProof/>
          <w:szCs w:val="24"/>
        </w:rPr>
        <w:t xml:space="preserve">,” </w:t>
      </w:r>
      <w:r w:rsidRPr="001A6358">
        <w:rPr>
          <w:rFonts w:cs="Times New Roman"/>
          <w:i/>
          <w:iCs/>
          <w:noProof/>
          <w:szCs w:val="24"/>
        </w:rPr>
        <w:t>Drug Metab. Dispos.</w:t>
      </w:r>
      <w:r w:rsidRPr="001A6358">
        <w:rPr>
          <w:rFonts w:cs="Times New Roman"/>
          <w:noProof/>
          <w:szCs w:val="24"/>
        </w:rPr>
        <w:t>, vol. 36, no. 2, pp. 386–399, 2008, doi: 10.1124/dmd.107.019083.atrial.</w:t>
      </w:r>
    </w:p>
    <w:p w14:paraId="6FAE9F61"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[37]</w:t>
      </w:r>
      <w:r w:rsidRPr="001A6358">
        <w:rPr>
          <w:rFonts w:cs="Times New Roman"/>
          <w:noProof/>
          <w:szCs w:val="24"/>
        </w:rPr>
        <w:tab/>
        <w:t xml:space="preserve">K. M. Huttunen and J. Rautio, “Prodrugs - An Efficient Way to Breach Delivery and Targeting Barriers,” </w:t>
      </w:r>
      <w:r w:rsidRPr="001A6358">
        <w:rPr>
          <w:rFonts w:cs="Times New Roman"/>
          <w:i/>
          <w:iCs/>
          <w:noProof/>
          <w:szCs w:val="24"/>
        </w:rPr>
        <w:t>Curr. Top. Med. Chem.</w:t>
      </w:r>
      <w:r w:rsidRPr="001A6358">
        <w:rPr>
          <w:rFonts w:cs="Times New Roman"/>
          <w:noProof/>
          <w:szCs w:val="24"/>
        </w:rPr>
        <w:t>, vol. 11, no. 18, pp. 2265–2287, 2011, doi: 10.2174/156802611797183230.</w:t>
      </w:r>
    </w:p>
    <w:p w14:paraId="19253EF5"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[38]</w:t>
      </w:r>
      <w:r w:rsidRPr="001A6358">
        <w:rPr>
          <w:rFonts w:cs="Times New Roman"/>
          <w:noProof/>
          <w:szCs w:val="24"/>
        </w:rPr>
        <w:tab/>
        <w:t xml:space="preserve">R. Mahato, W. Tai, and K. Cheng, “Prodrugs for improving tumor targetability and efficiency,” </w:t>
      </w:r>
      <w:r w:rsidRPr="001A6358">
        <w:rPr>
          <w:rFonts w:cs="Times New Roman"/>
          <w:i/>
          <w:iCs/>
          <w:noProof/>
          <w:szCs w:val="24"/>
        </w:rPr>
        <w:t>Adv. Drug Deliv. Rev.</w:t>
      </w:r>
      <w:r w:rsidRPr="001A6358">
        <w:rPr>
          <w:rFonts w:cs="Times New Roman"/>
          <w:noProof/>
          <w:szCs w:val="24"/>
        </w:rPr>
        <w:t>, vol. 63, no. 8, pp. 659–670, 2011, doi: 10.1016/j.addr.2011.02.002.</w:t>
      </w:r>
    </w:p>
    <w:p w14:paraId="44ECF414"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[39]</w:t>
      </w:r>
      <w:r w:rsidRPr="001A6358">
        <w:rPr>
          <w:rFonts w:cs="Times New Roman"/>
          <w:noProof/>
          <w:szCs w:val="24"/>
        </w:rPr>
        <w:tab/>
        <w:t>L.-A. Svenssont, A. Tunek, and A. B. Stability, “BlOACTlVATlON OF PRESYSTEMICALLY STABLE PRODRUGS *,” vol. 19, no. 2, pp. 165–194, 1988.</w:t>
      </w:r>
    </w:p>
    <w:p w14:paraId="515C6A26"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[40]</w:t>
      </w:r>
      <w:r w:rsidRPr="001A6358">
        <w:rPr>
          <w:rFonts w:cs="Times New Roman"/>
          <w:noProof/>
          <w:szCs w:val="24"/>
        </w:rPr>
        <w:tab/>
        <w:t xml:space="preserve">N. J. Abbott, A. A. K. Patabendige, D. E. M. Dolman, S. R. Yusof, and D. J. Begley, “Structure and function of the blood-brain barrier,” </w:t>
      </w:r>
      <w:r w:rsidRPr="001A6358">
        <w:rPr>
          <w:rFonts w:cs="Times New Roman"/>
          <w:i/>
          <w:iCs/>
          <w:noProof/>
          <w:szCs w:val="24"/>
        </w:rPr>
        <w:t>Neurobiol. Dis.</w:t>
      </w:r>
      <w:r w:rsidRPr="001A6358">
        <w:rPr>
          <w:rFonts w:cs="Times New Roman"/>
          <w:noProof/>
          <w:szCs w:val="24"/>
        </w:rPr>
        <w:t>, vol. 37, no. 1, pp. 13–25, 2010, doi: 10.1016/j.nbd.2009.07.030.</w:t>
      </w:r>
    </w:p>
    <w:p w14:paraId="61610733"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[41]</w:t>
      </w:r>
      <w:r w:rsidRPr="001A6358">
        <w:rPr>
          <w:rFonts w:cs="Times New Roman"/>
          <w:noProof/>
          <w:szCs w:val="24"/>
        </w:rPr>
        <w:tab/>
        <w:t xml:space="preserve">M. M. Patel, B. R. Goyal, S. V Bhadada, J. S. Bhatt, and A. F. Amin, “Getting into the Brain,” </w:t>
      </w:r>
      <w:r w:rsidRPr="001A6358">
        <w:rPr>
          <w:rFonts w:cs="Times New Roman"/>
          <w:i/>
          <w:iCs/>
          <w:noProof/>
          <w:szCs w:val="24"/>
        </w:rPr>
        <w:t>CNS Drugs</w:t>
      </w:r>
      <w:r w:rsidRPr="001A6358">
        <w:rPr>
          <w:rFonts w:cs="Times New Roman"/>
          <w:noProof/>
          <w:szCs w:val="24"/>
        </w:rPr>
        <w:t>, vol. 23, no. 1, pp. 35–58, 2009, doi: 10.2165/0023210-200923010-00003.</w:t>
      </w:r>
    </w:p>
    <w:p w14:paraId="625E0FBC"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lastRenderedPageBreak/>
        <w:t>[42]</w:t>
      </w:r>
      <w:r w:rsidRPr="001A6358">
        <w:rPr>
          <w:rFonts w:cs="Times New Roman"/>
          <w:noProof/>
          <w:szCs w:val="24"/>
        </w:rPr>
        <w:tab/>
        <w:t xml:space="preserve">A. Dahan, M. Khamis, R. Agbaria, and R. Karaman, “Targeted prodrugs in oral drug delivery: The modern molecular biopharmaceutical approach,” </w:t>
      </w:r>
      <w:r w:rsidRPr="001A6358">
        <w:rPr>
          <w:rFonts w:cs="Times New Roman"/>
          <w:i/>
          <w:iCs/>
          <w:noProof/>
          <w:szCs w:val="24"/>
        </w:rPr>
        <w:t>Expert Opin. Drug Deliv.</w:t>
      </w:r>
      <w:r w:rsidRPr="001A6358">
        <w:rPr>
          <w:rFonts w:cs="Times New Roman"/>
          <w:noProof/>
          <w:szCs w:val="24"/>
        </w:rPr>
        <w:t>, vol. 9, no. 8, pp. 1001–1013, 2012, doi: 10.1517/17425247.2012.697055.</w:t>
      </w:r>
    </w:p>
    <w:p w14:paraId="4D8E81D4"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[43]</w:t>
      </w:r>
      <w:r w:rsidRPr="001A6358">
        <w:rPr>
          <w:rFonts w:cs="Times New Roman"/>
          <w:noProof/>
          <w:szCs w:val="24"/>
        </w:rPr>
        <w:tab/>
        <w:t xml:space="preserve">R. Karaman, “Prodrugs design based on inter- and intramolecular chemical processes,” </w:t>
      </w:r>
      <w:r w:rsidRPr="001A6358">
        <w:rPr>
          <w:rFonts w:cs="Times New Roman"/>
          <w:i/>
          <w:iCs/>
          <w:noProof/>
          <w:szCs w:val="24"/>
        </w:rPr>
        <w:t>Chem. Biol. Drug Des.</w:t>
      </w:r>
      <w:r w:rsidRPr="001A6358">
        <w:rPr>
          <w:rFonts w:cs="Times New Roman"/>
          <w:noProof/>
          <w:szCs w:val="24"/>
        </w:rPr>
        <w:t>, vol. 82, no. 6, pp. 643–668, 2013, doi: 10.1111/cbdd.12224.</w:t>
      </w:r>
    </w:p>
    <w:p w14:paraId="6F177662"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[44]</w:t>
      </w:r>
      <w:r w:rsidRPr="001A6358">
        <w:rPr>
          <w:rFonts w:cs="Times New Roman"/>
          <w:noProof/>
          <w:szCs w:val="24"/>
        </w:rPr>
        <w:tab/>
        <w:t xml:space="preserve">J. M. Lecomte </w:t>
      </w:r>
      <w:r w:rsidRPr="001A6358">
        <w:rPr>
          <w:rFonts w:cs="Times New Roman"/>
          <w:i/>
          <w:iCs/>
          <w:noProof/>
          <w:szCs w:val="24"/>
        </w:rPr>
        <w:t>et al.</w:t>
      </w:r>
      <w:r w:rsidRPr="001A6358">
        <w:rPr>
          <w:rFonts w:cs="Times New Roman"/>
          <w:noProof/>
          <w:szCs w:val="24"/>
        </w:rPr>
        <w:t xml:space="preserve">, “Pharmacological properties of acetorphan, a parenterally active ‘enkephalinase’ inhibitor,” </w:t>
      </w:r>
      <w:r w:rsidRPr="001A6358">
        <w:rPr>
          <w:rFonts w:cs="Times New Roman"/>
          <w:i/>
          <w:iCs/>
          <w:noProof/>
          <w:szCs w:val="24"/>
        </w:rPr>
        <w:t>J. Pharmacol. Exp. Ther.</w:t>
      </w:r>
      <w:r w:rsidRPr="001A6358">
        <w:rPr>
          <w:rFonts w:cs="Times New Roman"/>
          <w:noProof/>
          <w:szCs w:val="24"/>
        </w:rPr>
        <w:t>, vol. 237, no. 3, pp. 937–944, 1986.</w:t>
      </w:r>
    </w:p>
    <w:p w14:paraId="72257BAB"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[45]</w:t>
      </w:r>
      <w:r w:rsidRPr="001A6358">
        <w:rPr>
          <w:rFonts w:cs="Times New Roman"/>
          <w:noProof/>
          <w:szCs w:val="24"/>
        </w:rPr>
        <w:tab/>
        <w:t xml:space="preserve">D. M. Lambert, F. Mergen, J. H. Poupaert, and P. Dumont, “Analgesic potency of S-acetylthiorphan after intravenous administration to mice,” </w:t>
      </w:r>
      <w:r w:rsidRPr="001A6358">
        <w:rPr>
          <w:rFonts w:cs="Times New Roman"/>
          <w:i/>
          <w:iCs/>
          <w:noProof/>
          <w:szCs w:val="24"/>
        </w:rPr>
        <w:t>Eur. J. Pharmacol.</w:t>
      </w:r>
      <w:r w:rsidRPr="001A6358">
        <w:rPr>
          <w:rFonts w:cs="Times New Roman"/>
          <w:noProof/>
          <w:szCs w:val="24"/>
        </w:rPr>
        <w:t>, vol. 243, no. 2, pp. 129–134, 1993, doi: 10.1016/0014-2999(93)90371-N.</w:t>
      </w:r>
    </w:p>
    <w:p w14:paraId="230648E2"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[46]</w:t>
      </w:r>
      <w:r w:rsidRPr="001A6358">
        <w:rPr>
          <w:rFonts w:cs="Times New Roman"/>
          <w:noProof/>
          <w:szCs w:val="24"/>
        </w:rPr>
        <w:tab/>
        <w:t xml:space="preserve">P. D. Dobson and D. B. Kell, “Carrier-mediated cellular uptake of pharmaceutical drugs: An exception or the rule?,” </w:t>
      </w:r>
      <w:r w:rsidRPr="001A6358">
        <w:rPr>
          <w:rFonts w:cs="Times New Roman"/>
          <w:i/>
          <w:iCs/>
          <w:noProof/>
          <w:szCs w:val="24"/>
        </w:rPr>
        <w:t>Nat. Rev. Drug Discov.</w:t>
      </w:r>
      <w:r w:rsidRPr="001A6358">
        <w:rPr>
          <w:rFonts w:cs="Times New Roman"/>
          <w:noProof/>
          <w:szCs w:val="24"/>
        </w:rPr>
        <w:t>, vol. 7, no. 3, pp. 205–220, 2008, doi: 10.1038/nrd2438.</w:t>
      </w:r>
    </w:p>
    <w:p w14:paraId="4326C005"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[47]</w:t>
      </w:r>
      <w:r w:rsidRPr="001A6358">
        <w:rPr>
          <w:rFonts w:cs="Times New Roman"/>
          <w:noProof/>
          <w:szCs w:val="24"/>
        </w:rPr>
        <w:tab/>
        <w:t xml:space="preserve">T. M. Sissung </w:t>
      </w:r>
      <w:r w:rsidRPr="001A6358">
        <w:rPr>
          <w:rFonts w:cs="Times New Roman"/>
          <w:i/>
          <w:iCs/>
          <w:noProof/>
          <w:szCs w:val="24"/>
        </w:rPr>
        <w:t>et al.</w:t>
      </w:r>
      <w:r w:rsidRPr="001A6358">
        <w:rPr>
          <w:rFonts w:cs="Times New Roman"/>
          <w:noProof/>
          <w:szCs w:val="24"/>
        </w:rPr>
        <w:t xml:space="preserve">, “Transporter pharmacogenetics: Transporter polymorphisms affect normal physiology, diseases, and pharmacotherapy,” </w:t>
      </w:r>
      <w:r w:rsidRPr="001A6358">
        <w:rPr>
          <w:rFonts w:cs="Times New Roman"/>
          <w:i/>
          <w:iCs/>
          <w:noProof/>
          <w:szCs w:val="24"/>
        </w:rPr>
        <w:t>Discov. Med.</w:t>
      </w:r>
      <w:r w:rsidRPr="001A6358">
        <w:rPr>
          <w:rFonts w:cs="Times New Roman"/>
          <w:noProof/>
          <w:szCs w:val="24"/>
        </w:rPr>
        <w:t>, vol. 13, no. 68, pp. 19–34, 2013.</w:t>
      </w:r>
    </w:p>
    <w:p w14:paraId="40A16951"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[48]</w:t>
      </w:r>
      <w:r w:rsidRPr="001A6358">
        <w:rPr>
          <w:rFonts w:cs="Times New Roman"/>
          <w:noProof/>
          <w:szCs w:val="24"/>
        </w:rPr>
        <w:tab/>
        <w:t xml:space="preserve">G. L. Amidon, G. D. Leesman, and R. L. Elliott, “Improving intestinal absorption of water‐insoluble compounds: A membrane metabolism strategy,” </w:t>
      </w:r>
      <w:r w:rsidRPr="001A6358">
        <w:rPr>
          <w:rFonts w:cs="Times New Roman"/>
          <w:i/>
          <w:iCs/>
          <w:noProof/>
          <w:szCs w:val="24"/>
        </w:rPr>
        <w:t>J. Pharm. Sci.</w:t>
      </w:r>
      <w:r w:rsidRPr="001A6358">
        <w:rPr>
          <w:rFonts w:cs="Times New Roman"/>
          <w:noProof/>
          <w:szCs w:val="24"/>
        </w:rPr>
        <w:t>, vol. 69, no. 12, pp. 1363–1368, 1980, doi: 10.1002/jps.2600691203.</w:t>
      </w:r>
    </w:p>
    <w:p w14:paraId="0B5218AD"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[49]</w:t>
      </w:r>
      <w:r w:rsidRPr="001A6358">
        <w:rPr>
          <w:rFonts w:cs="Times New Roman"/>
          <w:noProof/>
          <w:szCs w:val="24"/>
        </w:rPr>
        <w:tab/>
        <w:t xml:space="preserve">K. N. Syrigos and A. A. Epenetos, “Antibody directed enzyme prodrug therapy (ADEPT): a review of the experimental and clinical considerations,” </w:t>
      </w:r>
      <w:r w:rsidRPr="001A6358">
        <w:rPr>
          <w:rFonts w:cs="Times New Roman"/>
          <w:i/>
          <w:iCs/>
          <w:noProof/>
          <w:szCs w:val="24"/>
        </w:rPr>
        <w:t>Anticancer Res.</w:t>
      </w:r>
      <w:r w:rsidRPr="001A6358">
        <w:rPr>
          <w:rFonts w:cs="Times New Roman"/>
          <w:noProof/>
          <w:szCs w:val="24"/>
        </w:rPr>
        <w:t>, vol. 19, no. 1A, pp. 605–613, 1999, [Online]. Available: http://europepmc.org/abstract/MED/10226606</w:t>
      </w:r>
    </w:p>
    <w:p w14:paraId="67896CED"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[50]</w:t>
      </w:r>
      <w:r w:rsidRPr="001A6358">
        <w:rPr>
          <w:rFonts w:cs="Times New Roman"/>
          <w:noProof/>
          <w:szCs w:val="24"/>
        </w:rPr>
        <w:tab/>
        <w:t>G. Xu and H. L. Mcleod, “Strategies for Enzyme / Prodrug Cancer Therapy 1,” vol. 7, no. November, pp. 3314–3324, 2001.</w:t>
      </w:r>
    </w:p>
    <w:p w14:paraId="1E24B643" w14:textId="77777777" w:rsidR="001A6358" w:rsidRPr="001A6358" w:rsidRDefault="001A6358" w:rsidP="001A6358">
      <w:pPr>
        <w:widowControl w:val="0"/>
        <w:autoSpaceDE w:val="0"/>
        <w:autoSpaceDN w:val="0"/>
        <w:adjustRightInd w:val="0"/>
        <w:spacing w:line="360" w:lineRule="auto"/>
        <w:ind w:left="640" w:hanging="640"/>
        <w:rPr>
          <w:rFonts w:cs="Times New Roman"/>
          <w:noProof/>
          <w:szCs w:val="24"/>
        </w:rPr>
      </w:pPr>
      <w:r w:rsidRPr="001A6358">
        <w:rPr>
          <w:rFonts w:cs="Times New Roman"/>
          <w:noProof/>
          <w:szCs w:val="24"/>
        </w:rPr>
        <w:t>[51]</w:t>
      </w:r>
      <w:r w:rsidRPr="001A6358">
        <w:rPr>
          <w:rFonts w:cs="Times New Roman"/>
          <w:noProof/>
          <w:szCs w:val="24"/>
        </w:rPr>
        <w:tab/>
        <w:t xml:space="preserve">H. K. Han and G. L. Amidon, “Targeted prodrug design to optimize drug delivery,” </w:t>
      </w:r>
      <w:r w:rsidRPr="001A6358">
        <w:rPr>
          <w:rFonts w:cs="Times New Roman"/>
          <w:i/>
          <w:iCs/>
          <w:noProof/>
          <w:szCs w:val="24"/>
        </w:rPr>
        <w:lastRenderedPageBreak/>
        <w:t>AAPS PharmSci</w:t>
      </w:r>
      <w:r w:rsidRPr="001A6358">
        <w:rPr>
          <w:rFonts w:cs="Times New Roman"/>
          <w:noProof/>
          <w:szCs w:val="24"/>
        </w:rPr>
        <w:t>, vol. 2, no. 1, pp. 48–58, 2000, doi: 10.1208/ps020106.</w:t>
      </w:r>
    </w:p>
    <w:p w14:paraId="0170ECFA" w14:textId="77777777" w:rsidR="001A6358" w:rsidRPr="001A6358" w:rsidRDefault="001A6358" w:rsidP="001A6358">
      <w:pPr>
        <w:widowControl w:val="0"/>
        <w:autoSpaceDE w:val="0"/>
        <w:autoSpaceDN w:val="0"/>
        <w:adjustRightInd w:val="0"/>
        <w:spacing w:line="360" w:lineRule="auto"/>
        <w:ind w:left="640" w:hanging="640"/>
        <w:rPr>
          <w:rFonts w:cs="Times New Roman"/>
          <w:noProof/>
        </w:rPr>
      </w:pPr>
      <w:r w:rsidRPr="001A6358">
        <w:rPr>
          <w:rFonts w:cs="Times New Roman"/>
          <w:noProof/>
          <w:szCs w:val="24"/>
        </w:rPr>
        <w:t>[52]</w:t>
      </w:r>
      <w:r w:rsidRPr="001A6358">
        <w:rPr>
          <w:rFonts w:cs="Times New Roman"/>
          <w:noProof/>
          <w:szCs w:val="24"/>
        </w:rPr>
        <w:tab/>
        <w:t xml:space="preserve">K. D. Bagshawe, “Antibody directed enzymes revive anti-cancer prodrugs concept,” </w:t>
      </w:r>
      <w:r w:rsidRPr="001A6358">
        <w:rPr>
          <w:rFonts w:cs="Times New Roman"/>
          <w:i/>
          <w:iCs/>
          <w:noProof/>
          <w:szCs w:val="24"/>
        </w:rPr>
        <w:t>Br. J. Cancer</w:t>
      </w:r>
      <w:r w:rsidRPr="001A6358">
        <w:rPr>
          <w:rFonts w:cs="Times New Roman"/>
          <w:noProof/>
          <w:szCs w:val="24"/>
        </w:rPr>
        <w:t>, vol. 56, no. 5, pp. 531–532, 1987, doi: 10.1038/bjc.1987.237.</w:t>
      </w:r>
    </w:p>
    <w:p w14:paraId="643FF4FB" w14:textId="77777777" w:rsidR="00BF17CC" w:rsidRPr="00CB55DA" w:rsidRDefault="005617D9" w:rsidP="00CB55DA">
      <w:pPr>
        <w:spacing w:line="360" w:lineRule="auto"/>
      </w:pPr>
      <w:r>
        <w:fldChar w:fldCharType="end"/>
      </w:r>
    </w:p>
    <w:sectPr w:rsidR="00BF17CC" w:rsidRPr="00CB55DA" w:rsidSect="00BC684C">
      <w:pgSz w:w="11907" w:h="16839" w:code="9"/>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4B1FA" w14:textId="77777777" w:rsidR="0038361A" w:rsidRDefault="0038361A" w:rsidP="00CD7874">
      <w:pPr>
        <w:spacing w:before="0" w:after="0" w:line="240" w:lineRule="auto"/>
      </w:pPr>
      <w:r>
        <w:separator/>
      </w:r>
    </w:p>
  </w:endnote>
  <w:endnote w:type="continuationSeparator" w:id="0">
    <w:p w14:paraId="64AF80E4" w14:textId="77777777" w:rsidR="0038361A" w:rsidRDefault="0038361A" w:rsidP="00CD787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2E2CC" w14:textId="77777777" w:rsidR="0038361A" w:rsidRDefault="0038361A" w:rsidP="00CD7874">
      <w:pPr>
        <w:spacing w:before="0" w:after="0" w:line="240" w:lineRule="auto"/>
      </w:pPr>
      <w:r>
        <w:separator/>
      </w:r>
    </w:p>
  </w:footnote>
  <w:footnote w:type="continuationSeparator" w:id="0">
    <w:p w14:paraId="7E520C6E" w14:textId="77777777" w:rsidR="0038361A" w:rsidRDefault="0038361A" w:rsidP="00CD7874">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91B4B"/>
    <w:multiLevelType w:val="hybridMultilevel"/>
    <w:tmpl w:val="2DBE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FB5ACE"/>
    <w:multiLevelType w:val="hybridMultilevel"/>
    <w:tmpl w:val="DF9E64D4"/>
    <w:lvl w:ilvl="0" w:tplc="A9A4A4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767B9"/>
    <w:multiLevelType w:val="hybridMultilevel"/>
    <w:tmpl w:val="D5FCD4E6"/>
    <w:lvl w:ilvl="0" w:tplc="0B0C2014">
      <w:start w:val="1"/>
      <w:numFmt w:val="decimal"/>
      <w:lvlText w:val="(%1)"/>
      <w:lvlJc w:val="left"/>
      <w:pPr>
        <w:ind w:left="880" w:hanging="360"/>
        <w:jc w:val="left"/>
      </w:pPr>
      <w:rPr>
        <w:rFonts w:ascii="Times New Roman" w:eastAsia="Times New Roman" w:hAnsi="Times New Roman" w:cs="Times New Roman" w:hint="default"/>
        <w:b/>
        <w:bCs/>
        <w:w w:val="99"/>
        <w:sz w:val="24"/>
        <w:szCs w:val="24"/>
        <w:lang w:val="en-US" w:eastAsia="en-US" w:bidi="ar-SA"/>
      </w:rPr>
    </w:lvl>
    <w:lvl w:ilvl="1" w:tplc="0F4C5086">
      <w:start w:val="1"/>
      <w:numFmt w:val="lowerLetter"/>
      <w:lvlText w:val="(%2)"/>
      <w:lvlJc w:val="left"/>
      <w:pPr>
        <w:ind w:left="846" w:hanging="327"/>
        <w:jc w:val="left"/>
      </w:pPr>
      <w:rPr>
        <w:rFonts w:ascii="Times New Roman" w:eastAsia="Times New Roman" w:hAnsi="Times New Roman" w:cs="Times New Roman" w:hint="default"/>
        <w:spacing w:val="-2"/>
        <w:w w:val="99"/>
        <w:sz w:val="24"/>
        <w:szCs w:val="24"/>
        <w:lang w:val="en-US" w:eastAsia="en-US" w:bidi="ar-SA"/>
      </w:rPr>
    </w:lvl>
    <w:lvl w:ilvl="2" w:tplc="B7607EA6">
      <w:start w:val="1"/>
      <w:numFmt w:val="upperLetter"/>
      <w:lvlText w:val="(%3)"/>
      <w:lvlJc w:val="left"/>
      <w:pPr>
        <w:ind w:left="914" w:hanging="394"/>
        <w:jc w:val="left"/>
      </w:pPr>
      <w:rPr>
        <w:rFonts w:ascii="Times New Roman" w:eastAsia="Times New Roman" w:hAnsi="Times New Roman" w:cs="Times New Roman" w:hint="default"/>
        <w:b/>
        <w:bCs/>
        <w:spacing w:val="-2"/>
        <w:w w:val="99"/>
        <w:sz w:val="24"/>
        <w:szCs w:val="24"/>
        <w:lang w:val="en-US" w:eastAsia="en-US" w:bidi="ar-SA"/>
      </w:rPr>
    </w:lvl>
    <w:lvl w:ilvl="3" w:tplc="1CFA0C56">
      <w:numFmt w:val="bullet"/>
      <w:lvlText w:val="•"/>
      <w:lvlJc w:val="left"/>
      <w:pPr>
        <w:ind w:left="2150" w:hanging="394"/>
      </w:pPr>
      <w:rPr>
        <w:rFonts w:hint="default"/>
        <w:lang w:val="en-US" w:eastAsia="en-US" w:bidi="ar-SA"/>
      </w:rPr>
    </w:lvl>
    <w:lvl w:ilvl="4" w:tplc="C0841604">
      <w:numFmt w:val="bullet"/>
      <w:lvlText w:val="•"/>
      <w:lvlJc w:val="left"/>
      <w:pPr>
        <w:ind w:left="3380" w:hanging="394"/>
      </w:pPr>
      <w:rPr>
        <w:rFonts w:hint="default"/>
        <w:lang w:val="en-US" w:eastAsia="en-US" w:bidi="ar-SA"/>
      </w:rPr>
    </w:lvl>
    <w:lvl w:ilvl="5" w:tplc="05BAEFB6">
      <w:numFmt w:val="bullet"/>
      <w:lvlText w:val="•"/>
      <w:lvlJc w:val="left"/>
      <w:pPr>
        <w:ind w:left="4610" w:hanging="394"/>
      </w:pPr>
      <w:rPr>
        <w:rFonts w:hint="default"/>
        <w:lang w:val="en-US" w:eastAsia="en-US" w:bidi="ar-SA"/>
      </w:rPr>
    </w:lvl>
    <w:lvl w:ilvl="6" w:tplc="DF4CE160">
      <w:numFmt w:val="bullet"/>
      <w:lvlText w:val="•"/>
      <w:lvlJc w:val="left"/>
      <w:pPr>
        <w:ind w:left="5840" w:hanging="394"/>
      </w:pPr>
      <w:rPr>
        <w:rFonts w:hint="default"/>
        <w:lang w:val="en-US" w:eastAsia="en-US" w:bidi="ar-SA"/>
      </w:rPr>
    </w:lvl>
    <w:lvl w:ilvl="7" w:tplc="C756B424">
      <w:numFmt w:val="bullet"/>
      <w:lvlText w:val="•"/>
      <w:lvlJc w:val="left"/>
      <w:pPr>
        <w:ind w:left="7070" w:hanging="394"/>
      </w:pPr>
      <w:rPr>
        <w:rFonts w:hint="default"/>
        <w:lang w:val="en-US" w:eastAsia="en-US" w:bidi="ar-SA"/>
      </w:rPr>
    </w:lvl>
    <w:lvl w:ilvl="8" w:tplc="426208BE">
      <w:numFmt w:val="bullet"/>
      <w:lvlText w:val="•"/>
      <w:lvlJc w:val="left"/>
      <w:pPr>
        <w:ind w:left="8300" w:hanging="394"/>
      </w:pPr>
      <w:rPr>
        <w:rFonts w:hint="default"/>
        <w:lang w:val="en-US" w:eastAsia="en-US" w:bidi="ar-SA"/>
      </w:rPr>
    </w:lvl>
  </w:abstractNum>
  <w:abstractNum w:abstractNumId="3" w15:restartNumberingAfterBreak="0">
    <w:nsid w:val="3D900B0F"/>
    <w:multiLevelType w:val="hybridMultilevel"/>
    <w:tmpl w:val="DA5212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4262303"/>
    <w:multiLevelType w:val="hybridMultilevel"/>
    <w:tmpl w:val="C5F8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FA5963"/>
    <w:multiLevelType w:val="hybridMultilevel"/>
    <w:tmpl w:val="C33E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065FEC"/>
    <w:multiLevelType w:val="hybridMultilevel"/>
    <w:tmpl w:val="903815C4"/>
    <w:lvl w:ilvl="0" w:tplc="0B0C2014">
      <w:start w:val="1"/>
      <w:numFmt w:val="decimal"/>
      <w:lvlText w:val="(%1)"/>
      <w:lvlJc w:val="left"/>
      <w:pPr>
        <w:ind w:left="880" w:hanging="360"/>
        <w:jc w:val="left"/>
      </w:pPr>
      <w:rPr>
        <w:rFonts w:ascii="Times New Roman" w:eastAsia="Times New Roman" w:hAnsi="Times New Roman" w:cs="Times New Roman" w:hint="default"/>
        <w:b/>
        <w:bCs/>
        <w:w w:val="99"/>
        <w:sz w:val="24"/>
        <w:szCs w:val="24"/>
        <w:lang w:val="en-US" w:eastAsia="en-US" w:bidi="ar-SA"/>
      </w:rPr>
    </w:lvl>
    <w:lvl w:ilvl="1" w:tplc="0F4C5086">
      <w:start w:val="1"/>
      <w:numFmt w:val="lowerLetter"/>
      <w:lvlText w:val="(%2)"/>
      <w:lvlJc w:val="left"/>
      <w:pPr>
        <w:ind w:left="846" w:hanging="327"/>
        <w:jc w:val="left"/>
      </w:pPr>
      <w:rPr>
        <w:rFonts w:ascii="Times New Roman" w:eastAsia="Times New Roman" w:hAnsi="Times New Roman" w:cs="Times New Roman" w:hint="default"/>
        <w:spacing w:val="-2"/>
        <w:w w:val="99"/>
        <w:sz w:val="24"/>
        <w:szCs w:val="24"/>
        <w:lang w:val="en-US" w:eastAsia="en-US" w:bidi="ar-SA"/>
      </w:rPr>
    </w:lvl>
    <w:lvl w:ilvl="2" w:tplc="B7607EA6">
      <w:start w:val="1"/>
      <w:numFmt w:val="upperLetter"/>
      <w:lvlText w:val="(%3)"/>
      <w:lvlJc w:val="left"/>
      <w:pPr>
        <w:ind w:left="914" w:hanging="394"/>
        <w:jc w:val="left"/>
      </w:pPr>
      <w:rPr>
        <w:rFonts w:ascii="Times New Roman" w:eastAsia="Times New Roman" w:hAnsi="Times New Roman" w:cs="Times New Roman" w:hint="default"/>
        <w:b/>
        <w:bCs/>
        <w:spacing w:val="-2"/>
        <w:w w:val="99"/>
        <w:sz w:val="24"/>
        <w:szCs w:val="24"/>
        <w:lang w:val="en-US" w:eastAsia="en-US" w:bidi="ar-SA"/>
      </w:rPr>
    </w:lvl>
    <w:lvl w:ilvl="3" w:tplc="1CFA0C56">
      <w:numFmt w:val="bullet"/>
      <w:lvlText w:val="•"/>
      <w:lvlJc w:val="left"/>
      <w:pPr>
        <w:ind w:left="2150" w:hanging="394"/>
      </w:pPr>
      <w:rPr>
        <w:rFonts w:hint="default"/>
        <w:lang w:val="en-US" w:eastAsia="en-US" w:bidi="ar-SA"/>
      </w:rPr>
    </w:lvl>
    <w:lvl w:ilvl="4" w:tplc="C0841604">
      <w:numFmt w:val="bullet"/>
      <w:lvlText w:val="•"/>
      <w:lvlJc w:val="left"/>
      <w:pPr>
        <w:ind w:left="3380" w:hanging="394"/>
      </w:pPr>
      <w:rPr>
        <w:rFonts w:hint="default"/>
        <w:lang w:val="en-US" w:eastAsia="en-US" w:bidi="ar-SA"/>
      </w:rPr>
    </w:lvl>
    <w:lvl w:ilvl="5" w:tplc="05BAEFB6">
      <w:numFmt w:val="bullet"/>
      <w:lvlText w:val="•"/>
      <w:lvlJc w:val="left"/>
      <w:pPr>
        <w:ind w:left="4610" w:hanging="394"/>
      </w:pPr>
      <w:rPr>
        <w:rFonts w:hint="default"/>
        <w:lang w:val="en-US" w:eastAsia="en-US" w:bidi="ar-SA"/>
      </w:rPr>
    </w:lvl>
    <w:lvl w:ilvl="6" w:tplc="DF4CE160">
      <w:numFmt w:val="bullet"/>
      <w:lvlText w:val="•"/>
      <w:lvlJc w:val="left"/>
      <w:pPr>
        <w:ind w:left="5840" w:hanging="394"/>
      </w:pPr>
      <w:rPr>
        <w:rFonts w:hint="default"/>
        <w:lang w:val="en-US" w:eastAsia="en-US" w:bidi="ar-SA"/>
      </w:rPr>
    </w:lvl>
    <w:lvl w:ilvl="7" w:tplc="C756B424">
      <w:numFmt w:val="bullet"/>
      <w:lvlText w:val="•"/>
      <w:lvlJc w:val="left"/>
      <w:pPr>
        <w:ind w:left="7070" w:hanging="394"/>
      </w:pPr>
      <w:rPr>
        <w:rFonts w:hint="default"/>
        <w:lang w:val="en-US" w:eastAsia="en-US" w:bidi="ar-SA"/>
      </w:rPr>
    </w:lvl>
    <w:lvl w:ilvl="8" w:tplc="426208BE">
      <w:numFmt w:val="bullet"/>
      <w:lvlText w:val="•"/>
      <w:lvlJc w:val="left"/>
      <w:pPr>
        <w:ind w:left="8300" w:hanging="394"/>
      </w:pPr>
      <w:rPr>
        <w:rFonts w:hint="default"/>
        <w:lang w:val="en-US" w:eastAsia="en-US" w:bidi="ar-SA"/>
      </w:rPr>
    </w:lvl>
  </w:abstractNum>
  <w:abstractNum w:abstractNumId="7" w15:restartNumberingAfterBreak="0">
    <w:nsid w:val="561E0D59"/>
    <w:multiLevelType w:val="hybridMultilevel"/>
    <w:tmpl w:val="54F22BC4"/>
    <w:lvl w:ilvl="0" w:tplc="80000164">
      <w:start w:val="1"/>
      <w:numFmt w:val="decimal"/>
      <w:lvlText w:val="(%1)"/>
      <w:lvlJc w:val="left"/>
      <w:pPr>
        <w:ind w:left="1920" w:hanging="360"/>
      </w:pPr>
      <w:rPr>
        <w:rFonts w:hint="default"/>
        <w:b/>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8" w15:restartNumberingAfterBreak="0">
    <w:nsid w:val="5C21203C"/>
    <w:multiLevelType w:val="hybridMultilevel"/>
    <w:tmpl w:val="4B985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3C0D0C"/>
    <w:multiLevelType w:val="hybridMultilevel"/>
    <w:tmpl w:val="58B21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5D7C5C"/>
    <w:multiLevelType w:val="hybridMultilevel"/>
    <w:tmpl w:val="39AE5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796374"/>
    <w:multiLevelType w:val="hybridMultilevel"/>
    <w:tmpl w:val="00D09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365664">
    <w:abstractNumId w:val="8"/>
  </w:num>
  <w:num w:numId="2" w16cid:durableId="929850122">
    <w:abstractNumId w:val="6"/>
  </w:num>
  <w:num w:numId="3" w16cid:durableId="2057853271">
    <w:abstractNumId w:val="7"/>
  </w:num>
  <w:num w:numId="4" w16cid:durableId="537474891">
    <w:abstractNumId w:val="11"/>
  </w:num>
  <w:num w:numId="5" w16cid:durableId="1614560181">
    <w:abstractNumId w:val="1"/>
  </w:num>
  <w:num w:numId="6" w16cid:durableId="1922719510">
    <w:abstractNumId w:val="2"/>
  </w:num>
  <w:num w:numId="7" w16cid:durableId="185094524">
    <w:abstractNumId w:val="4"/>
  </w:num>
  <w:num w:numId="8" w16cid:durableId="410083008">
    <w:abstractNumId w:val="0"/>
  </w:num>
  <w:num w:numId="9" w16cid:durableId="677855457">
    <w:abstractNumId w:val="10"/>
  </w:num>
  <w:num w:numId="10" w16cid:durableId="320424178">
    <w:abstractNumId w:val="9"/>
  </w:num>
  <w:num w:numId="11" w16cid:durableId="550845287">
    <w:abstractNumId w:val="5"/>
  </w:num>
  <w:num w:numId="12" w16cid:durableId="904074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zNbUEkpbmhsaGhko6SsGpxcWZ+XkgBaa1AP8wzE8sAAAA"/>
  </w:docVars>
  <w:rsids>
    <w:rsidRoot w:val="00B60A6C"/>
    <w:rsid w:val="0000184A"/>
    <w:rsid w:val="00001A8E"/>
    <w:rsid w:val="00005D7D"/>
    <w:rsid w:val="00015B1A"/>
    <w:rsid w:val="0003750B"/>
    <w:rsid w:val="0004795F"/>
    <w:rsid w:val="00054B69"/>
    <w:rsid w:val="00071EC8"/>
    <w:rsid w:val="000747F1"/>
    <w:rsid w:val="000914A6"/>
    <w:rsid w:val="000939D7"/>
    <w:rsid w:val="000967D9"/>
    <w:rsid w:val="000971E6"/>
    <w:rsid w:val="00097DA8"/>
    <w:rsid w:val="000A3F00"/>
    <w:rsid w:val="000A4464"/>
    <w:rsid w:val="000C5CB9"/>
    <w:rsid w:val="000C67B8"/>
    <w:rsid w:val="000F1670"/>
    <w:rsid w:val="001025C5"/>
    <w:rsid w:val="00105887"/>
    <w:rsid w:val="00117C86"/>
    <w:rsid w:val="0012180F"/>
    <w:rsid w:val="00141B92"/>
    <w:rsid w:val="0015454C"/>
    <w:rsid w:val="00155D1D"/>
    <w:rsid w:val="00161A2E"/>
    <w:rsid w:val="00163A4C"/>
    <w:rsid w:val="0017292F"/>
    <w:rsid w:val="00174445"/>
    <w:rsid w:val="00175474"/>
    <w:rsid w:val="00180146"/>
    <w:rsid w:val="00190D57"/>
    <w:rsid w:val="001A25F2"/>
    <w:rsid w:val="001A6358"/>
    <w:rsid w:val="001B7727"/>
    <w:rsid w:val="001C428A"/>
    <w:rsid w:val="001C67D0"/>
    <w:rsid w:val="001D5B6D"/>
    <w:rsid w:val="001D7B1B"/>
    <w:rsid w:val="001E6CF7"/>
    <w:rsid w:val="001F004B"/>
    <w:rsid w:val="001F75E2"/>
    <w:rsid w:val="001F79DE"/>
    <w:rsid w:val="00204C35"/>
    <w:rsid w:val="00214B33"/>
    <w:rsid w:val="0021529B"/>
    <w:rsid w:val="00217540"/>
    <w:rsid w:val="002247A2"/>
    <w:rsid w:val="002274C5"/>
    <w:rsid w:val="002676E5"/>
    <w:rsid w:val="00274A37"/>
    <w:rsid w:val="002822A7"/>
    <w:rsid w:val="00285307"/>
    <w:rsid w:val="00287EF1"/>
    <w:rsid w:val="002904BB"/>
    <w:rsid w:val="002A27B0"/>
    <w:rsid w:val="002A5E27"/>
    <w:rsid w:val="002B2429"/>
    <w:rsid w:val="002B62B7"/>
    <w:rsid w:val="002C103F"/>
    <w:rsid w:val="002C10E5"/>
    <w:rsid w:val="002D2A5E"/>
    <w:rsid w:val="002E7330"/>
    <w:rsid w:val="002E7D66"/>
    <w:rsid w:val="002F0EC9"/>
    <w:rsid w:val="002F4437"/>
    <w:rsid w:val="003008F5"/>
    <w:rsid w:val="0030598D"/>
    <w:rsid w:val="00306495"/>
    <w:rsid w:val="003460F0"/>
    <w:rsid w:val="0036186B"/>
    <w:rsid w:val="00363E9B"/>
    <w:rsid w:val="00382C3D"/>
    <w:rsid w:val="0038361A"/>
    <w:rsid w:val="0038475D"/>
    <w:rsid w:val="0039085B"/>
    <w:rsid w:val="00392376"/>
    <w:rsid w:val="00396A63"/>
    <w:rsid w:val="003A5763"/>
    <w:rsid w:val="003D31D1"/>
    <w:rsid w:val="003D517B"/>
    <w:rsid w:val="003D583A"/>
    <w:rsid w:val="003E245E"/>
    <w:rsid w:val="003F3293"/>
    <w:rsid w:val="003F5B4E"/>
    <w:rsid w:val="003F670A"/>
    <w:rsid w:val="00410CA9"/>
    <w:rsid w:val="00414967"/>
    <w:rsid w:val="00455BF2"/>
    <w:rsid w:val="0046596E"/>
    <w:rsid w:val="00466A5C"/>
    <w:rsid w:val="00482310"/>
    <w:rsid w:val="00491CBE"/>
    <w:rsid w:val="004B6423"/>
    <w:rsid w:val="004B6A40"/>
    <w:rsid w:val="004C1658"/>
    <w:rsid w:val="004C790A"/>
    <w:rsid w:val="004D4838"/>
    <w:rsid w:val="004E6E68"/>
    <w:rsid w:val="004E7472"/>
    <w:rsid w:val="004F2F47"/>
    <w:rsid w:val="00513498"/>
    <w:rsid w:val="00513BD6"/>
    <w:rsid w:val="0051530E"/>
    <w:rsid w:val="00516000"/>
    <w:rsid w:val="0051637B"/>
    <w:rsid w:val="00521157"/>
    <w:rsid w:val="00537042"/>
    <w:rsid w:val="00543A62"/>
    <w:rsid w:val="00543F82"/>
    <w:rsid w:val="00544BAC"/>
    <w:rsid w:val="0055007C"/>
    <w:rsid w:val="00560636"/>
    <w:rsid w:val="005617D9"/>
    <w:rsid w:val="00561D71"/>
    <w:rsid w:val="00561EE5"/>
    <w:rsid w:val="005A753B"/>
    <w:rsid w:val="005D6CE8"/>
    <w:rsid w:val="005E2349"/>
    <w:rsid w:val="005E6768"/>
    <w:rsid w:val="005F1D30"/>
    <w:rsid w:val="005F7558"/>
    <w:rsid w:val="0060003A"/>
    <w:rsid w:val="006008BA"/>
    <w:rsid w:val="006212CF"/>
    <w:rsid w:val="00646CDD"/>
    <w:rsid w:val="00647612"/>
    <w:rsid w:val="006506F4"/>
    <w:rsid w:val="006643DE"/>
    <w:rsid w:val="00681073"/>
    <w:rsid w:val="00682859"/>
    <w:rsid w:val="00684EF0"/>
    <w:rsid w:val="0069392F"/>
    <w:rsid w:val="006A5880"/>
    <w:rsid w:val="006C27EA"/>
    <w:rsid w:val="006C49CB"/>
    <w:rsid w:val="006D5097"/>
    <w:rsid w:val="006E3A42"/>
    <w:rsid w:val="006F0BE2"/>
    <w:rsid w:val="006F549B"/>
    <w:rsid w:val="00706309"/>
    <w:rsid w:val="0072242D"/>
    <w:rsid w:val="007302F8"/>
    <w:rsid w:val="00732CF7"/>
    <w:rsid w:val="00741925"/>
    <w:rsid w:val="0074472E"/>
    <w:rsid w:val="007727BF"/>
    <w:rsid w:val="007860C8"/>
    <w:rsid w:val="007A00ED"/>
    <w:rsid w:val="007B0990"/>
    <w:rsid w:val="007F1073"/>
    <w:rsid w:val="007F29A6"/>
    <w:rsid w:val="007F763E"/>
    <w:rsid w:val="00806E9C"/>
    <w:rsid w:val="00814334"/>
    <w:rsid w:val="00825E46"/>
    <w:rsid w:val="0083540E"/>
    <w:rsid w:val="00841057"/>
    <w:rsid w:val="008518EE"/>
    <w:rsid w:val="0085739C"/>
    <w:rsid w:val="00860D4E"/>
    <w:rsid w:val="008719A4"/>
    <w:rsid w:val="00892D4D"/>
    <w:rsid w:val="008965E8"/>
    <w:rsid w:val="008A6774"/>
    <w:rsid w:val="009012ED"/>
    <w:rsid w:val="0092135D"/>
    <w:rsid w:val="00925E50"/>
    <w:rsid w:val="00927628"/>
    <w:rsid w:val="009322A8"/>
    <w:rsid w:val="009338FC"/>
    <w:rsid w:val="00944465"/>
    <w:rsid w:val="00945AA0"/>
    <w:rsid w:val="009463E5"/>
    <w:rsid w:val="009663FA"/>
    <w:rsid w:val="00971E62"/>
    <w:rsid w:val="0097456D"/>
    <w:rsid w:val="00974B9E"/>
    <w:rsid w:val="0097688C"/>
    <w:rsid w:val="00995A8D"/>
    <w:rsid w:val="009A2538"/>
    <w:rsid w:val="009A7874"/>
    <w:rsid w:val="009B55CB"/>
    <w:rsid w:val="009D2828"/>
    <w:rsid w:val="009D2FA7"/>
    <w:rsid w:val="009E2F94"/>
    <w:rsid w:val="009E7129"/>
    <w:rsid w:val="00A01D31"/>
    <w:rsid w:val="00A053B3"/>
    <w:rsid w:val="00A203EB"/>
    <w:rsid w:val="00A33F8F"/>
    <w:rsid w:val="00A355D6"/>
    <w:rsid w:val="00A556C6"/>
    <w:rsid w:val="00A71DE9"/>
    <w:rsid w:val="00A86213"/>
    <w:rsid w:val="00A86FF2"/>
    <w:rsid w:val="00A977B3"/>
    <w:rsid w:val="00A97D16"/>
    <w:rsid w:val="00AA3906"/>
    <w:rsid w:val="00AA471C"/>
    <w:rsid w:val="00AA6204"/>
    <w:rsid w:val="00AC3347"/>
    <w:rsid w:val="00AC43E5"/>
    <w:rsid w:val="00AD58DD"/>
    <w:rsid w:val="00AD5CF2"/>
    <w:rsid w:val="00AF6B7B"/>
    <w:rsid w:val="00B07FF4"/>
    <w:rsid w:val="00B1718F"/>
    <w:rsid w:val="00B271B3"/>
    <w:rsid w:val="00B27400"/>
    <w:rsid w:val="00B50D20"/>
    <w:rsid w:val="00B54D75"/>
    <w:rsid w:val="00B60A6C"/>
    <w:rsid w:val="00B61C77"/>
    <w:rsid w:val="00B67B04"/>
    <w:rsid w:val="00B723D2"/>
    <w:rsid w:val="00B81E83"/>
    <w:rsid w:val="00B84D92"/>
    <w:rsid w:val="00B86739"/>
    <w:rsid w:val="00B93FAB"/>
    <w:rsid w:val="00B947F2"/>
    <w:rsid w:val="00B95996"/>
    <w:rsid w:val="00B96183"/>
    <w:rsid w:val="00B97929"/>
    <w:rsid w:val="00BA37D0"/>
    <w:rsid w:val="00BA6595"/>
    <w:rsid w:val="00BB31DF"/>
    <w:rsid w:val="00BB3FC2"/>
    <w:rsid w:val="00BC684C"/>
    <w:rsid w:val="00BD285D"/>
    <w:rsid w:val="00BE428E"/>
    <w:rsid w:val="00BE592C"/>
    <w:rsid w:val="00BF17CC"/>
    <w:rsid w:val="00C02744"/>
    <w:rsid w:val="00C45392"/>
    <w:rsid w:val="00C4755C"/>
    <w:rsid w:val="00C62B70"/>
    <w:rsid w:val="00C64309"/>
    <w:rsid w:val="00C663D3"/>
    <w:rsid w:val="00C91BBB"/>
    <w:rsid w:val="00CB018C"/>
    <w:rsid w:val="00CB1D3B"/>
    <w:rsid w:val="00CB55DA"/>
    <w:rsid w:val="00CB6D63"/>
    <w:rsid w:val="00CC09D4"/>
    <w:rsid w:val="00CC1AB6"/>
    <w:rsid w:val="00CC3EE9"/>
    <w:rsid w:val="00CD7874"/>
    <w:rsid w:val="00CD7F5C"/>
    <w:rsid w:val="00CF1169"/>
    <w:rsid w:val="00CF4B39"/>
    <w:rsid w:val="00CF4C8F"/>
    <w:rsid w:val="00CF7AEC"/>
    <w:rsid w:val="00D05A57"/>
    <w:rsid w:val="00D20580"/>
    <w:rsid w:val="00D35AD9"/>
    <w:rsid w:val="00D4264C"/>
    <w:rsid w:val="00D53BCB"/>
    <w:rsid w:val="00D54A3A"/>
    <w:rsid w:val="00D65CA3"/>
    <w:rsid w:val="00D6696B"/>
    <w:rsid w:val="00D73A04"/>
    <w:rsid w:val="00D7630B"/>
    <w:rsid w:val="00D8156B"/>
    <w:rsid w:val="00D949CA"/>
    <w:rsid w:val="00DA4677"/>
    <w:rsid w:val="00DC0929"/>
    <w:rsid w:val="00DD5393"/>
    <w:rsid w:val="00DE1E56"/>
    <w:rsid w:val="00DF45A2"/>
    <w:rsid w:val="00E12205"/>
    <w:rsid w:val="00E2321B"/>
    <w:rsid w:val="00E262D6"/>
    <w:rsid w:val="00E26AA1"/>
    <w:rsid w:val="00E31935"/>
    <w:rsid w:val="00E705BB"/>
    <w:rsid w:val="00E706E5"/>
    <w:rsid w:val="00E71B25"/>
    <w:rsid w:val="00E8041E"/>
    <w:rsid w:val="00E80E17"/>
    <w:rsid w:val="00EA7EDC"/>
    <w:rsid w:val="00EB46A3"/>
    <w:rsid w:val="00EC2E75"/>
    <w:rsid w:val="00ED0861"/>
    <w:rsid w:val="00ED655C"/>
    <w:rsid w:val="00EE2B13"/>
    <w:rsid w:val="00EE3CFC"/>
    <w:rsid w:val="00EE5C3C"/>
    <w:rsid w:val="00EE5C3E"/>
    <w:rsid w:val="00EF0016"/>
    <w:rsid w:val="00EF5B1C"/>
    <w:rsid w:val="00F0323B"/>
    <w:rsid w:val="00F05C7F"/>
    <w:rsid w:val="00F0746C"/>
    <w:rsid w:val="00F16DC4"/>
    <w:rsid w:val="00F25B56"/>
    <w:rsid w:val="00F3000C"/>
    <w:rsid w:val="00F46442"/>
    <w:rsid w:val="00F55D0C"/>
    <w:rsid w:val="00F61CF6"/>
    <w:rsid w:val="00F622FB"/>
    <w:rsid w:val="00F62357"/>
    <w:rsid w:val="00F8791F"/>
    <w:rsid w:val="00F94CB0"/>
    <w:rsid w:val="00F962BB"/>
    <w:rsid w:val="00FA0E2E"/>
    <w:rsid w:val="00FC11C4"/>
    <w:rsid w:val="00FC32A9"/>
    <w:rsid w:val="00FD68B8"/>
    <w:rsid w:val="00FE25BB"/>
    <w:rsid w:val="00FF04E2"/>
    <w:rsid w:val="00FF0F42"/>
    <w:rsid w:val="00FF4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7C27D"/>
  <w15:docId w15:val="{40CD6B21-4FCE-421B-8F9B-21E64F25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49B"/>
    <w:pPr>
      <w:spacing w:before="120" w:after="320" w:line="276" w:lineRule="auto"/>
    </w:pPr>
    <w:rPr>
      <w:rFonts w:ascii="Times New Roman" w:hAnsi="Times New Roman"/>
      <w:sz w:val="24"/>
    </w:rPr>
  </w:style>
  <w:style w:type="paragraph" w:styleId="Heading1">
    <w:name w:val="heading 1"/>
    <w:basedOn w:val="Normal"/>
    <w:next w:val="Normal"/>
    <w:link w:val="Heading1Char"/>
    <w:uiPriority w:val="1"/>
    <w:qFormat/>
    <w:rsid w:val="00363E9B"/>
    <w:pPr>
      <w:keepNext/>
      <w:keepLines/>
      <w:spacing w:before="240" w:after="0" w:line="360" w:lineRule="auto"/>
      <w:jc w:val="left"/>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97929"/>
    <w:pPr>
      <w:spacing w:before="0" w:after="160" w:line="360" w:lineRule="auto"/>
      <w:outlineLvl w:val="1"/>
    </w:pPr>
    <w:rPr>
      <w:rFonts w:cs="Times New Roman"/>
      <w:b/>
    </w:rPr>
  </w:style>
  <w:style w:type="paragraph" w:styleId="Heading3">
    <w:name w:val="heading 3"/>
    <w:basedOn w:val="Normal"/>
    <w:next w:val="Normal"/>
    <w:link w:val="Heading3Char"/>
    <w:uiPriority w:val="9"/>
    <w:unhideWhenUsed/>
    <w:qFormat/>
    <w:rsid w:val="00B97929"/>
    <w:pPr>
      <w:keepNext/>
      <w:keepLines/>
      <w:spacing w:before="160" w:after="120" w:line="259" w:lineRule="auto"/>
      <w:jc w:val="left"/>
      <w:outlineLvl w:val="2"/>
    </w:pPr>
    <w:rPr>
      <w:rFonts w:eastAsiaTheme="majorEastAsia" w:cstheme="majorBidi"/>
      <w:b/>
      <w:color w:val="243F60" w:themeColor="accent1" w:themeShade="7F"/>
      <w:szCs w:val="24"/>
    </w:rPr>
  </w:style>
  <w:style w:type="paragraph" w:styleId="Heading4">
    <w:name w:val="heading 4"/>
    <w:basedOn w:val="Normal"/>
    <w:next w:val="Normal"/>
    <w:link w:val="Heading4Char"/>
    <w:uiPriority w:val="9"/>
    <w:unhideWhenUsed/>
    <w:qFormat/>
    <w:rsid w:val="001D7B1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3E9B"/>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B97929"/>
    <w:rPr>
      <w:rFonts w:ascii="Times New Roman" w:hAnsi="Times New Roman" w:cs="Times New Roman"/>
      <w:b/>
      <w:kern w:val="0"/>
      <w:sz w:val="24"/>
    </w:rPr>
  </w:style>
  <w:style w:type="character" w:customStyle="1" w:styleId="Heading3Char">
    <w:name w:val="Heading 3 Char"/>
    <w:basedOn w:val="DefaultParagraphFont"/>
    <w:link w:val="Heading3"/>
    <w:uiPriority w:val="9"/>
    <w:rsid w:val="00B97929"/>
    <w:rPr>
      <w:rFonts w:ascii="Times New Roman" w:eastAsiaTheme="majorEastAsia" w:hAnsi="Times New Roman" w:cstheme="majorBidi"/>
      <w:b/>
      <w:color w:val="243F60" w:themeColor="accent1" w:themeShade="7F"/>
      <w:sz w:val="24"/>
      <w:szCs w:val="24"/>
    </w:rPr>
  </w:style>
  <w:style w:type="character" w:customStyle="1" w:styleId="Heading4Char">
    <w:name w:val="Heading 4 Char"/>
    <w:basedOn w:val="DefaultParagraphFont"/>
    <w:link w:val="Heading4"/>
    <w:uiPriority w:val="9"/>
    <w:rsid w:val="001D7B1B"/>
    <w:rPr>
      <w:rFonts w:asciiTheme="majorHAnsi" w:eastAsiaTheme="majorEastAsia" w:hAnsiTheme="majorHAnsi" w:cstheme="majorBidi"/>
      <w:b/>
      <w:bCs/>
      <w:i/>
      <w:iCs/>
      <w:color w:val="4F81BD" w:themeColor="accent1"/>
    </w:rPr>
  </w:style>
  <w:style w:type="paragraph" w:styleId="TOC1">
    <w:name w:val="toc 1"/>
    <w:basedOn w:val="Normal"/>
    <w:uiPriority w:val="39"/>
    <w:qFormat/>
    <w:rsid w:val="001D7B1B"/>
    <w:pPr>
      <w:spacing w:before="144"/>
      <w:ind w:left="731" w:hanging="452"/>
    </w:pPr>
    <w:rPr>
      <w:rFonts w:eastAsia="Times New Roman" w:cs="Times New Roman"/>
      <w:b/>
      <w:bCs/>
      <w:szCs w:val="24"/>
    </w:rPr>
  </w:style>
  <w:style w:type="paragraph" w:styleId="TOC2">
    <w:name w:val="toc 2"/>
    <w:basedOn w:val="Normal"/>
    <w:uiPriority w:val="39"/>
    <w:qFormat/>
    <w:rsid w:val="001D7B1B"/>
    <w:pPr>
      <w:spacing w:before="137"/>
      <w:ind w:left="1180" w:hanging="450"/>
    </w:pPr>
    <w:rPr>
      <w:rFonts w:eastAsia="Times New Roman" w:cs="Times New Roman"/>
      <w:szCs w:val="24"/>
    </w:rPr>
  </w:style>
  <w:style w:type="paragraph" w:styleId="TOC3">
    <w:name w:val="toc 3"/>
    <w:basedOn w:val="Normal"/>
    <w:uiPriority w:val="39"/>
    <w:qFormat/>
    <w:rsid w:val="001D7B1B"/>
    <w:pPr>
      <w:spacing w:before="137"/>
      <w:ind w:left="1180" w:hanging="450"/>
    </w:pPr>
    <w:rPr>
      <w:rFonts w:eastAsia="Times New Roman" w:cs="Times New Roman"/>
      <w:b/>
      <w:bCs/>
      <w:i/>
      <w:iCs/>
    </w:rPr>
  </w:style>
  <w:style w:type="paragraph" w:styleId="TOC4">
    <w:name w:val="toc 4"/>
    <w:basedOn w:val="Normal"/>
    <w:uiPriority w:val="39"/>
    <w:qFormat/>
    <w:rsid w:val="001D7B1B"/>
    <w:pPr>
      <w:spacing w:before="139"/>
      <w:ind w:left="1720" w:hanging="541"/>
    </w:pPr>
    <w:rPr>
      <w:rFonts w:eastAsia="Times New Roman" w:cs="Times New Roman"/>
      <w:szCs w:val="24"/>
    </w:rPr>
  </w:style>
  <w:style w:type="paragraph" w:styleId="TOC5">
    <w:name w:val="toc 5"/>
    <w:basedOn w:val="Normal"/>
    <w:uiPriority w:val="39"/>
    <w:qFormat/>
    <w:rsid w:val="001D7B1B"/>
    <w:pPr>
      <w:spacing w:before="137"/>
      <w:ind w:left="1841" w:hanging="661"/>
    </w:pPr>
    <w:rPr>
      <w:rFonts w:eastAsia="Times New Roman" w:cs="Times New Roman"/>
      <w:szCs w:val="24"/>
    </w:rPr>
  </w:style>
  <w:style w:type="paragraph" w:styleId="Caption">
    <w:name w:val="caption"/>
    <w:basedOn w:val="Normal"/>
    <w:next w:val="Normal"/>
    <w:uiPriority w:val="35"/>
    <w:unhideWhenUsed/>
    <w:qFormat/>
    <w:rsid w:val="001D7B1B"/>
    <w:pPr>
      <w:spacing w:beforeAutospacing="1" w:after="200"/>
    </w:pPr>
    <w:rPr>
      <w:rFonts w:asciiTheme="minorHAnsi" w:hAnsiTheme="minorHAnsi"/>
      <w:b/>
      <w:bCs/>
      <w:color w:val="4F81BD" w:themeColor="accent1"/>
      <w:sz w:val="18"/>
      <w:szCs w:val="18"/>
    </w:rPr>
  </w:style>
  <w:style w:type="paragraph" w:styleId="BodyText">
    <w:name w:val="Body Text"/>
    <w:basedOn w:val="Normal"/>
    <w:link w:val="BodyTextChar"/>
    <w:uiPriority w:val="1"/>
    <w:qFormat/>
    <w:rsid w:val="001D7B1B"/>
    <w:rPr>
      <w:rFonts w:eastAsia="Times New Roman" w:cs="Times New Roman"/>
      <w:szCs w:val="24"/>
    </w:rPr>
  </w:style>
  <w:style w:type="character" w:customStyle="1" w:styleId="BodyTextChar">
    <w:name w:val="Body Text Char"/>
    <w:basedOn w:val="DefaultParagraphFont"/>
    <w:link w:val="BodyText"/>
    <w:uiPriority w:val="1"/>
    <w:rsid w:val="001D7B1B"/>
    <w:rPr>
      <w:rFonts w:ascii="Times New Roman" w:eastAsia="Times New Roman" w:hAnsi="Times New Roman" w:cs="Times New Roman"/>
      <w:sz w:val="24"/>
      <w:szCs w:val="24"/>
    </w:rPr>
  </w:style>
  <w:style w:type="paragraph" w:styleId="NoSpacing">
    <w:name w:val="No Spacing"/>
    <w:uiPriority w:val="1"/>
    <w:qFormat/>
    <w:rsid w:val="001D7B1B"/>
    <w:pPr>
      <w:spacing w:beforeAutospacing="1"/>
    </w:pPr>
  </w:style>
  <w:style w:type="paragraph" w:styleId="ListParagraph">
    <w:name w:val="List Paragraph"/>
    <w:basedOn w:val="Normal"/>
    <w:uiPriority w:val="1"/>
    <w:qFormat/>
    <w:rsid w:val="001D7B1B"/>
    <w:pPr>
      <w:ind w:left="1020" w:hanging="900"/>
    </w:pPr>
    <w:rPr>
      <w:rFonts w:eastAsia="Times New Roman" w:cs="Times New Roman"/>
    </w:rPr>
  </w:style>
  <w:style w:type="paragraph" w:styleId="TOCHeading">
    <w:name w:val="TOC Heading"/>
    <w:basedOn w:val="Heading1"/>
    <w:next w:val="Normal"/>
    <w:uiPriority w:val="39"/>
    <w:semiHidden/>
    <w:unhideWhenUsed/>
    <w:qFormat/>
    <w:rsid w:val="001D7B1B"/>
    <w:pPr>
      <w:spacing w:before="480"/>
      <w:outlineLvl w:val="9"/>
    </w:pPr>
    <w:rPr>
      <w:rFonts w:asciiTheme="majorHAnsi" w:hAnsiTheme="majorHAnsi"/>
      <w:color w:val="365F91" w:themeColor="accent1" w:themeShade="BF"/>
    </w:rPr>
  </w:style>
  <w:style w:type="paragraph" w:customStyle="1" w:styleId="TableParagraph">
    <w:name w:val="Table Paragraph"/>
    <w:basedOn w:val="Normal"/>
    <w:uiPriority w:val="1"/>
    <w:qFormat/>
    <w:rsid w:val="001D7B1B"/>
    <w:rPr>
      <w:rFonts w:eastAsia="Times New Roman" w:cs="Times New Roman"/>
    </w:rPr>
  </w:style>
  <w:style w:type="paragraph" w:styleId="BalloonText">
    <w:name w:val="Balloon Text"/>
    <w:basedOn w:val="Normal"/>
    <w:link w:val="BalloonTextChar"/>
    <w:uiPriority w:val="99"/>
    <w:semiHidden/>
    <w:unhideWhenUsed/>
    <w:rsid w:val="00A8621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213"/>
    <w:rPr>
      <w:rFonts w:ascii="Tahoma" w:hAnsi="Tahoma" w:cs="Tahoma"/>
      <w:sz w:val="16"/>
      <w:szCs w:val="16"/>
    </w:rPr>
  </w:style>
  <w:style w:type="table" w:styleId="TableGrid">
    <w:name w:val="Table Grid"/>
    <w:basedOn w:val="TableNormal"/>
    <w:uiPriority w:val="59"/>
    <w:rsid w:val="006C27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D012C02-E518-47CB-AFB6-B93B2985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30</Pages>
  <Words>24642</Words>
  <Characters>143667</Characters>
  <Application>Microsoft Office Word</Application>
  <DocSecurity>0</DocSecurity>
  <Lines>2873</Lines>
  <Paragraphs>1256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sriram samineni</dc:creator>
  <cp:lastModifiedBy>Compters H</cp:lastModifiedBy>
  <cp:revision>140</cp:revision>
  <dcterms:created xsi:type="dcterms:W3CDTF">2023-07-28T07:52:00Z</dcterms:created>
  <dcterms:modified xsi:type="dcterms:W3CDTF">2023-08-02T05:57:00Z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4f45d36f-63e2-3aca-9f47-e7bf1641ec33</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333f86e81322163d4417f3f345925115c04e781efa80e49acdc6280830b737c0</vt:lpwstr>
  </property>
</Properties>
</file>