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E6" w:rsidRDefault="008C20E2" w:rsidP="00CD2801">
      <w:pPr>
        <w:pBdr>
          <w:bottom w:val="single" w:sz="24" w:space="1" w:color="auto"/>
        </w:pBdr>
        <w:spacing w:after="0"/>
        <w:rPr>
          <w:b/>
          <w:sz w:val="40"/>
          <w:szCs w:val="40"/>
        </w:rPr>
      </w:pPr>
      <w:r>
        <w:rPr>
          <w:b/>
          <w:sz w:val="40"/>
          <w:szCs w:val="40"/>
        </w:rPr>
        <w:t>CHAPTER</w:t>
      </w:r>
    </w:p>
    <w:p w:rsidR="00B061E6" w:rsidRDefault="00B061E6" w:rsidP="00B061E6">
      <w:pPr>
        <w:spacing w:after="0"/>
        <w:rPr>
          <w:b/>
          <w:sz w:val="40"/>
          <w:szCs w:val="40"/>
        </w:rPr>
      </w:pPr>
    </w:p>
    <w:p w:rsidR="00B061E6" w:rsidRPr="002462C4" w:rsidRDefault="00B420D4" w:rsidP="00B061E6">
      <w:pPr>
        <w:jc w:val="center"/>
        <w:rPr>
          <w:b/>
          <w:sz w:val="36"/>
          <w:szCs w:val="36"/>
        </w:rPr>
      </w:pPr>
      <w:r>
        <w:rPr>
          <w:b/>
          <w:sz w:val="36"/>
          <w:szCs w:val="36"/>
        </w:rPr>
        <w:t>ACIDO BASIC</w:t>
      </w:r>
      <w:r w:rsidR="00B061E6" w:rsidRPr="002462C4">
        <w:rPr>
          <w:b/>
          <w:sz w:val="36"/>
          <w:szCs w:val="36"/>
        </w:rPr>
        <w:t xml:space="preserve"> EQUILIBRIA OF </w:t>
      </w:r>
      <w:r w:rsidR="006D49AE">
        <w:rPr>
          <w:b/>
          <w:sz w:val="36"/>
          <w:szCs w:val="36"/>
        </w:rPr>
        <w:t>NON-TOXIC,</w:t>
      </w:r>
      <w:r w:rsidR="00257E00" w:rsidRPr="002462C4">
        <w:rPr>
          <w:b/>
          <w:sz w:val="36"/>
          <w:szCs w:val="36"/>
        </w:rPr>
        <w:t xml:space="preserve"> </w:t>
      </w:r>
      <w:r w:rsidR="008C20E2" w:rsidRPr="002462C4">
        <w:rPr>
          <w:b/>
          <w:sz w:val="36"/>
          <w:szCs w:val="36"/>
        </w:rPr>
        <w:t xml:space="preserve">DITOPIC </w:t>
      </w:r>
      <w:r w:rsidR="009B4F7D" w:rsidRPr="002462C4">
        <w:rPr>
          <w:b/>
          <w:sz w:val="36"/>
          <w:szCs w:val="36"/>
        </w:rPr>
        <w:t xml:space="preserve">AZELAIC AND TEREPHTHALIC ACID </w:t>
      </w:r>
      <w:r w:rsidR="00B061E6" w:rsidRPr="002462C4">
        <w:rPr>
          <w:b/>
          <w:sz w:val="36"/>
          <w:szCs w:val="36"/>
        </w:rPr>
        <w:t>DIHYDRAZIDES</w:t>
      </w:r>
      <w:r w:rsidR="002B43AA" w:rsidRPr="002462C4">
        <w:rPr>
          <w:b/>
          <w:sz w:val="36"/>
          <w:szCs w:val="36"/>
        </w:rPr>
        <w:t xml:space="preserve"> </w:t>
      </w:r>
      <w:r w:rsidR="00257E00" w:rsidRPr="002462C4">
        <w:rPr>
          <w:b/>
          <w:sz w:val="36"/>
          <w:szCs w:val="36"/>
        </w:rPr>
        <w:t>&amp;</w:t>
      </w:r>
      <w:r w:rsidR="00B061E6" w:rsidRPr="002462C4">
        <w:rPr>
          <w:b/>
          <w:sz w:val="36"/>
          <w:szCs w:val="36"/>
        </w:rPr>
        <w:t xml:space="preserve"> AMINO ACIDS</w:t>
      </w:r>
      <w:r w:rsidR="002B43AA" w:rsidRPr="002462C4">
        <w:rPr>
          <w:b/>
          <w:sz w:val="36"/>
          <w:szCs w:val="36"/>
        </w:rPr>
        <w:t xml:space="preserve"> </w:t>
      </w:r>
      <w:r w:rsidR="00786C93">
        <w:rPr>
          <w:b/>
          <w:sz w:val="36"/>
          <w:szCs w:val="36"/>
        </w:rPr>
        <w:t>PROLI</w:t>
      </w:r>
      <w:r w:rsidR="002B43AA" w:rsidRPr="002462C4">
        <w:rPr>
          <w:b/>
          <w:sz w:val="36"/>
          <w:szCs w:val="36"/>
        </w:rPr>
        <w:t>N</w:t>
      </w:r>
      <w:r>
        <w:rPr>
          <w:b/>
          <w:sz w:val="36"/>
          <w:szCs w:val="36"/>
        </w:rPr>
        <w:t xml:space="preserve">E AND LYSINE IN </w:t>
      </w:r>
      <w:r w:rsidR="002B43AA" w:rsidRPr="002462C4">
        <w:rPr>
          <w:b/>
          <w:sz w:val="36"/>
          <w:szCs w:val="36"/>
        </w:rPr>
        <w:t xml:space="preserve"> AQUEOUS MEDIUM</w:t>
      </w:r>
    </w:p>
    <w:p w:rsidR="00D12DE5" w:rsidRPr="00D12DE5" w:rsidRDefault="00D12DE5" w:rsidP="00D12DE5">
      <w:r>
        <w:rPr>
          <w:vertAlign w:val="superscript"/>
        </w:rPr>
        <w:t>*</w:t>
      </w:r>
      <w:r w:rsidRPr="00D12DE5">
        <w:t>Nirmala Devi Danabala</w:t>
      </w:r>
      <w:r>
        <w:rPr>
          <w:vertAlign w:val="superscript"/>
        </w:rPr>
        <w:t>1</w:t>
      </w:r>
      <w:r>
        <w:t>,</w:t>
      </w:r>
      <w:r w:rsidRPr="00D12DE5">
        <w:t>Umarani Bhagavathula</w:t>
      </w:r>
      <w:r>
        <w:rPr>
          <w:vertAlign w:val="superscript"/>
        </w:rPr>
        <w:t>2</w:t>
      </w:r>
      <w:r w:rsidRPr="00D12DE5">
        <w:t>, Shyamala P</w:t>
      </w:r>
      <w:r>
        <w:rPr>
          <w:vertAlign w:val="superscript"/>
        </w:rPr>
        <w:t>3</w:t>
      </w:r>
      <w:r w:rsidRPr="00D12DE5">
        <w:t>. Satyanarayana. A</w:t>
      </w:r>
      <w:r>
        <w:rPr>
          <w:vertAlign w:val="superscript"/>
        </w:rPr>
        <w:t>4</w:t>
      </w:r>
      <w:r w:rsidRPr="00D12DE5">
        <w:t xml:space="preserve"> </w:t>
      </w:r>
    </w:p>
    <w:p w:rsidR="00D12DE5" w:rsidRPr="00D12DE5" w:rsidRDefault="002462C4" w:rsidP="00D12DE5">
      <w:pPr>
        <w:rPr>
          <w:i/>
        </w:rPr>
      </w:pPr>
      <w:r>
        <w:rPr>
          <w:i/>
          <w:vertAlign w:val="superscript"/>
        </w:rPr>
        <w:t>1</w:t>
      </w:r>
      <w:r w:rsidR="00D12DE5" w:rsidRPr="00D12DE5">
        <w:rPr>
          <w:i/>
        </w:rPr>
        <w:t>Department of Basic Sciences &amp; Humanities, Vignan’s Institute of Engineering for Women, Visakhapatnam-530049, Andhra Pradesh, India.</w:t>
      </w:r>
    </w:p>
    <w:p w:rsidR="00D12DE5" w:rsidRPr="00D12DE5" w:rsidRDefault="002462C4" w:rsidP="00D12DE5">
      <w:pPr>
        <w:rPr>
          <w:i/>
        </w:rPr>
      </w:pPr>
      <w:r>
        <w:rPr>
          <w:i/>
          <w:vertAlign w:val="superscript"/>
        </w:rPr>
        <w:t>2</w:t>
      </w:r>
      <w:r w:rsidR="00D12DE5" w:rsidRPr="00D12DE5">
        <w:rPr>
          <w:i/>
        </w:rPr>
        <w:t>Department of Chemistry, St.Francis College for Women, Begumpet, Hyderabad-500016, Telangana, India.</w:t>
      </w:r>
    </w:p>
    <w:p w:rsidR="00D12DE5" w:rsidRPr="00D12DE5" w:rsidRDefault="002462C4" w:rsidP="00D12DE5">
      <w:pPr>
        <w:rPr>
          <w:i/>
        </w:rPr>
      </w:pPr>
      <w:r>
        <w:rPr>
          <w:i/>
          <w:vertAlign w:val="superscript"/>
        </w:rPr>
        <w:t>3</w:t>
      </w:r>
      <w:r w:rsidR="00D12DE5" w:rsidRPr="00D12DE5">
        <w:rPr>
          <w:i/>
        </w:rPr>
        <w:t>Department of School of Chemistry, Andhra University</w:t>
      </w:r>
      <w:r>
        <w:rPr>
          <w:i/>
        </w:rPr>
        <w:t>-</w:t>
      </w:r>
      <w:r w:rsidR="00D12DE5" w:rsidRPr="00D12DE5">
        <w:rPr>
          <w:i/>
        </w:rPr>
        <w:t>, Visakhapatnam</w:t>
      </w:r>
      <w:r>
        <w:rPr>
          <w:i/>
        </w:rPr>
        <w:t>-530003</w:t>
      </w:r>
      <w:r w:rsidR="00D12DE5" w:rsidRPr="00D12DE5">
        <w:rPr>
          <w:i/>
        </w:rPr>
        <w:t>.</w:t>
      </w:r>
    </w:p>
    <w:p w:rsidR="00D12DE5" w:rsidRDefault="00D12DE5" w:rsidP="00D12DE5">
      <w:pPr>
        <w:rPr>
          <w:sz w:val="36"/>
          <w:szCs w:val="36"/>
        </w:rPr>
      </w:pPr>
    </w:p>
    <w:p w:rsidR="00B061E6" w:rsidRDefault="00B061E6" w:rsidP="001B4083">
      <w:pPr>
        <w:spacing w:line="480" w:lineRule="auto"/>
        <w:jc w:val="both"/>
        <w:rPr>
          <w:rFonts w:eastAsia="Calibri"/>
          <w:lang w:val="en-US"/>
        </w:rPr>
      </w:pPr>
    </w:p>
    <w:p w:rsidR="00B061E6" w:rsidRDefault="00B061E6" w:rsidP="001B4083">
      <w:pPr>
        <w:spacing w:line="480" w:lineRule="auto"/>
        <w:jc w:val="both"/>
        <w:rPr>
          <w:rFonts w:eastAsia="Calibri"/>
          <w:lang w:val="en-US"/>
        </w:rPr>
      </w:pPr>
    </w:p>
    <w:p w:rsidR="00B061E6" w:rsidRDefault="00B061E6" w:rsidP="001B4083">
      <w:pPr>
        <w:spacing w:line="480" w:lineRule="auto"/>
        <w:jc w:val="both"/>
        <w:rPr>
          <w:rFonts w:eastAsia="Calibri"/>
          <w:lang w:val="en-US"/>
        </w:rPr>
      </w:pPr>
    </w:p>
    <w:p w:rsidR="002B43AA" w:rsidRDefault="002B43AA" w:rsidP="001B4083">
      <w:pPr>
        <w:spacing w:line="480" w:lineRule="auto"/>
        <w:jc w:val="both"/>
        <w:rPr>
          <w:rFonts w:eastAsia="Calibri"/>
          <w:lang w:val="en-US"/>
        </w:rPr>
      </w:pPr>
    </w:p>
    <w:p w:rsidR="00B061E6" w:rsidRDefault="00B061E6" w:rsidP="001B4083">
      <w:pPr>
        <w:spacing w:line="480" w:lineRule="auto"/>
        <w:jc w:val="both"/>
        <w:rPr>
          <w:rFonts w:eastAsia="Calibri"/>
          <w:lang w:val="en-US"/>
        </w:rPr>
      </w:pPr>
    </w:p>
    <w:p w:rsidR="00B061E6" w:rsidRDefault="00B061E6" w:rsidP="001B4083">
      <w:pPr>
        <w:spacing w:line="480" w:lineRule="auto"/>
        <w:jc w:val="both"/>
        <w:rPr>
          <w:rFonts w:eastAsia="Calibri"/>
          <w:lang w:val="en-US"/>
        </w:rPr>
      </w:pPr>
    </w:p>
    <w:p w:rsidR="00B061E6" w:rsidRDefault="00B061E6" w:rsidP="001B4083">
      <w:pPr>
        <w:spacing w:line="480" w:lineRule="auto"/>
        <w:jc w:val="both"/>
        <w:rPr>
          <w:rFonts w:eastAsia="Calibri"/>
          <w:lang w:val="en-US"/>
        </w:rPr>
      </w:pPr>
    </w:p>
    <w:p w:rsidR="00B061E6" w:rsidRDefault="00B061E6" w:rsidP="001B4083">
      <w:pPr>
        <w:spacing w:line="480" w:lineRule="auto"/>
        <w:jc w:val="both"/>
        <w:rPr>
          <w:rFonts w:eastAsia="Calibri"/>
          <w:lang w:val="en-US"/>
        </w:rPr>
      </w:pPr>
    </w:p>
    <w:p w:rsidR="002462C4" w:rsidRDefault="002462C4" w:rsidP="002B43AA">
      <w:pPr>
        <w:spacing w:after="0" w:line="480" w:lineRule="auto"/>
        <w:jc w:val="both"/>
        <w:rPr>
          <w:rFonts w:eastAsia="Calibri"/>
          <w:b/>
          <w:sz w:val="28"/>
          <w:szCs w:val="28"/>
          <w:lang w:val="en-US"/>
        </w:rPr>
      </w:pPr>
    </w:p>
    <w:p w:rsidR="002462C4" w:rsidRDefault="002462C4" w:rsidP="002B43AA">
      <w:pPr>
        <w:spacing w:after="0" w:line="480" w:lineRule="auto"/>
        <w:jc w:val="both"/>
        <w:rPr>
          <w:rFonts w:eastAsia="Calibri"/>
          <w:b/>
          <w:sz w:val="28"/>
          <w:szCs w:val="28"/>
          <w:lang w:val="en-US"/>
        </w:rPr>
      </w:pPr>
    </w:p>
    <w:p w:rsidR="008C20E2" w:rsidRDefault="008C20E2" w:rsidP="002B43AA">
      <w:pPr>
        <w:spacing w:after="0" w:line="480" w:lineRule="auto"/>
        <w:jc w:val="both"/>
        <w:rPr>
          <w:rFonts w:eastAsia="Calibri"/>
          <w:b/>
          <w:sz w:val="28"/>
          <w:szCs w:val="28"/>
          <w:lang w:val="en-US"/>
        </w:rPr>
      </w:pPr>
      <w:r w:rsidRPr="008C20E2">
        <w:rPr>
          <w:rFonts w:eastAsia="Calibri"/>
          <w:b/>
          <w:sz w:val="28"/>
          <w:szCs w:val="28"/>
          <w:lang w:val="en-US"/>
        </w:rPr>
        <w:lastRenderedPageBreak/>
        <w:t>Introduction:</w:t>
      </w:r>
    </w:p>
    <w:p w:rsidR="001B4083" w:rsidRDefault="00212CD8" w:rsidP="008C20E2">
      <w:pPr>
        <w:spacing w:after="0" w:line="480" w:lineRule="auto"/>
        <w:jc w:val="both"/>
        <w:rPr>
          <w:rFonts w:eastAsia="Calibri"/>
          <w:lang w:val="en-US"/>
        </w:rPr>
      </w:pPr>
      <w:r w:rsidRPr="00212CD8">
        <w:rPr>
          <w:rFonts w:eastAsia="Calibri"/>
          <w:lang w:val="en-US"/>
        </w:rPr>
        <w:t>Many biological reactions</w:t>
      </w:r>
      <w:r w:rsidR="00565F2D">
        <w:rPr>
          <w:rFonts w:eastAsia="Calibri"/>
          <w:lang w:val="en-US"/>
        </w:rPr>
        <w:t>,</w:t>
      </w:r>
      <w:r w:rsidRPr="00212CD8">
        <w:rPr>
          <w:rFonts w:eastAsia="Calibri"/>
          <w:lang w:val="en-US"/>
        </w:rPr>
        <w:t xml:space="preserve"> including the enzyme catalysis depend on the pH of the biological fluids. This is due to the pH</w:t>
      </w:r>
      <w:r w:rsidR="00CB3073">
        <w:rPr>
          <w:rFonts w:eastAsia="Calibri"/>
          <w:lang w:val="en-US"/>
        </w:rPr>
        <w:t>-</w:t>
      </w:r>
      <w:r w:rsidRPr="00212CD8">
        <w:rPr>
          <w:rFonts w:eastAsia="Calibri"/>
          <w:lang w:val="en-US"/>
        </w:rPr>
        <w:t>dependent activity of biomolecules that possess acidic and basic chemical groups.  For example, an enzyme must be ready to lose or gain a proton at a particular instant during a biological reaction. It must also revert to the original protonation state to regenerate the active enzyme. This requires a match between the pKa of the corresponding che</w:t>
      </w:r>
      <w:r w:rsidR="00761154">
        <w:rPr>
          <w:rFonts w:eastAsia="Calibri"/>
          <w:lang w:val="en-US"/>
        </w:rPr>
        <w:t>mical group and the ambient pH</w:t>
      </w:r>
      <w:r w:rsidR="00565F2D">
        <w:rPr>
          <w:rFonts w:eastAsia="Calibri"/>
          <w:lang w:val="en-US"/>
        </w:rPr>
        <w:t>,</w:t>
      </w:r>
      <w:r w:rsidR="00761154">
        <w:rPr>
          <w:rFonts w:eastAsia="Calibri"/>
          <w:lang w:val="en-US"/>
        </w:rPr>
        <w:t xml:space="preserve"> which </w:t>
      </w:r>
      <w:r w:rsidR="00761154" w:rsidRPr="00212CD8">
        <w:rPr>
          <w:rFonts w:eastAsia="Calibri"/>
          <w:lang w:val="en-US"/>
        </w:rPr>
        <w:t xml:space="preserve">is one of the </w:t>
      </w:r>
      <w:r w:rsidR="00761154">
        <w:rPr>
          <w:rFonts w:eastAsia="Calibri"/>
          <w:lang w:val="en-US"/>
        </w:rPr>
        <w:t xml:space="preserve">fundamental </w:t>
      </w:r>
      <w:r w:rsidR="00761154" w:rsidRPr="00212CD8">
        <w:rPr>
          <w:rFonts w:eastAsia="Calibri"/>
          <w:lang w:val="en-US"/>
        </w:rPr>
        <w:t>physiological variables</w:t>
      </w:r>
      <w:r w:rsidR="00761154">
        <w:rPr>
          <w:rFonts w:eastAsia="Calibri"/>
          <w:lang w:val="en-US"/>
        </w:rPr>
        <w:t xml:space="preserve">.  </w:t>
      </w:r>
      <w:r w:rsidRPr="00212CD8">
        <w:rPr>
          <w:rFonts w:eastAsia="Calibri"/>
          <w:lang w:val="en-US"/>
        </w:rPr>
        <w:t>Therefore,</w:t>
      </w:r>
      <w:r w:rsidR="009859E5">
        <w:rPr>
          <w:rFonts w:eastAsia="Calibri"/>
          <w:lang w:val="en-US"/>
        </w:rPr>
        <w:t xml:space="preserve"> determination of the pKa values</w:t>
      </w:r>
      <w:r w:rsidRPr="00212CD8">
        <w:rPr>
          <w:rFonts w:eastAsia="Calibri"/>
          <w:lang w:val="en-US"/>
        </w:rPr>
        <w:t xml:space="preserve"> of </w:t>
      </w:r>
      <w:r w:rsidR="009859E5">
        <w:rPr>
          <w:rFonts w:eastAsia="Calibri"/>
          <w:lang w:val="en-US"/>
        </w:rPr>
        <w:t>various protonation equilibria of a biologically important molecule</w:t>
      </w:r>
      <w:r w:rsidRPr="00212CD8">
        <w:rPr>
          <w:rFonts w:eastAsia="Calibri"/>
          <w:lang w:val="en-US"/>
        </w:rPr>
        <w:t xml:space="preserve"> is vital in understanding </w:t>
      </w:r>
      <w:r w:rsidR="000E4B64">
        <w:rPr>
          <w:rFonts w:eastAsia="Calibri"/>
          <w:lang w:val="en-US"/>
        </w:rPr>
        <w:t>its</w:t>
      </w:r>
      <w:r w:rsidRPr="00212CD8">
        <w:rPr>
          <w:rFonts w:eastAsia="Calibri"/>
          <w:lang w:val="en-US"/>
        </w:rPr>
        <w:t xml:space="preserve"> </w:t>
      </w:r>
      <w:r w:rsidRPr="00212CD8">
        <w:rPr>
          <w:rFonts w:eastAsia="Calibri"/>
          <w:i/>
          <w:lang w:val="en-US"/>
        </w:rPr>
        <w:t>in vivo</w:t>
      </w:r>
      <w:r w:rsidR="00761154">
        <w:rPr>
          <w:rFonts w:eastAsia="Calibri"/>
          <w:lang w:val="en-US"/>
        </w:rPr>
        <w:t xml:space="preserve"> behaviour</w:t>
      </w:r>
      <w:r w:rsidR="00F16C7F">
        <w:rPr>
          <w:rFonts w:eastAsia="Calibri"/>
          <w:lang w:val="en-US"/>
        </w:rPr>
        <w:t>.</w:t>
      </w:r>
      <w:r w:rsidR="00761154">
        <w:rPr>
          <w:rFonts w:eastAsia="Calibri"/>
          <w:lang w:val="en-US"/>
        </w:rPr>
        <w:t xml:space="preserve"> </w:t>
      </w:r>
      <w:r w:rsidR="008C6150">
        <w:rPr>
          <w:rFonts w:eastAsia="Calibri"/>
          <w:lang w:val="en-US"/>
        </w:rPr>
        <w:t>Computation</w:t>
      </w:r>
      <w:r w:rsidRPr="00F16C7F">
        <w:rPr>
          <w:rFonts w:eastAsia="Calibri"/>
          <w:lang w:val="en-US"/>
        </w:rPr>
        <w:t xml:space="preserve"> </w:t>
      </w:r>
      <w:r w:rsidR="008C6150">
        <w:rPr>
          <w:rFonts w:eastAsia="Calibri"/>
          <w:lang w:val="en-US"/>
        </w:rPr>
        <w:t xml:space="preserve">of </w:t>
      </w:r>
      <w:r w:rsidR="008C6150" w:rsidRPr="00212CD8">
        <w:rPr>
          <w:rFonts w:eastAsia="Calibri"/>
          <w:lang w:val="en-US"/>
        </w:rPr>
        <w:t xml:space="preserve">pKa </w:t>
      </w:r>
      <w:r w:rsidR="009859E5">
        <w:rPr>
          <w:rFonts w:eastAsia="Calibri"/>
          <w:lang w:val="en-US"/>
        </w:rPr>
        <w:t>value</w:t>
      </w:r>
      <w:r w:rsidR="000E4B64">
        <w:rPr>
          <w:rFonts w:eastAsia="Calibri"/>
          <w:lang w:val="en-US"/>
        </w:rPr>
        <w:t>s</w:t>
      </w:r>
      <w:r w:rsidR="008C6150">
        <w:rPr>
          <w:rFonts w:eastAsia="Calibri"/>
          <w:lang w:val="en-US"/>
        </w:rPr>
        <w:t xml:space="preserve"> </w:t>
      </w:r>
      <w:r w:rsidRPr="00F16C7F">
        <w:rPr>
          <w:rFonts w:eastAsia="Calibri"/>
          <w:lang w:val="en-US"/>
        </w:rPr>
        <w:t xml:space="preserve">is </w:t>
      </w:r>
      <w:r w:rsidRPr="00212CD8">
        <w:rPr>
          <w:rFonts w:eastAsia="Calibri"/>
          <w:lang w:val="en-US"/>
        </w:rPr>
        <w:t xml:space="preserve">challenging if the molecule possesses a number of protonation states with overlapping equilibria.  Further, in the case of molecules containing homotopic chemical groups, association or ionization of proton at one centre affects the other. Accurate determination of protonation </w:t>
      </w:r>
      <w:r w:rsidR="000E4B64" w:rsidRPr="00212CD8">
        <w:rPr>
          <w:rFonts w:eastAsia="Calibri"/>
          <w:lang w:val="en-US"/>
        </w:rPr>
        <w:t>equilibria</w:t>
      </w:r>
      <w:r w:rsidRPr="00212CD8">
        <w:rPr>
          <w:rFonts w:eastAsia="Calibri"/>
          <w:lang w:val="en-US"/>
        </w:rPr>
        <w:t xml:space="preserve"> therefore requires meticulous data acquisition followed by analysis using efficient algorithms. </w:t>
      </w:r>
    </w:p>
    <w:p w:rsidR="009D6AEC" w:rsidRDefault="001B4083" w:rsidP="00257E00">
      <w:pPr>
        <w:spacing w:line="480" w:lineRule="auto"/>
        <w:jc w:val="both"/>
        <w:rPr>
          <w:rFonts w:eastAsia="Calibri"/>
          <w:lang w:val="en-US"/>
        </w:rPr>
      </w:pPr>
      <w:r>
        <w:rPr>
          <w:rFonts w:eastAsia="Calibri"/>
          <w:lang w:val="en-US"/>
        </w:rPr>
        <w:tab/>
      </w:r>
      <w:r w:rsidR="001147A9">
        <w:rPr>
          <w:rFonts w:eastAsia="Calibri"/>
          <w:lang w:val="en-US"/>
        </w:rPr>
        <w:t xml:space="preserve">The glass electrode probe is used to find the variation of pH for the metal complex formation in acid-base equilibrium occurs in biological systems, for which the determination of acid-base equilibria of </w:t>
      </w:r>
      <w:r w:rsidR="00C50CC1">
        <w:rPr>
          <w:rFonts w:eastAsia="Calibri"/>
          <w:lang w:val="en-US"/>
        </w:rPr>
        <w:t xml:space="preserve">proton-ligand </w:t>
      </w:r>
      <w:r w:rsidR="00B54643">
        <w:rPr>
          <w:rFonts w:eastAsia="Calibri"/>
          <w:lang w:val="en-US"/>
        </w:rPr>
        <w:t>is necessary</w:t>
      </w:r>
      <w:r w:rsidR="009D6AEC">
        <w:rPr>
          <w:rFonts w:eastAsia="Calibri"/>
          <w:lang w:val="en-US"/>
        </w:rPr>
        <w:t xml:space="preserve">. </w:t>
      </w:r>
      <w:r w:rsidR="009D6AEC" w:rsidRPr="009D6AEC">
        <w:rPr>
          <w:rFonts w:eastAsia="Calibri"/>
          <w:lang w:val="en-US"/>
        </w:rPr>
        <w:t xml:space="preserve">Therefore, the speciation study of binary and ternary systems could be facilitated by tracking changes in the hydrogen ion concentration of a system containing a metal ion and a ligand using Bjerrum's method1 of potentiometric titration and knowing the protonation constants of the most anionic form of the ligand(s). </w:t>
      </w:r>
    </w:p>
    <w:p w:rsidR="007F57CB" w:rsidRDefault="009D6AEC" w:rsidP="00257E00">
      <w:pPr>
        <w:spacing w:line="480" w:lineRule="auto"/>
        <w:jc w:val="both"/>
        <w:rPr>
          <w:rFonts w:eastAsia="Calibri"/>
          <w:b/>
          <w:sz w:val="28"/>
          <w:szCs w:val="28"/>
        </w:rPr>
      </w:pPr>
      <w:r w:rsidRPr="009D6AEC">
        <w:rPr>
          <w:rFonts w:eastAsia="Calibri"/>
          <w:lang w:val="en-US"/>
        </w:rPr>
        <w:t xml:space="preserve"> </w:t>
      </w:r>
      <w:r w:rsidR="008D5503" w:rsidRPr="00257E00">
        <w:rPr>
          <w:rFonts w:eastAsia="Calibri"/>
          <w:b/>
          <w:sz w:val="28"/>
          <w:szCs w:val="28"/>
        </w:rPr>
        <w:t xml:space="preserve"> </w:t>
      </w:r>
      <w:r w:rsidR="003770FC" w:rsidRPr="00257E00">
        <w:rPr>
          <w:rFonts w:eastAsia="Calibri"/>
          <w:b/>
          <w:sz w:val="28"/>
          <w:szCs w:val="28"/>
        </w:rPr>
        <w:t>Data acquisition:</w:t>
      </w:r>
    </w:p>
    <w:p w:rsidR="00F845C0" w:rsidRDefault="007F57CB" w:rsidP="001B4083">
      <w:pPr>
        <w:spacing w:line="480" w:lineRule="auto"/>
        <w:jc w:val="both"/>
      </w:pPr>
      <w:r>
        <w:t xml:space="preserve"> </w:t>
      </w:r>
      <w:r w:rsidR="00F845C0" w:rsidRPr="00F845C0">
        <w:t xml:space="preserve">The analysis of the protonation equilibria of the chosen ligands in the aqueous medium was conducted using the potentiometric titration procedure1 of Bjerrum modified by Calvin - </w:t>
      </w:r>
      <w:r w:rsidR="00F845C0" w:rsidRPr="00F845C0">
        <w:lastRenderedPageBreak/>
        <w:t xml:space="preserve">Wilson2.  It was titrated with approximately 0.2 mol. dm-3 (KOH) potassium hydroxide using the necessary volumes of hydrochloric acid (to maintain the overall concentration of 0.02 -0.05 mol.dm-3), potassium chloride (with an ionic strength of 0.1 mol.dm-3), and water in the presence and absence of a ligand in a cumulative volume of 50.0 cm3.  Different studies were conducted with the ligand concentration maintained between 0.004 and 0.015 mol.dm-3.  The ionic product of water and the pH correction factor were estimated using Gran's approach 3, 4.  </w:t>
      </w:r>
    </w:p>
    <w:p w:rsidR="00212CD8" w:rsidRPr="00257E00" w:rsidRDefault="008D5503" w:rsidP="001B4083">
      <w:pPr>
        <w:spacing w:line="480" w:lineRule="auto"/>
        <w:jc w:val="both"/>
        <w:rPr>
          <w:rFonts w:eastAsia="Calibri"/>
          <w:b/>
          <w:sz w:val="28"/>
          <w:szCs w:val="28"/>
        </w:rPr>
      </w:pPr>
      <w:r w:rsidRPr="00257E00">
        <w:rPr>
          <w:rFonts w:eastAsia="Calibri"/>
          <w:b/>
          <w:sz w:val="28"/>
          <w:szCs w:val="28"/>
        </w:rPr>
        <w:t xml:space="preserve"> </w:t>
      </w:r>
      <w:r w:rsidR="007848C0" w:rsidRPr="00257E00">
        <w:rPr>
          <w:b/>
          <w:sz w:val="28"/>
          <w:szCs w:val="28"/>
        </w:rPr>
        <w:t>Proton-Ligand Equilibria of Azelaic and Terephthalic Acid Dihydrazides</w:t>
      </w:r>
      <w:r w:rsidR="00613456" w:rsidRPr="00257E00">
        <w:rPr>
          <w:rFonts w:eastAsia="Calibri"/>
          <w:b/>
          <w:sz w:val="28"/>
          <w:szCs w:val="28"/>
        </w:rPr>
        <w:t xml:space="preserve">: </w:t>
      </w:r>
    </w:p>
    <w:p w:rsidR="00396E2C" w:rsidRPr="003D665A" w:rsidRDefault="004057DC" w:rsidP="001B4083">
      <w:pPr>
        <w:spacing w:line="480" w:lineRule="auto"/>
        <w:jc w:val="both"/>
      </w:pPr>
      <w:r>
        <w:rPr>
          <w:rFonts w:eastAsia="Times New Roman"/>
          <w:color w:val="222222"/>
        </w:rPr>
        <w:tab/>
      </w:r>
      <w:r w:rsidR="00396E2C">
        <w:t>D</w:t>
      </w:r>
      <w:r w:rsidR="00EC73D5">
        <w:t xml:space="preserve">ihydrazides </w:t>
      </w:r>
      <w:r w:rsidR="00EC73D5" w:rsidRPr="00224BBF">
        <w:t>with general formula,</w:t>
      </w:r>
      <w:r w:rsidR="00EC73D5">
        <w:t xml:space="preserve"> R (-CO-NH-NH</w:t>
      </w:r>
      <w:r w:rsidR="00EC73D5">
        <w:rPr>
          <w:vertAlign w:val="subscript"/>
        </w:rPr>
        <w:t>2</w:t>
      </w:r>
      <w:r w:rsidR="00EC73D5">
        <w:t>)</w:t>
      </w:r>
      <w:r w:rsidR="00EC73D5">
        <w:rPr>
          <w:vertAlign w:val="subscript"/>
        </w:rPr>
        <w:t xml:space="preserve">2 </w:t>
      </w:r>
      <w:r w:rsidR="00EC73D5">
        <w:t>are</w:t>
      </w:r>
      <w:r w:rsidR="00396E2C" w:rsidRPr="00224BBF">
        <w:t xml:space="preserve"> a group of nitrogenous organic compounds </w:t>
      </w:r>
      <w:r w:rsidR="00AD555B">
        <w:t>as shown in Fig.</w:t>
      </w:r>
      <w:r w:rsidR="00396E2C">
        <w:t>1.  Depending on ‘R’</w:t>
      </w:r>
      <w:r w:rsidR="00CB3073">
        <w:t>,</w:t>
      </w:r>
      <w:r w:rsidR="00396E2C">
        <w:t xml:space="preserve"> dihydrazides can be classified as aromatic or aliphatic. </w:t>
      </w:r>
      <w:r w:rsidR="008D5503">
        <w:t xml:space="preserve"> </w:t>
      </w:r>
    </w:p>
    <w:p w:rsidR="00396E2C" w:rsidRDefault="00396E2C" w:rsidP="00396E2C">
      <w:pPr>
        <w:spacing w:line="240" w:lineRule="auto"/>
        <w:ind w:firstLine="720"/>
        <w:jc w:val="center"/>
      </w:pPr>
      <w:r>
        <w:object w:dxaOrig="3566"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46.5pt" o:ole="">
            <v:imagedata r:id="rId8" o:title=""/>
          </v:shape>
          <o:OLEObject Type="Embed" ProgID="ChemDraw.Document.6.0" ShapeID="_x0000_i1025" DrawAspect="Content" ObjectID="_1756710463" r:id="rId9"/>
        </w:object>
      </w:r>
      <w:r>
        <w:t xml:space="preserve">            </w:t>
      </w:r>
      <w:r w:rsidR="00ED011C">
        <w:object w:dxaOrig="9181" w:dyaOrig="3501">
          <v:shape id="_x0000_i1026" type="#_x0000_t75" style="width:130.5pt;height:48.75pt" o:ole="">
            <v:imagedata r:id="rId10" o:title=""/>
          </v:shape>
          <o:OLEObject Type="Embed" ProgID="Chem3D.Document.8" ShapeID="_x0000_i1026" DrawAspect="Content" ObjectID="_1756710464" r:id="rId11"/>
        </w:object>
      </w:r>
    </w:p>
    <w:p w:rsidR="00396E2C" w:rsidRPr="00BE0C53" w:rsidRDefault="008C20E2" w:rsidP="00181188">
      <w:pPr>
        <w:spacing w:before="240" w:line="240" w:lineRule="auto"/>
        <w:ind w:firstLine="720"/>
        <w:jc w:val="center"/>
      </w:pPr>
      <w:r>
        <w:rPr>
          <w:b/>
        </w:rPr>
        <w:t xml:space="preserve">Figure </w:t>
      </w:r>
      <w:r w:rsidR="00396E2C" w:rsidRPr="00BE0C53">
        <w:rPr>
          <w:b/>
        </w:rPr>
        <w:t>1</w:t>
      </w:r>
      <w:r w:rsidR="00396E2C" w:rsidRPr="00BE0C53">
        <w:t xml:space="preserve">: </w:t>
      </w:r>
      <w:r w:rsidR="00370B82">
        <w:t>G</w:t>
      </w:r>
      <w:r w:rsidR="00396E2C" w:rsidRPr="00BE0C53">
        <w:t>eneral formula of a dihydrazide</w:t>
      </w:r>
    </w:p>
    <w:p w:rsidR="00181188" w:rsidRDefault="00574230" w:rsidP="00574230">
      <w:pPr>
        <w:spacing w:after="0" w:line="360" w:lineRule="auto"/>
        <w:ind w:firstLine="720"/>
        <w:jc w:val="both"/>
      </w:pPr>
      <w:r w:rsidRPr="00574230">
        <w:t>The presence of -NH2 groups in terminal positions in the presence of an acid results in the formation of the mono-protonated (LH+) and biprotonated (LH22+) species. As a result of enolic protons being lost, LH-1- and LH-22-type deprotonated species are created during keto-enol tautomerism of hydrazides (Fig. 2).</w:t>
      </w:r>
    </w:p>
    <w:p w:rsidR="00396E2C" w:rsidRDefault="00396E2C" w:rsidP="008D5503">
      <w:pPr>
        <w:spacing w:after="0" w:line="240" w:lineRule="auto"/>
        <w:ind w:firstLine="720"/>
        <w:jc w:val="center"/>
      </w:pPr>
      <w:r>
        <w:object w:dxaOrig="8727" w:dyaOrig="1320">
          <v:shape id="_x0000_i1027" type="#_x0000_t75" style="width:311.25pt;height:46.5pt" o:ole="">
            <v:imagedata r:id="rId12" o:title=""/>
          </v:shape>
          <o:OLEObject Type="Embed" ProgID="ChemDraw.Document.6.0" ShapeID="_x0000_i1027" DrawAspect="Content" ObjectID="_1756710465" r:id="rId13"/>
        </w:object>
      </w:r>
    </w:p>
    <w:p w:rsidR="00396E2C" w:rsidRPr="00937384" w:rsidRDefault="00AD555B" w:rsidP="00181188">
      <w:pPr>
        <w:spacing w:before="240" w:line="240" w:lineRule="auto"/>
        <w:ind w:firstLine="720"/>
        <w:jc w:val="center"/>
      </w:pPr>
      <w:r>
        <w:rPr>
          <w:b/>
        </w:rPr>
        <w:t>Figure</w:t>
      </w:r>
      <w:r w:rsidR="008C20E2">
        <w:rPr>
          <w:b/>
        </w:rPr>
        <w:t xml:space="preserve"> </w:t>
      </w:r>
      <w:r w:rsidR="00396E2C" w:rsidRPr="00BE0C53">
        <w:rPr>
          <w:b/>
        </w:rPr>
        <w:t>2:</w:t>
      </w:r>
      <w:r w:rsidR="00396E2C">
        <w:t xml:space="preserve">  Keto-enol tautomerism of dihydrazides</w:t>
      </w:r>
    </w:p>
    <w:p w:rsidR="008D5503" w:rsidRDefault="008D5503" w:rsidP="008D5503">
      <w:pPr>
        <w:spacing w:after="0" w:line="240" w:lineRule="auto"/>
        <w:jc w:val="both"/>
        <w:rPr>
          <w:rFonts w:eastAsia="Calibri"/>
        </w:rPr>
      </w:pPr>
    </w:p>
    <w:p w:rsidR="001B4083" w:rsidRDefault="00D34594" w:rsidP="001B4083">
      <w:pPr>
        <w:spacing w:after="0" w:line="480" w:lineRule="auto"/>
        <w:jc w:val="both"/>
        <w:rPr>
          <w:rFonts w:eastAsia="Calibri"/>
        </w:rPr>
      </w:pPr>
      <w:r>
        <w:rPr>
          <w:rFonts w:eastAsia="Calibri"/>
        </w:rPr>
        <w:t xml:space="preserve">Thus in the absence of other groups, the possible protonation states of dihydrazides are </w:t>
      </w:r>
      <w:r>
        <w:t>LH</w:t>
      </w:r>
      <w:r>
        <w:rPr>
          <w:vertAlign w:val="subscript"/>
        </w:rPr>
        <w:t>2</w:t>
      </w:r>
      <w:r>
        <w:rPr>
          <w:vertAlign w:val="superscript"/>
        </w:rPr>
        <w:t>2+</w:t>
      </w:r>
      <w:r>
        <w:t>, LH</w:t>
      </w:r>
      <w:r>
        <w:rPr>
          <w:vertAlign w:val="superscript"/>
        </w:rPr>
        <w:t>+</w:t>
      </w:r>
      <w:r>
        <w:t>, L, LH</w:t>
      </w:r>
      <w:r>
        <w:rPr>
          <w:vertAlign w:val="subscript"/>
        </w:rPr>
        <w:t>-1</w:t>
      </w:r>
      <w:r w:rsidR="00AD555B">
        <w:rPr>
          <w:vertAlign w:val="superscript"/>
        </w:rPr>
        <w:t>-</w:t>
      </w:r>
      <w:r>
        <w:t xml:space="preserve"> and LH</w:t>
      </w:r>
      <w:r>
        <w:rPr>
          <w:vertAlign w:val="subscript"/>
        </w:rPr>
        <w:t>-2</w:t>
      </w:r>
      <w:r w:rsidR="00AD555B">
        <w:rPr>
          <w:vertAlign w:val="superscript"/>
        </w:rPr>
        <w:t>2-</w:t>
      </w:r>
      <w:r>
        <w:t>.</w:t>
      </w:r>
      <w:r w:rsidR="008A7A94">
        <w:t xml:space="preserve">  </w:t>
      </w:r>
      <w:r w:rsidR="00830A9E" w:rsidRPr="00212CD8">
        <w:rPr>
          <w:rFonts w:eastAsia="Times New Roman"/>
          <w:color w:val="222222"/>
        </w:rPr>
        <w:t xml:space="preserve">Dihydrazides selected for the study were, azelaic acid dihydrazide (AZDH) and terephthalic acid dihydrazide (TPDH).  </w:t>
      </w:r>
      <w:r w:rsidR="00830A9E" w:rsidRPr="00212CD8">
        <w:rPr>
          <w:rFonts w:eastAsia="Calibri"/>
        </w:rPr>
        <w:t>In spite of the catalytic</w:t>
      </w:r>
      <w:r w:rsidR="00F95FB0">
        <w:rPr>
          <w:rFonts w:eastAsia="Calibri"/>
          <w:vertAlign w:val="superscript"/>
        </w:rPr>
        <w:t>5-7</w:t>
      </w:r>
      <w:r w:rsidR="00830A9E" w:rsidRPr="00212CD8">
        <w:rPr>
          <w:rFonts w:eastAsia="Calibri"/>
        </w:rPr>
        <w:t xml:space="preserve"> </w:t>
      </w:r>
      <w:r w:rsidR="00830A9E" w:rsidRPr="00212CD8">
        <w:rPr>
          <w:rFonts w:eastAsia="Calibri"/>
        </w:rPr>
        <w:lastRenderedPageBreak/>
        <w:t>and biological importance</w:t>
      </w:r>
      <w:r w:rsidR="005077A3">
        <w:rPr>
          <w:rFonts w:eastAsia="Calibri"/>
          <w:vertAlign w:val="superscript"/>
        </w:rPr>
        <w:t>8</w:t>
      </w:r>
      <w:r w:rsidR="00830A9E" w:rsidRPr="00212CD8">
        <w:rPr>
          <w:rFonts w:eastAsia="Calibri"/>
          <w:vertAlign w:val="superscript"/>
        </w:rPr>
        <w:t>-1</w:t>
      </w:r>
      <w:r w:rsidR="00EE40FE">
        <w:rPr>
          <w:rFonts w:eastAsia="Calibri"/>
          <w:vertAlign w:val="superscript"/>
        </w:rPr>
        <w:t>6</w:t>
      </w:r>
      <w:r w:rsidR="00830A9E" w:rsidRPr="00212CD8">
        <w:rPr>
          <w:rFonts w:eastAsia="Calibri"/>
        </w:rPr>
        <w:t xml:space="preserve"> of dihydrazides, there is a paucity of information in the literature on their solution equilibria.  There were no literature reports on the acid-base equilibria of the selected dihydrazides.</w:t>
      </w:r>
      <w:r w:rsidR="00830A9E">
        <w:rPr>
          <w:rFonts w:eastAsia="Calibri"/>
        </w:rPr>
        <w:t xml:space="preserve">  </w:t>
      </w:r>
    </w:p>
    <w:p w:rsidR="00A01A1F" w:rsidRDefault="001B4083" w:rsidP="001B4083">
      <w:pPr>
        <w:spacing w:after="0" w:line="480" w:lineRule="auto"/>
        <w:jc w:val="both"/>
      </w:pPr>
      <w:r>
        <w:rPr>
          <w:rFonts w:eastAsia="Calibri"/>
        </w:rPr>
        <w:tab/>
      </w:r>
      <w:r w:rsidR="008D5503">
        <w:t>AZDH is an aliphatic dihydrazide, where R= -</w:t>
      </w:r>
      <w:r w:rsidR="00AD555B">
        <w:t xml:space="preserve"> </w:t>
      </w:r>
      <w:r w:rsidR="008D5503">
        <w:t>(CH</w:t>
      </w:r>
      <w:r w:rsidR="008D5503">
        <w:rPr>
          <w:vertAlign w:val="subscript"/>
        </w:rPr>
        <w:t>2</w:t>
      </w:r>
      <w:r w:rsidR="008D5503">
        <w:t>)</w:t>
      </w:r>
      <w:r w:rsidR="008D5503">
        <w:rPr>
          <w:vertAlign w:val="subscript"/>
        </w:rPr>
        <w:t xml:space="preserve">7 </w:t>
      </w:r>
      <w:r w:rsidR="008D5503">
        <w:t>- and TPDH is an aromatic dihydrazide, R= -</w:t>
      </w:r>
      <w:r w:rsidR="00AD555B">
        <w:t xml:space="preserve"> </w:t>
      </w:r>
      <w:r w:rsidR="008D5503">
        <w:t>(C</w:t>
      </w:r>
      <w:r w:rsidR="008D5503">
        <w:rPr>
          <w:vertAlign w:val="subscript"/>
        </w:rPr>
        <w:t>6</w:t>
      </w:r>
      <w:r w:rsidR="008D5503">
        <w:t>H</w:t>
      </w:r>
      <w:r w:rsidR="008D5503">
        <w:rPr>
          <w:vertAlign w:val="subscript"/>
        </w:rPr>
        <w:t>4</w:t>
      </w:r>
      <w:r w:rsidR="004A4CA6">
        <w:t>)</w:t>
      </w:r>
      <w:r w:rsidR="00AD555B">
        <w:t xml:space="preserve"> </w:t>
      </w:r>
      <w:r w:rsidR="008C20E2">
        <w:t xml:space="preserve">- (Fig. </w:t>
      </w:r>
      <w:r w:rsidR="004A4CA6">
        <w:t>3).</w:t>
      </w:r>
    </w:p>
    <w:p w:rsidR="00A01A1F" w:rsidRDefault="00A01A1F" w:rsidP="008D5503">
      <w:pPr>
        <w:spacing w:after="0" w:line="240" w:lineRule="auto"/>
        <w:ind w:firstLine="720"/>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3"/>
        <w:gridCol w:w="3573"/>
      </w:tblGrid>
      <w:tr w:rsidR="004A4CA6" w:rsidTr="00F9389B">
        <w:trPr>
          <w:trHeight w:val="2330"/>
          <w:jc w:val="center"/>
        </w:trPr>
        <w:tc>
          <w:tcPr>
            <w:tcW w:w="5063" w:type="dxa"/>
          </w:tcPr>
          <w:p w:rsidR="004A4CA6" w:rsidRDefault="00F9389B" w:rsidP="004A4CA6">
            <w:pPr>
              <w:spacing w:line="480" w:lineRule="auto"/>
              <w:jc w:val="center"/>
              <w:rPr>
                <w:bCs/>
                <w:iCs/>
              </w:rPr>
            </w:pPr>
            <w:r w:rsidRPr="009D1C50">
              <w:rPr>
                <w:rFonts w:ascii="Times New Roman" w:eastAsiaTheme="minorHAnsi" w:hAnsi="Times New Roman" w:cs="Times New Roman"/>
                <w:sz w:val="24"/>
                <w:szCs w:val="24"/>
              </w:rPr>
              <w:object w:dxaOrig="8768" w:dyaOrig="2051">
                <v:shape id="_x0000_i1028" type="#_x0000_t75" style="width:222pt;height:52.5pt" o:ole="">
                  <v:imagedata r:id="rId14" o:title=""/>
                </v:shape>
                <o:OLEObject Type="Embed" ProgID="Chem3D.Document.8" ShapeID="_x0000_i1028" DrawAspect="Content" ObjectID="_1756710466" r:id="rId15"/>
              </w:object>
            </w:r>
          </w:p>
          <w:p w:rsidR="004A4CA6" w:rsidRDefault="00F9389B" w:rsidP="004A4CA6">
            <w:pPr>
              <w:spacing w:line="480" w:lineRule="auto"/>
              <w:jc w:val="center"/>
              <w:rPr>
                <w:bCs/>
                <w:iCs/>
              </w:rPr>
            </w:pPr>
            <w:r w:rsidRPr="009D1C50">
              <w:rPr>
                <w:rFonts w:ascii="Times New Roman" w:eastAsiaTheme="minorHAnsi" w:hAnsi="Times New Roman" w:cs="Times New Roman"/>
                <w:sz w:val="24"/>
                <w:szCs w:val="24"/>
              </w:rPr>
              <w:object w:dxaOrig="4982" w:dyaOrig="1119">
                <v:shape id="_x0000_i1029" type="#_x0000_t75" style="width:199.5pt;height:45pt" o:ole="">
                  <v:imagedata r:id="rId16" o:title=""/>
                </v:shape>
                <o:OLEObject Type="Embed" ProgID="ChemDraw.Document.6.0" ShapeID="_x0000_i1029" DrawAspect="Content" ObjectID="_1756710467" r:id="rId17"/>
              </w:object>
            </w:r>
          </w:p>
        </w:tc>
        <w:tc>
          <w:tcPr>
            <w:tcW w:w="3573" w:type="dxa"/>
          </w:tcPr>
          <w:p w:rsidR="004A4CA6" w:rsidRPr="009D1C50" w:rsidRDefault="00F9389B" w:rsidP="004A4CA6">
            <w:pPr>
              <w:spacing w:line="480" w:lineRule="auto"/>
              <w:jc w:val="center"/>
            </w:pPr>
            <w:r w:rsidRPr="00B33D94">
              <w:rPr>
                <w:rFonts w:ascii="Times New Roman" w:eastAsiaTheme="minorHAnsi" w:hAnsi="Times New Roman" w:cs="Times New Roman"/>
                <w:sz w:val="24"/>
                <w:szCs w:val="24"/>
              </w:rPr>
              <w:object w:dxaOrig="7067" w:dyaOrig="3059">
                <v:shape id="_x0000_i1030" type="#_x0000_t75" style="width:130.5pt;height:57.75pt" o:ole="">
                  <v:imagedata r:id="rId18" o:title=""/>
                </v:shape>
                <o:OLEObject Type="Embed" ProgID="Chem3D.Document.8" ShapeID="_x0000_i1030" DrawAspect="Content" ObjectID="_1756710468" r:id="rId19"/>
              </w:object>
            </w:r>
          </w:p>
          <w:p w:rsidR="004A4CA6" w:rsidRPr="009D1C50" w:rsidRDefault="00F9389B" w:rsidP="004A4CA6">
            <w:pPr>
              <w:spacing w:line="480" w:lineRule="auto"/>
              <w:jc w:val="center"/>
            </w:pPr>
            <w:r w:rsidRPr="00B33D94">
              <w:rPr>
                <w:rFonts w:ascii="Times New Roman" w:eastAsiaTheme="minorHAnsi" w:hAnsi="Times New Roman" w:cs="Times New Roman"/>
                <w:sz w:val="24"/>
                <w:szCs w:val="24"/>
              </w:rPr>
              <w:object w:dxaOrig="5515" w:dyaOrig="1538">
                <v:shape id="_x0000_i1031" type="#_x0000_t75" style="width:153pt;height:42.75pt" o:ole="">
                  <v:imagedata r:id="rId20" o:title=""/>
                </v:shape>
                <o:OLEObject Type="Embed" ProgID="ChemDraw.Document.6.0" ShapeID="_x0000_i1031" DrawAspect="Content" ObjectID="_1756710469" r:id="rId21"/>
              </w:object>
            </w:r>
          </w:p>
        </w:tc>
      </w:tr>
      <w:tr w:rsidR="00A01A1F" w:rsidTr="00F9389B">
        <w:trPr>
          <w:jc w:val="center"/>
        </w:trPr>
        <w:tc>
          <w:tcPr>
            <w:tcW w:w="5063" w:type="dxa"/>
          </w:tcPr>
          <w:p w:rsidR="00A01A1F" w:rsidRPr="00781769" w:rsidRDefault="00A01A1F" w:rsidP="004A4CA6">
            <w:pPr>
              <w:spacing w:line="480" w:lineRule="auto"/>
              <w:ind w:firstLine="720"/>
              <w:jc w:val="center"/>
              <w:rPr>
                <w:rFonts w:ascii="Times New Roman" w:hAnsi="Times New Roman" w:cs="Times New Roman"/>
                <w:sz w:val="24"/>
                <w:szCs w:val="24"/>
              </w:rPr>
            </w:pPr>
            <w:r w:rsidRPr="00781769">
              <w:rPr>
                <w:rFonts w:ascii="Times New Roman" w:hAnsi="Times New Roman" w:cs="Times New Roman"/>
                <w:sz w:val="24"/>
                <w:szCs w:val="24"/>
                <w:lang w:val="en-US"/>
              </w:rPr>
              <w:t>Azelaic or nonanedioic acid dihydrazide</w:t>
            </w:r>
          </w:p>
        </w:tc>
        <w:tc>
          <w:tcPr>
            <w:tcW w:w="3573" w:type="dxa"/>
          </w:tcPr>
          <w:p w:rsidR="00A01A1F" w:rsidRPr="00781769" w:rsidRDefault="00781769" w:rsidP="004A4CA6">
            <w:pPr>
              <w:spacing w:line="480" w:lineRule="auto"/>
              <w:jc w:val="center"/>
              <w:rPr>
                <w:rFonts w:ascii="Times New Roman" w:hAnsi="Times New Roman" w:cs="Times New Roman"/>
                <w:sz w:val="24"/>
                <w:szCs w:val="24"/>
              </w:rPr>
            </w:pPr>
            <w:r w:rsidRPr="00781769">
              <w:rPr>
                <w:rFonts w:ascii="Times New Roman" w:hAnsi="Times New Roman" w:cs="Times New Roman"/>
                <w:sz w:val="24"/>
                <w:szCs w:val="24"/>
              </w:rPr>
              <w:t>Terephthalic acid dihydrazide</w:t>
            </w:r>
          </w:p>
        </w:tc>
      </w:tr>
    </w:tbl>
    <w:p w:rsidR="00A01A1F" w:rsidRDefault="00B81D93" w:rsidP="004A4CA6">
      <w:pPr>
        <w:spacing w:after="0" w:line="240" w:lineRule="auto"/>
        <w:ind w:firstLine="720"/>
        <w:jc w:val="center"/>
      </w:pPr>
      <w:r>
        <w:rPr>
          <w:b/>
        </w:rPr>
        <w:t xml:space="preserve">  </w:t>
      </w:r>
      <w:r w:rsidR="004A4CA6" w:rsidRPr="00C94A01">
        <w:rPr>
          <w:b/>
        </w:rPr>
        <w:t>Fig</w:t>
      </w:r>
      <w:r w:rsidR="00AD555B">
        <w:rPr>
          <w:b/>
        </w:rPr>
        <w:t>ure</w:t>
      </w:r>
      <w:r w:rsidR="008C20E2">
        <w:rPr>
          <w:b/>
        </w:rPr>
        <w:t xml:space="preserve"> </w:t>
      </w:r>
      <w:r w:rsidR="004A4CA6" w:rsidRPr="00C94A01">
        <w:rPr>
          <w:b/>
        </w:rPr>
        <w:t>3:</w:t>
      </w:r>
      <w:r w:rsidR="004A4CA6" w:rsidRPr="00781769">
        <w:t xml:space="preserve"> </w:t>
      </w:r>
      <w:r w:rsidR="004A4CA6">
        <w:t>Structures of AZDH and TPDH</w:t>
      </w:r>
    </w:p>
    <w:p w:rsidR="001E239D" w:rsidRDefault="001E239D" w:rsidP="001E239D">
      <w:pPr>
        <w:spacing w:after="0" w:line="480" w:lineRule="auto"/>
        <w:ind w:firstLine="720"/>
        <w:jc w:val="both"/>
      </w:pPr>
    </w:p>
    <w:p w:rsidR="001E239D" w:rsidRPr="001E239D" w:rsidRDefault="008565B5" w:rsidP="001E239D">
      <w:pPr>
        <w:spacing w:after="0" w:line="480" w:lineRule="auto"/>
        <w:ind w:firstLine="720"/>
        <w:jc w:val="both"/>
      </w:pPr>
      <w:r w:rsidRPr="008565B5">
        <w:t>The ligands</w:t>
      </w:r>
      <w:r>
        <w:t xml:space="preserve"> AZDH and TPDH do not possess any ionisable protons below the pH region of 9.</w:t>
      </w:r>
      <w:r w:rsidR="0029750A">
        <w:t xml:space="preserve">0, because the addition of </w:t>
      </w:r>
      <w:r w:rsidR="00931907">
        <w:t xml:space="preserve"> </w:t>
      </w:r>
      <w:r w:rsidR="0029750A" w:rsidRPr="001E239D">
        <w:t>0.1 mole dm</w:t>
      </w:r>
      <w:r w:rsidR="0029750A" w:rsidRPr="001E239D">
        <w:rPr>
          <w:vertAlign w:val="superscript"/>
        </w:rPr>
        <w:t>-3</w:t>
      </w:r>
      <w:r w:rsidR="0029750A" w:rsidRPr="001E239D">
        <w:t xml:space="preserve"> alkali</w:t>
      </w:r>
      <w:r>
        <w:t xml:space="preserve"> </w:t>
      </w:r>
      <w:r w:rsidR="006127CC">
        <w:t>about one drop can suddenly raise the pH of both the ligands. Fig 4a and 5a represents</w:t>
      </w:r>
      <w:r w:rsidR="001E239D">
        <w:t xml:space="preserve"> the pH-metric titration data for AZDH and TPDH. </w:t>
      </w:r>
      <w:r w:rsidR="00635A4B" w:rsidRPr="00635A4B">
        <w:t>The titration of hydrochloric acid without a ligand is represented by curve 1, while the titration of acid + dihydrazide using potassium hydroxide is represented by curve 2.  Below a pH of about 5.0, the titration curves for both TPDH and AZDH (curve 2 in Figures 4a and 5a) are higher than those for free acid.  The existence of proton associable centers is indicated by the difference between the free acid and ligand curves in the lower pH area for both dihydrazides.</w:t>
      </w:r>
    </w:p>
    <w:p w:rsidR="008565B5" w:rsidRPr="008565B5" w:rsidRDefault="008565B5" w:rsidP="001B4083">
      <w:pPr>
        <w:spacing w:after="0" w:line="480" w:lineRule="auto"/>
        <w:ind w:firstLine="720"/>
        <w:jc w:val="both"/>
      </w:pPr>
    </w:p>
    <w:tbl>
      <w:tblPr>
        <w:tblW w:w="7765" w:type="dxa"/>
        <w:jc w:val="center"/>
        <w:tblLook w:val="04A0"/>
      </w:tblPr>
      <w:tblGrid>
        <w:gridCol w:w="597"/>
        <w:gridCol w:w="24"/>
        <w:gridCol w:w="2250"/>
        <w:gridCol w:w="26"/>
        <w:gridCol w:w="1397"/>
        <w:gridCol w:w="17"/>
        <w:gridCol w:w="1057"/>
        <w:gridCol w:w="23"/>
        <w:gridCol w:w="2336"/>
        <w:gridCol w:w="22"/>
        <w:gridCol w:w="16"/>
      </w:tblGrid>
      <w:tr w:rsidR="00C94A01" w:rsidRPr="003C307D" w:rsidTr="00612077">
        <w:trPr>
          <w:gridAfter w:val="1"/>
          <w:wAfter w:w="16" w:type="dxa"/>
          <w:trHeight w:val="3137"/>
          <w:jc w:val="center"/>
        </w:trPr>
        <w:tc>
          <w:tcPr>
            <w:tcW w:w="4311" w:type="dxa"/>
            <w:gridSpan w:val="6"/>
          </w:tcPr>
          <w:p w:rsidR="00C94A01" w:rsidRDefault="00C94A01" w:rsidP="0031339B">
            <w:pPr>
              <w:spacing w:after="0" w:line="240" w:lineRule="auto"/>
              <w:rPr>
                <w:sz w:val="20"/>
                <w:szCs w:val="20"/>
              </w:rPr>
            </w:pPr>
          </w:p>
          <w:p w:rsidR="0001569A" w:rsidRPr="003C307D" w:rsidRDefault="005C5E5D" w:rsidP="0031339B">
            <w:pPr>
              <w:spacing w:after="0" w:line="240" w:lineRule="auto"/>
              <w:rPr>
                <w:sz w:val="20"/>
                <w:szCs w:val="20"/>
              </w:rPr>
            </w:pPr>
            <w:r w:rsidRPr="005C5E5D">
              <w:rPr>
                <w:noProof/>
                <w:sz w:val="20"/>
                <w:szCs w:val="20"/>
                <w:lang w:val="en-US"/>
              </w:rPr>
              <w:drawing>
                <wp:inline distT="0" distB="0" distL="0" distR="0">
                  <wp:extent cx="2354580" cy="176280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2361342" cy="1767868"/>
                          </a:xfrm>
                          <a:prstGeom prst="rect">
                            <a:avLst/>
                          </a:prstGeom>
                          <a:noFill/>
                          <a:ln w="9525">
                            <a:noFill/>
                            <a:miter lim="800000"/>
                            <a:headEnd/>
                            <a:tailEnd/>
                          </a:ln>
                        </pic:spPr>
                      </pic:pic>
                    </a:graphicData>
                  </a:graphic>
                </wp:inline>
              </w:drawing>
            </w:r>
          </w:p>
        </w:tc>
        <w:tc>
          <w:tcPr>
            <w:tcW w:w="3438" w:type="dxa"/>
            <w:gridSpan w:val="4"/>
          </w:tcPr>
          <w:p w:rsidR="00C94A01" w:rsidRPr="003C307D" w:rsidRDefault="005C5E5D" w:rsidP="0031339B">
            <w:pPr>
              <w:spacing w:after="0" w:line="240" w:lineRule="auto"/>
              <w:rPr>
                <w:sz w:val="20"/>
                <w:szCs w:val="20"/>
              </w:rPr>
            </w:pPr>
            <w:r w:rsidRPr="005C5E5D">
              <w:rPr>
                <w:noProof/>
                <w:sz w:val="20"/>
                <w:szCs w:val="20"/>
                <w:lang w:val="en-US"/>
              </w:rPr>
              <w:drawing>
                <wp:inline distT="0" distB="0" distL="0" distR="0">
                  <wp:extent cx="1796007" cy="1771650"/>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1801938" cy="1777501"/>
                          </a:xfrm>
                          <a:prstGeom prst="rect">
                            <a:avLst/>
                          </a:prstGeom>
                          <a:noFill/>
                          <a:ln w="3175">
                            <a:noFill/>
                            <a:miter lim="800000"/>
                            <a:headEnd/>
                            <a:tailEnd/>
                          </a:ln>
                        </pic:spPr>
                      </pic:pic>
                    </a:graphicData>
                  </a:graphic>
                </wp:inline>
              </w:drawing>
            </w:r>
          </w:p>
        </w:tc>
      </w:tr>
      <w:tr w:rsidR="00C94A01" w:rsidRPr="003C307D" w:rsidTr="00612077">
        <w:trPr>
          <w:gridAfter w:val="1"/>
          <w:wAfter w:w="16" w:type="dxa"/>
          <w:trHeight w:val="140"/>
          <w:jc w:val="center"/>
        </w:trPr>
        <w:tc>
          <w:tcPr>
            <w:tcW w:w="621" w:type="dxa"/>
            <w:gridSpan w:val="2"/>
          </w:tcPr>
          <w:p w:rsidR="00C94A01" w:rsidRPr="003C307D" w:rsidRDefault="00C94A01" w:rsidP="003F6271">
            <w:pPr>
              <w:spacing w:after="0" w:line="240" w:lineRule="auto"/>
              <w:jc w:val="right"/>
              <w:rPr>
                <w:sz w:val="20"/>
                <w:szCs w:val="20"/>
              </w:rPr>
            </w:pPr>
            <w:r>
              <w:rPr>
                <w:sz w:val="20"/>
                <w:szCs w:val="20"/>
              </w:rPr>
              <w:t xml:space="preserve">    </w:t>
            </w:r>
            <w:r w:rsidRPr="003C307D">
              <w:rPr>
                <w:sz w:val="20"/>
                <w:szCs w:val="20"/>
              </w:rPr>
              <w:t>a.</w:t>
            </w:r>
          </w:p>
        </w:tc>
        <w:tc>
          <w:tcPr>
            <w:tcW w:w="3690" w:type="dxa"/>
            <w:gridSpan w:val="4"/>
          </w:tcPr>
          <w:p w:rsidR="00C94A01" w:rsidRPr="003C307D" w:rsidRDefault="00C94A01" w:rsidP="0031339B">
            <w:pPr>
              <w:spacing w:after="0" w:line="240" w:lineRule="auto"/>
              <w:ind w:left="-72"/>
              <w:rPr>
                <w:sz w:val="20"/>
                <w:szCs w:val="20"/>
              </w:rPr>
            </w:pPr>
            <w:r w:rsidRPr="003C307D">
              <w:rPr>
                <w:sz w:val="20"/>
                <w:szCs w:val="20"/>
              </w:rPr>
              <w:t>1.  Titration curve of free mineral acid</w:t>
            </w:r>
          </w:p>
        </w:tc>
        <w:tc>
          <w:tcPr>
            <w:tcW w:w="3438" w:type="dxa"/>
            <w:gridSpan w:val="4"/>
          </w:tcPr>
          <w:p w:rsidR="00C94A01" w:rsidRPr="003C307D" w:rsidRDefault="00C94A01" w:rsidP="0031339B">
            <w:pPr>
              <w:spacing w:after="0" w:line="240" w:lineRule="auto"/>
              <w:rPr>
                <w:sz w:val="20"/>
                <w:szCs w:val="20"/>
              </w:rPr>
            </w:pPr>
            <w:r w:rsidRPr="003C307D">
              <w:rPr>
                <w:sz w:val="20"/>
                <w:szCs w:val="20"/>
              </w:rPr>
              <w:t xml:space="preserve">      b. Species distribution diagram</w:t>
            </w:r>
          </w:p>
        </w:tc>
      </w:tr>
      <w:tr w:rsidR="00C94A01" w:rsidRPr="003C307D" w:rsidTr="00612077">
        <w:trPr>
          <w:gridAfter w:val="1"/>
          <w:wAfter w:w="16" w:type="dxa"/>
          <w:trHeight w:val="167"/>
          <w:jc w:val="center"/>
        </w:trPr>
        <w:tc>
          <w:tcPr>
            <w:tcW w:w="621" w:type="dxa"/>
            <w:gridSpan w:val="2"/>
          </w:tcPr>
          <w:p w:rsidR="00C94A01" w:rsidRPr="003C307D" w:rsidRDefault="00C94A01" w:rsidP="0031339B">
            <w:pPr>
              <w:spacing w:after="0" w:line="240" w:lineRule="auto"/>
              <w:rPr>
                <w:b/>
                <w:sz w:val="20"/>
                <w:szCs w:val="20"/>
              </w:rPr>
            </w:pPr>
          </w:p>
        </w:tc>
        <w:tc>
          <w:tcPr>
            <w:tcW w:w="3690" w:type="dxa"/>
            <w:gridSpan w:val="4"/>
          </w:tcPr>
          <w:p w:rsidR="00C94A01" w:rsidRPr="003C307D" w:rsidRDefault="00C94A01" w:rsidP="0031339B">
            <w:pPr>
              <w:spacing w:after="0" w:line="240" w:lineRule="auto"/>
              <w:ind w:left="-72"/>
              <w:rPr>
                <w:sz w:val="20"/>
                <w:szCs w:val="20"/>
              </w:rPr>
            </w:pPr>
            <w:r>
              <w:rPr>
                <w:sz w:val="20"/>
                <w:szCs w:val="20"/>
              </w:rPr>
              <w:t xml:space="preserve">2.  Titration curve for acid + </w:t>
            </w:r>
            <w:r w:rsidRPr="003C307D">
              <w:rPr>
                <w:sz w:val="20"/>
                <w:szCs w:val="20"/>
              </w:rPr>
              <w:t>A</w:t>
            </w:r>
            <w:r>
              <w:rPr>
                <w:sz w:val="20"/>
                <w:szCs w:val="20"/>
              </w:rPr>
              <w:t>Z</w:t>
            </w:r>
            <w:r w:rsidRPr="003C307D">
              <w:rPr>
                <w:sz w:val="20"/>
                <w:szCs w:val="20"/>
              </w:rPr>
              <w:t xml:space="preserve">DH </w:t>
            </w:r>
          </w:p>
        </w:tc>
        <w:tc>
          <w:tcPr>
            <w:tcW w:w="3438" w:type="dxa"/>
            <w:gridSpan w:val="4"/>
          </w:tcPr>
          <w:p w:rsidR="00C94A01" w:rsidRPr="003C307D" w:rsidRDefault="00C94A01" w:rsidP="0031339B">
            <w:pPr>
              <w:spacing w:after="0" w:line="240" w:lineRule="auto"/>
              <w:rPr>
                <w:sz w:val="20"/>
                <w:szCs w:val="20"/>
              </w:rPr>
            </w:pPr>
          </w:p>
        </w:tc>
      </w:tr>
      <w:tr w:rsidR="00C94A01" w:rsidRPr="003C307D" w:rsidTr="00612077">
        <w:trPr>
          <w:gridAfter w:val="2"/>
          <w:wAfter w:w="38" w:type="dxa"/>
          <w:trHeight w:val="203"/>
          <w:jc w:val="center"/>
        </w:trPr>
        <w:tc>
          <w:tcPr>
            <w:tcW w:w="2871" w:type="dxa"/>
            <w:gridSpan w:val="3"/>
          </w:tcPr>
          <w:p w:rsidR="00C94A01" w:rsidRPr="003C307D" w:rsidRDefault="00C94A01" w:rsidP="0001569A">
            <w:pPr>
              <w:tabs>
                <w:tab w:val="left" w:pos="3420"/>
              </w:tabs>
              <w:spacing w:after="0" w:line="240" w:lineRule="auto"/>
              <w:jc w:val="right"/>
              <w:rPr>
                <w:sz w:val="20"/>
                <w:szCs w:val="20"/>
              </w:rPr>
            </w:pPr>
            <w:r>
              <w:rPr>
                <w:sz w:val="20"/>
                <w:szCs w:val="20"/>
              </w:rPr>
              <w:t>[AZ</w:t>
            </w:r>
            <w:r w:rsidRPr="003C307D">
              <w:rPr>
                <w:sz w:val="20"/>
                <w:szCs w:val="20"/>
              </w:rPr>
              <w:t>DH] =  0.0</w:t>
            </w:r>
            <w:r>
              <w:rPr>
                <w:sz w:val="20"/>
                <w:szCs w:val="20"/>
              </w:rPr>
              <w:t>150</w:t>
            </w:r>
            <w:r w:rsidRPr="003C307D">
              <w:rPr>
                <w:sz w:val="20"/>
                <w:szCs w:val="20"/>
              </w:rPr>
              <w:t xml:space="preserve"> mol dm</w:t>
            </w:r>
            <w:r w:rsidRPr="003C307D">
              <w:rPr>
                <w:sz w:val="20"/>
                <w:szCs w:val="20"/>
                <w:vertAlign w:val="superscript"/>
              </w:rPr>
              <w:t>-3</w:t>
            </w:r>
          </w:p>
        </w:tc>
        <w:tc>
          <w:tcPr>
            <w:tcW w:w="2520" w:type="dxa"/>
            <w:gridSpan w:val="5"/>
          </w:tcPr>
          <w:p w:rsidR="00C94A01" w:rsidRPr="003C307D" w:rsidRDefault="00C94A01" w:rsidP="0031339B">
            <w:pPr>
              <w:spacing w:after="0" w:line="240" w:lineRule="auto"/>
              <w:rPr>
                <w:sz w:val="20"/>
                <w:szCs w:val="20"/>
              </w:rPr>
            </w:pPr>
            <w:r w:rsidRPr="003C307D">
              <w:rPr>
                <w:sz w:val="20"/>
                <w:szCs w:val="20"/>
              </w:rPr>
              <w:t xml:space="preserve"> [HCl] =  0.0</w:t>
            </w:r>
            <w:r>
              <w:rPr>
                <w:sz w:val="20"/>
                <w:szCs w:val="20"/>
              </w:rPr>
              <w:t>5034</w:t>
            </w:r>
            <w:r w:rsidRPr="003C307D">
              <w:rPr>
                <w:sz w:val="20"/>
                <w:szCs w:val="20"/>
              </w:rPr>
              <w:t xml:space="preserve"> mol dm</w:t>
            </w:r>
            <w:r w:rsidRPr="003C307D">
              <w:rPr>
                <w:sz w:val="20"/>
                <w:szCs w:val="20"/>
                <w:vertAlign w:val="superscript"/>
              </w:rPr>
              <w:t>-3</w:t>
            </w:r>
            <w:r w:rsidRPr="003C307D">
              <w:rPr>
                <w:sz w:val="20"/>
                <w:szCs w:val="20"/>
              </w:rPr>
              <w:t xml:space="preserve">     </w:t>
            </w:r>
          </w:p>
        </w:tc>
        <w:tc>
          <w:tcPr>
            <w:tcW w:w="2336" w:type="dxa"/>
          </w:tcPr>
          <w:p w:rsidR="00C94A01" w:rsidRPr="003C307D" w:rsidRDefault="00C94A01" w:rsidP="0031339B">
            <w:pPr>
              <w:spacing w:after="0" w:line="240" w:lineRule="auto"/>
              <w:rPr>
                <w:sz w:val="20"/>
                <w:szCs w:val="20"/>
              </w:rPr>
            </w:pPr>
            <w:r>
              <w:rPr>
                <w:sz w:val="20"/>
                <w:szCs w:val="20"/>
              </w:rPr>
              <w:t>[K</w:t>
            </w:r>
            <w:r w:rsidRPr="003C307D">
              <w:rPr>
                <w:sz w:val="20"/>
                <w:szCs w:val="20"/>
              </w:rPr>
              <w:t>OH</w:t>
            </w:r>
            <w:r>
              <w:rPr>
                <w:sz w:val="20"/>
                <w:szCs w:val="20"/>
              </w:rPr>
              <w:t xml:space="preserve"> ]= 0.1989</w:t>
            </w:r>
            <w:r w:rsidRPr="003C307D">
              <w:rPr>
                <w:sz w:val="20"/>
                <w:szCs w:val="20"/>
              </w:rPr>
              <w:t xml:space="preserve"> moldm</w:t>
            </w:r>
            <w:r w:rsidRPr="003C307D">
              <w:rPr>
                <w:sz w:val="20"/>
                <w:szCs w:val="20"/>
                <w:vertAlign w:val="superscript"/>
              </w:rPr>
              <w:t>-3</w:t>
            </w:r>
          </w:p>
        </w:tc>
      </w:tr>
      <w:tr w:rsidR="00C94A01" w:rsidRPr="003C307D" w:rsidTr="00612077">
        <w:trPr>
          <w:gridAfter w:val="2"/>
          <w:wAfter w:w="38" w:type="dxa"/>
          <w:trHeight w:val="140"/>
          <w:jc w:val="center"/>
        </w:trPr>
        <w:tc>
          <w:tcPr>
            <w:tcW w:w="2871" w:type="dxa"/>
            <w:gridSpan w:val="3"/>
          </w:tcPr>
          <w:p w:rsidR="00C94A01" w:rsidRPr="003C307D" w:rsidRDefault="0001569A" w:rsidP="0001569A">
            <w:pPr>
              <w:spacing w:after="0" w:line="240" w:lineRule="auto"/>
              <w:rPr>
                <w:sz w:val="20"/>
                <w:szCs w:val="20"/>
              </w:rPr>
            </w:pPr>
            <w:r>
              <w:rPr>
                <w:sz w:val="20"/>
                <w:szCs w:val="20"/>
              </w:rPr>
              <w:t xml:space="preserve">       Temp..=</w:t>
            </w:r>
            <w:r w:rsidR="00C94A01" w:rsidRPr="003C307D">
              <w:rPr>
                <w:sz w:val="20"/>
                <w:szCs w:val="20"/>
              </w:rPr>
              <w:t xml:space="preserve"> 30.0 ±0. 1</w:t>
            </w:r>
            <w:r w:rsidR="00C94A01" w:rsidRPr="003C307D">
              <w:rPr>
                <w:sz w:val="20"/>
                <w:szCs w:val="20"/>
                <w:vertAlign w:val="superscript"/>
              </w:rPr>
              <w:t>0</w:t>
            </w:r>
            <w:r w:rsidR="00C94A01" w:rsidRPr="003C307D">
              <w:rPr>
                <w:sz w:val="20"/>
                <w:szCs w:val="20"/>
              </w:rPr>
              <w:t xml:space="preserve">C                                        </w:t>
            </w:r>
          </w:p>
        </w:tc>
        <w:tc>
          <w:tcPr>
            <w:tcW w:w="2520" w:type="dxa"/>
            <w:gridSpan w:val="5"/>
          </w:tcPr>
          <w:p w:rsidR="00C94A01" w:rsidRPr="003C307D" w:rsidRDefault="00C94A01" w:rsidP="0031339B">
            <w:pPr>
              <w:spacing w:after="0" w:line="240" w:lineRule="auto"/>
              <w:rPr>
                <w:sz w:val="20"/>
                <w:szCs w:val="20"/>
              </w:rPr>
            </w:pPr>
            <w:r>
              <w:rPr>
                <w:sz w:val="20"/>
                <w:szCs w:val="20"/>
              </w:rPr>
              <w:t xml:space="preserve"> </w:t>
            </w:r>
            <w:r w:rsidRPr="003C307D">
              <w:rPr>
                <w:sz w:val="20"/>
                <w:szCs w:val="20"/>
              </w:rPr>
              <w:t>Total volume= 50.0 cm</w:t>
            </w:r>
            <w:r w:rsidRPr="003C307D">
              <w:rPr>
                <w:sz w:val="20"/>
                <w:szCs w:val="20"/>
                <w:vertAlign w:val="superscript"/>
              </w:rPr>
              <w:t>3</w:t>
            </w:r>
            <w:r w:rsidRPr="003C307D">
              <w:rPr>
                <w:sz w:val="20"/>
                <w:szCs w:val="20"/>
              </w:rPr>
              <w:t xml:space="preserve">      </w:t>
            </w:r>
          </w:p>
        </w:tc>
        <w:tc>
          <w:tcPr>
            <w:tcW w:w="2336" w:type="dxa"/>
          </w:tcPr>
          <w:p w:rsidR="00C94A01" w:rsidRPr="003C307D" w:rsidRDefault="00C94A01" w:rsidP="0031339B">
            <w:pPr>
              <w:spacing w:after="0" w:line="240" w:lineRule="auto"/>
              <w:rPr>
                <w:sz w:val="20"/>
                <w:szCs w:val="20"/>
              </w:rPr>
            </w:pPr>
            <w:r w:rsidRPr="003C307D">
              <w:rPr>
                <w:i/>
                <w:sz w:val="20"/>
                <w:szCs w:val="20"/>
              </w:rPr>
              <w:t>I</w:t>
            </w:r>
            <w:r w:rsidRPr="003C307D">
              <w:rPr>
                <w:sz w:val="20"/>
                <w:szCs w:val="20"/>
              </w:rPr>
              <w:t xml:space="preserve"> = 0.1 mol dm</w:t>
            </w:r>
            <w:r w:rsidRPr="003C307D">
              <w:rPr>
                <w:sz w:val="20"/>
                <w:szCs w:val="20"/>
                <w:vertAlign w:val="superscript"/>
              </w:rPr>
              <w:t>-3</w:t>
            </w:r>
            <w:r>
              <w:rPr>
                <w:sz w:val="20"/>
                <w:szCs w:val="20"/>
              </w:rPr>
              <w:t xml:space="preserve"> K</w:t>
            </w:r>
            <w:r w:rsidRPr="003C307D">
              <w:rPr>
                <w:sz w:val="20"/>
                <w:szCs w:val="20"/>
              </w:rPr>
              <w:t>Cl</w:t>
            </w:r>
          </w:p>
        </w:tc>
      </w:tr>
      <w:tr w:rsidR="0001569A" w:rsidRPr="003C307D" w:rsidTr="00612077">
        <w:trPr>
          <w:gridAfter w:val="2"/>
          <w:wAfter w:w="38" w:type="dxa"/>
          <w:trHeight w:val="140"/>
          <w:jc w:val="center"/>
        </w:trPr>
        <w:tc>
          <w:tcPr>
            <w:tcW w:w="7727" w:type="dxa"/>
            <w:gridSpan w:val="9"/>
          </w:tcPr>
          <w:p w:rsidR="0001569A" w:rsidRDefault="0001569A" w:rsidP="0001569A">
            <w:pPr>
              <w:spacing w:after="0" w:line="240" w:lineRule="auto"/>
              <w:jc w:val="center"/>
              <w:rPr>
                <w:sz w:val="20"/>
                <w:szCs w:val="20"/>
              </w:rPr>
            </w:pPr>
          </w:p>
          <w:p w:rsidR="0001569A" w:rsidRPr="00EC5FC4" w:rsidRDefault="008C20E2" w:rsidP="0001569A">
            <w:pPr>
              <w:spacing w:after="0" w:line="240" w:lineRule="auto"/>
              <w:jc w:val="center"/>
              <w:rPr>
                <w:i/>
              </w:rPr>
            </w:pPr>
            <w:r>
              <w:rPr>
                <w:b/>
              </w:rPr>
              <w:t xml:space="preserve">Figure </w:t>
            </w:r>
            <w:r w:rsidR="0001569A" w:rsidRPr="00EC5FC4">
              <w:rPr>
                <w:b/>
              </w:rPr>
              <w:t>4</w:t>
            </w:r>
            <w:r w:rsidR="0001569A" w:rsidRPr="00EC5FC4">
              <w:t>: PROTON-LIGAND SYSTEM OF AZDH</w:t>
            </w:r>
          </w:p>
        </w:tc>
      </w:tr>
      <w:tr w:rsidR="001B4083" w:rsidRPr="003C307D" w:rsidTr="00612077">
        <w:trPr>
          <w:gridAfter w:val="2"/>
          <w:wAfter w:w="38" w:type="dxa"/>
          <w:trHeight w:val="140"/>
          <w:jc w:val="center"/>
        </w:trPr>
        <w:tc>
          <w:tcPr>
            <w:tcW w:w="7727" w:type="dxa"/>
            <w:gridSpan w:val="9"/>
          </w:tcPr>
          <w:p w:rsidR="001B4083" w:rsidRDefault="001B4083" w:rsidP="0001569A">
            <w:pPr>
              <w:spacing w:after="0" w:line="240" w:lineRule="auto"/>
              <w:jc w:val="center"/>
              <w:rPr>
                <w:sz w:val="20"/>
                <w:szCs w:val="20"/>
              </w:rPr>
            </w:pPr>
          </w:p>
        </w:tc>
      </w:tr>
      <w:tr w:rsidR="00C94A01" w:rsidRPr="003C307D" w:rsidTr="00612077">
        <w:trPr>
          <w:trHeight w:val="3137"/>
          <w:jc w:val="center"/>
        </w:trPr>
        <w:tc>
          <w:tcPr>
            <w:tcW w:w="4294" w:type="dxa"/>
            <w:gridSpan w:val="5"/>
          </w:tcPr>
          <w:p w:rsidR="00C94A01" w:rsidRDefault="00C94A01" w:rsidP="0031339B">
            <w:pPr>
              <w:spacing w:after="0" w:line="240" w:lineRule="auto"/>
              <w:rPr>
                <w:sz w:val="20"/>
                <w:szCs w:val="20"/>
              </w:rPr>
            </w:pPr>
          </w:p>
          <w:p w:rsidR="00C94A01" w:rsidRPr="003C307D" w:rsidRDefault="005C5E5D" w:rsidP="0031339B">
            <w:pPr>
              <w:spacing w:after="0" w:line="240" w:lineRule="auto"/>
              <w:rPr>
                <w:sz w:val="20"/>
                <w:szCs w:val="20"/>
              </w:rPr>
            </w:pPr>
            <w:r w:rsidRPr="005C5E5D">
              <w:rPr>
                <w:noProof/>
                <w:sz w:val="20"/>
                <w:szCs w:val="20"/>
                <w:lang w:val="en-US"/>
              </w:rPr>
              <w:drawing>
                <wp:inline distT="0" distB="0" distL="0" distR="0">
                  <wp:extent cx="2400300" cy="19400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2400300" cy="1940056"/>
                          </a:xfrm>
                          <a:prstGeom prst="rect">
                            <a:avLst/>
                          </a:prstGeom>
                          <a:noFill/>
                          <a:ln w="9525">
                            <a:noFill/>
                            <a:miter lim="800000"/>
                            <a:headEnd/>
                            <a:tailEnd/>
                          </a:ln>
                        </pic:spPr>
                      </pic:pic>
                    </a:graphicData>
                  </a:graphic>
                </wp:inline>
              </w:drawing>
            </w:r>
          </w:p>
        </w:tc>
        <w:tc>
          <w:tcPr>
            <w:tcW w:w="3471" w:type="dxa"/>
            <w:gridSpan w:val="6"/>
          </w:tcPr>
          <w:p w:rsidR="00C94A01" w:rsidRDefault="00C94A01" w:rsidP="0031339B">
            <w:pPr>
              <w:spacing w:after="0" w:line="240" w:lineRule="auto"/>
              <w:rPr>
                <w:noProof/>
                <w:sz w:val="20"/>
                <w:szCs w:val="20"/>
                <w:lang w:eastAsia="en-GB" w:bidi="te-IN"/>
              </w:rPr>
            </w:pPr>
          </w:p>
          <w:p w:rsidR="00C94A01" w:rsidRPr="003C307D" w:rsidRDefault="00C94A01" w:rsidP="0031339B">
            <w:pPr>
              <w:spacing w:after="0" w:line="240" w:lineRule="auto"/>
              <w:rPr>
                <w:sz w:val="20"/>
                <w:szCs w:val="20"/>
              </w:rPr>
            </w:pPr>
            <w:r>
              <w:rPr>
                <w:noProof/>
                <w:sz w:val="20"/>
                <w:szCs w:val="20"/>
                <w:lang w:val="en-US"/>
              </w:rPr>
              <w:drawing>
                <wp:inline distT="0" distB="0" distL="0" distR="0">
                  <wp:extent cx="1692075" cy="176784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1705351" cy="1781711"/>
                          </a:xfrm>
                          <a:prstGeom prst="rect">
                            <a:avLst/>
                          </a:prstGeom>
                          <a:noFill/>
                          <a:ln w="9525">
                            <a:noFill/>
                            <a:miter lim="800000"/>
                            <a:headEnd/>
                            <a:tailEnd/>
                          </a:ln>
                        </pic:spPr>
                      </pic:pic>
                    </a:graphicData>
                  </a:graphic>
                </wp:inline>
              </w:drawing>
            </w:r>
          </w:p>
        </w:tc>
      </w:tr>
      <w:tr w:rsidR="00C94A01" w:rsidRPr="003C307D" w:rsidTr="00612077">
        <w:trPr>
          <w:trHeight w:val="140"/>
          <w:jc w:val="center"/>
        </w:trPr>
        <w:tc>
          <w:tcPr>
            <w:tcW w:w="597" w:type="dxa"/>
          </w:tcPr>
          <w:p w:rsidR="00C94A01" w:rsidRPr="00377912" w:rsidRDefault="00C94A01" w:rsidP="003F6271">
            <w:pPr>
              <w:spacing w:after="0" w:line="240" w:lineRule="auto"/>
              <w:jc w:val="right"/>
              <w:rPr>
                <w:sz w:val="20"/>
                <w:szCs w:val="20"/>
              </w:rPr>
            </w:pPr>
            <w:r>
              <w:rPr>
                <w:sz w:val="20"/>
                <w:szCs w:val="20"/>
              </w:rPr>
              <w:t xml:space="preserve"> a.</w:t>
            </w:r>
          </w:p>
        </w:tc>
        <w:tc>
          <w:tcPr>
            <w:tcW w:w="3697" w:type="dxa"/>
            <w:gridSpan w:val="4"/>
          </w:tcPr>
          <w:p w:rsidR="00C94A01" w:rsidRPr="00377912" w:rsidRDefault="00C94A01" w:rsidP="0031339B">
            <w:pPr>
              <w:spacing w:after="0" w:line="240" w:lineRule="auto"/>
              <w:ind w:left="-72"/>
              <w:rPr>
                <w:sz w:val="20"/>
                <w:szCs w:val="20"/>
              </w:rPr>
            </w:pPr>
            <w:r w:rsidRPr="00377912">
              <w:rPr>
                <w:sz w:val="20"/>
                <w:szCs w:val="20"/>
              </w:rPr>
              <w:t>1.  Titration curve of free mineral acid</w:t>
            </w:r>
          </w:p>
        </w:tc>
        <w:tc>
          <w:tcPr>
            <w:tcW w:w="3471" w:type="dxa"/>
            <w:gridSpan w:val="6"/>
          </w:tcPr>
          <w:p w:rsidR="00C94A01" w:rsidRPr="00377912" w:rsidRDefault="00C94A01" w:rsidP="0031339B">
            <w:pPr>
              <w:spacing w:after="0" w:line="240" w:lineRule="auto"/>
              <w:rPr>
                <w:sz w:val="20"/>
                <w:szCs w:val="20"/>
              </w:rPr>
            </w:pPr>
            <w:r w:rsidRPr="00377912">
              <w:rPr>
                <w:sz w:val="20"/>
                <w:szCs w:val="20"/>
              </w:rPr>
              <w:t xml:space="preserve">     </w:t>
            </w:r>
            <w:r>
              <w:rPr>
                <w:sz w:val="20"/>
                <w:szCs w:val="20"/>
              </w:rPr>
              <w:t xml:space="preserve">  </w:t>
            </w:r>
            <w:r w:rsidRPr="00377912">
              <w:rPr>
                <w:sz w:val="20"/>
                <w:szCs w:val="20"/>
              </w:rPr>
              <w:t>b. Species distribution diagram</w:t>
            </w:r>
          </w:p>
        </w:tc>
      </w:tr>
      <w:tr w:rsidR="00C94A01" w:rsidRPr="003C307D" w:rsidTr="00612077">
        <w:trPr>
          <w:trHeight w:val="167"/>
          <w:jc w:val="center"/>
        </w:trPr>
        <w:tc>
          <w:tcPr>
            <w:tcW w:w="597" w:type="dxa"/>
          </w:tcPr>
          <w:p w:rsidR="00C94A01" w:rsidRPr="00377912" w:rsidRDefault="00C94A01" w:rsidP="0031339B">
            <w:pPr>
              <w:spacing w:after="0" w:line="240" w:lineRule="auto"/>
              <w:rPr>
                <w:b/>
                <w:sz w:val="20"/>
                <w:szCs w:val="20"/>
              </w:rPr>
            </w:pPr>
          </w:p>
        </w:tc>
        <w:tc>
          <w:tcPr>
            <w:tcW w:w="3697" w:type="dxa"/>
            <w:gridSpan w:val="4"/>
          </w:tcPr>
          <w:p w:rsidR="00C94A01" w:rsidRPr="00377912" w:rsidRDefault="00C94A01" w:rsidP="0031339B">
            <w:pPr>
              <w:spacing w:after="0" w:line="240" w:lineRule="auto"/>
              <w:ind w:left="-72"/>
              <w:rPr>
                <w:sz w:val="20"/>
                <w:szCs w:val="20"/>
              </w:rPr>
            </w:pPr>
            <w:r w:rsidRPr="00377912">
              <w:rPr>
                <w:sz w:val="20"/>
                <w:szCs w:val="20"/>
              </w:rPr>
              <w:t>2</w:t>
            </w:r>
            <w:r>
              <w:rPr>
                <w:sz w:val="20"/>
                <w:szCs w:val="20"/>
              </w:rPr>
              <w:t>.  Titration curve for acid + TP</w:t>
            </w:r>
            <w:r w:rsidRPr="00377912">
              <w:rPr>
                <w:sz w:val="20"/>
                <w:szCs w:val="20"/>
              </w:rPr>
              <w:t xml:space="preserve">DH </w:t>
            </w:r>
          </w:p>
        </w:tc>
        <w:tc>
          <w:tcPr>
            <w:tcW w:w="3471" w:type="dxa"/>
            <w:gridSpan w:val="6"/>
          </w:tcPr>
          <w:p w:rsidR="00C94A01" w:rsidRPr="00377912" w:rsidRDefault="00C94A01" w:rsidP="0031339B">
            <w:pPr>
              <w:spacing w:after="0" w:line="240" w:lineRule="auto"/>
              <w:rPr>
                <w:sz w:val="20"/>
                <w:szCs w:val="20"/>
              </w:rPr>
            </w:pPr>
          </w:p>
        </w:tc>
      </w:tr>
      <w:tr w:rsidR="00C94A01" w:rsidRPr="003C307D" w:rsidTr="00612077">
        <w:trPr>
          <w:trHeight w:val="203"/>
          <w:jc w:val="center"/>
        </w:trPr>
        <w:tc>
          <w:tcPr>
            <w:tcW w:w="2897" w:type="dxa"/>
            <w:gridSpan w:val="4"/>
          </w:tcPr>
          <w:p w:rsidR="00C94A01" w:rsidRPr="00377912" w:rsidRDefault="00C94A01" w:rsidP="0031339B">
            <w:pPr>
              <w:tabs>
                <w:tab w:val="left" w:pos="3420"/>
              </w:tabs>
              <w:spacing w:after="0" w:line="240" w:lineRule="auto"/>
              <w:jc w:val="right"/>
              <w:rPr>
                <w:sz w:val="20"/>
                <w:szCs w:val="20"/>
              </w:rPr>
            </w:pPr>
            <w:r w:rsidRPr="00377912">
              <w:rPr>
                <w:sz w:val="20"/>
                <w:szCs w:val="20"/>
              </w:rPr>
              <w:t>[</w:t>
            </w:r>
            <w:r>
              <w:rPr>
                <w:sz w:val="20"/>
                <w:szCs w:val="20"/>
              </w:rPr>
              <w:t>TP</w:t>
            </w:r>
            <w:r w:rsidRPr="00377912">
              <w:rPr>
                <w:sz w:val="20"/>
                <w:szCs w:val="20"/>
              </w:rPr>
              <w:t>DH] = 0.0</w:t>
            </w:r>
            <w:r>
              <w:rPr>
                <w:sz w:val="20"/>
                <w:szCs w:val="20"/>
              </w:rPr>
              <w:t>0504</w:t>
            </w:r>
            <w:r w:rsidRPr="00377912">
              <w:rPr>
                <w:sz w:val="20"/>
                <w:szCs w:val="20"/>
              </w:rPr>
              <w:t xml:space="preserve">  mol</w:t>
            </w:r>
            <w:r>
              <w:rPr>
                <w:sz w:val="20"/>
                <w:szCs w:val="20"/>
              </w:rPr>
              <w:t>.</w:t>
            </w:r>
            <w:r w:rsidRPr="00377912">
              <w:rPr>
                <w:sz w:val="20"/>
                <w:szCs w:val="20"/>
              </w:rPr>
              <w:t xml:space="preserve"> dm</w:t>
            </w:r>
            <w:r w:rsidRPr="00377912">
              <w:rPr>
                <w:sz w:val="20"/>
                <w:szCs w:val="20"/>
                <w:vertAlign w:val="superscript"/>
              </w:rPr>
              <w:t>-3</w:t>
            </w:r>
          </w:p>
        </w:tc>
        <w:tc>
          <w:tcPr>
            <w:tcW w:w="2471" w:type="dxa"/>
            <w:gridSpan w:val="3"/>
          </w:tcPr>
          <w:p w:rsidR="00C94A01" w:rsidRPr="00377912" w:rsidRDefault="00C94A01" w:rsidP="0031339B">
            <w:pPr>
              <w:spacing w:after="0" w:line="240" w:lineRule="auto"/>
              <w:rPr>
                <w:sz w:val="20"/>
                <w:szCs w:val="20"/>
              </w:rPr>
            </w:pPr>
            <w:r>
              <w:rPr>
                <w:sz w:val="20"/>
                <w:szCs w:val="20"/>
              </w:rPr>
              <w:t xml:space="preserve">[HCl] </w:t>
            </w:r>
            <w:r w:rsidRPr="00377912">
              <w:rPr>
                <w:sz w:val="20"/>
                <w:szCs w:val="20"/>
              </w:rPr>
              <w:t xml:space="preserve"> = 0.0</w:t>
            </w:r>
            <w:r>
              <w:rPr>
                <w:sz w:val="20"/>
                <w:szCs w:val="20"/>
              </w:rPr>
              <w:t>3011</w:t>
            </w:r>
            <w:r w:rsidRPr="00377912">
              <w:rPr>
                <w:sz w:val="20"/>
                <w:szCs w:val="20"/>
              </w:rPr>
              <w:t xml:space="preserve"> mol</w:t>
            </w:r>
            <w:r>
              <w:rPr>
                <w:sz w:val="20"/>
                <w:szCs w:val="20"/>
              </w:rPr>
              <w:t>.</w:t>
            </w:r>
            <w:r w:rsidRPr="00377912">
              <w:rPr>
                <w:sz w:val="20"/>
                <w:szCs w:val="20"/>
              </w:rPr>
              <w:t xml:space="preserve"> dm</w:t>
            </w:r>
            <w:r w:rsidRPr="00377912">
              <w:rPr>
                <w:sz w:val="20"/>
                <w:szCs w:val="20"/>
                <w:vertAlign w:val="superscript"/>
              </w:rPr>
              <w:t>-3</w:t>
            </w:r>
          </w:p>
        </w:tc>
        <w:tc>
          <w:tcPr>
            <w:tcW w:w="2397" w:type="dxa"/>
            <w:gridSpan w:val="4"/>
          </w:tcPr>
          <w:p w:rsidR="00C94A01" w:rsidRPr="00377912" w:rsidRDefault="00C94A01" w:rsidP="0031339B">
            <w:pPr>
              <w:spacing w:after="0" w:line="240" w:lineRule="auto"/>
              <w:rPr>
                <w:sz w:val="20"/>
                <w:szCs w:val="20"/>
              </w:rPr>
            </w:pPr>
            <w:r>
              <w:rPr>
                <w:sz w:val="20"/>
                <w:szCs w:val="20"/>
              </w:rPr>
              <w:t>[K</w:t>
            </w:r>
            <w:r w:rsidRPr="00377912">
              <w:rPr>
                <w:sz w:val="20"/>
                <w:szCs w:val="20"/>
              </w:rPr>
              <w:t xml:space="preserve">OH ]= </w:t>
            </w:r>
            <w:r>
              <w:rPr>
                <w:sz w:val="20"/>
                <w:szCs w:val="20"/>
              </w:rPr>
              <w:t>0.1961</w:t>
            </w:r>
            <w:r w:rsidRPr="00377912">
              <w:rPr>
                <w:sz w:val="20"/>
                <w:szCs w:val="20"/>
              </w:rPr>
              <w:t>mol</w:t>
            </w:r>
            <w:r>
              <w:rPr>
                <w:sz w:val="20"/>
                <w:szCs w:val="20"/>
              </w:rPr>
              <w:t>.</w:t>
            </w:r>
            <w:r w:rsidRPr="00377912">
              <w:rPr>
                <w:sz w:val="20"/>
                <w:szCs w:val="20"/>
              </w:rPr>
              <w:t xml:space="preserve"> dm</w:t>
            </w:r>
            <w:r w:rsidRPr="00377912">
              <w:rPr>
                <w:sz w:val="20"/>
                <w:szCs w:val="20"/>
                <w:vertAlign w:val="superscript"/>
              </w:rPr>
              <w:t>-3</w:t>
            </w:r>
          </w:p>
        </w:tc>
      </w:tr>
      <w:tr w:rsidR="00C94A01" w:rsidRPr="003C307D" w:rsidTr="00612077">
        <w:trPr>
          <w:trHeight w:val="140"/>
          <w:jc w:val="center"/>
        </w:trPr>
        <w:tc>
          <w:tcPr>
            <w:tcW w:w="2897" w:type="dxa"/>
            <w:gridSpan w:val="4"/>
          </w:tcPr>
          <w:p w:rsidR="00C94A01" w:rsidRPr="00377912" w:rsidRDefault="0001569A" w:rsidP="0001569A">
            <w:pPr>
              <w:spacing w:after="0" w:line="240" w:lineRule="auto"/>
              <w:rPr>
                <w:sz w:val="20"/>
                <w:szCs w:val="20"/>
              </w:rPr>
            </w:pPr>
            <w:r>
              <w:rPr>
                <w:sz w:val="20"/>
                <w:szCs w:val="20"/>
              </w:rPr>
              <w:t xml:space="preserve">     Temp. =</w:t>
            </w:r>
            <w:r w:rsidR="00C94A01" w:rsidRPr="00377912">
              <w:rPr>
                <w:sz w:val="20"/>
                <w:szCs w:val="20"/>
              </w:rPr>
              <w:t xml:space="preserve"> 30.0 ±0. 1</w:t>
            </w:r>
            <w:r w:rsidR="00C94A01" w:rsidRPr="00377912">
              <w:rPr>
                <w:sz w:val="20"/>
                <w:szCs w:val="20"/>
                <w:vertAlign w:val="superscript"/>
              </w:rPr>
              <w:t>0</w:t>
            </w:r>
            <w:r w:rsidR="00C94A01" w:rsidRPr="00377912">
              <w:rPr>
                <w:sz w:val="20"/>
                <w:szCs w:val="20"/>
              </w:rPr>
              <w:t xml:space="preserve">C                                        </w:t>
            </w:r>
          </w:p>
        </w:tc>
        <w:tc>
          <w:tcPr>
            <w:tcW w:w="2471" w:type="dxa"/>
            <w:gridSpan w:val="3"/>
          </w:tcPr>
          <w:p w:rsidR="00C94A01" w:rsidRPr="00377912" w:rsidRDefault="00C94A01" w:rsidP="0031339B">
            <w:pPr>
              <w:spacing w:after="0" w:line="240" w:lineRule="auto"/>
              <w:rPr>
                <w:sz w:val="20"/>
                <w:szCs w:val="20"/>
              </w:rPr>
            </w:pPr>
            <w:r w:rsidRPr="00377912">
              <w:rPr>
                <w:sz w:val="20"/>
                <w:szCs w:val="20"/>
              </w:rPr>
              <w:t>Total volume= 50.0 cm</w:t>
            </w:r>
            <w:r w:rsidRPr="00377912">
              <w:rPr>
                <w:sz w:val="20"/>
                <w:szCs w:val="20"/>
                <w:vertAlign w:val="superscript"/>
              </w:rPr>
              <w:t>3</w:t>
            </w:r>
            <w:r w:rsidRPr="00377912">
              <w:rPr>
                <w:sz w:val="20"/>
                <w:szCs w:val="20"/>
              </w:rPr>
              <w:t xml:space="preserve">      </w:t>
            </w:r>
          </w:p>
        </w:tc>
        <w:tc>
          <w:tcPr>
            <w:tcW w:w="2397" w:type="dxa"/>
            <w:gridSpan w:val="4"/>
          </w:tcPr>
          <w:p w:rsidR="00C94A01" w:rsidRPr="00377912" w:rsidRDefault="00C94A01" w:rsidP="0031339B">
            <w:pPr>
              <w:spacing w:after="0" w:line="240" w:lineRule="auto"/>
              <w:rPr>
                <w:sz w:val="20"/>
                <w:szCs w:val="20"/>
              </w:rPr>
            </w:pPr>
            <w:r w:rsidRPr="00377912">
              <w:rPr>
                <w:i/>
                <w:sz w:val="20"/>
                <w:szCs w:val="20"/>
              </w:rPr>
              <w:t>I</w:t>
            </w:r>
            <w:r w:rsidRPr="00377912">
              <w:rPr>
                <w:sz w:val="20"/>
                <w:szCs w:val="20"/>
              </w:rPr>
              <w:t xml:space="preserve"> = 0.1 mol</w:t>
            </w:r>
            <w:r>
              <w:rPr>
                <w:sz w:val="20"/>
                <w:szCs w:val="20"/>
              </w:rPr>
              <w:t>.</w:t>
            </w:r>
            <w:r w:rsidRPr="00377912">
              <w:rPr>
                <w:sz w:val="20"/>
                <w:szCs w:val="20"/>
              </w:rPr>
              <w:t xml:space="preserve"> dm</w:t>
            </w:r>
            <w:r w:rsidRPr="00377912">
              <w:rPr>
                <w:sz w:val="20"/>
                <w:szCs w:val="20"/>
                <w:vertAlign w:val="superscript"/>
              </w:rPr>
              <w:t>-3</w:t>
            </w:r>
            <w:r>
              <w:rPr>
                <w:sz w:val="20"/>
                <w:szCs w:val="20"/>
              </w:rPr>
              <w:t xml:space="preserve"> K</w:t>
            </w:r>
            <w:r w:rsidRPr="00377912">
              <w:rPr>
                <w:sz w:val="20"/>
                <w:szCs w:val="20"/>
              </w:rPr>
              <w:t>Cl</w:t>
            </w:r>
          </w:p>
        </w:tc>
      </w:tr>
      <w:tr w:rsidR="00C94A01" w:rsidRPr="00EC5FC4" w:rsidTr="00612077">
        <w:trPr>
          <w:trHeight w:val="140"/>
          <w:jc w:val="center"/>
        </w:trPr>
        <w:tc>
          <w:tcPr>
            <w:tcW w:w="7765" w:type="dxa"/>
            <w:gridSpan w:val="11"/>
          </w:tcPr>
          <w:p w:rsidR="00C94A01" w:rsidRPr="00EC5FC4" w:rsidRDefault="00C94A01" w:rsidP="0031339B">
            <w:pPr>
              <w:pStyle w:val="Heading1"/>
              <w:spacing w:line="240" w:lineRule="auto"/>
              <w:jc w:val="center"/>
              <w:rPr>
                <w:u w:val="none"/>
              </w:rPr>
            </w:pPr>
          </w:p>
          <w:p w:rsidR="00C94A01" w:rsidRPr="00EC5FC4" w:rsidRDefault="0055120E" w:rsidP="0001569A">
            <w:pPr>
              <w:pStyle w:val="Heading1"/>
              <w:spacing w:line="240" w:lineRule="auto"/>
              <w:jc w:val="center"/>
              <w:rPr>
                <w:b w:val="0"/>
                <w:u w:val="none"/>
              </w:rPr>
            </w:pPr>
            <w:r>
              <w:rPr>
                <w:u w:val="none"/>
              </w:rPr>
              <w:t xml:space="preserve"> </w:t>
            </w:r>
            <w:r w:rsidR="008C20E2">
              <w:rPr>
                <w:u w:val="none"/>
              </w:rPr>
              <w:t xml:space="preserve">Figure </w:t>
            </w:r>
            <w:r w:rsidR="0001569A" w:rsidRPr="00EC5FC4">
              <w:rPr>
                <w:u w:val="none"/>
              </w:rPr>
              <w:t>5</w:t>
            </w:r>
            <w:r w:rsidR="00C94A01" w:rsidRPr="00EC5FC4">
              <w:rPr>
                <w:u w:val="none"/>
              </w:rPr>
              <w:t xml:space="preserve">: </w:t>
            </w:r>
            <w:r w:rsidR="00C94A01" w:rsidRPr="00EC5FC4">
              <w:rPr>
                <w:b w:val="0"/>
                <w:u w:val="none"/>
              </w:rPr>
              <w:t>PROTON-LIGAND SYSTEM OF TPDH</w:t>
            </w:r>
          </w:p>
        </w:tc>
      </w:tr>
    </w:tbl>
    <w:p w:rsidR="00C94A01" w:rsidRPr="00EC5FC4" w:rsidRDefault="00C94A01" w:rsidP="008D5503">
      <w:pPr>
        <w:spacing w:after="0" w:line="240" w:lineRule="auto"/>
        <w:ind w:firstLine="720"/>
        <w:jc w:val="both"/>
      </w:pPr>
    </w:p>
    <w:p w:rsidR="00905B77" w:rsidRDefault="00E74206" w:rsidP="001B4083">
      <w:pPr>
        <w:spacing w:after="0" w:line="480" w:lineRule="auto"/>
        <w:ind w:firstLine="720"/>
        <w:jc w:val="both"/>
      </w:pPr>
      <w:r>
        <w:t>Deprotonation of enolic groups was observed o</w:t>
      </w:r>
      <w:r w:rsidR="00D603FE">
        <w:t>nly in the case of TPDH as it</w:t>
      </w:r>
      <w:r>
        <w:t xml:space="preserve"> is</w:t>
      </w:r>
      <w:r w:rsidR="00D603FE">
        <w:t xml:space="preserve"> observed that</w:t>
      </w:r>
      <w:r>
        <w:t xml:space="preserve"> a significant </w:t>
      </w:r>
      <w:r w:rsidR="00D603FE">
        <w:t>decrease of the</w:t>
      </w:r>
      <w:r w:rsidR="003F6271" w:rsidRPr="009D1C50">
        <w:t xml:space="preserve"> titration curve </w:t>
      </w:r>
      <w:r w:rsidR="00D603FE">
        <w:t xml:space="preserve">of the ligand </w:t>
      </w:r>
      <w:r w:rsidR="003F6271" w:rsidRPr="009D1C50">
        <w:t xml:space="preserve">relative to the free acid </w:t>
      </w:r>
      <w:r w:rsidR="00E32F75">
        <w:t>on basic side</w:t>
      </w:r>
      <w:r w:rsidR="000F582A">
        <w:t xml:space="preserve"> i.e. above a pH of ~9.0</w:t>
      </w:r>
      <w:r w:rsidR="00E32F75">
        <w:t>.  In the case of AZDH</w:t>
      </w:r>
      <w:r w:rsidR="00507A33">
        <w:t>,</w:t>
      </w:r>
      <w:r w:rsidR="00E32F75">
        <w:t xml:space="preserve"> there is no such a deviation </w:t>
      </w:r>
      <w:r w:rsidR="003F6271" w:rsidRPr="009D1C50">
        <w:t xml:space="preserve">indicating </w:t>
      </w:r>
      <w:r w:rsidR="00E32F75">
        <w:t xml:space="preserve">that </w:t>
      </w:r>
      <w:r w:rsidR="003F6271" w:rsidRPr="009D1C50">
        <w:t>the pH region of study</w:t>
      </w:r>
      <w:r w:rsidR="006B2190">
        <w:t xml:space="preserve"> is not showing any enolic proton’s deprotonation</w:t>
      </w:r>
      <w:r w:rsidR="003F6271" w:rsidRPr="009D1C50">
        <w:t xml:space="preserve">. </w:t>
      </w:r>
      <w:r w:rsidR="00905B77" w:rsidRPr="00905B77">
        <w:t xml:space="preserve">The free acid and ligand curves coincide between these two pH ranges, suggesting that there are no further proton-ligand equilibria. </w:t>
      </w:r>
    </w:p>
    <w:p w:rsidR="000F582A" w:rsidRDefault="00687361" w:rsidP="004D1D06">
      <w:pPr>
        <w:spacing w:after="0" w:line="480" w:lineRule="auto"/>
        <w:ind w:firstLine="720"/>
        <w:jc w:val="both"/>
      </w:pPr>
      <w:r w:rsidRPr="00D61192">
        <w:lastRenderedPageBreak/>
        <w:t>The titration data w</w:t>
      </w:r>
      <w:r w:rsidR="00370B82">
        <w:t>ere</w:t>
      </w:r>
      <w:r w:rsidRPr="00D61192">
        <w:t xml:space="preserve"> first subjected to analysis by ACBA computer program</w:t>
      </w:r>
      <w:r w:rsidRPr="00D61192">
        <w:rPr>
          <w:vertAlign w:val="superscript"/>
        </w:rPr>
        <w:t>1</w:t>
      </w:r>
      <w:r w:rsidR="000F582A">
        <w:rPr>
          <w:vertAlign w:val="superscript"/>
        </w:rPr>
        <w:t>7</w:t>
      </w:r>
      <w:r w:rsidRPr="00D61192">
        <w:t xml:space="preserve">, modified by the author to run on a personal computer.  The formation constants obtained from </w:t>
      </w:r>
      <w:r w:rsidR="00370B82">
        <w:t xml:space="preserve">the </w:t>
      </w:r>
      <w:r w:rsidRPr="00D61192">
        <w:t>ACBA program were taken as initial estimates for refinement by MINIQUAD-75 program</w:t>
      </w:r>
      <w:r w:rsidRPr="00D61192">
        <w:rPr>
          <w:vertAlign w:val="superscript"/>
        </w:rPr>
        <w:t>1</w:t>
      </w:r>
      <w:r w:rsidR="000F582A">
        <w:rPr>
          <w:vertAlign w:val="superscript"/>
        </w:rPr>
        <w:t>8</w:t>
      </w:r>
      <w:r w:rsidRPr="00D61192">
        <w:t xml:space="preserve">.  </w:t>
      </w:r>
      <w:r w:rsidRPr="00D61192">
        <w:rPr>
          <w:rStyle w:val="A0"/>
          <w:sz w:val="24"/>
          <w:szCs w:val="24"/>
        </w:rPr>
        <w:t xml:space="preserve">The protonation and deprotonation equilibria of </w:t>
      </w:r>
      <w:r w:rsidR="00EA2CA1">
        <w:rPr>
          <w:rStyle w:val="A0"/>
          <w:sz w:val="24"/>
          <w:szCs w:val="24"/>
        </w:rPr>
        <w:t>AZDH are shown in Fig.</w:t>
      </w:r>
      <w:r w:rsidR="008C20E2">
        <w:rPr>
          <w:rStyle w:val="A0"/>
          <w:sz w:val="24"/>
          <w:szCs w:val="24"/>
        </w:rPr>
        <w:t xml:space="preserve"> </w:t>
      </w:r>
      <w:r w:rsidR="00CD2415">
        <w:rPr>
          <w:rStyle w:val="A0"/>
          <w:sz w:val="24"/>
          <w:szCs w:val="24"/>
        </w:rPr>
        <w:t>6</w:t>
      </w:r>
      <w:r w:rsidRPr="00D61192">
        <w:rPr>
          <w:rStyle w:val="A0"/>
          <w:sz w:val="24"/>
          <w:szCs w:val="24"/>
        </w:rPr>
        <w:t xml:space="preserve">.  </w:t>
      </w:r>
      <w:r w:rsidR="004D1D06" w:rsidRPr="004D1D06">
        <w:t xml:space="preserve">The Miniquad-75 software yielded a best-fit model (Table 1) with two formation constants corresponding to the generation of LH+ and LH22+ species, which correspond to β011 and β012, respectively.  </w:t>
      </w:r>
    </w:p>
    <w:p w:rsidR="000F582A" w:rsidRDefault="00434780" w:rsidP="00D66049">
      <w:pPr>
        <w:spacing w:after="0" w:line="240" w:lineRule="auto"/>
        <w:ind w:firstLine="720"/>
        <w:jc w:val="center"/>
      </w:pPr>
      <w:r>
        <w:object w:dxaOrig="18662" w:dyaOrig="12146">
          <v:shape id="_x0000_i1032" type="#_x0000_t75" style="width:364.5pt;height:237pt" o:ole="">
            <v:imagedata r:id="rId26" o:title="" cropbottom="12598f" cropright="12479f"/>
          </v:shape>
          <o:OLEObject Type="Embed" ProgID="ChemDraw.Document.6.0" ShapeID="_x0000_i1032" DrawAspect="Content" ObjectID="_1756710470" r:id="rId27"/>
        </w:object>
      </w:r>
    </w:p>
    <w:p w:rsidR="000F582A" w:rsidRDefault="000F582A" w:rsidP="00687361">
      <w:pPr>
        <w:spacing w:after="0" w:line="240" w:lineRule="auto"/>
        <w:ind w:firstLine="720"/>
        <w:jc w:val="both"/>
      </w:pPr>
    </w:p>
    <w:p w:rsidR="00EE4746" w:rsidRPr="000F6456" w:rsidRDefault="008C20E2" w:rsidP="008E123C">
      <w:pPr>
        <w:spacing w:after="0"/>
        <w:ind w:firstLine="720"/>
        <w:jc w:val="center"/>
      </w:pPr>
      <w:r>
        <w:rPr>
          <w:rStyle w:val="A0"/>
          <w:b/>
          <w:sz w:val="24"/>
          <w:szCs w:val="24"/>
        </w:rPr>
        <w:t xml:space="preserve">Figure </w:t>
      </w:r>
      <w:r w:rsidR="008E123C">
        <w:rPr>
          <w:rStyle w:val="A0"/>
          <w:b/>
          <w:sz w:val="24"/>
          <w:szCs w:val="24"/>
        </w:rPr>
        <w:t>6</w:t>
      </w:r>
      <w:r w:rsidR="008E123C" w:rsidRPr="000F6456">
        <w:rPr>
          <w:rStyle w:val="A0"/>
          <w:b/>
          <w:sz w:val="24"/>
          <w:szCs w:val="24"/>
        </w:rPr>
        <w:t xml:space="preserve">: </w:t>
      </w:r>
      <w:r w:rsidR="008E123C" w:rsidRPr="000F6456">
        <w:rPr>
          <w:rStyle w:val="A0"/>
          <w:sz w:val="24"/>
          <w:szCs w:val="24"/>
        </w:rPr>
        <w:t>P</w:t>
      </w:r>
      <w:r w:rsidR="00EE4746">
        <w:rPr>
          <w:rStyle w:val="A0"/>
          <w:sz w:val="24"/>
          <w:szCs w:val="24"/>
        </w:rPr>
        <w:t>rotonation and deprotonation equilibria of</w:t>
      </w:r>
      <w:r w:rsidR="008E123C" w:rsidRPr="000F6456">
        <w:rPr>
          <w:rStyle w:val="A0"/>
          <w:sz w:val="24"/>
          <w:szCs w:val="24"/>
        </w:rPr>
        <w:t xml:space="preserve"> </w:t>
      </w:r>
      <w:r w:rsidR="008E123C">
        <w:rPr>
          <w:rStyle w:val="A0"/>
          <w:sz w:val="24"/>
          <w:szCs w:val="24"/>
        </w:rPr>
        <w:t>AZ</w:t>
      </w:r>
      <w:r w:rsidR="008E123C" w:rsidRPr="000F6456">
        <w:rPr>
          <w:rStyle w:val="A0"/>
          <w:sz w:val="24"/>
          <w:szCs w:val="24"/>
        </w:rPr>
        <w:t>DH</w:t>
      </w:r>
      <w:r w:rsidR="00EE4746">
        <w:rPr>
          <w:rStyle w:val="A0"/>
          <w:sz w:val="24"/>
          <w:szCs w:val="24"/>
        </w:rPr>
        <w:t>.</w:t>
      </w:r>
    </w:p>
    <w:p w:rsidR="000F582A" w:rsidRDefault="000F582A" w:rsidP="00687361">
      <w:pPr>
        <w:spacing w:after="0" w:line="240" w:lineRule="auto"/>
        <w:ind w:firstLine="720"/>
        <w:jc w:val="both"/>
      </w:pPr>
    </w:p>
    <w:p w:rsidR="000F582A" w:rsidRDefault="00573A1D" w:rsidP="000F582A">
      <w:pPr>
        <w:spacing w:after="0" w:line="240" w:lineRule="auto"/>
        <w:jc w:val="center"/>
      </w:pPr>
      <w:r>
        <w:rPr>
          <w:b/>
        </w:rPr>
        <w:t xml:space="preserve">Table </w:t>
      </w:r>
      <w:r w:rsidR="000F582A">
        <w:rPr>
          <w:b/>
        </w:rPr>
        <w:t>1</w:t>
      </w:r>
      <w:r w:rsidR="000F582A" w:rsidRPr="00377912">
        <w:rPr>
          <w:b/>
        </w:rPr>
        <w:t xml:space="preserve">:  </w:t>
      </w:r>
      <w:r w:rsidR="000F582A" w:rsidRPr="00377912">
        <w:t>B</w:t>
      </w:r>
      <w:r w:rsidR="008E123C">
        <w:t>est</w:t>
      </w:r>
      <w:r w:rsidR="00370B82">
        <w:t>-</w:t>
      </w:r>
      <w:r w:rsidR="008E123C">
        <w:t>fit chemical model for the acid-base</w:t>
      </w:r>
      <w:r w:rsidR="000F582A" w:rsidRPr="00377912">
        <w:t xml:space="preserve"> equilibria of </w:t>
      </w:r>
    </w:p>
    <w:p w:rsidR="000F582A" w:rsidRDefault="008E123C" w:rsidP="000F582A">
      <w:pPr>
        <w:spacing w:after="0" w:line="240" w:lineRule="auto"/>
        <w:jc w:val="center"/>
      </w:pPr>
      <w:r>
        <w:t>a</w:t>
      </w:r>
      <w:r w:rsidR="000F582A">
        <w:t>zelaic</w:t>
      </w:r>
      <w:r w:rsidR="000F582A" w:rsidRPr="00377912">
        <w:t xml:space="preserve"> acid</w:t>
      </w:r>
      <w:r w:rsidR="000F582A">
        <w:t xml:space="preserve"> </w:t>
      </w:r>
      <w:r w:rsidR="000F582A" w:rsidRPr="00377912">
        <w:t xml:space="preserve">dihydrazide in </w:t>
      </w:r>
      <w:r w:rsidR="00370B82">
        <w:t xml:space="preserve">the </w:t>
      </w:r>
      <w:r w:rsidR="000F582A" w:rsidRPr="00377912">
        <w:t xml:space="preserve">aqueous medium.  </w:t>
      </w:r>
    </w:p>
    <w:p w:rsidR="000F582A" w:rsidRDefault="000F582A" w:rsidP="000F582A">
      <w:pPr>
        <w:spacing w:after="0" w:line="240" w:lineRule="auto"/>
        <w:jc w:val="center"/>
      </w:pPr>
      <w:r w:rsidRPr="00377912">
        <w:t>Temp. = 30.0 ± 0.1°C</w:t>
      </w:r>
      <w:r>
        <w:t xml:space="preserve"> </w:t>
      </w:r>
      <w:r w:rsidRPr="00377912">
        <w:t xml:space="preserve">and ionic strength, </w:t>
      </w:r>
      <w:r w:rsidRPr="00377912">
        <w:rPr>
          <w:i/>
        </w:rPr>
        <w:t>I</w:t>
      </w:r>
      <w:r w:rsidRPr="00377912">
        <w:t xml:space="preserve"> = 0.1 mol dm</w:t>
      </w:r>
      <w:r w:rsidRPr="00377912">
        <w:rPr>
          <w:vertAlign w:val="superscript"/>
        </w:rPr>
        <w:t>–3</w:t>
      </w:r>
      <w:r w:rsidRPr="00377912">
        <w:t> (</w:t>
      </w:r>
      <w:r>
        <w:t>K</w:t>
      </w:r>
      <w:r w:rsidRPr="00377912">
        <w:t>Cl)</w:t>
      </w:r>
    </w:p>
    <w:p w:rsidR="000F582A" w:rsidRPr="00377912" w:rsidRDefault="000F582A" w:rsidP="000F582A">
      <w:pPr>
        <w:spacing w:after="0" w:line="240" w:lineRule="auto"/>
        <w:jc w:val="cente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30"/>
        <w:gridCol w:w="1800"/>
        <w:gridCol w:w="1710"/>
        <w:gridCol w:w="990"/>
      </w:tblGrid>
      <w:tr w:rsidR="000F582A" w:rsidRPr="00377912" w:rsidTr="0031339B">
        <w:trPr>
          <w:jc w:val="center"/>
        </w:trPr>
        <w:tc>
          <w:tcPr>
            <w:tcW w:w="1188" w:type="dxa"/>
          </w:tcPr>
          <w:p w:rsidR="000F582A" w:rsidRPr="00377912" w:rsidRDefault="000F582A" w:rsidP="0031339B">
            <w:pPr>
              <w:jc w:val="center"/>
              <w:rPr>
                <w:rFonts w:ascii="Times New Roman" w:hAnsi="Times New Roman" w:cs="Times New Roman"/>
                <w:sz w:val="24"/>
                <w:szCs w:val="24"/>
              </w:rPr>
            </w:pPr>
            <w:r w:rsidRPr="00377912">
              <w:rPr>
                <w:rFonts w:ascii="Times New Roman" w:hAnsi="Times New Roman" w:cs="Times New Roman"/>
                <w:sz w:val="24"/>
                <w:szCs w:val="24"/>
              </w:rPr>
              <w:t>Species</w:t>
            </w:r>
          </w:p>
          <w:p w:rsidR="000F582A" w:rsidRPr="00377912" w:rsidRDefault="000F582A" w:rsidP="0031339B">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530" w:type="dxa"/>
          </w:tcPr>
          <w:p w:rsidR="000F582A" w:rsidRPr="00377912" w:rsidRDefault="000F582A" w:rsidP="0031339B">
            <w:pPr>
              <w:jc w:val="center"/>
              <w:rPr>
                <w:rFonts w:ascii="Times New Roman" w:hAnsi="Times New Roman" w:cs="Times New Roman"/>
                <w:sz w:val="24"/>
                <w:szCs w:val="24"/>
              </w:rPr>
            </w:pPr>
            <w:r w:rsidRPr="00377912">
              <w:rPr>
                <w:rFonts w:ascii="Times New Roman" w:hAnsi="Times New Roman" w:cs="Times New Roman"/>
                <w:sz w:val="24"/>
                <w:szCs w:val="24"/>
              </w:rPr>
              <w:t>L</w:t>
            </w:r>
            <w:r w:rsidRPr="00377912">
              <w:rPr>
                <w:rFonts w:ascii="Times New Roman" w:hAnsi="Times New Roman" w:cs="Times New Roman"/>
                <w:i/>
                <w:sz w:val="24"/>
                <w:szCs w:val="24"/>
              </w:rPr>
              <w:t>og 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rsidR="000F582A" w:rsidRDefault="000F582A" w:rsidP="0031339B">
            <w:pPr>
              <w:jc w:val="center"/>
              <w:rPr>
                <w:rFonts w:ascii="Times New Roman" w:hAnsi="Times New Roman" w:cs="Times New Roman"/>
                <w:sz w:val="24"/>
                <w:szCs w:val="24"/>
              </w:rPr>
            </w:pPr>
            <w:r w:rsidRPr="00377912">
              <w:rPr>
                <w:rFonts w:ascii="Times New Roman" w:hAnsi="Times New Roman" w:cs="Times New Roman"/>
                <w:sz w:val="24"/>
                <w:szCs w:val="24"/>
              </w:rPr>
              <w:t>Number of experimental points analysed</w:t>
            </w:r>
          </w:p>
          <w:p w:rsidR="00DE44B5" w:rsidRPr="00377912" w:rsidRDefault="00DE44B5" w:rsidP="0031339B">
            <w:pPr>
              <w:jc w:val="center"/>
              <w:rPr>
                <w:rFonts w:ascii="Times New Roman" w:hAnsi="Times New Roman" w:cs="Times New Roman"/>
                <w:sz w:val="24"/>
                <w:szCs w:val="24"/>
              </w:rPr>
            </w:pPr>
            <w:r>
              <w:rPr>
                <w:rFonts w:ascii="Times New Roman" w:hAnsi="Times New Roman" w:cs="Times New Roman"/>
                <w:sz w:val="24"/>
                <w:szCs w:val="24"/>
              </w:rPr>
              <w:t>NP</w:t>
            </w:r>
          </w:p>
        </w:tc>
        <w:tc>
          <w:tcPr>
            <w:tcW w:w="1710" w:type="dxa"/>
          </w:tcPr>
          <w:p w:rsidR="000F582A" w:rsidRPr="00377912" w:rsidRDefault="000F582A" w:rsidP="0031339B">
            <w:pPr>
              <w:jc w:val="center"/>
              <w:rPr>
                <w:rFonts w:ascii="Times New Roman" w:hAnsi="Times New Roman" w:cs="Times New Roman"/>
                <w:sz w:val="24"/>
                <w:szCs w:val="24"/>
                <w:vertAlign w:val="superscript"/>
              </w:rPr>
            </w:pPr>
            <w:r w:rsidRPr="00377912">
              <w:rPr>
                <w:rFonts w:ascii="Times New Roman" w:hAnsi="Times New Roman" w:cs="Times New Roman"/>
                <w:sz w:val="24"/>
                <w:szCs w:val="24"/>
              </w:rPr>
              <w:t>Sum</w:t>
            </w:r>
            <w:r w:rsidR="00DE44B5">
              <w:rPr>
                <w:rFonts w:ascii="Times New Roman" w:hAnsi="Times New Roman" w:cs="Times New Roman"/>
                <w:sz w:val="24"/>
                <w:szCs w:val="24"/>
              </w:rPr>
              <w:t xml:space="preserve"> of the squares of residuals, U/NP</w:t>
            </w:r>
          </w:p>
        </w:tc>
        <w:tc>
          <w:tcPr>
            <w:tcW w:w="990" w:type="dxa"/>
          </w:tcPr>
          <w:p w:rsidR="000F582A" w:rsidRPr="00377912" w:rsidRDefault="000F582A" w:rsidP="0031339B">
            <w:pPr>
              <w:jc w:val="center"/>
              <w:rPr>
                <w:rFonts w:ascii="Times New Roman" w:hAnsi="Times New Roman" w:cs="Times New Roman"/>
                <w:sz w:val="24"/>
                <w:szCs w:val="24"/>
              </w:rPr>
            </w:pPr>
            <w:r w:rsidRPr="00377912">
              <w:rPr>
                <w:rFonts w:ascii="Times New Roman" w:hAnsi="Times New Roman" w:cs="Times New Roman"/>
                <w:sz w:val="24"/>
                <w:szCs w:val="24"/>
              </w:rPr>
              <w:t>χ</w:t>
            </w:r>
            <w:r w:rsidRPr="00377912">
              <w:rPr>
                <w:rFonts w:ascii="Times New Roman" w:hAnsi="Times New Roman" w:cs="Times New Roman"/>
                <w:sz w:val="24"/>
                <w:szCs w:val="24"/>
                <w:vertAlign w:val="superscript"/>
              </w:rPr>
              <w:t>2</w:t>
            </w:r>
          </w:p>
        </w:tc>
      </w:tr>
      <w:tr w:rsidR="000F582A" w:rsidRPr="00377912" w:rsidTr="0031339B">
        <w:trPr>
          <w:jc w:val="center"/>
        </w:trPr>
        <w:tc>
          <w:tcPr>
            <w:tcW w:w="1188" w:type="dxa"/>
          </w:tcPr>
          <w:p w:rsidR="000F582A" w:rsidRPr="00377912" w:rsidRDefault="000F582A" w:rsidP="0031339B">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rsidR="000F582A" w:rsidRPr="00E34CAD" w:rsidRDefault="008E123C" w:rsidP="00D8486A">
            <w:pPr>
              <w:jc w:val="right"/>
              <w:rPr>
                <w:rFonts w:ascii="Times New Roman" w:hAnsi="Times New Roman" w:cs="Times New Roman"/>
                <w:sz w:val="24"/>
                <w:szCs w:val="24"/>
              </w:rPr>
            </w:pPr>
            <w:r>
              <w:rPr>
                <w:rFonts w:ascii="Times New Roman" w:hAnsi="Times New Roman" w:cs="Times New Roman"/>
                <w:sz w:val="24"/>
                <w:szCs w:val="24"/>
              </w:rPr>
              <w:t>3.53</w:t>
            </w:r>
            <w:r w:rsidR="007D1742">
              <w:rPr>
                <w:rFonts w:ascii="Times New Roman" w:hAnsi="Times New Roman" w:cs="Times New Roman"/>
                <w:sz w:val="24"/>
                <w:szCs w:val="24"/>
              </w:rPr>
              <w:t xml:space="preserve"> </w:t>
            </w:r>
            <w:r>
              <w:rPr>
                <w:rFonts w:ascii="Times New Roman" w:hAnsi="Times New Roman" w:cs="Times New Roman"/>
                <w:sz w:val="24"/>
                <w:szCs w:val="24"/>
              </w:rPr>
              <w:t xml:space="preserve"> (</w:t>
            </w:r>
            <w:r w:rsidR="000F582A" w:rsidRPr="00E34CAD">
              <w:rPr>
                <w:rFonts w:ascii="Times New Roman" w:hAnsi="Times New Roman" w:cs="Times New Roman"/>
                <w:sz w:val="24"/>
                <w:szCs w:val="24"/>
              </w:rPr>
              <w:t>0.01)</w:t>
            </w:r>
          </w:p>
        </w:tc>
        <w:tc>
          <w:tcPr>
            <w:tcW w:w="1800" w:type="dxa"/>
            <w:vMerge w:val="restart"/>
          </w:tcPr>
          <w:p w:rsidR="000F582A" w:rsidRPr="00E34CAD" w:rsidRDefault="000F582A" w:rsidP="0031339B">
            <w:pPr>
              <w:jc w:val="center"/>
              <w:rPr>
                <w:rFonts w:ascii="Times New Roman" w:hAnsi="Times New Roman" w:cs="Times New Roman"/>
                <w:sz w:val="24"/>
                <w:szCs w:val="24"/>
              </w:rPr>
            </w:pPr>
            <w:r w:rsidRPr="00E34CAD">
              <w:rPr>
                <w:rFonts w:ascii="Times New Roman" w:hAnsi="Times New Roman" w:cs="Times New Roman"/>
                <w:sz w:val="24"/>
                <w:szCs w:val="24"/>
              </w:rPr>
              <w:t>190</w:t>
            </w:r>
          </w:p>
        </w:tc>
        <w:tc>
          <w:tcPr>
            <w:tcW w:w="1710" w:type="dxa"/>
            <w:vMerge w:val="restart"/>
          </w:tcPr>
          <w:p w:rsidR="000F582A" w:rsidRPr="00E34CAD" w:rsidRDefault="000F582A" w:rsidP="0031339B">
            <w:pPr>
              <w:jc w:val="center"/>
              <w:rPr>
                <w:rFonts w:ascii="Times New Roman" w:hAnsi="Times New Roman" w:cs="Times New Roman"/>
                <w:sz w:val="24"/>
                <w:szCs w:val="24"/>
              </w:rPr>
            </w:pPr>
            <w:r w:rsidRPr="00E34CAD">
              <w:rPr>
                <w:rFonts w:ascii="Times New Roman" w:hAnsi="Times New Roman" w:cs="Times New Roman"/>
                <w:sz w:val="24"/>
                <w:szCs w:val="24"/>
              </w:rPr>
              <w:t>3.601 e-10</w:t>
            </w:r>
          </w:p>
        </w:tc>
        <w:tc>
          <w:tcPr>
            <w:tcW w:w="990" w:type="dxa"/>
            <w:vMerge w:val="restart"/>
          </w:tcPr>
          <w:p w:rsidR="000F582A" w:rsidRPr="00E34CAD" w:rsidRDefault="000F582A" w:rsidP="0031339B">
            <w:pPr>
              <w:rPr>
                <w:rFonts w:ascii="Times New Roman" w:hAnsi="Times New Roman" w:cs="Times New Roman"/>
                <w:sz w:val="24"/>
                <w:szCs w:val="24"/>
              </w:rPr>
            </w:pPr>
            <w:r w:rsidRPr="00E34CAD">
              <w:rPr>
                <w:rFonts w:ascii="Times New Roman" w:hAnsi="Times New Roman" w:cs="Times New Roman"/>
                <w:sz w:val="24"/>
                <w:szCs w:val="24"/>
              </w:rPr>
              <w:t>21.14</w:t>
            </w:r>
          </w:p>
        </w:tc>
      </w:tr>
      <w:tr w:rsidR="000F582A" w:rsidRPr="00377912" w:rsidTr="0031339B">
        <w:trPr>
          <w:jc w:val="center"/>
        </w:trPr>
        <w:tc>
          <w:tcPr>
            <w:tcW w:w="1188" w:type="dxa"/>
          </w:tcPr>
          <w:p w:rsidR="000F582A" w:rsidRPr="00377912" w:rsidRDefault="000F582A" w:rsidP="0031339B">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rsidR="000F582A" w:rsidRPr="004D2880" w:rsidRDefault="008E123C" w:rsidP="00D8486A">
            <w:pPr>
              <w:jc w:val="right"/>
              <w:rPr>
                <w:rFonts w:ascii="Times New Roman" w:hAnsi="Times New Roman" w:cs="Times New Roman"/>
              </w:rPr>
            </w:pPr>
            <w:r>
              <w:rPr>
                <w:rFonts w:ascii="Times New Roman" w:hAnsi="Times New Roman" w:cs="Times New Roman"/>
                <w:sz w:val="24"/>
                <w:szCs w:val="24"/>
              </w:rPr>
              <w:t>6.30</w:t>
            </w:r>
            <w:r w:rsidR="00D8486A">
              <w:rPr>
                <w:rFonts w:ascii="Times New Roman" w:hAnsi="Times New Roman" w:cs="Times New Roman"/>
                <w:sz w:val="24"/>
                <w:szCs w:val="24"/>
              </w:rPr>
              <w:t xml:space="preserve"> </w:t>
            </w:r>
            <w:r>
              <w:rPr>
                <w:rFonts w:ascii="Times New Roman" w:hAnsi="Times New Roman" w:cs="Times New Roman"/>
                <w:sz w:val="24"/>
                <w:szCs w:val="24"/>
              </w:rPr>
              <w:t xml:space="preserve"> (0.</w:t>
            </w:r>
            <w:r w:rsidR="000F582A" w:rsidRPr="00E34CAD">
              <w:rPr>
                <w:rFonts w:ascii="Times New Roman" w:hAnsi="Times New Roman" w:cs="Times New Roman"/>
                <w:sz w:val="24"/>
                <w:szCs w:val="24"/>
              </w:rPr>
              <w:t>01)</w:t>
            </w:r>
          </w:p>
        </w:tc>
        <w:tc>
          <w:tcPr>
            <w:tcW w:w="1800" w:type="dxa"/>
            <w:vMerge/>
          </w:tcPr>
          <w:p w:rsidR="000F582A" w:rsidRPr="005C03AD" w:rsidRDefault="000F582A" w:rsidP="0031339B">
            <w:pPr>
              <w:rPr>
                <w:rFonts w:ascii="Times New Roman" w:hAnsi="Times New Roman" w:cs="Times New Roman"/>
                <w:color w:val="FF0000"/>
                <w:sz w:val="24"/>
                <w:szCs w:val="24"/>
              </w:rPr>
            </w:pPr>
          </w:p>
        </w:tc>
        <w:tc>
          <w:tcPr>
            <w:tcW w:w="1710" w:type="dxa"/>
            <w:vMerge/>
          </w:tcPr>
          <w:p w:rsidR="000F582A" w:rsidRPr="005C03AD" w:rsidRDefault="000F582A" w:rsidP="0031339B">
            <w:pPr>
              <w:rPr>
                <w:rFonts w:ascii="Times New Roman" w:hAnsi="Times New Roman" w:cs="Times New Roman"/>
                <w:color w:val="FF0000"/>
                <w:sz w:val="24"/>
                <w:szCs w:val="24"/>
              </w:rPr>
            </w:pPr>
          </w:p>
        </w:tc>
        <w:tc>
          <w:tcPr>
            <w:tcW w:w="990" w:type="dxa"/>
            <w:vMerge/>
          </w:tcPr>
          <w:p w:rsidR="000F582A" w:rsidRPr="005C03AD" w:rsidRDefault="000F582A" w:rsidP="0031339B">
            <w:pPr>
              <w:rPr>
                <w:rFonts w:ascii="Times New Roman" w:hAnsi="Times New Roman" w:cs="Times New Roman"/>
                <w:color w:val="FF0000"/>
                <w:sz w:val="24"/>
                <w:szCs w:val="24"/>
              </w:rPr>
            </w:pPr>
          </w:p>
        </w:tc>
      </w:tr>
    </w:tbl>
    <w:p w:rsidR="000F582A" w:rsidRDefault="000F582A" w:rsidP="000F582A">
      <w:pPr>
        <w:rPr>
          <w:lang w:val="en-US"/>
        </w:rPr>
      </w:pPr>
    </w:p>
    <w:p w:rsidR="006B15C4" w:rsidRDefault="00BC3530" w:rsidP="006B15C4">
      <w:pPr>
        <w:spacing w:line="480" w:lineRule="auto"/>
        <w:jc w:val="both"/>
      </w:pPr>
      <w:r>
        <w:rPr>
          <w:lang w:val="en-US"/>
        </w:rPr>
        <w:tab/>
      </w:r>
      <w:r w:rsidR="008E123C">
        <w:rPr>
          <w:lang w:val="en-US"/>
        </w:rPr>
        <w:t xml:space="preserve">The formation constants, </w:t>
      </w:r>
      <w:r w:rsidR="008E123C" w:rsidRPr="00377912">
        <w:rPr>
          <w:i/>
        </w:rPr>
        <w:t>β</w:t>
      </w:r>
      <w:r w:rsidR="008E123C">
        <w:rPr>
          <w:i/>
          <w:vertAlign w:val="subscript"/>
        </w:rPr>
        <w:t>01-1</w:t>
      </w:r>
      <w:r w:rsidR="008E123C">
        <w:t xml:space="preserve"> and </w:t>
      </w:r>
      <w:r w:rsidR="008E123C" w:rsidRPr="00377912">
        <w:rPr>
          <w:i/>
        </w:rPr>
        <w:t>β</w:t>
      </w:r>
      <w:r w:rsidR="008E123C">
        <w:rPr>
          <w:i/>
          <w:vertAlign w:val="subscript"/>
        </w:rPr>
        <w:t>01-2</w:t>
      </w:r>
      <w:r w:rsidR="008E123C">
        <w:rPr>
          <w:i/>
        </w:rPr>
        <w:t xml:space="preserve"> </w:t>
      </w:r>
      <w:r w:rsidR="00AD7A3C">
        <w:t>related</w:t>
      </w:r>
      <w:r w:rsidR="008E123C">
        <w:t xml:space="preserve"> to the deprot</w:t>
      </w:r>
      <w:r w:rsidR="008C20E2">
        <w:t xml:space="preserve">onation of enolic groups (Fig. </w:t>
      </w:r>
      <w:r w:rsidR="008C1355">
        <w:t xml:space="preserve">6) were not converged. </w:t>
      </w:r>
      <w:r w:rsidR="006B15C4" w:rsidRPr="006B15C4">
        <w:t xml:space="preserve">The AZDH species distribution diagram (Fig. 4b) shows that the </w:t>
      </w:r>
      <w:r w:rsidR="006B15C4" w:rsidRPr="006B15C4">
        <w:lastRenderedPageBreak/>
        <w:t xml:space="preserve">LH22+ form of AZDH is limited to pH values below 4.0.  Around 90% of it forms at a pH of 1.8.  At pH 3.1, the species LH+ reaches its maximal production rate of 55% and becomes extinct above pH 6.0.   </w:t>
      </w:r>
    </w:p>
    <w:p w:rsidR="00A22FF3" w:rsidRDefault="00BC3530" w:rsidP="00A22FF3">
      <w:pPr>
        <w:spacing w:line="480" w:lineRule="auto"/>
        <w:jc w:val="both"/>
      </w:pPr>
      <w:r>
        <w:tab/>
      </w:r>
      <w:r w:rsidR="00A22FF3" w:rsidRPr="00A22FF3">
        <w:t xml:space="preserve">Table 2 and Fig. 7 display the best-fit model together with the associated protonation and deprotonation equilibria of TPDH, respectively. The creation of LH22+, LH+, L, and LH-1 species in the aqueous medium is indicated by the best-fit model.  Lower pH (below ~3.0 pH) favors the biprotonated form of TPDH, LH22+, which deprotonates to generate the mono-protonated (LH+) and neutral species (L) as pH rises. </w:t>
      </w:r>
    </w:p>
    <w:p w:rsidR="00DD2A07" w:rsidRDefault="008C20E2" w:rsidP="00A22FF3">
      <w:pPr>
        <w:spacing w:line="480" w:lineRule="auto"/>
        <w:jc w:val="both"/>
      </w:pPr>
      <w:r>
        <w:t xml:space="preserve"> </w:t>
      </w:r>
      <w:r>
        <w:rPr>
          <w:b/>
        </w:rPr>
        <w:t xml:space="preserve">Table </w:t>
      </w:r>
      <w:r w:rsidR="00DD2A07">
        <w:rPr>
          <w:b/>
        </w:rPr>
        <w:t>2</w:t>
      </w:r>
      <w:r w:rsidR="00DD2A07" w:rsidRPr="00377912">
        <w:rPr>
          <w:b/>
        </w:rPr>
        <w:t xml:space="preserve">:  </w:t>
      </w:r>
      <w:r w:rsidR="00E10939" w:rsidRPr="00E10939">
        <w:t>Optimal chemical model for terephthalic acid dihydrazide's acid-base equilibria in aqueous solutions.  Temp. = 30.0 ± 0.1°C and I = 0.1 mol dm–3 (KCl) for the ionic strength</w:t>
      </w:r>
    </w:p>
    <w:p w:rsidR="00DD2A07" w:rsidRPr="00377912" w:rsidRDefault="00DD2A07" w:rsidP="00DD2A07">
      <w:pPr>
        <w:spacing w:after="0" w:line="240" w:lineRule="auto"/>
        <w:jc w:val="cente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637"/>
        <w:gridCol w:w="1800"/>
        <w:gridCol w:w="1710"/>
        <w:gridCol w:w="990"/>
      </w:tblGrid>
      <w:tr w:rsidR="00DD2A07" w:rsidRPr="00377912" w:rsidTr="0031339B">
        <w:trPr>
          <w:jc w:val="center"/>
        </w:trPr>
        <w:tc>
          <w:tcPr>
            <w:tcW w:w="1081" w:type="dxa"/>
          </w:tcPr>
          <w:p w:rsidR="00DD2A07" w:rsidRPr="00377912" w:rsidRDefault="00DD2A07" w:rsidP="0031339B">
            <w:pPr>
              <w:jc w:val="center"/>
              <w:rPr>
                <w:rFonts w:ascii="Times New Roman" w:hAnsi="Times New Roman" w:cs="Times New Roman"/>
                <w:sz w:val="24"/>
                <w:szCs w:val="24"/>
              </w:rPr>
            </w:pPr>
            <w:r w:rsidRPr="00377912">
              <w:rPr>
                <w:rFonts w:ascii="Times New Roman" w:hAnsi="Times New Roman" w:cs="Times New Roman"/>
                <w:sz w:val="24"/>
                <w:szCs w:val="24"/>
              </w:rPr>
              <w:t>Species</w:t>
            </w:r>
          </w:p>
          <w:p w:rsidR="00DD2A07" w:rsidRPr="00377912" w:rsidRDefault="00DD2A07" w:rsidP="0031339B">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637" w:type="dxa"/>
          </w:tcPr>
          <w:p w:rsidR="00DD2A07" w:rsidRPr="00377912" w:rsidRDefault="00DD2A07" w:rsidP="0031339B">
            <w:pPr>
              <w:jc w:val="center"/>
              <w:rPr>
                <w:rFonts w:ascii="Times New Roman" w:hAnsi="Times New Roman" w:cs="Times New Roman"/>
                <w:sz w:val="24"/>
                <w:szCs w:val="24"/>
              </w:rPr>
            </w:pPr>
            <w:r w:rsidRPr="00377912">
              <w:rPr>
                <w:rFonts w:ascii="Times New Roman" w:hAnsi="Times New Roman" w:cs="Times New Roman"/>
                <w:sz w:val="24"/>
                <w:szCs w:val="24"/>
              </w:rPr>
              <w:t>L</w:t>
            </w:r>
            <w:r w:rsidRPr="00377912">
              <w:rPr>
                <w:rFonts w:ascii="Times New Roman" w:hAnsi="Times New Roman" w:cs="Times New Roman"/>
                <w:i/>
                <w:sz w:val="24"/>
                <w:szCs w:val="24"/>
              </w:rPr>
              <w:t>og 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rsidR="00DD2A07" w:rsidRDefault="00DD2A07" w:rsidP="0031339B">
            <w:pPr>
              <w:jc w:val="center"/>
              <w:rPr>
                <w:rFonts w:ascii="Times New Roman" w:hAnsi="Times New Roman" w:cs="Times New Roman"/>
                <w:sz w:val="24"/>
                <w:szCs w:val="24"/>
              </w:rPr>
            </w:pPr>
            <w:r w:rsidRPr="00377912">
              <w:rPr>
                <w:rFonts w:ascii="Times New Roman" w:hAnsi="Times New Roman" w:cs="Times New Roman"/>
                <w:sz w:val="24"/>
                <w:szCs w:val="24"/>
              </w:rPr>
              <w:t>Number of experimental points analysed</w:t>
            </w:r>
          </w:p>
          <w:p w:rsidR="00DE44B5" w:rsidRPr="00377912" w:rsidRDefault="00DE44B5" w:rsidP="0031339B">
            <w:pPr>
              <w:jc w:val="center"/>
              <w:rPr>
                <w:rFonts w:ascii="Times New Roman" w:hAnsi="Times New Roman" w:cs="Times New Roman"/>
                <w:sz w:val="24"/>
                <w:szCs w:val="24"/>
              </w:rPr>
            </w:pPr>
            <w:r>
              <w:rPr>
                <w:rFonts w:ascii="Times New Roman" w:hAnsi="Times New Roman" w:cs="Times New Roman"/>
                <w:sz w:val="24"/>
                <w:szCs w:val="24"/>
              </w:rPr>
              <w:t>NP</w:t>
            </w:r>
          </w:p>
        </w:tc>
        <w:tc>
          <w:tcPr>
            <w:tcW w:w="1710" w:type="dxa"/>
          </w:tcPr>
          <w:p w:rsidR="00DD2A07" w:rsidRPr="00377912" w:rsidRDefault="00DD2A07" w:rsidP="0031339B">
            <w:pPr>
              <w:jc w:val="center"/>
              <w:rPr>
                <w:rFonts w:ascii="Times New Roman" w:hAnsi="Times New Roman" w:cs="Times New Roman"/>
                <w:sz w:val="24"/>
                <w:szCs w:val="24"/>
                <w:vertAlign w:val="superscript"/>
              </w:rPr>
            </w:pPr>
            <w:r w:rsidRPr="00377912">
              <w:rPr>
                <w:rFonts w:ascii="Times New Roman" w:hAnsi="Times New Roman" w:cs="Times New Roman"/>
                <w:sz w:val="24"/>
                <w:szCs w:val="24"/>
              </w:rPr>
              <w:t>Sum of the squares of residuals, U</w:t>
            </w:r>
            <w:r w:rsidR="00DE44B5">
              <w:rPr>
                <w:rFonts w:ascii="Times New Roman" w:hAnsi="Times New Roman" w:cs="Times New Roman"/>
                <w:sz w:val="24"/>
                <w:szCs w:val="24"/>
              </w:rPr>
              <w:t>/NP</w:t>
            </w:r>
            <w:r w:rsidRPr="00377912">
              <w:rPr>
                <w:rFonts w:ascii="Times New Roman" w:hAnsi="Times New Roman" w:cs="Times New Roman"/>
                <w:sz w:val="24"/>
                <w:szCs w:val="24"/>
              </w:rPr>
              <w:t xml:space="preserve"> </w:t>
            </w:r>
          </w:p>
        </w:tc>
        <w:tc>
          <w:tcPr>
            <w:tcW w:w="990" w:type="dxa"/>
          </w:tcPr>
          <w:p w:rsidR="00DD2A07" w:rsidRPr="00377912" w:rsidRDefault="00DD2A07" w:rsidP="0031339B">
            <w:pPr>
              <w:jc w:val="center"/>
              <w:rPr>
                <w:rFonts w:ascii="Times New Roman" w:hAnsi="Times New Roman" w:cs="Times New Roman"/>
                <w:sz w:val="24"/>
                <w:szCs w:val="24"/>
              </w:rPr>
            </w:pPr>
            <w:r w:rsidRPr="00377912">
              <w:rPr>
                <w:rFonts w:ascii="Times New Roman" w:hAnsi="Times New Roman" w:cs="Times New Roman"/>
                <w:sz w:val="24"/>
                <w:szCs w:val="24"/>
              </w:rPr>
              <w:t>χ</w:t>
            </w:r>
            <w:r w:rsidRPr="00377912">
              <w:rPr>
                <w:rFonts w:ascii="Times New Roman" w:hAnsi="Times New Roman" w:cs="Times New Roman"/>
                <w:sz w:val="24"/>
                <w:szCs w:val="24"/>
                <w:vertAlign w:val="superscript"/>
              </w:rPr>
              <w:t>2</w:t>
            </w:r>
          </w:p>
        </w:tc>
      </w:tr>
      <w:tr w:rsidR="00DD2A07" w:rsidRPr="00377912" w:rsidTr="0031339B">
        <w:trPr>
          <w:jc w:val="center"/>
        </w:trPr>
        <w:tc>
          <w:tcPr>
            <w:tcW w:w="1081" w:type="dxa"/>
          </w:tcPr>
          <w:p w:rsidR="00DD2A07" w:rsidRPr="00377912" w:rsidRDefault="00DD2A07" w:rsidP="0031339B">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637" w:type="dxa"/>
            <w:vAlign w:val="center"/>
          </w:tcPr>
          <w:p w:rsidR="00DD2A07" w:rsidRPr="00E34CAD" w:rsidRDefault="00D8486A" w:rsidP="0031339B">
            <w:pPr>
              <w:jc w:val="center"/>
              <w:rPr>
                <w:rFonts w:ascii="Times New Roman" w:hAnsi="Times New Roman" w:cs="Times New Roman"/>
                <w:sz w:val="24"/>
                <w:szCs w:val="24"/>
              </w:rPr>
            </w:pPr>
            <w:r>
              <w:rPr>
                <w:rFonts w:ascii="Times New Roman" w:hAnsi="Times New Roman" w:cs="Times New Roman"/>
                <w:sz w:val="24"/>
                <w:szCs w:val="24"/>
              </w:rPr>
              <w:t xml:space="preserve"> </w:t>
            </w:r>
            <w:r w:rsidR="00BC3530">
              <w:rPr>
                <w:rFonts w:ascii="Times New Roman" w:hAnsi="Times New Roman" w:cs="Times New Roman"/>
                <w:sz w:val="24"/>
                <w:szCs w:val="24"/>
              </w:rPr>
              <w:t>3.12 (</w:t>
            </w:r>
            <w:r w:rsidR="00DD2A07" w:rsidRPr="00E34CAD">
              <w:rPr>
                <w:rFonts w:ascii="Times New Roman" w:hAnsi="Times New Roman" w:cs="Times New Roman"/>
                <w:sz w:val="24"/>
                <w:szCs w:val="24"/>
              </w:rPr>
              <w:t>0.01)</w:t>
            </w:r>
          </w:p>
        </w:tc>
        <w:tc>
          <w:tcPr>
            <w:tcW w:w="1800" w:type="dxa"/>
            <w:vMerge w:val="restart"/>
          </w:tcPr>
          <w:p w:rsidR="00DD2A07" w:rsidRPr="00E34CAD" w:rsidRDefault="00DD2A07" w:rsidP="0031339B">
            <w:pPr>
              <w:jc w:val="center"/>
              <w:rPr>
                <w:rFonts w:ascii="Times New Roman" w:hAnsi="Times New Roman" w:cs="Times New Roman"/>
                <w:sz w:val="24"/>
                <w:szCs w:val="24"/>
              </w:rPr>
            </w:pPr>
          </w:p>
          <w:p w:rsidR="00DD2A07" w:rsidRPr="00E34CAD" w:rsidRDefault="00DD2A07" w:rsidP="0031339B">
            <w:pPr>
              <w:jc w:val="center"/>
              <w:rPr>
                <w:rFonts w:ascii="Times New Roman" w:hAnsi="Times New Roman" w:cs="Times New Roman"/>
                <w:sz w:val="24"/>
                <w:szCs w:val="24"/>
              </w:rPr>
            </w:pPr>
            <w:r w:rsidRPr="00E34CAD">
              <w:rPr>
                <w:rFonts w:ascii="Times New Roman" w:hAnsi="Times New Roman" w:cs="Times New Roman"/>
                <w:sz w:val="24"/>
                <w:szCs w:val="24"/>
              </w:rPr>
              <w:t>130</w:t>
            </w:r>
          </w:p>
        </w:tc>
        <w:tc>
          <w:tcPr>
            <w:tcW w:w="1710" w:type="dxa"/>
            <w:vMerge w:val="restart"/>
          </w:tcPr>
          <w:p w:rsidR="00DD2A07" w:rsidRPr="00E34CAD" w:rsidRDefault="00DD2A07" w:rsidP="0031339B">
            <w:pPr>
              <w:rPr>
                <w:rFonts w:ascii="Times New Roman" w:hAnsi="Times New Roman" w:cs="Times New Roman"/>
                <w:sz w:val="24"/>
                <w:szCs w:val="24"/>
              </w:rPr>
            </w:pPr>
          </w:p>
          <w:p w:rsidR="00DD2A07" w:rsidRPr="00E34CAD" w:rsidRDefault="00DD2A07" w:rsidP="0031339B">
            <w:pPr>
              <w:jc w:val="center"/>
              <w:rPr>
                <w:rFonts w:ascii="Times New Roman" w:hAnsi="Times New Roman" w:cs="Times New Roman"/>
                <w:sz w:val="24"/>
                <w:szCs w:val="24"/>
              </w:rPr>
            </w:pPr>
            <w:r w:rsidRPr="00E34CAD">
              <w:rPr>
                <w:rFonts w:ascii="Times New Roman" w:hAnsi="Times New Roman" w:cs="Times New Roman"/>
                <w:sz w:val="24"/>
                <w:szCs w:val="24"/>
              </w:rPr>
              <w:t>6.23</w:t>
            </w:r>
            <w:r>
              <w:rPr>
                <w:rFonts w:ascii="Times New Roman" w:hAnsi="Times New Roman" w:cs="Times New Roman"/>
                <w:sz w:val="24"/>
                <w:szCs w:val="24"/>
              </w:rPr>
              <w:t>0</w:t>
            </w:r>
            <w:r w:rsidRPr="00E34CAD">
              <w:rPr>
                <w:rFonts w:ascii="Times New Roman" w:hAnsi="Times New Roman" w:cs="Times New Roman"/>
                <w:sz w:val="24"/>
                <w:szCs w:val="24"/>
              </w:rPr>
              <w:t xml:space="preserve"> e-09</w:t>
            </w:r>
          </w:p>
        </w:tc>
        <w:tc>
          <w:tcPr>
            <w:tcW w:w="990" w:type="dxa"/>
            <w:vMerge w:val="restart"/>
          </w:tcPr>
          <w:p w:rsidR="00DD2A07" w:rsidRPr="00E34CAD" w:rsidRDefault="00DD2A07" w:rsidP="0031339B">
            <w:pPr>
              <w:rPr>
                <w:rFonts w:ascii="Times New Roman" w:hAnsi="Times New Roman" w:cs="Times New Roman"/>
                <w:sz w:val="24"/>
                <w:szCs w:val="24"/>
              </w:rPr>
            </w:pPr>
          </w:p>
          <w:p w:rsidR="00DD2A07" w:rsidRPr="00E34CAD" w:rsidRDefault="00DD2A07" w:rsidP="0031339B">
            <w:pPr>
              <w:rPr>
                <w:rFonts w:ascii="Times New Roman" w:hAnsi="Times New Roman" w:cs="Times New Roman"/>
                <w:sz w:val="24"/>
                <w:szCs w:val="24"/>
              </w:rPr>
            </w:pPr>
            <w:r w:rsidRPr="00E34CAD">
              <w:rPr>
                <w:rFonts w:ascii="Times New Roman" w:hAnsi="Times New Roman" w:cs="Times New Roman"/>
                <w:sz w:val="24"/>
                <w:szCs w:val="24"/>
              </w:rPr>
              <w:t>37.72</w:t>
            </w:r>
          </w:p>
        </w:tc>
      </w:tr>
      <w:tr w:rsidR="00DD2A07" w:rsidRPr="00377912" w:rsidTr="0031339B">
        <w:trPr>
          <w:jc w:val="center"/>
        </w:trPr>
        <w:tc>
          <w:tcPr>
            <w:tcW w:w="1081" w:type="dxa"/>
          </w:tcPr>
          <w:p w:rsidR="00DD2A07" w:rsidRPr="00377912" w:rsidRDefault="00DD2A07" w:rsidP="0031339B">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637" w:type="dxa"/>
            <w:vAlign w:val="center"/>
          </w:tcPr>
          <w:p w:rsidR="00DD2A07" w:rsidRPr="00E34CAD" w:rsidRDefault="00D8486A" w:rsidP="0031339B">
            <w:pPr>
              <w:jc w:val="center"/>
              <w:rPr>
                <w:rFonts w:ascii="Times New Roman" w:hAnsi="Times New Roman" w:cs="Times New Roman"/>
                <w:sz w:val="24"/>
                <w:szCs w:val="24"/>
              </w:rPr>
            </w:pPr>
            <w:r>
              <w:rPr>
                <w:rFonts w:ascii="Times New Roman" w:hAnsi="Times New Roman" w:cs="Times New Roman"/>
                <w:sz w:val="24"/>
                <w:szCs w:val="24"/>
              </w:rPr>
              <w:t xml:space="preserve"> </w:t>
            </w:r>
            <w:r w:rsidR="00BC3530">
              <w:rPr>
                <w:rFonts w:ascii="Times New Roman" w:hAnsi="Times New Roman" w:cs="Times New Roman"/>
                <w:sz w:val="24"/>
                <w:szCs w:val="24"/>
              </w:rPr>
              <w:t>5.24 (</w:t>
            </w:r>
            <w:r w:rsidR="00DD2A07" w:rsidRPr="00E34CAD">
              <w:rPr>
                <w:rFonts w:ascii="Times New Roman" w:hAnsi="Times New Roman" w:cs="Times New Roman"/>
                <w:sz w:val="24"/>
                <w:szCs w:val="24"/>
              </w:rPr>
              <w:t>0.01)</w:t>
            </w:r>
          </w:p>
        </w:tc>
        <w:tc>
          <w:tcPr>
            <w:tcW w:w="1800" w:type="dxa"/>
            <w:vMerge/>
          </w:tcPr>
          <w:p w:rsidR="00DD2A07" w:rsidRPr="005C03AD" w:rsidRDefault="00DD2A07" w:rsidP="0031339B">
            <w:pPr>
              <w:rPr>
                <w:rFonts w:ascii="Times New Roman" w:hAnsi="Times New Roman" w:cs="Times New Roman"/>
                <w:color w:val="FF0000"/>
                <w:sz w:val="24"/>
                <w:szCs w:val="24"/>
              </w:rPr>
            </w:pPr>
          </w:p>
        </w:tc>
        <w:tc>
          <w:tcPr>
            <w:tcW w:w="1710" w:type="dxa"/>
            <w:vMerge/>
          </w:tcPr>
          <w:p w:rsidR="00DD2A07" w:rsidRPr="005C03AD" w:rsidRDefault="00DD2A07" w:rsidP="0031339B">
            <w:pPr>
              <w:rPr>
                <w:rFonts w:ascii="Times New Roman" w:hAnsi="Times New Roman" w:cs="Times New Roman"/>
                <w:color w:val="FF0000"/>
                <w:sz w:val="24"/>
                <w:szCs w:val="24"/>
              </w:rPr>
            </w:pPr>
          </w:p>
        </w:tc>
        <w:tc>
          <w:tcPr>
            <w:tcW w:w="990" w:type="dxa"/>
            <w:vMerge/>
          </w:tcPr>
          <w:p w:rsidR="00DD2A07" w:rsidRPr="005C03AD" w:rsidRDefault="00DD2A07" w:rsidP="0031339B">
            <w:pPr>
              <w:rPr>
                <w:rFonts w:ascii="Times New Roman" w:hAnsi="Times New Roman" w:cs="Times New Roman"/>
                <w:color w:val="FF0000"/>
                <w:sz w:val="24"/>
                <w:szCs w:val="24"/>
              </w:rPr>
            </w:pPr>
          </w:p>
        </w:tc>
      </w:tr>
      <w:tr w:rsidR="00DD2A07" w:rsidRPr="00377912" w:rsidTr="0031339B">
        <w:trPr>
          <w:jc w:val="center"/>
        </w:trPr>
        <w:tc>
          <w:tcPr>
            <w:tcW w:w="1081" w:type="dxa"/>
          </w:tcPr>
          <w:p w:rsidR="00DD2A07" w:rsidRPr="00377912" w:rsidRDefault="00DD2A07" w:rsidP="0031339B">
            <w:pPr>
              <w:jc w:val="center"/>
              <w:rPr>
                <w:rFonts w:ascii="Times New Roman" w:hAnsi="Times New Roman" w:cs="Times New Roman"/>
                <w:sz w:val="24"/>
                <w:szCs w:val="24"/>
              </w:rPr>
            </w:pPr>
            <w:r w:rsidRPr="00377912">
              <w:rPr>
                <w:rFonts w:ascii="Times New Roman" w:hAnsi="Times New Roman" w:cs="Times New Roman"/>
                <w:sz w:val="24"/>
                <w:szCs w:val="24"/>
              </w:rPr>
              <w:t xml:space="preserve"> 01-1</w:t>
            </w:r>
          </w:p>
        </w:tc>
        <w:tc>
          <w:tcPr>
            <w:tcW w:w="1637" w:type="dxa"/>
            <w:vAlign w:val="center"/>
          </w:tcPr>
          <w:p w:rsidR="00DD2A07" w:rsidRPr="00E34CAD" w:rsidRDefault="00BC3530" w:rsidP="00D8486A">
            <w:pPr>
              <w:rPr>
                <w:rFonts w:ascii="Times New Roman" w:hAnsi="Times New Roman" w:cs="Times New Roman"/>
                <w:sz w:val="24"/>
                <w:szCs w:val="24"/>
              </w:rPr>
            </w:pPr>
            <w:r>
              <w:rPr>
                <w:rFonts w:ascii="Times New Roman" w:hAnsi="Times New Roman" w:cs="Times New Roman"/>
                <w:sz w:val="24"/>
                <w:szCs w:val="24"/>
              </w:rPr>
              <w:t>-10.85 (</w:t>
            </w:r>
            <w:r w:rsidR="00DD2A07" w:rsidRPr="00E34CAD">
              <w:rPr>
                <w:rFonts w:ascii="Times New Roman" w:hAnsi="Times New Roman" w:cs="Times New Roman"/>
                <w:sz w:val="24"/>
                <w:szCs w:val="24"/>
              </w:rPr>
              <w:t>0.01)</w:t>
            </w:r>
          </w:p>
        </w:tc>
        <w:tc>
          <w:tcPr>
            <w:tcW w:w="1800" w:type="dxa"/>
            <w:vMerge/>
          </w:tcPr>
          <w:p w:rsidR="00DD2A07" w:rsidRPr="005C03AD" w:rsidRDefault="00DD2A07" w:rsidP="0031339B">
            <w:pPr>
              <w:rPr>
                <w:rFonts w:ascii="Times New Roman" w:hAnsi="Times New Roman" w:cs="Times New Roman"/>
                <w:color w:val="FF0000"/>
                <w:sz w:val="24"/>
                <w:szCs w:val="24"/>
              </w:rPr>
            </w:pPr>
          </w:p>
        </w:tc>
        <w:tc>
          <w:tcPr>
            <w:tcW w:w="1710" w:type="dxa"/>
            <w:vMerge/>
          </w:tcPr>
          <w:p w:rsidR="00DD2A07" w:rsidRPr="005C03AD" w:rsidRDefault="00DD2A07" w:rsidP="0031339B">
            <w:pPr>
              <w:rPr>
                <w:rFonts w:ascii="Times New Roman" w:hAnsi="Times New Roman" w:cs="Times New Roman"/>
                <w:color w:val="FF0000"/>
                <w:sz w:val="24"/>
                <w:szCs w:val="24"/>
              </w:rPr>
            </w:pPr>
          </w:p>
        </w:tc>
        <w:tc>
          <w:tcPr>
            <w:tcW w:w="990" w:type="dxa"/>
            <w:vMerge/>
          </w:tcPr>
          <w:p w:rsidR="00DD2A07" w:rsidRPr="005C03AD" w:rsidRDefault="00DD2A07" w:rsidP="0031339B">
            <w:pPr>
              <w:rPr>
                <w:rFonts w:ascii="Times New Roman" w:hAnsi="Times New Roman" w:cs="Times New Roman"/>
                <w:color w:val="FF0000"/>
                <w:sz w:val="24"/>
                <w:szCs w:val="24"/>
              </w:rPr>
            </w:pPr>
          </w:p>
        </w:tc>
      </w:tr>
    </w:tbl>
    <w:p w:rsidR="00A935DE" w:rsidRDefault="00A935DE" w:rsidP="003014B1">
      <w:pPr>
        <w:spacing w:line="240" w:lineRule="auto"/>
        <w:jc w:val="center"/>
      </w:pPr>
    </w:p>
    <w:p w:rsidR="00BC3530" w:rsidRPr="000F6456" w:rsidRDefault="008C20E2" w:rsidP="00EE4746">
      <w:pPr>
        <w:spacing w:after="0"/>
        <w:ind w:firstLine="720"/>
        <w:jc w:val="center"/>
      </w:pPr>
      <w:r>
        <w:rPr>
          <w:rStyle w:val="A0"/>
          <w:b/>
          <w:sz w:val="24"/>
          <w:szCs w:val="24"/>
        </w:rPr>
        <w:t xml:space="preserve">Figure </w:t>
      </w:r>
      <w:r w:rsidR="00134BDB">
        <w:rPr>
          <w:rStyle w:val="A0"/>
          <w:b/>
          <w:sz w:val="24"/>
          <w:szCs w:val="24"/>
        </w:rPr>
        <w:t xml:space="preserve"> </w:t>
      </w:r>
      <w:r w:rsidR="00BC3530">
        <w:rPr>
          <w:rStyle w:val="A0"/>
          <w:b/>
          <w:sz w:val="24"/>
          <w:szCs w:val="24"/>
        </w:rPr>
        <w:t>7</w:t>
      </w:r>
      <w:r w:rsidR="00BC3530" w:rsidRPr="000F6456">
        <w:rPr>
          <w:rStyle w:val="A0"/>
          <w:b/>
          <w:sz w:val="24"/>
          <w:szCs w:val="24"/>
        </w:rPr>
        <w:t xml:space="preserve">: </w:t>
      </w:r>
      <w:r w:rsidR="00EE4746" w:rsidRPr="000F6456">
        <w:rPr>
          <w:rStyle w:val="A0"/>
          <w:sz w:val="24"/>
          <w:szCs w:val="24"/>
        </w:rPr>
        <w:t>P</w:t>
      </w:r>
      <w:r w:rsidR="00EE4746">
        <w:rPr>
          <w:rStyle w:val="A0"/>
          <w:sz w:val="24"/>
          <w:szCs w:val="24"/>
        </w:rPr>
        <w:t xml:space="preserve">rotonation and deprotonation equilibria of </w:t>
      </w:r>
      <w:r w:rsidR="00BC3530">
        <w:rPr>
          <w:rStyle w:val="A0"/>
          <w:sz w:val="24"/>
          <w:szCs w:val="24"/>
        </w:rPr>
        <w:t>TP</w:t>
      </w:r>
      <w:r w:rsidR="00BC3530" w:rsidRPr="000F6456">
        <w:rPr>
          <w:rStyle w:val="A0"/>
          <w:sz w:val="24"/>
          <w:szCs w:val="24"/>
        </w:rPr>
        <w:t>DH</w:t>
      </w:r>
    </w:p>
    <w:p w:rsidR="003014B1" w:rsidRDefault="003014B1" w:rsidP="003014B1">
      <w:pPr>
        <w:spacing w:line="240" w:lineRule="auto"/>
        <w:jc w:val="center"/>
        <w:rPr>
          <w:rFonts w:eastAsia="Calibri"/>
        </w:rPr>
      </w:pPr>
    </w:p>
    <w:p w:rsidR="00CD1968" w:rsidRPr="00CD1968" w:rsidRDefault="00BC3530" w:rsidP="00CD1968">
      <w:pPr>
        <w:spacing w:line="480" w:lineRule="auto"/>
        <w:jc w:val="both"/>
      </w:pPr>
      <w:r>
        <w:tab/>
      </w:r>
      <w:r w:rsidR="00CD1968" w:rsidRPr="00CD1968">
        <w:t xml:space="preserve">β011 and β012 represent the formation constants as illustrated in Figure 3.7, denoting the formation of monoprotonated and biprotonated TPDH species from its initially neutral state. In the optimal model, the formation constant β01-1 corresponds to the deprotonation of one of the enolic protons, leading to the creation of the LH-1 species. This particular species emerges in the solution at a pH level of approximately 8.5 and constitutes roughly 30% of the total ligand content at a pH of 10.5. In contrast, the formation constant β01-2, associated with the deprotonation of the second enolic group leading to the formation of LH-2 species, did not reach convergence. This is due to the likelihood that its equilibrium lies well beyond the </w:t>
      </w:r>
      <w:r w:rsidR="00CD1968" w:rsidRPr="00CD1968">
        <w:lastRenderedPageBreak/>
        <w:t>pH range investigated in this study. Nevertheless, in the presence of a metal ion, the ligand can also undergo the loss of the second enolic proton, resulting in the formation of both monodeprotonated and bideprotonated species, denoted as MmLlH-1 and MmLlH-2, respectively.</w:t>
      </w:r>
    </w:p>
    <w:p w:rsidR="006F32BE" w:rsidRPr="00B87871" w:rsidRDefault="006F32BE" w:rsidP="00CD1968">
      <w:pPr>
        <w:spacing w:line="480" w:lineRule="auto"/>
        <w:jc w:val="both"/>
        <w:rPr>
          <w:b/>
        </w:rPr>
      </w:pPr>
      <w:r w:rsidRPr="00B87871">
        <w:rPr>
          <w:b/>
        </w:rPr>
        <w:t xml:space="preserve">3 Protonation </w:t>
      </w:r>
      <w:r w:rsidR="007848C0" w:rsidRPr="00B87871">
        <w:rPr>
          <w:b/>
        </w:rPr>
        <w:t xml:space="preserve">equilibria </w:t>
      </w:r>
      <w:bookmarkStart w:id="0" w:name="_GoBack"/>
      <w:bookmarkEnd w:id="0"/>
      <w:r w:rsidRPr="00B87871">
        <w:rPr>
          <w:b/>
        </w:rPr>
        <w:t>of selected amino acids</w:t>
      </w:r>
      <w:r w:rsidR="00612077" w:rsidRPr="00B87871">
        <w:rPr>
          <w:b/>
        </w:rPr>
        <w:t>:</w:t>
      </w:r>
    </w:p>
    <w:p w:rsidR="0067357D" w:rsidRDefault="006F32BE" w:rsidP="007A0E3F">
      <w:pPr>
        <w:spacing w:line="480" w:lineRule="auto"/>
        <w:jc w:val="both"/>
      </w:pPr>
      <w:r>
        <w:tab/>
        <w:t>The α-</w:t>
      </w:r>
      <w:r w:rsidRPr="00224BBF">
        <w:t>amino acids</w:t>
      </w:r>
      <w:r>
        <w:t xml:space="preserve"> selected for the study were L-Proline, L-Lysine and L-Aspartic acid.  </w:t>
      </w:r>
      <w:r w:rsidR="00A76242">
        <w:t xml:space="preserve">The observed </w:t>
      </w:r>
      <w:r w:rsidR="008E4893">
        <w:t xml:space="preserve">spread </w:t>
      </w:r>
      <w:r w:rsidR="00A76242">
        <w:t>in the literature reports</w:t>
      </w:r>
      <w:r w:rsidR="005C734D">
        <w:rPr>
          <w:vertAlign w:val="superscript"/>
        </w:rPr>
        <w:t>19-24</w:t>
      </w:r>
      <w:r w:rsidR="00A76242">
        <w:t xml:space="preserve"> of the proton complex formation constants of amino acids </w:t>
      </w:r>
      <w:r w:rsidR="005F3A01">
        <w:t xml:space="preserve">by several researchers </w:t>
      </w:r>
      <w:r w:rsidR="00A76242">
        <w:t xml:space="preserve">may be due to the </w:t>
      </w:r>
      <w:r w:rsidR="008E4893">
        <w:t>use of different experimental techniques and different conditions of temperature, ionic strength</w:t>
      </w:r>
      <w:r w:rsidR="009D7A64">
        <w:t>, solvent</w:t>
      </w:r>
      <w:r w:rsidR="008E4893">
        <w:t xml:space="preserve"> etc. </w:t>
      </w:r>
      <w:r w:rsidR="009D7A64">
        <w:t xml:space="preserve"> The inconsistency in the proton stability constants even for the systems studied under identical experimental conditions may be due to the use of low precision data acquisition techniques and error</w:t>
      </w:r>
      <w:r w:rsidR="00CB3073">
        <w:t>-</w:t>
      </w:r>
      <w:r w:rsidR="009D7A64">
        <w:t xml:space="preserve">prone graphical methods of analysis. </w:t>
      </w:r>
      <w:r w:rsidR="0067357D">
        <w:t xml:space="preserve"> Therefore, t</w:t>
      </w:r>
      <w:r w:rsidRPr="005213DD">
        <w:t xml:space="preserve">he protonation constants of </w:t>
      </w:r>
      <w:r w:rsidR="0067357D">
        <w:t>proline</w:t>
      </w:r>
      <w:r w:rsidRPr="005213DD">
        <w:t xml:space="preserve">, </w:t>
      </w:r>
      <w:r w:rsidR="0067357D">
        <w:t xml:space="preserve">lysine and </w:t>
      </w:r>
      <w:r w:rsidRPr="005213DD">
        <w:t>aspartic acid</w:t>
      </w:r>
      <w:r w:rsidR="0067357D">
        <w:t>,</w:t>
      </w:r>
      <w:r w:rsidRPr="005213DD">
        <w:t xml:space="preserve"> </w:t>
      </w:r>
      <w:r>
        <w:t xml:space="preserve">although available in </w:t>
      </w:r>
      <w:r w:rsidR="0067357D">
        <w:t xml:space="preserve">the </w:t>
      </w:r>
      <w:r>
        <w:t>literature,</w:t>
      </w:r>
      <w:r w:rsidR="0067357D">
        <w:t xml:space="preserve"> were </w:t>
      </w:r>
      <w:r>
        <w:t>re</w:t>
      </w:r>
      <w:r w:rsidRPr="005213DD">
        <w:t xml:space="preserve">determined </w:t>
      </w:r>
      <w:r w:rsidR="0067357D">
        <w:t xml:space="preserve">using an auto-titrator </w:t>
      </w:r>
      <w:r w:rsidR="00A60B00">
        <w:t xml:space="preserve">attached </w:t>
      </w:r>
      <w:r w:rsidR="0067357D">
        <w:t>high precision potentiometer</w:t>
      </w:r>
      <w:r w:rsidR="00A60B00">
        <w:t xml:space="preserve"> for data acquisition </w:t>
      </w:r>
      <w:r w:rsidR="00C31408">
        <w:t>followed by the analysis adopting</w:t>
      </w:r>
      <w:r w:rsidR="0067357D">
        <w:t xml:space="preserve"> </w:t>
      </w:r>
      <w:r w:rsidR="00A60B00">
        <w:t xml:space="preserve">proven reliable </w:t>
      </w:r>
      <w:r w:rsidR="0067357D">
        <w:t>computational methods</w:t>
      </w:r>
      <w:r w:rsidR="00C31408">
        <w:t>.</w:t>
      </w:r>
      <w:r w:rsidR="00657B7F">
        <w:t xml:space="preserve">  The formation constants were determined under the same experimental conditions of temperature and ionic strength </w:t>
      </w:r>
      <w:r w:rsidR="00F23A7D">
        <w:t xml:space="preserve">that were used </w:t>
      </w:r>
      <w:r w:rsidR="00657B7F">
        <w:t xml:space="preserve">to study the binary and ternary systems. </w:t>
      </w:r>
    </w:p>
    <w:p w:rsidR="0067357D" w:rsidRDefault="00A75DD0" w:rsidP="00CD2B59">
      <w:pPr>
        <w:spacing w:after="0" w:line="240" w:lineRule="auto"/>
        <w:rPr>
          <w:b/>
        </w:rPr>
      </w:pPr>
      <w:r>
        <w:t xml:space="preserve">3.1 </w:t>
      </w:r>
      <w:r w:rsidRPr="00740045">
        <w:rPr>
          <w:b/>
        </w:rPr>
        <w:t>Acid-base equilibria</w:t>
      </w:r>
      <w:r w:rsidR="00740045">
        <w:rPr>
          <w:b/>
        </w:rPr>
        <w:t xml:space="preserve"> </w:t>
      </w:r>
      <w:r w:rsidRPr="00740045">
        <w:rPr>
          <w:b/>
        </w:rPr>
        <w:t>of</w:t>
      </w:r>
      <w:r w:rsidR="00740045">
        <w:rPr>
          <w:b/>
        </w:rPr>
        <w:t xml:space="preserve"> </w:t>
      </w:r>
      <w:r w:rsidRPr="00740045">
        <w:rPr>
          <w:b/>
        </w:rPr>
        <w:t>L-Proline:</w:t>
      </w:r>
    </w:p>
    <w:p w:rsidR="00CD2B59" w:rsidRPr="00740045" w:rsidRDefault="00CD2B59" w:rsidP="00CD2B59">
      <w:pPr>
        <w:spacing w:after="0" w:line="240" w:lineRule="auto"/>
        <w:rPr>
          <w:b/>
        </w:rPr>
      </w:pPr>
    </w:p>
    <w:p w:rsidR="00682C55" w:rsidRPr="007268B5" w:rsidRDefault="00B5302A" w:rsidP="00CD2B59">
      <w:pPr>
        <w:spacing w:after="0" w:line="480" w:lineRule="auto"/>
        <w:jc w:val="both"/>
      </w:pPr>
      <w:r>
        <w:rPr>
          <w:color w:val="212121"/>
          <w:shd w:val="clear" w:color="auto" w:fill="FFFFFF"/>
        </w:rPr>
        <w:tab/>
      </w:r>
      <w:r w:rsidR="00682C55" w:rsidRPr="007268B5">
        <w:rPr>
          <w:color w:val="212121"/>
          <w:shd w:val="clear" w:color="auto" w:fill="FFFFFF"/>
        </w:rPr>
        <w:t>Proline (2-pyrrolidine</w:t>
      </w:r>
      <w:r w:rsidR="00CB3073">
        <w:rPr>
          <w:color w:val="212121"/>
          <w:shd w:val="clear" w:color="auto" w:fill="FFFFFF"/>
        </w:rPr>
        <w:t xml:space="preserve"> </w:t>
      </w:r>
      <w:r w:rsidR="00682C55" w:rsidRPr="007268B5">
        <w:rPr>
          <w:color w:val="212121"/>
          <w:shd w:val="clear" w:color="auto" w:fill="FFFFFF"/>
        </w:rPr>
        <w:t>carboxylic acid) is a</w:t>
      </w:r>
      <w:r w:rsidR="00DB08C7">
        <w:rPr>
          <w:color w:val="212121"/>
          <w:shd w:val="clear" w:color="auto" w:fill="FFFFFF"/>
        </w:rPr>
        <w:t xml:space="preserve"> proteinogenic</w:t>
      </w:r>
      <w:r w:rsidR="00682C55" w:rsidRPr="007268B5">
        <w:rPr>
          <w:color w:val="212121"/>
          <w:shd w:val="clear" w:color="auto" w:fill="FFFFFF"/>
        </w:rPr>
        <w:t xml:space="preserve"> aliphatic α-amino acid</w:t>
      </w:r>
      <w:r w:rsidR="00CD2B59">
        <w:rPr>
          <w:color w:val="212121"/>
          <w:shd w:val="clear" w:color="auto" w:fill="FFFFFF"/>
        </w:rPr>
        <w:t xml:space="preserve"> (Fig.</w:t>
      </w:r>
      <w:r w:rsidR="00D12DE5">
        <w:rPr>
          <w:color w:val="212121"/>
          <w:shd w:val="clear" w:color="auto" w:fill="FFFFFF"/>
        </w:rPr>
        <w:t xml:space="preserve"> </w:t>
      </w:r>
      <w:r w:rsidR="000731CE">
        <w:rPr>
          <w:color w:val="212121"/>
          <w:shd w:val="clear" w:color="auto" w:fill="FFFFFF"/>
        </w:rPr>
        <w:t>8)</w:t>
      </w:r>
      <w:r w:rsidR="00682C55" w:rsidRPr="007268B5">
        <w:rPr>
          <w:color w:val="212121"/>
          <w:shd w:val="clear" w:color="auto" w:fill="FFFFFF"/>
        </w:rPr>
        <w:t xml:space="preserve">.  </w:t>
      </w:r>
      <w:r w:rsidR="00382924" w:rsidRPr="00382924">
        <w:rPr>
          <w:color w:val="2E2E30"/>
          <w:shd w:val="clear" w:color="auto" w:fill="FFFFFF"/>
        </w:rPr>
        <w:t>Since the body can produce it by breaking down another amino acid called L-glutamate, it is not necessary.  Proline is biologically changed to hydroxyproline in the presence of ascorbic acid, which is a key</w:t>
      </w:r>
      <w:r w:rsidR="00382924">
        <w:rPr>
          <w:color w:val="2E2E30"/>
          <w:shd w:val="clear" w:color="auto" w:fill="FFFFFF"/>
        </w:rPr>
        <w:t xml:space="preserve"> constituent of tissue collagen</w:t>
      </w:r>
      <w:r w:rsidR="007268B5" w:rsidRPr="007268B5">
        <w:rPr>
          <w:color w:val="2E2E30"/>
          <w:shd w:val="clear" w:color="auto" w:fill="FFFFFF"/>
        </w:rPr>
        <w:t>.</w:t>
      </w:r>
      <w:r w:rsidR="00C50EB4">
        <w:rPr>
          <w:color w:val="2E2E30"/>
          <w:shd w:val="clear" w:color="auto" w:fill="FFFFFF"/>
        </w:rPr>
        <w:t xml:space="preserve"> Proline is </w:t>
      </w:r>
      <w:r w:rsidR="004973A5">
        <w:rPr>
          <w:color w:val="2E2E30"/>
          <w:shd w:val="clear" w:color="auto" w:fill="FFFFFF"/>
        </w:rPr>
        <w:t xml:space="preserve">a </w:t>
      </w:r>
      <w:r>
        <w:rPr>
          <w:color w:val="2E2E30"/>
          <w:shd w:val="clear" w:color="auto" w:fill="FFFFFF"/>
        </w:rPr>
        <w:t xml:space="preserve">structurally </w:t>
      </w:r>
      <w:r w:rsidR="00C50EB4">
        <w:rPr>
          <w:color w:val="2E2E30"/>
          <w:shd w:val="clear" w:color="auto" w:fill="FFFFFF"/>
        </w:rPr>
        <w:t xml:space="preserve">unique </w:t>
      </w:r>
      <w:r>
        <w:rPr>
          <w:color w:val="2E2E30"/>
          <w:shd w:val="clear" w:color="auto" w:fill="FFFFFF"/>
        </w:rPr>
        <w:t xml:space="preserve">amino acid in which the </w:t>
      </w:r>
      <w:r w:rsidRPr="007268B5">
        <w:rPr>
          <w:color w:val="212121"/>
          <w:shd w:val="clear" w:color="auto" w:fill="FFFFFF"/>
        </w:rPr>
        <w:t>α</w:t>
      </w:r>
      <w:r>
        <w:rPr>
          <w:color w:val="212121"/>
          <w:shd w:val="clear" w:color="auto" w:fill="FFFFFF"/>
        </w:rPr>
        <w:t xml:space="preserve">-amino group is a part of the ring structure making it a secondary </w:t>
      </w:r>
      <w:r>
        <w:rPr>
          <w:color w:val="212121"/>
          <w:shd w:val="clear" w:color="auto" w:fill="FFFFFF"/>
        </w:rPr>
        <w:lastRenderedPageBreak/>
        <w:t xml:space="preserve">amine.  Linkage to other amino acids through the secondary amine is responsible for the bends and kinks in the shape of the </w:t>
      </w:r>
      <w:r w:rsidR="000731CE">
        <w:rPr>
          <w:color w:val="212121"/>
          <w:shd w:val="clear" w:color="auto" w:fill="FFFFFF"/>
        </w:rPr>
        <w:t>proteins</w:t>
      </w:r>
      <w:r>
        <w:rPr>
          <w:color w:val="212121"/>
          <w:shd w:val="clear" w:color="auto" w:fill="FFFFFF"/>
        </w:rPr>
        <w:t>.</w:t>
      </w:r>
      <w:r w:rsidR="000731CE">
        <w:rPr>
          <w:color w:val="212121"/>
          <w:shd w:val="clear" w:color="auto" w:fill="FFFFFF"/>
        </w:rPr>
        <w:t xml:space="preserve"> </w:t>
      </w:r>
    </w:p>
    <w:p w:rsidR="00191994" w:rsidRDefault="00191994" w:rsidP="0067357D">
      <w:pPr>
        <w:spacing w:line="240" w:lineRule="auto"/>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2375"/>
      </w:tblGrid>
      <w:tr w:rsidR="00191994" w:rsidTr="00191994">
        <w:trPr>
          <w:jc w:val="center"/>
        </w:trPr>
        <w:tc>
          <w:tcPr>
            <w:tcW w:w="2178" w:type="dxa"/>
          </w:tcPr>
          <w:p w:rsidR="00191994" w:rsidRDefault="00191994" w:rsidP="0067357D">
            <w:pPr>
              <w:jc w:val="both"/>
            </w:pPr>
            <w:r w:rsidRPr="000777B7">
              <w:rPr>
                <w:rFonts w:ascii="Times New Roman" w:eastAsiaTheme="minorHAnsi" w:hAnsi="Times New Roman" w:cs="Times New Roman"/>
                <w:sz w:val="24"/>
                <w:szCs w:val="24"/>
              </w:rPr>
              <w:object w:dxaOrig="2390" w:dyaOrig="1821">
                <v:shape id="_x0000_i1033" type="#_x0000_t75" style="width:92.25pt;height:70.5pt" o:ole="">
                  <v:imagedata r:id="rId28" o:title=""/>
                </v:shape>
                <o:OLEObject Type="Embed" ProgID="ChemDraw.Document.6.0" ShapeID="_x0000_i1033" DrawAspect="Content" ObjectID="_1756710471" r:id="rId29"/>
              </w:object>
            </w:r>
          </w:p>
        </w:tc>
        <w:tc>
          <w:tcPr>
            <w:tcW w:w="2250" w:type="dxa"/>
          </w:tcPr>
          <w:p w:rsidR="00191994" w:rsidRDefault="00191994" w:rsidP="0067357D">
            <w:pPr>
              <w:jc w:val="both"/>
            </w:pPr>
            <w:r w:rsidRPr="000777B7">
              <w:rPr>
                <w:rFonts w:ascii="Times New Roman" w:eastAsiaTheme="minorHAnsi" w:hAnsi="Times New Roman" w:cs="Times New Roman"/>
                <w:sz w:val="24"/>
                <w:szCs w:val="24"/>
              </w:rPr>
              <w:object w:dxaOrig="7317" w:dyaOrig="4857">
                <v:shape id="_x0000_i1034" type="#_x0000_t75" style="width:108pt;height:1in" o:ole="">
                  <v:imagedata r:id="rId30" o:title=""/>
                </v:shape>
                <o:OLEObject Type="Embed" ProgID="Chem3D.Document.8" ShapeID="_x0000_i1034" DrawAspect="Content" ObjectID="_1756710472" r:id="rId31"/>
              </w:object>
            </w:r>
          </w:p>
        </w:tc>
      </w:tr>
    </w:tbl>
    <w:p w:rsidR="00191994" w:rsidRDefault="00191994" w:rsidP="0067357D">
      <w:pPr>
        <w:spacing w:line="240" w:lineRule="auto"/>
        <w:jc w:val="both"/>
      </w:pPr>
    </w:p>
    <w:p w:rsidR="00191994" w:rsidRPr="00191994" w:rsidRDefault="00191994" w:rsidP="00191994">
      <w:pPr>
        <w:spacing w:line="240" w:lineRule="auto"/>
        <w:jc w:val="center"/>
        <w:rPr>
          <w:b/>
        </w:rPr>
      </w:pPr>
      <w:r w:rsidRPr="00191994">
        <w:rPr>
          <w:b/>
        </w:rPr>
        <w:t xml:space="preserve">Figure 3.8: </w:t>
      </w:r>
      <w:r>
        <w:rPr>
          <w:b/>
        </w:rPr>
        <w:t xml:space="preserve"> </w:t>
      </w:r>
      <w:r w:rsidRPr="00191994">
        <w:t>L- Proline</w:t>
      </w:r>
    </w:p>
    <w:p w:rsidR="00D0119E" w:rsidRDefault="00DB08C7" w:rsidP="007A0E3F">
      <w:pPr>
        <w:spacing w:line="480" w:lineRule="auto"/>
        <w:jc w:val="both"/>
      </w:pPr>
      <w:r>
        <w:tab/>
      </w:r>
      <w:r w:rsidR="00710AAE">
        <w:t>In aqueous solution</w:t>
      </w:r>
      <w:r w:rsidR="005F16ED">
        <w:t>,</w:t>
      </w:r>
      <w:r w:rsidR="00710AAE">
        <w:t xml:space="preserve"> proline may exist in anionic (X</w:t>
      </w:r>
      <w:r w:rsidR="00710AAE">
        <w:rPr>
          <w:vertAlign w:val="superscript"/>
        </w:rPr>
        <w:t>-</w:t>
      </w:r>
      <w:r w:rsidR="00710AAE">
        <w:t>), neutral or zwitterionic (XH) and cationic (XH</w:t>
      </w:r>
      <w:r w:rsidR="00710AAE">
        <w:rPr>
          <w:vertAlign w:val="subscript"/>
        </w:rPr>
        <w:t>2</w:t>
      </w:r>
      <w:r w:rsidR="00710AAE">
        <w:rPr>
          <w:vertAlign w:val="superscript"/>
        </w:rPr>
        <w:t>+</w:t>
      </w:r>
      <w:r w:rsidR="00710AAE">
        <w:t>) forms. The acid-base equilibria for the formation of zwitterionic and cationic forms from the most anionic for</w:t>
      </w:r>
      <w:r w:rsidR="00662936">
        <w:t>m of proline are shown in Fig.</w:t>
      </w:r>
      <w:r w:rsidR="00710AAE">
        <w:t xml:space="preserve">9.  </w:t>
      </w:r>
    </w:p>
    <w:p w:rsidR="00D0119E" w:rsidRDefault="007B6F05" w:rsidP="00D0119E">
      <w:pPr>
        <w:spacing w:line="240" w:lineRule="auto"/>
        <w:jc w:val="center"/>
      </w:pPr>
      <w:r>
        <w:object w:dxaOrig="6770" w:dyaOrig="5211">
          <v:shape id="_x0000_i1035" type="#_x0000_t75" style="width:232.5pt;height:178.5pt" o:ole="">
            <v:imagedata r:id="rId32" o:title=""/>
          </v:shape>
          <o:OLEObject Type="Embed" ProgID="ChemDraw.Document.6.0" ShapeID="_x0000_i1035" DrawAspect="Content" ObjectID="_1756710473" r:id="rId33"/>
        </w:object>
      </w:r>
    </w:p>
    <w:p w:rsidR="00D0119E" w:rsidRDefault="00EA4C32" w:rsidP="00CD2B59">
      <w:pPr>
        <w:spacing w:after="0" w:line="240" w:lineRule="auto"/>
        <w:jc w:val="center"/>
      </w:pPr>
      <w:r>
        <w:rPr>
          <w:b/>
        </w:rPr>
        <w:t xml:space="preserve">Figure </w:t>
      </w:r>
      <w:r w:rsidR="00D0119E" w:rsidRPr="00191994">
        <w:rPr>
          <w:b/>
        </w:rPr>
        <w:t>9:</w:t>
      </w:r>
      <w:r w:rsidR="00D0119E">
        <w:t xml:space="preserve"> Protonation equilibria of most anionic form of L-Proline</w:t>
      </w:r>
    </w:p>
    <w:p w:rsidR="00EA4C32" w:rsidRDefault="00EA4C32" w:rsidP="007A0E3F">
      <w:pPr>
        <w:spacing w:line="480" w:lineRule="auto"/>
        <w:jc w:val="both"/>
      </w:pPr>
    </w:p>
    <w:p w:rsidR="00710AAE" w:rsidRDefault="00D0119E" w:rsidP="007A0E3F">
      <w:pPr>
        <w:spacing w:line="480" w:lineRule="auto"/>
        <w:jc w:val="both"/>
      </w:pPr>
      <w:r>
        <w:tab/>
      </w:r>
      <w:r w:rsidR="00710AAE">
        <w:t xml:space="preserve">The potentiometric titration curves obtained for acid-base systems </w:t>
      </w:r>
      <w:r w:rsidR="00CD2B59">
        <w:t>of L-Proline are shown in Fig.</w:t>
      </w:r>
      <w:r w:rsidR="00710AAE">
        <w:t xml:space="preserve"> 3.10a.  </w:t>
      </w:r>
      <w:r w:rsidR="00DA03B8" w:rsidRPr="00DA03B8">
        <w:t>The titration of mineral acid without proline is represented by Curve 1.</w:t>
      </w:r>
      <w:r w:rsidR="00ED0A79">
        <w:t xml:space="preserve">  The titration curve for mineral acid + proline i.e</w:t>
      </w:r>
      <w:r w:rsidR="002D7458">
        <w:t>.</w:t>
      </w:r>
      <w:r w:rsidR="00ED0A79">
        <w:t xml:space="preserve"> </w:t>
      </w:r>
      <w:r w:rsidR="002D7458">
        <w:t>c</w:t>
      </w:r>
      <w:r w:rsidR="00ED0A79">
        <w:t xml:space="preserve">urve 2 is </w:t>
      </w:r>
      <w:r w:rsidR="002D7458">
        <w:t xml:space="preserve">above that of free acid in the pH region below a pH of ~4.0.   This indicates </w:t>
      </w:r>
      <w:r w:rsidR="004973A5">
        <w:t xml:space="preserve">an </w:t>
      </w:r>
      <w:r w:rsidR="002D7458">
        <w:t xml:space="preserve">association of proton to the ligand.  Above a pH of ~8.0, the titration curve of proline is below that of free acid indicating dissociation of </w:t>
      </w:r>
      <w:r w:rsidR="004973A5">
        <w:t xml:space="preserve">a </w:t>
      </w:r>
      <w:r w:rsidR="002D7458">
        <w:lastRenderedPageBreak/>
        <w:t xml:space="preserve">proton from the ligand.  Therefore, the two buffer regions corresponding to proton association and dissociation equilibria are well separated. </w:t>
      </w:r>
      <w:r w:rsidR="00940D35">
        <w:t xml:space="preserve"> </w:t>
      </w:r>
    </w:p>
    <w:p w:rsidR="00CD2B59" w:rsidRPr="00940D35" w:rsidRDefault="00CD2B59" w:rsidP="007A0E3F">
      <w:pPr>
        <w:spacing w:line="480" w:lineRule="auto"/>
        <w:jc w:val="both"/>
      </w:pPr>
      <w:r>
        <w:tab/>
      </w:r>
      <w:r w:rsidR="00280B90" w:rsidRPr="00280B90">
        <w:t xml:space="preserve">Miniquad-75 program18 was used to analyze the titration data, and Table 3 displays the best-fit model that was found.   </w:t>
      </w:r>
    </w:p>
    <w:tbl>
      <w:tblPr>
        <w:tblW w:w="7749" w:type="dxa"/>
        <w:jc w:val="center"/>
        <w:tblLook w:val="04A0"/>
      </w:tblPr>
      <w:tblGrid>
        <w:gridCol w:w="647"/>
        <w:gridCol w:w="2300"/>
        <w:gridCol w:w="1397"/>
        <w:gridCol w:w="1067"/>
        <w:gridCol w:w="2316"/>
        <w:gridCol w:w="22"/>
      </w:tblGrid>
      <w:tr w:rsidR="00D9648B" w:rsidRPr="003C307D" w:rsidTr="00D9648B">
        <w:trPr>
          <w:trHeight w:val="3137"/>
          <w:jc w:val="center"/>
        </w:trPr>
        <w:tc>
          <w:tcPr>
            <w:tcW w:w="4344" w:type="dxa"/>
            <w:gridSpan w:val="3"/>
          </w:tcPr>
          <w:p w:rsidR="00D9648B" w:rsidRPr="003C307D" w:rsidRDefault="00D9648B" w:rsidP="00D9648B">
            <w:pPr>
              <w:spacing w:after="0" w:line="240" w:lineRule="auto"/>
              <w:jc w:val="center"/>
              <w:rPr>
                <w:sz w:val="20"/>
                <w:szCs w:val="20"/>
              </w:rPr>
            </w:pPr>
            <w:r>
              <w:rPr>
                <w:noProof/>
                <w:sz w:val="20"/>
                <w:szCs w:val="20"/>
                <w:lang w:val="en-US"/>
              </w:rPr>
              <w:drawing>
                <wp:inline distT="0" distB="0" distL="0" distR="0">
                  <wp:extent cx="2560946"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2563713" cy="1990969"/>
                          </a:xfrm>
                          <a:prstGeom prst="rect">
                            <a:avLst/>
                          </a:prstGeom>
                          <a:noFill/>
                          <a:ln w="9525">
                            <a:noFill/>
                            <a:miter lim="800000"/>
                            <a:headEnd/>
                            <a:tailEnd/>
                          </a:ln>
                        </pic:spPr>
                      </pic:pic>
                    </a:graphicData>
                  </a:graphic>
                </wp:inline>
              </w:drawing>
            </w:r>
          </w:p>
        </w:tc>
        <w:tc>
          <w:tcPr>
            <w:tcW w:w="3405" w:type="dxa"/>
            <w:gridSpan w:val="3"/>
          </w:tcPr>
          <w:p w:rsidR="00D9648B" w:rsidRPr="003C307D" w:rsidRDefault="00D9648B" w:rsidP="00D9648B">
            <w:pPr>
              <w:spacing w:after="0" w:line="240" w:lineRule="auto"/>
              <w:jc w:val="center"/>
              <w:rPr>
                <w:sz w:val="20"/>
                <w:szCs w:val="20"/>
              </w:rPr>
            </w:pPr>
            <w:r w:rsidRPr="0044163B">
              <w:rPr>
                <w:noProof/>
                <w:sz w:val="20"/>
                <w:szCs w:val="20"/>
                <w:lang w:val="en-US"/>
              </w:rPr>
              <w:drawing>
                <wp:inline distT="0" distB="0" distL="0" distR="0">
                  <wp:extent cx="1790700" cy="1870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1801552" cy="1882218"/>
                          </a:xfrm>
                          <a:prstGeom prst="rect">
                            <a:avLst/>
                          </a:prstGeom>
                          <a:noFill/>
                          <a:ln w="9525">
                            <a:noFill/>
                            <a:miter lim="800000"/>
                            <a:headEnd/>
                            <a:tailEnd/>
                          </a:ln>
                        </pic:spPr>
                      </pic:pic>
                    </a:graphicData>
                  </a:graphic>
                </wp:inline>
              </w:drawing>
            </w:r>
          </w:p>
        </w:tc>
      </w:tr>
      <w:tr w:rsidR="00D9648B" w:rsidRPr="003C307D" w:rsidTr="00D9648B">
        <w:trPr>
          <w:trHeight w:val="140"/>
          <w:jc w:val="center"/>
        </w:trPr>
        <w:tc>
          <w:tcPr>
            <w:tcW w:w="647" w:type="dxa"/>
          </w:tcPr>
          <w:p w:rsidR="00D9648B" w:rsidRPr="003C307D" w:rsidRDefault="00D9648B" w:rsidP="00D9648B">
            <w:pPr>
              <w:spacing w:after="0" w:line="240" w:lineRule="auto"/>
              <w:jc w:val="right"/>
              <w:rPr>
                <w:sz w:val="20"/>
                <w:szCs w:val="20"/>
              </w:rPr>
            </w:pPr>
            <w:r w:rsidRPr="003C307D">
              <w:rPr>
                <w:sz w:val="20"/>
                <w:szCs w:val="20"/>
              </w:rPr>
              <w:t>a.</w:t>
            </w:r>
          </w:p>
        </w:tc>
        <w:tc>
          <w:tcPr>
            <w:tcW w:w="3697" w:type="dxa"/>
            <w:gridSpan w:val="2"/>
          </w:tcPr>
          <w:p w:rsidR="00D9648B" w:rsidRPr="003C307D" w:rsidRDefault="00D9648B" w:rsidP="00D9648B">
            <w:pPr>
              <w:spacing w:after="0" w:line="240" w:lineRule="auto"/>
              <w:ind w:left="-72"/>
              <w:rPr>
                <w:sz w:val="20"/>
                <w:szCs w:val="20"/>
              </w:rPr>
            </w:pPr>
            <w:r w:rsidRPr="003C307D">
              <w:rPr>
                <w:sz w:val="20"/>
                <w:szCs w:val="20"/>
              </w:rPr>
              <w:t>1.  Titration curve of free mineral acid</w:t>
            </w:r>
          </w:p>
        </w:tc>
        <w:tc>
          <w:tcPr>
            <w:tcW w:w="3405" w:type="dxa"/>
            <w:gridSpan w:val="3"/>
          </w:tcPr>
          <w:p w:rsidR="00D9648B" w:rsidRPr="003C307D" w:rsidRDefault="00D9648B" w:rsidP="00D9648B">
            <w:pPr>
              <w:spacing w:after="0" w:line="240" w:lineRule="auto"/>
              <w:jc w:val="center"/>
              <w:rPr>
                <w:sz w:val="20"/>
                <w:szCs w:val="20"/>
              </w:rPr>
            </w:pPr>
            <w:r w:rsidRPr="003C307D">
              <w:rPr>
                <w:sz w:val="20"/>
                <w:szCs w:val="20"/>
              </w:rPr>
              <w:t>b. Species distribution diagram</w:t>
            </w:r>
          </w:p>
        </w:tc>
      </w:tr>
      <w:tr w:rsidR="00D9648B" w:rsidRPr="003C307D" w:rsidTr="00D9648B">
        <w:trPr>
          <w:trHeight w:val="167"/>
          <w:jc w:val="center"/>
        </w:trPr>
        <w:tc>
          <w:tcPr>
            <w:tcW w:w="647" w:type="dxa"/>
          </w:tcPr>
          <w:p w:rsidR="00D9648B" w:rsidRPr="003C307D" w:rsidRDefault="00D9648B" w:rsidP="00D9648B">
            <w:pPr>
              <w:spacing w:after="0" w:line="240" w:lineRule="auto"/>
              <w:jc w:val="center"/>
              <w:rPr>
                <w:b/>
                <w:sz w:val="20"/>
                <w:szCs w:val="20"/>
              </w:rPr>
            </w:pPr>
          </w:p>
        </w:tc>
        <w:tc>
          <w:tcPr>
            <w:tcW w:w="3697" w:type="dxa"/>
            <w:gridSpan w:val="2"/>
          </w:tcPr>
          <w:p w:rsidR="00D9648B" w:rsidRPr="003C307D" w:rsidRDefault="00D9648B" w:rsidP="00D9648B">
            <w:pPr>
              <w:spacing w:after="0" w:line="240" w:lineRule="auto"/>
              <w:ind w:left="-72"/>
              <w:rPr>
                <w:sz w:val="20"/>
                <w:szCs w:val="20"/>
              </w:rPr>
            </w:pPr>
            <w:r>
              <w:rPr>
                <w:sz w:val="20"/>
                <w:szCs w:val="20"/>
              </w:rPr>
              <w:t>2.  Titration curve for acid + Proline</w:t>
            </w:r>
          </w:p>
        </w:tc>
        <w:tc>
          <w:tcPr>
            <w:tcW w:w="3405" w:type="dxa"/>
            <w:gridSpan w:val="3"/>
          </w:tcPr>
          <w:p w:rsidR="00D9648B" w:rsidRPr="003C307D" w:rsidRDefault="00D9648B" w:rsidP="00D9648B">
            <w:pPr>
              <w:spacing w:after="0" w:line="240" w:lineRule="auto"/>
              <w:jc w:val="center"/>
              <w:rPr>
                <w:sz w:val="20"/>
                <w:szCs w:val="20"/>
              </w:rPr>
            </w:pPr>
          </w:p>
        </w:tc>
      </w:tr>
      <w:tr w:rsidR="00D9648B" w:rsidRPr="003C307D" w:rsidTr="00D9648B">
        <w:trPr>
          <w:gridAfter w:val="1"/>
          <w:wAfter w:w="22" w:type="dxa"/>
          <w:trHeight w:val="203"/>
          <w:jc w:val="center"/>
        </w:trPr>
        <w:tc>
          <w:tcPr>
            <w:tcW w:w="2947" w:type="dxa"/>
            <w:gridSpan w:val="2"/>
          </w:tcPr>
          <w:p w:rsidR="00D9648B" w:rsidRPr="003C307D" w:rsidRDefault="00D9648B" w:rsidP="00D9648B">
            <w:pPr>
              <w:tabs>
                <w:tab w:val="left" w:pos="3420"/>
              </w:tabs>
              <w:spacing w:after="0" w:line="240" w:lineRule="auto"/>
              <w:jc w:val="center"/>
              <w:rPr>
                <w:sz w:val="20"/>
                <w:szCs w:val="20"/>
              </w:rPr>
            </w:pPr>
            <w:r>
              <w:rPr>
                <w:sz w:val="20"/>
                <w:szCs w:val="20"/>
              </w:rPr>
              <w:t xml:space="preserve">    [Proline</w:t>
            </w:r>
            <w:r w:rsidRPr="003C307D">
              <w:rPr>
                <w:sz w:val="20"/>
                <w:szCs w:val="20"/>
              </w:rPr>
              <w:t>] =  0.0</w:t>
            </w:r>
            <w:r>
              <w:rPr>
                <w:sz w:val="20"/>
                <w:szCs w:val="20"/>
              </w:rPr>
              <w:t>100</w:t>
            </w:r>
            <w:r w:rsidRPr="003C307D">
              <w:rPr>
                <w:sz w:val="20"/>
                <w:szCs w:val="20"/>
              </w:rPr>
              <w:t xml:space="preserve"> mol dm</w:t>
            </w:r>
            <w:r w:rsidRPr="003C307D">
              <w:rPr>
                <w:sz w:val="20"/>
                <w:szCs w:val="20"/>
                <w:vertAlign w:val="superscript"/>
              </w:rPr>
              <w:t>-3</w:t>
            </w:r>
          </w:p>
        </w:tc>
        <w:tc>
          <w:tcPr>
            <w:tcW w:w="2464" w:type="dxa"/>
            <w:gridSpan w:val="2"/>
          </w:tcPr>
          <w:p w:rsidR="00D9648B" w:rsidRPr="003C307D" w:rsidRDefault="00D9648B" w:rsidP="00D9648B">
            <w:pPr>
              <w:spacing w:after="0" w:line="240" w:lineRule="auto"/>
              <w:jc w:val="center"/>
              <w:rPr>
                <w:sz w:val="20"/>
                <w:szCs w:val="20"/>
              </w:rPr>
            </w:pPr>
            <w:r w:rsidRPr="003C307D">
              <w:rPr>
                <w:sz w:val="20"/>
                <w:szCs w:val="20"/>
              </w:rPr>
              <w:t xml:space="preserve">[HCl] </w:t>
            </w:r>
            <w:r>
              <w:rPr>
                <w:sz w:val="20"/>
                <w:szCs w:val="20"/>
              </w:rPr>
              <w:t xml:space="preserve">=0.03495 </w:t>
            </w:r>
            <w:r w:rsidRPr="003C307D">
              <w:rPr>
                <w:sz w:val="20"/>
                <w:szCs w:val="20"/>
              </w:rPr>
              <w:t>mol dm</w:t>
            </w:r>
            <w:r w:rsidRPr="003C307D">
              <w:rPr>
                <w:sz w:val="20"/>
                <w:szCs w:val="20"/>
                <w:vertAlign w:val="superscript"/>
              </w:rPr>
              <w:t>-3</w:t>
            </w:r>
          </w:p>
        </w:tc>
        <w:tc>
          <w:tcPr>
            <w:tcW w:w="2316" w:type="dxa"/>
          </w:tcPr>
          <w:p w:rsidR="00D9648B" w:rsidRPr="003C307D" w:rsidRDefault="00D9648B" w:rsidP="00D9648B">
            <w:pPr>
              <w:spacing w:after="0" w:line="240" w:lineRule="auto"/>
              <w:jc w:val="center"/>
              <w:rPr>
                <w:sz w:val="20"/>
                <w:szCs w:val="20"/>
              </w:rPr>
            </w:pPr>
            <w:r>
              <w:rPr>
                <w:sz w:val="20"/>
                <w:szCs w:val="20"/>
              </w:rPr>
              <w:t>[K</w:t>
            </w:r>
            <w:r w:rsidRPr="003C307D">
              <w:rPr>
                <w:sz w:val="20"/>
                <w:szCs w:val="20"/>
              </w:rPr>
              <w:t>OH</w:t>
            </w:r>
            <w:r>
              <w:rPr>
                <w:sz w:val="20"/>
                <w:szCs w:val="20"/>
              </w:rPr>
              <w:t xml:space="preserve"> ]= 0.1939</w:t>
            </w:r>
            <w:r w:rsidRPr="003C307D">
              <w:rPr>
                <w:sz w:val="20"/>
                <w:szCs w:val="20"/>
              </w:rPr>
              <w:t xml:space="preserve"> moldm</w:t>
            </w:r>
            <w:r w:rsidRPr="003C307D">
              <w:rPr>
                <w:sz w:val="20"/>
                <w:szCs w:val="20"/>
                <w:vertAlign w:val="superscript"/>
              </w:rPr>
              <w:t>-3</w:t>
            </w:r>
          </w:p>
        </w:tc>
      </w:tr>
      <w:tr w:rsidR="00D9648B" w:rsidRPr="003C307D" w:rsidTr="00D9648B">
        <w:trPr>
          <w:gridAfter w:val="1"/>
          <w:wAfter w:w="22" w:type="dxa"/>
          <w:trHeight w:val="140"/>
          <w:jc w:val="center"/>
        </w:trPr>
        <w:tc>
          <w:tcPr>
            <w:tcW w:w="2947" w:type="dxa"/>
            <w:gridSpan w:val="2"/>
          </w:tcPr>
          <w:p w:rsidR="00D9648B" w:rsidRPr="003C307D" w:rsidRDefault="00D9648B" w:rsidP="00D9648B">
            <w:pPr>
              <w:spacing w:after="0" w:line="240" w:lineRule="auto"/>
              <w:jc w:val="center"/>
              <w:rPr>
                <w:sz w:val="20"/>
                <w:szCs w:val="20"/>
              </w:rPr>
            </w:pPr>
            <w:r>
              <w:rPr>
                <w:sz w:val="20"/>
                <w:szCs w:val="20"/>
              </w:rPr>
              <w:t>Temp..=</w:t>
            </w:r>
            <w:r w:rsidRPr="003C307D">
              <w:rPr>
                <w:sz w:val="20"/>
                <w:szCs w:val="20"/>
              </w:rPr>
              <w:t xml:space="preserve"> 30.0 ±0. 1</w:t>
            </w:r>
            <w:r w:rsidRPr="003C307D">
              <w:rPr>
                <w:sz w:val="20"/>
                <w:szCs w:val="20"/>
                <w:vertAlign w:val="superscript"/>
              </w:rPr>
              <w:t>0</w:t>
            </w:r>
            <w:r w:rsidRPr="003C307D">
              <w:rPr>
                <w:sz w:val="20"/>
                <w:szCs w:val="20"/>
              </w:rPr>
              <w:t>C</w:t>
            </w:r>
          </w:p>
        </w:tc>
        <w:tc>
          <w:tcPr>
            <w:tcW w:w="2464" w:type="dxa"/>
            <w:gridSpan w:val="2"/>
          </w:tcPr>
          <w:p w:rsidR="00D9648B" w:rsidRPr="003C307D" w:rsidRDefault="00D9648B" w:rsidP="00D9648B">
            <w:pPr>
              <w:spacing w:after="0" w:line="240" w:lineRule="auto"/>
              <w:jc w:val="center"/>
              <w:rPr>
                <w:sz w:val="20"/>
                <w:szCs w:val="20"/>
              </w:rPr>
            </w:pPr>
            <w:r w:rsidRPr="003C307D">
              <w:rPr>
                <w:sz w:val="20"/>
                <w:szCs w:val="20"/>
              </w:rPr>
              <w:t>Total volume= 50.0 cm</w:t>
            </w:r>
            <w:r w:rsidRPr="003C307D">
              <w:rPr>
                <w:sz w:val="20"/>
                <w:szCs w:val="20"/>
                <w:vertAlign w:val="superscript"/>
              </w:rPr>
              <w:t>3</w:t>
            </w:r>
          </w:p>
        </w:tc>
        <w:tc>
          <w:tcPr>
            <w:tcW w:w="2316" w:type="dxa"/>
          </w:tcPr>
          <w:p w:rsidR="00D9648B" w:rsidRPr="003C307D" w:rsidRDefault="00D9648B" w:rsidP="00D9648B">
            <w:pPr>
              <w:spacing w:after="0" w:line="240" w:lineRule="auto"/>
              <w:jc w:val="center"/>
              <w:rPr>
                <w:sz w:val="20"/>
                <w:szCs w:val="20"/>
              </w:rPr>
            </w:pPr>
            <w:r w:rsidRPr="003C307D">
              <w:rPr>
                <w:i/>
                <w:sz w:val="20"/>
                <w:szCs w:val="20"/>
              </w:rPr>
              <w:t>I</w:t>
            </w:r>
            <w:r w:rsidRPr="003C307D">
              <w:rPr>
                <w:sz w:val="20"/>
                <w:szCs w:val="20"/>
              </w:rPr>
              <w:t xml:space="preserve"> = 0.1 mol dm</w:t>
            </w:r>
            <w:r w:rsidRPr="003C307D">
              <w:rPr>
                <w:sz w:val="20"/>
                <w:szCs w:val="20"/>
                <w:vertAlign w:val="superscript"/>
              </w:rPr>
              <w:t>-3</w:t>
            </w:r>
            <w:r>
              <w:rPr>
                <w:sz w:val="20"/>
                <w:szCs w:val="20"/>
              </w:rPr>
              <w:t xml:space="preserve"> K</w:t>
            </w:r>
            <w:r w:rsidRPr="003C307D">
              <w:rPr>
                <w:sz w:val="20"/>
                <w:szCs w:val="20"/>
              </w:rPr>
              <w:t>Cl</w:t>
            </w:r>
          </w:p>
        </w:tc>
      </w:tr>
      <w:tr w:rsidR="00D9648B" w:rsidRPr="003C307D" w:rsidTr="00D9648B">
        <w:trPr>
          <w:gridAfter w:val="1"/>
          <w:wAfter w:w="22" w:type="dxa"/>
          <w:trHeight w:val="140"/>
          <w:jc w:val="center"/>
        </w:trPr>
        <w:tc>
          <w:tcPr>
            <w:tcW w:w="7727" w:type="dxa"/>
            <w:gridSpan w:val="5"/>
          </w:tcPr>
          <w:p w:rsidR="00D9648B" w:rsidRDefault="00D9648B" w:rsidP="00D9648B">
            <w:pPr>
              <w:spacing w:after="0" w:line="240" w:lineRule="auto"/>
              <w:jc w:val="center"/>
              <w:rPr>
                <w:sz w:val="20"/>
                <w:szCs w:val="20"/>
              </w:rPr>
            </w:pPr>
          </w:p>
          <w:p w:rsidR="00D9648B" w:rsidRPr="00EC5FC4" w:rsidRDefault="00EA4C32" w:rsidP="005F16ED">
            <w:pPr>
              <w:spacing w:after="0" w:line="240" w:lineRule="auto"/>
              <w:jc w:val="center"/>
              <w:rPr>
                <w:i/>
              </w:rPr>
            </w:pPr>
            <w:r>
              <w:rPr>
                <w:b/>
              </w:rPr>
              <w:t xml:space="preserve">Figure </w:t>
            </w:r>
            <w:r w:rsidR="00D9648B" w:rsidRPr="00EC5FC4">
              <w:rPr>
                <w:b/>
              </w:rPr>
              <w:t>10</w:t>
            </w:r>
            <w:r w:rsidR="00D9648B" w:rsidRPr="00EC5FC4">
              <w:t>: PROTON-LIGAND SYSTEM OF L-Proline</w:t>
            </w:r>
          </w:p>
        </w:tc>
      </w:tr>
    </w:tbl>
    <w:p w:rsidR="00CD2B59" w:rsidRDefault="00CD2B59" w:rsidP="00D94072">
      <w:pPr>
        <w:spacing w:after="0" w:line="240" w:lineRule="auto"/>
        <w:jc w:val="center"/>
        <w:rPr>
          <w:b/>
        </w:rPr>
      </w:pPr>
    </w:p>
    <w:p w:rsidR="00CD2B59" w:rsidRDefault="00CD2B59" w:rsidP="00D94072">
      <w:pPr>
        <w:spacing w:after="0" w:line="240" w:lineRule="auto"/>
        <w:jc w:val="center"/>
        <w:rPr>
          <w:b/>
        </w:rPr>
      </w:pPr>
    </w:p>
    <w:p w:rsidR="00682988" w:rsidRDefault="00EA4C32" w:rsidP="00D94072">
      <w:pPr>
        <w:spacing w:after="0" w:line="240" w:lineRule="auto"/>
        <w:jc w:val="center"/>
      </w:pPr>
      <w:r>
        <w:rPr>
          <w:b/>
        </w:rPr>
        <w:t xml:space="preserve">Table </w:t>
      </w:r>
      <w:r w:rsidR="00AA45EA">
        <w:rPr>
          <w:b/>
        </w:rPr>
        <w:t>3</w:t>
      </w:r>
      <w:r w:rsidR="00D94072" w:rsidRPr="00377912">
        <w:rPr>
          <w:b/>
        </w:rPr>
        <w:t xml:space="preserve">:  </w:t>
      </w:r>
      <w:r w:rsidR="00D94072" w:rsidRPr="00377912">
        <w:t>Best</w:t>
      </w:r>
      <w:r w:rsidR="00682988">
        <w:t>-</w:t>
      </w:r>
      <w:r w:rsidR="00D94072" w:rsidRPr="00377912">
        <w:t>fit chemical model for acid</w:t>
      </w:r>
      <w:r w:rsidR="00692867">
        <w:t>-base</w:t>
      </w:r>
      <w:r w:rsidR="00D94072" w:rsidRPr="00377912">
        <w:t xml:space="preserve"> equilibria of</w:t>
      </w:r>
    </w:p>
    <w:p w:rsidR="00D94072" w:rsidRDefault="00D94072" w:rsidP="00D94072">
      <w:pPr>
        <w:spacing w:after="0" w:line="240" w:lineRule="auto"/>
        <w:jc w:val="center"/>
      </w:pPr>
      <w:r w:rsidRPr="00377912">
        <w:t xml:space="preserve"> </w:t>
      </w:r>
      <w:r>
        <w:t>L-Proline</w:t>
      </w:r>
      <w:r w:rsidRPr="00377912">
        <w:t xml:space="preserve"> in </w:t>
      </w:r>
      <w:r w:rsidR="00682988">
        <w:t>the a</w:t>
      </w:r>
      <w:r w:rsidRPr="00377912">
        <w:t xml:space="preserve">queous medium.  </w:t>
      </w:r>
    </w:p>
    <w:p w:rsidR="00D94072" w:rsidRDefault="00D94072" w:rsidP="00D94072">
      <w:pPr>
        <w:spacing w:after="0" w:line="240" w:lineRule="auto"/>
        <w:jc w:val="center"/>
      </w:pPr>
      <w:r w:rsidRPr="00377912">
        <w:t>Temp. = 30.0 ± 0.1°C</w:t>
      </w:r>
      <w:r>
        <w:t xml:space="preserve"> </w:t>
      </w:r>
      <w:r w:rsidRPr="00377912">
        <w:t xml:space="preserve">and ionic strength, </w:t>
      </w:r>
      <w:r w:rsidRPr="00377912">
        <w:rPr>
          <w:i/>
        </w:rPr>
        <w:t>I</w:t>
      </w:r>
      <w:r w:rsidRPr="00377912">
        <w:t xml:space="preserve"> = 0.1 mol dm</w:t>
      </w:r>
      <w:r w:rsidRPr="00377912">
        <w:rPr>
          <w:vertAlign w:val="superscript"/>
        </w:rPr>
        <w:t>–3</w:t>
      </w:r>
      <w:r w:rsidRPr="00377912">
        <w:t> (</w:t>
      </w:r>
      <w:r>
        <w:t>K</w:t>
      </w:r>
      <w:r w:rsidRPr="00377912">
        <w:t>Cl)</w:t>
      </w:r>
    </w:p>
    <w:p w:rsidR="00D94072" w:rsidRPr="00377912" w:rsidRDefault="00D94072" w:rsidP="00D94072">
      <w:pPr>
        <w:spacing w:after="0" w:line="240" w:lineRule="auto"/>
        <w:jc w:val="cente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30"/>
        <w:gridCol w:w="1800"/>
        <w:gridCol w:w="1710"/>
        <w:gridCol w:w="990"/>
      </w:tblGrid>
      <w:tr w:rsidR="00D94072" w:rsidRPr="00377912" w:rsidTr="0031339B">
        <w:trPr>
          <w:jc w:val="center"/>
        </w:trPr>
        <w:tc>
          <w:tcPr>
            <w:tcW w:w="1188" w:type="dxa"/>
          </w:tcPr>
          <w:p w:rsidR="00D94072" w:rsidRPr="00377912" w:rsidRDefault="00D94072" w:rsidP="0031339B">
            <w:pPr>
              <w:jc w:val="center"/>
              <w:rPr>
                <w:rFonts w:ascii="Times New Roman" w:hAnsi="Times New Roman" w:cs="Times New Roman"/>
                <w:sz w:val="24"/>
                <w:szCs w:val="24"/>
              </w:rPr>
            </w:pPr>
            <w:r w:rsidRPr="00377912">
              <w:rPr>
                <w:rFonts w:ascii="Times New Roman" w:hAnsi="Times New Roman" w:cs="Times New Roman"/>
                <w:sz w:val="24"/>
                <w:szCs w:val="24"/>
              </w:rPr>
              <w:t>Species</w:t>
            </w:r>
          </w:p>
          <w:p w:rsidR="00D94072" w:rsidRPr="00377912" w:rsidRDefault="00D94072" w:rsidP="0031339B">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530" w:type="dxa"/>
          </w:tcPr>
          <w:p w:rsidR="00D94072" w:rsidRPr="00377912" w:rsidRDefault="00E17247" w:rsidP="0031339B">
            <w:pPr>
              <w:jc w:val="center"/>
              <w:rPr>
                <w:rFonts w:ascii="Times New Roman" w:hAnsi="Times New Roman" w:cs="Times New Roman"/>
                <w:sz w:val="24"/>
                <w:szCs w:val="24"/>
              </w:rPr>
            </w:pPr>
            <w:r w:rsidRPr="00E17247">
              <w:rPr>
                <w:rFonts w:ascii="Times New Roman" w:hAnsi="Times New Roman" w:cs="Times New Roman"/>
                <w:i/>
                <w:sz w:val="24"/>
                <w:szCs w:val="24"/>
              </w:rPr>
              <w:t>l</w:t>
            </w:r>
            <w:r w:rsidR="00D94072" w:rsidRPr="00377912">
              <w:rPr>
                <w:rFonts w:ascii="Times New Roman" w:hAnsi="Times New Roman" w:cs="Times New Roman"/>
                <w:i/>
                <w:sz w:val="24"/>
                <w:szCs w:val="24"/>
              </w:rPr>
              <w:t>og β</w:t>
            </w:r>
            <w:r w:rsidR="00D94072" w:rsidRPr="00377912">
              <w:rPr>
                <w:rFonts w:ascii="Times New Roman" w:hAnsi="Times New Roman" w:cs="Times New Roman"/>
                <w:i/>
                <w:sz w:val="24"/>
                <w:szCs w:val="24"/>
                <w:vertAlign w:val="subscript"/>
              </w:rPr>
              <w:t xml:space="preserve">0lh </w:t>
            </w:r>
            <w:r w:rsidR="00D94072" w:rsidRPr="00377912">
              <w:rPr>
                <w:rFonts w:ascii="Times New Roman" w:hAnsi="Times New Roman" w:cs="Times New Roman"/>
                <w:i/>
                <w:sz w:val="24"/>
                <w:szCs w:val="24"/>
              </w:rPr>
              <w:t>(SD)</w:t>
            </w:r>
          </w:p>
        </w:tc>
        <w:tc>
          <w:tcPr>
            <w:tcW w:w="1800" w:type="dxa"/>
          </w:tcPr>
          <w:p w:rsidR="00D94072" w:rsidRDefault="00D94072" w:rsidP="0031339B">
            <w:pPr>
              <w:jc w:val="center"/>
              <w:rPr>
                <w:rFonts w:ascii="Times New Roman" w:hAnsi="Times New Roman" w:cs="Times New Roman"/>
                <w:sz w:val="24"/>
                <w:szCs w:val="24"/>
              </w:rPr>
            </w:pPr>
            <w:r w:rsidRPr="00377912">
              <w:rPr>
                <w:rFonts w:ascii="Times New Roman" w:hAnsi="Times New Roman" w:cs="Times New Roman"/>
                <w:sz w:val="24"/>
                <w:szCs w:val="24"/>
              </w:rPr>
              <w:t>Number of experimental points analysed</w:t>
            </w:r>
            <w:r w:rsidR="00E17247">
              <w:rPr>
                <w:rFonts w:ascii="Times New Roman" w:hAnsi="Times New Roman" w:cs="Times New Roman"/>
                <w:sz w:val="24"/>
                <w:szCs w:val="24"/>
              </w:rPr>
              <w:t>,</w:t>
            </w:r>
          </w:p>
          <w:p w:rsidR="00E17247" w:rsidRPr="00377912" w:rsidRDefault="00E17247" w:rsidP="0031339B">
            <w:pPr>
              <w:jc w:val="center"/>
              <w:rPr>
                <w:rFonts w:ascii="Times New Roman" w:hAnsi="Times New Roman" w:cs="Times New Roman"/>
                <w:sz w:val="24"/>
                <w:szCs w:val="24"/>
              </w:rPr>
            </w:pPr>
            <w:r>
              <w:rPr>
                <w:rFonts w:ascii="Times New Roman" w:hAnsi="Times New Roman" w:cs="Times New Roman"/>
                <w:sz w:val="24"/>
                <w:szCs w:val="24"/>
              </w:rPr>
              <w:t>NP</w:t>
            </w:r>
          </w:p>
        </w:tc>
        <w:tc>
          <w:tcPr>
            <w:tcW w:w="1710" w:type="dxa"/>
          </w:tcPr>
          <w:p w:rsidR="00D94072" w:rsidRPr="00377912" w:rsidRDefault="00D94072" w:rsidP="0031339B">
            <w:pPr>
              <w:jc w:val="center"/>
              <w:rPr>
                <w:rFonts w:ascii="Times New Roman" w:hAnsi="Times New Roman" w:cs="Times New Roman"/>
                <w:sz w:val="24"/>
                <w:szCs w:val="24"/>
                <w:vertAlign w:val="superscript"/>
              </w:rPr>
            </w:pPr>
            <w:r w:rsidRPr="00377912">
              <w:rPr>
                <w:rFonts w:ascii="Times New Roman" w:hAnsi="Times New Roman" w:cs="Times New Roman"/>
                <w:sz w:val="24"/>
                <w:szCs w:val="24"/>
              </w:rPr>
              <w:t>Sum of the squares of residuals, U</w:t>
            </w:r>
            <w:r w:rsidR="00E17247">
              <w:rPr>
                <w:rFonts w:ascii="Times New Roman" w:hAnsi="Times New Roman" w:cs="Times New Roman"/>
                <w:sz w:val="24"/>
                <w:szCs w:val="24"/>
              </w:rPr>
              <w:t>/NP</w:t>
            </w:r>
            <w:r w:rsidRPr="00377912">
              <w:rPr>
                <w:rFonts w:ascii="Times New Roman" w:hAnsi="Times New Roman" w:cs="Times New Roman"/>
                <w:sz w:val="24"/>
                <w:szCs w:val="24"/>
              </w:rPr>
              <w:t xml:space="preserve"> </w:t>
            </w:r>
          </w:p>
        </w:tc>
        <w:tc>
          <w:tcPr>
            <w:tcW w:w="990" w:type="dxa"/>
          </w:tcPr>
          <w:p w:rsidR="00D94072" w:rsidRPr="00377912" w:rsidRDefault="00D94072" w:rsidP="0031339B">
            <w:pPr>
              <w:jc w:val="center"/>
              <w:rPr>
                <w:rFonts w:ascii="Times New Roman" w:hAnsi="Times New Roman" w:cs="Times New Roman"/>
                <w:sz w:val="24"/>
                <w:szCs w:val="24"/>
              </w:rPr>
            </w:pPr>
            <w:r w:rsidRPr="00377912">
              <w:rPr>
                <w:rFonts w:ascii="Times New Roman" w:hAnsi="Times New Roman" w:cs="Times New Roman"/>
                <w:sz w:val="24"/>
                <w:szCs w:val="24"/>
              </w:rPr>
              <w:t>χ</w:t>
            </w:r>
            <w:r w:rsidRPr="00377912">
              <w:rPr>
                <w:rFonts w:ascii="Times New Roman" w:hAnsi="Times New Roman" w:cs="Times New Roman"/>
                <w:sz w:val="24"/>
                <w:szCs w:val="24"/>
                <w:vertAlign w:val="superscript"/>
              </w:rPr>
              <w:t>2</w:t>
            </w:r>
          </w:p>
        </w:tc>
      </w:tr>
      <w:tr w:rsidR="00D94072" w:rsidRPr="00377912" w:rsidTr="0031339B">
        <w:trPr>
          <w:jc w:val="center"/>
        </w:trPr>
        <w:tc>
          <w:tcPr>
            <w:tcW w:w="1188" w:type="dxa"/>
          </w:tcPr>
          <w:p w:rsidR="00D94072" w:rsidRPr="00377912" w:rsidRDefault="00D94072" w:rsidP="0031339B">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rsidR="00D94072" w:rsidRPr="00AE0B57" w:rsidRDefault="00D9648B" w:rsidP="0031339B">
            <w:pPr>
              <w:jc w:val="center"/>
              <w:rPr>
                <w:rFonts w:ascii="Times New Roman" w:hAnsi="Times New Roman" w:cs="Times New Roman"/>
                <w:sz w:val="24"/>
                <w:szCs w:val="24"/>
              </w:rPr>
            </w:pPr>
            <w:r>
              <w:rPr>
                <w:rFonts w:ascii="Times New Roman" w:hAnsi="Times New Roman" w:cs="Times New Roman"/>
                <w:sz w:val="24"/>
                <w:szCs w:val="24"/>
              </w:rPr>
              <w:t>10.39 (</w:t>
            </w:r>
            <w:r w:rsidR="00D94072" w:rsidRPr="00AE0B57">
              <w:rPr>
                <w:rFonts w:ascii="Times New Roman" w:hAnsi="Times New Roman" w:cs="Times New Roman"/>
                <w:sz w:val="24"/>
                <w:szCs w:val="24"/>
              </w:rPr>
              <w:t>0.01)</w:t>
            </w:r>
          </w:p>
        </w:tc>
        <w:tc>
          <w:tcPr>
            <w:tcW w:w="1800" w:type="dxa"/>
            <w:vMerge w:val="restart"/>
          </w:tcPr>
          <w:p w:rsidR="00D94072" w:rsidRDefault="00D94072" w:rsidP="0031339B">
            <w:pPr>
              <w:jc w:val="center"/>
              <w:rPr>
                <w:rFonts w:ascii="Times New Roman" w:hAnsi="Times New Roman" w:cs="Times New Roman"/>
                <w:sz w:val="24"/>
                <w:szCs w:val="24"/>
              </w:rPr>
            </w:pPr>
          </w:p>
          <w:p w:rsidR="00D94072" w:rsidRPr="00E34CAD" w:rsidRDefault="00D94072" w:rsidP="0031339B">
            <w:pPr>
              <w:jc w:val="center"/>
              <w:rPr>
                <w:rFonts w:ascii="Times New Roman" w:hAnsi="Times New Roman" w:cs="Times New Roman"/>
                <w:sz w:val="24"/>
                <w:szCs w:val="24"/>
              </w:rPr>
            </w:pPr>
            <w:r>
              <w:rPr>
                <w:rFonts w:ascii="Times New Roman" w:hAnsi="Times New Roman" w:cs="Times New Roman"/>
                <w:sz w:val="24"/>
                <w:szCs w:val="24"/>
              </w:rPr>
              <w:t>196</w:t>
            </w:r>
          </w:p>
        </w:tc>
        <w:tc>
          <w:tcPr>
            <w:tcW w:w="1710" w:type="dxa"/>
            <w:vMerge w:val="restart"/>
          </w:tcPr>
          <w:p w:rsidR="00D94072" w:rsidRDefault="00D94072" w:rsidP="0031339B">
            <w:pPr>
              <w:jc w:val="center"/>
              <w:rPr>
                <w:rFonts w:ascii="Times New Roman" w:hAnsi="Times New Roman" w:cs="Times New Roman"/>
                <w:sz w:val="24"/>
                <w:szCs w:val="24"/>
              </w:rPr>
            </w:pPr>
          </w:p>
          <w:p w:rsidR="00D94072" w:rsidRPr="00E34CAD" w:rsidRDefault="00D94072" w:rsidP="0031339B">
            <w:pPr>
              <w:jc w:val="center"/>
              <w:rPr>
                <w:rFonts w:ascii="Times New Roman" w:hAnsi="Times New Roman" w:cs="Times New Roman"/>
                <w:sz w:val="24"/>
                <w:szCs w:val="24"/>
              </w:rPr>
            </w:pPr>
            <w:r>
              <w:rPr>
                <w:rFonts w:ascii="Times New Roman" w:hAnsi="Times New Roman" w:cs="Times New Roman"/>
                <w:sz w:val="24"/>
                <w:szCs w:val="24"/>
              </w:rPr>
              <w:t>4.606 e-10</w:t>
            </w:r>
          </w:p>
        </w:tc>
        <w:tc>
          <w:tcPr>
            <w:tcW w:w="990" w:type="dxa"/>
            <w:vMerge w:val="restart"/>
          </w:tcPr>
          <w:p w:rsidR="00D94072" w:rsidRDefault="00D94072" w:rsidP="0031339B">
            <w:pPr>
              <w:rPr>
                <w:rFonts w:ascii="Times New Roman" w:hAnsi="Times New Roman" w:cs="Times New Roman"/>
                <w:sz w:val="24"/>
                <w:szCs w:val="24"/>
              </w:rPr>
            </w:pPr>
          </w:p>
          <w:p w:rsidR="00D94072" w:rsidRPr="00E34CAD" w:rsidRDefault="00D94072" w:rsidP="0031339B">
            <w:pPr>
              <w:jc w:val="center"/>
              <w:rPr>
                <w:rFonts w:ascii="Times New Roman" w:hAnsi="Times New Roman" w:cs="Times New Roman"/>
                <w:sz w:val="24"/>
                <w:szCs w:val="24"/>
              </w:rPr>
            </w:pPr>
            <w:r>
              <w:rPr>
                <w:rFonts w:ascii="Times New Roman" w:hAnsi="Times New Roman" w:cs="Times New Roman"/>
                <w:sz w:val="24"/>
                <w:szCs w:val="24"/>
              </w:rPr>
              <w:t>8.69</w:t>
            </w:r>
          </w:p>
        </w:tc>
      </w:tr>
      <w:tr w:rsidR="00D94072" w:rsidRPr="00377912" w:rsidTr="0031339B">
        <w:trPr>
          <w:jc w:val="center"/>
        </w:trPr>
        <w:tc>
          <w:tcPr>
            <w:tcW w:w="1188" w:type="dxa"/>
          </w:tcPr>
          <w:p w:rsidR="00D94072" w:rsidRPr="00377912" w:rsidRDefault="00D94072" w:rsidP="0031339B">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rsidR="00D94072" w:rsidRPr="00AE0B57" w:rsidRDefault="00D9648B" w:rsidP="0031339B">
            <w:pPr>
              <w:jc w:val="center"/>
              <w:rPr>
                <w:rFonts w:ascii="Times New Roman" w:hAnsi="Times New Roman" w:cs="Times New Roman"/>
                <w:sz w:val="24"/>
                <w:szCs w:val="24"/>
              </w:rPr>
            </w:pPr>
            <w:r>
              <w:rPr>
                <w:rFonts w:ascii="Times New Roman" w:hAnsi="Times New Roman" w:cs="Times New Roman"/>
                <w:sz w:val="24"/>
                <w:szCs w:val="24"/>
              </w:rPr>
              <w:t>12.29 (</w:t>
            </w:r>
            <w:r w:rsidR="00D94072" w:rsidRPr="00AE0B57">
              <w:rPr>
                <w:rFonts w:ascii="Times New Roman" w:hAnsi="Times New Roman" w:cs="Times New Roman"/>
                <w:sz w:val="24"/>
                <w:szCs w:val="24"/>
              </w:rPr>
              <w:t>0.01)</w:t>
            </w:r>
          </w:p>
        </w:tc>
        <w:tc>
          <w:tcPr>
            <w:tcW w:w="1800" w:type="dxa"/>
            <w:vMerge/>
          </w:tcPr>
          <w:p w:rsidR="00D94072" w:rsidRPr="005C03AD" w:rsidRDefault="00D94072" w:rsidP="0031339B">
            <w:pPr>
              <w:rPr>
                <w:rFonts w:ascii="Times New Roman" w:hAnsi="Times New Roman" w:cs="Times New Roman"/>
                <w:color w:val="FF0000"/>
                <w:sz w:val="24"/>
                <w:szCs w:val="24"/>
              </w:rPr>
            </w:pPr>
          </w:p>
        </w:tc>
        <w:tc>
          <w:tcPr>
            <w:tcW w:w="1710" w:type="dxa"/>
            <w:vMerge/>
          </w:tcPr>
          <w:p w:rsidR="00D94072" w:rsidRPr="005C03AD" w:rsidRDefault="00D94072" w:rsidP="0031339B">
            <w:pPr>
              <w:rPr>
                <w:rFonts w:ascii="Times New Roman" w:hAnsi="Times New Roman" w:cs="Times New Roman"/>
                <w:color w:val="FF0000"/>
                <w:sz w:val="24"/>
                <w:szCs w:val="24"/>
              </w:rPr>
            </w:pPr>
          </w:p>
        </w:tc>
        <w:tc>
          <w:tcPr>
            <w:tcW w:w="990" w:type="dxa"/>
            <w:vMerge/>
          </w:tcPr>
          <w:p w:rsidR="00D94072" w:rsidRPr="005C03AD" w:rsidRDefault="00D94072" w:rsidP="0031339B">
            <w:pPr>
              <w:rPr>
                <w:rFonts w:ascii="Times New Roman" w:hAnsi="Times New Roman" w:cs="Times New Roman"/>
                <w:color w:val="FF0000"/>
                <w:sz w:val="24"/>
                <w:szCs w:val="24"/>
              </w:rPr>
            </w:pPr>
          </w:p>
        </w:tc>
      </w:tr>
    </w:tbl>
    <w:p w:rsidR="00D94072" w:rsidRDefault="00D94072" w:rsidP="00D94072">
      <w:pPr>
        <w:rPr>
          <w:lang w:val="en-US"/>
        </w:rPr>
      </w:pPr>
    </w:p>
    <w:p w:rsidR="00E17247" w:rsidRDefault="00CD2B59" w:rsidP="00712890">
      <w:pPr>
        <w:pStyle w:val="BodyText"/>
        <w:spacing w:line="480" w:lineRule="auto"/>
      </w:pPr>
      <w:r>
        <w:tab/>
      </w:r>
      <w:r w:rsidR="00F47FF6" w:rsidRPr="00F47FF6">
        <w:t>The protonation of the amino group in the ligand's most basic form results in the formation consta</w:t>
      </w:r>
      <w:r w:rsidR="00F47FF6">
        <w:t>nt, β011, which is a zwitterion</w:t>
      </w:r>
      <w:r w:rsidR="00EC137B">
        <w:t xml:space="preserve">.  The magnitude of the protonation constant is low, when compared to the corresponding amine and may be explained as due to the electron withdrawing effect of </w:t>
      </w:r>
      <w:r w:rsidR="00682988">
        <w:t xml:space="preserve">the </w:t>
      </w:r>
      <w:r w:rsidR="00EC137B">
        <w:t xml:space="preserve">neighbouring deprotonated carboxylate group.  The second protonation constant, </w:t>
      </w:r>
      <w:r w:rsidR="00EC137B" w:rsidRPr="000145FF">
        <w:rPr>
          <w:i/>
        </w:rPr>
        <w:t>log β</w:t>
      </w:r>
      <w:r w:rsidR="00EC137B" w:rsidRPr="000145FF">
        <w:rPr>
          <w:i/>
          <w:vertAlign w:val="subscript"/>
        </w:rPr>
        <w:t>012</w:t>
      </w:r>
      <w:r w:rsidR="00EC137B">
        <w:t xml:space="preserve"> is due to the addition of one more proton to the ligand at the </w:t>
      </w:r>
      <w:r w:rsidR="00EC137B">
        <w:lastRenderedPageBreak/>
        <w:t xml:space="preserve">carboxylate group. Again, the relative decrease in </w:t>
      </w:r>
      <w:r w:rsidR="00682988">
        <w:t xml:space="preserve">the </w:t>
      </w:r>
      <w:r w:rsidR="00EC137B">
        <w:t xml:space="preserve">magnitude of the constant to that of alkyl carboxylate is due to the strong withdrawing effect of the protonated amino group.  </w:t>
      </w:r>
      <w:r w:rsidR="00712890" w:rsidRPr="008F4C09">
        <w:t xml:space="preserve">The observed values </w:t>
      </w:r>
      <w:r w:rsidR="00712890">
        <w:t xml:space="preserve">of the </w:t>
      </w:r>
      <w:r w:rsidR="00681D8E">
        <w:t xml:space="preserve">protonation </w:t>
      </w:r>
      <w:r w:rsidR="00712890">
        <w:t xml:space="preserve">constants </w:t>
      </w:r>
      <w:r w:rsidR="00712890" w:rsidRPr="008F4C09">
        <w:t xml:space="preserve">are in good agreement </w:t>
      </w:r>
      <w:r w:rsidR="00EA4C32">
        <w:t xml:space="preserve">(Table </w:t>
      </w:r>
      <w:r w:rsidR="00681D8E">
        <w:t xml:space="preserve">4) </w:t>
      </w:r>
      <w:r w:rsidR="00712890" w:rsidRPr="008F4C09">
        <w:t xml:space="preserve">with the </w:t>
      </w:r>
      <w:r w:rsidR="00681D8E">
        <w:t xml:space="preserve">published </w:t>
      </w:r>
      <w:r w:rsidR="0036258F">
        <w:t xml:space="preserve">values of the </w:t>
      </w:r>
      <w:r w:rsidR="00681D8E">
        <w:t>critical stability constants</w:t>
      </w:r>
      <w:r w:rsidR="00681D8E">
        <w:rPr>
          <w:vertAlign w:val="superscript"/>
        </w:rPr>
        <w:t>23</w:t>
      </w:r>
      <w:r w:rsidR="00681D8E">
        <w:t xml:space="preserve"> </w:t>
      </w:r>
      <w:r w:rsidR="00712890" w:rsidRPr="008F4C09">
        <w:t>and other literature values</w:t>
      </w:r>
      <w:r w:rsidR="00681D8E">
        <w:rPr>
          <w:vertAlign w:val="superscript"/>
        </w:rPr>
        <w:t>24-30</w:t>
      </w:r>
      <w:r w:rsidR="00712890" w:rsidRPr="008F4C09">
        <w:t xml:space="preserve"> after allowing for changes in </w:t>
      </w:r>
      <w:r w:rsidR="00681D8E">
        <w:t xml:space="preserve">the </w:t>
      </w:r>
      <w:r w:rsidR="00712890" w:rsidRPr="008F4C09">
        <w:t>experimental conditions.</w:t>
      </w:r>
    </w:p>
    <w:p w:rsidR="00E17247" w:rsidRDefault="00EA4C32" w:rsidP="00EC137B">
      <w:pPr>
        <w:pStyle w:val="BodyText"/>
        <w:spacing w:line="480" w:lineRule="auto"/>
        <w:ind w:firstLine="720"/>
      </w:pPr>
      <w:r>
        <w:t xml:space="preserve">Table </w:t>
      </w:r>
      <w:r w:rsidR="00E17247">
        <w:t>4: Some literature repo</w:t>
      </w:r>
      <w:r w:rsidR="007879A8">
        <w:t>rted protonation constants of L-</w:t>
      </w:r>
      <w:r w:rsidR="00E17247">
        <w:t>Proline</w:t>
      </w:r>
    </w:p>
    <w:tbl>
      <w:tblPr>
        <w:tblStyle w:val="TableGrid"/>
        <w:tblW w:w="0" w:type="auto"/>
        <w:jc w:val="center"/>
        <w:tblLook w:val="04A0"/>
      </w:tblPr>
      <w:tblGrid>
        <w:gridCol w:w="718"/>
        <w:gridCol w:w="876"/>
        <w:gridCol w:w="900"/>
        <w:gridCol w:w="1612"/>
        <w:gridCol w:w="1212"/>
        <w:gridCol w:w="888"/>
      </w:tblGrid>
      <w:tr w:rsidR="00E17247" w:rsidRPr="005F4C00" w:rsidTr="00E17247">
        <w:trPr>
          <w:jc w:val="center"/>
        </w:trPr>
        <w:tc>
          <w:tcPr>
            <w:tcW w:w="718" w:type="dxa"/>
          </w:tcPr>
          <w:p w:rsidR="00E17247" w:rsidRPr="007879A8" w:rsidRDefault="00E17247" w:rsidP="0031339B">
            <w:pPr>
              <w:rPr>
                <w:rFonts w:ascii="Times New Roman" w:hAnsi="Times New Roman" w:cs="Times New Roman"/>
                <w:b/>
              </w:rPr>
            </w:pPr>
            <w:r w:rsidRPr="007879A8">
              <w:rPr>
                <w:rFonts w:ascii="Times New Roman" w:hAnsi="Times New Roman" w:cs="Times New Roman"/>
                <w:b/>
              </w:rPr>
              <w:t>S.No.</w:t>
            </w:r>
          </w:p>
        </w:tc>
        <w:tc>
          <w:tcPr>
            <w:tcW w:w="876" w:type="dxa"/>
          </w:tcPr>
          <w:p w:rsidR="00E17247" w:rsidRPr="007879A8" w:rsidRDefault="00E17247" w:rsidP="0031339B">
            <w:pPr>
              <w:rPr>
                <w:rFonts w:ascii="Times New Roman" w:hAnsi="Times New Roman" w:cs="Times New Roman"/>
                <w:b/>
                <w:i/>
                <w:vertAlign w:val="subscript"/>
              </w:rPr>
            </w:pPr>
            <w:r w:rsidRPr="007879A8">
              <w:rPr>
                <w:rFonts w:ascii="Times New Roman" w:hAnsi="Times New Roman" w:cs="Times New Roman"/>
                <w:b/>
                <w:i/>
              </w:rPr>
              <w:t>log β</w:t>
            </w:r>
            <w:r w:rsidRPr="007879A8">
              <w:rPr>
                <w:rFonts w:ascii="Times New Roman" w:hAnsi="Times New Roman" w:cs="Times New Roman"/>
                <w:b/>
                <w:i/>
                <w:vertAlign w:val="subscript"/>
              </w:rPr>
              <w:t>011</w:t>
            </w:r>
          </w:p>
        </w:tc>
        <w:tc>
          <w:tcPr>
            <w:tcW w:w="900" w:type="dxa"/>
          </w:tcPr>
          <w:p w:rsidR="00E17247" w:rsidRPr="007879A8" w:rsidRDefault="00E17247" w:rsidP="0031339B">
            <w:pPr>
              <w:rPr>
                <w:rFonts w:ascii="Times New Roman" w:hAnsi="Times New Roman" w:cs="Times New Roman"/>
                <w:b/>
                <w:i/>
                <w:vertAlign w:val="subscript"/>
              </w:rPr>
            </w:pPr>
            <w:r w:rsidRPr="007879A8">
              <w:rPr>
                <w:rFonts w:ascii="Times New Roman" w:hAnsi="Times New Roman" w:cs="Times New Roman"/>
                <w:b/>
                <w:i/>
              </w:rPr>
              <w:t>log β</w:t>
            </w:r>
            <w:r w:rsidRPr="007879A8">
              <w:rPr>
                <w:rFonts w:ascii="Times New Roman" w:hAnsi="Times New Roman" w:cs="Times New Roman"/>
                <w:b/>
                <w:i/>
                <w:vertAlign w:val="subscript"/>
              </w:rPr>
              <w:t>012</w:t>
            </w:r>
          </w:p>
        </w:tc>
        <w:tc>
          <w:tcPr>
            <w:tcW w:w="1612" w:type="dxa"/>
          </w:tcPr>
          <w:p w:rsidR="00E17247" w:rsidRPr="007879A8" w:rsidRDefault="00E17247" w:rsidP="0031339B">
            <w:pPr>
              <w:rPr>
                <w:rFonts w:ascii="Times New Roman" w:hAnsi="Times New Roman" w:cs="Times New Roman"/>
                <w:b/>
              </w:rPr>
            </w:pPr>
            <w:r w:rsidRPr="007879A8">
              <w:rPr>
                <w:rFonts w:ascii="Times New Roman" w:hAnsi="Times New Roman" w:cs="Times New Roman"/>
                <w:b/>
                <w:i/>
              </w:rPr>
              <w:t>I</w:t>
            </w:r>
            <w:r w:rsidRPr="007879A8">
              <w:rPr>
                <w:rFonts w:ascii="Times New Roman" w:hAnsi="Times New Roman" w:cs="Times New Roman"/>
                <w:b/>
              </w:rPr>
              <w:t>, Temp.</w:t>
            </w:r>
          </w:p>
        </w:tc>
        <w:tc>
          <w:tcPr>
            <w:tcW w:w="1212" w:type="dxa"/>
          </w:tcPr>
          <w:p w:rsidR="00E17247" w:rsidRPr="007879A8" w:rsidRDefault="00E17247" w:rsidP="0031339B">
            <w:pPr>
              <w:rPr>
                <w:rFonts w:ascii="Times New Roman" w:hAnsi="Times New Roman" w:cs="Times New Roman"/>
                <w:b/>
              </w:rPr>
            </w:pPr>
            <w:r w:rsidRPr="007879A8">
              <w:rPr>
                <w:rFonts w:ascii="Times New Roman" w:hAnsi="Times New Roman" w:cs="Times New Roman"/>
                <w:b/>
              </w:rPr>
              <w:t>Method</w:t>
            </w:r>
          </w:p>
        </w:tc>
        <w:tc>
          <w:tcPr>
            <w:tcW w:w="888" w:type="dxa"/>
          </w:tcPr>
          <w:p w:rsidR="00E17247" w:rsidRPr="007879A8" w:rsidRDefault="00E17247" w:rsidP="0031339B">
            <w:pPr>
              <w:rPr>
                <w:rFonts w:ascii="Times New Roman" w:hAnsi="Times New Roman" w:cs="Times New Roman"/>
                <w:b/>
              </w:rPr>
            </w:pPr>
            <w:r w:rsidRPr="007879A8">
              <w:rPr>
                <w:rFonts w:ascii="Times New Roman" w:hAnsi="Times New Roman" w:cs="Times New Roman"/>
                <w:b/>
              </w:rPr>
              <w:t>Ref.</w:t>
            </w:r>
          </w:p>
        </w:tc>
      </w:tr>
      <w:tr w:rsidR="00E17247" w:rsidRPr="005F4C00" w:rsidTr="00E17247">
        <w:trPr>
          <w:jc w:val="center"/>
        </w:trPr>
        <w:tc>
          <w:tcPr>
            <w:tcW w:w="718"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w:t>
            </w:r>
          </w:p>
        </w:tc>
        <w:tc>
          <w:tcPr>
            <w:tcW w:w="876"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10.38</w:t>
            </w:r>
          </w:p>
        </w:tc>
        <w:tc>
          <w:tcPr>
            <w:tcW w:w="900"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12.28</w:t>
            </w:r>
          </w:p>
        </w:tc>
        <w:tc>
          <w:tcPr>
            <w:tcW w:w="1612"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0.1M, 25</w:t>
            </w:r>
            <w:r w:rsidRPr="00E17247">
              <w:rPr>
                <w:rFonts w:ascii="Times New Roman" w:hAnsi="Times New Roman" w:cs="Times New Roman"/>
                <w:vertAlign w:val="superscript"/>
              </w:rPr>
              <w:t>0</w:t>
            </w:r>
            <w:r w:rsidRPr="00E17247">
              <w:rPr>
                <w:rFonts w:ascii="Times New Roman" w:hAnsi="Times New Roman" w:cs="Times New Roman"/>
              </w:rPr>
              <w:t>C</w:t>
            </w:r>
          </w:p>
        </w:tc>
        <w:tc>
          <w:tcPr>
            <w:tcW w:w="1212"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Pot.</w:t>
            </w:r>
          </w:p>
        </w:tc>
        <w:tc>
          <w:tcPr>
            <w:tcW w:w="888" w:type="dxa"/>
          </w:tcPr>
          <w:p w:rsidR="00E17247" w:rsidRPr="00E17247" w:rsidRDefault="005C734D" w:rsidP="0031339B">
            <w:pPr>
              <w:rPr>
                <w:rFonts w:ascii="Times New Roman" w:hAnsi="Times New Roman" w:cs="Times New Roman"/>
              </w:rPr>
            </w:pPr>
            <w:r>
              <w:rPr>
                <w:rFonts w:ascii="Times New Roman" w:hAnsi="Times New Roman" w:cs="Times New Roman"/>
              </w:rPr>
              <w:t>25</w:t>
            </w:r>
          </w:p>
        </w:tc>
      </w:tr>
      <w:tr w:rsidR="00E17247" w:rsidRPr="005F4C00" w:rsidTr="00E17247">
        <w:trPr>
          <w:jc w:val="center"/>
        </w:trPr>
        <w:tc>
          <w:tcPr>
            <w:tcW w:w="718" w:type="dxa"/>
          </w:tcPr>
          <w:p w:rsidR="00E17247" w:rsidRPr="00E17247" w:rsidRDefault="00B061A8" w:rsidP="0031339B">
            <w:pPr>
              <w:rPr>
                <w:rFonts w:ascii="Times New Roman" w:hAnsi="Times New Roman" w:cs="Times New Roman"/>
              </w:rPr>
            </w:pPr>
            <w:r>
              <w:rPr>
                <w:rFonts w:ascii="Times New Roman" w:hAnsi="Times New Roman" w:cs="Times New Roman"/>
              </w:rPr>
              <w:t>2</w:t>
            </w:r>
            <w:r w:rsidR="00E17247" w:rsidRPr="00E17247">
              <w:rPr>
                <w:rFonts w:ascii="Times New Roman" w:hAnsi="Times New Roman" w:cs="Times New Roman"/>
              </w:rPr>
              <w:t>.</w:t>
            </w:r>
          </w:p>
        </w:tc>
        <w:tc>
          <w:tcPr>
            <w:tcW w:w="876"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10.34</w:t>
            </w:r>
          </w:p>
        </w:tc>
        <w:tc>
          <w:tcPr>
            <w:tcW w:w="900"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12.34</w:t>
            </w:r>
          </w:p>
        </w:tc>
        <w:tc>
          <w:tcPr>
            <w:tcW w:w="1612"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0.15M, 37</w:t>
            </w:r>
            <w:r w:rsidRPr="00E17247">
              <w:rPr>
                <w:rFonts w:ascii="Times New Roman" w:hAnsi="Times New Roman" w:cs="Times New Roman"/>
                <w:vertAlign w:val="superscript"/>
              </w:rPr>
              <w:t>0</w:t>
            </w:r>
            <w:r w:rsidRPr="00E17247">
              <w:rPr>
                <w:rFonts w:ascii="Times New Roman" w:hAnsi="Times New Roman" w:cs="Times New Roman"/>
              </w:rPr>
              <w:t>C</w:t>
            </w:r>
          </w:p>
        </w:tc>
        <w:tc>
          <w:tcPr>
            <w:tcW w:w="1212"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Pot.</w:t>
            </w:r>
          </w:p>
        </w:tc>
        <w:tc>
          <w:tcPr>
            <w:tcW w:w="888" w:type="dxa"/>
          </w:tcPr>
          <w:p w:rsidR="00E17247" w:rsidRPr="00E17247" w:rsidRDefault="005C734D" w:rsidP="0031339B">
            <w:pPr>
              <w:rPr>
                <w:rFonts w:ascii="Times New Roman" w:hAnsi="Times New Roman" w:cs="Times New Roman"/>
              </w:rPr>
            </w:pPr>
            <w:r>
              <w:rPr>
                <w:rFonts w:ascii="Times New Roman" w:hAnsi="Times New Roman" w:cs="Times New Roman"/>
              </w:rPr>
              <w:t>26</w:t>
            </w:r>
          </w:p>
        </w:tc>
      </w:tr>
      <w:tr w:rsidR="00E17247" w:rsidRPr="005F4C00" w:rsidTr="00E17247">
        <w:trPr>
          <w:jc w:val="center"/>
        </w:trPr>
        <w:tc>
          <w:tcPr>
            <w:tcW w:w="718" w:type="dxa"/>
          </w:tcPr>
          <w:p w:rsidR="00E17247" w:rsidRPr="00E17247" w:rsidRDefault="00B061A8" w:rsidP="0031339B">
            <w:pPr>
              <w:rPr>
                <w:rFonts w:ascii="Times New Roman" w:hAnsi="Times New Roman" w:cs="Times New Roman"/>
              </w:rPr>
            </w:pPr>
            <w:r>
              <w:rPr>
                <w:rFonts w:ascii="Times New Roman" w:hAnsi="Times New Roman" w:cs="Times New Roman"/>
              </w:rPr>
              <w:t>3</w:t>
            </w:r>
            <w:r w:rsidR="00E17247" w:rsidRPr="00E17247">
              <w:rPr>
                <w:rFonts w:ascii="Times New Roman" w:hAnsi="Times New Roman" w:cs="Times New Roman"/>
              </w:rPr>
              <w:t>.</w:t>
            </w:r>
          </w:p>
        </w:tc>
        <w:tc>
          <w:tcPr>
            <w:tcW w:w="876" w:type="dxa"/>
          </w:tcPr>
          <w:p w:rsidR="00E17247" w:rsidRPr="00E17247" w:rsidRDefault="00E17247" w:rsidP="0031339B">
            <w:pPr>
              <w:rPr>
                <w:rFonts w:ascii="Times New Roman" w:hAnsi="Times New Roman" w:cs="Times New Roman"/>
              </w:rPr>
            </w:pPr>
            <w:r w:rsidRPr="00E17247">
              <w:rPr>
                <w:rFonts w:ascii="Times New Roman" w:eastAsia="Times New Roman" w:hAnsi="Times New Roman" w:cs="Times New Roman"/>
              </w:rPr>
              <w:t>11.20</w:t>
            </w:r>
          </w:p>
        </w:tc>
        <w:tc>
          <w:tcPr>
            <w:tcW w:w="900" w:type="dxa"/>
          </w:tcPr>
          <w:p w:rsidR="00E17247" w:rsidRPr="00E17247" w:rsidRDefault="00E17247" w:rsidP="0031339B">
            <w:pPr>
              <w:rPr>
                <w:rFonts w:ascii="Times New Roman" w:hAnsi="Times New Roman" w:cs="Times New Roman"/>
              </w:rPr>
            </w:pPr>
            <w:r w:rsidRPr="00E17247">
              <w:rPr>
                <w:rFonts w:ascii="Times New Roman" w:eastAsia="Times New Roman" w:hAnsi="Times New Roman" w:cs="Times New Roman"/>
              </w:rPr>
              <w:t>13.80</w:t>
            </w:r>
          </w:p>
        </w:tc>
        <w:tc>
          <w:tcPr>
            <w:tcW w:w="1612" w:type="dxa"/>
          </w:tcPr>
          <w:p w:rsidR="00E17247" w:rsidRPr="00E17247" w:rsidRDefault="00E17247" w:rsidP="0031339B">
            <w:pPr>
              <w:rPr>
                <w:rFonts w:ascii="Times New Roman" w:hAnsi="Times New Roman" w:cs="Times New Roman"/>
              </w:rPr>
            </w:pPr>
            <w:r w:rsidRPr="00E17247">
              <w:rPr>
                <w:rFonts w:ascii="Times New Roman" w:eastAsia="Times New Roman" w:hAnsi="Times New Roman" w:cs="Times New Roman"/>
              </w:rPr>
              <w:t>0.1M, 15</w:t>
            </w:r>
            <w:r w:rsidRPr="00E17247">
              <w:rPr>
                <w:rFonts w:ascii="Times New Roman" w:eastAsia="Times New Roman" w:hAnsi="Times New Roman" w:cs="Times New Roman"/>
                <w:vertAlign w:val="superscript"/>
              </w:rPr>
              <w:t>0</w:t>
            </w:r>
            <w:r w:rsidRPr="00E17247">
              <w:rPr>
                <w:rFonts w:ascii="Times New Roman" w:eastAsia="Times New Roman" w:hAnsi="Times New Roman" w:cs="Times New Roman"/>
              </w:rPr>
              <w:t>C</w:t>
            </w:r>
          </w:p>
        </w:tc>
        <w:tc>
          <w:tcPr>
            <w:tcW w:w="1212"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Pot.</w:t>
            </w:r>
          </w:p>
        </w:tc>
        <w:tc>
          <w:tcPr>
            <w:tcW w:w="888" w:type="dxa"/>
          </w:tcPr>
          <w:p w:rsidR="00E17247" w:rsidRPr="00E17247" w:rsidRDefault="005C734D" w:rsidP="0031339B">
            <w:pPr>
              <w:rPr>
                <w:rFonts w:ascii="Times New Roman" w:hAnsi="Times New Roman" w:cs="Times New Roman"/>
              </w:rPr>
            </w:pPr>
            <w:r>
              <w:rPr>
                <w:rFonts w:ascii="Times New Roman" w:hAnsi="Times New Roman" w:cs="Times New Roman"/>
              </w:rPr>
              <w:t>27</w:t>
            </w:r>
          </w:p>
        </w:tc>
      </w:tr>
      <w:tr w:rsidR="00E17247" w:rsidRPr="005F4C00" w:rsidTr="00E17247">
        <w:trPr>
          <w:jc w:val="center"/>
        </w:trPr>
        <w:tc>
          <w:tcPr>
            <w:tcW w:w="718" w:type="dxa"/>
          </w:tcPr>
          <w:p w:rsidR="00E17247" w:rsidRPr="00E17247" w:rsidRDefault="00B061A8" w:rsidP="0031339B">
            <w:pPr>
              <w:rPr>
                <w:rFonts w:ascii="Times New Roman" w:hAnsi="Times New Roman" w:cs="Times New Roman"/>
              </w:rPr>
            </w:pPr>
            <w:r>
              <w:rPr>
                <w:rFonts w:ascii="Times New Roman" w:hAnsi="Times New Roman" w:cs="Times New Roman"/>
              </w:rPr>
              <w:t>4</w:t>
            </w:r>
            <w:r w:rsidR="00E17247" w:rsidRPr="00E17247">
              <w:rPr>
                <w:rFonts w:ascii="Times New Roman" w:hAnsi="Times New Roman" w:cs="Times New Roman"/>
              </w:rPr>
              <w:t>.</w:t>
            </w:r>
          </w:p>
        </w:tc>
        <w:tc>
          <w:tcPr>
            <w:tcW w:w="876"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10.54</w:t>
            </w:r>
          </w:p>
        </w:tc>
        <w:tc>
          <w:tcPr>
            <w:tcW w:w="900" w:type="dxa"/>
          </w:tcPr>
          <w:p w:rsidR="00E17247" w:rsidRPr="00E17247" w:rsidRDefault="00E17247" w:rsidP="0031339B">
            <w:pPr>
              <w:jc w:val="center"/>
              <w:rPr>
                <w:rFonts w:ascii="Times New Roman" w:hAnsi="Times New Roman" w:cs="Times New Roman"/>
              </w:rPr>
            </w:pPr>
            <w:r w:rsidRPr="00E17247">
              <w:rPr>
                <w:rFonts w:ascii="Times New Roman" w:hAnsi="Times New Roman" w:cs="Times New Roman"/>
              </w:rPr>
              <w:t>-</w:t>
            </w:r>
          </w:p>
        </w:tc>
        <w:tc>
          <w:tcPr>
            <w:tcW w:w="1612" w:type="dxa"/>
          </w:tcPr>
          <w:p w:rsidR="00E17247" w:rsidRPr="00E17247" w:rsidRDefault="00E17247" w:rsidP="0031339B">
            <w:pPr>
              <w:rPr>
                <w:rFonts w:ascii="Times New Roman" w:eastAsia="Times New Roman" w:hAnsi="Times New Roman" w:cs="Times New Roman"/>
              </w:rPr>
            </w:pPr>
            <w:r w:rsidRPr="00E17247">
              <w:rPr>
                <w:rFonts w:ascii="Times New Roman" w:eastAsia="Times New Roman" w:hAnsi="Times New Roman" w:cs="Times New Roman"/>
              </w:rPr>
              <w:t>0.02 M, 25</w:t>
            </w:r>
            <w:r w:rsidRPr="00E17247">
              <w:rPr>
                <w:rFonts w:ascii="Times New Roman" w:eastAsia="Times New Roman" w:hAnsi="Times New Roman" w:cs="Times New Roman"/>
                <w:vertAlign w:val="superscript"/>
              </w:rPr>
              <w:t>0</w:t>
            </w:r>
            <w:r w:rsidRPr="00E17247">
              <w:rPr>
                <w:rFonts w:ascii="Times New Roman" w:eastAsia="Times New Roman" w:hAnsi="Times New Roman" w:cs="Times New Roman"/>
              </w:rPr>
              <w:t>C</w:t>
            </w:r>
          </w:p>
        </w:tc>
        <w:tc>
          <w:tcPr>
            <w:tcW w:w="1212"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Pot.</w:t>
            </w:r>
          </w:p>
        </w:tc>
        <w:tc>
          <w:tcPr>
            <w:tcW w:w="888" w:type="dxa"/>
          </w:tcPr>
          <w:p w:rsidR="00E17247" w:rsidRPr="00E17247" w:rsidRDefault="005C734D" w:rsidP="0031339B">
            <w:pPr>
              <w:rPr>
                <w:rFonts w:ascii="Times New Roman" w:hAnsi="Times New Roman" w:cs="Times New Roman"/>
              </w:rPr>
            </w:pPr>
            <w:r>
              <w:rPr>
                <w:rFonts w:ascii="Times New Roman" w:hAnsi="Times New Roman" w:cs="Times New Roman"/>
              </w:rPr>
              <w:t>28</w:t>
            </w:r>
          </w:p>
        </w:tc>
      </w:tr>
      <w:tr w:rsidR="00E17247" w:rsidRPr="005F4C00" w:rsidTr="00E17247">
        <w:trPr>
          <w:jc w:val="center"/>
        </w:trPr>
        <w:tc>
          <w:tcPr>
            <w:tcW w:w="718" w:type="dxa"/>
          </w:tcPr>
          <w:p w:rsidR="00E17247" w:rsidRPr="00E17247" w:rsidRDefault="00B061A8" w:rsidP="0031339B">
            <w:pPr>
              <w:rPr>
                <w:rFonts w:ascii="Times New Roman" w:hAnsi="Times New Roman" w:cs="Times New Roman"/>
              </w:rPr>
            </w:pPr>
            <w:r>
              <w:rPr>
                <w:rFonts w:ascii="Times New Roman" w:hAnsi="Times New Roman" w:cs="Times New Roman"/>
              </w:rPr>
              <w:t>5</w:t>
            </w:r>
            <w:r w:rsidR="00E17247" w:rsidRPr="00E17247">
              <w:rPr>
                <w:rFonts w:ascii="Times New Roman" w:hAnsi="Times New Roman" w:cs="Times New Roman"/>
              </w:rPr>
              <w:t>.</w:t>
            </w:r>
          </w:p>
        </w:tc>
        <w:tc>
          <w:tcPr>
            <w:tcW w:w="876"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10.48</w:t>
            </w:r>
          </w:p>
        </w:tc>
        <w:tc>
          <w:tcPr>
            <w:tcW w:w="900" w:type="dxa"/>
          </w:tcPr>
          <w:p w:rsidR="00E17247" w:rsidRPr="00E17247" w:rsidRDefault="00E17247" w:rsidP="0031339B">
            <w:pPr>
              <w:jc w:val="center"/>
              <w:rPr>
                <w:rFonts w:ascii="Times New Roman" w:hAnsi="Times New Roman" w:cs="Times New Roman"/>
              </w:rPr>
            </w:pPr>
            <w:r w:rsidRPr="00E17247">
              <w:rPr>
                <w:rFonts w:ascii="Times New Roman" w:hAnsi="Times New Roman" w:cs="Times New Roman"/>
              </w:rPr>
              <w:t>-</w:t>
            </w:r>
          </w:p>
        </w:tc>
        <w:tc>
          <w:tcPr>
            <w:tcW w:w="1612" w:type="dxa"/>
          </w:tcPr>
          <w:p w:rsidR="00E17247" w:rsidRPr="00E17247" w:rsidRDefault="00E17247" w:rsidP="0031339B">
            <w:pPr>
              <w:rPr>
                <w:rFonts w:ascii="Times New Roman" w:hAnsi="Times New Roman" w:cs="Times New Roman"/>
              </w:rPr>
            </w:pPr>
            <w:r w:rsidRPr="00E17247">
              <w:rPr>
                <w:rFonts w:ascii="Times New Roman" w:eastAsia="Times New Roman" w:hAnsi="Times New Roman" w:cs="Times New Roman"/>
              </w:rPr>
              <w:t>0.1M, 20</w:t>
            </w:r>
            <w:r w:rsidRPr="00E17247">
              <w:rPr>
                <w:rFonts w:ascii="Times New Roman" w:eastAsia="Times New Roman" w:hAnsi="Times New Roman" w:cs="Times New Roman"/>
                <w:vertAlign w:val="superscript"/>
              </w:rPr>
              <w:t>0</w:t>
            </w:r>
            <w:r w:rsidRPr="00E17247">
              <w:rPr>
                <w:rFonts w:ascii="Times New Roman" w:eastAsia="Times New Roman" w:hAnsi="Times New Roman" w:cs="Times New Roman"/>
              </w:rPr>
              <w:t>C</w:t>
            </w:r>
          </w:p>
        </w:tc>
        <w:tc>
          <w:tcPr>
            <w:tcW w:w="1212"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Spec, Pot.</w:t>
            </w:r>
          </w:p>
        </w:tc>
        <w:tc>
          <w:tcPr>
            <w:tcW w:w="888" w:type="dxa"/>
          </w:tcPr>
          <w:p w:rsidR="00E17247" w:rsidRPr="00E17247" w:rsidRDefault="005C734D" w:rsidP="0031339B">
            <w:pPr>
              <w:rPr>
                <w:rFonts w:ascii="Times New Roman" w:hAnsi="Times New Roman" w:cs="Times New Roman"/>
              </w:rPr>
            </w:pPr>
            <w:r>
              <w:rPr>
                <w:rFonts w:ascii="Times New Roman" w:hAnsi="Times New Roman" w:cs="Times New Roman"/>
              </w:rPr>
              <w:t>29,  30</w:t>
            </w:r>
          </w:p>
        </w:tc>
      </w:tr>
      <w:tr w:rsidR="00E17247" w:rsidRPr="005F4C00" w:rsidTr="00E17247">
        <w:trPr>
          <w:jc w:val="center"/>
        </w:trPr>
        <w:tc>
          <w:tcPr>
            <w:tcW w:w="718"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6.</w:t>
            </w:r>
          </w:p>
        </w:tc>
        <w:tc>
          <w:tcPr>
            <w:tcW w:w="876"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11.40</w:t>
            </w:r>
          </w:p>
        </w:tc>
        <w:tc>
          <w:tcPr>
            <w:tcW w:w="900"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13.41</w:t>
            </w:r>
          </w:p>
        </w:tc>
        <w:tc>
          <w:tcPr>
            <w:tcW w:w="1612" w:type="dxa"/>
          </w:tcPr>
          <w:p w:rsidR="00E17247" w:rsidRPr="00E17247" w:rsidRDefault="00E17247" w:rsidP="0031339B">
            <w:pPr>
              <w:rPr>
                <w:rFonts w:ascii="Times New Roman" w:hAnsi="Times New Roman" w:cs="Times New Roman"/>
              </w:rPr>
            </w:pPr>
            <w:r w:rsidRPr="00E17247">
              <w:rPr>
                <w:rFonts w:ascii="Times New Roman" w:eastAsia="Times New Roman" w:hAnsi="Times New Roman" w:cs="Times New Roman"/>
              </w:rPr>
              <w:t>0.1M, 15</w:t>
            </w:r>
            <w:r w:rsidRPr="00E17247">
              <w:rPr>
                <w:rFonts w:ascii="Times New Roman" w:eastAsia="Times New Roman" w:hAnsi="Times New Roman" w:cs="Times New Roman"/>
                <w:vertAlign w:val="superscript"/>
              </w:rPr>
              <w:t>0</w:t>
            </w:r>
            <w:r w:rsidRPr="00E17247">
              <w:rPr>
                <w:rFonts w:ascii="Times New Roman" w:eastAsia="Times New Roman" w:hAnsi="Times New Roman" w:cs="Times New Roman"/>
              </w:rPr>
              <w:t>C</w:t>
            </w:r>
          </w:p>
        </w:tc>
        <w:tc>
          <w:tcPr>
            <w:tcW w:w="1212"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Pot.</w:t>
            </w:r>
          </w:p>
        </w:tc>
        <w:tc>
          <w:tcPr>
            <w:tcW w:w="888" w:type="dxa"/>
          </w:tcPr>
          <w:p w:rsidR="00E17247" w:rsidRPr="00E17247" w:rsidRDefault="005C734D" w:rsidP="0031339B">
            <w:pPr>
              <w:rPr>
                <w:rFonts w:ascii="Times New Roman" w:hAnsi="Times New Roman" w:cs="Times New Roman"/>
              </w:rPr>
            </w:pPr>
            <w:r>
              <w:rPr>
                <w:rFonts w:ascii="Times New Roman" w:hAnsi="Times New Roman" w:cs="Times New Roman"/>
              </w:rPr>
              <w:t>31</w:t>
            </w:r>
          </w:p>
        </w:tc>
      </w:tr>
      <w:tr w:rsidR="00E17247" w:rsidRPr="005F4C00" w:rsidTr="00E17247">
        <w:trPr>
          <w:jc w:val="center"/>
        </w:trPr>
        <w:tc>
          <w:tcPr>
            <w:tcW w:w="718"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7.</w:t>
            </w:r>
          </w:p>
        </w:tc>
        <w:tc>
          <w:tcPr>
            <w:tcW w:w="876"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10.65</w:t>
            </w:r>
          </w:p>
        </w:tc>
        <w:tc>
          <w:tcPr>
            <w:tcW w:w="900" w:type="dxa"/>
          </w:tcPr>
          <w:p w:rsidR="00E17247" w:rsidRPr="00E17247" w:rsidRDefault="00E17247" w:rsidP="0031339B">
            <w:pPr>
              <w:jc w:val="center"/>
              <w:rPr>
                <w:rFonts w:ascii="Times New Roman" w:hAnsi="Times New Roman" w:cs="Times New Roman"/>
              </w:rPr>
            </w:pPr>
            <w:r w:rsidRPr="00E17247">
              <w:rPr>
                <w:rFonts w:ascii="Times New Roman" w:hAnsi="Times New Roman" w:cs="Times New Roman"/>
              </w:rPr>
              <w:t>-</w:t>
            </w:r>
          </w:p>
        </w:tc>
        <w:tc>
          <w:tcPr>
            <w:tcW w:w="1612" w:type="dxa"/>
          </w:tcPr>
          <w:p w:rsidR="00E17247" w:rsidRPr="00E17247" w:rsidRDefault="00E17247" w:rsidP="0031339B">
            <w:pPr>
              <w:rPr>
                <w:rFonts w:ascii="Times New Roman" w:eastAsia="Times New Roman" w:hAnsi="Times New Roman" w:cs="Times New Roman"/>
              </w:rPr>
            </w:pPr>
            <w:r w:rsidRPr="00E17247">
              <w:rPr>
                <w:rFonts w:ascii="Times New Roman" w:eastAsia="Times New Roman" w:hAnsi="Times New Roman" w:cs="Times New Roman"/>
              </w:rPr>
              <w:t>0.1M, 30</w:t>
            </w:r>
            <w:r w:rsidRPr="00E17247">
              <w:rPr>
                <w:rFonts w:ascii="Times New Roman" w:eastAsia="Times New Roman" w:hAnsi="Times New Roman" w:cs="Times New Roman"/>
                <w:vertAlign w:val="superscript"/>
              </w:rPr>
              <w:t>0</w:t>
            </w:r>
            <w:r w:rsidRPr="00E17247">
              <w:rPr>
                <w:rFonts w:ascii="Times New Roman" w:eastAsia="Times New Roman" w:hAnsi="Times New Roman" w:cs="Times New Roman"/>
              </w:rPr>
              <w:t>C</w:t>
            </w:r>
          </w:p>
        </w:tc>
        <w:tc>
          <w:tcPr>
            <w:tcW w:w="1212" w:type="dxa"/>
          </w:tcPr>
          <w:p w:rsidR="00E17247" w:rsidRPr="00E17247" w:rsidRDefault="00E17247" w:rsidP="0031339B">
            <w:pPr>
              <w:rPr>
                <w:rFonts w:ascii="Times New Roman" w:hAnsi="Times New Roman" w:cs="Times New Roman"/>
              </w:rPr>
            </w:pPr>
            <w:r w:rsidRPr="00E17247">
              <w:rPr>
                <w:rFonts w:ascii="Times New Roman" w:hAnsi="Times New Roman" w:cs="Times New Roman"/>
              </w:rPr>
              <w:t>Pot</w:t>
            </w:r>
          </w:p>
        </w:tc>
        <w:tc>
          <w:tcPr>
            <w:tcW w:w="888" w:type="dxa"/>
          </w:tcPr>
          <w:p w:rsidR="00E17247" w:rsidRPr="00E17247" w:rsidRDefault="005C734D" w:rsidP="0031339B">
            <w:pPr>
              <w:rPr>
                <w:rFonts w:ascii="Times New Roman" w:hAnsi="Times New Roman" w:cs="Times New Roman"/>
              </w:rPr>
            </w:pPr>
            <w:r>
              <w:rPr>
                <w:rFonts w:ascii="Times New Roman" w:hAnsi="Times New Roman" w:cs="Times New Roman"/>
              </w:rPr>
              <w:t>32</w:t>
            </w:r>
          </w:p>
        </w:tc>
      </w:tr>
    </w:tbl>
    <w:p w:rsidR="00E17247" w:rsidRDefault="00E17247" w:rsidP="00EC137B">
      <w:pPr>
        <w:pStyle w:val="BodyText"/>
        <w:spacing w:line="480" w:lineRule="auto"/>
        <w:ind w:firstLine="720"/>
      </w:pPr>
    </w:p>
    <w:p w:rsidR="00D94072" w:rsidRDefault="00286DC0" w:rsidP="00EA4C32">
      <w:pPr>
        <w:pStyle w:val="BodyText"/>
        <w:spacing w:line="480" w:lineRule="auto"/>
        <w:ind w:firstLine="720"/>
      </w:pPr>
      <w:r w:rsidRPr="00286DC0">
        <w:t>Fig. 10b displays the species distribution diagram for L-proline.</w:t>
      </w:r>
      <w:r w:rsidR="00EC137B">
        <w:t xml:space="preserve">  </w:t>
      </w:r>
      <w:r w:rsidR="00EC137B" w:rsidRPr="00DC7889">
        <w:t xml:space="preserve">Nearly </w:t>
      </w:r>
      <w:r w:rsidR="00EC137B">
        <w:t>5</w:t>
      </w:r>
      <w:r w:rsidR="00EC137B" w:rsidRPr="00DC7889">
        <w:t>5% of the ligand is</w:t>
      </w:r>
      <w:r w:rsidR="00EC137B">
        <w:t xml:space="preserve"> in b</w:t>
      </w:r>
      <w:r w:rsidR="00EC137B" w:rsidRPr="00DC7889">
        <w:t>iprotonated form at 1.80 pH.  The zwitterion form dominates in the intermediate region i.e. between ~4.0 and ~8.0 pH.  The deprotonated form of the ligand (X</w:t>
      </w:r>
      <w:r w:rsidR="00EC137B" w:rsidRPr="00DC7889">
        <w:rPr>
          <w:vertAlign w:val="superscript"/>
        </w:rPr>
        <w:t>-</w:t>
      </w:r>
      <w:r w:rsidR="00EC137B" w:rsidRPr="00DC7889">
        <w:t xml:space="preserve">) exists only above </w:t>
      </w:r>
      <w:r w:rsidR="00EC137B">
        <w:t>8.0</w:t>
      </w:r>
      <w:r w:rsidR="00EC137B" w:rsidRPr="00DC7889">
        <w:t xml:space="preserve"> pH and increases monotonically above this point.</w:t>
      </w:r>
    </w:p>
    <w:p w:rsidR="00C9686C" w:rsidRPr="00740045" w:rsidRDefault="00C9686C" w:rsidP="00C9686C">
      <w:pPr>
        <w:spacing w:line="240" w:lineRule="auto"/>
        <w:jc w:val="both"/>
        <w:rPr>
          <w:b/>
        </w:rPr>
      </w:pPr>
      <w:r>
        <w:t>3.</w:t>
      </w:r>
      <w:r w:rsidR="00612077">
        <w:t>2</w:t>
      </w:r>
      <w:r>
        <w:t xml:space="preserve"> </w:t>
      </w:r>
      <w:r w:rsidRPr="00740045">
        <w:rPr>
          <w:b/>
        </w:rPr>
        <w:t>Acid-base equilibria</w:t>
      </w:r>
      <w:r w:rsidR="00E505DB">
        <w:rPr>
          <w:b/>
        </w:rPr>
        <w:t xml:space="preserve"> </w:t>
      </w:r>
      <w:r w:rsidRPr="00740045">
        <w:rPr>
          <w:b/>
        </w:rPr>
        <w:t>of L-Lysine:</w:t>
      </w:r>
    </w:p>
    <w:p w:rsidR="0025514E" w:rsidRDefault="0025514E" w:rsidP="0036258F">
      <w:pPr>
        <w:spacing w:before="240" w:line="480" w:lineRule="auto"/>
        <w:jc w:val="both"/>
      </w:pPr>
      <w:r>
        <w:tab/>
      </w:r>
      <w:r w:rsidR="006148B6" w:rsidRPr="006148B6">
        <w:t>An important aliphatic α-amino acid is lysine (2, 6-diminohexanoic acid).  With an extra amino group bonded to the ω-carbon atom in the side chain, it is a polar amino acid (Fig. 3.11).  Since the ω-NH2 group is protonated in aqueous solution over a broad pH range, including the physiological pH, lysine is categorized as a positively charged basic amino acid. L-lysine is necessary for healthy growth and is a key component in the synthesis of carnitine, a nutrient that helps decrease cholesterol and converts fatty acids into energy.</w:t>
      </w:r>
    </w:p>
    <w:p w:rsidR="00A86215" w:rsidRDefault="003A36F6" w:rsidP="00A86215">
      <w:pPr>
        <w:spacing w:line="480" w:lineRule="auto"/>
        <w:ind w:firstLine="720"/>
        <w:jc w:val="both"/>
      </w:pPr>
      <w:r w:rsidRPr="003A36F6">
        <w:t xml:space="preserve">The ω-NH2 group of the side chain is the first center to protonate in the fully ionized lysine anion (X-), followed by the α-NH2 group and the carboxylate group.   </w:t>
      </w:r>
      <w:r w:rsidR="00A86215">
        <w:t>Structurally</w:t>
      </w:r>
      <w:r w:rsidR="00A86215" w:rsidRPr="00960F4C">
        <w:t xml:space="preserve">, </w:t>
      </w:r>
      <w:r w:rsidR="00A86215">
        <w:t xml:space="preserve">it is therefore, possible that lysine </w:t>
      </w:r>
      <w:r w:rsidR="00A86215" w:rsidRPr="00960F4C">
        <w:t xml:space="preserve">(XH) </w:t>
      </w:r>
      <w:r w:rsidR="00A86215">
        <w:t>can</w:t>
      </w:r>
      <w:r w:rsidR="00A86215" w:rsidRPr="00960F4C">
        <w:t xml:space="preserve"> exist</w:t>
      </w:r>
      <w:r w:rsidR="00A86215">
        <w:t xml:space="preserve"> </w:t>
      </w:r>
      <w:r w:rsidR="00A86215" w:rsidRPr="00960F4C">
        <w:t>in solution as XH</w:t>
      </w:r>
      <w:r w:rsidR="00A86215" w:rsidRPr="00960F4C">
        <w:rPr>
          <w:vertAlign w:val="subscript"/>
        </w:rPr>
        <w:t>3</w:t>
      </w:r>
      <w:r w:rsidR="00F22BF8">
        <w:rPr>
          <w:vertAlign w:val="superscript"/>
        </w:rPr>
        <w:t>2</w:t>
      </w:r>
      <w:r w:rsidR="00A86215" w:rsidRPr="00960F4C">
        <w:rPr>
          <w:vertAlign w:val="superscript"/>
        </w:rPr>
        <w:t>+</w:t>
      </w:r>
      <w:r w:rsidR="00A86215" w:rsidRPr="00960F4C">
        <w:t>, XH</w:t>
      </w:r>
      <w:r w:rsidR="00A86215" w:rsidRPr="00960F4C">
        <w:rPr>
          <w:vertAlign w:val="subscript"/>
        </w:rPr>
        <w:t>2</w:t>
      </w:r>
      <w:r w:rsidR="00F22BF8">
        <w:rPr>
          <w:vertAlign w:val="superscript"/>
        </w:rPr>
        <w:t>+</w:t>
      </w:r>
      <w:r w:rsidR="00A86215" w:rsidRPr="00960F4C">
        <w:t>, XH and X</w:t>
      </w:r>
      <w:r w:rsidR="00A86215" w:rsidRPr="00960F4C">
        <w:rPr>
          <w:vertAlign w:val="superscript"/>
        </w:rPr>
        <w:t>-</w:t>
      </w:r>
      <w:r w:rsidR="00F22BF8">
        <w:t>.</w:t>
      </w:r>
    </w:p>
    <w:tbl>
      <w:tblPr>
        <w:tblStyle w:val="TableGrid"/>
        <w:tblW w:w="0" w:type="auto"/>
        <w:jc w:val="center"/>
        <w:tblInd w:w="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2"/>
        <w:gridCol w:w="3790"/>
      </w:tblGrid>
      <w:tr w:rsidR="00E54304" w:rsidTr="00FD0E34">
        <w:trPr>
          <w:jc w:val="center"/>
        </w:trPr>
        <w:tc>
          <w:tcPr>
            <w:tcW w:w="1722" w:type="dxa"/>
            <w:vMerge w:val="restart"/>
          </w:tcPr>
          <w:p w:rsidR="00E54304" w:rsidRDefault="00DE5B1B" w:rsidP="00FD0E34">
            <w:pPr>
              <w:jc w:val="center"/>
            </w:pPr>
            <w:r w:rsidRPr="00E35EB1">
              <w:rPr>
                <w:rFonts w:ascii="Times New Roman" w:eastAsiaTheme="minorHAnsi" w:hAnsi="Times New Roman" w:cs="Times New Roman"/>
                <w:sz w:val="24"/>
                <w:szCs w:val="24"/>
              </w:rPr>
              <w:object w:dxaOrig="2023" w:dyaOrig="4000">
                <v:shape id="_x0000_i1036" type="#_x0000_t75" style="width:64.5pt;height:129pt" o:ole="">
                  <v:imagedata r:id="rId36" o:title=""/>
                </v:shape>
                <o:OLEObject Type="Embed" ProgID="ChemDraw.Document.6.0" ShapeID="_x0000_i1036" DrawAspect="Content" ObjectID="_1756710474" r:id="rId37"/>
              </w:object>
            </w:r>
          </w:p>
        </w:tc>
        <w:tc>
          <w:tcPr>
            <w:tcW w:w="3790" w:type="dxa"/>
          </w:tcPr>
          <w:p w:rsidR="00E54304" w:rsidRDefault="00DE5B1B" w:rsidP="0031339B">
            <w:r w:rsidRPr="000777B7">
              <w:rPr>
                <w:rFonts w:ascii="Times New Roman" w:eastAsiaTheme="minorHAnsi" w:hAnsi="Times New Roman" w:cs="Times New Roman"/>
                <w:sz w:val="24"/>
                <w:szCs w:val="24"/>
              </w:rPr>
              <w:object w:dxaOrig="7002" w:dyaOrig="2776">
                <v:shape id="_x0000_i1037" type="#_x0000_t75" style="width:159.75pt;height:63.75pt" o:ole="">
                  <v:imagedata r:id="rId38" o:title=""/>
                </v:shape>
                <o:OLEObject Type="Embed" ProgID="Chem3D.Document.8" ShapeID="_x0000_i1037" DrawAspect="Content" ObjectID="_1756710475" r:id="rId39"/>
              </w:object>
            </w:r>
          </w:p>
        </w:tc>
      </w:tr>
      <w:tr w:rsidR="00E54304" w:rsidTr="00FD0E34">
        <w:trPr>
          <w:jc w:val="center"/>
        </w:trPr>
        <w:tc>
          <w:tcPr>
            <w:tcW w:w="1722" w:type="dxa"/>
            <w:vMerge/>
          </w:tcPr>
          <w:p w:rsidR="00E54304" w:rsidRDefault="00E54304" w:rsidP="0031339B"/>
        </w:tc>
        <w:tc>
          <w:tcPr>
            <w:tcW w:w="3790" w:type="dxa"/>
          </w:tcPr>
          <w:p w:rsidR="00E54304" w:rsidRDefault="00E54304" w:rsidP="0031339B">
            <w:r>
              <w:rPr>
                <w:rFonts w:ascii="Times New Roman" w:eastAsiaTheme="minorHAnsi" w:hAnsi="Times New Roman" w:cs="Times New Roman"/>
                <w:sz w:val="24"/>
                <w:szCs w:val="24"/>
              </w:rPr>
              <w:t xml:space="preserve">     </w:t>
            </w:r>
            <w:r w:rsidR="00DE5B1B" w:rsidRPr="000777B7">
              <w:rPr>
                <w:rFonts w:ascii="Times New Roman" w:eastAsiaTheme="minorHAnsi" w:hAnsi="Times New Roman" w:cs="Times New Roman"/>
                <w:sz w:val="24"/>
                <w:szCs w:val="24"/>
              </w:rPr>
              <w:object w:dxaOrig="4442" w:dyaOrig="1860">
                <v:shape id="_x0000_i1038" type="#_x0000_t75" style="width:140.25pt;height:58.5pt" o:ole="">
                  <v:imagedata r:id="rId40" o:title=""/>
                </v:shape>
                <o:OLEObject Type="Embed" ProgID="ChemDraw.Document.6.0" ShapeID="_x0000_i1038" DrawAspect="Content" ObjectID="_1756710476" r:id="rId41"/>
              </w:object>
            </w:r>
          </w:p>
        </w:tc>
      </w:tr>
    </w:tbl>
    <w:p w:rsidR="008948A8" w:rsidRDefault="00E505DB" w:rsidP="008948A8">
      <w:pPr>
        <w:spacing w:before="240" w:line="240" w:lineRule="auto"/>
        <w:jc w:val="center"/>
      </w:pPr>
      <w:r>
        <w:rPr>
          <w:b/>
        </w:rPr>
        <w:t xml:space="preserve">  </w:t>
      </w:r>
      <w:r w:rsidR="008948A8" w:rsidRPr="00191994">
        <w:rPr>
          <w:b/>
        </w:rPr>
        <w:t>Figure 3.</w:t>
      </w:r>
      <w:r w:rsidR="008948A8">
        <w:rPr>
          <w:b/>
        </w:rPr>
        <w:t>11</w:t>
      </w:r>
      <w:r w:rsidR="008948A8" w:rsidRPr="00191994">
        <w:rPr>
          <w:b/>
        </w:rPr>
        <w:t xml:space="preserve">: </w:t>
      </w:r>
      <w:r w:rsidR="008948A8">
        <w:rPr>
          <w:b/>
        </w:rPr>
        <w:t xml:space="preserve"> </w:t>
      </w:r>
      <w:r w:rsidR="00E54304">
        <w:rPr>
          <w:b/>
        </w:rPr>
        <w:t>L-</w:t>
      </w:r>
      <w:r w:rsidR="008948A8">
        <w:t>Lysine</w:t>
      </w:r>
    </w:p>
    <w:p w:rsidR="009B3F4F" w:rsidRDefault="009B3F4F" w:rsidP="009B3F4F">
      <w:pPr>
        <w:spacing w:line="480" w:lineRule="auto"/>
        <w:ind w:firstLine="720"/>
        <w:jc w:val="both"/>
      </w:pPr>
      <w:r>
        <w:t>The equilibria for the formation of the protonated species from the most anionic form of lysine (X</w:t>
      </w:r>
      <w:r>
        <w:rPr>
          <w:vertAlign w:val="superscript"/>
        </w:rPr>
        <w:t>-</w:t>
      </w:r>
      <w:r w:rsidR="00E505DB">
        <w:t>) are shown in Fig.</w:t>
      </w:r>
      <w:r w:rsidR="00EA4C32">
        <w:t xml:space="preserve"> </w:t>
      </w:r>
      <w:r>
        <w:t xml:space="preserve">12.  </w:t>
      </w:r>
      <w:r w:rsidRPr="009B3F4F">
        <w:rPr>
          <w:i/>
        </w:rPr>
        <w:t>β</w:t>
      </w:r>
      <w:r w:rsidRPr="009B3F4F">
        <w:rPr>
          <w:i/>
          <w:vertAlign w:val="subscript"/>
        </w:rPr>
        <w:t>011</w:t>
      </w:r>
      <w:r>
        <w:t xml:space="preserve">, </w:t>
      </w:r>
      <w:r w:rsidRPr="009B3F4F">
        <w:rPr>
          <w:i/>
        </w:rPr>
        <w:t>β</w:t>
      </w:r>
      <w:r w:rsidRPr="009B3F4F">
        <w:rPr>
          <w:i/>
          <w:vertAlign w:val="subscript"/>
        </w:rPr>
        <w:t>012</w:t>
      </w:r>
      <w:r>
        <w:t xml:space="preserve"> and </w:t>
      </w:r>
      <w:r w:rsidRPr="009B3F4F">
        <w:rPr>
          <w:i/>
        </w:rPr>
        <w:t>β</w:t>
      </w:r>
      <w:r w:rsidRPr="009B3F4F">
        <w:rPr>
          <w:i/>
          <w:vertAlign w:val="subscript"/>
        </w:rPr>
        <w:t>013</w:t>
      </w:r>
      <w:r>
        <w:t xml:space="preserve"> are the overall formation constants for the formation of XH, </w:t>
      </w:r>
      <w:r w:rsidRPr="00960F4C">
        <w:t>XH</w:t>
      </w:r>
      <w:r w:rsidRPr="00960F4C">
        <w:rPr>
          <w:vertAlign w:val="subscript"/>
        </w:rPr>
        <w:t>2</w:t>
      </w:r>
      <w:r>
        <w:rPr>
          <w:vertAlign w:val="superscript"/>
        </w:rPr>
        <w:t xml:space="preserve">+ </w:t>
      </w:r>
      <w:r>
        <w:t xml:space="preserve">and </w:t>
      </w:r>
      <w:r w:rsidRPr="00960F4C">
        <w:t>XH</w:t>
      </w:r>
      <w:r w:rsidRPr="00960F4C">
        <w:rPr>
          <w:vertAlign w:val="subscript"/>
        </w:rPr>
        <w:t>3</w:t>
      </w:r>
      <w:r>
        <w:rPr>
          <w:vertAlign w:val="superscript"/>
        </w:rPr>
        <w:t>2</w:t>
      </w:r>
      <w:r w:rsidRPr="00960F4C">
        <w:rPr>
          <w:vertAlign w:val="superscript"/>
        </w:rPr>
        <w:t>+</w:t>
      </w:r>
      <w:r>
        <w:t xml:space="preserve"> respectively from</w:t>
      </w:r>
      <w:r w:rsidRPr="00960F4C">
        <w:t xml:space="preserve"> X</w:t>
      </w:r>
      <w:r w:rsidRPr="00960F4C">
        <w:rPr>
          <w:vertAlign w:val="superscript"/>
        </w:rPr>
        <w:t>-</w:t>
      </w:r>
      <w:r>
        <w:t>.</w:t>
      </w:r>
    </w:p>
    <w:p w:rsidR="007A0E3F" w:rsidRDefault="00F73E2B" w:rsidP="00635403">
      <w:pPr>
        <w:spacing w:line="240" w:lineRule="auto"/>
        <w:jc w:val="center"/>
      </w:pPr>
      <w:r>
        <w:object w:dxaOrig="9714" w:dyaOrig="8310">
          <v:shape id="_x0000_i1039" type="#_x0000_t75" style="width:287.25pt;height:246.75pt" o:ole="">
            <v:imagedata r:id="rId42" o:title=""/>
          </v:shape>
          <o:OLEObject Type="Embed" ProgID="ChemDraw.Document.6.0" ShapeID="_x0000_i1039" DrawAspect="Content" ObjectID="_1756710477" r:id="rId43"/>
        </w:object>
      </w:r>
    </w:p>
    <w:p w:rsidR="00A86215" w:rsidRDefault="00EA4C32" w:rsidP="00635403">
      <w:pPr>
        <w:spacing w:before="240" w:after="0" w:line="240" w:lineRule="auto"/>
        <w:jc w:val="center"/>
      </w:pPr>
      <w:r>
        <w:rPr>
          <w:b/>
        </w:rPr>
        <w:t xml:space="preserve">Figure </w:t>
      </w:r>
      <w:r w:rsidR="00A86215">
        <w:rPr>
          <w:b/>
        </w:rPr>
        <w:t>12</w:t>
      </w:r>
      <w:r w:rsidR="00A86215" w:rsidRPr="00191994">
        <w:rPr>
          <w:b/>
        </w:rPr>
        <w:t xml:space="preserve">: </w:t>
      </w:r>
      <w:r w:rsidR="00A86215">
        <w:rPr>
          <w:b/>
        </w:rPr>
        <w:t xml:space="preserve"> </w:t>
      </w:r>
      <w:r w:rsidR="00A86215" w:rsidRPr="00A86215">
        <w:t xml:space="preserve">Protonation equilibria of </w:t>
      </w:r>
      <w:r w:rsidR="00F22BF8">
        <w:t xml:space="preserve">the most anionic form of </w:t>
      </w:r>
      <w:r w:rsidR="00A86215" w:rsidRPr="00A86215">
        <w:t>L</w:t>
      </w:r>
      <w:r w:rsidR="00A86215">
        <w:rPr>
          <w:b/>
        </w:rPr>
        <w:t>-</w:t>
      </w:r>
      <w:r w:rsidR="00A86215">
        <w:t>Lysine</w:t>
      </w:r>
      <w:r w:rsidR="00C243D3">
        <w:t>.</w:t>
      </w:r>
    </w:p>
    <w:p w:rsidR="00635403" w:rsidRDefault="00635403" w:rsidP="00635403">
      <w:pPr>
        <w:autoSpaceDE w:val="0"/>
        <w:autoSpaceDN w:val="0"/>
        <w:adjustRightInd w:val="0"/>
        <w:spacing w:line="240" w:lineRule="auto"/>
        <w:jc w:val="both"/>
      </w:pPr>
    </w:p>
    <w:p w:rsidR="004B55DF" w:rsidRPr="00DE5B1B" w:rsidRDefault="00635403" w:rsidP="00F41A9D">
      <w:pPr>
        <w:autoSpaceDE w:val="0"/>
        <w:autoSpaceDN w:val="0"/>
        <w:adjustRightInd w:val="0"/>
        <w:spacing w:line="480" w:lineRule="auto"/>
        <w:jc w:val="both"/>
        <w:rPr>
          <w:rFonts w:eastAsia="Calibri"/>
        </w:rPr>
      </w:pPr>
      <w:r>
        <w:tab/>
      </w:r>
      <w:r w:rsidR="004B55DF" w:rsidRPr="00960F4C">
        <w:t xml:space="preserve">The </w:t>
      </w:r>
      <w:r w:rsidR="004B55DF">
        <w:t>pH-metric</w:t>
      </w:r>
      <w:r w:rsidR="004B55DF" w:rsidRPr="00960F4C">
        <w:t xml:space="preserve"> titration curves</w:t>
      </w:r>
      <w:r w:rsidR="004B55DF">
        <w:t xml:space="preserve"> obtained,</w:t>
      </w:r>
      <w:r w:rsidR="004B55DF" w:rsidRPr="00960F4C">
        <w:t xml:space="preserve"> </w:t>
      </w:r>
      <w:r w:rsidR="004B55DF">
        <w:t>for acid-base systems</w:t>
      </w:r>
      <w:r w:rsidR="004B55DF" w:rsidRPr="00960F4C">
        <w:t xml:space="preserve"> of </w:t>
      </w:r>
      <w:r w:rsidR="004B55DF">
        <w:t>lysine</w:t>
      </w:r>
      <w:r w:rsidR="004B55DF" w:rsidRPr="00960F4C">
        <w:t xml:space="preserve"> are sho</w:t>
      </w:r>
      <w:r w:rsidR="00E505DB">
        <w:t>wn in Fig.</w:t>
      </w:r>
      <w:r w:rsidR="00EA4C32">
        <w:t xml:space="preserve"> </w:t>
      </w:r>
      <w:r w:rsidR="004B55DF">
        <w:t>13</w:t>
      </w:r>
      <w:r w:rsidR="004B55DF" w:rsidRPr="00960F4C">
        <w:t xml:space="preserve">a.  The titration curve for the </w:t>
      </w:r>
      <w:r w:rsidR="004B55DF">
        <w:t>acid+ lysine</w:t>
      </w:r>
      <w:r w:rsidR="004B55DF" w:rsidRPr="00960F4C">
        <w:t xml:space="preserve"> (curve 2) is above that of free acid (curve 1) </w:t>
      </w:r>
      <w:r w:rsidR="009633EF">
        <w:t>over a wide range of pH</w:t>
      </w:r>
      <w:r w:rsidR="004B55DF" w:rsidRPr="00960F4C">
        <w:t xml:space="preserve"> indicat</w:t>
      </w:r>
      <w:r w:rsidR="009633EF">
        <w:t>ing the initial association of</w:t>
      </w:r>
      <w:r w:rsidR="004B55DF" w:rsidRPr="00960F4C">
        <w:t xml:space="preserve"> proton</w:t>
      </w:r>
      <w:r w:rsidR="009633EF">
        <w:t>s</w:t>
      </w:r>
      <w:r w:rsidR="004B55DF" w:rsidRPr="00960F4C">
        <w:t xml:space="preserve"> to the ligand.  </w:t>
      </w:r>
      <w:r w:rsidR="00082C9B">
        <w:t>There are two well-</w:t>
      </w:r>
      <w:r w:rsidR="00BE7FD0">
        <w:t xml:space="preserve">separated buffer regions. </w:t>
      </w:r>
      <w:r w:rsidR="004B55DF" w:rsidRPr="00960F4C">
        <w:t>The buffer region below ~</w:t>
      </w:r>
      <w:r w:rsidR="009633EF">
        <w:t>3.</w:t>
      </w:r>
      <w:r w:rsidR="004B55DF" w:rsidRPr="00960F4C">
        <w:t>0 pH correspond</w:t>
      </w:r>
      <w:r w:rsidR="00082C9B">
        <w:t>s</w:t>
      </w:r>
      <w:r w:rsidR="004B55DF" w:rsidRPr="00960F4C">
        <w:t xml:space="preserve"> to the </w:t>
      </w:r>
      <w:r w:rsidR="00082C9B">
        <w:t>titration</w:t>
      </w:r>
      <w:r w:rsidR="009633EF">
        <w:t xml:space="preserve"> of </w:t>
      </w:r>
      <w:r w:rsidR="00082C9B">
        <w:t xml:space="preserve">a </w:t>
      </w:r>
      <w:r w:rsidR="009633EF">
        <w:t>carboxylic proton</w:t>
      </w:r>
      <w:r w:rsidR="004B55DF" w:rsidRPr="00960F4C">
        <w:t xml:space="preserve">. The buffer region above pH ~7.0 indicates the </w:t>
      </w:r>
      <w:r w:rsidR="004B55DF">
        <w:t>titration</w:t>
      </w:r>
      <w:r w:rsidR="004B55DF" w:rsidRPr="00960F4C">
        <w:t xml:space="preserve"> of </w:t>
      </w:r>
      <w:r w:rsidR="00BE7FD0">
        <w:lastRenderedPageBreak/>
        <w:t>both α- and ω-</w:t>
      </w:r>
      <w:r w:rsidR="004B55DF" w:rsidRPr="00960F4C">
        <w:t>ammonium</w:t>
      </w:r>
      <w:r w:rsidR="004B55DF" w:rsidRPr="00960F4C">
        <w:rPr>
          <w:color w:val="FF0000"/>
        </w:rPr>
        <w:t xml:space="preserve"> </w:t>
      </w:r>
      <w:r w:rsidR="004B55DF" w:rsidRPr="00960F4C">
        <w:t>proton</w:t>
      </w:r>
      <w:r w:rsidR="009633EF">
        <w:t>s</w:t>
      </w:r>
      <w:r w:rsidR="004B55DF" w:rsidRPr="00960F4C">
        <w:t xml:space="preserve">.  </w:t>
      </w:r>
      <w:r w:rsidR="00DE5B1B">
        <w:t xml:space="preserve">The protonation equilibria of </w:t>
      </w:r>
      <w:r w:rsidR="00082C9B">
        <w:t xml:space="preserve">the two </w:t>
      </w:r>
      <w:r w:rsidR="00DE5B1B">
        <w:t>–NH</w:t>
      </w:r>
      <w:r w:rsidR="00DE5B1B">
        <w:rPr>
          <w:vertAlign w:val="subscript"/>
        </w:rPr>
        <w:t>2</w:t>
      </w:r>
      <w:r w:rsidR="00DE5B1B">
        <w:t xml:space="preserve"> groups are overlapping. </w:t>
      </w:r>
    </w:p>
    <w:tbl>
      <w:tblPr>
        <w:tblW w:w="7739" w:type="dxa"/>
        <w:jc w:val="center"/>
        <w:tblLook w:val="04A0"/>
      </w:tblPr>
      <w:tblGrid>
        <w:gridCol w:w="683"/>
        <w:gridCol w:w="2264"/>
        <w:gridCol w:w="1397"/>
        <w:gridCol w:w="1067"/>
        <w:gridCol w:w="2328"/>
      </w:tblGrid>
      <w:tr w:rsidR="00032076" w:rsidRPr="00377912" w:rsidTr="00FE5BA1">
        <w:trPr>
          <w:trHeight w:val="3053"/>
          <w:jc w:val="center"/>
        </w:trPr>
        <w:tc>
          <w:tcPr>
            <w:tcW w:w="4344" w:type="dxa"/>
            <w:gridSpan w:val="3"/>
          </w:tcPr>
          <w:p w:rsidR="00032076" w:rsidRPr="00224BBF" w:rsidRDefault="00032076" w:rsidP="0031339B">
            <w:pPr>
              <w:spacing w:after="0" w:line="240" w:lineRule="auto"/>
              <w:jc w:val="center"/>
              <w:rPr>
                <w:sz w:val="20"/>
                <w:szCs w:val="20"/>
              </w:rPr>
            </w:pPr>
            <w:r w:rsidRPr="00224BBF">
              <w:t xml:space="preserve">    </w:t>
            </w:r>
            <w:r>
              <w:rPr>
                <w:noProof/>
                <w:lang w:val="en-US"/>
              </w:rPr>
              <w:drawing>
                <wp:inline distT="0" distB="0" distL="0" distR="0">
                  <wp:extent cx="2438400" cy="1971472"/>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srcRect/>
                          <a:stretch>
                            <a:fillRect/>
                          </a:stretch>
                        </pic:blipFill>
                        <pic:spPr bwMode="auto">
                          <a:xfrm>
                            <a:off x="0" y="0"/>
                            <a:ext cx="2438400" cy="1971472"/>
                          </a:xfrm>
                          <a:prstGeom prst="rect">
                            <a:avLst/>
                          </a:prstGeom>
                          <a:noFill/>
                          <a:ln w="9525">
                            <a:noFill/>
                            <a:miter lim="800000"/>
                            <a:headEnd/>
                            <a:tailEnd/>
                          </a:ln>
                        </pic:spPr>
                      </pic:pic>
                    </a:graphicData>
                  </a:graphic>
                </wp:inline>
              </w:drawing>
            </w:r>
          </w:p>
        </w:tc>
        <w:tc>
          <w:tcPr>
            <w:tcW w:w="3395" w:type="dxa"/>
            <w:gridSpan w:val="2"/>
            <w:vAlign w:val="center"/>
          </w:tcPr>
          <w:p w:rsidR="00032076" w:rsidRPr="00852ECB" w:rsidRDefault="00032076" w:rsidP="0031339B">
            <w:pPr>
              <w:spacing w:after="0" w:line="240" w:lineRule="auto"/>
              <w:rPr>
                <w:sz w:val="20"/>
                <w:szCs w:val="20"/>
              </w:rPr>
            </w:pPr>
            <w:r w:rsidRPr="00FB1995">
              <w:rPr>
                <w:noProof/>
                <w:sz w:val="20"/>
                <w:szCs w:val="20"/>
                <w:lang w:val="en-US"/>
              </w:rPr>
              <w:drawing>
                <wp:inline distT="0" distB="0" distL="0" distR="0">
                  <wp:extent cx="1750422" cy="18288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1759400" cy="1838180"/>
                          </a:xfrm>
                          <a:prstGeom prst="rect">
                            <a:avLst/>
                          </a:prstGeom>
                          <a:noFill/>
                          <a:ln w="3175">
                            <a:noFill/>
                            <a:miter lim="800000"/>
                            <a:headEnd/>
                            <a:tailEnd/>
                          </a:ln>
                        </pic:spPr>
                      </pic:pic>
                    </a:graphicData>
                  </a:graphic>
                </wp:inline>
              </w:drawing>
            </w:r>
          </w:p>
        </w:tc>
      </w:tr>
      <w:tr w:rsidR="00032076" w:rsidRPr="00377912" w:rsidTr="00FE5BA1">
        <w:trPr>
          <w:jc w:val="center"/>
        </w:trPr>
        <w:tc>
          <w:tcPr>
            <w:tcW w:w="683" w:type="dxa"/>
          </w:tcPr>
          <w:p w:rsidR="00032076" w:rsidRPr="003C307D" w:rsidRDefault="00032076" w:rsidP="0031339B">
            <w:pPr>
              <w:spacing w:after="0" w:line="240" w:lineRule="auto"/>
              <w:rPr>
                <w:sz w:val="20"/>
                <w:szCs w:val="20"/>
              </w:rPr>
            </w:pPr>
            <w:r>
              <w:rPr>
                <w:sz w:val="20"/>
                <w:szCs w:val="20"/>
              </w:rPr>
              <w:t xml:space="preserve">    </w:t>
            </w:r>
            <w:r w:rsidRPr="003C307D">
              <w:rPr>
                <w:sz w:val="20"/>
                <w:szCs w:val="20"/>
              </w:rPr>
              <w:t>a.</w:t>
            </w:r>
          </w:p>
        </w:tc>
        <w:tc>
          <w:tcPr>
            <w:tcW w:w="3661" w:type="dxa"/>
            <w:gridSpan w:val="2"/>
          </w:tcPr>
          <w:p w:rsidR="00032076" w:rsidRPr="003C307D" w:rsidRDefault="00032076" w:rsidP="0031339B">
            <w:pPr>
              <w:spacing w:after="0" w:line="240" w:lineRule="auto"/>
              <w:ind w:left="-72"/>
              <w:rPr>
                <w:sz w:val="20"/>
                <w:szCs w:val="20"/>
              </w:rPr>
            </w:pPr>
            <w:r w:rsidRPr="003C307D">
              <w:rPr>
                <w:sz w:val="20"/>
                <w:szCs w:val="20"/>
              </w:rPr>
              <w:t>1.  Titration curve of free mineral acid</w:t>
            </w:r>
          </w:p>
        </w:tc>
        <w:tc>
          <w:tcPr>
            <w:tcW w:w="3395" w:type="dxa"/>
            <w:gridSpan w:val="2"/>
          </w:tcPr>
          <w:p w:rsidR="00032076" w:rsidRPr="003C307D" w:rsidRDefault="00032076" w:rsidP="0031339B">
            <w:pPr>
              <w:spacing w:after="0" w:line="240" w:lineRule="auto"/>
              <w:rPr>
                <w:sz w:val="20"/>
                <w:szCs w:val="20"/>
              </w:rPr>
            </w:pPr>
            <w:r w:rsidRPr="003C307D">
              <w:rPr>
                <w:sz w:val="20"/>
                <w:szCs w:val="20"/>
              </w:rPr>
              <w:t xml:space="preserve">      b. Species distribution diagram</w:t>
            </w:r>
          </w:p>
        </w:tc>
      </w:tr>
      <w:tr w:rsidR="00032076" w:rsidRPr="00377912" w:rsidTr="00FE5BA1">
        <w:trPr>
          <w:jc w:val="center"/>
        </w:trPr>
        <w:tc>
          <w:tcPr>
            <w:tcW w:w="683" w:type="dxa"/>
          </w:tcPr>
          <w:p w:rsidR="00032076" w:rsidRPr="003C307D" w:rsidRDefault="00032076" w:rsidP="0031339B">
            <w:pPr>
              <w:spacing w:after="0" w:line="240" w:lineRule="auto"/>
              <w:rPr>
                <w:b/>
                <w:sz w:val="20"/>
                <w:szCs w:val="20"/>
              </w:rPr>
            </w:pPr>
          </w:p>
        </w:tc>
        <w:tc>
          <w:tcPr>
            <w:tcW w:w="3661" w:type="dxa"/>
            <w:gridSpan w:val="2"/>
          </w:tcPr>
          <w:p w:rsidR="00032076" w:rsidRPr="003C307D" w:rsidRDefault="00032076" w:rsidP="0031339B">
            <w:pPr>
              <w:spacing w:after="0" w:line="240" w:lineRule="auto"/>
              <w:ind w:left="-72"/>
              <w:rPr>
                <w:sz w:val="20"/>
                <w:szCs w:val="20"/>
              </w:rPr>
            </w:pPr>
            <w:r>
              <w:rPr>
                <w:sz w:val="20"/>
                <w:szCs w:val="20"/>
              </w:rPr>
              <w:t>2.  Titration curve for acid + Lysine</w:t>
            </w:r>
          </w:p>
        </w:tc>
        <w:tc>
          <w:tcPr>
            <w:tcW w:w="3395" w:type="dxa"/>
            <w:gridSpan w:val="2"/>
          </w:tcPr>
          <w:p w:rsidR="00032076" w:rsidRPr="003C307D" w:rsidRDefault="00032076" w:rsidP="0031339B">
            <w:pPr>
              <w:spacing w:after="0" w:line="240" w:lineRule="auto"/>
              <w:rPr>
                <w:sz w:val="20"/>
                <w:szCs w:val="20"/>
              </w:rPr>
            </w:pPr>
          </w:p>
        </w:tc>
      </w:tr>
      <w:tr w:rsidR="00032076" w:rsidRPr="00377912" w:rsidTr="00FE5BA1">
        <w:trPr>
          <w:jc w:val="center"/>
        </w:trPr>
        <w:tc>
          <w:tcPr>
            <w:tcW w:w="2947" w:type="dxa"/>
            <w:gridSpan w:val="2"/>
          </w:tcPr>
          <w:p w:rsidR="00032076" w:rsidRPr="003C307D" w:rsidRDefault="00032076" w:rsidP="0031339B">
            <w:pPr>
              <w:tabs>
                <w:tab w:val="left" w:pos="3420"/>
              </w:tabs>
              <w:spacing w:after="0" w:line="240" w:lineRule="auto"/>
              <w:rPr>
                <w:sz w:val="20"/>
                <w:szCs w:val="20"/>
              </w:rPr>
            </w:pPr>
            <w:r>
              <w:rPr>
                <w:sz w:val="20"/>
                <w:szCs w:val="20"/>
              </w:rPr>
              <w:t>[Lysine</w:t>
            </w:r>
            <w:r w:rsidRPr="003C307D">
              <w:rPr>
                <w:sz w:val="20"/>
                <w:szCs w:val="20"/>
              </w:rPr>
              <w:t>] =  0.0</w:t>
            </w:r>
            <w:r>
              <w:rPr>
                <w:sz w:val="20"/>
                <w:szCs w:val="20"/>
              </w:rPr>
              <w:t>100</w:t>
            </w:r>
            <w:r w:rsidRPr="003C307D">
              <w:rPr>
                <w:sz w:val="20"/>
                <w:szCs w:val="20"/>
              </w:rPr>
              <w:t xml:space="preserve"> mol dm</w:t>
            </w:r>
            <w:r w:rsidRPr="003C307D">
              <w:rPr>
                <w:sz w:val="20"/>
                <w:szCs w:val="20"/>
                <w:vertAlign w:val="superscript"/>
              </w:rPr>
              <w:t>-3</w:t>
            </w:r>
          </w:p>
        </w:tc>
        <w:tc>
          <w:tcPr>
            <w:tcW w:w="2464" w:type="dxa"/>
            <w:gridSpan w:val="2"/>
          </w:tcPr>
          <w:p w:rsidR="00032076" w:rsidRPr="003C307D" w:rsidRDefault="00032076" w:rsidP="0031339B">
            <w:pPr>
              <w:spacing w:after="0" w:line="240" w:lineRule="auto"/>
              <w:rPr>
                <w:sz w:val="20"/>
                <w:szCs w:val="20"/>
              </w:rPr>
            </w:pPr>
            <w:r w:rsidRPr="003C307D">
              <w:rPr>
                <w:sz w:val="20"/>
                <w:szCs w:val="20"/>
              </w:rPr>
              <w:t xml:space="preserve"> [HCl] =  0.0</w:t>
            </w:r>
            <w:r>
              <w:rPr>
                <w:sz w:val="20"/>
                <w:szCs w:val="20"/>
              </w:rPr>
              <w:t>5005</w:t>
            </w:r>
            <w:r w:rsidRPr="003C307D">
              <w:rPr>
                <w:sz w:val="20"/>
                <w:szCs w:val="20"/>
              </w:rPr>
              <w:t xml:space="preserve"> mol dm</w:t>
            </w:r>
            <w:r w:rsidRPr="003C307D">
              <w:rPr>
                <w:sz w:val="20"/>
                <w:szCs w:val="20"/>
                <w:vertAlign w:val="superscript"/>
              </w:rPr>
              <w:t>-3</w:t>
            </w:r>
            <w:r w:rsidRPr="003C307D">
              <w:rPr>
                <w:sz w:val="20"/>
                <w:szCs w:val="20"/>
              </w:rPr>
              <w:t xml:space="preserve">     </w:t>
            </w:r>
          </w:p>
        </w:tc>
        <w:tc>
          <w:tcPr>
            <w:tcW w:w="2328" w:type="dxa"/>
          </w:tcPr>
          <w:p w:rsidR="00032076" w:rsidRPr="003C307D" w:rsidRDefault="00032076" w:rsidP="0031339B">
            <w:pPr>
              <w:spacing w:after="0" w:line="240" w:lineRule="auto"/>
              <w:rPr>
                <w:sz w:val="20"/>
                <w:szCs w:val="20"/>
              </w:rPr>
            </w:pPr>
            <w:r>
              <w:rPr>
                <w:sz w:val="20"/>
                <w:szCs w:val="20"/>
              </w:rPr>
              <w:t>[K</w:t>
            </w:r>
            <w:r w:rsidRPr="003C307D">
              <w:rPr>
                <w:sz w:val="20"/>
                <w:szCs w:val="20"/>
              </w:rPr>
              <w:t>OH</w:t>
            </w:r>
            <w:r>
              <w:rPr>
                <w:sz w:val="20"/>
                <w:szCs w:val="20"/>
              </w:rPr>
              <w:t xml:space="preserve"> ]= 0.1983</w:t>
            </w:r>
            <w:r w:rsidRPr="003C307D">
              <w:rPr>
                <w:sz w:val="20"/>
                <w:szCs w:val="20"/>
              </w:rPr>
              <w:t xml:space="preserve"> moldm</w:t>
            </w:r>
            <w:r w:rsidRPr="003C307D">
              <w:rPr>
                <w:sz w:val="20"/>
                <w:szCs w:val="20"/>
                <w:vertAlign w:val="superscript"/>
              </w:rPr>
              <w:t>-3</w:t>
            </w:r>
          </w:p>
        </w:tc>
      </w:tr>
      <w:tr w:rsidR="00032076" w:rsidRPr="00377912" w:rsidTr="00FE5BA1">
        <w:trPr>
          <w:jc w:val="center"/>
        </w:trPr>
        <w:tc>
          <w:tcPr>
            <w:tcW w:w="2947" w:type="dxa"/>
            <w:gridSpan w:val="2"/>
          </w:tcPr>
          <w:p w:rsidR="00032076" w:rsidRPr="003C307D" w:rsidRDefault="00032076" w:rsidP="0031339B">
            <w:pPr>
              <w:spacing w:after="0" w:line="240" w:lineRule="auto"/>
              <w:rPr>
                <w:sz w:val="20"/>
                <w:szCs w:val="20"/>
              </w:rPr>
            </w:pPr>
            <w:r w:rsidRPr="003C307D">
              <w:rPr>
                <w:sz w:val="20"/>
                <w:szCs w:val="20"/>
              </w:rPr>
              <w:t>Temp.: 30.0 ±0. 1</w:t>
            </w:r>
            <w:r w:rsidRPr="003C307D">
              <w:rPr>
                <w:sz w:val="20"/>
                <w:szCs w:val="20"/>
                <w:vertAlign w:val="superscript"/>
              </w:rPr>
              <w:t>0</w:t>
            </w:r>
            <w:r w:rsidRPr="003C307D">
              <w:rPr>
                <w:sz w:val="20"/>
                <w:szCs w:val="20"/>
              </w:rPr>
              <w:t xml:space="preserve">C                                        </w:t>
            </w:r>
          </w:p>
        </w:tc>
        <w:tc>
          <w:tcPr>
            <w:tcW w:w="2464" w:type="dxa"/>
            <w:gridSpan w:val="2"/>
          </w:tcPr>
          <w:p w:rsidR="00032076" w:rsidRPr="003C307D" w:rsidRDefault="00032076" w:rsidP="0031339B">
            <w:pPr>
              <w:spacing w:after="0" w:line="240" w:lineRule="auto"/>
              <w:rPr>
                <w:sz w:val="20"/>
                <w:szCs w:val="20"/>
              </w:rPr>
            </w:pPr>
            <w:r>
              <w:rPr>
                <w:sz w:val="20"/>
                <w:szCs w:val="20"/>
              </w:rPr>
              <w:t xml:space="preserve"> </w:t>
            </w:r>
            <w:r w:rsidRPr="003C307D">
              <w:rPr>
                <w:sz w:val="20"/>
                <w:szCs w:val="20"/>
              </w:rPr>
              <w:t>Total volume= 50.0 cm</w:t>
            </w:r>
            <w:r w:rsidRPr="003C307D">
              <w:rPr>
                <w:sz w:val="20"/>
                <w:szCs w:val="20"/>
                <w:vertAlign w:val="superscript"/>
              </w:rPr>
              <w:t>3</w:t>
            </w:r>
            <w:r w:rsidRPr="003C307D">
              <w:rPr>
                <w:sz w:val="20"/>
                <w:szCs w:val="20"/>
              </w:rPr>
              <w:t xml:space="preserve">      </w:t>
            </w:r>
          </w:p>
        </w:tc>
        <w:tc>
          <w:tcPr>
            <w:tcW w:w="2328" w:type="dxa"/>
          </w:tcPr>
          <w:p w:rsidR="00032076" w:rsidRPr="003C307D" w:rsidRDefault="00032076" w:rsidP="0031339B">
            <w:pPr>
              <w:spacing w:after="0" w:line="240" w:lineRule="auto"/>
              <w:rPr>
                <w:sz w:val="20"/>
                <w:szCs w:val="20"/>
              </w:rPr>
            </w:pPr>
            <w:r w:rsidRPr="003C307D">
              <w:rPr>
                <w:i/>
                <w:sz w:val="20"/>
                <w:szCs w:val="20"/>
              </w:rPr>
              <w:t>I</w:t>
            </w:r>
            <w:r w:rsidRPr="003C307D">
              <w:rPr>
                <w:sz w:val="20"/>
                <w:szCs w:val="20"/>
              </w:rPr>
              <w:t xml:space="preserve"> = 0.1 mol dm</w:t>
            </w:r>
            <w:r w:rsidRPr="003C307D">
              <w:rPr>
                <w:sz w:val="20"/>
                <w:szCs w:val="20"/>
                <w:vertAlign w:val="superscript"/>
              </w:rPr>
              <w:t>-3</w:t>
            </w:r>
            <w:r>
              <w:rPr>
                <w:sz w:val="20"/>
                <w:szCs w:val="20"/>
              </w:rPr>
              <w:t xml:space="preserve"> K</w:t>
            </w:r>
            <w:r w:rsidRPr="003C307D">
              <w:rPr>
                <w:sz w:val="20"/>
                <w:szCs w:val="20"/>
              </w:rPr>
              <w:t>Cl</w:t>
            </w:r>
          </w:p>
        </w:tc>
      </w:tr>
      <w:tr w:rsidR="00032076" w:rsidRPr="00EC5FC4" w:rsidTr="00FE5BA1">
        <w:trPr>
          <w:jc w:val="center"/>
        </w:trPr>
        <w:tc>
          <w:tcPr>
            <w:tcW w:w="7739" w:type="dxa"/>
            <w:gridSpan w:val="5"/>
          </w:tcPr>
          <w:p w:rsidR="00032076" w:rsidRPr="00EC5FC4" w:rsidRDefault="00032076" w:rsidP="0031339B">
            <w:pPr>
              <w:spacing w:after="0" w:line="240" w:lineRule="auto"/>
              <w:jc w:val="center"/>
            </w:pPr>
          </w:p>
          <w:p w:rsidR="00032076" w:rsidRPr="00EC5FC4" w:rsidRDefault="00032076" w:rsidP="005F16ED">
            <w:pPr>
              <w:spacing w:after="0" w:line="240" w:lineRule="auto"/>
              <w:jc w:val="center"/>
              <w:rPr>
                <w:i/>
              </w:rPr>
            </w:pPr>
            <w:r w:rsidRPr="00EC5FC4">
              <w:rPr>
                <w:b/>
              </w:rPr>
              <w:t>Figure 3.</w:t>
            </w:r>
            <w:r w:rsidR="00F41A9D" w:rsidRPr="00EC5FC4">
              <w:rPr>
                <w:b/>
              </w:rPr>
              <w:t>13</w:t>
            </w:r>
            <w:r w:rsidRPr="00EC5FC4">
              <w:t>: PROTON-LIGAND SYSTEM OF L-Lysine</w:t>
            </w:r>
          </w:p>
        </w:tc>
      </w:tr>
    </w:tbl>
    <w:p w:rsidR="00BD4BFF" w:rsidRPr="00EC5FC4" w:rsidRDefault="00BD4BFF" w:rsidP="00212CD8">
      <w:pPr>
        <w:spacing w:line="240" w:lineRule="auto"/>
        <w:jc w:val="both"/>
        <w:rPr>
          <w:rFonts w:eastAsia="Calibri"/>
        </w:rPr>
      </w:pPr>
    </w:p>
    <w:p w:rsidR="000E41AB" w:rsidRDefault="00F41A9D" w:rsidP="000E41AB">
      <w:pPr>
        <w:autoSpaceDE w:val="0"/>
        <w:autoSpaceDN w:val="0"/>
        <w:adjustRightInd w:val="0"/>
        <w:jc w:val="both"/>
      </w:pPr>
      <w:r w:rsidRPr="00960F4C">
        <w:t xml:space="preserve">The titration data </w:t>
      </w:r>
      <w:r w:rsidR="00082C9B">
        <w:t>for</w:t>
      </w:r>
      <w:r w:rsidRPr="00960F4C">
        <w:t xml:space="preserve"> all the experiments with different concentrations of the ligand (0.004, 0.01 and 0.015 mol dm</w:t>
      </w:r>
      <w:r w:rsidRPr="00960F4C">
        <w:rPr>
          <w:vertAlign w:val="superscript"/>
        </w:rPr>
        <w:t>-3</w:t>
      </w:r>
      <w:r w:rsidRPr="00960F4C">
        <w:t>) were analysed using the MINIQUAD-75 program</w:t>
      </w:r>
      <w:r w:rsidR="005C734D">
        <w:rPr>
          <w:vertAlign w:val="superscript"/>
        </w:rPr>
        <w:t>18</w:t>
      </w:r>
      <w:r w:rsidRPr="00960F4C">
        <w:t xml:space="preserve">. </w:t>
      </w:r>
      <w:r w:rsidR="00EA7ABC">
        <w:t xml:space="preserve"> The initial estimates for the protonation constants were taken from the literature reports. </w:t>
      </w:r>
      <w:r w:rsidRPr="00960F4C">
        <w:t xml:space="preserve">The best-fit chemical model thus obtained along with the statistical </w:t>
      </w:r>
      <w:r>
        <w:t>parameters is shown in Table 3.5</w:t>
      </w:r>
      <w:r w:rsidRPr="00960F4C">
        <w:t xml:space="preserve">.   </w:t>
      </w:r>
      <w:r w:rsidR="000E41AB">
        <w:t xml:space="preserve">                     </w:t>
      </w:r>
      <w:r w:rsidR="00EA4C32">
        <w:rPr>
          <w:b/>
        </w:rPr>
        <w:t xml:space="preserve">Table </w:t>
      </w:r>
      <w:r>
        <w:rPr>
          <w:b/>
        </w:rPr>
        <w:t>5</w:t>
      </w:r>
      <w:r w:rsidR="00032076" w:rsidRPr="00377912">
        <w:rPr>
          <w:b/>
        </w:rPr>
        <w:t xml:space="preserve">:  </w:t>
      </w:r>
      <w:r w:rsidR="00032076" w:rsidRPr="00377912">
        <w:t>B</w:t>
      </w:r>
      <w:r w:rsidR="00082C9B">
        <w:t>est-</w:t>
      </w:r>
      <w:r w:rsidR="00692867">
        <w:t>fit chemical model for acid-base</w:t>
      </w:r>
      <w:r w:rsidR="00032076" w:rsidRPr="00377912">
        <w:t xml:space="preserve"> equilibria of </w:t>
      </w:r>
    </w:p>
    <w:p w:rsidR="00032076" w:rsidRDefault="000E41AB" w:rsidP="000E41AB">
      <w:pPr>
        <w:autoSpaceDE w:val="0"/>
        <w:autoSpaceDN w:val="0"/>
        <w:adjustRightInd w:val="0"/>
        <w:jc w:val="both"/>
      </w:pPr>
      <w:r>
        <w:t xml:space="preserve">                                        </w:t>
      </w:r>
      <w:r w:rsidR="00032076">
        <w:t>L-Lysine</w:t>
      </w:r>
      <w:r w:rsidR="00032076" w:rsidRPr="00377912">
        <w:t xml:space="preserve"> in </w:t>
      </w:r>
      <w:r w:rsidR="00082C9B">
        <w:t xml:space="preserve">the </w:t>
      </w:r>
      <w:r w:rsidR="00032076" w:rsidRPr="00377912">
        <w:t xml:space="preserve">aqueous medium. </w:t>
      </w:r>
    </w:p>
    <w:p w:rsidR="00032076" w:rsidRDefault="00032076" w:rsidP="00032076">
      <w:pPr>
        <w:spacing w:after="0" w:line="240" w:lineRule="auto"/>
        <w:jc w:val="center"/>
      </w:pPr>
      <w:r w:rsidRPr="00377912">
        <w:t xml:space="preserve"> Temp. = 30.0 ± 0.1°C</w:t>
      </w:r>
      <w:r>
        <w:t xml:space="preserve"> </w:t>
      </w:r>
      <w:r w:rsidRPr="00377912">
        <w:t xml:space="preserve">and ionic strength, </w:t>
      </w:r>
      <w:r w:rsidRPr="00377912">
        <w:rPr>
          <w:i/>
        </w:rPr>
        <w:t>I</w:t>
      </w:r>
      <w:r w:rsidRPr="00377912">
        <w:t xml:space="preserve"> = 0.1 mol dm</w:t>
      </w:r>
      <w:r w:rsidRPr="00377912">
        <w:rPr>
          <w:vertAlign w:val="superscript"/>
        </w:rPr>
        <w:t>–3</w:t>
      </w:r>
      <w:r w:rsidRPr="00377912">
        <w:t> (</w:t>
      </w:r>
      <w:r>
        <w:t>K</w:t>
      </w:r>
      <w:r w:rsidRPr="00377912">
        <w:t>Cl)</w:t>
      </w:r>
    </w:p>
    <w:p w:rsidR="00032076" w:rsidRPr="00377912" w:rsidRDefault="00032076" w:rsidP="00032076">
      <w:pPr>
        <w:spacing w:after="0" w:line="240" w:lineRule="auto"/>
        <w:jc w:val="cente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637"/>
        <w:gridCol w:w="1800"/>
        <w:gridCol w:w="1710"/>
        <w:gridCol w:w="990"/>
      </w:tblGrid>
      <w:tr w:rsidR="00032076" w:rsidRPr="00377912" w:rsidTr="0031339B">
        <w:trPr>
          <w:jc w:val="center"/>
        </w:trPr>
        <w:tc>
          <w:tcPr>
            <w:tcW w:w="1081" w:type="dxa"/>
          </w:tcPr>
          <w:p w:rsidR="00032076" w:rsidRPr="00377912" w:rsidRDefault="00032076" w:rsidP="0031339B">
            <w:pPr>
              <w:jc w:val="center"/>
              <w:rPr>
                <w:rFonts w:ascii="Times New Roman" w:hAnsi="Times New Roman" w:cs="Times New Roman"/>
                <w:sz w:val="24"/>
                <w:szCs w:val="24"/>
              </w:rPr>
            </w:pPr>
            <w:r w:rsidRPr="00377912">
              <w:rPr>
                <w:rFonts w:ascii="Times New Roman" w:hAnsi="Times New Roman" w:cs="Times New Roman"/>
                <w:sz w:val="24"/>
                <w:szCs w:val="24"/>
              </w:rPr>
              <w:t>Species</w:t>
            </w:r>
          </w:p>
          <w:p w:rsidR="00032076" w:rsidRPr="00377912" w:rsidRDefault="00032076" w:rsidP="0031339B">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637" w:type="dxa"/>
          </w:tcPr>
          <w:p w:rsidR="00032076" w:rsidRPr="00377912" w:rsidRDefault="00032076" w:rsidP="0031339B">
            <w:pPr>
              <w:jc w:val="center"/>
              <w:rPr>
                <w:rFonts w:ascii="Times New Roman" w:hAnsi="Times New Roman" w:cs="Times New Roman"/>
                <w:sz w:val="24"/>
                <w:szCs w:val="24"/>
              </w:rPr>
            </w:pPr>
            <w:r w:rsidRPr="00377912">
              <w:rPr>
                <w:rFonts w:ascii="Times New Roman" w:hAnsi="Times New Roman" w:cs="Times New Roman"/>
                <w:sz w:val="24"/>
                <w:szCs w:val="24"/>
              </w:rPr>
              <w:t>L</w:t>
            </w:r>
            <w:r w:rsidRPr="00377912">
              <w:rPr>
                <w:rFonts w:ascii="Times New Roman" w:hAnsi="Times New Roman" w:cs="Times New Roman"/>
                <w:i/>
                <w:sz w:val="24"/>
                <w:szCs w:val="24"/>
              </w:rPr>
              <w:t>og 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rsidR="00032076" w:rsidRDefault="00032076" w:rsidP="0031339B">
            <w:pPr>
              <w:jc w:val="center"/>
              <w:rPr>
                <w:rFonts w:ascii="Times New Roman" w:hAnsi="Times New Roman" w:cs="Times New Roman"/>
                <w:sz w:val="24"/>
                <w:szCs w:val="24"/>
              </w:rPr>
            </w:pPr>
            <w:r w:rsidRPr="00377912">
              <w:rPr>
                <w:rFonts w:ascii="Times New Roman" w:hAnsi="Times New Roman" w:cs="Times New Roman"/>
                <w:sz w:val="24"/>
                <w:szCs w:val="24"/>
              </w:rPr>
              <w:t>Number of experimental points analysed</w:t>
            </w:r>
          </w:p>
          <w:p w:rsidR="00DE44B5" w:rsidRPr="00377912" w:rsidRDefault="00DE44B5" w:rsidP="0031339B">
            <w:pPr>
              <w:jc w:val="center"/>
              <w:rPr>
                <w:rFonts w:ascii="Times New Roman" w:hAnsi="Times New Roman" w:cs="Times New Roman"/>
                <w:sz w:val="24"/>
                <w:szCs w:val="24"/>
              </w:rPr>
            </w:pPr>
            <w:r>
              <w:rPr>
                <w:rFonts w:ascii="Times New Roman" w:hAnsi="Times New Roman" w:cs="Times New Roman"/>
                <w:sz w:val="24"/>
                <w:szCs w:val="24"/>
              </w:rPr>
              <w:t>NP</w:t>
            </w:r>
          </w:p>
        </w:tc>
        <w:tc>
          <w:tcPr>
            <w:tcW w:w="1710" w:type="dxa"/>
          </w:tcPr>
          <w:p w:rsidR="00032076" w:rsidRPr="00377912" w:rsidRDefault="00032076" w:rsidP="0031339B">
            <w:pPr>
              <w:jc w:val="center"/>
              <w:rPr>
                <w:rFonts w:ascii="Times New Roman" w:hAnsi="Times New Roman" w:cs="Times New Roman"/>
                <w:sz w:val="24"/>
                <w:szCs w:val="24"/>
                <w:vertAlign w:val="superscript"/>
              </w:rPr>
            </w:pPr>
            <w:r w:rsidRPr="00377912">
              <w:rPr>
                <w:rFonts w:ascii="Times New Roman" w:hAnsi="Times New Roman" w:cs="Times New Roman"/>
                <w:sz w:val="24"/>
                <w:szCs w:val="24"/>
              </w:rPr>
              <w:t xml:space="preserve">Sum of the squares of residuals, </w:t>
            </w:r>
            <w:r w:rsidR="00DE44B5">
              <w:rPr>
                <w:rFonts w:ascii="Times New Roman" w:hAnsi="Times New Roman" w:cs="Times New Roman"/>
                <w:sz w:val="24"/>
                <w:szCs w:val="24"/>
              </w:rPr>
              <w:t xml:space="preserve">         </w:t>
            </w:r>
            <w:r w:rsidRPr="00377912">
              <w:rPr>
                <w:rFonts w:ascii="Times New Roman" w:hAnsi="Times New Roman" w:cs="Times New Roman"/>
                <w:sz w:val="24"/>
                <w:szCs w:val="24"/>
              </w:rPr>
              <w:t xml:space="preserve">U </w:t>
            </w:r>
            <w:r w:rsidR="00DE44B5">
              <w:rPr>
                <w:rFonts w:ascii="Times New Roman" w:hAnsi="Times New Roman" w:cs="Times New Roman"/>
                <w:sz w:val="24"/>
                <w:szCs w:val="24"/>
              </w:rPr>
              <w:t>/NP</w:t>
            </w:r>
          </w:p>
        </w:tc>
        <w:tc>
          <w:tcPr>
            <w:tcW w:w="990" w:type="dxa"/>
          </w:tcPr>
          <w:p w:rsidR="00032076" w:rsidRPr="00377912" w:rsidRDefault="00032076" w:rsidP="0031339B">
            <w:pPr>
              <w:jc w:val="center"/>
              <w:rPr>
                <w:rFonts w:ascii="Times New Roman" w:hAnsi="Times New Roman" w:cs="Times New Roman"/>
                <w:sz w:val="24"/>
                <w:szCs w:val="24"/>
              </w:rPr>
            </w:pPr>
            <w:r w:rsidRPr="00377912">
              <w:rPr>
                <w:rFonts w:ascii="Times New Roman" w:hAnsi="Times New Roman" w:cs="Times New Roman"/>
                <w:sz w:val="24"/>
                <w:szCs w:val="24"/>
              </w:rPr>
              <w:t>χ</w:t>
            </w:r>
            <w:r w:rsidRPr="00377912">
              <w:rPr>
                <w:rFonts w:ascii="Times New Roman" w:hAnsi="Times New Roman" w:cs="Times New Roman"/>
                <w:sz w:val="24"/>
                <w:szCs w:val="24"/>
                <w:vertAlign w:val="superscript"/>
              </w:rPr>
              <w:t>2</w:t>
            </w:r>
          </w:p>
        </w:tc>
      </w:tr>
      <w:tr w:rsidR="00032076" w:rsidRPr="00FB1995" w:rsidTr="0031339B">
        <w:trPr>
          <w:jc w:val="center"/>
        </w:trPr>
        <w:tc>
          <w:tcPr>
            <w:tcW w:w="1081" w:type="dxa"/>
          </w:tcPr>
          <w:p w:rsidR="00032076" w:rsidRPr="00FB1995" w:rsidRDefault="00032076" w:rsidP="0031339B">
            <w:pPr>
              <w:jc w:val="center"/>
              <w:rPr>
                <w:rFonts w:ascii="Times New Roman" w:hAnsi="Times New Roman" w:cs="Times New Roman"/>
                <w:sz w:val="24"/>
                <w:szCs w:val="24"/>
              </w:rPr>
            </w:pPr>
            <w:r w:rsidRPr="00FB1995">
              <w:rPr>
                <w:rFonts w:ascii="Times New Roman" w:hAnsi="Times New Roman" w:cs="Times New Roman"/>
                <w:sz w:val="24"/>
                <w:szCs w:val="24"/>
              </w:rPr>
              <w:t>011</w:t>
            </w:r>
          </w:p>
        </w:tc>
        <w:tc>
          <w:tcPr>
            <w:tcW w:w="1637" w:type="dxa"/>
          </w:tcPr>
          <w:p w:rsidR="00032076" w:rsidRPr="00FB1995" w:rsidRDefault="007D1742" w:rsidP="0031339B">
            <w:pPr>
              <w:jc w:val="center"/>
              <w:rPr>
                <w:rFonts w:ascii="Times New Roman" w:hAnsi="Times New Roman" w:cs="Times New Roman"/>
                <w:sz w:val="24"/>
                <w:szCs w:val="24"/>
              </w:rPr>
            </w:pPr>
            <w:r>
              <w:rPr>
                <w:rFonts w:ascii="Times New Roman" w:hAnsi="Times New Roman" w:cs="Times New Roman"/>
                <w:sz w:val="24"/>
                <w:szCs w:val="24"/>
              </w:rPr>
              <w:t>10.55 (0.01</w:t>
            </w:r>
            <w:r w:rsidR="00032076" w:rsidRPr="00FB1995">
              <w:rPr>
                <w:rFonts w:ascii="Times New Roman" w:hAnsi="Times New Roman" w:cs="Times New Roman"/>
                <w:sz w:val="24"/>
                <w:szCs w:val="24"/>
              </w:rPr>
              <w:t>)</w:t>
            </w:r>
          </w:p>
        </w:tc>
        <w:tc>
          <w:tcPr>
            <w:tcW w:w="1800" w:type="dxa"/>
            <w:vMerge w:val="restart"/>
          </w:tcPr>
          <w:p w:rsidR="00032076" w:rsidRPr="00FB1995" w:rsidRDefault="00032076" w:rsidP="0031339B">
            <w:pPr>
              <w:jc w:val="center"/>
              <w:rPr>
                <w:rFonts w:ascii="Times New Roman" w:hAnsi="Times New Roman" w:cs="Times New Roman"/>
                <w:sz w:val="24"/>
                <w:szCs w:val="24"/>
              </w:rPr>
            </w:pPr>
          </w:p>
          <w:p w:rsidR="00032076" w:rsidRPr="00FB1995" w:rsidRDefault="00032076" w:rsidP="0031339B">
            <w:pPr>
              <w:jc w:val="center"/>
              <w:rPr>
                <w:rFonts w:ascii="Times New Roman" w:hAnsi="Times New Roman" w:cs="Times New Roman"/>
                <w:sz w:val="24"/>
                <w:szCs w:val="24"/>
              </w:rPr>
            </w:pPr>
            <w:r w:rsidRPr="00FB1995">
              <w:rPr>
                <w:rFonts w:ascii="Times New Roman" w:hAnsi="Times New Roman" w:cs="Times New Roman"/>
                <w:sz w:val="24"/>
                <w:szCs w:val="24"/>
              </w:rPr>
              <w:t>214</w:t>
            </w:r>
          </w:p>
        </w:tc>
        <w:tc>
          <w:tcPr>
            <w:tcW w:w="1710" w:type="dxa"/>
            <w:vMerge w:val="restart"/>
          </w:tcPr>
          <w:p w:rsidR="00032076" w:rsidRPr="00FB1995" w:rsidRDefault="00032076" w:rsidP="0031339B">
            <w:pPr>
              <w:jc w:val="center"/>
              <w:rPr>
                <w:rFonts w:ascii="Times New Roman" w:hAnsi="Times New Roman" w:cs="Times New Roman"/>
                <w:sz w:val="24"/>
                <w:szCs w:val="24"/>
              </w:rPr>
            </w:pPr>
          </w:p>
          <w:p w:rsidR="00032076" w:rsidRPr="00FB1995" w:rsidRDefault="00032076" w:rsidP="0031339B">
            <w:pPr>
              <w:jc w:val="center"/>
              <w:rPr>
                <w:rFonts w:ascii="Times New Roman" w:hAnsi="Times New Roman" w:cs="Times New Roman"/>
                <w:sz w:val="24"/>
                <w:szCs w:val="24"/>
              </w:rPr>
            </w:pPr>
            <w:r w:rsidRPr="00FB1995">
              <w:rPr>
                <w:rFonts w:ascii="Times New Roman" w:hAnsi="Times New Roman" w:cs="Times New Roman"/>
                <w:sz w:val="24"/>
                <w:szCs w:val="24"/>
              </w:rPr>
              <w:t>1.507 e-09</w:t>
            </w:r>
          </w:p>
        </w:tc>
        <w:tc>
          <w:tcPr>
            <w:tcW w:w="990" w:type="dxa"/>
            <w:vMerge w:val="restart"/>
          </w:tcPr>
          <w:p w:rsidR="00032076" w:rsidRPr="00FB1995" w:rsidRDefault="00032076" w:rsidP="0031339B">
            <w:pPr>
              <w:rPr>
                <w:rFonts w:ascii="Times New Roman" w:hAnsi="Times New Roman" w:cs="Times New Roman"/>
                <w:sz w:val="24"/>
                <w:szCs w:val="24"/>
              </w:rPr>
            </w:pPr>
          </w:p>
          <w:p w:rsidR="00032076" w:rsidRPr="00FB1995" w:rsidRDefault="00032076" w:rsidP="0031339B">
            <w:pPr>
              <w:jc w:val="center"/>
              <w:rPr>
                <w:rFonts w:ascii="Times New Roman" w:hAnsi="Times New Roman" w:cs="Times New Roman"/>
                <w:sz w:val="24"/>
                <w:szCs w:val="24"/>
              </w:rPr>
            </w:pPr>
            <w:r w:rsidRPr="00FB1995">
              <w:rPr>
                <w:rFonts w:ascii="Times New Roman" w:hAnsi="Times New Roman" w:cs="Times New Roman"/>
                <w:sz w:val="24"/>
                <w:szCs w:val="24"/>
              </w:rPr>
              <w:t>5.05</w:t>
            </w:r>
          </w:p>
        </w:tc>
      </w:tr>
      <w:tr w:rsidR="00032076" w:rsidRPr="00FB1995" w:rsidTr="0031339B">
        <w:trPr>
          <w:jc w:val="center"/>
        </w:trPr>
        <w:tc>
          <w:tcPr>
            <w:tcW w:w="1081" w:type="dxa"/>
          </w:tcPr>
          <w:p w:rsidR="00032076" w:rsidRPr="00FB1995" w:rsidRDefault="00032076" w:rsidP="0031339B">
            <w:pPr>
              <w:jc w:val="center"/>
              <w:rPr>
                <w:rFonts w:ascii="Times New Roman" w:hAnsi="Times New Roman" w:cs="Times New Roman"/>
                <w:sz w:val="24"/>
                <w:szCs w:val="24"/>
              </w:rPr>
            </w:pPr>
            <w:r w:rsidRPr="00FB1995">
              <w:rPr>
                <w:rFonts w:ascii="Times New Roman" w:hAnsi="Times New Roman" w:cs="Times New Roman"/>
                <w:sz w:val="24"/>
                <w:szCs w:val="24"/>
              </w:rPr>
              <w:t>012</w:t>
            </w:r>
          </w:p>
        </w:tc>
        <w:tc>
          <w:tcPr>
            <w:tcW w:w="1637" w:type="dxa"/>
          </w:tcPr>
          <w:p w:rsidR="00032076" w:rsidRPr="00FB1995" w:rsidRDefault="007D1742" w:rsidP="0031339B">
            <w:pPr>
              <w:jc w:val="center"/>
              <w:rPr>
                <w:rFonts w:ascii="Times New Roman" w:hAnsi="Times New Roman" w:cs="Times New Roman"/>
                <w:sz w:val="24"/>
                <w:szCs w:val="24"/>
              </w:rPr>
            </w:pPr>
            <w:r>
              <w:rPr>
                <w:rFonts w:ascii="Times New Roman" w:hAnsi="Times New Roman" w:cs="Times New Roman"/>
                <w:sz w:val="24"/>
                <w:szCs w:val="24"/>
              </w:rPr>
              <w:t>19.55 (0.01</w:t>
            </w:r>
            <w:r w:rsidR="00032076" w:rsidRPr="00FB1995">
              <w:rPr>
                <w:rFonts w:ascii="Times New Roman" w:hAnsi="Times New Roman" w:cs="Times New Roman"/>
                <w:sz w:val="24"/>
                <w:szCs w:val="24"/>
              </w:rPr>
              <w:t>)</w:t>
            </w:r>
          </w:p>
        </w:tc>
        <w:tc>
          <w:tcPr>
            <w:tcW w:w="1800" w:type="dxa"/>
            <w:vMerge/>
          </w:tcPr>
          <w:p w:rsidR="00032076" w:rsidRPr="00FB1995" w:rsidRDefault="00032076" w:rsidP="0031339B">
            <w:pPr>
              <w:rPr>
                <w:rFonts w:ascii="Times New Roman" w:hAnsi="Times New Roman" w:cs="Times New Roman"/>
                <w:color w:val="FF0000"/>
                <w:sz w:val="24"/>
                <w:szCs w:val="24"/>
              </w:rPr>
            </w:pPr>
          </w:p>
        </w:tc>
        <w:tc>
          <w:tcPr>
            <w:tcW w:w="1710" w:type="dxa"/>
            <w:vMerge/>
          </w:tcPr>
          <w:p w:rsidR="00032076" w:rsidRPr="00FB1995" w:rsidRDefault="00032076" w:rsidP="0031339B">
            <w:pPr>
              <w:rPr>
                <w:rFonts w:ascii="Times New Roman" w:hAnsi="Times New Roman" w:cs="Times New Roman"/>
                <w:color w:val="FF0000"/>
                <w:sz w:val="24"/>
                <w:szCs w:val="24"/>
              </w:rPr>
            </w:pPr>
          </w:p>
        </w:tc>
        <w:tc>
          <w:tcPr>
            <w:tcW w:w="990" w:type="dxa"/>
            <w:vMerge/>
          </w:tcPr>
          <w:p w:rsidR="00032076" w:rsidRPr="00FB1995" w:rsidRDefault="00032076" w:rsidP="0031339B">
            <w:pPr>
              <w:rPr>
                <w:rFonts w:ascii="Times New Roman" w:hAnsi="Times New Roman" w:cs="Times New Roman"/>
                <w:color w:val="FF0000"/>
                <w:sz w:val="24"/>
                <w:szCs w:val="24"/>
              </w:rPr>
            </w:pPr>
          </w:p>
        </w:tc>
      </w:tr>
      <w:tr w:rsidR="00032076" w:rsidRPr="00FB1995" w:rsidTr="0031339B">
        <w:trPr>
          <w:jc w:val="center"/>
        </w:trPr>
        <w:tc>
          <w:tcPr>
            <w:tcW w:w="1081" w:type="dxa"/>
          </w:tcPr>
          <w:p w:rsidR="00032076" w:rsidRPr="00FB1995" w:rsidRDefault="00032076" w:rsidP="0031339B">
            <w:pPr>
              <w:jc w:val="center"/>
              <w:rPr>
                <w:rFonts w:ascii="Times New Roman" w:hAnsi="Times New Roman" w:cs="Times New Roman"/>
                <w:sz w:val="24"/>
                <w:szCs w:val="24"/>
              </w:rPr>
            </w:pPr>
            <w:r w:rsidRPr="00FB1995">
              <w:rPr>
                <w:rFonts w:ascii="Times New Roman" w:hAnsi="Times New Roman" w:cs="Times New Roman"/>
                <w:sz w:val="24"/>
                <w:szCs w:val="24"/>
              </w:rPr>
              <w:t>013</w:t>
            </w:r>
          </w:p>
        </w:tc>
        <w:tc>
          <w:tcPr>
            <w:tcW w:w="1637" w:type="dxa"/>
          </w:tcPr>
          <w:p w:rsidR="00032076" w:rsidRPr="00FB1995" w:rsidRDefault="007D1742" w:rsidP="0031339B">
            <w:pPr>
              <w:jc w:val="center"/>
              <w:rPr>
                <w:rFonts w:ascii="Times New Roman" w:hAnsi="Times New Roman" w:cs="Times New Roman"/>
                <w:sz w:val="24"/>
                <w:szCs w:val="24"/>
              </w:rPr>
            </w:pPr>
            <w:r>
              <w:rPr>
                <w:rFonts w:ascii="Times New Roman" w:hAnsi="Times New Roman" w:cs="Times New Roman"/>
                <w:sz w:val="24"/>
                <w:szCs w:val="24"/>
              </w:rPr>
              <w:t>21.54 (0.01</w:t>
            </w:r>
            <w:r w:rsidR="00032076" w:rsidRPr="00FB1995">
              <w:rPr>
                <w:rFonts w:ascii="Times New Roman" w:hAnsi="Times New Roman" w:cs="Times New Roman"/>
                <w:sz w:val="24"/>
                <w:szCs w:val="24"/>
              </w:rPr>
              <w:t>)</w:t>
            </w:r>
          </w:p>
        </w:tc>
        <w:tc>
          <w:tcPr>
            <w:tcW w:w="1800" w:type="dxa"/>
            <w:vMerge/>
          </w:tcPr>
          <w:p w:rsidR="00032076" w:rsidRPr="00FB1995" w:rsidRDefault="00032076" w:rsidP="0031339B">
            <w:pPr>
              <w:rPr>
                <w:rFonts w:ascii="Times New Roman" w:hAnsi="Times New Roman" w:cs="Times New Roman"/>
                <w:color w:val="FF0000"/>
                <w:sz w:val="24"/>
                <w:szCs w:val="24"/>
              </w:rPr>
            </w:pPr>
          </w:p>
        </w:tc>
        <w:tc>
          <w:tcPr>
            <w:tcW w:w="1710" w:type="dxa"/>
            <w:vMerge/>
          </w:tcPr>
          <w:p w:rsidR="00032076" w:rsidRPr="00FB1995" w:rsidRDefault="00032076" w:rsidP="0031339B">
            <w:pPr>
              <w:rPr>
                <w:rFonts w:ascii="Times New Roman" w:hAnsi="Times New Roman" w:cs="Times New Roman"/>
                <w:color w:val="FF0000"/>
                <w:sz w:val="24"/>
                <w:szCs w:val="24"/>
              </w:rPr>
            </w:pPr>
          </w:p>
        </w:tc>
        <w:tc>
          <w:tcPr>
            <w:tcW w:w="990" w:type="dxa"/>
            <w:vMerge/>
          </w:tcPr>
          <w:p w:rsidR="00032076" w:rsidRPr="00FB1995" w:rsidRDefault="00032076" w:rsidP="0031339B">
            <w:pPr>
              <w:rPr>
                <w:rFonts w:ascii="Times New Roman" w:hAnsi="Times New Roman" w:cs="Times New Roman"/>
                <w:color w:val="FF0000"/>
                <w:sz w:val="24"/>
                <w:szCs w:val="24"/>
              </w:rPr>
            </w:pPr>
          </w:p>
        </w:tc>
      </w:tr>
    </w:tbl>
    <w:p w:rsidR="00032076" w:rsidRPr="00FB1995" w:rsidRDefault="00032076" w:rsidP="00032076">
      <w:pPr>
        <w:rPr>
          <w:lang w:val="en-US"/>
        </w:rPr>
      </w:pPr>
    </w:p>
    <w:p w:rsidR="00EA4C32" w:rsidRPr="000E41AB" w:rsidRDefault="00A80BE4" w:rsidP="000E41AB">
      <w:pPr>
        <w:spacing w:after="0"/>
        <w:rPr>
          <w:b/>
        </w:rPr>
      </w:pPr>
      <w:r w:rsidRPr="000E41AB">
        <w:t>After accounting for the modifications to the experimental setup and computation techniques, the outcomes are in good agreement with the reports from the literature (Table 6).  The stepwise protonation constants of the most anionic form of lysine are log K1, log K2, and log K3.</w:t>
      </w:r>
    </w:p>
    <w:p w:rsidR="00EA4C32" w:rsidRDefault="00EA4C32" w:rsidP="00F73E2B">
      <w:pPr>
        <w:spacing w:after="0"/>
        <w:jc w:val="center"/>
        <w:rPr>
          <w:b/>
        </w:rPr>
      </w:pPr>
    </w:p>
    <w:p w:rsidR="00EA4C32" w:rsidRDefault="00EA4C32" w:rsidP="00F73E2B">
      <w:pPr>
        <w:spacing w:after="0"/>
        <w:jc w:val="center"/>
        <w:rPr>
          <w:b/>
        </w:rPr>
      </w:pPr>
    </w:p>
    <w:p w:rsidR="00F73E2B" w:rsidRDefault="00EA4C32" w:rsidP="00F73E2B">
      <w:pPr>
        <w:spacing w:after="0"/>
        <w:jc w:val="center"/>
      </w:pPr>
      <w:r>
        <w:rPr>
          <w:b/>
        </w:rPr>
        <w:t xml:space="preserve">Table </w:t>
      </w:r>
      <w:r w:rsidR="008C250F">
        <w:rPr>
          <w:b/>
        </w:rPr>
        <w:t>6</w:t>
      </w:r>
      <w:r w:rsidR="008C250F" w:rsidRPr="006B4741">
        <w:t xml:space="preserve">:  Some representative literature reports on the </w:t>
      </w:r>
    </w:p>
    <w:p w:rsidR="008C250F" w:rsidRDefault="00F73E2B" w:rsidP="00F73E2B">
      <w:pPr>
        <w:spacing w:after="0"/>
        <w:jc w:val="center"/>
      </w:pPr>
      <w:r>
        <w:lastRenderedPageBreak/>
        <w:t xml:space="preserve">step-wise </w:t>
      </w:r>
      <w:r w:rsidR="008C250F" w:rsidRPr="006B4741">
        <w:t xml:space="preserve">protonation constants of </w:t>
      </w:r>
      <w:r w:rsidR="008C250F">
        <w:t>Lysine</w:t>
      </w:r>
    </w:p>
    <w:p w:rsidR="00F73E2B" w:rsidRPr="006B4741" w:rsidRDefault="00F73E2B" w:rsidP="00F73E2B">
      <w:pPr>
        <w:spacing w:after="0"/>
        <w:jc w:val="center"/>
      </w:pPr>
    </w:p>
    <w:tbl>
      <w:tblPr>
        <w:tblStyle w:val="TableGrid"/>
        <w:tblW w:w="0" w:type="auto"/>
        <w:jc w:val="center"/>
        <w:tblLook w:val="04A0"/>
      </w:tblPr>
      <w:tblGrid>
        <w:gridCol w:w="718"/>
        <w:gridCol w:w="876"/>
        <w:gridCol w:w="845"/>
        <w:gridCol w:w="810"/>
        <w:gridCol w:w="1815"/>
        <w:gridCol w:w="956"/>
        <w:gridCol w:w="864"/>
      </w:tblGrid>
      <w:tr w:rsidR="00E437E6" w:rsidRPr="00D54F2B" w:rsidTr="0031339B">
        <w:trPr>
          <w:jc w:val="center"/>
        </w:trPr>
        <w:tc>
          <w:tcPr>
            <w:tcW w:w="718" w:type="dxa"/>
          </w:tcPr>
          <w:p w:rsidR="00E437E6" w:rsidRPr="00D54F2B" w:rsidRDefault="00E437E6" w:rsidP="0031339B">
            <w:pPr>
              <w:rPr>
                <w:rFonts w:ascii="Times New Roman" w:hAnsi="Times New Roman" w:cs="Times New Roman"/>
                <w:b/>
              </w:rPr>
            </w:pPr>
            <w:r w:rsidRPr="00D54F2B">
              <w:rPr>
                <w:rFonts w:ascii="Times New Roman" w:hAnsi="Times New Roman" w:cs="Times New Roman"/>
                <w:b/>
              </w:rPr>
              <w:t>S.No.</w:t>
            </w:r>
          </w:p>
        </w:tc>
        <w:tc>
          <w:tcPr>
            <w:tcW w:w="876" w:type="dxa"/>
          </w:tcPr>
          <w:p w:rsidR="00E437E6" w:rsidRPr="00D54F2B" w:rsidRDefault="00E437E6" w:rsidP="0031339B">
            <w:pPr>
              <w:rPr>
                <w:rFonts w:ascii="Times New Roman" w:hAnsi="Times New Roman" w:cs="Times New Roman"/>
                <w:b/>
                <w:i/>
                <w:vertAlign w:val="subscript"/>
              </w:rPr>
            </w:pPr>
            <w:r>
              <w:rPr>
                <w:rFonts w:ascii="Times New Roman" w:hAnsi="Times New Roman" w:cs="Times New Roman"/>
                <w:b/>
                <w:i/>
              </w:rPr>
              <w:t>log K</w:t>
            </w:r>
            <w:r w:rsidRPr="00D54F2B">
              <w:rPr>
                <w:rFonts w:ascii="Times New Roman" w:hAnsi="Times New Roman" w:cs="Times New Roman"/>
                <w:b/>
                <w:i/>
                <w:vertAlign w:val="subscript"/>
              </w:rPr>
              <w:t>1</w:t>
            </w:r>
          </w:p>
        </w:tc>
        <w:tc>
          <w:tcPr>
            <w:tcW w:w="845" w:type="dxa"/>
          </w:tcPr>
          <w:p w:rsidR="00E437E6" w:rsidRPr="00D54F2B" w:rsidRDefault="00E437E6" w:rsidP="0031339B">
            <w:pPr>
              <w:rPr>
                <w:rFonts w:ascii="Times New Roman" w:hAnsi="Times New Roman" w:cs="Times New Roman"/>
                <w:b/>
                <w:i/>
                <w:vertAlign w:val="subscript"/>
              </w:rPr>
            </w:pPr>
            <w:r>
              <w:rPr>
                <w:rFonts w:ascii="Times New Roman" w:hAnsi="Times New Roman" w:cs="Times New Roman"/>
                <w:b/>
                <w:i/>
              </w:rPr>
              <w:t>log K</w:t>
            </w:r>
            <w:r>
              <w:rPr>
                <w:rFonts w:ascii="Times New Roman" w:hAnsi="Times New Roman" w:cs="Times New Roman"/>
                <w:b/>
                <w:i/>
                <w:vertAlign w:val="subscript"/>
              </w:rPr>
              <w:t>2</w:t>
            </w:r>
          </w:p>
        </w:tc>
        <w:tc>
          <w:tcPr>
            <w:tcW w:w="810" w:type="dxa"/>
          </w:tcPr>
          <w:p w:rsidR="00E437E6" w:rsidRPr="00D54F2B" w:rsidRDefault="00E437E6" w:rsidP="0031339B">
            <w:pPr>
              <w:rPr>
                <w:b/>
                <w:i/>
              </w:rPr>
            </w:pPr>
            <w:r>
              <w:rPr>
                <w:rFonts w:ascii="Times New Roman" w:hAnsi="Times New Roman" w:cs="Times New Roman"/>
                <w:b/>
                <w:i/>
              </w:rPr>
              <w:t>log K</w:t>
            </w:r>
            <w:r>
              <w:rPr>
                <w:rFonts w:ascii="Times New Roman" w:hAnsi="Times New Roman" w:cs="Times New Roman"/>
                <w:b/>
                <w:i/>
                <w:vertAlign w:val="subscript"/>
              </w:rPr>
              <w:t>3</w:t>
            </w:r>
          </w:p>
        </w:tc>
        <w:tc>
          <w:tcPr>
            <w:tcW w:w="1815" w:type="dxa"/>
          </w:tcPr>
          <w:p w:rsidR="00E437E6" w:rsidRPr="00D54F2B" w:rsidRDefault="00E437E6" w:rsidP="0031339B">
            <w:pPr>
              <w:rPr>
                <w:rFonts w:ascii="Times New Roman" w:hAnsi="Times New Roman" w:cs="Times New Roman"/>
                <w:b/>
              </w:rPr>
            </w:pPr>
            <w:r w:rsidRPr="00D54F2B">
              <w:rPr>
                <w:rFonts w:ascii="Times New Roman" w:hAnsi="Times New Roman" w:cs="Times New Roman"/>
                <w:b/>
                <w:i/>
              </w:rPr>
              <w:t>I</w:t>
            </w:r>
            <w:r>
              <w:rPr>
                <w:rFonts w:ascii="Times New Roman" w:hAnsi="Times New Roman" w:cs="Times New Roman"/>
                <w:b/>
                <w:i/>
              </w:rPr>
              <w:t>onic str.,</w:t>
            </w:r>
            <w:r>
              <w:rPr>
                <w:rFonts w:ascii="Times New Roman" w:hAnsi="Times New Roman" w:cs="Times New Roman"/>
                <w:b/>
              </w:rPr>
              <w:t xml:space="preserve"> Temp.</w:t>
            </w:r>
          </w:p>
        </w:tc>
        <w:tc>
          <w:tcPr>
            <w:tcW w:w="956" w:type="dxa"/>
          </w:tcPr>
          <w:p w:rsidR="00E437E6" w:rsidRPr="00D54F2B" w:rsidRDefault="00E437E6" w:rsidP="0031339B">
            <w:pPr>
              <w:rPr>
                <w:rFonts w:ascii="Times New Roman" w:hAnsi="Times New Roman" w:cs="Times New Roman"/>
                <w:b/>
              </w:rPr>
            </w:pPr>
            <w:r w:rsidRPr="00D54F2B">
              <w:rPr>
                <w:rFonts w:ascii="Times New Roman" w:hAnsi="Times New Roman" w:cs="Times New Roman"/>
                <w:b/>
              </w:rPr>
              <w:t>Method</w:t>
            </w:r>
          </w:p>
        </w:tc>
        <w:tc>
          <w:tcPr>
            <w:tcW w:w="864" w:type="dxa"/>
          </w:tcPr>
          <w:p w:rsidR="00E437E6" w:rsidRPr="00D54F2B" w:rsidRDefault="00E437E6" w:rsidP="0031339B">
            <w:pPr>
              <w:rPr>
                <w:rFonts w:ascii="Times New Roman" w:hAnsi="Times New Roman" w:cs="Times New Roman"/>
                <w:b/>
              </w:rPr>
            </w:pPr>
            <w:r w:rsidRPr="00D54F2B">
              <w:rPr>
                <w:rFonts w:ascii="Times New Roman" w:hAnsi="Times New Roman" w:cs="Times New Roman"/>
                <w:b/>
              </w:rPr>
              <w:t>Ref.</w:t>
            </w:r>
          </w:p>
        </w:tc>
      </w:tr>
      <w:tr w:rsidR="00E437E6" w:rsidRPr="00D54F2B" w:rsidTr="0031339B">
        <w:trPr>
          <w:jc w:val="center"/>
        </w:trPr>
        <w:tc>
          <w:tcPr>
            <w:tcW w:w="718" w:type="dxa"/>
          </w:tcPr>
          <w:p w:rsidR="00E437E6" w:rsidRPr="000739CF" w:rsidRDefault="00E437E6" w:rsidP="0031339B">
            <w:pPr>
              <w:jc w:val="center"/>
              <w:rPr>
                <w:rFonts w:ascii="Times New Roman" w:hAnsi="Times New Roman" w:cs="Times New Roman"/>
              </w:rPr>
            </w:pPr>
            <w:r w:rsidRPr="000739CF">
              <w:rPr>
                <w:rFonts w:ascii="Times New Roman" w:hAnsi="Times New Roman" w:cs="Times New Roman"/>
              </w:rPr>
              <w:t>1.</w:t>
            </w:r>
          </w:p>
        </w:tc>
        <w:tc>
          <w:tcPr>
            <w:tcW w:w="876" w:type="dxa"/>
          </w:tcPr>
          <w:p w:rsidR="00E437E6" w:rsidRPr="000739CF" w:rsidRDefault="00E437E6" w:rsidP="0031339B">
            <w:pPr>
              <w:rPr>
                <w:rFonts w:ascii="Times New Roman" w:hAnsi="Times New Roman" w:cs="Times New Roman"/>
              </w:rPr>
            </w:pPr>
            <w:r>
              <w:rPr>
                <w:rFonts w:ascii="Times New Roman" w:hAnsi="Times New Roman" w:cs="Times New Roman"/>
              </w:rPr>
              <w:t>10.71</w:t>
            </w:r>
          </w:p>
        </w:tc>
        <w:tc>
          <w:tcPr>
            <w:tcW w:w="845" w:type="dxa"/>
          </w:tcPr>
          <w:p w:rsidR="00E437E6" w:rsidRPr="000739CF" w:rsidRDefault="00E437E6" w:rsidP="0031339B">
            <w:pPr>
              <w:rPr>
                <w:rFonts w:ascii="Times New Roman" w:hAnsi="Times New Roman" w:cs="Times New Roman"/>
              </w:rPr>
            </w:pPr>
            <w:r>
              <w:rPr>
                <w:rFonts w:ascii="Times New Roman" w:hAnsi="Times New Roman" w:cs="Times New Roman"/>
              </w:rPr>
              <w:t>9.19</w:t>
            </w:r>
          </w:p>
        </w:tc>
        <w:tc>
          <w:tcPr>
            <w:tcW w:w="810" w:type="dxa"/>
          </w:tcPr>
          <w:p w:rsidR="00E437E6" w:rsidRPr="000739CF" w:rsidRDefault="00E437E6" w:rsidP="0031339B">
            <w:pPr>
              <w:rPr>
                <w:rFonts w:ascii="Times New Roman" w:hAnsi="Times New Roman" w:cs="Times New Roman"/>
              </w:rPr>
            </w:pPr>
            <w:r>
              <w:rPr>
                <w:rFonts w:ascii="Times New Roman" w:hAnsi="Times New Roman" w:cs="Times New Roman"/>
              </w:rPr>
              <w:t>2.16</w:t>
            </w:r>
          </w:p>
        </w:tc>
        <w:tc>
          <w:tcPr>
            <w:tcW w:w="1815" w:type="dxa"/>
          </w:tcPr>
          <w:p w:rsidR="00E437E6" w:rsidRPr="000739CF" w:rsidRDefault="00E437E6" w:rsidP="0031339B">
            <w:pPr>
              <w:rPr>
                <w:rFonts w:ascii="Times New Roman" w:hAnsi="Times New Roman" w:cs="Times New Roman"/>
              </w:rPr>
            </w:pPr>
            <w:r>
              <w:rPr>
                <w:rFonts w:ascii="Times New Roman" w:hAnsi="Times New Roman" w:cs="Times New Roman"/>
              </w:rPr>
              <w:t>0.1-0.2 M, 25</w:t>
            </w:r>
            <w:r>
              <w:rPr>
                <w:rFonts w:ascii="Times New Roman" w:hAnsi="Times New Roman" w:cs="Times New Roman"/>
                <w:vertAlign w:val="superscript"/>
              </w:rPr>
              <w:t>0</w:t>
            </w:r>
            <w:r>
              <w:rPr>
                <w:rFonts w:ascii="Times New Roman" w:hAnsi="Times New Roman" w:cs="Times New Roman"/>
              </w:rPr>
              <w:t>C</w:t>
            </w:r>
          </w:p>
        </w:tc>
        <w:tc>
          <w:tcPr>
            <w:tcW w:w="956" w:type="dxa"/>
          </w:tcPr>
          <w:p w:rsidR="00E437E6" w:rsidRPr="000739CF" w:rsidRDefault="00E437E6" w:rsidP="0031339B">
            <w:pPr>
              <w:rPr>
                <w:rFonts w:ascii="Times New Roman" w:hAnsi="Times New Roman" w:cs="Times New Roman"/>
              </w:rPr>
            </w:pPr>
            <w:r>
              <w:rPr>
                <w:rFonts w:ascii="Times New Roman" w:hAnsi="Times New Roman" w:cs="Times New Roman"/>
              </w:rPr>
              <w:t>Pot</w:t>
            </w:r>
          </w:p>
        </w:tc>
        <w:tc>
          <w:tcPr>
            <w:tcW w:w="864" w:type="dxa"/>
          </w:tcPr>
          <w:p w:rsidR="00E437E6" w:rsidRPr="000739CF" w:rsidRDefault="00E437E6" w:rsidP="0031339B">
            <w:pPr>
              <w:rPr>
                <w:rFonts w:ascii="Times New Roman" w:hAnsi="Times New Roman" w:cs="Times New Roman"/>
              </w:rPr>
            </w:pPr>
            <w:r>
              <w:rPr>
                <w:rFonts w:ascii="Times New Roman" w:hAnsi="Times New Roman" w:cs="Times New Roman"/>
              </w:rPr>
              <w:t>19</w:t>
            </w:r>
          </w:p>
        </w:tc>
      </w:tr>
      <w:tr w:rsidR="00E437E6" w:rsidRPr="00D54F2B" w:rsidTr="0031339B">
        <w:trPr>
          <w:jc w:val="center"/>
        </w:trPr>
        <w:tc>
          <w:tcPr>
            <w:tcW w:w="718" w:type="dxa"/>
          </w:tcPr>
          <w:p w:rsidR="00E437E6" w:rsidRDefault="00E437E6" w:rsidP="0031339B">
            <w:pPr>
              <w:jc w:val="center"/>
            </w:pPr>
            <w:r>
              <w:t>2.</w:t>
            </w:r>
          </w:p>
        </w:tc>
        <w:tc>
          <w:tcPr>
            <w:tcW w:w="876" w:type="dxa"/>
          </w:tcPr>
          <w:p w:rsidR="00E437E6" w:rsidRPr="006B3F5A" w:rsidRDefault="00E437E6" w:rsidP="0031339B">
            <w:r w:rsidRPr="006B3F5A">
              <w:t>10.69</w:t>
            </w:r>
          </w:p>
        </w:tc>
        <w:tc>
          <w:tcPr>
            <w:tcW w:w="845" w:type="dxa"/>
          </w:tcPr>
          <w:p w:rsidR="00E437E6" w:rsidRPr="006B3F5A" w:rsidRDefault="00E437E6" w:rsidP="0031339B">
            <w:r>
              <w:t>9.08</w:t>
            </w:r>
          </w:p>
        </w:tc>
        <w:tc>
          <w:tcPr>
            <w:tcW w:w="810" w:type="dxa"/>
          </w:tcPr>
          <w:p w:rsidR="00E437E6" w:rsidRPr="006B3F5A" w:rsidRDefault="00E437E6" w:rsidP="0031339B">
            <w:r>
              <w:t>2.04</w:t>
            </w:r>
          </w:p>
        </w:tc>
        <w:tc>
          <w:tcPr>
            <w:tcW w:w="1815" w:type="dxa"/>
          </w:tcPr>
          <w:p w:rsidR="00E437E6" w:rsidRPr="006B3F5A" w:rsidRDefault="00E437E6" w:rsidP="0031339B">
            <w:r w:rsidRPr="006B3F5A">
              <w:rPr>
                <w:rFonts w:ascii="Times New Roman" w:hAnsi="Times New Roman" w:cs="Times New Roman"/>
              </w:rPr>
              <w:t>0.1M, 25</w:t>
            </w:r>
            <w:r w:rsidRPr="006B3F5A">
              <w:rPr>
                <w:rFonts w:ascii="Times New Roman" w:hAnsi="Times New Roman" w:cs="Times New Roman"/>
                <w:vertAlign w:val="superscript"/>
              </w:rPr>
              <w:t>0</w:t>
            </w:r>
            <w:r w:rsidRPr="006B3F5A">
              <w:rPr>
                <w:rFonts w:ascii="Times New Roman" w:hAnsi="Times New Roman" w:cs="Times New Roman"/>
              </w:rPr>
              <w:t>C</w:t>
            </w:r>
          </w:p>
        </w:tc>
        <w:tc>
          <w:tcPr>
            <w:tcW w:w="956" w:type="dxa"/>
          </w:tcPr>
          <w:p w:rsidR="00E437E6" w:rsidRPr="006B3F5A" w:rsidRDefault="00E437E6" w:rsidP="0031339B">
            <w:r w:rsidRPr="006B3F5A">
              <w:rPr>
                <w:rFonts w:ascii="Times New Roman" w:hAnsi="Times New Roman" w:cs="Times New Roman"/>
              </w:rPr>
              <w:t>Pot.</w:t>
            </w:r>
          </w:p>
        </w:tc>
        <w:tc>
          <w:tcPr>
            <w:tcW w:w="864" w:type="dxa"/>
          </w:tcPr>
          <w:p w:rsidR="00E437E6" w:rsidRPr="000739CF" w:rsidRDefault="00E437E6" w:rsidP="0031339B">
            <w:pPr>
              <w:rPr>
                <w:rFonts w:ascii="Times New Roman" w:hAnsi="Times New Roman" w:cs="Times New Roman"/>
              </w:rPr>
            </w:pPr>
            <w:r>
              <w:rPr>
                <w:rFonts w:ascii="Times New Roman" w:hAnsi="Times New Roman" w:cs="Times New Roman"/>
              </w:rPr>
              <w:t>33</w:t>
            </w:r>
          </w:p>
        </w:tc>
      </w:tr>
      <w:tr w:rsidR="00E437E6" w:rsidRPr="00D54F2B" w:rsidTr="0031339B">
        <w:trPr>
          <w:jc w:val="center"/>
        </w:trPr>
        <w:tc>
          <w:tcPr>
            <w:tcW w:w="718" w:type="dxa"/>
          </w:tcPr>
          <w:p w:rsidR="00E437E6" w:rsidRPr="00D54F2B" w:rsidRDefault="00E437E6" w:rsidP="0031339B">
            <w:pPr>
              <w:jc w:val="center"/>
              <w:rPr>
                <w:rFonts w:ascii="Times New Roman" w:hAnsi="Times New Roman" w:cs="Times New Roman"/>
              </w:rPr>
            </w:pPr>
            <w:r>
              <w:rPr>
                <w:rFonts w:ascii="Times New Roman" w:hAnsi="Times New Roman" w:cs="Times New Roman"/>
              </w:rPr>
              <w:t>3</w:t>
            </w:r>
            <w:r w:rsidRPr="00D54F2B">
              <w:rPr>
                <w:rFonts w:ascii="Times New Roman" w:hAnsi="Times New Roman" w:cs="Times New Roman"/>
              </w:rPr>
              <w:t>.</w:t>
            </w:r>
          </w:p>
        </w:tc>
        <w:tc>
          <w:tcPr>
            <w:tcW w:w="876" w:type="dxa"/>
          </w:tcPr>
          <w:p w:rsidR="00E437E6" w:rsidRPr="006B3F5A" w:rsidRDefault="00E437E6" w:rsidP="0031339B">
            <w:pPr>
              <w:rPr>
                <w:rFonts w:ascii="Times New Roman" w:hAnsi="Times New Roman" w:cs="Times New Roman"/>
              </w:rPr>
            </w:pPr>
            <w:r w:rsidRPr="006B3F5A">
              <w:rPr>
                <w:rFonts w:ascii="Times New Roman" w:hAnsi="Times New Roman" w:cs="Times New Roman"/>
              </w:rPr>
              <w:t>10.67</w:t>
            </w:r>
          </w:p>
        </w:tc>
        <w:tc>
          <w:tcPr>
            <w:tcW w:w="845" w:type="dxa"/>
          </w:tcPr>
          <w:p w:rsidR="00E437E6" w:rsidRPr="006B3F5A" w:rsidRDefault="00E437E6" w:rsidP="0031339B">
            <w:pPr>
              <w:rPr>
                <w:rFonts w:ascii="Times New Roman" w:hAnsi="Times New Roman" w:cs="Times New Roman"/>
              </w:rPr>
            </w:pPr>
            <w:r>
              <w:rPr>
                <w:rFonts w:ascii="Times New Roman" w:hAnsi="Times New Roman" w:cs="Times New Roman"/>
              </w:rPr>
              <w:t>9.14</w:t>
            </w:r>
          </w:p>
        </w:tc>
        <w:tc>
          <w:tcPr>
            <w:tcW w:w="810" w:type="dxa"/>
          </w:tcPr>
          <w:p w:rsidR="00E437E6" w:rsidRPr="006B3F5A" w:rsidRDefault="00E437E6" w:rsidP="0031339B">
            <w:pPr>
              <w:rPr>
                <w:rFonts w:eastAsia="Times New Roman"/>
              </w:rPr>
            </w:pPr>
            <w:r>
              <w:rPr>
                <w:rFonts w:eastAsia="Times New Roman"/>
              </w:rPr>
              <w:t>2.20</w:t>
            </w:r>
          </w:p>
        </w:tc>
        <w:tc>
          <w:tcPr>
            <w:tcW w:w="1815" w:type="dxa"/>
          </w:tcPr>
          <w:p w:rsidR="00E437E6" w:rsidRPr="006B3F5A" w:rsidRDefault="00E437E6" w:rsidP="0031339B">
            <w:pPr>
              <w:rPr>
                <w:rFonts w:ascii="Times New Roman" w:hAnsi="Times New Roman" w:cs="Times New Roman"/>
              </w:rPr>
            </w:pPr>
            <w:r w:rsidRPr="006B3F5A">
              <w:rPr>
                <w:rFonts w:ascii="Times New Roman" w:eastAsia="Times New Roman" w:hAnsi="Times New Roman" w:cs="Times New Roman"/>
              </w:rPr>
              <w:t>0.1M, 25</w:t>
            </w:r>
            <w:r w:rsidRPr="006B3F5A">
              <w:rPr>
                <w:rFonts w:ascii="Times New Roman" w:eastAsia="Times New Roman" w:hAnsi="Times New Roman" w:cs="Times New Roman"/>
                <w:vertAlign w:val="superscript"/>
              </w:rPr>
              <w:t>0</w:t>
            </w:r>
            <w:r w:rsidRPr="006B3F5A">
              <w:rPr>
                <w:rFonts w:ascii="Times New Roman" w:eastAsia="Times New Roman" w:hAnsi="Times New Roman" w:cs="Times New Roman"/>
              </w:rPr>
              <w:t>C</w:t>
            </w:r>
          </w:p>
        </w:tc>
        <w:tc>
          <w:tcPr>
            <w:tcW w:w="956" w:type="dxa"/>
          </w:tcPr>
          <w:p w:rsidR="00E437E6" w:rsidRPr="006B3F5A" w:rsidRDefault="00E437E6" w:rsidP="0031339B">
            <w:pPr>
              <w:rPr>
                <w:rFonts w:ascii="Times New Roman" w:hAnsi="Times New Roman" w:cs="Times New Roman"/>
              </w:rPr>
            </w:pPr>
            <w:r w:rsidRPr="006B3F5A">
              <w:rPr>
                <w:rFonts w:ascii="Times New Roman" w:hAnsi="Times New Roman" w:cs="Times New Roman"/>
              </w:rPr>
              <w:t>Pot.</w:t>
            </w:r>
          </w:p>
        </w:tc>
        <w:tc>
          <w:tcPr>
            <w:tcW w:w="864" w:type="dxa"/>
          </w:tcPr>
          <w:p w:rsidR="00E437E6" w:rsidRPr="006B3F5A" w:rsidRDefault="00E437E6" w:rsidP="0031339B">
            <w:r>
              <w:t>34</w:t>
            </w:r>
          </w:p>
        </w:tc>
      </w:tr>
      <w:tr w:rsidR="00E437E6" w:rsidRPr="00D54F2B" w:rsidTr="0031339B">
        <w:trPr>
          <w:jc w:val="center"/>
        </w:trPr>
        <w:tc>
          <w:tcPr>
            <w:tcW w:w="718" w:type="dxa"/>
          </w:tcPr>
          <w:p w:rsidR="00E437E6" w:rsidRPr="00D54F2B" w:rsidRDefault="00E437E6" w:rsidP="0031339B">
            <w:pPr>
              <w:jc w:val="center"/>
              <w:rPr>
                <w:rFonts w:ascii="Times New Roman" w:hAnsi="Times New Roman" w:cs="Times New Roman"/>
              </w:rPr>
            </w:pPr>
            <w:r>
              <w:rPr>
                <w:rFonts w:ascii="Times New Roman" w:hAnsi="Times New Roman" w:cs="Times New Roman"/>
              </w:rPr>
              <w:t>4</w:t>
            </w:r>
            <w:r w:rsidRPr="00D54F2B">
              <w:rPr>
                <w:rFonts w:ascii="Times New Roman" w:hAnsi="Times New Roman" w:cs="Times New Roman"/>
              </w:rPr>
              <w:t>.</w:t>
            </w:r>
          </w:p>
        </w:tc>
        <w:tc>
          <w:tcPr>
            <w:tcW w:w="876" w:type="dxa"/>
          </w:tcPr>
          <w:p w:rsidR="00E437E6" w:rsidRPr="006B3F5A" w:rsidRDefault="00E437E6" w:rsidP="0031339B">
            <w:pPr>
              <w:rPr>
                <w:rFonts w:ascii="Times New Roman" w:hAnsi="Times New Roman" w:cs="Times New Roman"/>
              </w:rPr>
            </w:pPr>
            <w:r w:rsidRPr="006B3F5A">
              <w:rPr>
                <w:rFonts w:ascii="Times New Roman" w:hAnsi="Times New Roman" w:cs="Times New Roman"/>
              </w:rPr>
              <w:t>10.65</w:t>
            </w:r>
          </w:p>
        </w:tc>
        <w:tc>
          <w:tcPr>
            <w:tcW w:w="845" w:type="dxa"/>
          </w:tcPr>
          <w:p w:rsidR="00E437E6" w:rsidRPr="006B3F5A" w:rsidRDefault="00E437E6" w:rsidP="0031339B">
            <w:pPr>
              <w:rPr>
                <w:rFonts w:ascii="Times New Roman" w:hAnsi="Times New Roman" w:cs="Times New Roman"/>
              </w:rPr>
            </w:pPr>
            <w:r>
              <w:rPr>
                <w:rFonts w:ascii="Times New Roman" w:hAnsi="Times New Roman" w:cs="Times New Roman"/>
              </w:rPr>
              <w:t>9.14</w:t>
            </w:r>
          </w:p>
        </w:tc>
        <w:tc>
          <w:tcPr>
            <w:tcW w:w="810" w:type="dxa"/>
          </w:tcPr>
          <w:p w:rsidR="00E437E6" w:rsidRPr="006B3F5A" w:rsidRDefault="00E437E6" w:rsidP="0031339B">
            <w:pPr>
              <w:rPr>
                <w:rFonts w:eastAsia="Times New Roman"/>
              </w:rPr>
            </w:pPr>
            <w:r>
              <w:rPr>
                <w:rFonts w:eastAsia="Times New Roman"/>
              </w:rPr>
              <w:t>2.18</w:t>
            </w:r>
          </w:p>
        </w:tc>
        <w:tc>
          <w:tcPr>
            <w:tcW w:w="1815" w:type="dxa"/>
          </w:tcPr>
          <w:p w:rsidR="00E437E6" w:rsidRPr="006B3F5A" w:rsidRDefault="00E437E6" w:rsidP="0031339B">
            <w:pPr>
              <w:rPr>
                <w:rFonts w:ascii="Times New Roman" w:hAnsi="Times New Roman" w:cs="Times New Roman"/>
              </w:rPr>
            </w:pPr>
            <w:r w:rsidRPr="006B3F5A">
              <w:rPr>
                <w:rFonts w:ascii="Times New Roman" w:eastAsia="Times New Roman" w:hAnsi="Times New Roman" w:cs="Times New Roman"/>
              </w:rPr>
              <w:t>0.1M, 25</w:t>
            </w:r>
            <w:r w:rsidRPr="006B3F5A">
              <w:rPr>
                <w:rFonts w:ascii="Times New Roman" w:eastAsia="Times New Roman" w:hAnsi="Times New Roman" w:cs="Times New Roman"/>
                <w:vertAlign w:val="superscript"/>
              </w:rPr>
              <w:t>0</w:t>
            </w:r>
            <w:r w:rsidRPr="006B3F5A">
              <w:rPr>
                <w:rFonts w:ascii="Times New Roman" w:eastAsia="Times New Roman" w:hAnsi="Times New Roman" w:cs="Times New Roman"/>
              </w:rPr>
              <w:t>C</w:t>
            </w:r>
          </w:p>
        </w:tc>
        <w:tc>
          <w:tcPr>
            <w:tcW w:w="956" w:type="dxa"/>
          </w:tcPr>
          <w:p w:rsidR="00E437E6" w:rsidRPr="006B3F5A" w:rsidRDefault="00E437E6" w:rsidP="0031339B">
            <w:pPr>
              <w:rPr>
                <w:rFonts w:ascii="Times New Roman" w:hAnsi="Times New Roman" w:cs="Times New Roman"/>
              </w:rPr>
            </w:pPr>
            <w:r w:rsidRPr="006B3F5A">
              <w:rPr>
                <w:rFonts w:ascii="Times New Roman" w:hAnsi="Times New Roman" w:cs="Times New Roman"/>
              </w:rPr>
              <w:t>Pot.</w:t>
            </w:r>
          </w:p>
        </w:tc>
        <w:tc>
          <w:tcPr>
            <w:tcW w:w="864" w:type="dxa"/>
          </w:tcPr>
          <w:p w:rsidR="00E437E6" w:rsidRPr="006B3F5A" w:rsidRDefault="00E437E6" w:rsidP="0031339B">
            <w:pPr>
              <w:rPr>
                <w:rFonts w:ascii="Times New Roman" w:hAnsi="Times New Roman" w:cs="Times New Roman"/>
              </w:rPr>
            </w:pPr>
            <w:r>
              <w:rPr>
                <w:rFonts w:ascii="Times New Roman" w:hAnsi="Times New Roman" w:cs="Times New Roman"/>
              </w:rPr>
              <w:t>35</w:t>
            </w:r>
          </w:p>
        </w:tc>
      </w:tr>
      <w:tr w:rsidR="00E437E6" w:rsidRPr="00D54F2B" w:rsidTr="0031339B">
        <w:trPr>
          <w:jc w:val="center"/>
        </w:trPr>
        <w:tc>
          <w:tcPr>
            <w:tcW w:w="718" w:type="dxa"/>
          </w:tcPr>
          <w:p w:rsidR="00E437E6" w:rsidRPr="00D54F2B" w:rsidRDefault="00E437E6" w:rsidP="0031339B">
            <w:pPr>
              <w:jc w:val="center"/>
            </w:pPr>
            <w:r>
              <w:t>5</w:t>
            </w:r>
            <w:r w:rsidRPr="00D54F2B">
              <w:t>.</w:t>
            </w:r>
          </w:p>
        </w:tc>
        <w:tc>
          <w:tcPr>
            <w:tcW w:w="876" w:type="dxa"/>
          </w:tcPr>
          <w:p w:rsidR="00E437E6" w:rsidRPr="00D54F2B" w:rsidRDefault="00E437E6" w:rsidP="0031339B">
            <w:pPr>
              <w:rPr>
                <w:rFonts w:ascii="Times New Roman" w:hAnsi="Times New Roman" w:cs="Times New Roman"/>
              </w:rPr>
            </w:pPr>
            <w:r w:rsidRPr="00D54F2B">
              <w:rPr>
                <w:rFonts w:ascii="Times New Roman" w:hAnsi="Times New Roman" w:cs="Times New Roman"/>
              </w:rPr>
              <w:t>10.66</w:t>
            </w:r>
          </w:p>
        </w:tc>
        <w:tc>
          <w:tcPr>
            <w:tcW w:w="845" w:type="dxa"/>
          </w:tcPr>
          <w:p w:rsidR="00E437E6" w:rsidRPr="00D54F2B" w:rsidRDefault="00E437E6" w:rsidP="0031339B">
            <w:pPr>
              <w:rPr>
                <w:rFonts w:ascii="Times New Roman" w:hAnsi="Times New Roman" w:cs="Times New Roman"/>
              </w:rPr>
            </w:pPr>
            <w:r>
              <w:rPr>
                <w:rFonts w:ascii="Times New Roman" w:hAnsi="Times New Roman" w:cs="Times New Roman"/>
              </w:rPr>
              <w:t>9.20</w:t>
            </w:r>
          </w:p>
        </w:tc>
        <w:tc>
          <w:tcPr>
            <w:tcW w:w="810" w:type="dxa"/>
          </w:tcPr>
          <w:p w:rsidR="00E437E6" w:rsidRPr="00D54F2B" w:rsidRDefault="00E437E6" w:rsidP="0031339B">
            <w:pPr>
              <w:rPr>
                <w:rFonts w:eastAsia="Times New Roman"/>
              </w:rPr>
            </w:pPr>
            <w:r>
              <w:rPr>
                <w:rFonts w:eastAsia="Times New Roman"/>
              </w:rPr>
              <w:t>2.15</w:t>
            </w:r>
          </w:p>
        </w:tc>
        <w:tc>
          <w:tcPr>
            <w:tcW w:w="1815" w:type="dxa"/>
          </w:tcPr>
          <w:p w:rsidR="00E437E6" w:rsidRPr="00D54F2B" w:rsidRDefault="00E437E6" w:rsidP="0031339B">
            <w:pPr>
              <w:rPr>
                <w:rFonts w:ascii="Times New Roman" w:hAnsi="Times New Roman" w:cs="Times New Roman"/>
              </w:rPr>
            </w:pPr>
            <w:r w:rsidRPr="00D54F2B">
              <w:rPr>
                <w:rFonts w:ascii="Times New Roman" w:eastAsia="Times New Roman" w:hAnsi="Times New Roman" w:cs="Times New Roman"/>
              </w:rPr>
              <w:t>0.2M, 25</w:t>
            </w:r>
            <w:r w:rsidRPr="00D54F2B">
              <w:rPr>
                <w:rFonts w:ascii="Times New Roman" w:eastAsia="Times New Roman" w:hAnsi="Times New Roman" w:cs="Times New Roman"/>
                <w:vertAlign w:val="superscript"/>
              </w:rPr>
              <w:t>0</w:t>
            </w:r>
            <w:r w:rsidRPr="00D54F2B">
              <w:rPr>
                <w:rFonts w:ascii="Times New Roman" w:eastAsia="Times New Roman" w:hAnsi="Times New Roman" w:cs="Times New Roman"/>
              </w:rPr>
              <w:t>C</w:t>
            </w:r>
          </w:p>
        </w:tc>
        <w:tc>
          <w:tcPr>
            <w:tcW w:w="956" w:type="dxa"/>
          </w:tcPr>
          <w:p w:rsidR="00E437E6" w:rsidRPr="00D54F2B" w:rsidRDefault="00E437E6" w:rsidP="0031339B">
            <w:pPr>
              <w:rPr>
                <w:rFonts w:ascii="Times New Roman" w:hAnsi="Times New Roman" w:cs="Times New Roman"/>
              </w:rPr>
            </w:pPr>
            <w:r w:rsidRPr="00D54F2B">
              <w:rPr>
                <w:rFonts w:ascii="Times New Roman" w:hAnsi="Times New Roman" w:cs="Times New Roman"/>
              </w:rPr>
              <w:t>Pot.</w:t>
            </w:r>
          </w:p>
        </w:tc>
        <w:tc>
          <w:tcPr>
            <w:tcW w:w="864" w:type="dxa"/>
          </w:tcPr>
          <w:p w:rsidR="00E437E6" w:rsidRPr="006B3F5A" w:rsidRDefault="00E437E6" w:rsidP="0031339B">
            <w:pPr>
              <w:rPr>
                <w:rFonts w:ascii="Times New Roman" w:hAnsi="Times New Roman" w:cs="Times New Roman"/>
              </w:rPr>
            </w:pPr>
            <w:r>
              <w:rPr>
                <w:rFonts w:ascii="Times New Roman" w:hAnsi="Times New Roman" w:cs="Times New Roman"/>
              </w:rPr>
              <w:t>36</w:t>
            </w:r>
          </w:p>
        </w:tc>
      </w:tr>
      <w:tr w:rsidR="00E437E6" w:rsidRPr="00D54F2B" w:rsidTr="00E505DB">
        <w:trPr>
          <w:trHeight w:val="125"/>
          <w:jc w:val="center"/>
        </w:trPr>
        <w:tc>
          <w:tcPr>
            <w:tcW w:w="718" w:type="dxa"/>
          </w:tcPr>
          <w:p w:rsidR="00E437E6" w:rsidRPr="00D54F2B" w:rsidRDefault="00E437E6" w:rsidP="0031339B">
            <w:pPr>
              <w:jc w:val="center"/>
            </w:pPr>
            <w:r>
              <w:t>6</w:t>
            </w:r>
            <w:r w:rsidRPr="00D54F2B">
              <w:t>.</w:t>
            </w:r>
          </w:p>
        </w:tc>
        <w:tc>
          <w:tcPr>
            <w:tcW w:w="876" w:type="dxa"/>
          </w:tcPr>
          <w:p w:rsidR="00E437E6" w:rsidRPr="00D54F2B" w:rsidRDefault="00E437E6" w:rsidP="0031339B">
            <w:pPr>
              <w:rPr>
                <w:rFonts w:ascii="Times New Roman" w:hAnsi="Times New Roman" w:cs="Times New Roman"/>
              </w:rPr>
            </w:pPr>
            <w:r w:rsidRPr="00D54F2B">
              <w:rPr>
                <w:rFonts w:ascii="Times New Roman" w:hAnsi="Times New Roman" w:cs="Times New Roman"/>
              </w:rPr>
              <w:t>10.79</w:t>
            </w:r>
          </w:p>
        </w:tc>
        <w:tc>
          <w:tcPr>
            <w:tcW w:w="845" w:type="dxa"/>
          </w:tcPr>
          <w:p w:rsidR="00E437E6" w:rsidRPr="00D54F2B" w:rsidRDefault="00E437E6" w:rsidP="0031339B">
            <w:pPr>
              <w:jc w:val="center"/>
              <w:rPr>
                <w:rFonts w:ascii="Times New Roman" w:hAnsi="Times New Roman" w:cs="Times New Roman"/>
              </w:rPr>
            </w:pPr>
            <w:r w:rsidRPr="00D54F2B">
              <w:rPr>
                <w:rFonts w:ascii="Times New Roman" w:hAnsi="Times New Roman" w:cs="Times New Roman"/>
              </w:rPr>
              <w:t>-</w:t>
            </w:r>
          </w:p>
        </w:tc>
        <w:tc>
          <w:tcPr>
            <w:tcW w:w="810" w:type="dxa"/>
          </w:tcPr>
          <w:p w:rsidR="00E437E6" w:rsidRPr="00D54F2B" w:rsidRDefault="00E437E6" w:rsidP="0031339B">
            <w:pPr>
              <w:jc w:val="center"/>
            </w:pPr>
            <w:r w:rsidRPr="00D54F2B">
              <w:t>-</w:t>
            </w:r>
          </w:p>
        </w:tc>
        <w:tc>
          <w:tcPr>
            <w:tcW w:w="1815" w:type="dxa"/>
          </w:tcPr>
          <w:p w:rsidR="00E437E6" w:rsidRPr="00D54F2B" w:rsidRDefault="00E437E6" w:rsidP="0031339B">
            <w:pPr>
              <w:rPr>
                <w:rFonts w:ascii="Times New Roman" w:hAnsi="Times New Roman" w:cs="Times New Roman"/>
              </w:rPr>
            </w:pPr>
            <w:r w:rsidRPr="00D54F2B">
              <w:rPr>
                <w:rFonts w:ascii="Times New Roman" w:hAnsi="Times New Roman" w:cs="Times New Roman"/>
              </w:rPr>
              <w:t>0.1M, 25</w:t>
            </w:r>
            <w:r w:rsidRPr="00D54F2B">
              <w:rPr>
                <w:rFonts w:ascii="Times New Roman" w:hAnsi="Times New Roman" w:cs="Times New Roman"/>
                <w:vertAlign w:val="superscript"/>
              </w:rPr>
              <w:t>0</w:t>
            </w:r>
            <w:r w:rsidRPr="00D54F2B">
              <w:rPr>
                <w:rFonts w:ascii="Times New Roman" w:hAnsi="Times New Roman" w:cs="Times New Roman"/>
              </w:rPr>
              <w:t>C</w:t>
            </w:r>
          </w:p>
        </w:tc>
        <w:tc>
          <w:tcPr>
            <w:tcW w:w="956" w:type="dxa"/>
          </w:tcPr>
          <w:p w:rsidR="00E437E6" w:rsidRPr="00D54F2B" w:rsidRDefault="00E437E6" w:rsidP="0031339B">
            <w:pPr>
              <w:rPr>
                <w:rFonts w:ascii="Times New Roman" w:hAnsi="Times New Roman" w:cs="Times New Roman"/>
              </w:rPr>
            </w:pPr>
            <w:r w:rsidRPr="00D54F2B">
              <w:rPr>
                <w:rFonts w:ascii="Times New Roman" w:hAnsi="Times New Roman" w:cs="Times New Roman"/>
              </w:rPr>
              <w:t>Pot.</w:t>
            </w:r>
          </w:p>
        </w:tc>
        <w:tc>
          <w:tcPr>
            <w:tcW w:w="864" w:type="dxa"/>
          </w:tcPr>
          <w:p w:rsidR="00E437E6" w:rsidRPr="00D54F2B" w:rsidRDefault="00E437E6" w:rsidP="0031339B">
            <w:pPr>
              <w:rPr>
                <w:rFonts w:ascii="Times New Roman" w:hAnsi="Times New Roman" w:cs="Times New Roman"/>
              </w:rPr>
            </w:pPr>
            <w:r>
              <w:rPr>
                <w:rFonts w:ascii="Times New Roman" w:hAnsi="Times New Roman" w:cs="Times New Roman"/>
              </w:rPr>
              <w:t>37</w:t>
            </w:r>
          </w:p>
        </w:tc>
      </w:tr>
      <w:tr w:rsidR="00E437E6" w:rsidRPr="00D54F2B" w:rsidTr="0031339B">
        <w:trPr>
          <w:jc w:val="center"/>
        </w:trPr>
        <w:tc>
          <w:tcPr>
            <w:tcW w:w="718" w:type="dxa"/>
          </w:tcPr>
          <w:p w:rsidR="00E437E6" w:rsidRPr="00D54F2B" w:rsidRDefault="00E437E6" w:rsidP="0031339B">
            <w:pPr>
              <w:jc w:val="center"/>
            </w:pPr>
            <w:r>
              <w:t>7.</w:t>
            </w:r>
          </w:p>
        </w:tc>
        <w:tc>
          <w:tcPr>
            <w:tcW w:w="876" w:type="dxa"/>
          </w:tcPr>
          <w:p w:rsidR="00E437E6" w:rsidRPr="00D54F2B" w:rsidRDefault="00E437E6" w:rsidP="0031339B">
            <w:r>
              <w:t>10.53</w:t>
            </w:r>
          </w:p>
        </w:tc>
        <w:tc>
          <w:tcPr>
            <w:tcW w:w="845" w:type="dxa"/>
          </w:tcPr>
          <w:p w:rsidR="00E437E6" w:rsidRPr="00D54F2B" w:rsidRDefault="00E437E6" w:rsidP="0031339B">
            <w:r>
              <w:t>8.95</w:t>
            </w:r>
          </w:p>
        </w:tc>
        <w:tc>
          <w:tcPr>
            <w:tcW w:w="810" w:type="dxa"/>
          </w:tcPr>
          <w:p w:rsidR="00E437E6" w:rsidRPr="00D54F2B" w:rsidRDefault="00E437E6" w:rsidP="0031339B">
            <w:r>
              <w:t>2.18</w:t>
            </w:r>
          </w:p>
        </w:tc>
        <w:tc>
          <w:tcPr>
            <w:tcW w:w="1815" w:type="dxa"/>
          </w:tcPr>
          <w:p w:rsidR="00E437E6" w:rsidRPr="00D54F2B" w:rsidRDefault="00E437E6" w:rsidP="0031339B">
            <w:pPr>
              <w:rPr>
                <w:rFonts w:ascii="Times New Roman" w:hAnsi="Times New Roman" w:cs="Times New Roman"/>
              </w:rPr>
            </w:pPr>
            <w:r w:rsidRPr="00D54F2B">
              <w:rPr>
                <w:rFonts w:ascii="Times New Roman" w:hAnsi="Times New Roman" w:cs="Times New Roman"/>
              </w:rPr>
              <w:t>0.1M, 25</w:t>
            </w:r>
            <w:r w:rsidRPr="00D54F2B">
              <w:rPr>
                <w:rFonts w:ascii="Times New Roman" w:hAnsi="Times New Roman" w:cs="Times New Roman"/>
                <w:vertAlign w:val="superscript"/>
              </w:rPr>
              <w:t>0</w:t>
            </w:r>
            <w:r w:rsidRPr="00D54F2B">
              <w:rPr>
                <w:rFonts w:ascii="Times New Roman" w:hAnsi="Times New Roman" w:cs="Times New Roman"/>
              </w:rPr>
              <w:t>C</w:t>
            </w:r>
          </w:p>
        </w:tc>
        <w:tc>
          <w:tcPr>
            <w:tcW w:w="956" w:type="dxa"/>
          </w:tcPr>
          <w:p w:rsidR="00E437E6" w:rsidRPr="00D54F2B" w:rsidRDefault="00E437E6" w:rsidP="0031339B">
            <w:pPr>
              <w:rPr>
                <w:rFonts w:ascii="Times New Roman" w:hAnsi="Times New Roman" w:cs="Times New Roman"/>
              </w:rPr>
            </w:pPr>
            <w:r w:rsidRPr="00D54F2B">
              <w:rPr>
                <w:rFonts w:ascii="Times New Roman" w:hAnsi="Times New Roman" w:cs="Times New Roman"/>
              </w:rPr>
              <w:t>Pot.</w:t>
            </w:r>
          </w:p>
        </w:tc>
        <w:tc>
          <w:tcPr>
            <w:tcW w:w="864" w:type="dxa"/>
          </w:tcPr>
          <w:p w:rsidR="00E437E6" w:rsidRPr="00D54F2B" w:rsidRDefault="00E437E6" w:rsidP="0031339B">
            <w:pPr>
              <w:rPr>
                <w:rFonts w:ascii="Times New Roman" w:hAnsi="Times New Roman" w:cs="Times New Roman"/>
              </w:rPr>
            </w:pPr>
            <w:r>
              <w:rPr>
                <w:rFonts w:ascii="Times New Roman" w:hAnsi="Times New Roman" w:cs="Times New Roman"/>
              </w:rPr>
              <w:t>38</w:t>
            </w:r>
          </w:p>
        </w:tc>
      </w:tr>
      <w:tr w:rsidR="00E437E6" w:rsidRPr="00D54F2B" w:rsidTr="0031339B">
        <w:trPr>
          <w:jc w:val="center"/>
        </w:trPr>
        <w:tc>
          <w:tcPr>
            <w:tcW w:w="718" w:type="dxa"/>
          </w:tcPr>
          <w:p w:rsidR="00E437E6" w:rsidRPr="00D54F2B" w:rsidRDefault="00E437E6" w:rsidP="0031339B">
            <w:pPr>
              <w:jc w:val="center"/>
            </w:pPr>
            <w:r>
              <w:t>8.</w:t>
            </w:r>
          </w:p>
        </w:tc>
        <w:tc>
          <w:tcPr>
            <w:tcW w:w="876" w:type="dxa"/>
          </w:tcPr>
          <w:p w:rsidR="00E437E6" w:rsidRDefault="00E437E6" w:rsidP="0031339B">
            <w:r>
              <w:t>10.63</w:t>
            </w:r>
          </w:p>
        </w:tc>
        <w:tc>
          <w:tcPr>
            <w:tcW w:w="845" w:type="dxa"/>
          </w:tcPr>
          <w:p w:rsidR="00E437E6" w:rsidRDefault="00E437E6" w:rsidP="0031339B">
            <w:r>
              <w:t>9.10</w:t>
            </w:r>
          </w:p>
        </w:tc>
        <w:tc>
          <w:tcPr>
            <w:tcW w:w="810" w:type="dxa"/>
          </w:tcPr>
          <w:p w:rsidR="00E437E6" w:rsidRDefault="00E437E6" w:rsidP="0031339B">
            <w:r>
              <w:t>2.09</w:t>
            </w:r>
          </w:p>
        </w:tc>
        <w:tc>
          <w:tcPr>
            <w:tcW w:w="1815" w:type="dxa"/>
          </w:tcPr>
          <w:p w:rsidR="00E437E6" w:rsidRPr="00D54F2B" w:rsidRDefault="00E437E6" w:rsidP="0031339B">
            <w:r w:rsidRPr="00D54F2B">
              <w:rPr>
                <w:rFonts w:ascii="Times New Roman" w:hAnsi="Times New Roman" w:cs="Times New Roman"/>
              </w:rPr>
              <w:t>0.1M, 25</w:t>
            </w:r>
            <w:r w:rsidRPr="00D54F2B">
              <w:rPr>
                <w:rFonts w:ascii="Times New Roman" w:hAnsi="Times New Roman" w:cs="Times New Roman"/>
                <w:vertAlign w:val="superscript"/>
              </w:rPr>
              <w:t>0</w:t>
            </w:r>
            <w:r w:rsidRPr="00D54F2B">
              <w:rPr>
                <w:rFonts w:ascii="Times New Roman" w:hAnsi="Times New Roman" w:cs="Times New Roman"/>
              </w:rPr>
              <w:t>C</w:t>
            </w:r>
          </w:p>
        </w:tc>
        <w:tc>
          <w:tcPr>
            <w:tcW w:w="956" w:type="dxa"/>
          </w:tcPr>
          <w:p w:rsidR="00E437E6" w:rsidRPr="00D54F2B" w:rsidRDefault="00E437E6" w:rsidP="0031339B">
            <w:r>
              <w:t>Pot.</w:t>
            </w:r>
          </w:p>
        </w:tc>
        <w:tc>
          <w:tcPr>
            <w:tcW w:w="864" w:type="dxa"/>
          </w:tcPr>
          <w:p w:rsidR="00E437E6" w:rsidRPr="00D54F2B" w:rsidRDefault="00E437E6" w:rsidP="0031339B">
            <w:r>
              <w:t>39</w:t>
            </w:r>
          </w:p>
        </w:tc>
      </w:tr>
      <w:tr w:rsidR="00E437E6" w:rsidRPr="00D54F2B" w:rsidTr="0031339B">
        <w:trPr>
          <w:jc w:val="center"/>
        </w:trPr>
        <w:tc>
          <w:tcPr>
            <w:tcW w:w="718" w:type="dxa"/>
          </w:tcPr>
          <w:p w:rsidR="00E437E6" w:rsidRPr="00D54F2B" w:rsidRDefault="00E437E6" w:rsidP="0031339B">
            <w:pPr>
              <w:jc w:val="center"/>
              <w:rPr>
                <w:rFonts w:ascii="Times New Roman" w:hAnsi="Times New Roman" w:cs="Times New Roman"/>
              </w:rPr>
            </w:pPr>
            <w:r>
              <w:rPr>
                <w:rFonts w:ascii="Times New Roman" w:hAnsi="Times New Roman" w:cs="Times New Roman"/>
              </w:rPr>
              <w:t>9.</w:t>
            </w:r>
          </w:p>
        </w:tc>
        <w:tc>
          <w:tcPr>
            <w:tcW w:w="876" w:type="dxa"/>
          </w:tcPr>
          <w:p w:rsidR="00E437E6" w:rsidRPr="00D54F2B" w:rsidRDefault="00E437E6" w:rsidP="0031339B">
            <w:pPr>
              <w:rPr>
                <w:rFonts w:ascii="Times New Roman" w:hAnsi="Times New Roman" w:cs="Times New Roman"/>
              </w:rPr>
            </w:pPr>
            <w:r w:rsidRPr="00D54F2B">
              <w:rPr>
                <w:rFonts w:ascii="Times New Roman" w:hAnsi="Times New Roman" w:cs="Times New Roman"/>
              </w:rPr>
              <w:t>10.55</w:t>
            </w:r>
          </w:p>
        </w:tc>
        <w:tc>
          <w:tcPr>
            <w:tcW w:w="845" w:type="dxa"/>
          </w:tcPr>
          <w:p w:rsidR="00E437E6" w:rsidRPr="00D54F2B" w:rsidRDefault="00E437E6" w:rsidP="0031339B">
            <w:pPr>
              <w:rPr>
                <w:rFonts w:ascii="Times New Roman" w:hAnsi="Times New Roman" w:cs="Times New Roman"/>
              </w:rPr>
            </w:pPr>
            <w:r>
              <w:rPr>
                <w:rFonts w:ascii="Times New Roman" w:hAnsi="Times New Roman" w:cs="Times New Roman"/>
              </w:rPr>
              <w:t>9.00</w:t>
            </w:r>
          </w:p>
        </w:tc>
        <w:tc>
          <w:tcPr>
            <w:tcW w:w="810" w:type="dxa"/>
          </w:tcPr>
          <w:p w:rsidR="00E437E6" w:rsidRPr="00D54F2B" w:rsidRDefault="00E437E6" w:rsidP="0031339B">
            <w:pPr>
              <w:rPr>
                <w:rFonts w:eastAsia="Times New Roman"/>
              </w:rPr>
            </w:pPr>
            <w:r>
              <w:rPr>
                <w:rFonts w:eastAsia="Times New Roman"/>
              </w:rPr>
              <w:t>1.99</w:t>
            </w:r>
          </w:p>
        </w:tc>
        <w:tc>
          <w:tcPr>
            <w:tcW w:w="1815" w:type="dxa"/>
          </w:tcPr>
          <w:p w:rsidR="00E437E6" w:rsidRPr="00D54F2B" w:rsidRDefault="00E437E6" w:rsidP="0031339B">
            <w:pPr>
              <w:rPr>
                <w:rFonts w:ascii="Times New Roman" w:eastAsia="Times New Roman" w:hAnsi="Times New Roman" w:cs="Times New Roman"/>
              </w:rPr>
            </w:pPr>
            <w:r w:rsidRPr="00D54F2B">
              <w:rPr>
                <w:rFonts w:ascii="Times New Roman" w:eastAsia="Times New Roman" w:hAnsi="Times New Roman" w:cs="Times New Roman"/>
              </w:rPr>
              <w:t>0.1M, 30</w:t>
            </w:r>
            <w:r w:rsidRPr="00D54F2B">
              <w:rPr>
                <w:rFonts w:ascii="Times New Roman" w:eastAsia="Times New Roman" w:hAnsi="Times New Roman" w:cs="Times New Roman"/>
                <w:vertAlign w:val="superscript"/>
              </w:rPr>
              <w:t>0</w:t>
            </w:r>
            <w:r w:rsidRPr="00D54F2B">
              <w:rPr>
                <w:rFonts w:ascii="Times New Roman" w:eastAsia="Times New Roman" w:hAnsi="Times New Roman" w:cs="Times New Roman"/>
              </w:rPr>
              <w:t>C</w:t>
            </w:r>
          </w:p>
        </w:tc>
        <w:tc>
          <w:tcPr>
            <w:tcW w:w="956" w:type="dxa"/>
          </w:tcPr>
          <w:p w:rsidR="00E437E6" w:rsidRPr="00D54F2B" w:rsidRDefault="00E437E6" w:rsidP="0031339B">
            <w:pPr>
              <w:rPr>
                <w:rFonts w:ascii="Times New Roman" w:hAnsi="Times New Roman" w:cs="Times New Roman"/>
              </w:rPr>
            </w:pPr>
            <w:r w:rsidRPr="00D54F2B">
              <w:rPr>
                <w:rFonts w:ascii="Times New Roman" w:hAnsi="Times New Roman" w:cs="Times New Roman"/>
              </w:rPr>
              <w:t>Pot,</w:t>
            </w:r>
          </w:p>
        </w:tc>
        <w:tc>
          <w:tcPr>
            <w:tcW w:w="864" w:type="dxa"/>
          </w:tcPr>
          <w:p w:rsidR="00E437E6" w:rsidRPr="00D54F2B" w:rsidRDefault="00E437E6" w:rsidP="0031339B">
            <w:pPr>
              <w:rPr>
                <w:rFonts w:ascii="Times New Roman" w:hAnsi="Times New Roman" w:cs="Times New Roman"/>
              </w:rPr>
            </w:pPr>
            <w:r>
              <w:rPr>
                <w:rFonts w:ascii="Times New Roman" w:hAnsi="Times New Roman" w:cs="Times New Roman"/>
              </w:rPr>
              <w:t>Present Work</w:t>
            </w:r>
          </w:p>
        </w:tc>
      </w:tr>
    </w:tbl>
    <w:p w:rsidR="008C250F" w:rsidRDefault="008C250F" w:rsidP="00212CD8">
      <w:pPr>
        <w:spacing w:line="240" w:lineRule="auto"/>
        <w:jc w:val="both"/>
        <w:rPr>
          <w:rFonts w:eastAsia="Calibri"/>
        </w:rPr>
      </w:pPr>
    </w:p>
    <w:p w:rsidR="008008E0" w:rsidRDefault="00A62B1A" w:rsidP="008008E0">
      <w:pPr>
        <w:spacing w:line="480" w:lineRule="auto"/>
        <w:jc w:val="both"/>
      </w:pPr>
      <w:r>
        <w:tab/>
      </w:r>
      <w:r w:rsidR="003F1020" w:rsidRPr="003F1020">
        <w:t xml:space="preserve">Fig. 13b displays the species distribution diagram for lysine proton-ligand equilibria.  </w:t>
      </w:r>
      <w:r w:rsidR="008C250F" w:rsidRPr="00BE7FD0">
        <w:t>The fully protonated form XH</w:t>
      </w:r>
      <w:r w:rsidR="008C250F" w:rsidRPr="00BE7FD0">
        <w:rPr>
          <w:vertAlign w:val="subscript"/>
        </w:rPr>
        <w:t>3</w:t>
      </w:r>
      <w:r w:rsidR="008C250F" w:rsidRPr="00BE7FD0">
        <w:rPr>
          <w:vertAlign w:val="superscript"/>
        </w:rPr>
        <w:t>2+</w:t>
      </w:r>
      <w:r w:rsidR="008C250F" w:rsidRPr="00BE7FD0">
        <w:t xml:space="preserve"> exists only below a pH of 4.0.  This species lose</w:t>
      </w:r>
      <w:r w:rsidR="00B5145C">
        <w:t>s</w:t>
      </w:r>
      <w:r w:rsidR="00FC50DB">
        <w:t xml:space="preserve"> the carboxylic</w:t>
      </w:r>
      <w:r w:rsidR="008C250F" w:rsidRPr="00BE7FD0">
        <w:t xml:space="preserve"> proton and forms XH</w:t>
      </w:r>
      <w:r w:rsidR="008C250F" w:rsidRPr="00BE7FD0">
        <w:rPr>
          <w:vertAlign w:val="subscript"/>
        </w:rPr>
        <w:t>2</w:t>
      </w:r>
      <w:r w:rsidR="008C250F" w:rsidRPr="00BE7FD0">
        <w:rPr>
          <w:vertAlign w:val="superscript"/>
        </w:rPr>
        <w:t>+</w:t>
      </w:r>
      <w:r w:rsidR="008C250F" w:rsidRPr="00BE7FD0">
        <w:t xml:space="preserve"> which is a dominating species between </w:t>
      </w:r>
      <w:r w:rsidR="00110BE9" w:rsidRPr="00BE7FD0">
        <w:t>3</w:t>
      </w:r>
      <w:r w:rsidR="008C250F" w:rsidRPr="00BE7FD0">
        <w:t xml:space="preserve"> </w:t>
      </w:r>
      <w:r w:rsidR="00110BE9" w:rsidRPr="00BE7FD0">
        <w:t>and</w:t>
      </w:r>
      <w:r w:rsidR="008C250F" w:rsidRPr="00BE7FD0">
        <w:t xml:space="preserve"> </w:t>
      </w:r>
      <w:r w:rsidR="00110BE9" w:rsidRPr="00BE7FD0">
        <w:t>7</w:t>
      </w:r>
      <w:r w:rsidR="008C250F" w:rsidRPr="00BE7FD0">
        <w:t>pH</w:t>
      </w:r>
      <w:r w:rsidR="00110BE9" w:rsidRPr="00BE7FD0">
        <w:t xml:space="preserve">. </w:t>
      </w:r>
      <w:r w:rsidR="008C250F" w:rsidRPr="00BE7FD0">
        <w:t xml:space="preserve"> </w:t>
      </w:r>
      <w:r w:rsidR="00110BE9" w:rsidRPr="00BE7FD0">
        <w:t>It</w:t>
      </w:r>
      <w:r w:rsidR="008C250F" w:rsidRPr="00BE7FD0">
        <w:t xml:space="preserve"> represents nearly 99% of the </w:t>
      </w:r>
      <w:r w:rsidR="00110BE9" w:rsidRPr="00BE7FD0">
        <w:t>total ligand over a wide pH region</w:t>
      </w:r>
      <w:r w:rsidR="008C250F" w:rsidRPr="00BE7FD0">
        <w:t xml:space="preserve">.  Further increase in pH causes neutralization of the </w:t>
      </w:r>
      <w:r w:rsidR="00110BE9" w:rsidRPr="00BE7FD0">
        <w:t xml:space="preserve">α-ammonium </w:t>
      </w:r>
      <w:r w:rsidR="008C250F" w:rsidRPr="00BE7FD0">
        <w:t>proton resulting in the zwitterionic species XH</w:t>
      </w:r>
      <w:r w:rsidR="00E505DB">
        <w:rPr>
          <w:vertAlign w:val="superscript"/>
        </w:rPr>
        <w:t>±</w:t>
      </w:r>
      <w:r w:rsidR="008C250F" w:rsidRPr="00BE7FD0">
        <w:t xml:space="preserve">.  The formation of the XH reaches a maximum of </w:t>
      </w:r>
      <w:r w:rsidR="00DA3087" w:rsidRPr="00BE7FD0">
        <w:t>75</w:t>
      </w:r>
      <w:r w:rsidR="008C250F" w:rsidRPr="00BE7FD0">
        <w:t xml:space="preserve">% of the total ligand around </w:t>
      </w:r>
      <w:r w:rsidR="00DA3087" w:rsidRPr="00BE7FD0">
        <w:t>9.8</w:t>
      </w:r>
      <w:r w:rsidR="008C250F" w:rsidRPr="00BE7FD0">
        <w:t xml:space="preserve"> pH.  </w:t>
      </w:r>
      <w:r w:rsidR="00DA3087" w:rsidRPr="00BE7FD0">
        <w:t xml:space="preserve">Further increase in pH </w:t>
      </w:r>
      <w:r w:rsidR="00BE7FD0" w:rsidRPr="00BE7FD0">
        <w:t xml:space="preserve">leads to </w:t>
      </w:r>
      <w:r w:rsidR="00954CF9">
        <w:t>the</w:t>
      </w:r>
      <w:r w:rsidR="00BE7FD0" w:rsidRPr="00BE7FD0">
        <w:t xml:space="preserve"> deprotonation of ω-ammonium proton of the side chain.  </w:t>
      </w:r>
      <w:r w:rsidR="008008E0" w:rsidRPr="008008E0">
        <w:t>The carboxylate group's ability to extract electrons from the α-NH2 group more effectively than the ω-NH2 group may be the reason for the α-NH2 group's lower basicity.</w:t>
      </w:r>
    </w:p>
    <w:p w:rsidR="00FE552A" w:rsidRDefault="00FE552A" w:rsidP="008008E0">
      <w:pPr>
        <w:spacing w:line="480" w:lineRule="auto"/>
        <w:jc w:val="both"/>
        <w:rPr>
          <w:b/>
        </w:rPr>
      </w:pPr>
      <w:r w:rsidRPr="00A96D2E">
        <w:rPr>
          <w:b/>
        </w:rPr>
        <w:t>3.3 Proton</w:t>
      </w:r>
      <w:r w:rsidR="00AB26C9">
        <w:rPr>
          <w:b/>
        </w:rPr>
        <w:t xml:space="preserve">ation states </w:t>
      </w:r>
      <w:r w:rsidRPr="00A96D2E">
        <w:rPr>
          <w:b/>
        </w:rPr>
        <w:t>of</w:t>
      </w:r>
      <w:r w:rsidRPr="00A96D2E">
        <w:t xml:space="preserve"> L</w:t>
      </w:r>
      <w:r w:rsidRPr="00A96D2E">
        <w:rPr>
          <w:b/>
        </w:rPr>
        <w:t>-Aspartic acid:</w:t>
      </w:r>
    </w:p>
    <w:p w:rsidR="007514C8" w:rsidRPr="007514C8" w:rsidRDefault="007514C8" w:rsidP="008008E0">
      <w:pPr>
        <w:spacing w:line="480" w:lineRule="auto"/>
        <w:jc w:val="both"/>
      </w:pPr>
      <w:r w:rsidRPr="007514C8">
        <w:t>Two carboxylic acid groups, one on the alpha carbon atom and the other in the side chain, characterize aspartic acid (2-aminobutanedioic acid), an acidic amino acid (Fig. 14).  This unneeded α-amino acid is typically present in proteins and functions as an excitatory neurotransmitter in the central nervous system, as well as in the synthesis and release of hormones.  It contributes significantly to the citric acid cycle biochemically.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6"/>
        <w:gridCol w:w="2610"/>
      </w:tblGrid>
      <w:tr w:rsidR="0031339B" w:rsidTr="0067317C">
        <w:trPr>
          <w:trHeight w:val="1448"/>
          <w:jc w:val="center"/>
        </w:trPr>
        <w:tc>
          <w:tcPr>
            <w:tcW w:w="2516" w:type="dxa"/>
          </w:tcPr>
          <w:p w:rsidR="0031339B" w:rsidRDefault="0067317C" w:rsidP="0031339B">
            <w:pPr>
              <w:jc w:val="both"/>
              <w:rPr>
                <w:rFonts w:eastAsia="Times New Roman"/>
              </w:rPr>
            </w:pPr>
            <w:r w:rsidRPr="008E3794">
              <w:rPr>
                <w:rFonts w:ascii="Times New Roman" w:eastAsiaTheme="minorHAnsi" w:hAnsi="Times New Roman" w:cs="Times New Roman"/>
                <w:sz w:val="24"/>
                <w:szCs w:val="24"/>
              </w:rPr>
              <w:object w:dxaOrig="3513" w:dyaOrig="1940">
                <v:shape id="_x0000_i1040" type="#_x0000_t75" style="width:111pt;height:61.5pt" o:ole="">
                  <v:imagedata r:id="rId46" o:title=""/>
                </v:shape>
                <o:OLEObject Type="Embed" ProgID="ChemDraw.Document.6.0" ShapeID="_x0000_i1040" DrawAspect="Content" ObjectID="_1756710478" r:id="rId47"/>
              </w:object>
            </w:r>
          </w:p>
        </w:tc>
        <w:tc>
          <w:tcPr>
            <w:tcW w:w="2610" w:type="dxa"/>
          </w:tcPr>
          <w:p w:rsidR="0031339B" w:rsidRDefault="0067317C" w:rsidP="0031339B">
            <w:pPr>
              <w:jc w:val="both"/>
              <w:rPr>
                <w:rFonts w:eastAsia="Times New Roman"/>
              </w:rPr>
            </w:pPr>
            <w:r w:rsidRPr="00E35EB1">
              <w:rPr>
                <w:rFonts w:ascii="Times New Roman" w:eastAsiaTheme="minorHAnsi" w:hAnsi="Times New Roman" w:cs="Times New Roman"/>
                <w:sz w:val="24"/>
                <w:szCs w:val="24"/>
              </w:rPr>
              <w:object w:dxaOrig="6844" w:dyaOrig="3848">
                <v:shape id="_x0000_i1041" type="#_x0000_t75" style="width:116.25pt;height:65.25pt" o:ole="">
                  <v:imagedata r:id="rId48" o:title=""/>
                </v:shape>
                <o:OLEObject Type="Embed" ProgID="Chem3D.Document.8" ShapeID="_x0000_i1041" DrawAspect="Content" ObjectID="_1756710479" r:id="rId49"/>
              </w:object>
            </w:r>
          </w:p>
        </w:tc>
      </w:tr>
    </w:tbl>
    <w:p w:rsidR="00FE552A" w:rsidRPr="00A3339E" w:rsidRDefault="00B62241" w:rsidP="00FE552A">
      <w:pPr>
        <w:spacing w:line="480" w:lineRule="auto"/>
        <w:jc w:val="center"/>
      </w:pPr>
      <w:r>
        <w:rPr>
          <w:b/>
        </w:rPr>
        <w:t xml:space="preserve">Figure </w:t>
      </w:r>
      <w:r w:rsidR="000064D7">
        <w:rPr>
          <w:b/>
        </w:rPr>
        <w:t>3.14</w:t>
      </w:r>
      <w:r w:rsidR="00FE552A" w:rsidRPr="00A96D2E">
        <w:t>: L- Aspartic acid</w:t>
      </w:r>
      <w:r w:rsidR="00FE552A">
        <w:t xml:space="preserve"> (XH</w:t>
      </w:r>
      <w:r w:rsidR="00FE552A">
        <w:rPr>
          <w:vertAlign w:val="subscript"/>
        </w:rPr>
        <w:t>2</w:t>
      </w:r>
      <w:r w:rsidR="00FE552A">
        <w:t>)</w:t>
      </w:r>
    </w:p>
    <w:p w:rsidR="00FE552A" w:rsidRDefault="00FE552A" w:rsidP="00FE552A">
      <w:pPr>
        <w:spacing w:line="480" w:lineRule="auto"/>
        <w:jc w:val="both"/>
        <w:rPr>
          <w:rFonts w:eastAsia="Times New Roman"/>
        </w:rPr>
      </w:pPr>
      <w:r w:rsidRPr="00A96D2E">
        <w:rPr>
          <w:rFonts w:eastAsia="Times New Roman"/>
        </w:rPr>
        <w:tab/>
      </w:r>
      <w:r>
        <w:rPr>
          <w:rFonts w:eastAsia="Times New Roman"/>
        </w:rPr>
        <w:t>In aqueous solution depending on the pH, L-aspartic acid</w:t>
      </w:r>
      <w:r w:rsidR="00EA4C32">
        <w:rPr>
          <w:rFonts w:eastAsia="Times New Roman"/>
        </w:rPr>
        <w:t xml:space="preserve"> may exist (Fig. </w:t>
      </w:r>
      <w:r w:rsidR="000064D7">
        <w:rPr>
          <w:rFonts w:eastAsia="Times New Roman"/>
        </w:rPr>
        <w:t>15</w:t>
      </w:r>
      <w:r>
        <w:rPr>
          <w:rFonts w:eastAsia="Times New Roman"/>
        </w:rPr>
        <w:t>) in cationic (XH</w:t>
      </w:r>
      <w:r>
        <w:rPr>
          <w:rFonts w:eastAsia="Times New Roman"/>
          <w:vertAlign w:val="subscript"/>
        </w:rPr>
        <w:t>3</w:t>
      </w:r>
      <w:r>
        <w:rPr>
          <w:rFonts w:eastAsia="Times New Roman"/>
          <w:vertAlign w:val="superscript"/>
        </w:rPr>
        <w:t>+</w:t>
      </w:r>
      <w:r>
        <w:rPr>
          <w:rFonts w:eastAsia="Times New Roman"/>
        </w:rPr>
        <w:t>), neutral zwitterionic (XH</w:t>
      </w:r>
      <w:r>
        <w:rPr>
          <w:rFonts w:eastAsia="Times New Roman"/>
          <w:vertAlign w:val="subscript"/>
        </w:rPr>
        <w:t>2</w:t>
      </w:r>
      <w:r w:rsidR="00B62241">
        <w:rPr>
          <w:rFonts w:eastAsia="Times New Roman"/>
          <w:vertAlign w:val="superscript"/>
        </w:rPr>
        <w:t>±</w:t>
      </w:r>
      <w:r>
        <w:rPr>
          <w:rFonts w:eastAsia="Times New Roman"/>
        </w:rPr>
        <w:t>) or anionic (XH</w:t>
      </w:r>
      <w:r>
        <w:rPr>
          <w:rFonts w:eastAsia="Times New Roman"/>
          <w:vertAlign w:val="superscript"/>
        </w:rPr>
        <w:t>-</w:t>
      </w:r>
      <w:r>
        <w:rPr>
          <w:rFonts w:eastAsia="Times New Roman"/>
        </w:rPr>
        <w:t xml:space="preserve"> and X</w:t>
      </w:r>
      <w:r>
        <w:rPr>
          <w:rFonts w:eastAsia="Times New Roman"/>
          <w:vertAlign w:val="superscript"/>
        </w:rPr>
        <w:t>2-</w:t>
      </w:r>
      <w:r w:rsidR="00B62241">
        <w:rPr>
          <w:rFonts w:eastAsia="Times New Roman"/>
          <w:vertAlign w:val="superscript"/>
        </w:rPr>
        <w:t xml:space="preserve"> </w:t>
      </w:r>
      <w:r>
        <w:rPr>
          <w:rFonts w:eastAsia="Times New Roman"/>
        </w:rPr>
        <w:t xml:space="preserve">) forms. </w:t>
      </w:r>
    </w:p>
    <w:p w:rsidR="00F45F7A" w:rsidRPr="006E709E" w:rsidRDefault="0067317C" w:rsidP="00F71C8D">
      <w:pPr>
        <w:spacing w:line="480" w:lineRule="auto"/>
        <w:jc w:val="center"/>
        <w:rPr>
          <w:rFonts w:eastAsia="Times New Roman"/>
        </w:rPr>
      </w:pPr>
      <w:r>
        <w:object w:dxaOrig="7572" w:dyaOrig="5308">
          <v:shape id="_x0000_i1042" type="#_x0000_t75" style="width:206.25pt;height:144.75pt" o:ole="">
            <v:imagedata r:id="rId50" o:title=""/>
          </v:shape>
          <o:OLEObject Type="Embed" ProgID="ChemDraw.Document.6.0" ShapeID="_x0000_i1042" DrawAspect="Content" ObjectID="_1756710480" r:id="rId51"/>
        </w:object>
      </w:r>
    </w:p>
    <w:p w:rsidR="00FE552A" w:rsidRPr="00177D99" w:rsidRDefault="00FE552A" w:rsidP="00FE552A">
      <w:pPr>
        <w:spacing w:line="480" w:lineRule="auto"/>
        <w:jc w:val="center"/>
        <w:rPr>
          <w:rFonts w:eastAsia="Times New Roman"/>
        </w:rPr>
      </w:pPr>
      <w:r w:rsidRPr="00177D99">
        <w:rPr>
          <w:b/>
        </w:rPr>
        <w:t>Figure</w:t>
      </w:r>
      <w:r w:rsidR="00EA4C32">
        <w:rPr>
          <w:b/>
        </w:rPr>
        <w:t xml:space="preserve"> </w:t>
      </w:r>
      <w:r w:rsidR="000064D7">
        <w:rPr>
          <w:b/>
        </w:rPr>
        <w:t>15</w:t>
      </w:r>
      <w:r w:rsidRPr="00177D99">
        <w:rPr>
          <w:b/>
        </w:rPr>
        <w:t>:</w:t>
      </w:r>
      <w:r>
        <w:t xml:space="preserve"> </w:t>
      </w:r>
      <w:r w:rsidR="00864913">
        <w:t xml:space="preserve">Protonation states </w:t>
      </w:r>
      <w:r w:rsidRPr="00177D99">
        <w:t>of L-Aspartic acid</w:t>
      </w:r>
    </w:p>
    <w:p w:rsidR="00790E82" w:rsidRDefault="00FE552A" w:rsidP="00790E82">
      <w:pPr>
        <w:spacing w:line="480" w:lineRule="auto"/>
        <w:jc w:val="both"/>
        <w:rPr>
          <w:rFonts w:eastAsia="Times New Roman"/>
        </w:rPr>
      </w:pPr>
      <w:r>
        <w:rPr>
          <w:rFonts w:eastAsia="Times New Roman"/>
        </w:rPr>
        <w:tab/>
      </w:r>
      <w:r w:rsidR="00790E82" w:rsidRPr="00790E82">
        <w:rPr>
          <w:rFonts w:eastAsia="Times New Roman"/>
        </w:rPr>
        <w:t>It has an isoelectric point at roughly 2.8 pH.  Since the aqueous medium is basic and neutral, the entire molecule has a negative charge. Proteins nearly entirely include it because of the negatively charged carboxylate group that it possesses. The charged group's solubility in water is mostly due to its ability to establish ionic bonds with different metal ions and engage in dipole interactions with water molecules.</w:t>
      </w:r>
    </w:p>
    <w:p w:rsidR="00CB1B56" w:rsidRPr="00581A01" w:rsidRDefault="00CB1B56" w:rsidP="00790E82">
      <w:pPr>
        <w:spacing w:line="480" w:lineRule="auto"/>
        <w:jc w:val="both"/>
      </w:pPr>
      <w:r w:rsidRPr="00296971">
        <w:t xml:space="preserve">The pH-metric titration curves of free acid (curve 1) and acid + ligand (curve </w:t>
      </w:r>
      <w:r w:rsidR="00B62241">
        <w:t>2) are shown in Fig.</w:t>
      </w:r>
      <w:r w:rsidR="00EA4C32">
        <w:t xml:space="preserve"> </w:t>
      </w:r>
      <w:r w:rsidRPr="00296971">
        <w:t>1</w:t>
      </w:r>
      <w:r w:rsidR="00864913">
        <w:t>6</w:t>
      </w:r>
      <w:r w:rsidRPr="00296971">
        <w:t>a</w:t>
      </w:r>
      <w:r>
        <w:t xml:space="preserve">.  </w:t>
      </w:r>
      <w:r w:rsidR="00715160">
        <w:t xml:space="preserve">  </w:t>
      </w:r>
    </w:p>
    <w:tbl>
      <w:tblPr>
        <w:tblW w:w="7867" w:type="dxa"/>
        <w:jc w:val="center"/>
        <w:tblLook w:val="04A0"/>
      </w:tblPr>
      <w:tblGrid>
        <w:gridCol w:w="647"/>
        <w:gridCol w:w="2300"/>
        <w:gridCol w:w="1397"/>
        <w:gridCol w:w="1074"/>
        <w:gridCol w:w="2449"/>
      </w:tblGrid>
      <w:tr w:rsidR="00FE552A" w:rsidRPr="003C307D" w:rsidTr="00FE552A">
        <w:trPr>
          <w:trHeight w:val="3137"/>
          <w:jc w:val="center"/>
        </w:trPr>
        <w:tc>
          <w:tcPr>
            <w:tcW w:w="4344" w:type="dxa"/>
            <w:gridSpan w:val="3"/>
          </w:tcPr>
          <w:p w:rsidR="00FE552A" w:rsidRDefault="00FE552A" w:rsidP="0031339B">
            <w:pPr>
              <w:spacing w:after="0" w:line="240" w:lineRule="auto"/>
              <w:rPr>
                <w:sz w:val="20"/>
                <w:szCs w:val="20"/>
              </w:rPr>
            </w:pPr>
          </w:p>
          <w:p w:rsidR="00FE552A" w:rsidRPr="003C307D" w:rsidRDefault="00FE552A" w:rsidP="0031339B">
            <w:pPr>
              <w:spacing w:after="0" w:line="240" w:lineRule="auto"/>
              <w:rPr>
                <w:sz w:val="20"/>
                <w:szCs w:val="20"/>
              </w:rPr>
            </w:pPr>
            <w:r>
              <w:rPr>
                <w:noProof/>
                <w:sz w:val="20"/>
                <w:szCs w:val="20"/>
                <w:lang w:val="en-US"/>
              </w:rPr>
              <w:drawing>
                <wp:inline distT="0" distB="0" distL="0" distR="0">
                  <wp:extent cx="2446020" cy="1980267"/>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srcRect/>
                          <a:stretch>
                            <a:fillRect/>
                          </a:stretch>
                        </pic:blipFill>
                        <pic:spPr bwMode="auto">
                          <a:xfrm>
                            <a:off x="0" y="0"/>
                            <a:ext cx="2446020" cy="1980267"/>
                          </a:xfrm>
                          <a:prstGeom prst="rect">
                            <a:avLst/>
                          </a:prstGeom>
                          <a:noFill/>
                          <a:ln w="9525">
                            <a:noFill/>
                            <a:miter lim="800000"/>
                            <a:headEnd/>
                            <a:tailEnd/>
                          </a:ln>
                        </pic:spPr>
                      </pic:pic>
                    </a:graphicData>
                  </a:graphic>
                </wp:inline>
              </w:drawing>
            </w:r>
          </w:p>
        </w:tc>
        <w:tc>
          <w:tcPr>
            <w:tcW w:w="3523" w:type="dxa"/>
            <w:gridSpan w:val="2"/>
          </w:tcPr>
          <w:p w:rsidR="00FE552A" w:rsidRPr="003C307D" w:rsidRDefault="00FE552A" w:rsidP="0031339B">
            <w:pPr>
              <w:spacing w:after="0" w:line="240" w:lineRule="auto"/>
              <w:rPr>
                <w:sz w:val="20"/>
                <w:szCs w:val="20"/>
              </w:rPr>
            </w:pPr>
            <w:r w:rsidRPr="00FB1995">
              <w:rPr>
                <w:noProof/>
                <w:sz w:val="20"/>
                <w:szCs w:val="20"/>
                <w:lang w:val="en-US"/>
              </w:rPr>
              <w:drawing>
                <wp:inline distT="0" distB="0" distL="0" distR="0">
                  <wp:extent cx="1859280" cy="194253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srcRect/>
                          <a:stretch>
                            <a:fillRect/>
                          </a:stretch>
                        </pic:blipFill>
                        <pic:spPr bwMode="auto">
                          <a:xfrm>
                            <a:off x="0" y="0"/>
                            <a:ext cx="1864333" cy="1947810"/>
                          </a:xfrm>
                          <a:prstGeom prst="rect">
                            <a:avLst/>
                          </a:prstGeom>
                          <a:noFill/>
                          <a:ln w="3175">
                            <a:noFill/>
                            <a:miter lim="800000"/>
                            <a:headEnd/>
                            <a:tailEnd/>
                          </a:ln>
                        </pic:spPr>
                      </pic:pic>
                    </a:graphicData>
                  </a:graphic>
                </wp:inline>
              </w:drawing>
            </w:r>
          </w:p>
        </w:tc>
      </w:tr>
      <w:tr w:rsidR="00FE552A" w:rsidRPr="003C307D" w:rsidTr="00FE552A">
        <w:trPr>
          <w:trHeight w:val="140"/>
          <w:jc w:val="center"/>
        </w:trPr>
        <w:tc>
          <w:tcPr>
            <w:tcW w:w="647" w:type="dxa"/>
          </w:tcPr>
          <w:p w:rsidR="00FE552A" w:rsidRPr="00377912" w:rsidRDefault="00FE552A" w:rsidP="0031339B">
            <w:pPr>
              <w:spacing w:after="0" w:line="240" w:lineRule="auto"/>
              <w:jc w:val="center"/>
              <w:rPr>
                <w:sz w:val="20"/>
                <w:szCs w:val="20"/>
              </w:rPr>
            </w:pPr>
            <w:r>
              <w:rPr>
                <w:sz w:val="20"/>
                <w:szCs w:val="20"/>
              </w:rPr>
              <w:t xml:space="preserve"> a.</w:t>
            </w:r>
          </w:p>
        </w:tc>
        <w:tc>
          <w:tcPr>
            <w:tcW w:w="3697" w:type="dxa"/>
            <w:gridSpan w:val="2"/>
          </w:tcPr>
          <w:p w:rsidR="00FE552A" w:rsidRPr="00377912" w:rsidRDefault="00FE552A" w:rsidP="0031339B">
            <w:pPr>
              <w:spacing w:after="0" w:line="240" w:lineRule="auto"/>
              <w:ind w:left="-72"/>
              <w:rPr>
                <w:sz w:val="20"/>
                <w:szCs w:val="20"/>
              </w:rPr>
            </w:pPr>
            <w:r w:rsidRPr="00377912">
              <w:rPr>
                <w:sz w:val="20"/>
                <w:szCs w:val="20"/>
              </w:rPr>
              <w:t>1.  Titration curve of free mineral acid</w:t>
            </w:r>
          </w:p>
        </w:tc>
        <w:tc>
          <w:tcPr>
            <w:tcW w:w="3523" w:type="dxa"/>
            <w:gridSpan w:val="2"/>
          </w:tcPr>
          <w:p w:rsidR="00FE552A" w:rsidRPr="00377912" w:rsidRDefault="00FE552A" w:rsidP="0031339B">
            <w:pPr>
              <w:spacing w:after="0" w:line="240" w:lineRule="auto"/>
              <w:rPr>
                <w:sz w:val="20"/>
                <w:szCs w:val="20"/>
              </w:rPr>
            </w:pPr>
            <w:r w:rsidRPr="00377912">
              <w:rPr>
                <w:sz w:val="20"/>
                <w:szCs w:val="20"/>
              </w:rPr>
              <w:t xml:space="preserve">     </w:t>
            </w:r>
            <w:r>
              <w:rPr>
                <w:sz w:val="20"/>
                <w:szCs w:val="20"/>
              </w:rPr>
              <w:t xml:space="preserve">  </w:t>
            </w:r>
            <w:r w:rsidRPr="00377912">
              <w:rPr>
                <w:sz w:val="20"/>
                <w:szCs w:val="20"/>
              </w:rPr>
              <w:t>b. Species distribution diagram</w:t>
            </w:r>
          </w:p>
        </w:tc>
      </w:tr>
      <w:tr w:rsidR="00FE552A" w:rsidRPr="003C307D" w:rsidTr="00FE552A">
        <w:trPr>
          <w:trHeight w:val="167"/>
          <w:jc w:val="center"/>
        </w:trPr>
        <w:tc>
          <w:tcPr>
            <w:tcW w:w="647" w:type="dxa"/>
          </w:tcPr>
          <w:p w:rsidR="00FE552A" w:rsidRPr="00377912" w:rsidRDefault="00FE552A" w:rsidP="0031339B">
            <w:pPr>
              <w:spacing w:after="0" w:line="240" w:lineRule="auto"/>
              <w:rPr>
                <w:b/>
                <w:sz w:val="20"/>
                <w:szCs w:val="20"/>
              </w:rPr>
            </w:pPr>
          </w:p>
        </w:tc>
        <w:tc>
          <w:tcPr>
            <w:tcW w:w="3697" w:type="dxa"/>
            <w:gridSpan w:val="2"/>
          </w:tcPr>
          <w:p w:rsidR="00FE552A" w:rsidRPr="00377912" w:rsidRDefault="00FE552A" w:rsidP="0031339B">
            <w:pPr>
              <w:spacing w:after="0" w:line="240" w:lineRule="auto"/>
              <w:ind w:left="-72"/>
              <w:rPr>
                <w:sz w:val="20"/>
                <w:szCs w:val="20"/>
              </w:rPr>
            </w:pPr>
            <w:r w:rsidRPr="00377912">
              <w:rPr>
                <w:sz w:val="20"/>
                <w:szCs w:val="20"/>
              </w:rPr>
              <w:t>2</w:t>
            </w:r>
            <w:r>
              <w:rPr>
                <w:sz w:val="20"/>
                <w:szCs w:val="20"/>
              </w:rPr>
              <w:t>.  Titration curve for acid + ASP</w:t>
            </w:r>
          </w:p>
        </w:tc>
        <w:tc>
          <w:tcPr>
            <w:tcW w:w="3523" w:type="dxa"/>
            <w:gridSpan w:val="2"/>
          </w:tcPr>
          <w:p w:rsidR="00FE552A" w:rsidRPr="00377912" w:rsidRDefault="00FE552A" w:rsidP="0031339B">
            <w:pPr>
              <w:spacing w:after="0" w:line="240" w:lineRule="auto"/>
              <w:rPr>
                <w:sz w:val="20"/>
                <w:szCs w:val="20"/>
              </w:rPr>
            </w:pPr>
          </w:p>
        </w:tc>
      </w:tr>
      <w:tr w:rsidR="00FE552A" w:rsidRPr="003C307D" w:rsidTr="00FE552A">
        <w:trPr>
          <w:trHeight w:val="203"/>
          <w:jc w:val="center"/>
        </w:trPr>
        <w:tc>
          <w:tcPr>
            <w:tcW w:w="2947" w:type="dxa"/>
            <w:gridSpan w:val="2"/>
          </w:tcPr>
          <w:p w:rsidR="00FE552A" w:rsidRPr="00377912" w:rsidRDefault="00FE552A" w:rsidP="0031339B">
            <w:pPr>
              <w:tabs>
                <w:tab w:val="left" w:pos="3420"/>
              </w:tabs>
              <w:spacing w:after="0" w:line="240" w:lineRule="auto"/>
              <w:jc w:val="right"/>
              <w:rPr>
                <w:sz w:val="20"/>
                <w:szCs w:val="20"/>
              </w:rPr>
            </w:pPr>
            <w:r w:rsidRPr="00377912">
              <w:rPr>
                <w:sz w:val="20"/>
                <w:szCs w:val="20"/>
              </w:rPr>
              <w:t>[</w:t>
            </w:r>
            <w:r>
              <w:rPr>
                <w:sz w:val="20"/>
                <w:szCs w:val="20"/>
              </w:rPr>
              <w:t>ASP</w:t>
            </w:r>
            <w:r w:rsidRPr="00377912">
              <w:rPr>
                <w:sz w:val="20"/>
                <w:szCs w:val="20"/>
              </w:rPr>
              <w:t>] = 0.0</w:t>
            </w:r>
            <w:r>
              <w:rPr>
                <w:sz w:val="20"/>
                <w:szCs w:val="20"/>
              </w:rPr>
              <w:t>1002</w:t>
            </w:r>
            <w:r w:rsidRPr="00377912">
              <w:rPr>
                <w:sz w:val="20"/>
                <w:szCs w:val="20"/>
              </w:rPr>
              <w:t xml:space="preserve">  mol</w:t>
            </w:r>
            <w:r>
              <w:rPr>
                <w:sz w:val="20"/>
                <w:szCs w:val="20"/>
              </w:rPr>
              <w:t>.</w:t>
            </w:r>
            <w:r w:rsidRPr="00377912">
              <w:rPr>
                <w:sz w:val="20"/>
                <w:szCs w:val="20"/>
              </w:rPr>
              <w:t xml:space="preserve"> dm</w:t>
            </w:r>
            <w:r w:rsidRPr="00377912">
              <w:rPr>
                <w:sz w:val="20"/>
                <w:szCs w:val="20"/>
                <w:vertAlign w:val="superscript"/>
              </w:rPr>
              <w:t>-3</w:t>
            </w:r>
          </w:p>
        </w:tc>
        <w:tc>
          <w:tcPr>
            <w:tcW w:w="2471" w:type="dxa"/>
            <w:gridSpan w:val="2"/>
          </w:tcPr>
          <w:p w:rsidR="00FE552A" w:rsidRPr="00377912" w:rsidRDefault="00FE552A" w:rsidP="0031339B">
            <w:pPr>
              <w:spacing w:after="0" w:line="240" w:lineRule="auto"/>
              <w:rPr>
                <w:sz w:val="20"/>
                <w:szCs w:val="20"/>
              </w:rPr>
            </w:pPr>
            <w:r>
              <w:rPr>
                <w:sz w:val="20"/>
                <w:szCs w:val="20"/>
              </w:rPr>
              <w:t xml:space="preserve"> [HCl] </w:t>
            </w:r>
            <w:r w:rsidRPr="00377912">
              <w:rPr>
                <w:sz w:val="20"/>
                <w:szCs w:val="20"/>
              </w:rPr>
              <w:t xml:space="preserve"> = 0.</w:t>
            </w:r>
            <w:r>
              <w:rPr>
                <w:sz w:val="20"/>
                <w:szCs w:val="20"/>
              </w:rPr>
              <w:t>02990</w:t>
            </w:r>
            <w:r w:rsidRPr="00377912">
              <w:rPr>
                <w:sz w:val="20"/>
                <w:szCs w:val="20"/>
              </w:rPr>
              <w:t xml:space="preserve"> mol</w:t>
            </w:r>
            <w:r>
              <w:rPr>
                <w:sz w:val="20"/>
                <w:szCs w:val="20"/>
              </w:rPr>
              <w:t>.</w:t>
            </w:r>
            <w:r w:rsidRPr="00377912">
              <w:rPr>
                <w:sz w:val="20"/>
                <w:szCs w:val="20"/>
              </w:rPr>
              <w:t xml:space="preserve"> dm</w:t>
            </w:r>
            <w:r w:rsidRPr="00377912">
              <w:rPr>
                <w:sz w:val="20"/>
                <w:szCs w:val="20"/>
                <w:vertAlign w:val="superscript"/>
              </w:rPr>
              <w:t>-3</w:t>
            </w:r>
          </w:p>
        </w:tc>
        <w:tc>
          <w:tcPr>
            <w:tcW w:w="2449" w:type="dxa"/>
          </w:tcPr>
          <w:p w:rsidR="00FE552A" w:rsidRPr="00377912" w:rsidRDefault="00FE552A" w:rsidP="0031339B">
            <w:pPr>
              <w:spacing w:after="0" w:line="240" w:lineRule="auto"/>
              <w:rPr>
                <w:sz w:val="20"/>
                <w:szCs w:val="20"/>
              </w:rPr>
            </w:pPr>
            <w:r>
              <w:rPr>
                <w:sz w:val="20"/>
                <w:szCs w:val="20"/>
              </w:rPr>
              <w:t>[K</w:t>
            </w:r>
            <w:r w:rsidRPr="00377912">
              <w:rPr>
                <w:sz w:val="20"/>
                <w:szCs w:val="20"/>
              </w:rPr>
              <w:t xml:space="preserve">OH ]= </w:t>
            </w:r>
            <w:r>
              <w:rPr>
                <w:sz w:val="20"/>
                <w:szCs w:val="20"/>
              </w:rPr>
              <w:t xml:space="preserve">0.1958 </w:t>
            </w:r>
            <w:r w:rsidRPr="00377912">
              <w:rPr>
                <w:sz w:val="20"/>
                <w:szCs w:val="20"/>
              </w:rPr>
              <w:t>mol</w:t>
            </w:r>
            <w:r>
              <w:rPr>
                <w:sz w:val="20"/>
                <w:szCs w:val="20"/>
              </w:rPr>
              <w:t>.</w:t>
            </w:r>
            <w:r w:rsidRPr="00377912">
              <w:rPr>
                <w:sz w:val="20"/>
                <w:szCs w:val="20"/>
              </w:rPr>
              <w:t xml:space="preserve"> dm</w:t>
            </w:r>
            <w:r w:rsidRPr="00377912">
              <w:rPr>
                <w:sz w:val="20"/>
                <w:szCs w:val="20"/>
                <w:vertAlign w:val="superscript"/>
              </w:rPr>
              <w:t>-3</w:t>
            </w:r>
          </w:p>
        </w:tc>
      </w:tr>
      <w:tr w:rsidR="00FE552A" w:rsidRPr="003C307D" w:rsidTr="00FE552A">
        <w:trPr>
          <w:trHeight w:val="140"/>
          <w:jc w:val="center"/>
        </w:trPr>
        <w:tc>
          <w:tcPr>
            <w:tcW w:w="2947" w:type="dxa"/>
            <w:gridSpan w:val="2"/>
          </w:tcPr>
          <w:p w:rsidR="00FE552A" w:rsidRPr="00377912" w:rsidRDefault="00FE552A" w:rsidP="0031339B">
            <w:pPr>
              <w:spacing w:after="0" w:line="240" w:lineRule="auto"/>
              <w:jc w:val="center"/>
              <w:rPr>
                <w:sz w:val="20"/>
                <w:szCs w:val="20"/>
              </w:rPr>
            </w:pPr>
            <w:r>
              <w:rPr>
                <w:sz w:val="20"/>
                <w:szCs w:val="20"/>
              </w:rPr>
              <w:t xml:space="preserve"> </w:t>
            </w:r>
            <w:r w:rsidRPr="00377912">
              <w:rPr>
                <w:sz w:val="20"/>
                <w:szCs w:val="20"/>
              </w:rPr>
              <w:t>Temp.: 30.0 ±0. 1</w:t>
            </w:r>
            <w:r w:rsidRPr="00377912">
              <w:rPr>
                <w:sz w:val="20"/>
                <w:szCs w:val="20"/>
                <w:vertAlign w:val="superscript"/>
              </w:rPr>
              <w:t>0</w:t>
            </w:r>
            <w:r w:rsidRPr="00377912">
              <w:rPr>
                <w:sz w:val="20"/>
                <w:szCs w:val="20"/>
              </w:rPr>
              <w:t xml:space="preserve">C                                        </w:t>
            </w:r>
          </w:p>
        </w:tc>
        <w:tc>
          <w:tcPr>
            <w:tcW w:w="2471" w:type="dxa"/>
            <w:gridSpan w:val="2"/>
          </w:tcPr>
          <w:p w:rsidR="00FE552A" w:rsidRPr="00377912" w:rsidRDefault="00FE552A" w:rsidP="0031339B">
            <w:pPr>
              <w:spacing w:after="0" w:line="240" w:lineRule="auto"/>
              <w:rPr>
                <w:sz w:val="20"/>
                <w:szCs w:val="20"/>
              </w:rPr>
            </w:pPr>
            <w:r w:rsidRPr="00377912">
              <w:rPr>
                <w:sz w:val="20"/>
                <w:szCs w:val="20"/>
              </w:rPr>
              <w:t>Total volume= 50.0 cm</w:t>
            </w:r>
            <w:r w:rsidRPr="00377912">
              <w:rPr>
                <w:sz w:val="20"/>
                <w:szCs w:val="20"/>
                <w:vertAlign w:val="superscript"/>
              </w:rPr>
              <w:t>3</w:t>
            </w:r>
            <w:r w:rsidRPr="00377912">
              <w:rPr>
                <w:sz w:val="20"/>
                <w:szCs w:val="20"/>
              </w:rPr>
              <w:t xml:space="preserve">      </w:t>
            </w:r>
          </w:p>
        </w:tc>
        <w:tc>
          <w:tcPr>
            <w:tcW w:w="2449" w:type="dxa"/>
          </w:tcPr>
          <w:p w:rsidR="00FE552A" w:rsidRPr="00377912" w:rsidRDefault="00FE552A" w:rsidP="0031339B">
            <w:pPr>
              <w:spacing w:after="0" w:line="240" w:lineRule="auto"/>
              <w:rPr>
                <w:sz w:val="20"/>
                <w:szCs w:val="20"/>
              </w:rPr>
            </w:pPr>
            <w:r w:rsidRPr="00377912">
              <w:rPr>
                <w:i/>
                <w:sz w:val="20"/>
                <w:szCs w:val="20"/>
              </w:rPr>
              <w:t>I</w:t>
            </w:r>
            <w:r w:rsidRPr="00377912">
              <w:rPr>
                <w:sz w:val="20"/>
                <w:szCs w:val="20"/>
              </w:rPr>
              <w:t xml:space="preserve"> = 0.1 mol</w:t>
            </w:r>
            <w:r>
              <w:rPr>
                <w:sz w:val="20"/>
                <w:szCs w:val="20"/>
              </w:rPr>
              <w:t>.</w:t>
            </w:r>
            <w:r w:rsidRPr="00377912">
              <w:rPr>
                <w:sz w:val="20"/>
                <w:szCs w:val="20"/>
              </w:rPr>
              <w:t xml:space="preserve"> dm</w:t>
            </w:r>
            <w:r w:rsidRPr="00377912">
              <w:rPr>
                <w:sz w:val="20"/>
                <w:szCs w:val="20"/>
                <w:vertAlign w:val="superscript"/>
              </w:rPr>
              <w:t>-3</w:t>
            </w:r>
            <w:r>
              <w:rPr>
                <w:sz w:val="20"/>
                <w:szCs w:val="20"/>
              </w:rPr>
              <w:t xml:space="preserve"> K</w:t>
            </w:r>
            <w:r w:rsidRPr="00377912">
              <w:rPr>
                <w:sz w:val="20"/>
                <w:szCs w:val="20"/>
              </w:rPr>
              <w:t>Cl</w:t>
            </w:r>
          </w:p>
        </w:tc>
      </w:tr>
      <w:tr w:rsidR="00FE552A" w:rsidRPr="003C307D" w:rsidTr="00FE552A">
        <w:trPr>
          <w:trHeight w:val="140"/>
          <w:jc w:val="center"/>
        </w:trPr>
        <w:tc>
          <w:tcPr>
            <w:tcW w:w="7867" w:type="dxa"/>
            <w:gridSpan w:val="5"/>
          </w:tcPr>
          <w:p w:rsidR="00FE552A" w:rsidRDefault="00FE552A" w:rsidP="0031339B">
            <w:pPr>
              <w:pStyle w:val="Heading1"/>
              <w:spacing w:line="240" w:lineRule="auto"/>
              <w:jc w:val="center"/>
              <w:rPr>
                <w:sz w:val="20"/>
                <w:szCs w:val="20"/>
                <w:u w:val="none"/>
              </w:rPr>
            </w:pPr>
          </w:p>
          <w:p w:rsidR="00FE552A" w:rsidRPr="00EC5FC4" w:rsidRDefault="00956A95" w:rsidP="00B62241">
            <w:pPr>
              <w:pStyle w:val="Heading1"/>
              <w:spacing w:line="240" w:lineRule="auto"/>
              <w:jc w:val="center"/>
              <w:rPr>
                <w:b w:val="0"/>
                <w:u w:val="none"/>
              </w:rPr>
            </w:pPr>
            <w:r w:rsidRPr="00EC5FC4">
              <w:rPr>
                <w:u w:val="none"/>
              </w:rPr>
              <w:t xml:space="preserve">Figure </w:t>
            </w:r>
            <w:r w:rsidR="000064D7" w:rsidRPr="00EC5FC4">
              <w:rPr>
                <w:u w:val="none"/>
              </w:rPr>
              <w:t>16</w:t>
            </w:r>
            <w:r w:rsidR="00FE552A" w:rsidRPr="00EC5FC4">
              <w:rPr>
                <w:u w:val="none"/>
              </w:rPr>
              <w:t xml:space="preserve">: </w:t>
            </w:r>
            <w:r w:rsidR="00FE552A" w:rsidRPr="00EC5FC4">
              <w:rPr>
                <w:b w:val="0"/>
                <w:u w:val="none"/>
              </w:rPr>
              <w:t>PROTON-LIGAND SYSTEM OF L-A</w:t>
            </w:r>
            <w:r w:rsidR="00B62241">
              <w:rPr>
                <w:b w:val="0"/>
                <w:u w:val="none"/>
              </w:rPr>
              <w:t>SPARTIC ACID</w:t>
            </w:r>
          </w:p>
        </w:tc>
      </w:tr>
    </w:tbl>
    <w:p w:rsidR="00BE7FD0" w:rsidRDefault="00BE7FD0" w:rsidP="00212CD8">
      <w:pPr>
        <w:spacing w:line="240" w:lineRule="auto"/>
        <w:jc w:val="both"/>
        <w:rPr>
          <w:rFonts w:eastAsia="Calibri"/>
        </w:rPr>
      </w:pPr>
    </w:p>
    <w:p w:rsidR="00B42FCA" w:rsidRDefault="00CB1B56" w:rsidP="00B42FCA">
      <w:pPr>
        <w:spacing w:line="480" w:lineRule="auto"/>
        <w:ind w:firstLine="720"/>
        <w:jc w:val="both"/>
      </w:pPr>
      <w:r>
        <w:t>The titration curve of the ligand possesses three buffer regions corresponding to the titration of the three protons associated with the cationic (XH</w:t>
      </w:r>
      <w:r>
        <w:rPr>
          <w:vertAlign w:val="subscript"/>
        </w:rPr>
        <w:t>3</w:t>
      </w:r>
      <w:r>
        <w:rPr>
          <w:vertAlign w:val="superscript"/>
        </w:rPr>
        <w:t>+</w:t>
      </w:r>
      <w:r>
        <w:t xml:space="preserve">) form of the ligand. </w:t>
      </w:r>
      <w:r w:rsidR="00B42FCA" w:rsidRPr="00B42FCA">
        <w:t xml:space="preserve">In the lower pH range, the ligand titration curve is above the free acid's, showing proton interaction with the ligand.  The Miniquad-75 program18 analyzed the experimental data, and Table 7 displays the best-fit chemical model and statistical parameters that were found.  </w:t>
      </w:r>
    </w:p>
    <w:p w:rsidR="0067317C" w:rsidRDefault="00B42FCA" w:rsidP="00AB06F8">
      <w:pPr>
        <w:spacing w:line="240" w:lineRule="auto"/>
        <w:ind w:firstLine="720"/>
        <w:jc w:val="both"/>
      </w:pPr>
      <w:r>
        <w:t xml:space="preserve">           </w:t>
      </w:r>
      <w:r w:rsidR="00257E00">
        <w:rPr>
          <w:b/>
        </w:rPr>
        <w:t xml:space="preserve">Table </w:t>
      </w:r>
      <w:r w:rsidR="0067317C">
        <w:rPr>
          <w:b/>
        </w:rPr>
        <w:t>7</w:t>
      </w:r>
      <w:r w:rsidR="0067317C" w:rsidRPr="00377912">
        <w:rPr>
          <w:b/>
        </w:rPr>
        <w:t xml:space="preserve">:  </w:t>
      </w:r>
      <w:r w:rsidR="0067317C" w:rsidRPr="00377912">
        <w:t>B</w:t>
      </w:r>
      <w:r w:rsidR="00691C92">
        <w:t>est</w:t>
      </w:r>
      <w:r w:rsidR="00082C9B">
        <w:t>-</w:t>
      </w:r>
      <w:r w:rsidR="00691C92">
        <w:t>fit chemical model for acid</w:t>
      </w:r>
      <w:r w:rsidR="00692867">
        <w:t>-base</w:t>
      </w:r>
      <w:r w:rsidR="0067317C" w:rsidRPr="00377912">
        <w:t xml:space="preserve"> equilibria of </w:t>
      </w:r>
    </w:p>
    <w:p w:rsidR="0067317C" w:rsidRDefault="0067317C" w:rsidP="00AB06F8">
      <w:pPr>
        <w:spacing w:after="0" w:line="240" w:lineRule="auto"/>
        <w:jc w:val="center"/>
      </w:pPr>
      <w:r>
        <w:t>L-Aspartic acid</w:t>
      </w:r>
      <w:r w:rsidRPr="00377912">
        <w:t xml:space="preserve"> in </w:t>
      </w:r>
      <w:r w:rsidR="00082C9B">
        <w:t xml:space="preserve">the </w:t>
      </w:r>
      <w:r w:rsidRPr="00377912">
        <w:t xml:space="preserve">aqueous medium. </w:t>
      </w:r>
    </w:p>
    <w:p w:rsidR="0067317C" w:rsidRDefault="0067317C" w:rsidP="00B42FCA">
      <w:pPr>
        <w:spacing w:after="0" w:line="240" w:lineRule="auto"/>
        <w:jc w:val="center"/>
      </w:pPr>
      <w:r w:rsidRPr="00377912">
        <w:t xml:space="preserve"> Temp. = 30.0 ± 0.1°C</w:t>
      </w:r>
      <w:r>
        <w:t xml:space="preserve"> </w:t>
      </w:r>
      <w:r w:rsidRPr="00377912">
        <w:t xml:space="preserve">and ionic strength, </w:t>
      </w:r>
      <w:r w:rsidRPr="00377912">
        <w:rPr>
          <w:i/>
        </w:rPr>
        <w:t>I</w:t>
      </w:r>
      <w:r w:rsidRPr="00377912">
        <w:t xml:space="preserve"> = 0.1 mol dm</w:t>
      </w:r>
      <w:r w:rsidRPr="00377912">
        <w:rPr>
          <w:vertAlign w:val="superscript"/>
        </w:rPr>
        <w:t>–3</w:t>
      </w:r>
      <w:r w:rsidRPr="00377912">
        <w:t> (</w:t>
      </w:r>
      <w:r>
        <w:t>K</w:t>
      </w:r>
      <w:r w:rsidRPr="00377912">
        <w:t>Cl)</w:t>
      </w:r>
    </w:p>
    <w:p w:rsidR="0067317C" w:rsidRPr="00377912" w:rsidRDefault="0067317C" w:rsidP="0067317C">
      <w:pPr>
        <w:spacing w:after="0" w:line="240" w:lineRule="auto"/>
        <w:jc w:val="cente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1637"/>
        <w:gridCol w:w="1800"/>
        <w:gridCol w:w="1710"/>
        <w:gridCol w:w="990"/>
      </w:tblGrid>
      <w:tr w:rsidR="0067317C" w:rsidRPr="00377912" w:rsidTr="00944741">
        <w:trPr>
          <w:jc w:val="center"/>
        </w:trPr>
        <w:tc>
          <w:tcPr>
            <w:tcW w:w="1081" w:type="dxa"/>
          </w:tcPr>
          <w:p w:rsidR="0067317C" w:rsidRPr="00377912" w:rsidRDefault="0067317C" w:rsidP="00944741">
            <w:pPr>
              <w:jc w:val="center"/>
              <w:rPr>
                <w:rFonts w:ascii="Times New Roman" w:hAnsi="Times New Roman" w:cs="Times New Roman"/>
                <w:sz w:val="24"/>
                <w:szCs w:val="24"/>
              </w:rPr>
            </w:pPr>
            <w:r w:rsidRPr="00377912">
              <w:rPr>
                <w:rFonts w:ascii="Times New Roman" w:hAnsi="Times New Roman" w:cs="Times New Roman"/>
                <w:sz w:val="24"/>
                <w:szCs w:val="24"/>
              </w:rPr>
              <w:t>Species</w:t>
            </w:r>
          </w:p>
          <w:p w:rsidR="0067317C" w:rsidRPr="00377912" w:rsidRDefault="00257E00" w:rsidP="00944741">
            <w:pPr>
              <w:jc w:val="center"/>
              <w:rPr>
                <w:rFonts w:ascii="Times New Roman" w:hAnsi="Times New Roman" w:cs="Times New Roman"/>
                <w:i/>
                <w:sz w:val="24"/>
                <w:szCs w:val="24"/>
              </w:rPr>
            </w:pPr>
            <w:r w:rsidRPr="00377912">
              <w:rPr>
                <w:rFonts w:ascii="Times New Roman" w:hAnsi="Times New Roman" w:cs="Times New Roman"/>
                <w:i/>
                <w:sz w:val="24"/>
                <w:szCs w:val="24"/>
              </w:rPr>
              <w:t>M</w:t>
            </w:r>
            <w:r w:rsidR="0067317C" w:rsidRPr="00377912">
              <w:rPr>
                <w:rFonts w:ascii="Times New Roman" w:hAnsi="Times New Roman" w:cs="Times New Roman"/>
                <w:i/>
                <w:sz w:val="24"/>
                <w:szCs w:val="24"/>
              </w:rPr>
              <w:t>lh</w:t>
            </w:r>
          </w:p>
        </w:tc>
        <w:tc>
          <w:tcPr>
            <w:tcW w:w="1637" w:type="dxa"/>
          </w:tcPr>
          <w:p w:rsidR="0067317C" w:rsidRPr="00377912" w:rsidRDefault="0067317C" w:rsidP="00944741">
            <w:pPr>
              <w:jc w:val="center"/>
              <w:rPr>
                <w:rFonts w:ascii="Times New Roman" w:hAnsi="Times New Roman" w:cs="Times New Roman"/>
                <w:sz w:val="24"/>
                <w:szCs w:val="24"/>
              </w:rPr>
            </w:pPr>
            <w:r w:rsidRPr="00377912">
              <w:rPr>
                <w:rFonts w:ascii="Times New Roman" w:hAnsi="Times New Roman" w:cs="Times New Roman"/>
                <w:sz w:val="24"/>
                <w:szCs w:val="24"/>
              </w:rPr>
              <w:t>L</w:t>
            </w:r>
            <w:r w:rsidRPr="00377912">
              <w:rPr>
                <w:rFonts w:ascii="Times New Roman" w:hAnsi="Times New Roman" w:cs="Times New Roman"/>
                <w:i/>
                <w:sz w:val="24"/>
                <w:szCs w:val="24"/>
              </w:rPr>
              <w:t>og 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rsidR="0067317C" w:rsidRDefault="0067317C" w:rsidP="00944741">
            <w:pPr>
              <w:jc w:val="center"/>
              <w:rPr>
                <w:rFonts w:ascii="Times New Roman" w:hAnsi="Times New Roman" w:cs="Times New Roman"/>
                <w:sz w:val="24"/>
                <w:szCs w:val="24"/>
              </w:rPr>
            </w:pPr>
            <w:r w:rsidRPr="00377912">
              <w:rPr>
                <w:rFonts w:ascii="Times New Roman" w:hAnsi="Times New Roman" w:cs="Times New Roman"/>
                <w:sz w:val="24"/>
                <w:szCs w:val="24"/>
              </w:rPr>
              <w:t>Number of experimental points analysed</w:t>
            </w:r>
          </w:p>
          <w:p w:rsidR="0067317C" w:rsidRPr="00377912" w:rsidRDefault="0067317C" w:rsidP="00944741">
            <w:pPr>
              <w:jc w:val="center"/>
              <w:rPr>
                <w:rFonts w:ascii="Times New Roman" w:hAnsi="Times New Roman" w:cs="Times New Roman"/>
                <w:sz w:val="24"/>
                <w:szCs w:val="24"/>
              </w:rPr>
            </w:pPr>
            <w:r>
              <w:rPr>
                <w:rFonts w:ascii="Times New Roman" w:hAnsi="Times New Roman" w:cs="Times New Roman"/>
                <w:sz w:val="24"/>
                <w:szCs w:val="24"/>
              </w:rPr>
              <w:t>NP</w:t>
            </w:r>
          </w:p>
        </w:tc>
        <w:tc>
          <w:tcPr>
            <w:tcW w:w="1710" w:type="dxa"/>
          </w:tcPr>
          <w:p w:rsidR="0067317C" w:rsidRPr="00377912" w:rsidRDefault="0067317C" w:rsidP="00944741">
            <w:pPr>
              <w:jc w:val="center"/>
              <w:rPr>
                <w:rFonts w:ascii="Times New Roman" w:hAnsi="Times New Roman" w:cs="Times New Roman"/>
                <w:sz w:val="24"/>
                <w:szCs w:val="24"/>
                <w:vertAlign w:val="superscript"/>
              </w:rPr>
            </w:pPr>
            <w:r w:rsidRPr="00377912">
              <w:rPr>
                <w:rFonts w:ascii="Times New Roman" w:hAnsi="Times New Roman" w:cs="Times New Roman"/>
                <w:sz w:val="24"/>
                <w:szCs w:val="24"/>
              </w:rPr>
              <w:t xml:space="preserve">Sum of the squares of residuals, </w:t>
            </w:r>
            <w:r>
              <w:rPr>
                <w:rFonts w:ascii="Times New Roman" w:hAnsi="Times New Roman" w:cs="Times New Roman"/>
                <w:sz w:val="24"/>
                <w:szCs w:val="24"/>
              </w:rPr>
              <w:t>(</w:t>
            </w:r>
            <w:r w:rsidRPr="00377912">
              <w:rPr>
                <w:rFonts w:ascii="Times New Roman" w:hAnsi="Times New Roman" w:cs="Times New Roman"/>
                <w:sz w:val="24"/>
                <w:szCs w:val="24"/>
              </w:rPr>
              <w:t>U</w:t>
            </w:r>
            <w:r>
              <w:rPr>
                <w:rFonts w:ascii="Times New Roman" w:hAnsi="Times New Roman" w:cs="Times New Roman"/>
                <w:sz w:val="24"/>
                <w:szCs w:val="24"/>
              </w:rPr>
              <w:t>/NP)</w:t>
            </w:r>
            <w:r w:rsidRPr="00377912">
              <w:rPr>
                <w:rFonts w:ascii="Times New Roman" w:hAnsi="Times New Roman" w:cs="Times New Roman"/>
                <w:sz w:val="24"/>
                <w:szCs w:val="24"/>
              </w:rPr>
              <w:t xml:space="preserve"> </w:t>
            </w:r>
          </w:p>
        </w:tc>
        <w:tc>
          <w:tcPr>
            <w:tcW w:w="990" w:type="dxa"/>
          </w:tcPr>
          <w:p w:rsidR="0067317C" w:rsidRPr="00377912" w:rsidRDefault="0067317C" w:rsidP="00944741">
            <w:pPr>
              <w:jc w:val="center"/>
              <w:rPr>
                <w:rFonts w:ascii="Times New Roman" w:hAnsi="Times New Roman" w:cs="Times New Roman"/>
                <w:sz w:val="24"/>
                <w:szCs w:val="24"/>
              </w:rPr>
            </w:pPr>
            <w:r w:rsidRPr="00377912">
              <w:rPr>
                <w:rFonts w:ascii="Times New Roman" w:hAnsi="Times New Roman" w:cs="Times New Roman"/>
                <w:sz w:val="24"/>
                <w:szCs w:val="24"/>
              </w:rPr>
              <w:t>χ</w:t>
            </w:r>
            <w:r w:rsidRPr="00377912">
              <w:rPr>
                <w:rFonts w:ascii="Times New Roman" w:hAnsi="Times New Roman" w:cs="Times New Roman"/>
                <w:sz w:val="24"/>
                <w:szCs w:val="24"/>
                <w:vertAlign w:val="superscript"/>
              </w:rPr>
              <w:t>2</w:t>
            </w:r>
          </w:p>
        </w:tc>
      </w:tr>
      <w:tr w:rsidR="0067317C" w:rsidRPr="00FB1995" w:rsidTr="00944741">
        <w:trPr>
          <w:jc w:val="center"/>
        </w:trPr>
        <w:tc>
          <w:tcPr>
            <w:tcW w:w="1081" w:type="dxa"/>
          </w:tcPr>
          <w:p w:rsidR="0067317C" w:rsidRPr="00FB1995" w:rsidRDefault="0067317C" w:rsidP="00944741">
            <w:pPr>
              <w:jc w:val="center"/>
              <w:rPr>
                <w:rFonts w:ascii="Times New Roman" w:hAnsi="Times New Roman" w:cs="Times New Roman"/>
                <w:sz w:val="24"/>
                <w:szCs w:val="24"/>
              </w:rPr>
            </w:pPr>
            <w:r w:rsidRPr="00FB1995">
              <w:rPr>
                <w:rFonts w:ascii="Times New Roman" w:hAnsi="Times New Roman" w:cs="Times New Roman"/>
                <w:sz w:val="24"/>
                <w:szCs w:val="24"/>
              </w:rPr>
              <w:t>011</w:t>
            </w:r>
          </w:p>
        </w:tc>
        <w:tc>
          <w:tcPr>
            <w:tcW w:w="1637" w:type="dxa"/>
          </w:tcPr>
          <w:p w:rsidR="0067317C" w:rsidRPr="00FB1995" w:rsidRDefault="00B62241" w:rsidP="00B62241">
            <w:pPr>
              <w:jc w:val="center"/>
              <w:rPr>
                <w:rFonts w:ascii="Times New Roman" w:hAnsi="Times New Roman" w:cs="Times New Roman"/>
                <w:sz w:val="24"/>
                <w:szCs w:val="24"/>
              </w:rPr>
            </w:pPr>
            <w:r>
              <w:rPr>
                <w:rFonts w:ascii="Times New Roman" w:hAnsi="Times New Roman" w:cs="Times New Roman"/>
                <w:sz w:val="24"/>
                <w:szCs w:val="24"/>
              </w:rPr>
              <w:t xml:space="preserve">  </w:t>
            </w:r>
            <w:r w:rsidR="007D1742">
              <w:rPr>
                <w:rFonts w:ascii="Times New Roman" w:hAnsi="Times New Roman" w:cs="Times New Roman"/>
                <w:sz w:val="24"/>
                <w:szCs w:val="24"/>
              </w:rPr>
              <w:t>9.67 (0.01</w:t>
            </w:r>
            <w:r w:rsidR="0067317C" w:rsidRPr="00FB1995">
              <w:rPr>
                <w:rFonts w:ascii="Times New Roman" w:hAnsi="Times New Roman" w:cs="Times New Roman"/>
                <w:sz w:val="24"/>
                <w:szCs w:val="24"/>
              </w:rPr>
              <w:t>)</w:t>
            </w:r>
          </w:p>
        </w:tc>
        <w:tc>
          <w:tcPr>
            <w:tcW w:w="1800" w:type="dxa"/>
            <w:vMerge w:val="restart"/>
          </w:tcPr>
          <w:p w:rsidR="0067317C" w:rsidRPr="00FB1995" w:rsidRDefault="0067317C" w:rsidP="00944741">
            <w:pPr>
              <w:jc w:val="center"/>
              <w:rPr>
                <w:rFonts w:ascii="Times New Roman" w:hAnsi="Times New Roman" w:cs="Times New Roman"/>
                <w:sz w:val="24"/>
                <w:szCs w:val="24"/>
              </w:rPr>
            </w:pPr>
          </w:p>
          <w:p w:rsidR="0067317C" w:rsidRPr="00FB1995" w:rsidRDefault="0067317C" w:rsidP="00944741">
            <w:pPr>
              <w:jc w:val="center"/>
              <w:rPr>
                <w:rFonts w:ascii="Times New Roman" w:hAnsi="Times New Roman" w:cs="Times New Roman"/>
                <w:sz w:val="24"/>
                <w:szCs w:val="24"/>
              </w:rPr>
            </w:pPr>
            <w:r w:rsidRPr="00FB1995">
              <w:rPr>
                <w:rFonts w:ascii="Times New Roman" w:hAnsi="Times New Roman" w:cs="Times New Roman"/>
                <w:sz w:val="24"/>
                <w:szCs w:val="24"/>
              </w:rPr>
              <w:t>187</w:t>
            </w:r>
          </w:p>
        </w:tc>
        <w:tc>
          <w:tcPr>
            <w:tcW w:w="1710" w:type="dxa"/>
            <w:vMerge w:val="restart"/>
          </w:tcPr>
          <w:p w:rsidR="0067317C" w:rsidRPr="00FB1995" w:rsidRDefault="0067317C" w:rsidP="00944741">
            <w:pPr>
              <w:jc w:val="center"/>
              <w:rPr>
                <w:rFonts w:ascii="Times New Roman" w:hAnsi="Times New Roman" w:cs="Times New Roman"/>
                <w:sz w:val="24"/>
                <w:szCs w:val="24"/>
                <w:vertAlign w:val="superscript"/>
              </w:rPr>
            </w:pPr>
          </w:p>
          <w:p w:rsidR="0067317C" w:rsidRPr="00FB1995" w:rsidRDefault="0067317C" w:rsidP="00944741">
            <w:pPr>
              <w:jc w:val="center"/>
              <w:rPr>
                <w:rFonts w:ascii="Times New Roman" w:hAnsi="Times New Roman" w:cs="Times New Roman"/>
                <w:sz w:val="24"/>
                <w:szCs w:val="24"/>
              </w:rPr>
            </w:pPr>
            <w:r w:rsidRPr="00FB1995">
              <w:rPr>
                <w:rFonts w:ascii="Times New Roman" w:hAnsi="Times New Roman" w:cs="Times New Roman"/>
                <w:sz w:val="24"/>
                <w:szCs w:val="24"/>
              </w:rPr>
              <w:t>2.508 e-09</w:t>
            </w:r>
          </w:p>
        </w:tc>
        <w:tc>
          <w:tcPr>
            <w:tcW w:w="990" w:type="dxa"/>
            <w:vMerge w:val="restart"/>
          </w:tcPr>
          <w:p w:rsidR="0067317C" w:rsidRPr="00FB1995" w:rsidRDefault="0067317C" w:rsidP="00944741">
            <w:pPr>
              <w:rPr>
                <w:rFonts w:ascii="Times New Roman" w:hAnsi="Times New Roman" w:cs="Times New Roman"/>
                <w:sz w:val="24"/>
                <w:szCs w:val="24"/>
              </w:rPr>
            </w:pPr>
          </w:p>
          <w:p w:rsidR="0067317C" w:rsidRPr="00FB1995" w:rsidRDefault="0067317C" w:rsidP="00944741">
            <w:pPr>
              <w:jc w:val="center"/>
              <w:rPr>
                <w:rFonts w:ascii="Times New Roman" w:hAnsi="Times New Roman" w:cs="Times New Roman"/>
                <w:sz w:val="24"/>
                <w:szCs w:val="24"/>
              </w:rPr>
            </w:pPr>
            <w:r w:rsidRPr="00FB1995">
              <w:rPr>
                <w:rFonts w:ascii="Times New Roman" w:hAnsi="Times New Roman" w:cs="Times New Roman"/>
                <w:sz w:val="24"/>
                <w:szCs w:val="24"/>
              </w:rPr>
              <w:t>9.96</w:t>
            </w:r>
          </w:p>
        </w:tc>
      </w:tr>
      <w:tr w:rsidR="0067317C" w:rsidRPr="00FB1995" w:rsidTr="00944741">
        <w:trPr>
          <w:jc w:val="center"/>
        </w:trPr>
        <w:tc>
          <w:tcPr>
            <w:tcW w:w="1081" w:type="dxa"/>
          </w:tcPr>
          <w:p w:rsidR="0067317C" w:rsidRPr="00FB1995" w:rsidRDefault="0067317C" w:rsidP="00944741">
            <w:pPr>
              <w:jc w:val="center"/>
              <w:rPr>
                <w:rFonts w:ascii="Times New Roman" w:hAnsi="Times New Roman" w:cs="Times New Roman"/>
                <w:sz w:val="24"/>
                <w:szCs w:val="24"/>
              </w:rPr>
            </w:pPr>
            <w:r w:rsidRPr="00FB1995">
              <w:rPr>
                <w:rFonts w:ascii="Times New Roman" w:hAnsi="Times New Roman" w:cs="Times New Roman"/>
                <w:sz w:val="24"/>
                <w:szCs w:val="24"/>
              </w:rPr>
              <w:t>012</w:t>
            </w:r>
          </w:p>
        </w:tc>
        <w:tc>
          <w:tcPr>
            <w:tcW w:w="1637" w:type="dxa"/>
          </w:tcPr>
          <w:p w:rsidR="0067317C" w:rsidRPr="00FB1995" w:rsidRDefault="007D1742" w:rsidP="007D1742">
            <w:pPr>
              <w:jc w:val="center"/>
              <w:rPr>
                <w:rFonts w:ascii="Times New Roman" w:hAnsi="Times New Roman" w:cs="Times New Roman"/>
                <w:sz w:val="24"/>
                <w:szCs w:val="24"/>
              </w:rPr>
            </w:pPr>
            <w:r>
              <w:rPr>
                <w:rFonts w:ascii="Times New Roman" w:hAnsi="Times New Roman" w:cs="Times New Roman"/>
                <w:sz w:val="24"/>
                <w:szCs w:val="24"/>
              </w:rPr>
              <w:t>13.42 (0.01</w:t>
            </w:r>
            <w:r w:rsidR="0067317C" w:rsidRPr="00FB1995">
              <w:rPr>
                <w:rFonts w:ascii="Times New Roman" w:hAnsi="Times New Roman" w:cs="Times New Roman"/>
                <w:sz w:val="24"/>
                <w:szCs w:val="24"/>
              </w:rPr>
              <w:t>)</w:t>
            </w:r>
          </w:p>
        </w:tc>
        <w:tc>
          <w:tcPr>
            <w:tcW w:w="1800" w:type="dxa"/>
            <w:vMerge/>
          </w:tcPr>
          <w:p w:rsidR="0067317C" w:rsidRPr="00FB1995" w:rsidRDefault="0067317C" w:rsidP="00944741">
            <w:pPr>
              <w:rPr>
                <w:rFonts w:ascii="Times New Roman" w:hAnsi="Times New Roman" w:cs="Times New Roman"/>
                <w:color w:val="FF0000"/>
                <w:sz w:val="24"/>
                <w:szCs w:val="24"/>
              </w:rPr>
            </w:pPr>
          </w:p>
        </w:tc>
        <w:tc>
          <w:tcPr>
            <w:tcW w:w="1710" w:type="dxa"/>
            <w:vMerge/>
          </w:tcPr>
          <w:p w:rsidR="0067317C" w:rsidRPr="00FB1995" w:rsidRDefault="0067317C" w:rsidP="00944741">
            <w:pPr>
              <w:rPr>
                <w:rFonts w:ascii="Times New Roman" w:hAnsi="Times New Roman" w:cs="Times New Roman"/>
                <w:color w:val="FF0000"/>
                <w:sz w:val="24"/>
                <w:szCs w:val="24"/>
              </w:rPr>
            </w:pPr>
          </w:p>
        </w:tc>
        <w:tc>
          <w:tcPr>
            <w:tcW w:w="990" w:type="dxa"/>
            <w:vMerge/>
          </w:tcPr>
          <w:p w:rsidR="0067317C" w:rsidRPr="00FB1995" w:rsidRDefault="0067317C" w:rsidP="00944741">
            <w:pPr>
              <w:rPr>
                <w:rFonts w:ascii="Times New Roman" w:hAnsi="Times New Roman" w:cs="Times New Roman"/>
                <w:color w:val="FF0000"/>
                <w:sz w:val="24"/>
                <w:szCs w:val="24"/>
              </w:rPr>
            </w:pPr>
          </w:p>
        </w:tc>
      </w:tr>
      <w:tr w:rsidR="0067317C" w:rsidRPr="00FB1995" w:rsidTr="00944741">
        <w:trPr>
          <w:jc w:val="center"/>
        </w:trPr>
        <w:tc>
          <w:tcPr>
            <w:tcW w:w="1081" w:type="dxa"/>
          </w:tcPr>
          <w:p w:rsidR="0067317C" w:rsidRPr="00FB1995" w:rsidRDefault="0067317C" w:rsidP="00944741">
            <w:pPr>
              <w:jc w:val="center"/>
              <w:rPr>
                <w:rFonts w:ascii="Times New Roman" w:hAnsi="Times New Roman" w:cs="Times New Roman"/>
                <w:sz w:val="24"/>
                <w:szCs w:val="24"/>
              </w:rPr>
            </w:pPr>
            <w:r w:rsidRPr="00FB1995">
              <w:rPr>
                <w:rFonts w:ascii="Times New Roman" w:hAnsi="Times New Roman" w:cs="Times New Roman"/>
                <w:sz w:val="24"/>
                <w:szCs w:val="24"/>
              </w:rPr>
              <w:t>013</w:t>
            </w:r>
          </w:p>
        </w:tc>
        <w:tc>
          <w:tcPr>
            <w:tcW w:w="1637" w:type="dxa"/>
          </w:tcPr>
          <w:p w:rsidR="0067317C" w:rsidRPr="00FB1995" w:rsidRDefault="007D1742" w:rsidP="007D1742">
            <w:pPr>
              <w:jc w:val="center"/>
              <w:rPr>
                <w:rFonts w:ascii="Times New Roman" w:hAnsi="Times New Roman" w:cs="Times New Roman"/>
                <w:sz w:val="24"/>
                <w:szCs w:val="24"/>
              </w:rPr>
            </w:pPr>
            <w:r>
              <w:rPr>
                <w:rFonts w:ascii="Times New Roman" w:hAnsi="Times New Roman" w:cs="Times New Roman"/>
                <w:sz w:val="24"/>
                <w:szCs w:val="24"/>
              </w:rPr>
              <w:t>15.32 (0.01</w:t>
            </w:r>
            <w:r w:rsidR="0067317C" w:rsidRPr="00FB1995">
              <w:rPr>
                <w:rFonts w:ascii="Times New Roman" w:hAnsi="Times New Roman" w:cs="Times New Roman"/>
                <w:sz w:val="24"/>
                <w:szCs w:val="24"/>
              </w:rPr>
              <w:t>)</w:t>
            </w:r>
          </w:p>
        </w:tc>
        <w:tc>
          <w:tcPr>
            <w:tcW w:w="1800" w:type="dxa"/>
            <w:vMerge/>
          </w:tcPr>
          <w:p w:rsidR="0067317C" w:rsidRPr="00FB1995" w:rsidRDefault="0067317C" w:rsidP="00944741">
            <w:pPr>
              <w:rPr>
                <w:rFonts w:ascii="Times New Roman" w:hAnsi="Times New Roman" w:cs="Times New Roman"/>
                <w:color w:val="FF0000"/>
                <w:sz w:val="24"/>
                <w:szCs w:val="24"/>
              </w:rPr>
            </w:pPr>
          </w:p>
        </w:tc>
        <w:tc>
          <w:tcPr>
            <w:tcW w:w="1710" w:type="dxa"/>
            <w:vMerge/>
          </w:tcPr>
          <w:p w:rsidR="0067317C" w:rsidRPr="00FB1995" w:rsidRDefault="0067317C" w:rsidP="00944741">
            <w:pPr>
              <w:rPr>
                <w:rFonts w:ascii="Times New Roman" w:hAnsi="Times New Roman" w:cs="Times New Roman"/>
                <w:color w:val="FF0000"/>
                <w:sz w:val="24"/>
                <w:szCs w:val="24"/>
              </w:rPr>
            </w:pPr>
          </w:p>
        </w:tc>
        <w:tc>
          <w:tcPr>
            <w:tcW w:w="990" w:type="dxa"/>
            <w:vMerge/>
          </w:tcPr>
          <w:p w:rsidR="0067317C" w:rsidRPr="00FB1995" w:rsidRDefault="0067317C" w:rsidP="00944741">
            <w:pPr>
              <w:rPr>
                <w:rFonts w:ascii="Times New Roman" w:hAnsi="Times New Roman" w:cs="Times New Roman"/>
                <w:color w:val="FF0000"/>
                <w:sz w:val="24"/>
                <w:szCs w:val="24"/>
              </w:rPr>
            </w:pPr>
          </w:p>
        </w:tc>
      </w:tr>
    </w:tbl>
    <w:p w:rsidR="0067317C" w:rsidRDefault="0067317C" w:rsidP="0067317C">
      <w:pPr>
        <w:rPr>
          <w:lang w:val="en-US"/>
        </w:rPr>
      </w:pPr>
    </w:p>
    <w:p w:rsidR="00992AC2" w:rsidRDefault="00992AC2" w:rsidP="00C928CA">
      <w:pPr>
        <w:spacing w:line="360" w:lineRule="auto"/>
        <w:ind w:left="720"/>
      </w:pPr>
      <w:r w:rsidRPr="00992AC2">
        <w:t xml:space="preserve">After taking into account the variations in the experimental settings, the observed values are in close agreement with the "Critical Stability Constants" published by Martell et al.40 and other researchers41-44.  Fig. 3.17 displayed the proton-aspartate </w:t>
      </w:r>
      <w:r w:rsidRPr="00992AC2">
        <w:lastRenderedPageBreak/>
        <w:t xml:space="preserve">equilibria corresponding to the formation constants in the best-fit model.  </w:t>
      </w:r>
      <w:r w:rsidR="00F45F7A">
        <w:object w:dxaOrig="9460" w:dyaOrig="8568">
          <v:shape id="_x0000_i1043" type="#_x0000_t75" style="width:274.5pt;height:248.25pt" o:ole="">
            <v:imagedata r:id="rId54" o:title=""/>
          </v:shape>
          <o:OLEObject Type="Embed" ProgID="ChemDraw.Document.6.0" ShapeID="_x0000_i1043" DrawAspect="Content" ObjectID="_1756710481" r:id="rId55"/>
        </w:object>
      </w:r>
    </w:p>
    <w:p w:rsidR="00992AC2" w:rsidRDefault="00992AC2" w:rsidP="00992AC2">
      <w:pPr>
        <w:spacing w:line="240" w:lineRule="auto"/>
        <w:rPr>
          <w:rFonts w:eastAsia="Calibri"/>
        </w:rPr>
      </w:pPr>
    </w:p>
    <w:p w:rsidR="00992AC2" w:rsidRDefault="00992AC2" w:rsidP="001434DA">
      <w:pPr>
        <w:spacing w:line="240" w:lineRule="auto"/>
        <w:jc w:val="center"/>
        <w:rPr>
          <w:rFonts w:eastAsia="Calibri"/>
        </w:rPr>
      </w:pPr>
    </w:p>
    <w:p w:rsidR="000064D7" w:rsidRDefault="00257E00" w:rsidP="00546B0B">
      <w:pPr>
        <w:spacing w:before="240" w:after="0" w:line="240" w:lineRule="auto"/>
        <w:jc w:val="center"/>
      </w:pPr>
      <w:r>
        <w:rPr>
          <w:b/>
        </w:rPr>
        <w:t xml:space="preserve">Figure </w:t>
      </w:r>
      <w:r w:rsidR="00546B0B">
        <w:rPr>
          <w:b/>
        </w:rPr>
        <w:t>17</w:t>
      </w:r>
      <w:r w:rsidR="00546B0B" w:rsidRPr="00191994">
        <w:rPr>
          <w:b/>
        </w:rPr>
        <w:t xml:space="preserve">: </w:t>
      </w:r>
      <w:r w:rsidR="00546B0B">
        <w:rPr>
          <w:b/>
        </w:rPr>
        <w:t xml:space="preserve"> </w:t>
      </w:r>
      <w:r w:rsidR="00546B0B" w:rsidRPr="00A86215">
        <w:t xml:space="preserve">Protonation equilibria of </w:t>
      </w:r>
      <w:r w:rsidR="00546B0B">
        <w:t xml:space="preserve">the most anionic form of </w:t>
      </w:r>
      <w:r w:rsidR="00546B0B" w:rsidRPr="00A86215">
        <w:t>L</w:t>
      </w:r>
      <w:r w:rsidR="00546B0B">
        <w:rPr>
          <w:b/>
        </w:rPr>
        <w:t>-</w:t>
      </w:r>
      <w:r w:rsidR="00546B0B">
        <w:t>Aspartic acid</w:t>
      </w:r>
    </w:p>
    <w:p w:rsidR="00546B0B" w:rsidRDefault="00546B0B" w:rsidP="00546B0B">
      <w:pPr>
        <w:spacing w:before="240" w:after="0" w:line="240" w:lineRule="auto"/>
        <w:jc w:val="center"/>
        <w:rPr>
          <w:rFonts w:eastAsia="Calibri"/>
        </w:rPr>
      </w:pPr>
    </w:p>
    <w:p w:rsidR="00CB1B56" w:rsidRDefault="00A00BB9" w:rsidP="00257E00">
      <w:pPr>
        <w:pStyle w:val="BodyText"/>
        <w:spacing w:after="240" w:line="480" w:lineRule="auto"/>
        <w:ind w:firstLine="720"/>
      </w:pPr>
      <w:r w:rsidRPr="00A00BB9">
        <w:t>The most anionic form of the ligand's amino group is protonated, which results in the formation constant β011.  The protonation of the carboxylate and amino groups in the molecule's side chain is the cause of β012.  β013 represents the total formation constant of the fully protonated version of the ligand that is the most anionic.</w:t>
      </w:r>
      <w:r w:rsidR="00CB1B56">
        <w:t>.</w:t>
      </w:r>
      <w:r w:rsidR="00257E00">
        <w:t xml:space="preserve"> </w:t>
      </w:r>
      <w:r w:rsidR="00CB1B56" w:rsidRPr="00D66C35">
        <w:t>The species distribution diagram indicating the percentage of formation of each speci</w:t>
      </w:r>
      <w:r w:rsidR="00D94C4F">
        <w:t>es against pH is shown in Fig.</w:t>
      </w:r>
      <w:r w:rsidR="00257E00">
        <w:t xml:space="preserve"> </w:t>
      </w:r>
      <w:r w:rsidR="00CB1B56" w:rsidRPr="00D66C35">
        <w:t>1</w:t>
      </w:r>
      <w:r w:rsidR="00864913">
        <w:t>6</w:t>
      </w:r>
      <w:r w:rsidR="00CB1B56" w:rsidRPr="00D66C35">
        <w:t xml:space="preserve"> b. The fully protonated form XH</w:t>
      </w:r>
      <w:r w:rsidR="00CB1B56" w:rsidRPr="00D66C35">
        <w:rPr>
          <w:vertAlign w:val="subscript"/>
        </w:rPr>
        <w:t>3</w:t>
      </w:r>
      <w:r w:rsidR="00CB1B56" w:rsidRPr="00D66C35">
        <w:rPr>
          <w:vertAlign w:val="superscript"/>
        </w:rPr>
        <w:t>+</w:t>
      </w:r>
      <w:r w:rsidR="00CB1B56" w:rsidRPr="00D66C35">
        <w:t xml:space="preserve"> exists up to a pH of ~4.0.</w:t>
      </w:r>
      <w:r w:rsidR="00416598">
        <w:t xml:space="preserve"> </w:t>
      </w:r>
      <w:r w:rsidR="00CB1B56" w:rsidRPr="00D66C35">
        <w:t xml:space="preserve"> </w:t>
      </w:r>
      <w:r w:rsidR="00CB1B56">
        <w:t xml:space="preserve">With </w:t>
      </w:r>
      <w:r w:rsidR="00082C9B">
        <w:t xml:space="preserve">the </w:t>
      </w:r>
      <w:r w:rsidR="00CB1B56">
        <w:t>increase in pH</w:t>
      </w:r>
      <w:r w:rsidR="005F16ED">
        <w:t>,</w:t>
      </w:r>
      <w:r w:rsidR="00CB1B56">
        <w:t xml:space="preserve"> </w:t>
      </w:r>
      <w:r w:rsidR="00B9746D">
        <w:t>XH</w:t>
      </w:r>
      <w:r w:rsidR="00B9746D">
        <w:rPr>
          <w:vertAlign w:val="subscript"/>
        </w:rPr>
        <w:t>3</w:t>
      </w:r>
      <w:r w:rsidR="00B9746D">
        <w:rPr>
          <w:vertAlign w:val="superscript"/>
        </w:rPr>
        <w:t>+</w:t>
      </w:r>
      <w:r w:rsidR="00B9746D">
        <w:t xml:space="preserve"> loses</w:t>
      </w:r>
      <w:r w:rsidR="00CB1B56">
        <w:t xml:space="preserve"> ‘α- carboxylic’ proto</w:t>
      </w:r>
      <w:r w:rsidR="00B9746D">
        <w:t xml:space="preserve">n leading to the formation of </w:t>
      </w:r>
      <w:r w:rsidR="00CB1B56">
        <w:t>neutral zwitterion. The maximum extent of formation of XH</w:t>
      </w:r>
      <w:r w:rsidR="00CB1B56">
        <w:rPr>
          <w:vertAlign w:val="subscript"/>
        </w:rPr>
        <w:t>2</w:t>
      </w:r>
      <w:r w:rsidR="00CB1B56">
        <w:t xml:space="preserve"> form </w:t>
      </w:r>
      <w:r w:rsidR="00B9746D">
        <w:t>is 80% at 2.8</w:t>
      </w:r>
      <w:r w:rsidR="00CB1B56" w:rsidRPr="00D66C35">
        <w:t xml:space="preserve"> pH.  This species exists up to ~6.0 pH. </w:t>
      </w:r>
      <w:r w:rsidR="00CB1B56">
        <w:t xml:space="preserve"> The neutral form of the ligand, with </w:t>
      </w:r>
      <w:r w:rsidR="00082C9B">
        <w:t xml:space="preserve">the </w:t>
      </w:r>
      <w:r w:rsidR="00CB1B56">
        <w:t xml:space="preserve">increase in pH, loses carboxylic proton of the side chain forming anionic </w:t>
      </w:r>
      <w:r w:rsidR="00CB1B56" w:rsidRPr="00D66C35">
        <w:t>XH</w:t>
      </w:r>
      <w:r w:rsidR="00CB1B56" w:rsidRPr="00D66C35">
        <w:rPr>
          <w:vertAlign w:val="superscript"/>
        </w:rPr>
        <w:t>-</w:t>
      </w:r>
      <w:r w:rsidR="00CB1B56">
        <w:t xml:space="preserve"> form of aspartic acid. </w:t>
      </w:r>
      <w:r w:rsidR="00CB1B56" w:rsidRPr="00D66C35">
        <w:t xml:space="preserve"> </w:t>
      </w:r>
      <w:r w:rsidR="00CB1B56">
        <w:t>Nearly 99</w:t>
      </w:r>
      <w:r w:rsidR="00B9746D">
        <w:t>-100</w:t>
      </w:r>
      <w:r w:rsidR="00CB1B56">
        <w:t xml:space="preserve">% of the ligand is in this form between 5.8 </w:t>
      </w:r>
      <w:r w:rsidR="00B9746D">
        <w:t xml:space="preserve">and </w:t>
      </w:r>
      <w:r w:rsidR="00CB1B56">
        <w:t>7.8 pH. Further increase in pH leads to the formation of the most anionic X</w:t>
      </w:r>
      <w:r w:rsidR="00CB1B56">
        <w:rPr>
          <w:vertAlign w:val="superscript"/>
        </w:rPr>
        <w:t>2-</w:t>
      </w:r>
      <w:r w:rsidR="00CB1B56">
        <w:t xml:space="preserve"> form by the loss of the proton associated to </w:t>
      </w:r>
      <w:r w:rsidR="00CB3073">
        <w:t xml:space="preserve">the </w:t>
      </w:r>
      <w:r w:rsidR="00CB1B56">
        <w:t>amino group.</w:t>
      </w:r>
    </w:p>
    <w:p w:rsidR="00687361" w:rsidRDefault="00E65173" w:rsidP="0034611C">
      <w:pPr>
        <w:spacing w:line="480" w:lineRule="auto"/>
        <w:jc w:val="both"/>
        <w:rPr>
          <w:rFonts w:eastAsia="Calibri"/>
          <w:b/>
        </w:rPr>
      </w:pPr>
      <w:r>
        <w:rPr>
          <w:rFonts w:eastAsia="Calibri"/>
          <w:b/>
        </w:rPr>
        <w:lastRenderedPageBreak/>
        <w:t>REFERENCES</w:t>
      </w:r>
      <w:r w:rsidR="00A935DE" w:rsidRPr="0034611C">
        <w:rPr>
          <w:rFonts w:eastAsia="Calibri"/>
          <w:b/>
        </w:rPr>
        <w:t>:</w:t>
      </w:r>
    </w:p>
    <w:p w:rsidR="00394814" w:rsidRDefault="00394814" w:rsidP="00394814">
      <w:pPr>
        <w:pStyle w:val="ListParagraph"/>
        <w:numPr>
          <w:ilvl w:val="0"/>
          <w:numId w:val="2"/>
        </w:numPr>
        <w:autoSpaceDE w:val="0"/>
        <w:autoSpaceDN w:val="0"/>
        <w:adjustRightInd w:val="0"/>
        <w:spacing w:after="0" w:line="360" w:lineRule="auto"/>
        <w:jc w:val="both"/>
      </w:pPr>
      <w:r>
        <w:t xml:space="preserve">J. </w:t>
      </w:r>
      <w:r w:rsidRPr="009D1C50">
        <w:t>Bjerrum</w:t>
      </w:r>
      <w:r>
        <w:t>, “</w:t>
      </w:r>
      <w:r w:rsidRPr="009D1C50">
        <w:rPr>
          <w:bCs/>
        </w:rPr>
        <w:t>Metal ammine formation in aqueous solution: theory of</w:t>
      </w:r>
      <w:r>
        <w:rPr>
          <w:bCs/>
        </w:rPr>
        <w:t xml:space="preserve"> the reversible step reactions”. </w:t>
      </w:r>
      <w:r w:rsidRPr="009D1C50">
        <w:rPr>
          <w:bCs/>
        </w:rPr>
        <w:t xml:space="preserve"> P. Haase and Son, Copenhagen</w:t>
      </w:r>
      <w:r>
        <w:t>,</w:t>
      </w:r>
      <w:r w:rsidR="002129C1">
        <w:t xml:space="preserve"> </w:t>
      </w:r>
      <w:r>
        <w:t>(1957).</w:t>
      </w:r>
    </w:p>
    <w:p w:rsidR="00394814" w:rsidRPr="00FE6AC2" w:rsidRDefault="00394814" w:rsidP="00394814">
      <w:pPr>
        <w:pStyle w:val="ListParagraph"/>
        <w:numPr>
          <w:ilvl w:val="0"/>
          <w:numId w:val="2"/>
        </w:numPr>
        <w:spacing w:after="0" w:line="360" w:lineRule="auto"/>
        <w:jc w:val="both"/>
      </w:pPr>
      <w:r w:rsidRPr="00FE6AC2">
        <w:t xml:space="preserve">M. Calvin and K. W. Wilson, “Stability of chelate compounds”, </w:t>
      </w:r>
      <w:r w:rsidRPr="00FE6AC2">
        <w:rPr>
          <w:i/>
        </w:rPr>
        <w:t>J. Am. Chem. Soc</w:t>
      </w:r>
      <w:r w:rsidR="001F1496">
        <w:t>., 67 (1945) pp.</w:t>
      </w:r>
      <w:r w:rsidRPr="00FE6AC2">
        <w:t>2003-2007.</w:t>
      </w:r>
    </w:p>
    <w:p w:rsidR="00394814" w:rsidRDefault="00394814" w:rsidP="00394814">
      <w:pPr>
        <w:numPr>
          <w:ilvl w:val="0"/>
          <w:numId w:val="2"/>
        </w:numPr>
        <w:autoSpaceDE w:val="0"/>
        <w:autoSpaceDN w:val="0"/>
        <w:adjustRightInd w:val="0"/>
        <w:spacing w:after="0" w:line="360" w:lineRule="auto"/>
        <w:contextualSpacing/>
        <w:jc w:val="both"/>
        <w:rPr>
          <w:lang w:bidi="te-IN"/>
        </w:rPr>
      </w:pPr>
      <w:r>
        <w:rPr>
          <w:lang w:bidi="te-IN"/>
        </w:rPr>
        <w:t xml:space="preserve">G. </w:t>
      </w:r>
      <w:r w:rsidRPr="00733605">
        <w:rPr>
          <w:lang w:bidi="te-IN"/>
        </w:rPr>
        <w:t>Gran, “Determination of the equivalence point in potentiometric titrations</w:t>
      </w:r>
      <w:r>
        <w:rPr>
          <w:lang w:bidi="te-IN"/>
        </w:rPr>
        <w:t>-</w:t>
      </w:r>
      <w:r w:rsidRPr="00571E1D">
        <w:rPr>
          <w:lang w:bidi="te-IN"/>
        </w:rPr>
        <w:t xml:space="preserve"> </w:t>
      </w:r>
      <w:r>
        <w:rPr>
          <w:lang w:bidi="te-IN"/>
        </w:rPr>
        <w:t>Part I</w:t>
      </w:r>
      <w:r w:rsidRPr="00733605">
        <w:rPr>
          <w:lang w:bidi="te-IN"/>
        </w:rPr>
        <w:t xml:space="preserve">”, </w:t>
      </w:r>
      <w:r w:rsidRPr="00733605">
        <w:rPr>
          <w:i/>
          <w:iCs/>
          <w:lang w:bidi="te-IN"/>
        </w:rPr>
        <w:t>Acta.</w:t>
      </w:r>
      <w:r>
        <w:rPr>
          <w:i/>
          <w:iCs/>
          <w:lang w:bidi="te-IN"/>
        </w:rPr>
        <w:t xml:space="preserve"> </w:t>
      </w:r>
      <w:r w:rsidRPr="00733605">
        <w:rPr>
          <w:i/>
          <w:iCs/>
          <w:lang w:bidi="te-IN"/>
        </w:rPr>
        <w:t>Chem. Scand</w:t>
      </w:r>
      <w:r>
        <w:rPr>
          <w:lang w:bidi="te-IN"/>
        </w:rPr>
        <w:t>,</w:t>
      </w:r>
      <w:r w:rsidRPr="00733605">
        <w:rPr>
          <w:lang w:bidi="te-IN"/>
        </w:rPr>
        <w:t xml:space="preserve"> 4(1950) p</w:t>
      </w:r>
      <w:r w:rsidR="002129C1">
        <w:rPr>
          <w:lang w:bidi="te-IN"/>
        </w:rPr>
        <w:t>p.</w:t>
      </w:r>
      <w:r w:rsidRPr="00733605">
        <w:rPr>
          <w:lang w:bidi="te-IN"/>
        </w:rPr>
        <w:t>559</w:t>
      </w:r>
      <w:r w:rsidR="002129C1">
        <w:rPr>
          <w:lang w:bidi="te-IN"/>
        </w:rPr>
        <w:t>-577</w:t>
      </w:r>
      <w:r w:rsidRPr="00733605">
        <w:rPr>
          <w:lang w:bidi="te-IN"/>
        </w:rPr>
        <w:t>.</w:t>
      </w:r>
    </w:p>
    <w:p w:rsidR="00394814" w:rsidRPr="009D1C50" w:rsidRDefault="00394814" w:rsidP="00394814">
      <w:pPr>
        <w:numPr>
          <w:ilvl w:val="0"/>
          <w:numId w:val="2"/>
        </w:numPr>
        <w:autoSpaceDE w:val="0"/>
        <w:autoSpaceDN w:val="0"/>
        <w:adjustRightInd w:val="0"/>
        <w:spacing w:after="0" w:line="360" w:lineRule="auto"/>
        <w:contextualSpacing/>
        <w:jc w:val="both"/>
      </w:pPr>
      <w:r w:rsidRPr="00733605">
        <w:rPr>
          <w:lang w:bidi="te-IN"/>
        </w:rPr>
        <w:t xml:space="preserve">G. </w:t>
      </w:r>
      <w:r>
        <w:rPr>
          <w:lang w:bidi="te-IN"/>
        </w:rPr>
        <w:t>Gran,</w:t>
      </w:r>
      <w:r w:rsidRPr="00733605">
        <w:rPr>
          <w:lang w:bidi="te-IN"/>
        </w:rPr>
        <w:t xml:space="preserve"> “Determination of the equivalence point in potentiometric titrations-Part II”, </w:t>
      </w:r>
      <w:r w:rsidRPr="00F95FB0">
        <w:rPr>
          <w:i/>
          <w:iCs/>
          <w:lang w:bidi="te-IN"/>
        </w:rPr>
        <w:t>Analyst</w:t>
      </w:r>
      <w:r w:rsidRPr="00733605">
        <w:rPr>
          <w:lang w:bidi="te-IN"/>
        </w:rPr>
        <w:t>. 77(1952) p</w:t>
      </w:r>
      <w:r w:rsidR="002129C1">
        <w:rPr>
          <w:lang w:bidi="te-IN"/>
        </w:rPr>
        <w:t>p.</w:t>
      </w:r>
      <w:r w:rsidRPr="00733605">
        <w:rPr>
          <w:lang w:bidi="te-IN"/>
        </w:rPr>
        <w:t>661</w:t>
      </w:r>
      <w:r w:rsidR="002129C1">
        <w:rPr>
          <w:lang w:bidi="te-IN"/>
        </w:rPr>
        <w:t>-671</w:t>
      </w:r>
      <w:r w:rsidRPr="00733605">
        <w:rPr>
          <w:lang w:bidi="te-IN"/>
        </w:rPr>
        <w:t>.</w:t>
      </w:r>
    </w:p>
    <w:p w:rsidR="00394814" w:rsidRPr="00212CD8" w:rsidRDefault="00394814" w:rsidP="00394814">
      <w:pPr>
        <w:numPr>
          <w:ilvl w:val="0"/>
          <w:numId w:val="2"/>
        </w:numPr>
        <w:spacing w:after="0" w:line="360" w:lineRule="auto"/>
        <w:contextualSpacing/>
        <w:jc w:val="both"/>
        <w:rPr>
          <w:rFonts w:eastAsia="Calibri"/>
          <w:lang w:val="en-US"/>
        </w:rPr>
      </w:pPr>
      <w:r w:rsidRPr="00212CD8">
        <w:rPr>
          <w:rFonts w:eastAsia="Calibri"/>
          <w:lang w:val="en-US"/>
        </w:rPr>
        <w:t xml:space="preserve">E.K.Van den Beuken and B.L.Feringa, “Bimetallic catalysis by late transition metal complexes”, </w:t>
      </w:r>
      <w:r w:rsidRPr="00212CD8">
        <w:rPr>
          <w:rFonts w:eastAsia="Calibri"/>
          <w:i/>
          <w:lang w:val="en-US"/>
        </w:rPr>
        <w:t>Tetrahedron</w:t>
      </w:r>
      <w:r w:rsidRPr="00212CD8">
        <w:rPr>
          <w:rFonts w:eastAsia="Calibri"/>
          <w:lang w:val="en-US"/>
        </w:rPr>
        <w:t>, 54(1998</w:t>
      </w:r>
      <w:r w:rsidRPr="00212CD8">
        <w:rPr>
          <w:rFonts w:eastAsia="Calibri"/>
          <w:b/>
          <w:lang w:val="en-US"/>
        </w:rPr>
        <w:t xml:space="preserve">) </w:t>
      </w:r>
      <w:r w:rsidRPr="00212CD8">
        <w:rPr>
          <w:rFonts w:eastAsia="Calibri"/>
          <w:lang w:val="en-US"/>
        </w:rPr>
        <w:t xml:space="preserve">pp.12985-13011. </w:t>
      </w:r>
    </w:p>
    <w:p w:rsidR="00394814" w:rsidRPr="00212CD8" w:rsidRDefault="00394814" w:rsidP="00394814">
      <w:pPr>
        <w:numPr>
          <w:ilvl w:val="0"/>
          <w:numId w:val="2"/>
        </w:numPr>
        <w:spacing w:after="0" w:line="360" w:lineRule="auto"/>
        <w:contextualSpacing/>
        <w:jc w:val="both"/>
        <w:rPr>
          <w:rFonts w:eastAsia="Calibri"/>
          <w:lang w:val="en-US"/>
        </w:rPr>
      </w:pPr>
      <w:r w:rsidRPr="00212CD8">
        <w:rPr>
          <w:rFonts w:eastAsia="Calibri"/>
          <w:lang w:val="en-US"/>
        </w:rPr>
        <w:t>H.</w:t>
      </w:r>
      <w:r w:rsidR="000C1F5F">
        <w:rPr>
          <w:rFonts w:eastAsia="Calibri"/>
          <w:lang w:val="en-US"/>
        </w:rPr>
        <w:t xml:space="preserve"> </w:t>
      </w:r>
      <w:r w:rsidRPr="00212CD8">
        <w:rPr>
          <w:rFonts w:eastAsia="Calibri"/>
          <w:lang w:val="en-US"/>
        </w:rPr>
        <w:t>Steinhagen and G. Helmchen,</w:t>
      </w:r>
      <w:r w:rsidRPr="00212CD8">
        <w:rPr>
          <w:rFonts w:eastAsia="Calibri"/>
          <w:i/>
          <w:lang w:val="en-US"/>
        </w:rPr>
        <w:t xml:space="preserve"> </w:t>
      </w:r>
      <w:r w:rsidRPr="00212CD8">
        <w:rPr>
          <w:rFonts w:eastAsia="Calibri"/>
          <w:lang w:val="en-US"/>
        </w:rPr>
        <w:t xml:space="preserve">“Asymmetric two-center catalysis: Learning from Nature”, </w:t>
      </w:r>
      <w:r w:rsidRPr="00212CD8">
        <w:rPr>
          <w:rFonts w:eastAsia="Calibri"/>
          <w:i/>
          <w:lang w:val="en-US"/>
        </w:rPr>
        <w:t>Angew. Chem. Int. Ed</w:t>
      </w:r>
      <w:r w:rsidRPr="00212CD8">
        <w:rPr>
          <w:rFonts w:eastAsia="Calibri"/>
          <w:lang w:val="en-US"/>
        </w:rPr>
        <w:t>., 35(1996) pp.2339-2342.</w:t>
      </w:r>
    </w:p>
    <w:p w:rsidR="00394814" w:rsidRPr="00212CD8" w:rsidRDefault="00394814" w:rsidP="00394814">
      <w:pPr>
        <w:numPr>
          <w:ilvl w:val="0"/>
          <w:numId w:val="2"/>
        </w:numPr>
        <w:spacing w:after="0" w:line="360" w:lineRule="auto"/>
        <w:contextualSpacing/>
        <w:jc w:val="both"/>
        <w:rPr>
          <w:rFonts w:eastAsia="Calibri"/>
          <w:lang w:val="en-US"/>
        </w:rPr>
      </w:pPr>
      <w:r w:rsidRPr="00212CD8">
        <w:rPr>
          <w:rFonts w:eastAsia="Calibri"/>
          <w:lang w:val="en-US"/>
        </w:rPr>
        <w:t xml:space="preserve">H. B. Jonasse and V. V. Ramanujam, “Binuclear complexes as catalysts”, </w:t>
      </w:r>
      <w:r w:rsidRPr="00212CD8">
        <w:rPr>
          <w:rFonts w:eastAsia="Calibri"/>
          <w:i/>
          <w:lang w:val="en-US"/>
        </w:rPr>
        <w:t>J. Phys. Chem.,</w:t>
      </w:r>
      <w:r w:rsidRPr="00212CD8">
        <w:rPr>
          <w:rFonts w:eastAsia="Calibri"/>
          <w:lang w:val="en-US"/>
        </w:rPr>
        <w:t xml:space="preserve"> 63 (3) (1959) pp.411-415.</w:t>
      </w:r>
    </w:p>
    <w:p w:rsidR="00394814" w:rsidRDefault="00394814" w:rsidP="00394814">
      <w:pPr>
        <w:numPr>
          <w:ilvl w:val="0"/>
          <w:numId w:val="2"/>
        </w:numPr>
        <w:shd w:val="clear" w:color="auto" w:fill="FCFCFC"/>
        <w:spacing w:after="0" w:line="360" w:lineRule="auto"/>
        <w:contextualSpacing/>
        <w:jc w:val="both"/>
        <w:outlineLvl w:val="0"/>
        <w:rPr>
          <w:rFonts w:eastAsia="Times New Roman"/>
          <w:spacing w:val="2"/>
          <w:kern w:val="36"/>
          <w:lang w:eastAsia="en-GB" w:bidi="te-IN"/>
        </w:rPr>
      </w:pPr>
      <w:r w:rsidRPr="00212CD8">
        <w:rPr>
          <w:rFonts w:eastAsia="Times New Roman"/>
          <w:spacing w:val="3"/>
          <w:shd w:val="clear" w:color="auto" w:fill="FCFCFC"/>
        </w:rPr>
        <w:t>C.E. Carraher, W. Chen, G.G. Hess and D.J. Giron, “Biological Characterization of Selected Palladium (II) Poly(amides), Poly(thioamides) and Po</w:t>
      </w:r>
      <w:r w:rsidR="000C1F5F">
        <w:rPr>
          <w:rFonts w:eastAsia="Times New Roman"/>
          <w:spacing w:val="3"/>
          <w:shd w:val="clear" w:color="auto" w:fill="FCFCFC"/>
        </w:rPr>
        <w:t>ly(hydrazides)”, i</w:t>
      </w:r>
      <w:r w:rsidRPr="00212CD8">
        <w:rPr>
          <w:rFonts w:eastAsia="Times New Roman"/>
          <w:spacing w:val="3"/>
          <w:shd w:val="clear" w:color="auto" w:fill="FCFCFC"/>
        </w:rPr>
        <w:t xml:space="preserve">n: </w:t>
      </w:r>
      <w:r w:rsidR="000C1F5F" w:rsidRPr="00212CD8">
        <w:rPr>
          <w:rFonts w:eastAsia="Times New Roman"/>
          <w:spacing w:val="3"/>
          <w:shd w:val="clear" w:color="auto" w:fill="FCFCFC"/>
        </w:rPr>
        <w:t>“Progress in Biomedical Polymers”</w:t>
      </w:r>
      <w:r w:rsidR="000C1F5F">
        <w:rPr>
          <w:rFonts w:eastAsia="Times New Roman"/>
          <w:spacing w:val="3"/>
          <w:shd w:val="clear" w:color="auto" w:fill="FCFCFC"/>
        </w:rPr>
        <w:t>, C.G. Gebelein and</w:t>
      </w:r>
      <w:r w:rsidRPr="00212CD8">
        <w:rPr>
          <w:rFonts w:eastAsia="Times New Roman"/>
          <w:spacing w:val="3"/>
          <w:shd w:val="clear" w:color="auto" w:fill="FCFCFC"/>
        </w:rPr>
        <w:t xml:space="preserve"> </w:t>
      </w:r>
      <w:r w:rsidR="000C1F5F">
        <w:rPr>
          <w:rFonts w:eastAsia="Times New Roman"/>
          <w:spacing w:val="3"/>
          <w:shd w:val="clear" w:color="auto" w:fill="FCFCFC"/>
        </w:rPr>
        <w:t>R.L. Dunn</w:t>
      </w:r>
      <w:r w:rsidRPr="00212CD8">
        <w:rPr>
          <w:rFonts w:eastAsia="Times New Roman"/>
          <w:spacing w:val="3"/>
          <w:shd w:val="clear" w:color="auto" w:fill="FCFCFC"/>
        </w:rPr>
        <w:t>. (</w:t>
      </w:r>
      <w:r w:rsidR="000C1F5F">
        <w:rPr>
          <w:rFonts w:eastAsia="Times New Roman"/>
          <w:spacing w:val="3"/>
          <w:shd w:val="clear" w:color="auto" w:fill="FCFCFC"/>
        </w:rPr>
        <w:t>E</w:t>
      </w:r>
      <w:r w:rsidRPr="00212CD8">
        <w:rPr>
          <w:rFonts w:eastAsia="Times New Roman"/>
          <w:spacing w:val="3"/>
          <w:shd w:val="clear" w:color="auto" w:fill="FCFCFC"/>
        </w:rPr>
        <w:t>ds), S</w:t>
      </w:r>
      <w:r w:rsidR="005F16ED">
        <w:rPr>
          <w:rFonts w:eastAsia="Times New Roman"/>
          <w:spacing w:val="3"/>
          <w:shd w:val="clear" w:color="auto" w:fill="FCFCFC"/>
        </w:rPr>
        <w:t>pringer, Boston, MA,</w:t>
      </w:r>
      <w:r w:rsidR="001F1496">
        <w:rPr>
          <w:rFonts w:eastAsia="Times New Roman"/>
          <w:spacing w:val="3"/>
          <w:shd w:val="clear" w:color="auto" w:fill="FCFCFC"/>
        </w:rPr>
        <w:t xml:space="preserve"> (1990) pp.</w:t>
      </w:r>
      <w:r w:rsidRPr="00212CD8">
        <w:rPr>
          <w:rFonts w:eastAsia="Times New Roman"/>
          <w:spacing w:val="3"/>
          <w:shd w:val="clear" w:color="auto" w:fill="FCFCFC"/>
        </w:rPr>
        <w:t>363-370.</w:t>
      </w:r>
    </w:p>
    <w:p w:rsidR="00394814" w:rsidRPr="00A31300" w:rsidRDefault="00394814" w:rsidP="00394814">
      <w:pPr>
        <w:numPr>
          <w:ilvl w:val="0"/>
          <w:numId w:val="2"/>
        </w:numPr>
        <w:shd w:val="clear" w:color="auto" w:fill="FCFCFC"/>
        <w:spacing w:after="0" w:line="360" w:lineRule="auto"/>
        <w:contextualSpacing/>
        <w:jc w:val="both"/>
        <w:outlineLvl w:val="0"/>
        <w:rPr>
          <w:rFonts w:eastAsia="Times New Roman"/>
          <w:spacing w:val="2"/>
          <w:kern w:val="36"/>
          <w:lang w:eastAsia="en-GB" w:bidi="te-IN"/>
        </w:rPr>
      </w:pPr>
      <w:r w:rsidRPr="00A31300">
        <w:rPr>
          <w:rFonts w:eastAsia="Times New Roman"/>
          <w:spacing w:val="3"/>
          <w:shd w:val="clear" w:color="auto" w:fill="FCFCFC"/>
        </w:rPr>
        <w:t xml:space="preserve"> </w:t>
      </w:r>
      <w:r w:rsidRPr="00A31300">
        <w:rPr>
          <w:rFonts w:eastAsia="Times New Roman"/>
          <w:spacing w:val="1"/>
          <w:shd w:val="clear" w:color="auto" w:fill="FCFCFC"/>
        </w:rPr>
        <w:t>H.S.V. Jois, B. Kalluraya and T. Vishwanath, “</w:t>
      </w:r>
      <w:r w:rsidRPr="00A31300">
        <w:rPr>
          <w:rFonts w:eastAsia="Times New Roman"/>
          <w:spacing w:val="2"/>
        </w:rPr>
        <w:t xml:space="preserve">Synthesis, spectroscopic properties and antioxidant activity of bis-hydrazones and </w:t>
      </w:r>
      <w:r w:rsidR="00DC207B">
        <w:rPr>
          <w:rFonts w:eastAsia="Times New Roman"/>
          <w:spacing w:val="2"/>
        </w:rPr>
        <w:t>S</w:t>
      </w:r>
      <w:r w:rsidRPr="00A31300">
        <w:rPr>
          <w:rFonts w:eastAsia="Times New Roman"/>
          <w:spacing w:val="2"/>
        </w:rPr>
        <w:t xml:space="preserve">chiff’s bases derived from terephthalic dihydrazide”, </w:t>
      </w:r>
      <w:r w:rsidRPr="00A31300">
        <w:rPr>
          <w:rFonts w:eastAsia="Times New Roman"/>
          <w:i/>
          <w:iCs/>
          <w:spacing w:val="1"/>
          <w:shd w:val="clear" w:color="auto" w:fill="FCFCFC"/>
        </w:rPr>
        <w:t>J.</w:t>
      </w:r>
      <w:r w:rsidR="000C1F5F">
        <w:rPr>
          <w:rFonts w:eastAsia="Times New Roman"/>
          <w:i/>
          <w:iCs/>
          <w:spacing w:val="1"/>
          <w:shd w:val="clear" w:color="auto" w:fill="FCFCFC"/>
        </w:rPr>
        <w:t xml:space="preserve"> </w:t>
      </w:r>
      <w:r w:rsidRPr="00A31300">
        <w:rPr>
          <w:rFonts w:eastAsia="Times New Roman"/>
          <w:i/>
          <w:iCs/>
          <w:spacing w:val="1"/>
          <w:shd w:val="clear" w:color="auto" w:fill="FCFCFC"/>
        </w:rPr>
        <w:t>Fluoresc,</w:t>
      </w:r>
      <w:r w:rsidR="001F1496">
        <w:rPr>
          <w:rFonts w:eastAsia="Times New Roman"/>
          <w:spacing w:val="1"/>
          <w:shd w:val="clear" w:color="auto" w:fill="FCFCFC"/>
        </w:rPr>
        <w:t xml:space="preserve"> 25(2015) pp.</w:t>
      </w:r>
      <w:r w:rsidRPr="00A31300">
        <w:rPr>
          <w:rFonts w:eastAsia="Times New Roman"/>
          <w:spacing w:val="1"/>
          <w:shd w:val="clear" w:color="auto" w:fill="FCFCFC"/>
        </w:rPr>
        <w:t>481-488. </w:t>
      </w:r>
    </w:p>
    <w:p w:rsidR="00394814" w:rsidRDefault="00394814" w:rsidP="00394814">
      <w:pPr>
        <w:numPr>
          <w:ilvl w:val="0"/>
          <w:numId w:val="2"/>
        </w:numPr>
        <w:shd w:val="clear" w:color="auto" w:fill="FCFCFC"/>
        <w:spacing w:after="0" w:line="360" w:lineRule="auto"/>
        <w:contextualSpacing/>
        <w:jc w:val="both"/>
        <w:outlineLvl w:val="0"/>
        <w:rPr>
          <w:rFonts w:eastAsia="Times New Roman"/>
          <w:spacing w:val="2"/>
          <w:kern w:val="36"/>
          <w:lang w:eastAsia="en-GB" w:bidi="te-IN"/>
        </w:rPr>
      </w:pPr>
      <w:r w:rsidRPr="00A31300">
        <w:rPr>
          <w:rFonts w:eastAsia="Times New Roman"/>
          <w:bCs/>
          <w:spacing w:val="1"/>
          <w:shd w:val="clear" w:color="auto" w:fill="FCFCFC"/>
        </w:rPr>
        <w:t>R. Agrawal, N. Tarannum, M. Chourasia and R.K. Soni, “</w:t>
      </w:r>
      <w:r w:rsidRPr="00A31300">
        <w:rPr>
          <w:rFonts w:eastAsia="Times New Roman"/>
          <w:spacing w:val="2"/>
        </w:rPr>
        <w:t>Chemical Degradation of Poly</w:t>
      </w:r>
      <w:r w:rsidR="001F1496">
        <w:rPr>
          <w:rFonts w:eastAsia="Times New Roman"/>
          <w:spacing w:val="2"/>
        </w:rPr>
        <w:t xml:space="preserve"> </w:t>
      </w:r>
      <w:r w:rsidRPr="00A31300">
        <w:rPr>
          <w:rFonts w:eastAsia="Times New Roman"/>
          <w:spacing w:val="2"/>
        </w:rPr>
        <w:t>(ethylene terephthalate) for Potential Antimicrobial Activity Evaluation and Molecular Docking Study</w:t>
      </w:r>
      <w:r w:rsidRPr="00A31300">
        <w:rPr>
          <w:rFonts w:eastAsia="Times New Roman"/>
          <w:bCs/>
          <w:i/>
          <w:iCs/>
          <w:spacing w:val="1"/>
          <w:shd w:val="clear" w:color="auto" w:fill="FCFCFC"/>
        </w:rPr>
        <w:t>“</w:t>
      </w:r>
      <w:r w:rsidRPr="00A31300">
        <w:rPr>
          <w:rFonts w:eastAsia="Times New Roman"/>
          <w:bCs/>
          <w:iCs/>
          <w:spacing w:val="1"/>
          <w:shd w:val="clear" w:color="auto" w:fill="FCFCFC"/>
        </w:rPr>
        <w:t>,</w:t>
      </w:r>
      <w:r w:rsidRPr="00A31300">
        <w:rPr>
          <w:rFonts w:eastAsia="Times New Roman"/>
          <w:bCs/>
          <w:i/>
          <w:iCs/>
          <w:spacing w:val="1"/>
          <w:shd w:val="clear" w:color="auto" w:fill="FCFCFC"/>
        </w:rPr>
        <w:t xml:space="preserve"> J Polym. Environ.</w:t>
      </w:r>
      <w:r w:rsidRPr="00A31300">
        <w:rPr>
          <w:rFonts w:eastAsia="Times New Roman"/>
          <w:bCs/>
          <w:spacing w:val="1"/>
          <w:shd w:val="clear" w:color="auto" w:fill="FCFCFC"/>
        </w:rPr>
        <w:t xml:space="preserve"> (2017) pp. 1-11. </w:t>
      </w:r>
    </w:p>
    <w:p w:rsidR="00394814" w:rsidRDefault="00394814" w:rsidP="00394814">
      <w:pPr>
        <w:numPr>
          <w:ilvl w:val="0"/>
          <w:numId w:val="2"/>
        </w:numPr>
        <w:shd w:val="clear" w:color="auto" w:fill="FCFCFC"/>
        <w:spacing w:after="0" w:line="360" w:lineRule="auto"/>
        <w:contextualSpacing/>
        <w:jc w:val="both"/>
        <w:outlineLvl w:val="0"/>
        <w:rPr>
          <w:rFonts w:eastAsia="Times New Roman"/>
          <w:spacing w:val="2"/>
          <w:kern w:val="36"/>
          <w:lang w:eastAsia="en-GB" w:bidi="te-IN"/>
        </w:rPr>
      </w:pPr>
      <w:r w:rsidRPr="00A31300">
        <w:rPr>
          <w:rFonts w:eastAsia="Times New Roman"/>
          <w:spacing w:val="1"/>
          <w:shd w:val="clear" w:color="auto" w:fill="FCFCFC"/>
        </w:rPr>
        <w:t xml:space="preserve">Y.S. Parab and S.R. Shukla, </w:t>
      </w:r>
      <w:r w:rsidRPr="00A31300">
        <w:rPr>
          <w:rFonts w:eastAsia="Times New Roman"/>
          <w:bCs/>
          <w:spacing w:val="1"/>
          <w:shd w:val="clear" w:color="auto" w:fill="FCFCFC"/>
        </w:rPr>
        <w:t>“</w:t>
      </w:r>
      <w:r w:rsidR="000C1F5F">
        <w:rPr>
          <w:rFonts w:eastAsia="Times New Roman"/>
          <w:bCs/>
          <w:spacing w:val="2"/>
        </w:rPr>
        <w:t>Microwave s</w:t>
      </w:r>
      <w:r w:rsidRPr="00A31300">
        <w:rPr>
          <w:rFonts w:eastAsia="Times New Roman"/>
          <w:bCs/>
          <w:spacing w:val="2"/>
        </w:rPr>
        <w:t xml:space="preserve">ynthesis and </w:t>
      </w:r>
      <w:r w:rsidR="000C1F5F">
        <w:rPr>
          <w:rFonts w:eastAsia="Times New Roman"/>
          <w:bCs/>
          <w:spacing w:val="2"/>
        </w:rPr>
        <w:t>antibacterial a</w:t>
      </w:r>
      <w:r w:rsidRPr="00A31300">
        <w:rPr>
          <w:rFonts w:eastAsia="Times New Roman"/>
          <w:bCs/>
          <w:spacing w:val="2"/>
        </w:rPr>
        <w:t>ctivity of 1,4-Bis (5-aryl-1,3,4-oxadiazole-2-yl)</w:t>
      </w:r>
      <w:r w:rsidR="000C1F5F">
        <w:rPr>
          <w:rFonts w:eastAsia="Times New Roman"/>
          <w:bCs/>
          <w:spacing w:val="2"/>
        </w:rPr>
        <w:t xml:space="preserve"> b</w:t>
      </w:r>
      <w:r w:rsidRPr="00A31300">
        <w:rPr>
          <w:rFonts w:eastAsia="Times New Roman"/>
          <w:bCs/>
          <w:spacing w:val="2"/>
        </w:rPr>
        <w:t xml:space="preserve">enzene </w:t>
      </w:r>
      <w:r w:rsidR="000C1F5F">
        <w:rPr>
          <w:rFonts w:eastAsia="Times New Roman"/>
          <w:bCs/>
          <w:spacing w:val="2"/>
        </w:rPr>
        <w:t>d</w:t>
      </w:r>
      <w:r w:rsidRPr="00A31300">
        <w:rPr>
          <w:rFonts w:eastAsia="Times New Roman"/>
          <w:bCs/>
          <w:spacing w:val="2"/>
        </w:rPr>
        <w:t xml:space="preserve">erivatives from Terephthalic Dihydrazide Obtained Through </w:t>
      </w:r>
      <w:r w:rsidR="000C1F5F">
        <w:rPr>
          <w:rFonts w:eastAsia="Times New Roman"/>
          <w:bCs/>
          <w:spacing w:val="2"/>
        </w:rPr>
        <w:t>a</w:t>
      </w:r>
      <w:r w:rsidRPr="00A31300">
        <w:rPr>
          <w:rFonts w:eastAsia="Times New Roman"/>
          <w:bCs/>
          <w:spacing w:val="2"/>
        </w:rPr>
        <w:t xml:space="preserve">minolysis of PET Bottle Waste”, </w:t>
      </w:r>
      <w:r w:rsidRPr="00A31300">
        <w:rPr>
          <w:rFonts w:eastAsia="Times New Roman"/>
          <w:spacing w:val="1"/>
          <w:shd w:val="clear" w:color="auto" w:fill="FCFCFC"/>
        </w:rPr>
        <w:t xml:space="preserve"> </w:t>
      </w:r>
      <w:r w:rsidR="00333F7E" w:rsidRPr="00333F7E">
        <w:rPr>
          <w:rFonts w:eastAsia="Times New Roman"/>
          <w:i/>
          <w:iCs/>
          <w:spacing w:val="1"/>
          <w:shd w:val="clear" w:color="auto" w:fill="FCFCFC"/>
        </w:rPr>
        <w:t>Waste</w:t>
      </w:r>
      <w:r w:rsidR="00333F7E" w:rsidRPr="00333F7E">
        <w:rPr>
          <w:rFonts w:eastAsia="Times New Roman"/>
          <w:bCs/>
          <w:i/>
          <w:iCs/>
          <w:spacing w:val="1"/>
          <w:shd w:val="clear" w:color="auto" w:fill="FCFCFC"/>
        </w:rPr>
        <w:t xml:space="preserve"> </w:t>
      </w:r>
      <w:r w:rsidR="00333F7E" w:rsidRPr="00333F7E">
        <w:rPr>
          <w:rFonts w:eastAsia="Times New Roman"/>
          <w:i/>
          <w:iCs/>
          <w:spacing w:val="1"/>
          <w:shd w:val="clear" w:color="auto" w:fill="FCFCFC"/>
        </w:rPr>
        <w:t>Biomass Valor</w:t>
      </w:r>
      <w:r w:rsidRPr="00333F7E">
        <w:rPr>
          <w:rFonts w:eastAsia="Times New Roman"/>
          <w:i/>
          <w:iCs/>
          <w:spacing w:val="1"/>
          <w:shd w:val="clear" w:color="auto" w:fill="FCFCFC"/>
        </w:rPr>
        <w:t>,</w:t>
      </w:r>
      <w:r w:rsidRPr="00A31300">
        <w:rPr>
          <w:rFonts w:eastAsia="Times New Roman"/>
          <w:spacing w:val="1"/>
          <w:shd w:val="clear" w:color="auto" w:fill="FCFCFC"/>
        </w:rPr>
        <w:t xml:space="preserve"> 4</w:t>
      </w:r>
      <w:r w:rsidRPr="00A31300">
        <w:rPr>
          <w:rFonts w:eastAsia="Times New Roman"/>
          <w:bCs/>
          <w:spacing w:val="1"/>
          <w:shd w:val="clear" w:color="auto" w:fill="FCFCFC"/>
        </w:rPr>
        <w:t xml:space="preserve"> (1) </w:t>
      </w:r>
      <w:r w:rsidRPr="00A31300">
        <w:rPr>
          <w:rFonts w:eastAsia="Times New Roman"/>
          <w:spacing w:val="1"/>
          <w:shd w:val="clear" w:color="auto" w:fill="FCFCFC"/>
        </w:rPr>
        <w:t>(2013) pp</w:t>
      </w:r>
      <w:r w:rsidR="001F1496">
        <w:rPr>
          <w:rFonts w:eastAsia="Times New Roman"/>
          <w:spacing w:val="1"/>
          <w:shd w:val="clear" w:color="auto" w:fill="FCFCFC"/>
        </w:rPr>
        <w:t>.</w:t>
      </w:r>
      <w:r w:rsidRPr="00A31300">
        <w:rPr>
          <w:rFonts w:eastAsia="Times New Roman"/>
          <w:spacing w:val="1"/>
          <w:shd w:val="clear" w:color="auto" w:fill="FCFCFC"/>
        </w:rPr>
        <w:t xml:space="preserve"> 23-27. </w:t>
      </w:r>
    </w:p>
    <w:p w:rsidR="00394814" w:rsidRDefault="00394814" w:rsidP="00394814">
      <w:pPr>
        <w:numPr>
          <w:ilvl w:val="0"/>
          <w:numId w:val="2"/>
        </w:numPr>
        <w:shd w:val="clear" w:color="auto" w:fill="FCFCFC"/>
        <w:spacing w:after="0" w:line="360" w:lineRule="auto"/>
        <w:contextualSpacing/>
        <w:jc w:val="both"/>
        <w:outlineLvl w:val="0"/>
        <w:rPr>
          <w:rFonts w:eastAsia="Times New Roman"/>
          <w:spacing w:val="2"/>
          <w:kern w:val="36"/>
          <w:lang w:eastAsia="en-GB" w:bidi="te-IN"/>
        </w:rPr>
      </w:pPr>
      <w:r w:rsidRPr="00A31300">
        <w:rPr>
          <w:rFonts w:eastAsia="Times New Roman"/>
          <w:bCs/>
        </w:rPr>
        <w:t>N.</w:t>
      </w:r>
      <w:r w:rsidR="004B1241">
        <w:rPr>
          <w:rFonts w:eastAsia="Times New Roman"/>
          <w:bCs/>
        </w:rPr>
        <w:t xml:space="preserve"> </w:t>
      </w:r>
      <w:r w:rsidRPr="00A31300">
        <w:rPr>
          <w:rFonts w:eastAsia="Times New Roman"/>
          <w:bCs/>
        </w:rPr>
        <w:t>Vandana Jugran, Ashok Kumar Sharma, N. Jeetendra Singh, Veerma Ram</w:t>
      </w:r>
      <w:r w:rsidRPr="00A31300">
        <w:rPr>
          <w:rFonts w:eastAsia="Times New Roman"/>
          <w:bCs/>
          <w:kern w:val="36"/>
        </w:rPr>
        <w:t xml:space="preserve">, “Biological activities of hydrazide derivatives in the new millennium”, </w:t>
      </w:r>
      <w:r w:rsidRPr="00A31300">
        <w:rPr>
          <w:rFonts w:eastAsia="Times New Roman"/>
          <w:bCs/>
          <w:i/>
        </w:rPr>
        <w:t>Int. J. Pharm. Chem.</w:t>
      </w:r>
      <w:r w:rsidRPr="00A31300">
        <w:rPr>
          <w:rFonts w:eastAsia="Times New Roman"/>
          <w:bCs/>
        </w:rPr>
        <w:t>, 2 (4) (2012) pp</w:t>
      </w:r>
      <w:r w:rsidR="001F1496">
        <w:rPr>
          <w:rFonts w:eastAsia="Times New Roman"/>
          <w:bCs/>
        </w:rPr>
        <w:t>.</w:t>
      </w:r>
      <w:r w:rsidRPr="00A31300">
        <w:rPr>
          <w:rFonts w:eastAsia="Times New Roman"/>
          <w:bCs/>
        </w:rPr>
        <w:t>100-109.</w:t>
      </w:r>
    </w:p>
    <w:p w:rsidR="00394814" w:rsidRPr="00A31300" w:rsidRDefault="00394814" w:rsidP="00394814">
      <w:pPr>
        <w:numPr>
          <w:ilvl w:val="0"/>
          <w:numId w:val="2"/>
        </w:numPr>
        <w:shd w:val="clear" w:color="auto" w:fill="FCFCFC"/>
        <w:spacing w:after="0" w:line="360" w:lineRule="auto"/>
        <w:contextualSpacing/>
        <w:jc w:val="both"/>
        <w:outlineLvl w:val="0"/>
        <w:rPr>
          <w:rFonts w:eastAsia="Times New Roman"/>
          <w:spacing w:val="2"/>
          <w:kern w:val="36"/>
          <w:lang w:eastAsia="en-GB" w:bidi="te-IN"/>
        </w:rPr>
      </w:pPr>
      <w:r w:rsidRPr="00A31300">
        <w:rPr>
          <w:rFonts w:eastAsia="Times New Roman"/>
          <w:bCs/>
        </w:rPr>
        <w:lastRenderedPageBreak/>
        <w:t>R.</w:t>
      </w:r>
      <w:r w:rsidR="00C25892">
        <w:rPr>
          <w:rFonts w:eastAsia="Times New Roman"/>
          <w:bCs/>
        </w:rPr>
        <w:t xml:space="preserve"> </w:t>
      </w:r>
      <w:r w:rsidRPr="00A31300">
        <w:rPr>
          <w:rFonts w:eastAsia="Times New Roman"/>
          <w:bCs/>
        </w:rPr>
        <w:t>Narang, B.</w:t>
      </w:r>
      <w:r w:rsidR="00C25892">
        <w:rPr>
          <w:rFonts w:eastAsia="Times New Roman"/>
          <w:bCs/>
        </w:rPr>
        <w:t xml:space="preserve"> </w:t>
      </w:r>
      <w:r w:rsidRPr="00A31300">
        <w:rPr>
          <w:rFonts w:eastAsia="Times New Roman"/>
          <w:bCs/>
        </w:rPr>
        <w:t xml:space="preserve">Narasimhan and B. Sharma, “A review on biological activities and chemical synthesis of hydrazide derivatives”, </w:t>
      </w:r>
      <w:r w:rsidRPr="00A31300">
        <w:rPr>
          <w:rFonts w:eastAsia="Times New Roman"/>
          <w:bCs/>
          <w:i/>
        </w:rPr>
        <w:t>Curr. Med. Chem</w:t>
      </w:r>
      <w:r w:rsidR="00C25892">
        <w:rPr>
          <w:rFonts w:eastAsia="Times New Roman"/>
          <w:bCs/>
        </w:rPr>
        <w:t>., 19(4) (2012) pp</w:t>
      </w:r>
      <w:r w:rsidR="001F1496">
        <w:rPr>
          <w:rFonts w:eastAsia="Times New Roman"/>
          <w:bCs/>
        </w:rPr>
        <w:t>.</w:t>
      </w:r>
      <w:r w:rsidR="00C25892">
        <w:rPr>
          <w:rFonts w:eastAsia="Times New Roman"/>
          <w:bCs/>
        </w:rPr>
        <w:t>.</w:t>
      </w:r>
      <w:r w:rsidRPr="00A31300">
        <w:rPr>
          <w:rFonts w:eastAsia="Times New Roman"/>
          <w:bCs/>
        </w:rPr>
        <w:t>569-612.</w:t>
      </w:r>
    </w:p>
    <w:p w:rsidR="00394814" w:rsidRPr="00212CD8" w:rsidRDefault="00394814" w:rsidP="00394814">
      <w:pPr>
        <w:numPr>
          <w:ilvl w:val="0"/>
          <w:numId w:val="2"/>
        </w:numPr>
        <w:shd w:val="clear" w:color="auto" w:fill="FFFFFF"/>
        <w:spacing w:after="0" w:line="360" w:lineRule="auto"/>
        <w:jc w:val="both"/>
        <w:outlineLvl w:val="0"/>
        <w:rPr>
          <w:rFonts w:eastAsia="Times New Roman"/>
          <w:bCs/>
        </w:rPr>
      </w:pPr>
      <w:r w:rsidRPr="00212CD8">
        <w:rPr>
          <w:rFonts w:eastAsia="Times New Roman"/>
          <w:bCs/>
          <w:shd w:val="clear" w:color="auto" w:fill="FFFFFF"/>
        </w:rPr>
        <w:t>B.K. Kaymakçioğlu</w:t>
      </w:r>
      <w:r w:rsidRPr="00212CD8">
        <w:rPr>
          <w:rFonts w:eastAsia="Times New Roman"/>
          <w:bCs/>
        </w:rPr>
        <w:t xml:space="preserve">, </w:t>
      </w:r>
      <w:r w:rsidRPr="00212CD8">
        <w:rPr>
          <w:rFonts w:eastAsia="Times New Roman"/>
          <w:bCs/>
          <w:shd w:val="clear" w:color="auto" w:fill="FFFFFF"/>
        </w:rPr>
        <w:t>E.E. Oruç-Emre</w:t>
      </w:r>
      <w:r w:rsidRPr="00212CD8">
        <w:rPr>
          <w:rFonts w:eastAsia="Times New Roman"/>
          <w:bCs/>
        </w:rPr>
        <w:t xml:space="preserve">, </w:t>
      </w:r>
      <w:r w:rsidRPr="00212CD8">
        <w:rPr>
          <w:rFonts w:eastAsia="Times New Roman"/>
          <w:bCs/>
          <w:shd w:val="clear" w:color="auto" w:fill="FFFFFF"/>
        </w:rPr>
        <w:t>U. Seda</w:t>
      </w:r>
      <w:r w:rsidR="005F16ED">
        <w:rPr>
          <w:rFonts w:eastAsia="Times New Roman"/>
          <w:bCs/>
          <w:shd w:val="clear" w:color="auto" w:fill="FFFFFF"/>
        </w:rPr>
        <w:t>,</w:t>
      </w:r>
      <w:r w:rsidRPr="00212CD8">
        <w:rPr>
          <w:rFonts w:eastAsia="Times New Roman"/>
          <w:bCs/>
        </w:rPr>
        <w:t xml:space="preserve"> and </w:t>
      </w:r>
      <w:r w:rsidRPr="00212CD8">
        <w:rPr>
          <w:rFonts w:eastAsia="Times New Roman"/>
          <w:bCs/>
          <w:shd w:val="clear" w:color="auto" w:fill="FFFFFF"/>
        </w:rPr>
        <w:t>A. Dimoglo</w:t>
      </w:r>
      <w:r w:rsidRPr="00212CD8">
        <w:rPr>
          <w:rFonts w:eastAsia="Times New Roman"/>
          <w:bCs/>
        </w:rPr>
        <w:t xml:space="preserve"> “Synthesis and characterization of novel hydrazide-hydrazones and the study of their struct</w:t>
      </w:r>
      <w:r>
        <w:rPr>
          <w:rFonts w:eastAsia="Times New Roman"/>
          <w:bCs/>
        </w:rPr>
        <w:t xml:space="preserve">ure-antituberculosis activity”, </w:t>
      </w:r>
      <w:r w:rsidRPr="00212CD8">
        <w:rPr>
          <w:rFonts w:eastAsia="Times New Roman"/>
          <w:bCs/>
          <w:i/>
          <w:shd w:val="clear" w:color="auto" w:fill="FFFFFF"/>
        </w:rPr>
        <w:t>Eur</w:t>
      </w:r>
      <w:r>
        <w:rPr>
          <w:rFonts w:eastAsia="Times New Roman"/>
          <w:bCs/>
          <w:i/>
          <w:shd w:val="clear" w:color="auto" w:fill="FFFFFF"/>
        </w:rPr>
        <w:t>.</w:t>
      </w:r>
      <w:r w:rsidRPr="00212CD8">
        <w:rPr>
          <w:rFonts w:eastAsia="Times New Roman"/>
          <w:bCs/>
          <w:i/>
          <w:shd w:val="clear" w:color="auto" w:fill="FFFFFF"/>
        </w:rPr>
        <w:t xml:space="preserve"> J</w:t>
      </w:r>
      <w:r>
        <w:rPr>
          <w:rFonts w:eastAsia="Times New Roman"/>
          <w:bCs/>
          <w:i/>
          <w:shd w:val="clear" w:color="auto" w:fill="FFFFFF"/>
        </w:rPr>
        <w:t xml:space="preserve">. </w:t>
      </w:r>
      <w:r w:rsidRPr="00212CD8">
        <w:rPr>
          <w:rFonts w:eastAsia="Times New Roman"/>
          <w:bCs/>
          <w:i/>
          <w:shd w:val="clear" w:color="auto" w:fill="FFFFFF"/>
        </w:rPr>
        <w:t>Med</w:t>
      </w:r>
      <w:r>
        <w:rPr>
          <w:rFonts w:eastAsia="Times New Roman"/>
          <w:bCs/>
          <w:i/>
          <w:shd w:val="clear" w:color="auto" w:fill="FFFFFF"/>
        </w:rPr>
        <w:t>.</w:t>
      </w:r>
      <w:r w:rsidRPr="00212CD8">
        <w:rPr>
          <w:rFonts w:eastAsia="Times New Roman"/>
          <w:bCs/>
          <w:i/>
          <w:shd w:val="clear" w:color="auto" w:fill="FFFFFF"/>
        </w:rPr>
        <w:t xml:space="preserve"> Chem</w:t>
      </w:r>
      <w:r>
        <w:rPr>
          <w:rFonts w:eastAsia="Times New Roman"/>
          <w:bCs/>
          <w:i/>
          <w:shd w:val="clear" w:color="auto" w:fill="FFFFFF"/>
        </w:rPr>
        <w:t>.</w:t>
      </w:r>
      <w:r w:rsidRPr="00212CD8">
        <w:rPr>
          <w:rFonts w:eastAsia="Times New Roman"/>
          <w:bCs/>
          <w:i/>
          <w:shd w:val="clear" w:color="auto" w:fill="FFFFFF"/>
        </w:rPr>
        <w:t>,</w:t>
      </w:r>
      <w:r w:rsidRPr="00212CD8">
        <w:rPr>
          <w:rFonts w:eastAsia="Times New Roman"/>
          <w:bCs/>
          <w:shd w:val="clear" w:color="auto" w:fill="FFFFFF"/>
        </w:rPr>
        <w:t> 41(11)(2006) pp</w:t>
      </w:r>
      <w:r w:rsidR="00C25892">
        <w:rPr>
          <w:rFonts w:eastAsia="Times New Roman"/>
          <w:bCs/>
          <w:shd w:val="clear" w:color="auto" w:fill="FFFFFF"/>
        </w:rPr>
        <w:t>.</w:t>
      </w:r>
      <w:r w:rsidRPr="00212CD8">
        <w:rPr>
          <w:rFonts w:eastAsia="Times New Roman"/>
          <w:bCs/>
          <w:shd w:val="clear" w:color="auto" w:fill="FFFFFF"/>
        </w:rPr>
        <w:t xml:space="preserve"> 1253-1261.</w:t>
      </w:r>
    </w:p>
    <w:p w:rsidR="00394814" w:rsidRPr="00212CD8" w:rsidRDefault="00394814" w:rsidP="00394814">
      <w:pPr>
        <w:numPr>
          <w:ilvl w:val="0"/>
          <w:numId w:val="2"/>
        </w:numPr>
        <w:shd w:val="clear" w:color="auto" w:fill="FFFFFF"/>
        <w:spacing w:after="0" w:line="360" w:lineRule="auto"/>
        <w:contextualSpacing/>
        <w:jc w:val="both"/>
        <w:textAlignment w:val="top"/>
        <w:rPr>
          <w:rFonts w:eastAsia="Times New Roman"/>
        </w:rPr>
      </w:pPr>
      <w:r w:rsidRPr="00212CD8">
        <w:rPr>
          <w:rFonts w:eastAsia="Times New Roman"/>
        </w:rPr>
        <w:t>G. Verma, A. Marella, Md. Shaquiquzzaman, M. Akhtar, Md. Rahmat Ali and Md. Mumtaz Alam, “</w:t>
      </w:r>
      <w:r w:rsidRPr="00212CD8">
        <w:rPr>
          <w:rFonts w:eastAsia="Times New Roman"/>
          <w:bCs/>
          <w:kern w:val="36"/>
        </w:rPr>
        <w:t xml:space="preserve">A review exploring biological activities of hydrazones”, </w:t>
      </w:r>
      <w:r w:rsidRPr="00212CD8">
        <w:rPr>
          <w:rFonts w:eastAsia="Times New Roman"/>
          <w:i/>
        </w:rPr>
        <w:t>J Pharm Bioallied Sci.,</w:t>
      </w:r>
      <w:r w:rsidRPr="00212CD8">
        <w:rPr>
          <w:rFonts w:eastAsia="Times New Roman"/>
        </w:rPr>
        <w:t xml:space="preserve"> 6(2) (2014) pp</w:t>
      </w:r>
      <w:r w:rsidR="00C25892">
        <w:rPr>
          <w:rFonts w:eastAsia="Times New Roman"/>
        </w:rPr>
        <w:t>.</w:t>
      </w:r>
      <w:r w:rsidRPr="00212CD8">
        <w:rPr>
          <w:rFonts w:eastAsia="Times New Roman"/>
        </w:rPr>
        <w:t xml:space="preserve">69-80. </w:t>
      </w:r>
    </w:p>
    <w:p w:rsidR="00394814" w:rsidRDefault="00394814" w:rsidP="00394814">
      <w:pPr>
        <w:numPr>
          <w:ilvl w:val="0"/>
          <w:numId w:val="2"/>
        </w:numPr>
        <w:shd w:val="clear" w:color="auto" w:fill="FFFFFF"/>
        <w:spacing w:after="0" w:line="360" w:lineRule="auto"/>
        <w:contextualSpacing/>
        <w:jc w:val="both"/>
        <w:textAlignment w:val="top"/>
        <w:rPr>
          <w:rFonts w:eastAsia="Times New Roman"/>
        </w:rPr>
      </w:pPr>
      <w:r w:rsidRPr="00212CD8">
        <w:rPr>
          <w:rFonts w:eastAsia="Times New Roman"/>
        </w:rPr>
        <w:t xml:space="preserve">S. Rollas and Ş. Güniz Küçükgüzel, “Review- Biological activities of hydrazone derivatives”, </w:t>
      </w:r>
      <w:r w:rsidRPr="00212CD8">
        <w:rPr>
          <w:rFonts w:eastAsia="Times New Roman"/>
          <w:i/>
        </w:rPr>
        <w:t>Molecules,</w:t>
      </w:r>
      <w:r w:rsidR="00C25892">
        <w:rPr>
          <w:rFonts w:eastAsia="Times New Roman"/>
        </w:rPr>
        <w:t xml:space="preserve"> 12(2007) pp.</w:t>
      </w:r>
      <w:r w:rsidRPr="00212CD8">
        <w:rPr>
          <w:rFonts w:eastAsia="Times New Roman"/>
        </w:rPr>
        <w:t>1910-1939.</w:t>
      </w:r>
    </w:p>
    <w:p w:rsidR="00394814" w:rsidRDefault="00394814" w:rsidP="00394814">
      <w:pPr>
        <w:pStyle w:val="ListParagraph"/>
        <w:numPr>
          <w:ilvl w:val="0"/>
          <w:numId w:val="2"/>
        </w:numPr>
        <w:spacing w:line="360" w:lineRule="auto"/>
      </w:pPr>
      <w:r>
        <w:rPr>
          <w:lang w:val="pt-BR"/>
        </w:rPr>
        <w:t xml:space="preserve">G. Arena, E. Rizzarelli, S. Sammartano  and C. Rigano, “A non-linear least-squares approach to the refinement of all parameters involved in acid-base titrations.”, </w:t>
      </w:r>
      <w:r>
        <w:rPr>
          <w:i/>
          <w:lang w:val="pt-BR"/>
        </w:rPr>
        <w:t>Talanta</w:t>
      </w:r>
      <w:r w:rsidR="00C25892">
        <w:rPr>
          <w:i/>
          <w:lang w:val="pt-BR"/>
        </w:rPr>
        <w:t>,</w:t>
      </w:r>
      <w:r>
        <w:rPr>
          <w:lang w:val="pt-BR"/>
        </w:rPr>
        <w:t xml:space="preserve"> 26 (1979) pp</w:t>
      </w:r>
      <w:r w:rsidR="00C25892">
        <w:rPr>
          <w:lang w:val="pt-BR"/>
        </w:rPr>
        <w:t>.</w:t>
      </w:r>
      <w:r>
        <w:rPr>
          <w:lang w:val="pt-BR"/>
        </w:rPr>
        <w:t>1-14.</w:t>
      </w:r>
    </w:p>
    <w:p w:rsidR="00394814" w:rsidRPr="005C734D" w:rsidRDefault="00394814" w:rsidP="00394814">
      <w:pPr>
        <w:pStyle w:val="ListParagraph"/>
        <w:numPr>
          <w:ilvl w:val="0"/>
          <w:numId w:val="2"/>
        </w:numPr>
        <w:shd w:val="clear" w:color="auto" w:fill="FFFFFF"/>
        <w:autoSpaceDE w:val="0"/>
        <w:autoSpaceDN w:val="0"/>
        <w:adjustRightInd w:val="0"/>
        <w:spacing w:after="0" w:line="360" w:lineRule="auto"/>
        <w:jc w:val="both"/>
        <w:textAlignment w:val="top"/>
        <w:rPr>
          <w:rFonts w:eastAsia="Times New Roman"/>
        </w:rPr>
      </w:pPr>
      <w:r w:rsidRPr="005C734D">
        <w:rPr>
          <w:rStyle w:val="citation"/>
          <w:rFonts w:eastAsiaTheme="majorEastAsia"/>
        </w:rPr>
        <w:t>P. Gans</w:t>
      </w:r>
      <w:r>
        <w:t xml:space="preserve">, </w:t>
      </w:r>
      <w:r w:rsidRPr="005C734D">
        <w:rPr>
          <w:rStyle w:val="citation"/>
          <w:rFonts w:eastAsiaTheme="majorEastAsia"/>
        </w:rPr>
        <w:t>A. Sabatini</w:t>
      </w:r>
      <w:r>
        <w:t xml:space="preserve"> and </w:t>
      </w:r>
      <w:r w:rsidRPr="005C734D">
        <w:rPr>
          <w:rStyle w:val="citation"/>
          <w:rFonts w:eastAsiaTheme="majorEastAsia"/>
        </w:rPr>
        <w:t>A. Vacca</w:t>
      </w:r>
      <w:r>
        <w:t xml:space="preserve">, “An improved computer program for the computation of formation constants from potentiometric data”, </w:t>
      </w:r>
      <w:r w:rsidRPr="005C734D">
        <w:rPr>
          <w:i/>
        </w:rPr>
        <w:t>Inorg. Chim. Acta</w:t>
      </w:r>
      <w:r>
        <w:t xml:space="preserve">, </w:t>
      </w:r>
      <w:r w:rsidRPr="005C734D">
        <w:rPr>
          <w:bCs/>
        </w:rPr>
        <w:t xml:space="preserve">18 </w:t>
      </w:r>
      <w:r>
        <w:t>(1976) pp</w:t>
      </w:r>
      <w:r w:rsidR="00C25892">
        <w:t>.</w:t>
      </w:r>
      <w:r>
        <w:t>237-239.</w:t>
      </w:r>
    </w:p>
    <w:p w:rsidR="00394814" w:rsidRPr="006223F5"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977BCF">
        <w:t xml:space="preserve">O. Yamauchi and A. Odani, “Stability constants of metal complexes of amino acids with charged side chains- Part-I: Positively charged side chains”, </w:t>
      </w:r>
      <w:r w:rsidR="002641F1">
        <w:t>(</w:t>
      </w:r>
      <w:r w:rsidRPr="00977BCF">
        <w:t>IUPAC</w:t>
      </w:r>
      <w:r w:rsidR="002641F1">
        <w:t>)</w:t>
      </w:r>
      <w:r w:rsidR="002641F1">
        <w:rPr>
          <w:bCs/>
          <w:i/>
          <w:iCs/>
        </w:rPr>
        <w:t>, Pure</w:t>
      </w:r>
      <w:r w:rsidRPr="00977BCF">
        <w:t xml:space="preserve"> </w:t>
      </w:r>
      <w:r w:rsidRPr="003C5CCA">
        <w:rPr>
          <w:bCs/>
          <w:i/>
          <w:iCs/>
        </w:rPr>
        <w:t>Appl. Chem.,</w:t>
      </w:r>
      <w:r w:rsidRPr="003C5CCA">
        <w:rPr>
          <w:b/>
          <w:bCs/>
          <w:i/>
          <w:iCs/>
        </w:rPr>
        <w:t xml:space="preserve"> </w:t>
      </w:r>
      <w:r w:rsidRPr="003C5CCA">
        <w:rPr>
          <w:bCs/>
          <w:iCs/>
        </w:rPr>
        <w:t xml:space="preserve">68(2) (1996) </w:t>
      </w:r>
      <w:r w:rsidRPr="003C5CCA">
        <w:rPr>
          <w:bCs/>
        </w:rPr>
        <w:t>pp</w:t>
      </w:r>
      <w:r w:rsidR="00C25892">
        <w:rPr>
          <w:bCs/>
        </w:rPr>
        <w:t>.</w:t>
      </w:r>
      <w:r w:rsidRPr="003C5CCA">
        <w:rPr>
          <w:bCs/>
        </w:rPr>
        <w:t>469-496.</w:t>
      </w:r>
    </w:p>
    <w:p w:rsidR="00394814" w:rsidRPr="003C5CCA"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t xml:space="preserve">G. Berthon, “The stability constants of metal complexes of amino acids with polar side chains”, </w:t>
      </w:r>
      <w:r w:rsidR="002641F1">
        <w:t>(</w:t>
      </w:r>
      <w:r w:rsidRPr="000E20E3">
        <w:t>IUPAC</w:t>
      </w:r>
      <w:r w:rsidR="002641F1">
        <w:t>)</w:t>
      </w:r>
      <w:r w:rsidRPr="000E20E3">
        <w:t xml:space="preserve">, </w:t>
      </w:r>
      <w:r w:rsidR="002641F1">
        <w:rPr>
          <w:bCs/>
          <w:i/>
          <w:iCs/>
        </w:rPr>
        <w:t>Pure</w:t>
      </w:r>
      <w:r w:rsidRPr="003C5CCA">
        <w:rPr>
          <w:bCs/>
          <w:i/>
          <w:iCs/>
        </w:rPr>
        <w:t xml:space="preserve"> App/. Chem., </w:t>
      </w:r>
      <w:r w:rsidRPr="003C5CCA">
        <w:rPr>
          <w:bCs/>
          <w:iCs/>
        </w:rPr>
        <w:t>67(7) (1995) pp</w:t>
      </w:r>
      <w:r w:rsidR="00C25892">
        <w:rPr>
          <w:bCs/>
          <w:iCs/>
        </w:rPr>
        <w:t>.</w:t>
      </w:r>
      <w:r w:rsidRPr="003C5CCA">
        <w:rPr>
          <w:bCs/>
          <w:iCs/>
        </w:rPr>
        <w:t xml:space="preserve">1117-1240.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0E20E3">
        <w:t xml:space="preserve">I. Sovago, T. Kiss and A. Gergely, “Critical survey of the stability constants of complexes of aliphatic amino acids”, </w:t>
      </w:r>
      <w:r w:rsidR="002641F1">
        <w:t>(</w:t>
      </w:r>
      <w:r w:rsidRPr="000E20E3">
        <w:t>IUPAC</w:t>
      </w:r>
      <w:r w:rsidR="002641F1">
        <w:t>)</w:t>
      </w:r>
      <w:r w:rsidRPr="000E20E3">
        <w:t xml:space="preserve">, </w:t>
      </w:r>
      <w:r w:rsidRPr="003C5CCA">
        <w:rPr>
          <w:bCs/>
          <w:i/>
          <w:iCs/>
        </w:rPr>
        <w:t xml:space="preserve">Pure App/. Chem., </w:t>
      </w:r>
      <w:r w:rsidRPr="003C5CCA">
        <w:rPr>
          <w:bCs/>
          <w:iCs/>
        </w:rPr>
        <w:t>65(5) (1993) pp</w:t>
      </w:r>
      <w:r w:rsidR="00C25892">
        <w:rPr>
          <w:bCs/>
          <w:iCs/>
        </w:rPr>
        <w:t>.</w:t>
      </w:r>
      <w:r w:rsidRPr="003C5CCA">
        <w:rPr>
          <w:bCs/>
          <w:iCs/>
        </w:rPr>
        <w:t xml:space="preserve">1029-1080.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0E20E3">
        <w:t>T. Kiss</w:t>
      </w:r>
      <w:r>
        <w:t xml:space="preserve">, </w:t>
      </w:r>
      <w:r w:rsidRPr="000E20E3">
        <w:t>I. Sovago and A. Gergely, “Critical</w:t>
      </w:r>
      <w:r>
        <w:t xml:space="preserve"> survey of stability constants of complexes of Glycine”, </w:t>
      </w:r>
      <w:r w:rsidR="002641F1">
        <w:t>(</w:t>
      </w:r>
      <w:r w:rsidRPr="000E20E3">
        <w:t>IUPAC</w:t>
      </w:r>
      <w:r w:rsidR="002641F1">
        <w:t>)</w:t>
      </w:r>
      <w:r w:rsidRPr="000E20E3">
        <w:t xml:space="preserve">, </w:t>
      </w:r>
      <w:r w:rsidR="002641F1">
        <w:rPr>
          <w:bCs/>
          <w:i/>
          <w:iCs/>
        </w:rPr>
        <w:t>Pure</w:t>
      </w:r>
      <w:r w:rsidRPr="00814C2A">
        <w:rPr>
          <w:bCs/>
          <w:i/>
          <w:iCs/>
        </w:rPr>
        <w:t xml:space="preserve"> App/. Chem., </w:t>
      </w:r>
      <w:r w:rsidRPr="00814C2A">
        <w:rPr>
          <w:bCs/>
          <w:iCs/>
        </w:rPr>
        <w:t>63(4) (1993) pp</w:t>
      </w:r>
      <w:r w:rsidR="00C25892">
        <w:rPr>
          <w:bCs/>
          <w:iCs/>
        </w:rPr>
        <w:t>.</w:t>
      </w:r>
      <w:r w:rsidRPr="00814C2A">
        <w:rPr>
          <w:bCs/>
          <w:iCs/>
        </w:rPr>
        <w:t xml:space="preserve">597-638.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t xml:space="preserve">L.D. Pettit, “Critical survey of formation constants of Histidine, Phenylalanine, Tyrosine, L-Dopa and Tryptophan”, </w:t>
      </w:r>
      <w:r w:rsidR="002641F1">
        <w:t>(</w:t>
      </w:r>
      <w:r w:rsidRPr="000E20E3">
        <w:t>IUPAC</w:t>
      </w:r>
      <w:r w:rsidR="002641F1">
        <w:t>)</w:t>
      </w:r>
      <w:r w:rsidRPr="000E20E3">
        <w:t xml:space="preserve">, </w:t>
      </w:r>
      <w:r w:rsidR="002641F1">
        <w:rPr>
          <w:bCs/>
          <w:i/>
          <w:iCs/>
        </w:rPr>
        <w:t xml:space="preserve">Pure </w:t>
      </w:r>
      <w:r w:rsidRPr="00814C2A">
        <w:rPr>
          <w:bCs/>
          <w:i/>
          <w:iCs/>
        </w:rPr>
        <w:t xml:space="preserve">App/. Chem., </w:t>
      </w:r>
      <w:r w:rsidRPr="00814C2A">
        <w:rPr>
          <w:bCs/>
          <w:iCs/>
        </w:rPr>
        <w:t>56(2) (1984) pp</w:t>
      </w:r>
      <w:r w:rsidR="00C25892">
        <w:rPr>
          <w:bCs/>
          <w:iCs/>
        </w:rPr>
        <w:t>.</w:t>
      </w:r>
      <w:r w:rsidRPr="00814C2A">
        <w:rPr>
          <w:bCs/>
          <w:iCs/>
        </w:rPr>
        <w:t>247-292.</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0E20E3">
        <w:t xml:space="preserve">A.E. Martell and R.M. Smith, "Critical stability constants Volumes 1 to </w:t>
      </w:r>
      <w:r>
        <w:t>6</w:t>
      </w:r>
      <w:r w:rsidRPr="000E20E3">
        <w:t>", Plenum Press, NY and London, (1974-1982):  Volume 1: Amino acids (1974), Volume 2: Amines (1975), Volume 3: Other Ligands (1977), Volume 4: Inorganic Complexes (1976)</w:t>
      </w:r>
      <w:r>
        <w:t xml:space="preserve">, Volume 5: First Supplement, (1982) and Volume 6: Second Supplement </w:t>
      </w:r>
      <w:r>
        <w:lastRenderedPageBreak/>
        <w:t>(1989).</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814C2A">
        <w:rPr>
          <w:bCs/>
        </w:rPr>
        <w:t>A.E. Martell and R. M. Smith, “Critical Stability Constants”, Volume 1: Amino acids</w:t>
      </w:r>
      <w:r w:rsidR="00C446B3">
        <w:rPr>
          <w:bCs/>
        </w:rPr>
        <w:t xml:space="preserve">, </w:t>
      </w:r>
      <w:r w:rsidRPr="00814C2A">
        <w:rPr>
          <w:bCs/>
        </w:rPr>
        <w:t xml:space="preserve"> Plenum Press, NY and London, (1974) p 69.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E65173">
        <w:t xml:space="preserve">P.S. Hallman, D.D. Perrin and A.E. Watt, “The computed distribution of Copper(II) and Zinc(II) ions among seventeen amino acids present in human blood plasma”, </w:t>
      </w:r>
      <w:r w:rsidRPr="00814C2A">
        <w:rPr>
          <w:i/>
          <w:iCs/>
        </w:rPr>
        <w:t>Biochem. J</w:t>
      </w:r>
      <w:r w:rsidRPr="00E65173">
        <w:t>., 121(</w:t>
      </w:r>
      <w:r w:rsidRPr="00814C2A">
        <w:rPr>
          <w:bCs/>
        </w:rPr>
        <w:t>1971)</w:t>
      </w:r>
      <w:r w:rsidRPr="00E65173">
        <w:t xml:space="preserve"> pp</w:t>
      </w:r>
      <w:r w:rsidR="00C25892">
        <w:t>.</w:t>
      </w:r>
      <w:r w:rsidRPr="00E65173">
        <w:t>549-555.</w:t>
      </w:r>
      <w:r>
        <w:t xml:space="preserve">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E65173">
        <w:t xml:space="preserve">B. Morzyk and N. Zelichowicz, “The stability constants of complexes of L-Proline with nickel (II), cobalt (II), and copper (II) determined by the potentiometric method”, </w:t>
      </w:r>
      <w:r w:rsidRPr="00814C2A">
        <w:rPr>
          <w:rFonts w:eastAsia="Helvetica-Oblique"/>
          <w:i/>
          <w:iCs/>
        </w:rPr>
        <w:t xml:space="preserve">Chem. Papers, </w:t>
      </w:r>
      <w:r w:rsidRPr="00814C2A">
        <w:rPr>
          <w:rFonts w:eastAsia="Helvetica-Oblique"/>
          <w:iCs/>
        </w:rPr>
        <w:t xml:space="preserve">46 </w:t>
      </w:r>
      <w:r w:rsidR="00C25892">
        <w:rPr>
          <w:rFonts w:eastAsia="Helvetica-Oblique"/>
        </w:rPr>
        <w:t>(2) (1992) pp.</w:t>
      </w:r>
      <w:r w:rsidRPr="00814C2A">
        <w:rPr>
          <w:rFonts w:eastAsia="Helvetica-Oblique"/>
        </w:rPr>
        <w:t xml:space="preserve">84-87.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814C2A">
        <w:rPr>
          <w:bCs/>
        </w:rPr>
        <w:t>H. N. Aliyu and J. Na’aliya, “Determination of stability constants of manganese (II) amino acid complexes</w:t>
      </w:r>
      <w:r w:rsidRPr="00814C2A">
        <w:rPr>
          <w:bCs/>
          <w:i/>
        </w:rPr>
        <w:t>”</w:t>
      </w:r>
      <w:r w:rsidRPr="00814C2A">
        <w:rPr>
          <w:bCs/>
        </w:rPr>
        <w:t>,</w:t>
      </w:r>
      <w:r w:rsidRPr="00814C2A">
        <w:rPr>
          <w:bCs/>
          <w:i/>
        </w:rPr>
        <w:t xml:space="preserve"> Bayero Journal of Pure and Applied Sciences, </w:t>
      </w:r>
      <w:r w:rsidRPr="00814C2A">
        <w:rPr>
          <w:bCs/>
        </w:rPr>
        <w:t>2(2) (</w:t>
      </w:r>
      <w:r w:rsidRPr="00C25892">
        <w:rPr>
          <w:bCs/>
        </w:rPr>
        <w:t>2009</w:t>
      </w:r>
      <w:r w:rsidRPr="00814C2A">
        <w:rPr>
          <w:bCs/>
        </w:rPr>
        <w:t>) pp</w:t>
      </w:r>
      <w:r w:rsidR="001F1496">
        <w:rPr>
          <w:bCs/>
        </w:rPr>
        <w:t>.</w:t>
      </w:r>
      <w:r w:rsidRPr="00814C2A">
        <w:rPr>
          <w:bCs/>
        </w:rPr>
        <w:t xml:space="preserve">191-193.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E65173">
        <w:t>S. Hirano and T. Koyanagi, “Study on the chemical forms of radionuclides in seawater-III, complexes of Cobalt with amino acids</w:t>
      </w:r>
      <w:r w:rsidRPr="00814C2A">
        <w:rPr>
          <w:i/>
        </w:rPr>
        <w:t>”,</w:t>
      </w:r>
      <w:r w:rsidRPr="00814C2A">
        <w:rPr>
          <w:i/>
          <w:iCs/>
        </w:rPr>
        <w:t xml:space="preserve"> J. Oceanogr. Soc. Jpn</w:t>
      </w:r>
      <w:r w:rsidRPr="00E65173">
        <w:t>., 37(</w:t>
      </w:r>
      <w:r w:rsidRPr="00814C2A">
        <w:rPr>
          <w:bCs/>
        </w:rPr>
        <w:t xml:space="preserve">1981) </w:t>
      </w:r>
      <w:r w:rsidRPr="00E65173">
        <w:t>pp</w:t>
      </w:r>
      <w:r w:rsidR="00C25892">
        <w:t>.</w:t>
      </w:r>
      <w:r w:rsidRPr="00E65173">
        <w:t xml:space="preserve">145-147.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E65173">
        <w:t xml:space="preserve">A. Albert, “Quantitative studies of the avidity of naturally occurring substances for trace metal. 1. Amino acids having only two ionizing groups”, </w:t>
      </w:r>
      <w:r w:rsidRPr="00814C2A">
        <w:rPr>
          <w:i/>
          <w:iCs/>
        </w:rPr>
        <w:t>Biochem. J</w:t>
      </w:r>
      <w:r w:rsidRPr="00E65173">
        <w:t>., 47(</w:t>
      </w:r>
      <w:r w:rsidRPr="00814C2A">
        <w:rPr>
          <w:bCs/>
        </w:rPr>
        <w:t xml:space="preserve">1950) </w:t>
      </w:r>
      <w:r w:rsidRPr="00E65173">
        <w:t>pp</w:t>
      </w:r>
      <w:r w:rsidR="00C25892">
        <w:t>.</w:t>
      </w:r>
      <w:r w:rsidRPr="00E65173">
        <w:t>531-538.</w:t>
      </w:r>
      <w:r>
        <w:t xml:space="preserve">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E65173">
        <w:t>I.P. Greenstein and M. Winitz, “Chemistry of the Amino Acids”, Vol. 3, pages 2019 and 2178, Vol. 1, p. 486. Wiley Interscience, New York-London, (1961).</w:t>
      </w:r>
      <w:r>
        <w:t xml:space="preserve">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E65173">
        <w:t>E.S. Hamborg, J.P.M. Niederer and G. Versteeg, “Dissociation constants and thermodynamic properties of amino acids used in CO</w:t>
      </w:r>
      <w:r w:rsidRPr="00814C2A">
        <w:rPr>
          <w:vertAlign w:val="subscript"/>
        </w:rPr>
        <w:t>2</w:t>
      </w:r>
      <w:r w:rsidRPr="00E65173">
        <w:t xml:space="preserve"> absorption from 293 to 353K”, </w:t>
      </w:r>
      <w:r w:rsidRPr="00814C2A">
        <w:rPr>
          <w:i/>
        </w:rPr>
        <w:t>J. Chem. Eng. Data,</w:t>
      </w:r>
      <w:r w:rsidRPr="00E65173">
        <w:t xml:space="preserve"> 52(2007) pp</w:t>
      </w:r>
      <w:r w:rsidR="00C25892">
        <w:t>.</w:t>
      </w:r>
      <w:r w:rsidRPr="00E65173">
        <w:t>2491-2502.</w:t>
      </w:r>
      <w:r>
        <w:t xml:space="preserve">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814C2A">
        <w:rPr>
          <w:bCs/>
        </w:rPr>
        <w:t>A.E. Martell and R. M. Smith, “Critical Stability Constants”, Volume 1: Amino acids</w:t>
      </w:r>
      <w:r w:rsidR="00C446B3">
        <w:rPr>
          <w:bCs/>
        </w:rPr>
        <w:t>,</w:t>
      </w:r>
      <w:r w:rsidRPr="00814C2A">
        <w:rPr>
          <w:bCs/>
        </w:rPr>
        <w:t xml:space="preserve"> Plenum Press, NY and London, (1974) p 58.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814C2A">
        <w:rPr>
          <w:bCs/>
        </w:rPr>
        <w:t xml:space="preserve">Glenn Brookes </w:t>
      </w:r>
      <w:r w:rsidRPr="00E65173">
        <w:t xml:space="preserve">and </w:t>
      </w:r>
      <w:r w:rsidRPr="00814C2A">
        <w:rPr>
          <w:bCs/>
        </w:rPr>
        <w:t>L. D. Pettit, “Stability Constants for Complex Formation between Cobalt(II), Nickel-(II), and Copper(II) and 2,3-Diaminopropionic Acid, 2,4-Diaminobutyric Acid, Ornithine, Lysine, and Arginine”,</w:t>
      </w:r>
      <w:r w:rsidRPr="00814C2A">
        <w:rPr>
          <w:bCs/>
          <w:i/>
          <w:iCs/>
        </w:rPr>
        <w:t xml:space="preserve"> J. C. S., Dalton</w:t>
      </w:r>
      <w:r w:rsidR="001F1496">
        <w:rPr>
          <w:bCs/>
          <w:i/>
          <w:iCs/>
        </w:rPr>
        <w:t xml:space="preserve">, </w:t>
      </w:r>
      <w:r w:rsidRPr="00814C2A">
        <w:rPr>
          <w:bCs/>
          <w:iCs/>
        </w:rPr>
        <w:t>(</w:t>
      </w:r>
      <w:r w:rsidR="00C25892">
        <w:t>1976) pp.</w:t>
      </w:r>
      <w:r w:rsidRPr="00E65173">
        <w:t xml:space="preserve">42-46.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814C2A">
        <w:rPr>
          <w:bCs/>
        </w:rPr>
        <w:t xml:space="preserve">A. </w:t>
      </w:r>
      <w:r w:rsidRPr="00E65173">
        <w:t xml:space="preserve">Lekchiri, M. Morcellet </w:t>
      </w:r>
      <w:r w:rsidRPr="00814C2A">
        <w:rPr>
          <w:bCs/>
        </w:rPr>
        <w:t>and</w:t>
      </w:r>
      <w:r w:rsidRPr="00E65173">
        <w:t xml:space="preserve"> </w:t>
      </w:r>
      <w:r w:rsidRPr="00814C2A">
        <w:rPr>
          <w:bCs/>
        </w:rPr>
        <w:t>M. Wozniak, “</w:t>
      </w:r>
      <w:r w:rsidRPr="00E65173">
        <w:t xml:space="preserve"> </w:t>
      </w:r>
      <w:r w:rsidRPr="00814C2A">
        <w:rPr>
          <w:bCs/>
        </w:rPr>
        <w:t>Stability constants of N-isobutyroyl-L- lysine</w:t>
      </w:r>
      <w:r w:rsidRPr="00E65173">
        <w:t xml:space="preserve"> </w:t>
      </w:r>
      <w:r w:rsidRPr="00814C2A">
        <w:rPr>
          <w:bCs/>
        </w:rPr>
        <w:t>and poly(n-methacryloyl-L-lysine) complexes</w:t>
      </w:r>
      <w:r w:rsidRPr="00814C2A">
        <w:rPr>
          <w:bCs/>
          <w:i/>
        </w:rPr>
        <w:t xml:space="preserve">”, Polyhedron, </w:t>
      </w:r>
      <w:r w:rsidRPr="00814C2A">
        <w:rPr>
          <w:bCs/>
        </w:rPr>
        <w:t xml:space="preserve"> 6(3) (1987) pp. 633-639, </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E65173">
        <w:rPr>
          <w:rStyle w:val="text"/>
        </w:rPr>
        <w:t>A. Gergely, E. Farkas, I. Nagypál</w:t>
      </w:r>
      <w:r w:rsidRPr="00E65173">
        <w:t xml:space="preserve"> and </w:t>
      </w:r>
      <w:r w:rsidRPr="00E65173">
        <w:rPr>
          <w:rStyle w:val="text"/>
        </w:rPr>
        <w:t>E. Kas, “</w:t>
      </w:r>
      <w:r w:rsidRPr="00E65173">
        <w:t xml:space="preserve">Thermodynamic and NMR studies </w:t>
      </w:r>
      <w:r w:rsidRPr="00814C2A">
        <w:rPr>
          <w:bCs/>
        </w:rPr>
        <w:t>of some Copper (II)-diaminomonocarboxylate equilibrium systems in aqueous solution”,</w:t>
      </w:r>
      <w:r w:rsidRPr="00814C2A">
        <w:rPr>
          <w:bCs/>
          <w:i/>
        </w:rPr>
        <w:t xml:space="preserve"> </w:t>
      </w:r>
      <w:r w:rsidRPr="00814C2A">
        <w:rPr>
          <w:bCs/>
          <w:i/>
        </w:rPr>
        <w:lastRenderedPageBreak/>
        <w:t>J</w:t>
      </w:r>
      <w:r w:rsidRPr="00814C2A">
        <w:rPr>
          <w:bCs/>
        </w:rPr>
        <w:t>.</w:t>
      </w:r>
      <w:r w:rsidRPr="00814C2A">
        <w:rPr>
          <w:i/>
          <w:iCs/>
        </w:rPr>
        <w:t xml:space="preserve"> Inorg, Nucl. Chem., </w:t>
      </w:r>
      <w:r w:rsidRPr="00814C2A">
        <w:rPr>
          <w:iCs/>
        </w:rPr>
        <w:t>40(8) (1978)</w:t>
      </w:r>
      <w:r w:rsidRPr="00E65173">
        <w:t xml:space="preserve"> pp</w:t>
      </w:r>
      <w:r w:rsidR="00C25892">
        <w:t>.</w:t>
      </w:r>
      <w:r w:rsidRPr="00E65173">
        <w:t xml:space="preserve">1709-1713. </w:t>
      </w:r>
    </w:p>
    <w:p w:rsidR="00394814" w:rsidRDefault="001F1496"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Pr>
          <w:iCs/>
        </w:rPr>
        <w:t>S.A. Lahsasni, R.</w:t>
      </w:r>
      <w:r w:rsidR="00394814" w:rsidRPr="00814C2A">
        <w:rPr>
          <w:iCs/>
        </w:rPr>
        <w:t xml:space="preserve"> A. Ammar, M</w:t>
      </w:r>
      <w:r>
        <w:rPr>
          <w:iCs/>
        </w:rPr>
        <w:t>.</w:t>
      </w:r>
      <w:r w:rsidR="00394814" w:rsidRPr="00814C2A">
        <w:rPr>
          <w:iCs/>
        </w:rPr>
        <w:t>F. Amin and  E</w:t>
      </w:r>
      <w:r>
        <w:rPr>
          <w:iCs/>
        </w:rPr>
        <w:t>.</w:t>
      </w:r>
      <w:r w:rsidR="00394814" w:rsidRPr="00814C2A">
        <w:rPr>
          <w:iCs/>
        </w:rPr>
        <w:t xml:space="preserve"> M. Shoukry, “</w:t>
      </w:r>
      <w:r>
        <w:rPr>
          <w:bCs/>
        </w:rPr>
        <w:t>Mixed- ligand complex f</w:t>
      </w:r>
      <w:r w:rsidR="00394814" w:rsidRPr="00814C2A">
        <w:rPr>
          <w:bCs/>
        </w:rPr>
        <w:t xml:space="preserve">ormation of Cu(II) with </w:t>
      </w:r>
      <w:r>
        <w:rPr>
          <w:bCs/>
        </w:rPr>
        <w:t>1,2-Diphenylethylenediamine as p</w:t>
      </w:r>
      <w:r w:rsidR="00394814" w:rsidRPr="00814C2A">
        <w:rPr>
          <w:bCs/>
        </w:rPr>
        <w:t xml:space="preserve">rimary </w:t>
      </w:r>
      <w:r>
        <w:rPr>
          <w:bCs/>
        </w:rPr>
        <w:t>ligand and amino a</w:t>
      </w:r>
      <w:r w:rsidR="00394814" w:rsidRPr="00814C2A">
        <w:rPr>
          <w:bCs/>
        </w:rPr>
        <w:t xml:space="preserve">cids as </w:t>
      </w:r>
      <w:r>
        <w:rPr>
          <w:bCs/>
        </w:rPr>
        <w:t>s</w:t>
      </w:r>
      <w:r w:rsidR="00394814" w:rsidRPr="00814C2A">
        <w:rPr>
          <w:bCs/>
        </w:rPr>
        <w:t xml:space="preserve">econdary </w:t>
      </w:r>
      <w:r>
        <w:rPr>
          <w:bCs/>
        </w:rPr>
        <w:t>l</w:t>
      </w:r>
      <w:r w:rsidR="00394814" w:rsidRPr="00814C2A">
        <w:rPr>
          <w:bCs/>
        </w:rPr>
        <w:t>igands</w:t>
      </w:r>
      <w:r w:rsidR="00394814" w:rsidRPr="00814C2A">
        <w:rPr>
          <w:iCs/>
        </w:rPr>
        <w:t xml:space="preserve">”,  </w:t>
      </w:r>
      <w:r w:rsidR="00394814" w:rsidRPr="00814C2A">
        <w:rPr>
          <w:i/>
          <w:iCs/>
        </w:rPr>
        <w:t xml:space="preserve">Int. J. Electrochem. Sci., </w:t>
      </w:r>
      <w:r w:rsidR="00394814" w:rsidRPr="00E65173">
        <w:t xml:space="preserve">7 </w:t>
      </w:r>
      <w:r w:rsidR="00394814" w:rsidRPr="00814C2A">
        <w:rPr>
          <w:bCs/>
        </w:rPr>
        <w:t>(2012) pp.</w:t>
      </w:r>
      <w:r w:rsidR="00394814" w:rsidRPr="00E65173">
        <w:t>7699-7711.</w:t>
      </w:r>
    </w:p>
    <w:p w:rsidR="00394814"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E65173">
        <w:t>C.L.A.</w:t>
      </w:r>
      <w:r w:rsidR="001F1496">
        <w:t xml:space="preserve"> </w:t>
      </w:r>
      <w:r w:rsidRPr="00E65173">
        <w:t xml:space="preserve">Schmidt, P.L Kirk and  W.K. Appleman,  </w:t>
      </w:r>
      <w:r w:rsidRPr="00814C2A">
        <w:rPr>
          <w:i/>
        </w:rPr>
        <w:t>J. Biol. Chem.,</w:t>
      </w:r>
      <w:r w:rsidRPr="00E65173">
        <w:t xml:space="preserve"> 88(1930) p 285.</w:t>
      </w:r>
    </w:p>
    <w:p w:rsidR="00394814" w:rsidRPr="00F63C91" w:rsidRDefault="00394814"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E65173">
        <w:t xml:space="preserve">C. Conato, A. Contino, G. Maccarrone, A. Magri, M.Remelli and G. Tabbi, “Copper(II) complexes with L-lysine and L-ornithine: </w:t>
      </w:r>
      <w:r w:rsidR="001F1496">
        <w:t>I</w:t>
      </w:r>
      <w:r w:rsidRPr="00E65173">
        <w:t xml:space="preserve">s the side-chain involved in the coordination? A thermodynamic and spectroscopic study”, </w:t>
      </w:r>
      <w:r w:rsidRPr="00814C2A">
        <w:rPr>
          <w:i/>
        </w:rPr>
        <w:t>Thermochim. Acta</w:t>
      </w:r>
      <w:r w:rsidRPr="00E65173">
        <w:t>, 362 (2000) p</w:t>
      </w:r>
      <w:r w:rsidR="00C25892">
        <w:t>p.</w:t>
      </w:r>
      <w:r w:rsidRPr="00E65173">
        <w:t>13-23.</w:t>
      </w:r>
    </w:p>
    <w:p w:rsidR="00F63C91" w:rsidRPr="008E5093" w:rsidRDefault="00F63C91" w:rsidP="00394814">
      <w:pPr>
        <w:pStyle w:val="ListParagraph"/>
        <w:widowControl w:val="0"/>
        <w:numPr>
          <w:ilvl w:val="0"/>
          <w:numId w:val="2"/>
        </w:numPr>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r w:rsidRPr="008E5093">
        <w:rPr>
          <w:bCs/>
        </w:rPr>
        <w:t>R.M. Smith and A.</w:t>
      </w:r>
      <w:r w:rsidR="00C446B3">
        <w:rPr>
          <w:bCs/>
        </w:rPr>
        <w:t xml:space="preserve">E. Martell, </w:t>
      </w:r>
      <w:r w:rsidRPr="008E5093">
        <w:rPr>
          <w:bCs/>
        </w:rPr>
        <w:t xml:space="preserve">“Critical Stability Constants”, Vol.6 (second supplement), Springer Science Business Media, LLC, </w:t>
      </w:r>
      <w:r w:rsidRPr="008E5093">
        <w:t>Plenum Press, N.Y. (1989) p 9.</w:t>
      </w:r>
    </w:p>
    <w:p w:rsidR="00F63C91" w:rsidRPr="007640B2" w:rsidRDefault="00F63C91" w:rsidP="00C446B3">
      <w:pPr>
        <w:pStyle w:val="ListParagraph"/>
        <w:numPr>
          <w:ilvl w:val="0"/>
          <w:numId w:val="2"/>
        </w:numPr>
        <w:autoSpaceDE w:val="0"/>
        <w:autoSpaceDN w:val="0"/>
        <w:adjustRightInd w:val="0"/>
        <w:spacing w:after="0" w:line="360" w:lineRule="auto"/>
        <w:jc w:val="both"/>
        <w:rPr>
          <w:bCs/>
        </w:rPr>
      </w:pPr>
      <w:r w:rsidRPr="00270C6A">
        <w:t>J. H. Ritsma, G</w:t>
      </w:r>
      <w:r w:rsidR="00C446B3">
        <w:t>. A. Wiegers and F. Jellinek, “S</w:t>
      </w:r>
      <w:r w:rsidRPr="00270C6A">
        <w:t xml:space="preserve">tability constants of nickel (II), cobalt (II) and copper (II) complexes of some optically active and racemic amino-acids”, </w:t>
      </w:r>
      <w:r w:rsidR="00C446B3" w:rsidRPr="00C446B3">
        <w:rPr>
          <w:i/>
          <w:color w:val="1C1D1E"/>
          <w:shd w:val="clear" w:color="auto" w:fill="FFFFFF"/>
        </w:rPr>
        <w:t>Recl. Trav. Chim. Pays‐Bas</w:t>
      </w:r>
      <w:r w:rsidR="00C446B3">
        <w:rPr>
          <w:rFonts w:ascii="Arial" w:hAnsi="Arial" w:cs="Arial"/>
          <w:color w:val="1C1D1E"/>
          <w:sz w:val="21"/>
          <w:szCs w:val="21"/>
          <w:shd w:val="clear" w:color="auto" w:fill="FFFFFF"/>
        </w:rPr>
        <w:t xml:space="preserve">, </w:t>
      </w:r>
      <w:r w:rsidR="00C446B3">
        <w:t xml:space="preserve">84 (1965) pp 1577-1584, </w:t>
      </w:r>
      <w:r w:rsidR="00C446B3" w:rsidRPr="00C446B3">
        <w:t>doi:10.1002/recl.19650841207</w:t>
      </w:r>
      <w:r w:rsidR="00C446B3">
        <w:t>.</w:t>
      </w:r>
    </w:p>
    <w:p w:rsidR="00F63C91" w:rsidRDefault="00F63C91" w:rsidP="00C118FA">
      <w:pPr>
        <w:pStyle w:val="ListParagraph"/>
        <w:numPr>
          <w:ilvl w:val="0"/>
          <w:numId w:val="2"/>
        </w:numPr>
        <w:autoSpaceDE w:val="0"/>
        <w:autoSpaceDN w:val="0"/>
        <w:adjustRightInd w:val="0"/>
        <w:spacing w:after="0" w:line="360" w:lineRule="auto"/>
        <w:jc w:val="both"/>
      </w:pPr>
      <w:r w:rsidRPr="00270C6A">
        <w:t xml:space="preserve">N. T¨urkel, “Equilibrium study of the mixed complexes of </w:t>
      </w:r>
      <w:r w:rsidR="00C446B3">
        <w:t>c</w:t>
      </w:r>
      <w:r w:rsidRPr="00270C6A">
        <w:t>opper</w:t>
      </w:r>
      <w:r>
        <w:t>(II) with adenine and</w:t>
      </w:r>
      <w:r w:rsidRPr="00270C6A">
        <w:t xml:space="preserve"> amino acids in aqueous solution”</w:t>
      </w:r>
      <w:r>
        <w:t xml:space="preserve">,  </w:t>
      </w:r>
      <w:r w:rsidRPr="00270C6A">
        <w:rPr>
          <w:i/>
          <w:iCs/>
        </w:rPr>
        <w:t>J Solution</w:t>
      </w:r>
      <w:r w:rsidR="00C118FA">
        <w:rPr>
          <w:i/>
          <w:iCs/>
        </w:rPr>
        <w:t xml:space="preserve"> </w:t>
      </w:r>
      <w:r w:rsidRPr="00270C6A">
        <w:rPr>
          <w:i/>
          <w:iCs/>
        </w:rPr>
        <w:t>Chem</w:t>
      </w:r>
      <w:r w:rsidR="008E5093">
        <w:rPr>
          <w:i/>
          <w:iCs/>
        </w:rPr>
        <w:t>.,</w:t>
      </w:r>
      <w:r w:rsidR="008E5093">
        <w:t xml:space="preserve"> </w:t>
      </w:r>
      <w:r w:rsidR="00C118FA">
        <w:t>44(6) (2015)</w:t>
      </w:r>
      <w:r w:rsidRPr="00270C6A">
        <w:t xml:space="preserve"> pp. 1267–1280</w:t>
      </w:r>
      <w:r w:rsidR="00C118FA">
        <w:t>.</w:t>
      </w:r>
    </w:p>
    <w:p w:rsidR="00F63C91" w:rsidRDefault="00F63C91" w:rsidP="00C118FA">
      <w:pPr>
        <w:pStyle w:val="ListParagraph"/>
        <w:numPr>
          <w:ilvl w:val="0"/>
          <w:numId w:val="2"/>
        </w:numPr>
        <w:autoSpaceDE w:val="0"/>
        <w:autoSpaceDN w:val="0"/>
        <w:adjustRightInd w:val="0"/>
        <w:spacing w:after="0" w:line="360" w:lineRule="auto"/>
        <w:jc w:val="both"/>
      </w:pPr>
      <w:r w:rsidRPr="00270C6A">
        <w:t>W. Sang-Aroon and V. Ruangpornvisuti, “Determination of aqueous acid-dissociation constants of asp</w:t>
      </w:r>
      <w:r w:rsidR="00C118FA">
        <w:t>artic acid using PCM/DFT method</w:t>
      </w:r>
      <w:r w:rsidRPr="00270C6A">
        <w:t>”</w:t>
      </w:r>
      <w:r w:rsidR="00C118FA">
        <w:t>,</w:t>
      </w:r>
      <w:r w:rsidRPr="00270C6A">
        <w:t xml:space="preserve"> </w:t>
      </w:r>
      <w:r w:rsidRPr="00270C6A">
        <w:rPr>
          <w:i/>
          <w:iCs/>
        </w:rPr>
        <w:t>Int J</w:t>
      </w:r>
      <w:r w:rsidR="0027705B">
        <w:rPr>
          <w:i/>
          <w:iCs/>
        </w:rPr>
        <w:t xml:space="preserve"> </w:t>
      </w:r>
      <w:r w:rsidRPr="00270C6A">
        <w:rPr>
          <w:i/>
          <w:iCs/>
        </w:rPr>
        <w:t>Quantum Chem</w:t>
      </w:r>
      <w:r w:rsidR="0027705B">
        <w:rPr>
          <w:i/>
          <w:iCs/>
        </w:rPr>
        <w:t>.</w:t>
      </w:r>
      <w:r w:rsidRPr="00270C6A">
        <w:t>, 108</w:t>
      </w:r>
      <w:r w:rsidR="00C118FA">
        <w:t>(</w:t>
      </w:r>
      <w:r w:rsidRPr="00270C6A">
        <w:t>6</w:t>
      </w:r>
      <w:r w:rsidR="00C118FA">
        <w:t>) (2008)</w:t>
      </w:r>
      <w:r w:rsidRPr="00270C6A">
        <w:t xml:space="preserve"> pp. 1181–1188</w:t>
      </w:r>
      <w:r w:rsidR="00C118FA">
        <w:t>.</w:t>
      </w:r>
    </w:p>
    <w:p w:rsidR="00F63C91" w:rsidRDefault="00E317F0" w:rsidP="00C118FA">
      <w:pPr>
        <w:pStyle w:val="ListParagraph"/>
        <w:numPr>
          <w:ilvl w:val="0"/>
          <w:numId w:val="2"/>
        </w:numPr>
        <w:autoSpaceDE w:val="0"/>
        <w:autoSpaceDN w:val="0"/>
        <w:adjustRightInd w:val="0"/>
        <w:spacing w:after="0" w:line="360" w:lineRule="auto"/>
        <w:jc w:val="both"/>
      </w:pPr>
      <w:r>
        <w:t xml:space="preserve">J. L. deMiranda and </w:t>
      </w:r>
      <w:r w:rsidR="00F63C91" w:rsidRPr="00270C6A">
        <w:t xml:space="preserve">J. Felcman, “Study on guanidino-carboxylate interactions in copper(II) ternary complexes of guanidinoacetic acid with glutamic and aspartic acids,” </w:t>
      </w:r>
      <w:r w:rsidR="00F63C91" w:rsidRPr="00270C6A">
        <w:rPr>
          <w:i/>
          <w:iCs/>
        </w:rPr>
        <w:t>Polyhedron</w:t>
      </w:r>
      <w:r w:rsidR="00C118FA">
        <w:t>, 22(</w:t>
      </w:r>
      <w:r w:rsidR="00F63C91" w:rsidRPr="00270C6A">
        <w:t>2</w:t>
      </w:r>
      <w:r w:rsidR="00C118FA">
        <w:t>) (2003)</w:t>
      </w:r>
      <w:r w:rsidR="00F63C91" w:rsidRPr="00270C6A">
        <w:t xml:space="preserve"> pp. 225–233</w:t>
      </w:r>
      <w:r w:rsidR="00C118FA">
        <w:t>.</w:t>
      </w:r>
      <w:r w:rsidR="008E5093">
        <w:t xml:space="preserve"> </w:t>
      </w:r>
    </w:p>
    <w:p w:rsidR="00C118FA" w:rsidRDefault="00C118FA" w:rsidP="00C118FA">
      <w:pPr>
        <w:pStyle w:val="ListParagraph"/>
        <w:autoSpaceDE w:val="0"/>
        <w:autoSpaceDN w:val="0"/>
        <w:adjustRightInd w:val="0"/>
        <w:spacing w:after="0" w:line="360" w:lineRule="auto"/>
      </w:pPr>
    </w:p>
    <w:p w:rsidR="00F63C91" w:rsidRPr="00814C2A" w:rsidRDefault="00F63C91" w:rsidP="00C118FA">
      <w:pPr>
        <w:pStyle w:val="ListParagraph"/>
        <w:widowControl w:val="0"/>
        <w:tabs>
          <w:tab w:val="left" w:pos="383"/>
          <w:tab w:val="left" w:pos="2122"/>
          <w:tab w:val="left" w:pos="3491"/>
          <w:tab w:val="left" w:pos="4872"/>
          <w:tab w:val="left" w:pos="5256"/>
          <w:tab w:val="left" w:pos="7200"/>
        </w:tabs>
        <w:autoSpaceDE w:val="0"/>
        <w:autoSpaceDN w:val="0"/>
        <w:adjustRightInd w:val="0"/>
        <w:spacing w:after="0" w:line="360" w:lineRule="auto"/>
        <w:jc w:val="both"/>
        <w:rPr>
          <w:b/>
          <w:bCs/>
        </w:rPr>
      </w:pPr>
    </w:p>
    <w:sectPr w:rsidR="00F63C91" w:rsidRPr="00814C2A" w:rsidSect="008C20E2">
      <w:headerReference w:type="default" r:id="rId56"/>
      <w:pgSz w:w="11907" w:h="16839"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FD3" w:rsidRDefault="00A02FD3" w:rsidP="00210C62">
      <w:pPr>
        <w:spacing w:after="0" w:line="240" w:lineRule="auto"/>
      </w:pPr>
      <w:r>
        <w:separator/>
      </w:r>
    </w:p>
  </w:endnote>
  <w:endnote w:type="continuationSeparator" w:id="1">
    <w:p w:rsidR="00A02FD3" w:rsidRDefault="00A02FD3" w:rsidP="00210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Oblique">
    <w:altName w:val="MS Gothic"/>
    <w:panose1 w:val="00000000000000000000"/>
    <w:charset w:val="80"/>
    <w:family w:val="swiss"/>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FD3" w:rsidRDefault="00A02FD3" w:rsidP="00210C62">
      <w:pPr>
        <w:spacing w:after="0" w:line="240" w:lineRule="auto"/>
      </w:pPr>
      <w:r>
        <w:separator/>
      </w:r>
    </w:p>
  </w:footnote>
  <w:footnote w:type="continuationSeparator" w:id="1">
    <w:p w:rsidR="00A02FD3" w:rsidRDefault="00A02FD3" w:rsidP="00210C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355" w:rsidRDefault="008C13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F451F"/>
    <w:multiLevelType w:val="hybridMultilevel"/>
    <w:tmpl w:val="0C6C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82A3F"/>
    <w:multiLevelType w:val="hybridMultilevel"/>
    <w:tmpl w:val="8B000A3E"/>
    <w:lvl w:ilvl="0" w:tplc="3314DA0C">
      <w:start w:val="33"/>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85B14"/>
    <w:multiLevelType w:val="hybridMultilevel"/>
    <w:tmpl w:val="02FA7EB2"/>
    <w:lvl w:ilvl="0" w:tplc="E054BC6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610AA"/>
    <w:multiLevelType w:val="hybridMultilevel"/>
    <w:tmpl w:val="F02C4846"/>
    <w:lvl w:ilvl="0" w:tplc="F4C4A6A2">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D698F"/>
    <w:multiLevelType w:val="hybridMultilevel"/>
    <w:tmpl w:val="23409BE2"/>
    <w:lvl w:ilvl="0" w:tplc="C13C90E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B0118BD"/>
    <w:multiLevelType w:val="hybridMultilevel"/>
    <w:tmpl w:val="DA5E0248"/>
    <w:lvl w:ilvl="0" w:tplc="EC46F9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18773D"/>
    <w:multiLevelType w:val="hybridMultilevel"/>
    <w:tmpl w:val="00029BBE"/>
    <w:lvl w:ilvl="0" w:tplc="DDA45658">
      <w:start w:val="2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D35C1"/>
    <w:multiLevelType w:val="hybridMultilevel"/>
    <w:tmpl w:val="52D8C112"/>
    <w:lvl w:ilvl="0" w:tplc="AD54124C">
      <w:start w:val="1"/>
      <w:numFmt w:val="decimal"/>
      <w:lvlText w:val="%1."/>
      <w:lvlJc w:val="left"/>
      <w:pPr>
        <w:ind w:left="786" w:hanging="360"/>
      </w:pPr>
      <w:rPr>
        <w:rFonts w:hint="default"/>
        <w:b w:val="0"/>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3"/>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19458"/>
  </w:hdrShapeDefaults>
  <w:footnotePr>
    <w:footnote w:id="0"/>
    <w:footnote w:id="1"/>
  </w:footnotePr>
  <w:endnotePr>
    <w:endnote w:id="0"/>
    <w:endnote w:id="1"/>
  </w:endnotePr>
  <w:compat/>
  <w:rsids>
    <w:rsidRoot w:val="00212CD8"/>
    <w:rsid w:val="00000924"/>
    <w:rsid w:val="00000948"/>
    <w:rsid w:val="0000320A"/>
    <w:rsid w:val="000064D7"/>
    <w:rsid w:val="0001569A"/>
    <w:rsid w:val="00021306"/>
    <w:rsid w:val="00027B15"/>
    <w:rsid w:val="00030C76"/>
    <w:rsid w:val="00030CF7"/>
    <w:rsid w:val="00032076"/>
    <w:rsid w:val="00034094"/>
    <w:rsid w:val="00047286"/>
    <w:rsid w:val="000606D9"/>
    <w:rsid w:val="000731CE"/>
    <w:rsid w:val="000777B7"/>
    <w:rsid w:val="00082C9B"/>
    <w:rsid w:val="000B1EA5"/>
    <w:rsid w:val="000B5015"/>
    <w:rsid w:val="000C1F5F"/>
    <w:rsid w:val="000D15BD"/>
    <w:rsid w:val="000D215D"/>
    <w:rsid w:val="000E41AB"/>
    <w:rsid w:val="000E4B64"/>
    <w:rsid w:val="000E7BBE"/>
    <w:rsid w:val="000F571B"/>
    <w:rsid w:val="000F582A"/>
    <w:rsid w:val="00100D47"/>
    <w:rsid w:val="00101485"/>
    <w:rsid w:val="00104F53"/>
    <w:rsid w:val="00106332"/>
    <w:rsid w:val="001105B2"/>
    <w:rsid w:val="00110BE9"/>
    <w:rsid w:val="001147A9"/>
    <w:rsid w:val="00134BDB"/>
    <w:rsid w:val="0013606F"/>
    <w:rsid w:val="001403F3"/>
    <w:rsid w:val="001434DA"/>
    <w:rsid w:val="0014744F"/>
    <w:rsid w:val="0015444A"/>
    <w:rsid w:val="001730EB"/>
    <w:rsid w:val="001739CA"/>
    <w:rsid w:val="001778F8"/>
    <w:rsid w:val="0018058F"/>
    <w:rsid w:val="00181188"/>
    <w:rsid w:val="00191994"/>
    <w:rsid w:val="001B4083"/>
    <w:rsid w:val="001B5316"/>
    <w:rsid w:val="001E239D"/>
    <w:rsid w:val="001F1496"/>
    <w:rsid w:val="001F2A1B"/>
    <w:rsid w:val="00201DA6"/>
    <w:rsid w:val="00206026"/>
    <w:rsid w:val="00210C62"/>
    <w:rsid w:val="002129C1"/>
    <w:rsid w:val="00212CD8"/>
    <w:rsid w:val="002161A8"/>
    <w:rsid w:val="00244B64"/>
    <w:rsid w:val="002462C4"/>
    <w:rsid w:val="00250E49"/>
    <w:rsid w:val="0025514E"/>
    <w:rsid w:val="00257E00"/>
    <w:rsid w:val="002641F1"/>
    <w:rsid w:val="0027705B"/>
    <w:rsid w:val="00280B90"/>
    <w:rsid w:val="00286DC0"/>
    <w:rsid w:val="00290B31"/>
    <w:rsid w:val="0029750A"/>
    <w:rsid w:val="002A2045"/>
    <w:rsid w:val="002B43AA"/>
    <w:rsid w:val="002C6B48"/>
    <w:rsid w:val="002D1C0A"/>
    <w:rsid w:val="002D7458"/>
    <w:rsid w:val="002E6ED8"/>
    <w:rsid w:val="003014B1"/>
    <w:rsid w:val="0031339B"/>
    <w:rsid w:val="00323807"/>
    <w:rsid w:val="00324188"/>
    <w:rsid w:val="0032701D"/>
    <w:rsid w:val="00333F7E"/>
    <w:rsid w:val="00335DC9"/>
    <w:rsid w:val="00343BFD"/>
    <w:rsid w:val="0034611C"/>
    <w:rsid w:val="0036258F"/>
    <w:rsid w:val="00370B82"/>
    <w:rsid w:val="00374D18"/>
    <w:rsid w:val="003770FC"/>
    <w:rsid w:val="00382924"/>
    <w:rsid w:val="00390852"/>
    <w:rsid w:val="00394814"/>
    <w:rsid w:val="00396E2C"/>
    <w:rsid w:val="003A36F6"/>
    <w:rsid w:val="003E4CF6"/>
    <w:rsid w:val="003F1020"/>
    <w:rsid w:val="003F6271"/>
    <w:rsid w:val="004057DC"/>
    <w:rsid w:val="00413E44"/>
    <w:rsid w:val="00416598"/>
    <w:rsid w:val="004203EF"/>
    <w:rsid w:val="00434780"/>
    <w:rsid w:val="004973A5"/>
    <w:rsid w:val="004A4CA6"/>
    <w:rsid w:val="004B1241"/>
    <w:rsid w:val="004B55DF"/>
    <w:rsid w:val="004D0C21"/>
    <w:rsid w:val="004D1D06"/>
    <w:rsid w:val="00503D08"/>
    <w:rsid w:val="005077A3"/>
    <w:rsid w:val="00507A33"/>
    <w:rsid w:val="00527479"/>
    <w:rsid w:val="00536CD5"/>
    <w:rsid w:val="00546B0B"/>
    <w:rsid w:val="0055120E"/>
    <w:rsid w:val="00565F2D"/>
    <w:rsid w:val="00573A1D"/>
    <w:rsid w:val="00574230"/>
    <w:rsid w:val="005A0A53"/>
    <w:rsid w:val="005A0F31"/>
    <w:rsid w:val="005A6143"/>
    <w:rsid w:val="005C2A75"/>
    <w:rsid w:val="005C5E5D"/>
    <w:rsid w:val="005C6C29"/>
    <w:rsid w:val="005C734D"/>
    <w:rsid w:val="005F16ED"/>
    <w:rsid w:val="005F27C7"/>
    <w:rsid w:val="005F3990"/>
    <w:rsid w:val="005F3A01"/>
    <w:rsid w:val="005F45FD"/>
    <w:rsid w:val="005F6224"/>
    <w:rsid w:val="006055BE"/>
    <w:rsid w:val="00612077"/>
    <w:rsid w:val="006127CC"/>
    <w:rsid w:val="00613456"/>
    <w:rsid w:val="006148B6"/>
    <w:rsid w:val="00617246"/>
    <w:rsid w:val="00623812"/>
    <w:rsid w:val="00635403"/>
    <w:rsid w:val="00635A4B"/>
    <w:rsid w:val="006405E7"/>
    <w:rsid w:val="00642407"/>
    <w:rsid w:val="00645584"/>
    <w:rsid w:val="00657B7F"/>
    <w:rsid w:val="00662936"/>
    <w:rsid w:val="0067317C"/>
    <w:rsid w:val="0067357D"/>
    <w:rsid w:val="00675616"/>
    <w:rsid w:val="00681D8E"/>
    <w:rsid w:val="00682988"/>
    <w:rsid w:val="00682C55"/>
    <w:rsid w:val="0068702F"/>
    <w:rsid w:val="00687361"/>
    <w:rsid w:val="00691C92"/>
    <w:rsid w:val="00692867"/>
    <w:rsid w:val="006954B0"/>
    <w:rsid w:val="006B15C4"/>
    <w:rsid w:val="006B2190"/>
    <w:rsid w:val="006D49AE"/>
    <w:rsid w:val="006D74D0"/>
    <w:rsid w:val="006F32BE"/>
    <w:rsid w:val="00702214"/>
    <w:rsid w:val="00710AAE"/>
    <w:rsid w:val="00712890"/>
    <w:rsid w:val="00715160"/>
    <w:rsid w:val="0071772D"/>
    <w:rsid w:val="00721FD7"/>
    <w:rsid w:val="007268B5"/>
    <w:rsid w:val="00740045"/>
    <w:rsid w:val="007514C8"/>
    <w:rsid w:val="00754ADD"/>
    <w:rsid w:val="00761154"/>
    <w:rsid w:val="00776F12"/>
    <w:rsid w:val="00780337"/>
    <w:rsid w:val="00781769"/>
    <w:rsid w:val="007848C0"/>
    <w:rsid w:val="00786C93"/>
    <w:rsid w:val="007879A8"/>
    <w:rsid w:val="00790E82"/>
    <w:rsid w:val="007A0E3F"/>
    <w:rsid w:val="007B24DA"/>
    <w:rsid w:val="007B6F05"/>
    <w:rsid w:val="007B78CD"/>
    <w:rsid w:val="007D1742"/>
    <w:rsid w:val="007D53D5"/>
    <w:rsid w:val="007F57CB"/>
    <w:rsid w:val="008008E0"/>
    <w:rsid w:val="00816947"/>
    <w:rsid w:val="00830A9E"/>
    <w:rsid w:val="00842CCF"/>
    <w:rsid w:val="008534F0"/>
    <w:rsid w:val="008565B5"/>
    <w:rsid w:val="00864913"/>
    <w:rsid w:val="0086678F"/>
    <w:rsid w:val="00866AFC"/>
    <w:rsid w:val="00871626"/>
    <w:rsid w:val="008948A8"/>
    <w:rsid w:val="008A7A94"/>
    <w:rsid w:val="008C08CE"/>
    <w:rsid w:val="008C1355"/>
    <w:rsid w:val="008C20E2"/>
    <w:rsid w:val="008C250F"/>
    <w:rsid w:val="008C6150"/>
    <w:rsid w:val="008D5503"/>
    <w:rsid w:val="008E123C"/>
    <w:rsid w:val="008E3794"/>
    <w:rsid w:val="008E430B"/>
    <w:rsid w:val="008E4893"/>
    <w:rsid w:val="008E5093"/>
    <w:rsid w:val="008E6B56"/>
    <w:rsid w:val="008F1215"/>
    <w:rsid w:val="008F44D2"/>
    <w:rsid w:val="009022F3"/>
    <w:rsid w:val="00905B77"/>
    <w:rsid w:val="00931907"/>
    <w:rsid w:val="00940D35"/>
    <w:rsid w:val="00944741"/>
    <w:rsid w:val="00954CF9"/>
    <w:rsid w:val="00956A95"/>
    <w:rsid w:val="00960FF2"/>
    <w:rsid w:val="009633EF"/>
    <w:rsid w:val="0097726B"/>
    <w:rsid w:val="009859E5"/>
    <w:rsid w:val="00992AC2"/>
    <w:rsid w:val="00995C20"/>
    <w:rsid w:val="009A36D3"/>
    <w:rsid w:val="009B3F4F"/>
    <w:rsid w:val="009B4F7D"/>
    <w:rsid w:val="009D6AEC"/>
    <w:rsid w:val="009D78F3"/>
    <w:rsid w:val="009D7A64"/>
    <w:rsid w:val="009F4BAB"/>
    <w:rsid w:val="009F599F"/>
    <w:rsid w:val="009F7054"/>
    <w:rsid w:val="00A00BB9"/>
    <w:rsid w:val="00A01A1F"/>
    <w:rsid w:val="00A02FD3"/>
    <w:rsid w:val="00A22FF3"/>
    <w:rsid w:val="00A36D85"/>
    <w:rsid w:val="00A37B1D"/>
    <w:rsid w:val="00A45B06"/>
    <w:rsid w:val="00A46567"/>
    <w:rsid w:val="00A60B00"/>
    <w:rsid w:val="00A62B1A"/>
    <w:rsid w:val="00A7291A"/>
    <w:rsid w:val="00A75DD0"/>
    <w:rsid w:val="00A76242"/>
    <w:rsid w:val="00A80BE4"/>
    <w:rsid w:val="00A86215"/>
    <w:rsid w:val="00A935DE"/>
    <w:rsid w:val="00A93DD5"/>
    <w:rsid w:val="00AA45EA"/>
    <w:rsid w:val="00AA594E"/>
    <w:rsid w:val="00AA7D65"/>
    <w:rsid w:val="00AB06F8"/>
    <w:rsid w:val="00AB26C9"/>
    <w:rsid w:val="00AB7926"/>
    <w:rsid w:val="00AD555B"/>
    <w:rsid w:val="00AD6F24"/>
    <w:rsid w:val="00AD7A3C"/>
    <w:rsid w:val="00B02771"/>
    <w:rsid w:val="00B061A8"/>
    <w:rsid w:val="00B061E6"/>
    <w:rsid w:val="00B15CE0"/>
    <w:rsid w:val="00B26F67"/>
    <w:rsid w:val="00B27A76"/>
    <w:rsid w:val="00B27BB0"/>
    <w:rsid w:val="00B32CCC"/>
    <w:rsid w:val="00B33D94"/>
    <w:rsid w:val="00B420D4"/>
    <w:rsid w:val="00B42FCA"/>
    <w:rsid w:val="00B5145C"/>
    <w:rsid w:val="00B5302A"/>
    <w:rsid w:val="00B54643"/>
    <w:rsid w:val="00B56E98"/>
    <w:rsid w:val="00B62241"/>
    <w:rsid w:val="00B77E29"/>
    <w:rsid w:val="00B81D93"/>
    <w:rsid w:val="00B82D30"/>
    <w:rsid w:val="00B87871"/>
    <w:rsid w:val="00B9746D"/>
    <w:rsid w:val="00B97792"/>
    <w:rsid w:val="00BA0A37"/>
    <w:rsid w:val="00BC3530"/>
    <w:rsid w:val="00BC55C2"/>
    <w:rsid w:val="00BD4BFF"/>
    <w:rsid w:val="00BE7FD0"/>
    <w:rsid w:val="00C118FA"/>
    <w:rsid w:val="00C243D3"/>
    <w:rsid w:val="00C25892"/>
    <w:rsid w:val="00C31408"/>
    <w:rsid w:val="00C36FC2"/>
    <w:rsid w:val="00C446B3"/>
    <w:rsid w:val="00C50CC1"/>
    <w:rsid w:val="00C50EB4"/>
    <w:rsid w:val="00C748C3"/>
    <w:rsid w:val="00C928CA"/>
    <w:rsid w:val="00C93CFF"/>
    <w:rsid w:val="00C94A01"/>
    <w:rsid w:val="00C9686C"/>
    <w:rsid w:val="00CB1B56"/>
    <w:rsid w:val="00CB3073"/>
    <w:rsid w:val="00CB601D"/>
    <w:rsid w:val="00CC27CA"/>
    <w:rsid w:val="00CD1968"/>
    <w:rsid w:val="00CD2415"/>
    <w:rsid w:val="00CD2801"/>
    <w:rsid w:val="00CD2B59"/>
    <w:rsid w:val="00D0119E"/>
    <w:rsid w:val="00D12DE5"/>
    <w:rsid w:val="00D137BC"/>
    <w:rsid w:val="00D24926"/>
    <w:rsid w:val="00D26E10"/>
    <w:rsid w:val="00D3117B"/>
    <w:rsid w:val="00D31880"/>
    <w:rsid w:val="00D34594"/>
    <w:rsid w:val="00D35E20"/>
    <w:rsid w:val="00D47103"/>
    <w:rsid w:val="00D603FE"/>
    <w:rsid w:val="00D66049"/>
    <w:rsid w:val="00D753DA"/>
    <w:rsid w:val="00D767E2"/>
    <w:rsid w:val="00D8486A"/>
    <w:rsid w:val="00D92E5F"/>
    <w:rsid w:val="00D94072"/>
    <w:rsid w:val="00D94C4F"/>
    <w:rsid w:val="00D961CE"/>
    <w:rsid w:val="00D9648B"/>
    <w:rsid w:val="00DA03B8"/>
    <w:rsid w:val="00DA3087"/>
    <w:rsid w:val="00DB08C7"/>
    <w:rsid w:val="00DB1677"/>
    <w:rsid w:val="00DC207B"/>
    <w:rsid w:val="00DD1106"/>
    <w:rsid w:val="00DD2A07"/>
    <w:rsid w:val="00DE44B5"/>
    <w:rsid w:val="00DE5B1B"/>
    <w:rsid w:val="00DE66F3"/>
    <w:rsid w:val="00DF31FE"/>
    <w:rsid w:val="00E029A2"/>
    <w:rsid w:val="00E069FE"/>
    <w:rsid w:val="00E07C0F"/>
    <w:rsid w:val="00E10939"/>
    <w:rsid w:val="00E17247"/>
    <w:rsid w:val="00E26529"/>
    <w:rsid w:val="00E317F0"/>
    <w:rsid w:val="00E32F75"/>
    <w:rsid w:val="00E35EB1"/>
    <w:rsid w:val="00E437E6"/>
    <w:rsid w:val="00E453C2"/>
    <w:rsid w:val="00E505DB"/>
    <w:rsid w:val="00E54304"/>
    <w:rsid w:val="00E65173"/>
    <w:rsid w:val="00E65BC8"/>
    <w:rsid w:val="00E74206"/>
    <w:rsid w:val="00E863C3"/>
    <w:rsid w:val="00EA21F7"/>
    <w:rsid w:val="00EA2CA1"/>
    <w:rsid w:val="00EA4C32"/>
    <w:rsid w:val="00EA7ABC"/>
    <w:rsid w:val="00EC137B"/>
    <w:rsid w:val="00EC5FC4"/>
    <w:rsid w:val="00EC73D5"/>
    <w:rsid w:val="00ED011C"/>
    <w:rsid w:val="00ED0A79"/>
    <w:rsid w:val="00EE40FE"/>
    <w:rsid w:val="00EE4746"/>
    <w:rsid w:val="00F16C7F"/>
    <w:rsid w:val="00F22BF8"/>
    <w:rsid w:val="00F23A7D"/>
    <w:rsid w:val="00F41A9D"/>
    <w:rsid w:val="00F45F7A"/>
    <w:rsid w:val="00F475DA"/>
    <w:rsid w:val="00F47FF6"/>
    <w:rsid w:val="00F63C91"/>
    <w:rsid w:val="00F66587"/>
    <w:rsid w:val="00F71C8D"/>
    <w:rsid w:val="00F73E2B"/>
    <w:rsid w:val="00F845C0"/>
    <w:rsid w:val="00F9389B"/>
    <w:rsid w:val="00F942F3"/>
    <w:rsid w:val="00F95FB0"/>
    <w:rsid w:val="00FB3279"/>
    <w:rsid w:val="00FC50DB"/>
    <w:rsid w:val="00FD0E34"/>
    <w:rsid w:val="00FD21F5"/>
    <w:rsid w:val="00FD2D6C"/>
    <w:rsid w:val="00FE552A"/>
    <w:rsid w:val="00FE5BA1"/>
    <w:rsid w:val="00FF6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D94"/>
    <w:rPr>
      <w:lang w:val="en-GB"/>
    </w:rPr>
  </w:style>
  <w:style w:type="paragraph" w:styleId="Heading1">
    <w:name w:val="heading 1"/>
    <w:basedOn w:val="Normal"/>
    <w:next w:val="Normal"/>
    <w:link w:val="Heading1Char"/>
    <w:qFormat/>
    <w:rsid w:val="00C94A01"/>
    <w:pPr>
      <w:keepNext/>
      <w:spacing w:after="0" w:line="480" w:lineRule="auto"/>
      <w:jc w:val="both"/>
      <w:outlineLvl w:val="0"/>
    </w:pPr>
    <w:rPr>
      <w:rFonts w:eastAsia="Times New Roman"/>
      <w:b/>
      <w:u w:val="single"/>
    </w:rPr>
  </w:style>
  <w:style w:type="paragraph" w:styleId="Heading2">
    <w:name w:val="heading 2"/>
    <w:basedOn w:val="Normal"/>
    <w:next w:val="Normal"/>
    <w:link w:val="Heading2Char"/>
    <w:uiPriority w:val="9"/>
    <w:semiHidden/>
    <w:unhideWhenUsed/>
    <w:qFormat/>
    <w:rsid w:val="006F32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2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FD"/>
    <w:pPr>
      <w:ind w:left="720"/>
      <w:contextualSpacing/>
    </w:pPr>
  </w:style>
  <w:style w:type="table" w:styleId="TableGrid">
    <w:name w:val="Table Grid"/>
    <w:basedOn w:val="TableNormal"/>
    <w:uiPriority w:val="59"/>
    <w:rsid w:val="00A01A1F"/>
    <w:pPr>
      <w:spacing w:after="0" w:line="240" w:lineRule="auto"/>
    </w:pPr>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4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01"/>
    <w:rPr>
      <w:rFonts w:ascii="Tahoma" w:hAnsi="Tahoma" w:cs="Tahoma"/>
      <w:sz w:val="16"/>
      <w:szCs w:val="16"/>
      <w:lang w:val="en-GB"/>
    </w:rPr>
  </w:style>
  <w:style w:type="character" w:customStyle="1" w:styleId="Heading1Char">
    <w:name w:val="Heading 1 Char"/>
    <w:basedOn w:val="DefaultParagraphFont"/>
    <w:link w:val="Heading1"/>
    <w:rsid w:val="00C94A01"/>
    <w:rPr>
      <w:rFonts w:eastAsia="Times New Roman"/>
      <w:b/>
      <w:u w:val="single"/>
      <w:lang w:val="en-GB"/>
    </w:rPr>
  </w:style>
  <w:style w:type="character" w:customStyle="1" w:styleId="A0">
    <w:name w:val="A0"/>
    <w:uiPriority w:val="99"/>
    <w:rsid w:val="00687361"/>
    <w:rPr>
      <w:color w:val="000000"/>
      <w:sz w:val="16"/>
      <w:szCs w:val="16"/>
    </w:rPr>
  </w:style>
  <w:style w:type="character" w:customStyle="1" w:styleId="Heading3Char">
    <w:name w:val="Heading 3 Char"/>
    <w:basedOn w:val="DefaultParagraphFont"/>
    <w:link w:val="Heading3"/>
    <w:uiPriority w:val="9"/>
    <w:semiHidden/>
    <w:rsid w:val="006F32BE"/>
    <w:rPr>
      <w:rFonts w:asciiTheme="majorHAnsi" w:eastAsiaTheme="majorEastAsia" w:hAnsiTheme="majorHAnsi" w:cstheme="majorBidi"/>
      <w:b/>
      <w:bCs/>
      <w:color w:val="4F81BD" w:themeColor="accent1"/>
      <w:lang w:val="en-GB"/>
    </w:rPr>
  </w:style>
  <w:style w:type="character" w:customStyle="1" w:styleId="Heading2Char">
    <w:name w:val="Heading 2 Char"/>
    <w:basedOn w:val="DefaultParagraphFont"/>
    <w:link w:val="Heading2"/>
    <w:uiPriority w:val="9"/>
    <w:semiHidden/>
    <w:rsid w:val="006F32BE"/>
    <w:rPr>
      <w:rFonts w:asciiTheme="majorHAnsi" w:eastAsiaTheme="majorEastAsia" w:hAnsiTheme="majorHAnsi" w:cstheme="majorBidi"/>
      <w:b/>
      <w:bCs/>
      <w:color w:val="4F81BD" w:themeColor="accent1"/>
      <w:sz w:val="26"/>
      <w:szCs w:val="26"/>
      <w:lang w:val="en-GB"/>
    </w:rPr>
  </w:style>
  <w:style w:type="character" w:customStyle="1" w:styleId="apple-converted-space">
    <w:name w:val="apple-converted-space"/>
    <w:basedOn w:val="DefaultParagraphFont"/>
    <w:rsid w:val="006F32BE"/>
  </w:style>
  <w:style w:type="paragraph" w:styleId="BodyText">
    <w:name w:val="Body Text"/>
    <w:basedOn w:val="Normal"/>
    <w:link w:val="BodyTextChar"/>
    <w:rsid w:val="00EC137B"/>
    <w:pPr>
      <w:spacing w:after="0" w:line="240" w:lineRule="auto"/>
      <w:jc w:val="both"/>
    </w:pPr>
    <w:rPr>
      <w:rFonts w:eastAsia="Times New Roman"/>
    </w:rPr>
  </w:style>
  <w:style w:type="character" w:customStyle="1" w:styleId="BodyTextChar">
    <w:name w:val="Body Text Char"/>
    <w:basedOn w:val="DefaultParagraphFont"/>
    <w:link w:val="BodyText"/>
    <w:rsid w:val="00EC137B"/>
    <w:rPr>
      <w:rFonts w:eastAsia="Times New Roman"/>
      <w:lang w:val="en-GB"/>
    </w:rPr>
  </w:style>
  <w:style w:type="character" w:customStyle="1" w:styleId="citation">
    <w:name w:val="citation"/>
    <w:basedOn w:val="DefaultParagraphFont"/>
    <w:rsid w:val="005F3990"/>
    <w:rPr>
      <w:i w:val="0"/>
      <w:iCs w:val="0"/>
    </w:rPr>
  </w:style>
  <w:style w:type="character" w:customStyle="1" w:styleId="text">
    <w:name w:val="text"/>
    <w:basedOn w:val="DefaultParagraphFont"/>
    <w:rsid w:val="00E07C0F"/>
  </w:style>
  <w:style w:type="character" w:styleId="Strong">
    <w:name w:val="Strong"/>
    <w:basedOn w:val="DefaultParagraphFont"/>
    <w:uiPriority w:val="22"/>
    <w:qFormat/>
    <w:rsid w:val="009F599F"/>
    <w:rPr>
      <w:b/>
      <w:bCs/>
    </w:rPr>
  </w:style>
  <w:style w:type="paragraph" w:styleId="Header">
    <w:name w:val="header"/>
    <w:basedOn w:val="Normal"/>
    <w:link w:val="HeaderChar"/>
    <w:uiPriority w:val="99"/>
    <w:unhideWhenUsed/>
    <w:rsid w:val="00210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62"/>
    <w:rPr>
      <w:lang w:val="en-GB"/>
    </w:rPr>
  </w:style>
  <w:style w:type="paragraph" w:styleId="Footer">
    <w:name w:val="footer"/>
    <w:basedOn w:val="Normal"/>
    <w:link w:val="FooterChar"/>
    <w:uiPriority w:val="99"/>
    <w:unhideWhenUsed/>
    <w:rsid w:val="00210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62"/>
    <w:rPr>
      <w:lang w:val="en-GB"/>
    </w:rPr>
  </w:style>
  <w:style w:type="character" w:styleId="Hyperlink">
    <w:name w:val="Hyperlink"/>
    <w:basedOn w:val="DefaultParagraphFont"/>
    <w:uiPriority w:val="99"/>
    <w:semiHidden/>
    <w:unhideWhenUsed/>
    <w:rsid w:val="00C446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C94A01"/>
    <w:pPr>
      <w:keepNext/>
      <w:spacing w:after="0" w:line="480" w:lineRule="auto"/>
      <w:jc w:val="both"/>
      <w:outlineLvl w:val="0"/>
    </w:pPr>
    <w:rPr>
      <w:rFonts w:eastAsia="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3BFD"/>
    <w:pPr>
      <w:ind w:left="720"/>
      <w:contextualSpacing/>
    </w:pPr>
  </w:style>
  <w:style w:type="table" w:styleId="TableGrid">
    <w:name w:val="Table Grid"/>
    <w:basedOn w:val="TableNormal"/>
    <w:uiPriority w:val="59"/>
    <w:rsid w:val="00A01A1F"/>
    <w:pPr>
      <w:spacing w:after="0" w:line="240" w:lineRule="auto"/>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4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A01"/>
    <w:rPr>
      <w:rFonts w:ascii="Tahoma" w:hAnsi="Tahoma" w:cs="Tahoma"/>
      <w:sz w:val="16"/>
      <w:szCs w:val="16"/>
      <w:lang w:val="en-GB"/>
    </w:rPr>
  </w:style>
  <w:style w:type="character" w:customStyle="1" w:styleId="Heading1Char">
    <w:name w:val="Heading 1 Char"/>
    <w:basedOn w:val="DefaultParagraphFont"/>
    <w:link w:val="Heading1"/>
    <w:rsid w:val="00C94A01"/>
    <w:rPr>
      <w:rFonts w:eastAsia="Times New Roman"/>
      <w:b/>
      <w:u w:val="single"/>
      <w:lang w:val="en-GB"/>
    </w:rPr>
  </w:style>
  <w:style w:type="character" w:customStyle="1" w:styleId="A0">
    <w:name w:val="A0"/>
    <w:uiPriority w:val="99"/>
    <w:rsid w:val="00687361"/>
    <w:rPr>
      <w:color w:val="000000"/>
      <w:sz w:val="16"/>
      <w:szCs w:val="16"/>
    </w:rPr>
  </w:style>
</w:styles>
</file>

<file path=word/webSettings.xml><?xml version="1.0" encoding="utf-8"?>
<w:webSettings xmlns:r="http://schemas.openxmlformats.org/officeDocument/2006/relationships" xmlns:w="http://schemas.openxmlformats.org/wordprocessingml/2006/main">
  <w:divs>
    <w:div w:id="76384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2.emf"/><Relationship Id="rId39" Type="http://schemas.openxmlformats.org/officeDocument/2006/relationships/oleObject" Target="embeddings/oleObject13.bin"/><Relationship Id="rId21" Type="http://schemas.openxmlformats.org/officeDocument/2006/relationships/oleObject" Target="embeddings/oleObject7.bin"/><Relationship Id="rId34" Type="http://schemas.openxmlformats.org/officeDocument/2006/relationships/image" Target="media/image16.emf"/><Relationship Id="rId42" Type="http://schemas.openxmlformats.org/officeDocument/2006/relationships/image" Target="media/image21.emf"/><Relationship Id="rId47" Type="http://schemas.openxmlformats.org/officeDocument/2006/relationships/oleObject" Target="embeddings/oleObject16.bin"/><Relationship Id="rId50" Type="http://schemas.openxmlformats.org/officeDocument/2006/relationships/image" Target="media/image26.emf"/><Relationship Id="rId55" Type="http://schemas.openxmlformats.org/officeDocument/2006/relationships/oleObject" Target="embeddings/oleObject19.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image" Target="media/image11.emf"/><Relationship Id="rId33" Type="http://schemas.openxmlformats.org/officeDocument/2006/relationships/oleObject" Target="embeddings/oleObject11.bin"/><Relationship Id="rId38" Type="http://schemas.openxmlformats.org/officeDocument/2006/relationships/image" Target="media/image19.png"/><Relationship Id="rId46"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9.bin"/><Relationship Id="rId41" Type="http://schemas.openxmlformats.org/officeDocument/2006/relationships/oleObject" Target="embeddings/oleObject14.bin"/><Relationship Id="rId54"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image" Target="media/image15.emf"/><Relationship Id="rId37" Type="http://schemas.openxmlformats.org/officeDocument/2006/relationships/oleObject" Target="embeddings/oleObject12.bin"/><Relationship Id="rId40" Type="http://schemas.openxmlformats.org/officeDocument/2006/relationships/image" Target="media/image20.emf"/><Relationship Id="rId45" Type="http://schemas.openxmlformats.org/officeDocument/2006/relationships/image" Target="media/image23.emf"/><Relationship Id="rId53" Type="http://schemas.openxmlformats.org/officeDocument/2006/relationships/image" Target="media/image28.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image" Target="media/image18.emf"/><Relationship Id="rId49" Type="http://schemas.openxmlformats.org/officeDocument/2006/relationships/oleObject" Target="embeddings/oleObject17.bin"/><Relationship Id="rId57"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0.bin"/><Relationship Id="rId44" Type="http://schemas.openxmlformats.org/officeDocument/2006/relationships/image" Target="media/image22.emf"/><Relationship Id="rId52" Type="http://schemas.openxmlformats.org/officeDocument/2006/relationships/image" Target="media/image2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emf"/><Relationship Id="rId27" Type="http://schemas.openxmlformats.org/officeDocument/2006/relationships/oleObject" Target="embeddings/oleObject8.bin"/><Relationship Id="rId30" Type="http://schemas.openxmlformats.org/officeDocument/2006/relationships/image" Target="media/image14.png"/><Relationship Id="rId35" Type="http://schemas.openxmlformats.org/officeDocument/2006/relationships/image" Target="media/image17.emf"/><Relationship Id="rId43" Type="http://schemas.openxmlformats.org/officeDocument/2006/relationships/oleObject" Target="embeddings/oleObject15.bin"/><Relationship Id="rId48" Type="http://schemas.openxmlformats.org/officeDocument/2006/relationships/image" Target="media/image25.png"/><Relationship Id="rId56"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oleObject" Target="embeddings/oleObject1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91F7-6B12-482E-AB6A-FD7C1301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21</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c:creator>
  <cp:lastModifiedBy>admin</cp:lastModifiedBy>
  <cp:revision>45</cp:revision>
  <dcterms:created xsi:type="dcterms:W3CDTF">2023-08-14T08:33:00Z</dcterms:created>
  <dcterms:modified xsi:type="dcterms:W3CDTF">2023-09-20T04:42:00Z</dcterms:modified>
</cp:coreProperties>
</file>