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B8" w:rsidRDefault="008163B8">
      <w:pPr>
        <w:spacing w:after="200" w:line="480" w:lineRule="auto"/>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Title of the Manuscript: </w:t>
      </w:r>
      <w:r>
        <w:rPr>
          <w:rFonts w:ascii="Times New Roman" w:eastAsia="Times New Roman" w:hAnsi="Times New Roman" w:cs="Times New Roman"/>
          <w:bCs/>
          <w:color w:val="000000"/>
          <w:kern w:val="0"/>
          <w:sz w:val="24"/>
          <w:szCs w:val="24"/>
          <w14:ligatures w14:val="none"/>
        </w:rPr>
        <w:t xml:space="preserve">THE CONCEPT OF TRANSFORMATIVE CONSTITUTIONALISM VIS-À-VIS INDIAN JUDICIARY WITH </w:t>
      </w:r>
      <w:r>
        <w:rPr>
          <w:rFonts w:ascii="Times New Roman" w:eastAsia="Times New Roman" w:hAnsi="Times New Roman" w:cs="Times New Roman"/>
          <w:bCs/>
          <w:color w:val="000000"/>
          <w:kern w:val="0"/>
          <w:sz w:val="24"/>
          <w:szCs w:val="24"/>
          <w14:ligatures w14:val="none"/>
        </w:rPr>
        <w:t xml:space="preserve">SPECIAL </w:t>
      </w:r>
      <w:r>
        <w:rPr>
          <w:rFonts w:ascii="Times New Roman" w:eastAsia="Times New Roman" w:hAnsi="Times New Roman" w:cs="Times New Roman"/>
          <w:bCs/>
          <w:color w:val="000000"/>
          <w:kern w:val="0"/>
          <w:sz w:val="24"/>
          <w:szCs w:val="24"/>
          <w14:ligatures w14:val="none"/>
        </w:rPr>
        <w:t xml:space="preserve">REFERENCE TO ENVIRONMENTAL CONSTITUTIONALISM: A </w:t>
      </w:r>
      <w:r>
        <w:rPr>
          <w:rFonts w:ascii="Times New Roman" w:eastAsia="Times New Roman" w:hAnsi="Times New Roman" w:cs="Times New Roman"/>
          <w:bCs/>
          <w:color w:val="000000"/>
          <w:kern w:val="0"/>
          <w:sz w:val="24"/>
          <w:szCs w:val="24"/>
          <w14:ligatures w14:val="none"/>
        </w:rPr>
        <w:t xml:space="preserve">COMPERATIVE </w:t>
      </w:r>
      <w:r>
        <w:rPr>
          <w:rFonts w:ascii="Times New Roman" w:eastAsia="Times New Roman" w:hAnsi="Times New Roman" w:cs="Times New Roman"/>
          <w:bCs/>
          <w:color w:val="000000"/>
          <w:kern w:val="0"/>
          <w:sz w:val="24"/>
          <w:szCs w:val="24"/>
          <w14:ligatures w14:val="none"/>
        </w:rPr>
        <w:t>STUDY</w:t>
      </w: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Theme: </w:t>
      </w:r>
      <w:r>
        <w:rPr>
          <w:rFonts w:ascii="Times New Roman" w:eastAsia="Times New Roman" w:hAnsi="Times New Roman" w:cs="Times New Roman"/>
          <w:bCs/>
          <w:color w:val="000000"/>
          <w:kern w:val="0"/>
          <w:sz w:val="24"/>
          <w:szCs w:val="24"/>
          <w14:ligatures w14:val="none"/>
        </w:rPr>
        <w:t xml:space="preserve">Constitution </w:t>
      </w:r>
    </w:p>
    <w:p w:rsidR="008163B8" w:rsidRDefault="00D77193">
      <w:pPr>
        <w:spacing w:after="200" w:line="36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Sub – Theme: </w:t>
      </w:r>
      <w:r>
        <w:rPr>
          <w:rFonts w:ascii="Times New Roman" w:eastAsia="Times New Roman" w:hAnsi="Times New Roman" w:cs="Times New Roman"/>
          <w:bCs/>
          <w:color w:val="000000"/>
          <w:kern w:val="0"/>
          <w:sz w:val="24"/>
          <w:szCs w:val="24"/>
          <w14:ligatures w14:val="none"/>
        </w:rPr>
        <w:t>Transformative Constitutionalism</w:t>
      </w:r>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Submission Categories: </w:t>
      </w:r>
      <w:r>
        <w:rPr>
          <w:rFonts w:ascii="Times New Roman" w:eastAsia="Times New Roman" w:hAnsi="Times New Roman" w:cs="Times New Roman"/>
          <w:color w:val="000000"/>
          <w:kern w:val="0"/>
          <w:sz w:val="24"/>
          <w:szCs w:val="24"/>
          <w14:ligatures w14:val="none"/>
        </w:rPr>
        <w:t xml:space="preserve">Article </w:t>
      </w:r>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NAME of the Author: </w:t>
      </w:r>
      <w:r>
        <w:rPr>
          <w:rFonts w:ascii="Times New Roman" w:eastAsia="Times New Roman" w:hAnsi="Times New Roman" w:cs="Times New Roman"/>
          <w:bCs/>
          <w:color w:val="000000"/>
          <w:kern w:val="0"/>
          <w:sz w:val="24"/>
          <w:szCs w:val="24"/>
          <w14:ligatures w14:val="none"/>
        </w:rPr>
        <w:t>Saptaparni Raha</w:t>
      </w:r>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Designation: </w:t>
      </w:r>
      <w:r>
        <w:rPr>
          <w:rFonts w:ascii="Times New Roman" w:eastAsia="Times New Roman" w:hAnsi="Times New Roman" w:cs="Times New Roman"/>
          <w:bCs/>
          <w:color w:val="000000"/>
          <w:kern w:val="0"/>
          <w:sz w:val="24"/>
          <w:szCs w:val="24"/>
          <w14:ligatures w14:val="none"/>
        </w:rPr>
        <w:t>Student, LLM 1ST Year, 2ND Semester</w:t>
      </w:r>
    </w:p>
    <w:p w:rsidR="008163B8" w:rsidRDefault="00D77193">
      <w:pPr>
        <w:spacing w:after="200" w:line="36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Institution</w:t>
      </w:r>
      <w:r>
        <w:rPr>
          <w:rFonts w:ascii="Times New Roman" w:eastAsia="Times New Roman" w:hAnsi="Times New Roman" w:cs="Times New Roman"/>
          <w:bCs/>
          <w:color w:val="000000"/>
          <w:kern w:val="0"/>
          <w:sz w:val="24"/>
          <w:szCs w:val="24"/>
          <w14:ligatures w14:val="none"/>
        </w:rPr>
        <w:t>: Brainware University</w:t>
      </w:r>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E -Mail ID: </w:t>
      </w:r>
      <w:hyperlink r:id="rId9" w:history="1">
        <w:r>
          <w:rPr>
            <w:rStyle w:val="Hyperlink"/>
            <w:rFonts w:ascii="Times New Roman" w:eastAsia="Times New Roman" w:hAnsi="Times New Roman" w:cs="Times New Roman"/>
            <w:bCs/>
            <w:kern w:val="0"/>
            <w:sz w:val="24"/>
            <w:szCs w:val="24"/>
            <w14:ligatures w14:val="none"/>
          </w:rPr>
          <w:t>saptaparniraha475@gmail.com</w:t>
        </w:r>
      </w:hyperlink>
    </w:p>
    <w:p w:rsidR="008163B8" w:rsidRDefault="00D77193">
      <w:pPr>
        <w:spacing w:after="200" w:line="360" w:lineRule="auto"/>
        <w:jc w:val="center"/>
        <w:rPr>
          <w:rFonts w:ascii="Times New Roman" w:eastAsia="Times New Roman" w:hAnsi="Times New Roman" w:cs="Times New Roman"/>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Contact Number</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Cs/>
          <w:color w:val="000000"/>
          <w:kern w:val="0"/>
          <w:sz w:val="24"/>
          <w:szCs w:val="24"/>
          <w14:ligatures w14:val="none"/>
        </w:rPr>
        <w:t>9163560631</w:t>
      </w: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center"/>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center"/>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lastRenderedPageBreak/>
        <w:t xml:space="preserve">THE CONCEPT OF TRANSFORMATIVE CONSTITUTIONALISM VIS-À-VIS INDIAN JUDICIARY WITH </w:t>
      </w:r>
      <w:r>
        <w:rPr>
          <w:rFonts w:ascii="Times New Roman" w:eastAsia="Times New Roman" w:hAnsi="Times New Roman" w:cs="Times New Roman"/>
          <w:b/>
          <w:bCs/>
          <w:color w:val="000000"/>
          <w:kern w:val="0"/>
          <w:sz w:val="24"/>
          <w:szCs w:val="24"/>
          <w14:ligatures w14:val="none"/>
        </w:rPr>
        <w:t xml:space="preserve">SPECIAL </w:t>
      </w:r>
      <w:r>
        <w:rPr>
          <w:rFonts w:ascii="Times New Roman" w:eastAsia="Times New Roman" w:hAnsi="Times New Roman" w:cs="Times New Roman"/>
          <w:b/>
          <w:bCs/>
          <w:color w:val="000000"/>
          <w:kern w:val="0"/>
          <w:sz w:val="24"/>
          <w:szCs w:val="24"/>
          <w14:ligatures w14:val="none"/>
        </w:rPr>
        <w:t>REFERENCE TO ENVIRONMENTAL CONSTITUTIONALISM: AN ANALYTICAL STUDY</w:t>
      </w:r>
    </w:p>
    <w:p w:rsidR="008163B8" w:rsidRDefault="00D77193">
      <w:pPr>
        <w:spacing w:after="20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Abstract</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It took 166 days for constituent assembly to draft the constitution of </w:t>
      </w:r>
      <w:r>
        <w:rPr>
          <w:rFonts w:ascii="Times New Roman" w:eastAsia="Times New Roman" w:hAnsi="Times New Roman" w:cs="Times New Roman"/>
          <w:color w:val="000000"/>
          <w:kern w:val="0"/>
          <w:sz w:val="24"/>
          <w:szCs w:val="24"/>
          <w14:ligatures w14:val="none"/>
        </w:rPr>
        <w:t>India with lot of struggles and deliberations on how the document would determine a person's basic rights and how the powers of the Government should be. There was many visions and goals were discussed. Since we adopted the Constitution of India it has pla</w:t>
      </w:r>
      <w:r>
        <w:rPr>
          <w:rFonts w:ascii="Times New Roman" w:eastAsia="Times New Roman" w:hAnsi="Times New Roman" w:cs="Times New Roman"/>
          <w:color w:val="000000"/>
          <w:kern w:val="0"/>
          <w:sz w:val="24"/>
          <w:szCs w:val="24"/>
          <w14:ligatures w14:val="none"/>
        </w:rPr>
        <w:t>yed a crucial role in transforming the country. The term transformation connotes bringing a change. The author in this article shall explain transformative Constitutionalism in Indian Judiciary by analysing the landmark cases  “</w:t>
      </w:r>
      <w:r>
        <w:rPr>
          <w:rFonts w:ascii="Times New Roman" w:eastAsia="Times New Roman" w:hAnsi="Times New Roman" w:cs="Times New Roman"/>
          <w:i/>
          <w:iCs/>
          <w:color w:val="000000"/>
          <w:kern w:val="0"/>
          <w:sz w:val="24"/>
          <w:szCs w:val="24"/>
          <w14:ligatures w14:val="none"/>
        </w:rPr>
        <w:t>I.C. Golaknath &amp; Ors vs Stat</w:t>
      </w:r>
      <w:r>
        <w:rPr>
          <w:rFonts w:ascii="Times New Roman" w:eastAsia="Times New Roman" w:hAnsi="Times New Roman" w:cs="Times New Roman"/>
          <w:i/>
          <w:iCs/>
          <w:color w:val="000000"/>
          <w:kern w:val="0"/>
          <w:sz w:val="24"/>
          <w:szCs w:val="24"/>
          <w14:ligatures w14:val="none"/>
        </w:rPr>
        <w:t>e of Punjab &amp; Anrs (1967),R C Cooper v Union of India(1970),Madhav Rao Jivaji Rao Scindia v Union of India(1971),Kesavananda Bharati v. State of Kerala (1973),Mumbai Kamghar Sabha v. Abdul Bha(1976),Indira Nehru Gandhi vs Shri Raj Narain &amp; Anr (1975),and M</w:t>
      </w:r>
      <w:r>
        <w:rPr>
          <w:rFonts w:ascii="Times New Roman" w:eastAsia="Times New Roman" w:hAnsi="Times New Roman" w:cs="Times New Roman"/>
          <w:i/>
          <w:iCs/>
          <w:color w:val="000000"/>
          <w:kern w:val="0"/>
          <w:sz w:val="24"/>
          <w:szCs w:val="24"/>
          <w14:ligatures w14:val="none"/>
        </w:rPr>
        <w:t>aneka Gandhi vs Union Of India on 25 January, 1978”. </w:t>
      </w:r>
      <w:r>
        <w:rPr>
          <w:rStyle w:val="FootnoteReference"/>
          <w:rFonts w:ascii="Times New Roman" w:eastAsia="Times New Roman" w:hAnsi="Times New Roman" w:cs="Times New Roman"/>
          <w:i/>
          <w:iCs/>
          <w:color w:val="000000"/>
          <w:kern w:val="0"/>
          <w:sz w:val="24"/>
          <w:szCs w:val="24"/>
          <w14:ligatures w14:val="none"/>
        </w:rPr>
        <w:footnoteReference w:id="1"/>
      </w:r>
      <w:r>
        <w:rPr>
          <w:rFonts w:ascii="Times New Roman" w:eastAsia="Times New Roman" w:hAnsi="Times New Roman" w:cs="Times New Roman"/>
          <w:iCs/>
          <w:color w:val="000000"/>
          <w:kern w:val="0"/>
          <w:sz w:val="24"/>
          <w:szCs w:val="24"/>
          <w14:ligatures w14:val="none"/>
        </w:rPr>
        <w:t>Furthermore, arthor shall also examines the challenges and limitations faced by the judiciary in pursuing transformative constitutionalism in the context of environmental issues. It evaluates the effect</w:t>
      </w:r>
      <w:r>
        <w:rPr>
          <w:rFonts w:ascii="Times New Roman" w:eastAsia="Times New Roman" w:hAnsi="Times New Roman" w:cs="Times New Roman"/>
          <w:iCs/>
          <w:color w:val="000000"/>
          <w:kern w:val="0"/>
          <w:sz w:val="24"/>
          <w:szCs w:val="24"/>
          <w14:ligatures w14:val="none"/>
        </w:rPr>
        <w:t>iveness of judicial interventions in addressing environmental concerns and fostering sustainable development.</w:t>
      </w:r>
    </w:p>
    <w:p w:rsidR="008163B8" w:rsidRDefault="00D77193">
      <w:pPr>
        <w:spacing w:after="200" w:line="36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Keywords: </w:t>
      </w:r>
      <w:r>
        <w:rPr>
          <w:rFonts w:ascii="Times New Roman" w:eastAsia="Times New Roman" w:hAnsi="Times New Roman" w:cs="Times New Roman"/>
          <w:color w:val="000000"/>
          <w:kern w:val="0"/>
          <w:sz w:val="24"/>
          <w:szCs w:val="24"/>
          <w14:ligatures w14:val="none"/>
        </w:rPr>
        <w:t>Constitutionalism, Transformative Constitutionalism, Constitution of India, Constituent Assembly and Indian Judiciary.</w:t>
      </w:r>
    </w:p>
    <w:p w:rsidR="008163B8" w:rsidRDefault="00D77193">
      <w:pPr>
        <w:spacing w:after="200" w:line="360" w:lineRule="auto"/>
        <w:jc w:val="both"/>
        <w:rPr>
          <w:rFonts w:ascii="Times New Roman" w:eastAsia="Times New Roman" w:hAnsi="Times New Roman" w:cs="Times New Roman"/>
          <w:color w:val="000000"/>
          <w:kern w:val="0"/>
          <w:sz w:val="24"/>
          <w:szCs w:val="24"/>
        </w:rPr>
      </w:pPr>
      <w:r>
        <w:rPr>
          <w:rFonts w:ascii="Times New Roman" w:eastAsia="Times New Roman" w:hAnsi="Times New Roman" w:cs="Times New Roman"/>
          <w:b/>
          <w:bCs/>
          <w:color w:val="000000"/>
          <w:kern w:val="0"/>
          <w:sz w:val="24"/>
          <w:szCs w:val="24"/>
          <w14:ligatures w14:val="none"/>
        </w:rPr>
        <w:t>Introduction</w:t>
      </w:r>
    </w:p>
    <w:p w:rsidR="008163B8" w:rsidRDefault="00D77193">
      <w:pPr>
        <w:spacing w:after="200" w:line="36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rPr>
        <w:t xml:space="preserve">Transformative Constitutionalism seeks to bring about societal change by instilling the principles of liberty, equality, and fraternity in the social order, aligning with the objectives of the Indian Constitution. It emphasizes the paramount importance of </w:t>
      </w:r>
      <w:r>
        <w:rPr>
          <w:rFonts w:ascii="Times New Roman" w:eastAsia="Times New Roman" w:hAnsi="Times New Roman" w:cs="Times New Roman"/>
          <w:color w:val="000000"/>
          <w:kern w:val="0"/>
          <w:sz w:val="24"/>
          <w:szCs w:val="24"/>
        </w:rPr>
        <w:t>constitutional morality and recognizes the immutability of the constitution's basic structure. Justice Chandrachud defines transformative constitutionalism as the integration of values such as liberty, equality, fraternity, and dignity into the fabric of s</w:t>
      </w:r>
      <w:r>
        <w:rPr>
          <w:rFonts w:ascii="Times New Roman" w:eastAsia="Times New Roman" w:hAnsi="Times New Roman" w:cs="Times New Roman"/>
          <w:color w:val="000000"/>
          <w:kern w:val="0"/>
          <w:sz w:val="24"/>
          <w:szCs w:val="24"/>
        </w:rPr>
        <w:t>ociety. It is a crucial and necessary process that defines the essence of democracy and the constitutional framework within it. The aim of this transformation is to uphold equality and liberty in society. Constitutionalism, in essence, entails limiting the</w:t>
      </w:r>
      <w:r>
        <w:rPr>
          <w:rFonts w:ascii="Times New Roman" w:eastAsia="Times New Roman" w:hAnsi="Times New Roman" w:cs="Times New Roman"/>
          <w:color w:val="000000"/>
          <w:kern w:val="0"/>
          <w:sz w:val="24"/>
          <w:szCs w:val="24"/>
        </w:rPr>
        <w:t xml:space="preserve"> government's power and defining these limitations based on their authority. Thus, transformative Constitutionalism can be understood as the infusion of the values of liberty, equality, and fraternity into the social order.</w:t>
      </w: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Origin of Transformative Constit</w:t>
      </w:r>
      <w:r>
        <w:rPr>
          <w:rFonts w:ascii="Times New Roman" w:eastAsia="Times New Roman" w:hAnsi="Times New Roman" w:cs="Times New Roman"/>
          <w:b/>
          <w:bCs/>
          <w:color w:val="000000"/>
          <w:kern w:val="0"/>
          <w:sz w:val="24"/>
          <w:szCs w:val="24"/>
          <w14:ligatures w14:val="none"/>
        </w:rPr>
        <w:t>utionalism</w:t>
      </w:r>
    </w:p>
    <w:p w:rsidR="008163B8" w:rsidRDefault="00D77193">
      <w:pPr>
        <w:spacing w:after="200" w:line="36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In 1608, King James I of England asserted his authority to personally decide any legal case. However, Chief Justice Coke objected, stating that cases should be adjudicated in a court of law according to the established legal and customary practi</w:t>
      </w:r>
      <w:r>
        <w:rPr>
          <w:rFonts w:ascii="Times New Roman" w:eastAsia="Times New Roman" w:hAnsi="Times New Roman" w:cs="Times New Roman"/>
          <w:color w:val="000000"/>
          <w:kern w:val="0"/>
          <w:sz w:val="24"/>
          <w:szCs w:val="24"/>
          <w14:ligatures w14:val="none"/>
        </w:rPr>
        <w:t>ces of England. The king responded by suggesting that being subject to the law would be treasonous. In turn, Coke emphasized that the king should be subject to God and the law, rather than being subject to any individual. This exchange exemplified the affi</w:t>
      </w:r>
      <w:r>
        <w:rPr>
          <w:rFonts w:ascii="Times New Roman" w:eastAsia="Times New Roman" w:hAnsi="Times New Roman" w:cs="Times New Roman"/>
          <w:color w:val="000000"/>
          <w:kern w:val="0"/>
          <w:sz w:val="24"/>
          <w:szCs w:val="24"/>
          <w14:ligatures w14:val="none"/>
        </w:rPr>
        <w:t>rmation of judicial power and the rule of law over arbitrary decisions by the sovereign, laying the foundation for judicial activism during the 1600s. Subsequently, in the case of Marbury v. Madison, it was established that judicial review does not imply t</w:t>
      </w:r>
      <w:r>
        <w:rPr>
          <w:rFonts w:ascii="Times New Roman" w:eastAsia="Times New Roman" w:hAnsi="Times New Roman" w:cs="Times New Roman"/>
          <w:color w:val="000000"/>
          <w:kern w:val="0"/>
          <w:sz w:val="24"/>
          <w:szCs w:val="24"/>
          <w14:ligatures w14:val="none"/>
        </w:rPr>
        <w:t>he superiority of the judiciary over the legislative branch. Instead, it recognizes that the power of the people, as expressed in the Constitution, surpasses both branches of government. The intentions of the people take precedence over the intentions of t</w:t>
      </w:r>
      <w:r>
        <w:rPr>
          <w:rFonts w:ascii="Times New Roman" w:eastAsia="Times New Roman" w:hAnsi="Times New Roman" w:cs="Times New Roman"/>
          <w:color w:val="000000"/>
          <w:kern w:val="0"/>
          <w:sz w:val="24"/>
          <w:szCs w:val="24"/>
          <w14:ligatures w14:val="none"/>
        </w:rPr>
        <w:t>heir representatives.</w:t>
      </w:r>
      <w:r>
        <w:rPr>
          <w:rStyle w:val="FootnoteReference"/>
          <w:rFonts w:ascii="Times New Roman" w:eastAsia="Times New Roman" w:hAnsi="Times New Roman" w:cs="Times New Roman"/>
          <w:color w:val="000000"/>
          <w:kern w:val="0"/>
          <w:sz w:val="24"/>
          <w:szCs w:val="24"/>
          <w14:ligatures w14:val="none"/>
        </w:rPr>
        <w:footnoteReference w:id="2"/>
      </w:r>
    </w:p>
    <w:p w:rsidR="008163B8" w:rsidRDefault="00D77193">
      <w:pPr>
        <w:spacing w:after="200" w:line="360" w:lineRule="auto"/>
        <w:jc w:val="both"/>
        <w:rPr>
          <w:rFonts w:ascii="Times New Roman" w:hAnsi="Times New Roman" w:cs="Times New Roman"/>
          <w:sz w:val="24"/>
          <w:szCs w:val="24"/>
        </w:rPr>
      </w:pPr>
      <w:r>
        <w:rPr>
          <w:rFonts w:ascii="Times New Roman" w:eastAsia="Times New Roman" w:hAnsi="Times New Roman" w:cs="Times New Roman"/>
          <w:b/>
          <w:bCs/>
          <w:color w:val="000000"/>
          <w:kern w:val="0"/>
          <w:sz w:val="24"/>
          <w:szCs w:val="24"/>
          <w14:ligatures w14:val="none"/>
        </w:rPr>
        <w:t>Concept of transformative Constitutionalism</w:t>
      </w:r>
    </w:p>
    <w:p w:rsidR="008163B8" w:rsidRDefault="00D77193">
      <w:pPr>
        <w:spacing w:line="360" w:lineRule="auto"/>
        <w:jc w:val="both"/>
        <w:rPr>
          <w:rFonts w:ascii="Times New Roman" w:hAnsi="Times New Roman" w:cs="Times New Roman"/>
          <w:sz w:val="24"/>
          <w:szCs w:val="24"/>
        </w:rPr>
      </w:pPr>
      <w:r>
        <w:rPr>
          <w:rFonts w:ascii="Times New Roman" w:hAnsi="Times New Roman" w:cs="Times New Roman"/>
          <w:sz w:val="24"/>
          <w:szCs w:val="24"/>
        </w:rPr>
        <w:t>Transformative constitutionalism is a legal theory that focuses on how constitutionalism can drive social change and protect human rights. It arose as a response to the limitations of tradi</w:t>
      </w:r>
      <w:r>
        <w:rPr>
          <w:rFonts w:ascii="Times New Roman" w:hAnsi="Times New Roman" w:cs="Times New Roman"/>
          <w:sz w:val="24"/>
          <w:szCs w:val="24"/>
        </w:rPr>
        <w:t>tional constitutionalism, which mainly aimed to restrict government power and safeguard individual rights.</w:t>
      </w:r>
    </w:p>
    <w:p w:rsidR="008163B8" w:rsidRDefault="00D77193">
      <w:pPr>
        <w:spacing w:line="360" w:lineRule="auto"/>
        <w:jc w:val="both"/>
        <w:rPr>
          <w:rFonts w:ascii="Times New Roman" w:hAnsi="Times New Roman" w:cs="Times New Roman"/>
          <w:sz w:val="24"/>
          <w:szCs w:val="24"/>
        </w:rPr>
      </w:pPr>
      <w:r>
        <w:rPr>
          <w:rFonts w:ascii="Times New Roman" w:hAnsi="Times New Roman" w:cs="Times New Roman"/>
          <w:sz w:val="24"/>
          <w:szCs w:val="24"/>
        </w:rPr>
        <w:t>In contrast, transformative constitutionalism places greater importance on the constitution's role in promoting social justice and bringing about soc</w:t>
      </w:r>
      <w:r>
        <w:rPr>
          <w:rFonts w:ascii="Times New Roman" w:hAnsi="Times New Roman" w:cs="Times New Roman"/>
          <w:sz w:val="24"/>
          <w:szCs w:val="24"/>
        </w:rPr>
        <w:t>ietal transformation. It recognizes the constitution's significance in addressing historical injustices, promoting equality, and advocating for marginalized groups.</w:t>
      </w:r>
    </w:p>
    <w:p w:rsidR="008163B8" w:rsidRDefault="00D7719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theory, the constitution should not only establish a framework for governa</w:t>
      </w:r>
      <w:r>
        <w:rPr>
          <w:rFonts w:ascii="Times New Roman" w:hAnsi="Times New Roman" w:cs="Times New Roman"/>
          <w:sz w:val="24"/>
          <w:szCs w:val="24"/>
        </w:rPr>
        <w:t>nce but also act as a catalyst for social progress. This involves acknowledging and safeguarding citizens' socio-economic rights.</w:t>
      </w:r>
    </w:p>
    <w:p w:rsidR="008163B8" w:rsidRDefault="00D77193">
      <w:pPr>
        <w:spacing w:line="360" w:lineRule="auto"/>
        <w:jc w:val="both"/>
        <w:rPr>
          <w:rFonts w:ascii="Times New Roman" w:hAnsi="Times New Roman" w:cs="Times New Roman"/>
          <w:sz w:val="24"/>
          <w:szCs w:val="24"/>
        </w:rPr>
      </w:pPr>
      <w:r>
        <w:rPr>
          <w:rFonts w:ascii="Times New Roman" w:hAnsi="Times New Roman" w:cs="Times New Roman"/>
          <w:sz w:val="24"/>
          <w:szCs w:val="24"/>
        </w:rPr>
        <w:t>In practice, transformative constitutionalism involves using constitutional provisions to advance social change through judici</w:t>
      </w:r>
      <w:r>
        <w:rPr>
          <w:rFonts w:ascii="Times New Roman" w:hAnsi="Times New Roman" w:cs="Times New Roman"/>
          <w:sz w:val="24"/>
          <w:szCs w:val="24"/>
        </w:rPr>
        <w:t>al interpretation, legislative action, and government policies. It also necessitates active involvement from civil society and other stakeholders in shaping and implementing constitutional reforms.</w:t>
      </w:r>
    </w:p>
    <w:p w:rsidR="008163B8" w:rsidRDefault="00D77193">
      <w:pPr>
        <w:spacing w:line="360" w:lineRule="auto"/>
        <w:jc w:val="both"/>
        <w:rPr>
          <w:rFonts w:ascii="Times New Roman" w:eastAsia="Times New Roman" w:hAnsi="Times New Roman" w:cs="Times New Roman"/>
          <w:b/>
          <w:bCs/>
          <w:color w:val="000000"/>
          <w:kern w:val="0"/>
          <w:sz w:val="24"/>
          <w:szCs w:val="24"/>
          <w14:ligatures w14:val="none"/>
        </w:rPr>
      </w:pPr>
      <w:r>
        <w:rPr>
          <w:rFonts w:ascii="Times New Roman" w:hAnsi="Times New Roman" w:cs="Times New Roman"/>
          <w:sz w:val="24"/>
          <w:szCs w:val="24"/>
        </w:rPr>
        <w:t>Overall, it signifies a shift in our understanding of cons</w:t>
      </w:r>
      <w:r>
        <w:rPr>
          <w:rFonts w:ascii="Times New Roman" w:hAnsi="Times New Roman" w:cs="Times New Roman"/>
          <w:sz w:val="24"/>
          <w:szCs w:val="24"/>
        </w:rPr>
        <w:t>titutionalism and highlights the constitution's role in promoting social justice and transformation.</w:t>
      </w:r>
    </w:p>
    <w:p w:rsidR="008163B8" w:rsidRDefault="00D77193">
      <w:pPr>
        <w:spacing w:after="200" w:line="36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The effect of Transformative Constitutionalism in the Environmental Law of India</w:t>
      </w: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Environmental Constitutionalism refers to the inclusion of constitutional </w:t>
      </w:r>
      <w:r>
        <w:rPr>
          <w:rFonts w:ascii="Times New Roman" w:eastAsia="Times New Roman" w:hAnsi="Times New Roman" w:cs="Times New Roman"/>
          <w:color w:val="000000"/>
          <w:kern w:val="0"/>
          <w:sz w:val="24"/>
          <w:szCs w:val="24"/>
          <w14:ligatures w14:val="none"/>
        </w:rPr>
        <w:t>protections for the environment, which encompass both rights and responsibilities for the government. The High Court of Gujarat stated that the discharge of pollutants from the factories owned by the petitioners onto public roads or the public drainage sys</w:t>
      </w:r>
      <w:r>
        <w:rPr>
          <w:rFonts w:ascii="Times New Roman" w:eastAsia="Times New Roman" w:hAnsi="Times New Roman" w:cs="Times New Roman"/>
          <w:color w:val="000000"/>
          <w:kern w:val="0"/>
          <w:sz w:val="24"/>
          <w:szCs w:val="24"/>
          <w14:ligatures w14:val="none"/>
        </w:rPr>
        <w:t>tem contradicted the constitutional obligation to safeguard the natural environment. Similarly, the High Court of Rajasthan ruled that any individual who disrupts the ecological balance or causes degradation, pollution, or manipulation of natural resources</w:t>
      </w:r>
      <w:r>
        <w:rPr>
          <w:rFonts w:ascii="Times New Roman" w:eastAsia="Times New Roman" w:hAnsi="Times New Roman" w:cs="Times New Roman"/>
          <w:color w:val="000000"/>
          <w:kern w:val="0"/>
          <w:sz w:val="24"/>
          <w:szCs w:val="24"/>
          <w14:ligatures w14:val="none"/>
        </w:rPr>
        <w:t xml:space="preserve"> such as air, water, rivers, seas, and other elements violates their fundamental environmental duty. These honorable high courts invoked the fundamental environmental duty to reinforce their directives to the relevant authorities in a writ petition allegin</w:t>
      </w:r>
      <w:r>
        <w:rPr>
          <w:rFonts w:ascii="Times New Roman" w:eastAsia="Times New Roman" w:hAnsi="Times New Roman" w:cs="Times New Roman"/>
          <w:color w:val="000000"/>
          <w:kern w:val="0"/>
          <w:sz w:val="24"/>
          <w:szCs w:val="24"/>
          <w14:ligatures w14:val="none"/>
        </w:rPr>
        <w:t>g the violation of fundamental duties.</w:t>
      </w:r>
    </w:p>
    <w:p w:rsidR="008163B8" w:rsidRDefault="008163B8">
      <w:pPr>
        <w:spacing w:after="200" w:line="360" w:lineRule="auto"/>
        <w:ind w:left="720"/>
        <w:jc w:val="both"/>
        <w:rPr>
          <w:rFonts w:ascii="Times New Roman" w:eastAsia="Times New Roman" w:hAnsi="Times New Roman" w:cs="Times New Roman"/>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Origin environmental Constitutionalism in India</w:t>
      </w: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The original enactment of the Constitution of India in 1950 did not include any provisions outlining the duties of citizens. In 1947, Sir BN Rau, the constitutional adv</w:t>
      </w:r>
      <w:r>
        <w:rPr>
          <w:rFonts w:ascii="Times New Roman" w:eastAsia="Times New Roman" w:hAnsi="Times New Roman" w:cs="Times New Roman"/>
          <w:color w:val="000000"/>
          <w:kern w:val="0"/>
          <w:sz w:val="24"/>
          <w:szCs w:val="24"/>
          <w14:ligatures w14:val="none"/>
        </w:rPr>
        <w:t xml:space="preserve">iser to the Constituent Assembly, presented a Draft Constitution to the Drafting Committee, which included a section on the Duties of Citizenship. However, this section was ultimately omitted.During the debates of the Constituent Assembly in 1948-49, some </w:t>
      </w:r>
      <w:r>
        <w:rPr>
          <w:rFonts w:ascii="Times New Roman" w:eastAsia="Times New Roman" w:hAnsi="Times New Roman" w:cs="Times New Roman"/>
          <w:color w:val="000000"/>
          <w:kern w:val="0"/>
          <w:sz w:val="24"/>
          <w:szCs w:val="24"/>
          <w14:ligatures w14:val="none"/>
        </w:rPr>
        <w:t>members proposed the inclusion of citizens' duties, obligations, or responsibilities in the Constitution. Others argued that every right inherently implies and includes a corresponding duty, assuming that citizens would fulfill their duties without explici</w:t>
      </w:r>
      <w:r>
        <w:rPr>
          <w:rFonts w:ascii="Times New Roman" w:eastAsia="Times New Roman" w:hAnsi="Times New Roman" w:cs="Times New Roman"/>
          <w:color w:val="000000"/>
          <w:kern w:val="0"/>
          <w:sz w:val="24"/>
          <w:szCs w:val="24"/>
          <w14:ligatures w14:val="none"/>
        </w:rPr>
        <w:t>t mention.Nearly two decades later, in 1969, the Supreme Court acknowledged the existence of constitutional duties of citizens and recognized Part IV of the Constitution, which outlines the Directive Principles of State Policy (DPSP), as the source of thes</w:t>
      </w:r>
      <w:r>
        <w:rPr>
          <w:rFonts w:ascii="Times New Roman" w:eastAsia="Times New Roman" w:hAnsi="Times New Roman" w:cs="Times New Roman"/>
          <w:color w:val="000000"/>
          <w:kern w:val="0"/>
          <w:sz w:val="24"/>
          <w:szCs w:val="24"/>
          <w14:ligatures w14:val="none"/>
        </w:rPr>
        <w:t xml:space="preserve">e duties. After that The 1976 constitutional amendment in India incorporated the responsibility of citizens to safeguard and enhance the natural environment. This inclusion can be attributed to both internal factors, such as the influence of a charismatic </w:t>
      </w:r>
      <w:r>
        <w:rPr>
          <w:rFonts w:ascii="Times New Roman" w:eastAsia="Times New Roman" w:hAnsi="Times New Roman" w:cs="Times New Roman"/>
          <w:color w:val="000000"/>
          <w:kern w:val="0"/>
          <w:sz w:val="24"/>
          <w:szCs w:val="24"/>
          <w14:ligatures w14:val="none"/>
        </w:rPr>
        <w:t>political leader, and external factors, such as their participation in an international environmental conference where the non-binding outcomes played a role.</w:t>
      </w:r>
      <w:r>
        <w:rPr>
          <w:rStyle w:val="FootnoteReference"/>
          <w:rFonts w:ascii="Times New Roman" w:eastAsia="Times New Roman" w:hAnsi="Times New Roman" w:cs="Times New Roman"/>
          <w:color w:val="000000"/>
          <w:kern w:val="0"/>
          <w:sz w:val="24"/>
          <w:szCs w:val="24"/>
          <w14:ligatures w14:val="none"/>
        </w:rPr>
        <w:footnoteReference w:id="3"/>
      </w: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The Judiciary's Interaction with the Constitutional Duty Towards the Environment</w:t>
      </w: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This section </w:t>
      </w:r>
      <w:r>
        <w:rPr>
          <w:rFonts w:ascii="Times New Roman" w:eastAsia="Times New Roman" w:hAnsi="Times New Roman" w:cs="Times New Roman"/>
          <w:color w:val="000000"/>
          <w:kern w:val="0"/>
          <w:sz w:val="24"/>
          <w:szCs w:val="24"/>
          <w14:ligatures w14:val="none"/>
        </w:rPr>
        <w:t>explores how the judiciary's involvement with the constitutional environmental duties of individuals can impact environmental constitutionalism and the objective of environmental protection. It examines judicial practices related to the fundamental environ</w:t>
      </w:r>
      <w:r>
        <w:rPr>
          <w:rFonts w:ascii="Times New Roman" w:eastAsia="Times New Roman" w:hAnsi="Times New Roman" w:cs="Times New Roman"/>
          <w:color w:val="000000"/>
          <w:kern w:val="0"/>
          <w:sz w:val="24"/>
          <w:szCs w:val="24"/>
          <w14:ligatures w14:val="none"/>
        </w:rPr>
        <w:t>mental duty of citizens in India to provide insights into these aspects. The analysis reveals that the judiciary utilizes the constitutional environmental duties of citizens and the State to interpret the constitutional right to life as encompassing a righ</w:t>
      </w:r>
      <w:r>
        <w:rPr>
          <w:rFonts w:ascii="Times New Roman" w:eastAsia="Times New Roman" w:hAnsi="Times New Roman" w:cs="Times New Roman"/>
          <w:color w:val="000000"/>
          <w:kern w:val="0"/>
          <w:sz w:val="24"/>
          <w:szCs w:val="24"/>
          <w14:ligatures w14:val="none"/>
        </w:rPr>
        <w:t>t to environment or to place limitations on other constitutional rights. Additionally, the judiciary establishes connections between the constitutional environmental duties of citizens and the State, deviating from the original constitutional intent and fr</w:t>
      </w:r>
      <w:r>
        <w:rPr>
          <w:rFonts w:ascii="Times New Roman" w:eastAsia="Times New Roman" w:hAnsi="Times New Roman" w:cs="Times New Roman"/>
          <w:color w:val="000000"/>
          <w:kern w:val="0"/>
          <w:sz w:val="24"/>
          <w:szCs w:val="24"/>
          <w14:ligatures w14:val="none"/>
        </w:rPr>
        <w:t>amework of these provisions. Furthermore, the judiciary expands the scope of the fundamental environmental duty of citizens in two significant ways: by recognizing citizens as duty-bearers alongside the State and by acknowledging the environment and future</w:t>
      </w:r>
      <w:r>
        <w:rPr>
          <w:rFonts w:ascii="Times New Roman" w:eastAsia="Times New Roman" w:hAnsi="Times New Roman" w:cs="Times New Roman"/>
          <w:color w:val="000000"/>
          <w:kern w:val="0"/>
          <w:sz w:val="24"/>
          <w:szCs w:val="24"/>
          <w14:ligatures w14:val="none"/>
        </w:rPr>
        <w:t xml:space="preserve"> generations as the corresponding right-holders.</w:t>
      </w:r>
      <w:r>
        <w:rPr>
          <w:rStyle w:val="FootnoteReference"/>
          <w:rFonts w:ascii="Times New Roman" w:eastAsia="Times New Roman" w:hAnsi="Times New Roman" w:cs="Times New Roman"/>
          <w:color w:val="000000"/>
          <w:kern w:val="0"/>
          <w:sz w:val="24"/>
          <w:szCs w:val="24"/>
          <w14:ligatures w14:val="none"/>
        </w:rPr>
        <w:footnoteReference w:id="4"/>
      </w: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Relationship between constitutional environmental duties</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constitutional origin and design differentiate the environmental responsibilities of the State (Part IV) from those of citizens (Part IVA). </w:t>
      </w:r>
      <w:r>
        <w:rPr>
          <w:rFonts w:ascii="Times New Roman" w:eastAsia="Times New Roman" w:hAnsi="Times New Roman" w:cs="Times New Roman"/>
          <w:kern w:val="0"/>
          <w:sz w:val="24"/>
          <w:szCs w:val="24"/>
          <w14:ligatures w14:val="none"/>
        </w:rPr>
        <w:t xml:space="preserve">However, the judiciary tends to blur the distinction between the two. An example of this is the High Court of Himachal Pradesh, which acknowledged the similarities between the constitutional environmental duties of citizens and the State.The Supreme Court </w:t>
      </w:r>
      <w:r>
        <w:rPr>
          <w:rFonts w:ascii="Times New Roman" w:eastAsia="Times New Roman" w:hAnsi="Times New Roman" w:cs="Times New Roman"/>
          <w:kern w:val="0"/>
          <w:sz w:val="24"/>
          <w:szCs w:val="24"/>
          <w14:ligatures w14:val="none"/>
        </w:rPr>
        <w:t>later recognized that Article 51A (g) was added by Parliament to ensure that citizens uphold the spirit and message of Articles 48 and 48A as a fundamental duty. It was also intended to enhance the realization of the objectives stated in Article 48 and 48A</w:t>
      </w:r>
      <w:r>
        <w:rPr>
          <w:rFonts w:ascii="Times New Roman" w:eastAsia="Times New Roman" w:hAnsi="Times New Roman" w:cs="Times New Roman"/>
          <w:kern w:val="0"/>
          <w:sz w:val="24"/>
          <w:szCs w:val="24"/>
          <w14:ligatures w14:val="none"/>
        </w:rPr>
        <w:t>. The Court clarified that while Article 48A focuses on the "environment," Article 51A(g) uses the term "natural environment" which encompasses "forests, lakes, rivers, and wildlife." More recently, certain High Courts have noted that the citizens' fundame</w:t>
      </w:r>
      <w:r>
        <w:rPr>
          <w:rFonts w:ascii="Times New Roman" w:eastAsia="Times New Roman" w:hAnsi="Times New Roman" w:cs="Times New Roman"/>
          <w:kern w:val="0"/>
          <w:sz w:val="24"/>
          <w:szCs w:val="24"/>
          <w14:ligatures w14:val="none"/>
        </w:rPr>
        <w:t>ntal environmental duty aligns with the State's duty outlined in Directive Principles of State Policy (DPSP). Although the judiciary does not elaborate further on these observations, these decisions continue to influence how the fundamental environmental d</w:t>
      </w:r>
      <w:r>
        <w:rPr>
          <w:rFonts w:ascii="Times New Roman" w:eastAsia="Times New Roman" w:hAnsi="Times New Roman" w:cs="Times New Roman"/>
          <w:kern w:val="0"/>
          <w:sz w:val="24"/>
          <w:szCs w:val="24"/>
          <w14:ligatures w14:val="none"/>
        </w:rPr>
        <w:t>uty is interpreted in judicial rulings.</w:t>
      </w:r>
      <w:r>
        <w:rPr>
          <w:rStyle w:val="FootnoteReference"/>
          <w:rFonts w:ascii="Times New Roman" w:eastAsia="Times New Roman" w:hAnsi="Times New Roman" w:cs="Times New Roman"/>
          <w:kern w:val="0"/>
          <w:sz w:val="24"/>
          <w:szCs w:val="24"/>
          <w14:ligatures w14:val="none"/>
        </w:rPr>
        <w:footnoteReference w:id="5"/>
      </w:r>
    </w:p>
    <w:p w:rsidR="008163B8" w:rsidRDefault="008163B8">
      <w:pPr>
        <w:spacing w:after="200" w:line="360" w:lineRule="auto"/>
        <w:jc w:val="both"/>
        <w:rPr>
          <w:rFonts w:ascii="Times New Roman" w:eastAsia="Times New Roman" w:hAnsi="Times New Roman" w:cs="Times New Roman"/>
          <w:kern w:val="0"/>
          <w:sz w:val="24"/>
          <w:szCs w:val="24"/>
          <w14:ligatures w14:val="none"/>
        </w:rPr>
      </w:pPr>
    </w:p>
    <w:p w:rsidR="008163B8" w:rsidRDefault="00D77193">
      <w:pPr>
        <w:spacing w:after="20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Transformative Constitutionalism in South Africa</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many parts of Africa, the attainment of independence from colonial rule did not bring about the anticipated freedom, democracy, and prosperity. Instead, the post-</w:t>
      </w:r>
      <w:r>
        <w:rPr>
          <w:rFonts w:ascii="Times New Roman" w:eastAsia="Times New Roman" w:hAnsi="Times New Roman" w:cs="Times New Roman"/>
          <w:kern w:val="0"/>
          <w:sz w:val="24"/>
          <w:szCs w:val="24"/>
          <w14:ligatures w14:val="none"/>
        </w:rPr>
        <w:t>colonial era, particularly in the early years, was marked by political instability, military coups, dictatorship, civil unrest, corruption, human rights violations, and widespread suffering. This situation can be likened to George Orwell's "Animal Farm," w</w:t>
      </w:r>
      <w:r>
        <w:rPr>
          <w:rFonts w:ascii="Times New Roman" w:eastAsia="Times New Roman" w:hAnsi="Times New Roman" w:cs="Times New Roman"/>
          <w:kern w:val="0"/>
          <w:sz w:val="24"/>
          <w:szCs w:val="24"/>
          <w14:ligatures w14:val="none"/>
        </w:rPr>
        <w:t>here the replacement of one oppressor with another occurred. Similarly, when the South African Republic was formed in 1961, ending allegiance to the British Crown, it did not bring significant benefits to the African majority. Instead, it perpetuated and p</w:t>
      </w:r>
      <w:r>
        <w:rPr>
          <w:rFonts w:ascii="Times New Roman" w:eastAsia="Times New Roman" w:hAnsi="Times New Roman" w:cs="Times New Roman"/>
          <w:kern w:val="0"/>
          <w:sz w:val="24"/>
          <w:szCs w:val="24"/>
          <w14:ligatures w14:val="none"/>
        </w:rPr>
        <w:t>erfected the existing misery under the apartheid regime. South Africa's experience under apartheid shares similarities with the colonial experiences in the rest of Africa, including racial segregation, discrimination, disenfranchisement, dispossession, pol</w:t>
      </w:r>
      <w:r>
        <w:rPr>
          <w:rFonts w:ascii="Times New Roman" w:eastAsia="Times New Roman" w:hAnsi="Times New Roman" w:cs="Times New Roman"/>
          <w:kern w:val="0"/>
          <w:sz w:val="24"/>
          <w:szCs w:val="24"/>
          <w14:ligatures w14:val="none"/>
        </w:rPr>
        <w:t>itical exclusion, and socio-economic underdevelopment. Although South Africa's transition from apartheid cannot be considered decolonization in the same manner as the rest of Africa's liberation from European colonial rule, it was a process of liberation f</w:t>
      </w:r>
      <w:r>
        <w:rPr>
          <w:rFonts w:ascii="Times New Roman" w:eastAsia="Times New Roman" w:hAnsi="Times New Roman" w:cs="Times New Roman"/>
          <w:kern w:val="0"/>
          <w:sz w:val="24"/>
          <w:szCs w:val="24"/>
          <w14:ligatures w14:val="none"/>
        </w:rPr>
        <w:t>rom a similar plight. Thus, the transition in South Africa, following the multi-racial elections of 1994, can be compared to the liberation of the rest of Africa, as governance and the power to shape the country's future were now in the hands of a popularl</w:t>
      </w:r>
      <w:r>
        <w:rPr>
          <w:rFonts w:ascii="Times New Roman" w:eastAsia="Times New Roman" w:hAnsi="Times New Roman" w:cs="Times New Roman"/>
          <w:kern w:val="0"/>
          <w:sz w:val="24"/>
          <w:szCs w:val="24"/>
          <w14:ligatures w14:val="none"/>
        </w:rPr>
        <w:t>y-elected government comprising primarily of the previously marginalized black majority.</w:t>
      </w:r>
    </w:p>
    <w:p w:rsidR="008163B8" w:rsidRDefault="008163B8">
      <w:pPr>
        <w:spacing w:after="200" w:line="360" w:lineRule="auto"/>
        <w:jc w:val="both"/>
        <w:rPr>
          <w:rFonts w:ascii="Times New Roman" w:eastAsia="Times New Roman" w:hAnsi="Times New Roman" w:cs="Times New Roman"/>
          <w:kern w:val="0"/>
          <w:sz w:val="24"/>
          <w:szCs w:val="24"/>
          <w14:ligatures w14:val="none"/>
        </w:rPr>
      </w:pP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The Evolution of Constitutionalism and the Preservation of Rights in Africa</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pursuit of a balance between anarchy and tyranny has been a central concern in constit</w:t>
      </w:r>
      <w:r>
        <w:rPr>
          <w:rFonts w:ascii="Times New Roman" w:eastAsia="Times New Roman" w:hAnsi="Times New Roman" w:cs="Times New Roman"/>
          <w:kern w:val="0"/>
          <w:sz w:val="24"/>
          <w:szCs w:val="24"/>
          <w14:ligatures w14:val="none"/>
        </w:rPr>
        <w:t xml:space="preserve">utional law and the essence of constitutionalism. The main purpose of constitutions is to establish a framework for the exercise of public power, ensuring that the government is neither weak nor despotic. Constitutionalism, therefore, promotes the idea of </w:t>
      </w:r>
      <w:r>
        <w:rPr>
          <w:rFonts w:ascii="Times New Roman" w:eastAsia="Times New Roman" w:hAnsi="Times New Roman" w:cs="Times New Roman"/>
          <w:kern w:val="0"/>
          <w:sz w:val="24"/>
          <w:szCs w:val="24"/>
          <w14:ligatures w14:val="none"/>
        </w:rPr>
        <w:t>a government that is limited by the law, with the constitution holding the highest authority in the legal hierarchy. Fundamental elements of constitutionalism include safeguarding basic rights and freedoms, the separation of powers, an independent judiciar</w:t>
      </w:r>
      <w:r>
        <w:rPr>
          <w:rFonts w:ascii="Times New Roman" w:eastAsia="Times New Roman" w:hAnsi="Times New Roman" w:cs="Times New Roman"/>
          <w:kern w:val="0"/>
          <w:sz w:val="24"/>
          <w:szCs w:val="24"/>
          <w14:ligatures w14:val="none"/>
        </w:rPr>
        <w:t>y, the review of laws for constitutionality, and regulation of constitutional amendments. However, it is important to note that these elements alone do not guarantee constitutionalism. A crucial aspect of constitutional justice is the provision of a mechan</w:t>
      </w:r>
      <w:r>
        <w:rPr>
          <w:rFonts w:ascii="Times New Roman" w:eastAsia="Times New Roman" w:hAnsi="Times New Roman" w:cs="Times New Roman"/>
          <w:kern w:val="0"/>
          <w:sz w:val="24"/>
          <w:szCs w:val="24"/>
          <w14:ligatures w14:val="none"/>
        </w:rPr>
        <w:t>ism for citizens to seek legal recourse in courts for constitutional violations and to enforce constitutional obligations. Additionally, constitutionalism requires a commitment from the political elite to respect and abide by constitutional limits, as mere</w:t>
      </w:r>
      <w:r>
        <w:rPr>
          <w:rFonts w:ascii="Times New Roman" w:eastAsia="Times New Roman" w:hAnsi="Times New Roman" w:cs="Times New Roman"/>
          <w:kern w:val="0"/>
          <w:sz w:val="24"/>
          <w:szCs w:val="24"/>
          <w14:ligatures w14:val="none"/>
        </w:rPr>
        <w:t xml:space="preserve"> existence of constitutions does not guarantee their meaningful implementation.</w:t>
      </w:r>
    </w:p>
    <w:p w:rsidR="008163B8" w:rsidRDefault="008163B8">
      <w:pPr>
        <w:spacing w:after="200" w:line="360" w:lineRule="auto"/>
        <w:jc w:val="both"/>
        <w:rPr>
          <w:rFonts w:ascii="Times New Roman" w:eastAsia="Times New Roman" w:hAnsi="Times New Roman" w:cs="Times New Roman"/>
          <w:kern w:val="0"/>
          <w:sz w:val="24"/>
          <w:szCs w:val="24"/>
          <w14:ligatures w14:val="none"/>
        </w:rPr>
      </w:pP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post-colonial Africa, constitutionalism has been a challenging concept to achieve. Scholars have noted the absence of constitutionalism despite the presence of </w:t>
      </w:r>
      <w:r>
        <w:rPr>
          <w:rFonts w:ascii="Times New Roman" w:eastAsia="Times New Roman" w:hAnsi="Times New Roman" w:cs="Times New Roman"/>
          <w:kern w:val="0"/>
          <w:sz w:val="24"/>
          <w:szCs w:val="24"/>
          <w14:ligatures w14:val="none"/>
        </w:rPr>
        <w:t>constitutions in many African countries. After gaining independence, numerous constitutions were disregarded by despotic leaders who showed little regard for the rule of law. The early years of independence were marked by the rule of "founding fathers" who</w:t>
      </w:r>
      <w:r>
        <w:rPr>
          <w:rFonts w:ascii="Times New Roman" w:eastAsia="Times New Roman" w:hAnsi="Times New Roman" w:cs="Times New Roman"/>
          <w:kern w:val="0"/>
          <w:sz w:val="24"/>
          <w:szCs w:val="24"/>
          <w14:ligatures w14:val="none"/>
        </w:rPr>
        <w:t xml:space="preserve"> considered themselves above accountability and immune to legal challenges. These leaders were idolized and often viewed as being above the law. The presidents of Kenya, such as Jomo Kenyatta and Daniel arap Moi, were revered and believed to have constitut</w:t>
      </w:r>
      <w:r>
        <w:rPr>
          <w:rFonts w:ascii="Times New Roman" w:eastAsia="Times New Roman" w:hAnsi="Times New Roman" w:cs="Times New Roman"/>
          <w:kern w:val="0"/>
          <w:sz w:val="24"/>
          <w:szCs w:val="24"/>
          <w14:ligatures w14:val="none"/>
        </w:rPr>
        <w:t>ional immunity. Similar situations occurred in Ghana, Zimbabwe, Malawi, Uganda, and Guinea, where charismatic leaders consolidated power, subverted democracy, and weakened institutions through the manipulation, disregard, or amendment of constitutions. Thi</w:t>
      </w:r>
      <w:r>
        <w:rPr>
          <w:rFonts w:ascii="Times New Roman" w:eastAsia="Times New Roman" w:hAnsi="Times New Roman" w:cs="Times New Roman"/>
          <w:kern w:val="0"/>
          <w:sz w:val="24"/>
          <w:szCs w:val="24"/>
          <w14:ligatures w14:val="none"/>
        </w:rPr>
        <w:t>s lack of accountability resulted in corruption, political repression, and human rights abuses. Consequently, the blame for failed constitutionalism and the subsequent suffering is often placed on these generations of African leaders and their regimes.</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Whi</w:t>
      </w:r>
      <w:r>
        <w:rPr>
          <w:rFonts w:ascii="Times New Roman" w:eastAsia="Times New Roman" w:hAnsi="Times New Roman" w:cs="Times New Roman"/>
          <w:kern w:val="0"/>
          <w:sz w:val="24"/>
          <w:szCs w:val="24"/>
          <w14:ligatures w14:val="none"/>
        </w:rPr>
        <w:t>le some post-independence constitutions, like Kenya's, initially established frameworks for multiparty democracy and human rights protection, the subsequent era was characterized by one-party rule, personal presidential dictatorships, or military juntas. M</w:t>
      </w:r>
      <w:r>
        <w:rPr>
          <w:rFonts w:ascii="Times New Roman" w:eastAsia="Times New Roman" w:hAnsi="Times New Roman" w:cs="Times New Roman"/>
          <w:kern w:val="0"/>
          <w:sz w:val="24"/>
          <w:szCs w:val="24"/>
          <w14:ligatures w14:val="none"/>
        </w:rPr>
        <w:t>any post-colonial governments suppressed political opposition and failed to implement significant social, political, and economic reforms. Kenya, for instance, experienced four decades of dominance by the independence party and a complete intolerance of po</w:t>
      </w:r>
      <w:r>
        <w:rPr>
          <w:rFonts w:ascii="Times New Roman" w:eastAsia="Times New Roman" w:hAnsi="Times New Roman" w:cs="Times New Roman"/>
          <w:kern w:val="0"/>
          <w:sz w:val="24"/>
          <w:szCs w:val="24"/>
          <w14:ligatures w14:val="none"/>
        </w:rPr>
        <w:t>litical competition under personal presidential rule. Similar situations arose in Ghana, Zimbabwe, Malawi, Uganda, Guinea, and Nigeria during military rule.</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apartheid regime in South Africa is well-documented for its systemic racial discrimination, mar</w:t>
      </w:r>
      <w:r>
        <w:rPr>
          <w:rFonts w:ascii="Times New Roman" w:eastAsia="Times New Roman" w:hAnsi="Times New Roman" w:cs="Times New Roman"/>
          <w:kern w:val="0"/>
          <w:sz w:val="24"/>
          <w:szCs w:val="24"/>
          <w14:ligatures w14:val="none"/>
        </w:rPr>
        <w:t>ginalization, and dispossession, which were enforced through discriminatory laws. Dissidents faced violence, resulting in tragic consequences such as death, torture, detention without trial, and imprisonment. The following section highlights the failure of</w:t>
      </w:r>
      <w:r>
        <w:rPr>
          <w:rFonts w:ascii="Times New Roman" w:eastAsia="Times New Roman" w:hAnsi="Times New Roman" w:cs="Times New Roman"/>
          <w:kern w:val="0"/>
          <w:sz w:val="24"/>
          <w:szCs w:val="24"/>
          <w14:ligatures w14:val="none"/>
        </w:rPr>
        <w:t xml:space="preserve"> courts to effectively uphold constitutionalism and the rule of law during periods of dictatorship and political repression.</w:t>
      </w:r>
      <w:r>
        <w:rPr>
          <w:rStyle w:val="FootnoteReference"/>
          <w:rFonts w:ascii="Times New Roman" w:eastAsia="Times New Roman" w:hAnsi="Times New Roman" w:cs="Times New Roman"/>
          <w:kern w:val="0"/>
          <w:sz w:val="24"/>
          <w:szCs w:val="24"/>
          <w14:ligatures w14:val="none"/>
        </w:rPr>
        <w:footnoteReference w:id="6"/>
      </w:r>
    </w:p>
    <w:p w:rsidR="008163B8" w:rsidRDefault="00D77193">
      <w:pPr>
        <w:spacing w:after="20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In Africa, when constitutionalism falters and human rights abuses prevail, the courts assume a pivotal role.</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In the context of fai</w:t>
      </w:r>
      <w:r>
        <w:rPr>
          <w:rFonts w:ascii="Times New Roman" w:eastAsia="Times New Roman" w:hAnsi="Times New Roman" w:cs="Times New Roman"/>
          <w:kern w:val="0"/>
          <w:sz w:val="24"/>
          <w:szCs w:val="24"/>
          <w14:ligatures w14:val="none"/>
        </w:rPr>
        <w:t>led constitutionalism and human rights abuses in Africa, courts of law are expected to uphold the rule of law, constitutional principles, and fundamental rights. However, the reality often reveals that the state and its agents, who should be upholding thes</w:t>
      </w:r>
      <w:r>
        <w:rPr>
          <w:rFonts w:ascii="Times New Roman" w:eastAsia="Times New Roman" w:hAnsi="Times New Roman" w:cs="Times New Roman"/>
          <w:kern w:val="0"/>
          <w:sz w:val="24"/>
          <w:szCs w:val="24"/>
          <w14:ligatures w14:val="none"/>
        </w:rPr>
        <w:t xml:space="preserve">e values, end up violating them due to the inconveniences they pose to those in power. This raises questions about how the courts fulfilled their constitutional responsibilities in the face of despotic and repressive regimes, particularly during the early </w:t>
      </w:r>
      <w:r>
        <w:rPr>
          <w:rFonts w:ascii="Times New Roman" w:eastAsia="Times New Roman" w:hAnsi="Times New Roman" w:cs="Times New Roman"/>
          <w:kern w:val="0"/>
          <w:sz w:val="24"/>
          <w:szCs w:val="24"/>
          <w14:ligatures w14:val="none"/>
        </w:rPr>
        <w:t xml:space="preserve">years of Africa's independence. The courts' response to political repression and human rights abuses by the state in post-colonial Africa varied, but a general pattern emerges: the courts were either ineffective or complicit. Several examples support this </w:t>
      </w:r>
      <w:r>
        <w:rPr>
          <w:rFonts w:ascii="Times New Roman" w:eastAsia="Times New Roman" w:hAnsi="Times New Roman" w:cs="Times New Roman"/>
          <w:kern w:val="0"/>
          <w:sz w:val="24"/>
          <w:szCs w:val="24"/>
          <w14:ligatures w14:val="none"/>
        </w:rPr>
        <w:t xml:space="preserve">claim. For instance, in Kenya, during the era of one-party rule, the judiciary struggled to protect and enforce human rights against a despotic executive. </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The judiciary often avoided making decisions that could upset the President, as seen in the case of </w:t>
      </w:r>
      <w:r>
        <w:rPr>
          <w:rFonts w:ascii="Times New Roman" w:eastAsia="Times New Roman" w:hAnsi="Times New Roman" w:cs="Times New Roman"/>
          <w:kern w:val="0"/>
          <w:sz w:val="24"/>
          <w:szCs w:val="24"/>
          <w14:ligatures w14:val="none"/>
        </w:rPr>
        <w:t>Matiba v Moi. In this case, an election petition challenging the incumbent President Moi's victory was dismissed based on a technicality—the petitioner had not personally signed the petition as required by the election law. The court disregarded the substa</w:t>
      </w:r>
      <w:r>
        <w:rPr>
          <w:rFonts w:ascii="Times New Roman" w:eastAsia="Times New Roman" w:hAnsi="Times New Roman" w:cs="Times New Roman"/>
          <w:kern w:val="0"/>
          <w:sz w:val="24"/>
          <w:szCs w:val="24"/>
          <w14:ligatures w14:val="none"/>
        </w:rPr>
        <w:t>ntive issues raised and denied the petitioner justice based on this technicality. Similar instances occurred in subsequent elections, where petitions were dismissed due to technicalities, preventing the petitioners from receiving justice.</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Another case, Gi</w:t>
      </w:r>
      <w:r>
        <w:rPr>
          <w:rFonts w:ascii="Times New Roman" w:eastAsia="Times New Roman" w:hAnsi="Times New Roman" w:cs="Times New Roman"/>
          <w:kern w:val="0"/>
          <w:sz w:val="24"/>
          <w:szCs w:val="24"/>
          <w14:ligatures w14:val="none"/>
        </w:rPr>
        <w:t>bson Kamau Kuria v Attorney-General, highlights the courts' complicity or helplessness in safeguarding fundamental rights and the rule of law during the one-party era in Kenya. In this case, a human rights defender's passport was confiscated by the governm</w:t>
      </w:r>
      <w:r>
        <w:rPr>
          <w:rFonts w:ascii="Times New Roman" w:eastAsia="Times New Roman" w:hAnsi="Times New Roman" w:cs="Times New Roman"/>
          <w:kern w:val="0"/>
          <w:sz w:val="24"/>
          <w:szCs w:val="24"/>
          <w14:ligatures w14:val="none"/>
        </w:rPr>
        <w:t>ent to prevent him from traveling to receive an international award. The High Court dismissed his case, claiming that it could not enforce the right to freedom of movement because the Chief Justice had not established rules to guide the litigation process.</w:t>
      </w:r>
      <w:r>
        <w:rPr>
          <w:rFonts w:ascii="Times New Roman" w:eastAsia="Times New Roman" w:hAnsi="Times New Roman" w:cs="Times New Roman"/>
          <w:kern w:val="0"/>
          <w:sz w:val="24"/>
          <w:szCs w:val="24"/>
          <w14:ligatures w14:val="none"/>
        </w:rPr>
        <w:t xml:space="preserve"> This decision prioritized technicalities over the protection of fundamental rights, despite previous instances where courts had enforced rights without such hindrances. This suggests that the court resorted to technicalities to conveniently avoid challeng</w:t>
      </w:r>
      <w:r>
        <w:rPr>
          <w:rFonts w:ascii="Times New Roman" w:eastAsia="Times New Roman" w:hAnsi="Times New Roman" w:cs="Times New Roman"/>
          <w:kern w:val="0"/>
          <w:sz w:val="24"/>
          <w:szCs w:val="24"/>
          <w14:ligatures w14:val="none"/>
        </w:rPr>
        <w:t>ing the executive, which was determined to frustrate the petitioner.</w:t>
      </w:r>
    </w:p>
    <w:p w:rsidR="008163B8" w:rsidRDefault="008163B8">
      <w:pPr>
        <w:spacing w:after="200" w:line="360" w:lineRule="auto"/>
        <w:ind w:left="720"/>
        <w:jc w:val="both"/>
        <w:rPr>
          <w:rFonts w:ascii="Times New Roman" w:eastAsia="Times New Roman" w:hAnsi="Times New Roman" w:cs="Times New Roman"/>
          <w:kern w:val="0"/>
          <w:sz w:val="24"/>
          <w:szCs w:val="24"/>
          <w14:ligatures w14:val="none"/>
        </w:rPr>
      </w:pP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Transformative Environmental Constitutionalism: A new concept in South Africa</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Transformative Environmental Constitutionalism combines the concepts of transformative Constitutionalism and</w:t>
      </w:r>
      <w:r>
        <w:rPr>
          <w:rFonts w:ascii="Times New Roman" w:eastAsia="Times New Roman" w:hAnsi="Times New Roman" w:cs="Times New Roman"/>
          <w:color w:val="000000"/>
          <w:kern w:val="0"/>
          <w:sz w:val="24"/>
          <w:szCs w:val="24"/>
          <w14:ligatures w14:val="none"/>
        </w:rPr>
        <w:t xml:space="preserve"> environmental Constitutionalism. Environmental Constitutionalism is a recently introduced global concept that recognizes the environment as a subject of constitutional protection. In African environmental law, there should be a shift towards an ecocentric</w:t>
      </w:r>
      <w:r>
        <w:rPr>
          <w:rFonts w:ascii="Times New Roman" w:eastAsia="Times New Roman" w:hAnsi="Times New Roman" w:cs="Times New Roman"/>
          <w:color w:val="000000"/>
          <w:kern w:val="0"/>
          <w:sz w:val="24"/>
          <w:szCs w:val="24"/>
          <w14:ligatures w14:val="none"/>
        </w:rPr>
        <w:t xml:space="preserve"> approach when creating laws aimed at conserving biodiversity and addressing global environmental issues. This approach acknowledges the inherent value of all life on Earth, including non-human life, regardless of human perception. Transformative Environme</w:t>
      </w:r>
      <w:r>
        <w:rPr>
          <w:rFonts w:ascii="Times New Roman" w:eastAsia="Times New Roman" w:hAnsi="Times New Roman" w:cs="Times New Roman"/>
          <w:color w:val="000000"/>
          <w:kern w:val="0"/>
          <w:sz w:val="24"/>
          <w:szCs w:val="24"/>
          <w14:ligatures w14:val="none"/>
        </w:rPr>
        <w:t>ntal Constitutionalism argues that there is a lack of genuine ecocentric legal rights concerning nature, and therefore, we should explore the potential for ecocentric applications in response to the challenges of the Anthropocene era. This perspective sugg</w:t>
      </w:r>
      <w:r>
        <w:rPr>
          <w:rFonts w:ascii="Times New Roman" w:eastAsia="Times New Roman" w:hAnsi="Times New Roman" w:cs="Times New Roman"/>
          <w:color w:val="000000"/>
          <w:kern w:val="0"/>
          <w:sz w:val="24"/>
          <w:szCs w:val="24"/>
          <w14:ligatures w14:val="none"/>
        </w:rPr>
        <w:t>ests a need for a specific approach to "greening the judiciary".</w:t>
      </w:r>
      <w:r>
        <w:rPr>
          <w:rStyle w:val="FootnoteReference"/>
          <w:rFonts w:ascii="Times New Roman" w:eastAsia="Times New Roman" w:hAnsi="Times New Roman" w:cs="Times New Roman"/>
          <w:color w:val="000000"/>
          <w:kern w:val="0"/>
          <w:sz w:val="24"/>
          <w:szCs w:val="24"/>
          <w14:ligatures w14:val="none"/>
        </w:rPr>
        <w:footnoteReference w:id="7"/>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Eco-centric environmental laws in South Africa in light of the Kruger case</w:t>
      </w:r>
    </w:p>
    <w:p w:rsidR="008163B8" w:rsidRDefault="00D77193">
      <w:pPr>
        <w:spacing w:after="200" w:line="36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The High Court of South Africa, in its plea for administrative justice law, predominantly adopts a homocentric </w:t>
      </w:r>
      <w:r>
        <w:rPr>
          <w:rFonts w:ascii="Times New Roman" w:eastAsia="Times New Roman" w:hAnsi="Times New Roman" w:cs="Times New Roman"/>
          <w:color w:val="000000"/>
          <w:kern w:val="0"/>
          <w:sz w:val="24"/>
          <w:szCs w:val="24"/>
          <w14:ligatures w14:val="none"/>
        </w:rPr>
        <w:t>perspective, neglecting to consider the impact of litigation on rhinos. Consequently, the potential of substantive environmental laws and principles that embrace an ecocentric orientation remains largely unrecognized or overlooked.</w:t>
      </w:r>
    </w:p>
    <w:p w:rsidR="008163B8" w:rsidRDefault="008163B8">
      <w:pPr>
        <w:spacing w:after="200" w:line="360" w:lineRule="auto"/>
        <w:ind w:left="720"/>
        <w:jc w:val="both"/>
        <w:rPr>
          <w:rFonts w:ascii="Times New Roman" w:eastAsia="Times New Roman" w:hAnsi="Times New Roman" w:cs="Times New Roman"/>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Statement of Western Ca</w:t>
      </w:r>
      <w:r>
        <w:rPr>
          <w:rFonts w:ascii="Times New Roman" w:eastAsia="Times New Roman" w:hAnsi="Times New Roman" w:cs="Times New Roman"/>
          <w:b/>
          <w:bCs/>
          <w:color w:val="000000"/>
          <w:kern w:val="0"/>
          <w:sz w:val="24"/>
          <w:szCs w:val="24"/>
          <w14:ligatures w14:val="none"/>
        </w:rPr>
        <w:t>pe High Court in Kruger Case</w:t>
      </w:r>
    </w:p>
    <w:p w:rsidR="008163B8" w:rsidRDefault="00D77193">
      <w:pPr>
        <w:spacing w:after="200" w:line="360" w:lineRule="auto"/>
        <w:ind w:right="720"/>
        <w:jc w:val="both"/>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color w:val="000000"/>
          <w:kern w:val="0"/>
          <w:sz w:val="24"/>
          <w:szCs w:val="24"/>
          <w14:ligatures w14:val="none"/>
        </w:rPr>
        <w:t>Legodi J would have incorporated the NEMA principles into the Kruger project to promote a more environmentally friendly approach. In a legal case regarding the assessment of a coal-fired power station's approval without conside</w:t>
      </w:r>
      <w:r>
        <w:rPr>
          <w:rFonts w:ascii="Times New Roman" w:eastAsia="Times New Roman" w:hAnsi="Times New Roman" w:cs="Times New Roman"/>
          <w:color w:val="000000"/>
          <w:kern w:val="0"/>
          <w:sz w:val="24"/>
          <w:szCs w:val="24"/>
          <w14:ligatures w14:val="none"/>
        </w:rPr>
        <w:t>ring climate change impacts, the Western Cape High Court clarified that the directive principles outlined in NEMA serve as guidelines for all government entities. These principles direct the interpretation, administration, and execution of NEMA, as well as</w:t>
      </w:r>
      <w:r>
        <w:rPr>
          <w:rFonts w:ascii="Times New Roman" w:eastAsia="Times New Roman" w:hAnsi="Times New Roman" w:cs="Times New Roman"/>
          <w:color w:val="000000"/>
          <w:kern w:val="0"/>
          <w:sz w:val="24"/>
          <w:szCs w:val="24"/>
          <w14:ligatures w14:val="none"/>
        </w:rPr>
        <w:t xml:space="preserve"> other environmental protection or management laws. Competent authorities must consider these directive principles when evaluating applications for environmental authorization.</w:t>
      </w:r>
      <w:r>
        <w:rPr>
          <w:rStyle w:val="FootnoteReference"/>
          <w:rFonts w:ascii="Times New Roman" w:eastAsia="Times New Roman" w:hAnsi="Times New Roman" w:cs="Times New Roman"/>
          <w:color w:val="000000"/>
          <w:kern w:val="0"/>
          <w:sz w:val="24"/>
          <w:szCs w:val="24"/>
          <w14:ligatures w14:val="none"/>
        </w:rPr>
        <w:footnoteReference w:id="8"/>
      </w: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Role of Indian Judiciary ( 1967-73)</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I.C. Golaknath &amp; Ors vs State of Punjab &amp;</w:t>
      </w:r>
      <w:r>
        <w:rPr>
          <w:rFonts w:ascii="Times New Roman" w:eastAsia="Times New Roman" w:hAnsi="Times New Roman" w:cs="Times New Roman"/>
          <w:b/>
          <w:bCs/>
          <w:i/>
          <w:iCs/>
          <w:color w:val="000000"/>
          <w:kern w:val="0"/>
          <w:sz w:val="24"/>
          <w:szCs w:val="24"/>
          <w14:ligatures w14:val="none"/>
        </w:rPr>
        <w:t xml:space="preserve"> Anrs (1967):</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iCs/>
          <w:color w:val="000000"/>
          <w:kern w:val="0"/>
          <w:sz w:val="24"/>
          <w:szCs w:val="24"/>
          <w14:ligatures w14:val="none"/>
        </w:rPr>
        <w:t>The Supreme Court, in addressing the Constitutional validity of the 17th Amendment, introduced the concept of "prospective overruling." It concluded that Parliament lacked the authority to amend Part III of the Constitution, which encompasses</w:t>
      </w:r>
      <w:r>
        <w:rPr>
          <w:rFonts w:ascii="Times New Roman" w:eastAsia="Times New Roman" w:hAnsi="Times New Roman" w:cs="Times New Roman"/>
          <w:iCs/>
          <w:color w:val="000000"/>
          <w:kern w:val="0"/>
          <w:sz w:val="24"/>
          <w:szCs w:val="24"/>
          <w14:ligatures w14:val="none"/>
        </w:rPr>
        <w:t xml:space="preserve"> fundamental rights, with the intention to diminish or curtail them</w:t>
      </w:r>
      <w:r>
        <w:rPr>
          <w:rFonts w:ascii="Times New Roman" w:eastAsia="Times New Roman" w:hAnsi="Times New Roman" w:cs="Times New Roman"/>
          <w:color w:val="000000"/>
          <w:kern w:val="0"/>
          <w:sz w:val="24"/>
          <w:szCs w:val="24"/>
          <w14:ligatures w14:val="none"/>
        </w:rPr>
        <w:t>”.</w:t>
      </w:r>
      <w:r>
        <w:rPr>
          <w:rStyle w:val="FootnoteReference"/>
          <w:rFonts w:ascii="Times New Roman" w:eastAsia="Times New Roman" w:hAnsi="Times New Roman" w:cs="Times New Roman"/>
          <w:color w:val="000000"/>
          <w:kern w:val="0"/>
          <w:sz w:val="24"/>
          <w:szCs w:val="24"/>
          <w14:ligatures w14:val="none"/>
        </w:rPr>
        <w:footnoteReference w:id="9"/>
      </w:r>
    </w:p>
    <w:p w:rsidR="008163B8" w:rsidRDefault="008163B8">
      <w:pPr>
        <w:spacing w:after="0" w:line="360" w:lineRule="auto"/>
        <w:rPr>
          <w:rFonts w:ascii="Times New Roman" w:eastAsia="Times New Roman" w:hAnsi="Times New Roman" w:cs="Times New Roman"/>
          <w:kern w:val="0"/>
          <w:sz w:val="24"/>
          <w:szCs w:val="24"/>
          <w14:ligatures w14:val="none"/>
        </w:rPr>
      </w:pPr>
    </w:p>
    <w:p w:rsidR="008163B8" w:rsidRDefault="00D77193">
      <w:pPr>
        <w:spacing w:after="200" w:line="360" w:lineRule="auto"/>
        <w:ind w:right="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R C Cooper v Union of India(1970)</w:t>
      </w:r>
      <w:r>
        <w:rPr>
          <w:rStyle w:val="FootnoteReference"/>
          <w:rFonts w:ascii="Times New Roman" w:eastAsia="Times New Roman" w:hAnsi="Times New Roman" w:cs="Times New Roman"/>
          <w:b/>
          <w:bCs/>
          <w:i/>
          <w:iCs/>
          <w:color w:val="000000"/>
          <w:kern w:val="0"/>
          <w:sz w:val="24"/>
          <w:szCs w:val="24"/>
          <w14:ligatures w14:val="none"/>
        </w:rPr>
        <w:footnoteReference w:id="10"/>
      </w:r>
      <w:r>
        <w:rPr>
          <w:rFonts w:ascii="Times New Roman" w:eastAsia="Times New Roman" w:hAnsi="Times New Roman" w:cs="Times New Roman"/>
          <w:b/>
          <w:bCs/>
          <w:i/>
          <w:i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 xml:space="preserve">The validity of the Banking Companies (Acquisition and Transfer of Undertakings) Act, popularly known as the Bank Nationalisation Act, was brought </w:t>
      </w:r>
      <w:r>
        <w:rPr>
          <w:rFonts w:ascii="Times New Roman" w:eastAsia="Times New Roman" w:hAnsi="Times New Roman" w:cs="Times New Roman"/>
          <w:color w:val="000000"/>
          <w:kern w:val="0"/>
          <w:sz w:val="24"/>
          <w:szCs w:val="24"/>
          <w14:ligatures w14:val="none"/>
        </w:rPr>
        <w:t>into question concerning the legislative authority of Parliament. The Act was deemed unconstitutional primarily due to its unreasonableness, as it imposed restrictions on banks to engage in "non-banking business," effectively rendering them unable to condu</w:t>
      </w:r>
      <w:r>
        <w:rPr>
          <w:rFonts w:ascii="Times New Roman" w:eastAsia="Times New Roman" w:hAnsi="Times New Roman" w:cs="Times New Roman"/>
          <w:color w:val="000000"/>
          <w:kern w:val="0"/>
          <w:sz w:val="24"/>
          <w:szCs w:val="24"/>
          <w14:ligatures w14:val="none"/>
        </w:rPr>
        <w:t>ct any business at all.”</w:t>
      </w:r>
    </w:p>
    <w:p w:rsidR="008163B8" w:rsidRDefault="00D77193">
      <w:pPr>
        <w:spacing w:after="200" w:line="360" w:lineRule="auto"/>
        <w:ind w:right="720"/>
        <w:jc w:val="both"/>
        <w:rPr>
          <w:rFonts w:ascii="Times New Roman" w:eastAsia="Times New Roman" w:hAnsi="Times New Roman" w:cs="Times New Roman"/>
          <w:i/>
          <w:iCs/>
          <w:color w:val="000000"/>
          <w:kern w:val="0"/>
          <w:sz w:val="24"/>
          <w:szCs w:val="24"/>
          <w14:ligatures w14:val="none"/>
        </w:rPr>
      </w:pPr>
      <w:r>
        <w:rPr>
          <w:rFonts w:ascii="Times New Roman" w:eastAsia="Times New Roman" w:hAnsi="Times New Roman" w:cs="Times New Roman"/>
          <w:b/>
          <w:bCs/>
          <w:i/>
          <w:iCs/>
          <w:color w:val="000000"/>
          <w:kern w:val="0"/>
          <w:sz w:val="24"/>
          <w:szCs w:val="24"/>
          <w14:ligatures w14:val="none"/>
        </w:rPr>
        <w:t>Madhav Rao Jivaji Rao Scindia v Union of India(1971)</w:t>
      </w:r>
      <w:r>
        <w:rPr>
          <w:rStyle w:val="FootnoteReference"/>
          <w:rFonts w:ascii="Times New Roman" w:eastAsia="Times New Roman" w:hAnsi="Times New Roman" w:cs="Times New Roman"/>
          <w:b/>
          <w:bCs/>
          <w:i/>
          <w:iCs/>
          <w:color w:val="000000"/>
          <w:kern w:val="0"/>
          <w:sz w:val="24"/>
          <w:szCs w:val="24"/>
          <w14:ligatures w14:val="none"/>
        </w:rPr>
        <w:footnoteReference w:id="11"/>
      </w:r>
      <w:r>
        <w:rPr>
          <w:rFonts w:ascii="Times New Roman" w:eastAsia="Times New Roman" w:hAnsi="Times New Roman" w:cs="Times New Roman"/>
          <w:b/>
          <w:bCs/>
          <w:i/>
          <w:iCs/>
          <w:color w:val="000000"/>
          <w:kern w:val="0"/>
          <w:sz w:val="24"/>
          <w:szCs w:val="24"/>
          <w14:ligatures w14:val="none"/>
        </w:rPr>
        <w:t>:</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The main concern raised was regarding the President's appropriate exercise of power in de-recognizing the princes. The court ruled that, in accordance with Article 53 of the C</w:t>
      </w:r>
      <w:r>
        <w:rPr>
          <w:rFonts w:ascii="Times New Roman" w:eastAsia="Times New Roman" w:hAnsi="Times New Roman" w:cs="Times New Roman"/>
          <w:color w:val="000000"/>
          <w:kern w:val="0"/>
          <w:sz w:val="24"/>
          <w:szCs w:val="24"/>
          <w14:ligatures w14:val="none"/>
        </w:rPr>
        <w:t>onstitution, the President must exercise the executive power of the Union "in accordance with law." This authority was intended to be utilized to uphold and protect the Constitution rather than undermine it.</w:t>
      </w:r>
    </w:p>
    <w:p w:rsidR="008163B8" w:rsidRDefault="00D77193">
      <w:pPr>
        <w:spacing w:after="200" w:line="360" w:lineRule="auto"/>
        <w:ind w:right="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Kesavananda Bharati v. State of Kerala (1973): "</w:t>
      </w:r>
      <w:r>
        <w:rPr>
          <w:rFonts w:ascii="Times New Roman" w:eastAsia="Times New Roman" w:hAnsi="Times New Roman" w:cs="Times New Roman"/>
          <w:iCs/>
          <w:color w:val="000000"/>
          <w:kern w:val="0"/>
          <w:sz w:val="24"/>
          <w:szCs w:val="24"/>
          <w14:ligatures w14:val="none"/>
        </w:rPr>
        <w:t>In the case of Kesavananda Bharati in 1973, the Supreme Court established that the Parliament possesses the power to amend any provision of the constitution, provided that such amendments do not infringe upon the Basic Structure of the Constitution</w:t>
      </w:r>
      <w:r>
        <w:rPr>
          <w:rFonts w:ascii="Times New Roman" w:eastAsia="Times New Roman" w:hAnsi="Times New Roman" w:cs="Times New Roman"/>
          <w:color w:val="000000"/>
          <w:kern w:val="0"/>
          <w:sz w:val="24"/>
          <w:szCs w:val="24"/>
          <w14:ligatures w14:val="none"/>
        </w:rPr>
        <w:t>"</w:t>
      </w:r>
      <w:r>
        <w:rPr>
          <w:rStyle w:val="FootnoteReference"/>
          <w:rFonts w:ascii="Times New Roman" w:eastAsia="Times New Roman" w:hAnsi="Times New Roman" w:cs="Times New Roman"/>
          <w:color w:val="000000"/>
          <w:kern w:val="0"/>
          <w:sz w:val="24"/>
          <w:szCs w:val="24"/>
          <w14:ligatures w14:val="none"/>
        </w:rPr>
        <w:footnoteReference w:id="12"/>
      </w:r>
      <w:r>
        <w:rPr>
          <w:rFonts w:ascii="Times New Roman" w:eastAsia="Times New Roman" w:hAnsi="Times New Roman" w:cs="Times New Roman"/>
          <w:color w:val="000000"/>
          <w:kern w:val="0"/>
          <w:sz w:val="24"/>
          <w:szCs w:val="24"/>
          <w14:ligatures w14:val="none"/>
        </w:rPr>
        <w:t>.</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color w:val="000000"/>
          <w:kern w:val="0"/>
          <w:sz w:val="24"/>
          <w:szCs w:val="24"/>
          <w14:ligatures w14:val="none"/>
        </w:rPr>
        <w:t>Tran</w:t>
      </w:r>
      <w:r>
        <w:rPr>
          <w:rFonts w:ascii="Times New Roman" w:eastAsia="Times New Roman" w:hAnsi="Times New Roman" w:cs="Times New Roman"/>
          <w:b/>
          <w:bCs/>
          <w:color w:val="000000"/>
          <w:kern w:val="0"/>
          <w:sz w:val="24"/>
          <w:szCs w:val="24"/>
          <w14:ligatures w14:val="none"/>
        </w:rPr>
        <w:t>sformation Between 1975-78</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Indira Nehru Gandhi vs Shri Raj Narain &amp; Anr (1975):</w:t>
      </w:r>
      <w:r>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color w:val="000000"/>
          <w:kern w:val="0"/>
          <w:sz w:val="24"/>
          <w:szCs w:val="24"/>
          <w14:ligatures w14:val="none"/>
        </w:rPr>
        <w:t>The majority bench emphasized that free and fair elections are an integral part of the Constitution'</w:t>
      </w:r>
      <w:r>
        <w:rPr>
          <w:rFonts w:ascii="Times New Roman" w:eastAsia="Times New Roman" w:hAnsi="Times New Roman" w:cs="Times New Roman"/>
          <w:color w:val="000000"/>
          <w:kern w:val="0"/>
          <w:sz w:val="24"/>
          <w:szCs w:val="24"/>
          <w14:ligatures w14:val="none"/>
        </w:rPr>
        <w:t>s fundamental framework. Any attempt to deprive the people of India of this right would constitute a significant violation of their rights. The court further determined that the amendment also contravened other essential principles of the Constitution, inc</w:t>
      </w:r>
      <w:r>
        <w:rPr>
          <w:rFonts w:ascii="Times New Roman" w:eastAsia="Times New Roman" w:hAnsi="Times New Roman" w:cs="Times New Roman"/>
          <w:color w:val="000000"/>
          <w:kern w:val="0"/>
          <w:sz w:val="24"/>
          <w:szCs w:val="24"/>
          <w14:ligatures w14:val="none"/>
        </w:rPr>
        <w:t>luding the rule of law and the principles of natural justice, such as the right to be heard i.e Audi Alteram Partem.”</w:t>
      </w:r>
      <w:r>
        <w:rPr>
          <w:rStyle w:val="FootnoteReference"/>
          <w:rFonts w:ascii="Times New Roman" w:eastAsia="Times New Roman" w:hAnsi="Times New Roman" w:cs="Times New Roman"/>
          <w:color w:val="000000"/>
          <w:kern w:val="0"/>
          <w:sz w:val="24"/>
          <w:szCs w:val="24"/>
          <w14:ligatures w14:val="none"/>
        </w:rPr>
        <w:footnoteReference w:id="13"/>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Mumbai Kamghar Sabha v. Abdul Bha (1976): “</w:t>
      </w:r>
      <w:r>
        <w:rPr>
          <w:rFonts w:ascii="Times New Roman" w:eastAsia="Times New Roman" w:hAnsi="Times New Roman" w:cs="Times New Roman"/>
          <w:iCs/>
          <w:color w:val="000000"/>
          <w:kern w:val="0"/>
          <w:sz w:val="24"/>
          <w:szCs w:val="24"/>
          <w14:ligatures w14:val="none"/>
        </w:rPr>
        <w:t>The Supreme Court introduced the concept of judicial activism, albeit without explicitly using</w:t>
      </w:r>
      <w:r>
        <w:rPr>
          <w:rFonts w:ascii="Times New Roman" w:eastAsia="Times New Roman" w:hAnsi="Times New Roman" w:cs="Times New Roman"/>
          <w:iCs/>
          <w:color w:val="000000"/>
          <w:kern w:val="0"/>
          <w:sz w:val="24"/>
          <w:szCs w:val="24"/>
          <w14:ligatures w14:val="none"/>
        </w:rPr>
        <w:t xml:space="preserve"> the term</w:t>
      </w:r>
      <w:r>
        <w:rPr>
          <w:rFonts w:ascii="Times New Roman" w:eastAsia="Times New Roman" w:hAnsi="Times New Roman" w:cs="Times New Roman"/>
          <w:color w:val="000000"/>
          <w:kern w:val="0"/>
          <w:sz w:val="24"/>
          <w:szCs w:val="24"/>
          <w14:ligatures w14:val="none"/>
        </w:rPr>
        <w:t>.”</w:t>
      </w:r>
      <w:r>
        <w:rPr>
          <w:rStyle w:val="FootnoteReference"/>
          <w:rFonts w:ascii="Times New Roman" w:eastAsia="Times New Roman" w:hAnsi="Times New Roman" w:cs="Times New Roman"/>
          <w:color w:val="000000"/>
          <w:kern w:val="0"/>
          <w:sz w:val="24"/>
          <w:szCs w:val="24"/>
          <w14:ligatures w14:val="none"/>
        </w:rPr>
        <w:footnoteReference w:id="14"/>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Maneka Gandhi v. Union of India (1978): “</w:t>
      </w:r>
      <w:r>
        <w:rPr>
          <w:rFonts w:ascii="Times New Roman" w:eastAsia="Times New Roman" w:hAnsi="Times New Roman" w:cs="Times New Roman"/>
          <w:iCs/>
          <w:color w:val="000000"/>
          <w:kern w:val="0"/>
          <w:sz w:val="24"/>
          <w:szCs w:val="24"/>
          <w14:ligatures w14:val="none"/>
        </w:rPr>
        <w:t>The Supreme Court replaced the "procedure established by law" with the due process clause in Article 21 to limit the absolute power and interference of the Executive with individual freedom</w:t>
      </w:r>
      <w:r>
        <w:rPr>
          <w:rFonts w:ascii="Times New Roman" w:eastAsia="Times New Roman" w:hAnsi="Times New Roman" w:cs="Times New Roman"/>
          <w:i/>
          <w:iCs/>
          <w:color w:val="000000"/>
          <w:kern w:val="0"/>
          <w:sz w:val="24"/>
          <w:szCs w:val="24"/>
          <w14:ligatures w14:val="none"/>
        </w:rPr>
        <w:t>”.</w:t>
      </w:r>
      <w:r>
        <w:rPr>
          <w:rStyle w:val="FootnoteReference"/>
          <w:rFonts w:ascii="Times New Roman" w:eastAsia="Times New Roman" w:hAnsi="Times New Roman" w:cs="Times New Roman"/>
          <w:i/>
          <w:iCs/>
          <w:color w:val="000000"/>
          <w:kern w:val="0"/>
          <w:sz w:val="24"/>
          <w:szCs w:val="24"/>
          <w14:ligatures w14:val="none"/>
        </w:rPr>
        <w:footnoteReference w:id="15"/>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Transform</w:t>
      </w:r>
      <w:r>
        <w:rPr>
          <w:rFonts w:ascii="Times New Roman" w:eastAsia="Times New Roman" w:hAnsi="Times New Roman" w:cs="Times New Roman"/>
          <w:b/>
          <w:bCs/>
          <w:i/>
          <w:iCs/>
          <w:color w:val="000000"/>
          <w:kern w:val="0"/>
          <w:sz w:val="24"/>
          <w:szCs w:val="24"/>
          <w14:ligatures w14:val="none"/>
        </w:rPr>
        <w:t>ation from 1978 onwards</w:t>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 xml:space="preserve">Vishakha v.State of Rajasthan( 1997): </w:t>
      </w:r>
      <w:r>
        <w:rPr>
          <w:rFonts w:ascii="Times New Roman" w:eastAsia="Times New Roman" w:hAnsi="Times New Roman" w:cs="Times New Roman"/>
          <w:i/>
          <w:iCs/>
          <w:color w:val="000000"/>
          <w:kern w:val="0"/>
          <w:sz w:val="24"/>
          <w:szCs w:val="24"/>
          <w14:ligatures w14:val="none"/>
        </w:rPr>
        <w:t>"</w:t>
      </w:r>
      <w:r>
        <w:rPr>
          <w:rFonts w:ascii="Times New Roman" w:eastAsia="Times New Roman" w:hAnsi="Times New Roman" w:cs="Times New Roman"/>
          <w:iCs/>
          <w:color w:val="000000"/>
          <w:kern w:val="0"/>
          <w:sz w:val="24"/>
          <w:szCs w:val="24"/>
          <w14:ligatures w14:val="none"/>
        </w:rPr>
        <w:t>The Supreme Court, in its wisdom, has issued guidelines to address and prevent sexual harassment in the workplace. Additionally, the Court has provided a clear definition of sexual harassment</w:t>
      </w:r>
      <w:r>
        <w:rPr>
          <w:rFonts w:ascii="Times New Roman" w:eastAsia="Times New Roman" w:hAnsi="Times New Roman" w:cs="Times New Roman"/>
          <w:i/>
          <w:iCs/>
          <w:color w:val="000000"/>
          <w:kern w:val="0"/>
          <w:sz w:val="24"/>
          <w:szCs w:val="24"/>
          <w14:ligatures w14:val="none"/>
        </w:rPr>
        <w:t>.</w:t>
      </w:r>
      <w:r>
        <w:rPr>
          <w:rStyle w:val="FootnoteReference"/>
          <w:rFonts w:ascii="Times New Roman" w:eastAsia="Times New Roman" w:hAnsi="Times New Roman" w:cs="Times New Roman"/>
          <w:i/>
          <w:iCs/>
          <w:color w:val="000000"/>
          <w:kern w:val="0"/>
          <w:sz w:val="24"/>
          <w:szCs w:val="24"/>
          <w14:ligatures w14:val="none"/>
        </w:rPr>
        <w:footnoteReference w:id="16"/>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National Legal Services Authority (NALSA) v. Union of India (2014):</w:t>
      </w:r>
      <w:r>
        <w:rPr>
          <w:rFonts w:ascii="Times New Roman" w:eastAsia="Times New Roman" w:hAnsi="Times New Roman" w:cs="Times New Roman"/>
          <w:i/>
          <w:iCs/>
          <w:color w:val="000000"/>
          <w:kern w:val="0"/>
          <w:sz w:val="24"/>
          <w:szCs w:val="24"/>
          <w14:ligatures w14:val="none"/>
        </w:rPr>
        <w:t>“</w:t>
      </w:r>
      <w:r>
        <w:rPr>
          <w:rFonts w:ascii="Times New Roman" w:eastAsia="Times New Roman" w:hAnsi="Times New Roman" w:cs="Times New Roman"/>
          <w:iCs/>
          <w:color w:val="000000"/>
          <w:kern w:val="0"/>
          <w:sz w:val="24"/>
          <w:szCs w:val="24"/>
          <w14:ligatures w14:val="none"/>
        </w:rPr>
        <w:t xml:space="preserve">The Court's role is to grasp the fundamental objective and essence of the Constitution in promoting societal well-being. Our Constitution, akin to the societal laws, is a dynamic entity. </w:t>
      </w:r>
      <w:r>
        <w:rPr>
          <w:rFonts w:ascii="Times New Roman" w:eastAsia="Times New Roman" w:hAnsi="Times New Roman" w:cs="Times New Roman"/>
          <w:iCs/>
          <w:color w:val="000000"/>
          <w:kern w:val="0"/>
          <w:sz w:val="24"/>
          <w:szCs w:val="24"/>
          <w14:ligatures w14:val="none"/>
        </w:rPr>
        <w:t>It is founded upon factual and social realities that continuously evolve. At times, legal changes anticipate and aim to catalyze societal transformations, while in other instances, legal changes are prompted by the existing social reality.</w:t>
      </w:r>
      <w:r>
        <w:rPr>
          <w:rStyle w:val="FootnoteReference"/>
          <w:rFonts w:ascii="Times New Roman" w:eastAsia="Times New Roman" w:hAnsi="Times New Roman" w:cs="Times New Roman"/>
          <w:i/>
          <w:iCs/>
          <w:color w:val="000000"/>
          <w:kern w:val="0"/>
          <w:sz w:val="24"/>
          <w:szCs w:val="24"/>
          <w14:ligatures w14:val="none"/>
        </w:rPr>
        <w:footnoteReference w:id="17"/>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 xml:space="preserve">Navtej Singh Johar vs Union of India (2018): </w:t>
      </w:r>
      <w:r>
        <w:rPr>
          <w:rFonts w:ascii="Times New Roman" w:eastAsia="Times New Roman" w:hAnsi="Times New Roman" w:cs="Times New Roman"/>
          <w:iCs/>
          <w:color w:val="000000"/>
          <w:kern w:val="0"/>
          <w:sz w:val="24"/>
          <w:szCs w:val="24"/>
          <w14:ligatures w14:val="none"/>
        </w:rPr>
        <w:t>Under Section 377 of the Indian Penal Code, 1860, consensual or non-consensual sexual conduct between two adults of the same sex was considered a criminal offense. However, the petitioner challenged this section</w:t>
      </w:r>
      <w:r>
        <w:rPr>
          <w:rFonts w:ascii="Times New Roman" w:eastAsia="Times New Roman" w:hAnsi="Times New Roman" w:cs="Times New Roman"/>
          <w:iCs/>
          <w:color w:val="000000"/>
          <w:kern w:val="0"/>
          <w:sz w:val="24"/>
          <w:szCs w:val="24"/>
          <w14:ligatures w14:val="none"/>
        </w:rPr>
        <w:t>, arguing that it violated Articles 14, 21, and 15 of the Constitution. As a result, Section 377 of the Indian Penal Code was decriminalized.</w:t>
      </w:r>
      <w:r>
        <w:rPr>
          <w:rStyle w:val="FootnoteReference"/>
          <w:rFonts w:ascii="Times New Roman" w:eastAsia="Times New Roman" w:hAnsi="Times New Roman" w:cs="Times New Roman"/>
          <w:iCs/>
          <w:color w:val="000000"/>
          <w:kern w:val="0"/>
          <w:sz w:val="24"/>
          <w:szCs w:val="24"/>
          <w14:ligatures w14:val="none"/>
        </w:rPr>
        <w:footnoteReference w:id="18"/>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 xml:space="preserve">Joseph Shine vs Union of India (2018): </w:t>
      </w:r>
      <w:r>
        <w:rPr>
          <w:rFonts w:ascii="Times New Roman" w:eastAsia="Times New Roman" w:hAnsi="Times New Roman" w:cs="Times New Roman"/>
          <w:i/>
          <w:iCs/>
          <w:color w:val="000000"/>
          <w:kern w:val="0"/>
          <w:sz w:val="24"/>
          <w:szCs w:val="24"/>
          <w14:ligatures w14:val="none"/>
        </w:rPr>
        <w:t xml:space="preserve"> </w:t>
      </w:r>
      <w:r>
        <w:rPr>
          <w:rFonts w:ascii="Times New Roman" w:eastAsia="Times New Roman" w:hAnsi="Times New Roman" w:cs="Times New Roman"/>
          <w:iCs/>
          <w:color w:val="000000"/>
          <w:kern w:val="0"/>
          <w:sz w:val="24"/>
          <w:szCs w:val="24"/>
          <w14:ligatures w14:val="none"/>
        </w:rPr>
        <w:t xml:space="preserve">The previous criminalization of adultery under Section 497 of the Indian </w:t>
      </w:r>
      <w:r>
        <w:rPr>
          <w:rFonts w:ascii="Times New Roman" w:eastAsia="Times New Roman" w:hAnsi="Times New Roman" w:cs="Times New Roman"/>
          <w:iCs/>
          <w:color w:val="000000"/>
          <w:kern w:val="0"/>
          <w:sz w:val="24"/>
          <w:szCs w:val="24"/>
          <w14:ligatures w14:val="none"/>
        </w:rPr>
        <w:t>Penal Code imposed penalties on men engaging in sexual intercourse with married women without the husband's consent. However, this judgment decriminalized adultery.</w:t>
      </w:r>
      <w:r>
        <w:rPr>
          <w:rStyle w:val="FootnoteReference"/>
          <w:rFonts w:ascii="Times New Roman" w:eastAsia="Times New Roman" w:hAnsi="Times New Roman" w:cs="Times New Roman"/>
          <w:iCs/>
          <w:color w:val="000000"/>
          <w:kern w:val="0"/>
          <w:sz w:val="24"/>
          <w:szCs w:val="24"/>
          <w14:ligatures w14:val="none"/>
        </w:rPr>
        <w:footnoteReference w:id="19"/>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Indian Young Lawyers Association vs. the State of Kerala (2018):</w:t>
      </w:r>
      <w:r>
        <w:rPr>
          <w:rFonts w:ascii="Times New Roman" w:eastAsia="Times New Roman" w:hAnsi="Times New Roman" w:cs="Times New Roman"/>
          <w:i/>
          <w:iCs/>
          <w:color w:val="000000"/>
          <w:kern w:val="0"/>
          <w:sz w:val="24"/>
          <w:szCs w:val="24"/>
          <w14:ligatures w14:val="none"/>
        </w:rPr>
        <w:t> </w:t>
      </w:r>
      <w:r>
        <w:rPr>
          <w:rFonts w:ascii="Times New Roman" w:eastAsia="Times New Roman" w:hAnsi="Times New Roman" w:cs="Times New Roman"/>
          <w:iCs/>
          <w:color w:val="000000"/>
          <w:kern w:val="0"/>
          <w:sz w:val="24"/>
          <w:szCs w:val="24"/>
          <w14:ligatures w14:val="none"/>
        </w:rPr>
        <w:t>The petitioner filed a Pu</w:t>
      </w:r>
      <w:r>
        <w:rPr>
          <w:rFonts w:ascii="Times New Roman" w:eastAsia="Times New Roman" w:hAnsi="Times New Roman" w:cs="Times New Roman"/>
          <w:iCs/>
          <w:color w:val="000000"/>
          <w:kern w:val="0"/>
          <w:sz w:val="24"/>
          <w:szCs w:val="24"/>
          <w14:ligatures w14:val="none"/>
        </w:rPr>
        <w:t>blic Interest Litigation challenging the prohibition on the entry of menstruating women into the Sabrimala temple. It was contended that this restriction violated Articles 14, 15, 17, 25, and 26 of the Constitution. The Supreme Court, in its judgment, gran</w:t>
      </w:r>
      <w:r>
        <w:rPr>
          <w:rFonts w:ascii="Times New Roman" w:eastAsia="Times New Roman" w:hAnsi="Times New Roman" w:cs="Times New Roman"/>
          <w:iCs/>
          <w:color w:val="000000"/>
          <w:kern w:val="0"/>
          <w:sz w:val="24"/>
          <w:szCs w:val="24"/>
          <w14:ligatures w14:val="none"/>
        </w:rPr>
        <w:t>ted permission for women of all ages to enter the temple.</w:t>
      </w:r>
      <w:r>
        <w:rPr>
          <w:rStyle w:val="FootnoteReference"/>
          <w:rFonts w:ascii="Times New Roman" w:eastAsia="Times New Roman" w:hAnsi="Times New Roman" w:cs="Times New Roman"/>
          <w:iCs/>
          <w:color w:val="000000"/>
          <w:kern w:val="0"/>
          <w:sz w:val="24"/>
          <w:szCs w:val="24"/>
          <w14:ligatures w14:val="none"/>
        </w:rPr>
        <w:footnoteReference w:id="20"/>
      </w:r>
    </w:p>
    <w:p w:rsidR="008163B8"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Vineeta Sharma vs Rakesh Sharma (2020):</w:t>
      </w:r>
      <w:r>
        <w:rPr>
          <w:rFonts w:ascii="Times New Roman" w:eastAsia="Times New Roman" w:hAnsi="Times New Roman" w:cs="Times New Roman"/>
          <w:b/>
          <w:bCs/>
          <w:iCs/>
          <w:color w:val="000000"/>
          <w:kern w:val="0"/>
          <w:sz w:val="24"/>
          <w:szCs w:val="24"/>
          <w14:ligatures w14:val="none"/>
        </w:rPr>
        <w:t xml:space="preserve"> </w:t>
      </w:r>
      <w:r>
        <w:rPr>
          <w:rFonts w:ascii="Times New Roman" w:eastAsia="Times New Roman" w:hAnsi="Times New Roman" w:cs="Times New Roman"/>
          <w:iCs/>
          <w:color w:val="000000"/>
          <w:kern w:val="0"/>
          <w:sz w:val="24"/>
          <w:szCs w:val="24"/>
          <w14:ligatures w14:val="none"/>
        </w:rPr>
        <w:t xml:space="preserve">Both sons and daughters should be granted coparcenary rights, including daughters born prior to the amendment of the Hindu Succession (Amendment) Act, 2005. </w:t>
      </w:r>
      <w:r>
        <w:rPr>
          <w:rFonts w:ascii="Times New Roman" w:eastAsia="Times New Roman" w:hAnsi="Times New Roman" w:cs="Times New Roman"/>
          <w:iCs/>
          <w:color w:val="000000"/>
          <w:kern w:val="0"/>
          <w:sz w:val="24"/>
          <w:szCs w:val="24"/>
          <w14:ligatures w14:val="none"/>
        </w:rPr>
        <w:t>This ruling reinforces the significance of the right to equality enshrined in Article 14 of the Constitution. </w:t>
      </w:r>
      <w:r>
        <w:rPr>
          <w:rStyle w:val="FootnoteReference"/>
          <w:rFonts w:ascii="Times New Roman" w:eastAsia="Times New Roman" w:hAnsi="Times New Roman" w:cs="Times New Roman"/>
          <w:iCs/>
          <w:color w:val="000000"/>
          <w:kern w:val="0"/>
          <w:sz w:val="24"/>
          <w:szCs w:val="24"/>
          <w14:ligatures w14:val="none"/>
        </w:rPr>
        <w:footnoteReference w:id="21"/>
      </w:r>
    </w:p>
    <w:p w:rsidR="008163B8" w:rsidRPr="004534E0" w:rsidRDefault="00D77193">
      <w:pPr>
        <w:spacing w:after="20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i/>
          <w:iCs/>
          <w:color w:val="000000"/>
          <w:kern w:val="0"/>
          <w:sz w:val="24"/>
          <w:szCs w:val="24"/>
          <w14:ligatures w14:val="none"/>
        </w:rPr>
        <w:t xml:space="preserve">Karnataka Hijab ban case (2022): </w:t>
      </w:r>
      <w:r>
        <w:rPr>
          <w:rFonts w:ascii="Times New Roman" w:eastAsia="Times New Roman" w:hAnsi="Times New Roman" w:cs="Times New Roman"/>
          <w:iCs/>
          <w:color w:val="000000"/>
          <w:kern w:val="0"/>
          <w:sz w:val="24"/>
          <w:szCs w:val="24"/>
          <w14:ligatures w14:val="none"/>
        </w:rPr>
        <w:t xml:space="preserve">Requiring girls to remove their hijabs before entering school invades their privacy, undermines their dignity, </w:t>
      </w:r>
      <w:r>
        <w:rPr>
          <w:rFonts w:ascii="Times New Roman" w:eastAsia="Times New Roman" w:hAnsi="Times New Roman" w:cs="Times New Roman"/>
          <w:iCs/>
          <w:color w:val="000000"/>
          <w:kern w:val="0"/>
          <w:sz w:val="24"/>
          <w:szCs w:val="24"/>
          <w14:ligatures w14:val="none"/>
        </w:rPr>
        <w:t>and denies them access to secular education, which contravenes Article 19(1</w:t>
      </w:r>
      <w:proofErr w:type="gramStart"/>
      <w:r>
        <w:rPr>
          <w:rFonts w:ascii="Times New Roman" w:eastAsia="Times New Roman" w:hAnsi="Times New Roman" w:cs="Times New Roman"/>
          <w:iCs/>
          <w:color w:val="000000"/>
          <w:kern w:val="0"/>
          <w:sz w:val="24"/>
          <w:szCs w:val="24"/>
          <w14:ligatures w14:val="none"/>
        </w:rPr>
        <w:t>)(</w:t>
      </w:r>
      <w:proofErr w:type="gramEnd"/>
      <w:r>
        <w:rPr>
          <w:rFonts w:ascii="Times New Roman" w:eastAsia="Times New Roman" w:hAnsi="Times New Roman" w:cs="Times New Roman"/>
          <w:iCs/>
          <w:color w:val="000000"/>
          <w:kern w:val="0"/>
          <w:sz w:val="24"/>
          <w:szCs w:val="24"/>
          <w14:ligatures w14:val="none"/>
        </w:rPr>
        <w:t>a), Article 21, and Article 25(1) of the Indian Constitution."</w:t>
      </w:r>
      <w:r>
        <w:rPr>
          <w:rStyle w:val="FootnoteReference"/>
          <w:rFonts w:ascii="Times New Roman" w:eastAsia="Times New Roman" w:hAnsi="Times New Roman" w:cs="Times New Roman"/>
          <w:iCs/>
          <w:color w:val="000000"/>
          <w:kern w:val="0"/>
          <w:sz w:val="24"/>
          <w:szCs w:val="24"/>
          <w14:ligatures w14:val="none"/>
        </w:rPr>
        <w:footnoteReference w:id="22"/>
      </w:r>
    </w:p>
    <w:p w:rsidR="008163B8" w:rsidRDefault="008163B8">
      <w:pPr>
        <w:spacing w:after="200" w:line="360" w:lineRule="auto"/>
        <w:jc w:val="both"/>
        <w:rPr>
          <w:rFonts w:ascii="Times New Roman" w:eastAsia="Times New Roman" w:hAnsi="Times New Roman" w:cs="Times New Roman"/>
          <w:b/>
          <w:bCs/>
          <w:color w:val="000000"/>
          <w:kern w:val="0"/>
          <w:sz w:val="24"/>
          <w:szCs w:val="24"/>
          <w14:ligatures w14:val="none"/>
        </w:rPr>
      </w:pPr>
    </w:p>
    <w:p w:rsidR="008163B8" w:rsidRDefault="00D77193">
      <w:pPr>
        <w:spacing w:after="200" w:line="360" w:lineRule="auto"/>
        <w:jc w:val="both"/>
        <w:rPr>
          <w:rFonts w:ascii="Times New Roman" w:eastAsia="Times New Roman" w:hAnsi="Times New Roman" w:cs="Times New Roman"/>
          <w:color w:val="FF0000"/>
          <w:kern w:val="0"/>
          <w:sz w:val="24"/>
          <w:szCs w:val="24"/>
          <w14:ligatures w14:val="none"/>
        </w:rPr>
      </w:pPr>
      <w:r>
        <w:rPr>
          <w:rFonts w:ascii="Times New Roman" w:eastAsia="Times New Roman" w:hAnsi="Times New Roman" w:cs="Times New Roman"/>
          <w:b/>
          <w:bCs/>
          <w:color w:val="000000"/>
          <w:kern w:val="0"/>
          <w:sz w:val="24"/>
          <w:szCs w:val="24"/>
          <w14:ligatures w14:val="none"/>
        </w:rPr>
        <w:t xml:space="preserve">Conclusion </w:t>
      </w:r>
      <w:r>
        <w:rPr>
          <w:rFonts w:ascii="Times New Roman" w:eastAsia="Times New Roman" w:hAnsi="Times New Roman" w:cs="Times New Roman"/>
          <w:b/>
          <w:bCs/>
          <w:color w:val="000000"/>
          <w:kern w:val="0"/>
          <w:sz w:val="24"/>
          <w:szCs w:val="24"/>
          <w14:ligatures w14:val="none"/>
        </w:rPr>
        <w:t xml:space="preserve">and suggestions </w:t>
      </w:r>
    </w:p>
    <w:p w:rsidR="008163B8" w:rsidRDefault="00D77193">
      <w:pPr>
        <w:spacing w:after="200" w:line="360" w:lineRule="auto"/>
        <w:ind w:right="720"/>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An activist judiciary plays a crucial role in upholding the "rule of law."</w:t>
      </w:r>
      <w:r>
        <w:rPr>
          <w:rFonts w:ascii="Times New Roman" w:eastAsia="Times New Roman" w:hAnsi="Times New Roman" w:cs="Times New Roman"/>
          <w:color w:val="000000"/>
          <w:kern w:val="0"/>
          <w:sz w:val="24"/>
          <w:szCs w:val="24"/>
          <w14:ligatures w14:val="none"/>
        </w:rPr>
        <w:t xml:space="preserve"> However, it is essential that judicial actions and interpretations, even when driven by activism, are firmly grounded in the Constitution. The emergence of principles without a constitutional basis cannot be justified. Therefore, a responsible activist ju</w:t>
      </w:r>
      <w:r>
        <w:rPr>
          <w:rFonts w:ascii="Times New Roman" w:eastAsia="Times New Roman" w:hAnsi="Times New Roman" w:cs="Times New Roman"/>
          <w:color w:val="000000"/>
          <w:kern w:val="0"/>
          <w:sz w:val="24"/>
          <w:szCs w:val="24"/>
          <w14:ligatures w14:val="none"/>
        </w:rPr>
        <w:t>diciary must give life to the Constitution's provisions, which may otherwise remain dormant. The transformative nature of the constitution contributes to continuous societal progress. India, being a developing country with a pluralistic society encompassin</w:t>
      </w:r>
      <w:r>
        <w:rPr>
          <w:rFonts w:ascii="Times New Roman" w:eastAsia="Times New Roman" w:hAnsi="Times New Roman" w:cs="Times New Roman"/>
          <w:color w:val="000000"/>
          <w:kern w:val="0"/>
          <w:sz w:val="24"/>
          <w:szCs w:val="24"/>
          <w14:ligatures w14:val="none"/>
        </w:rPr>
        <w:t>g diverse faiths and beliefs, has historically accepted certain forms of discrimination. However, the Indian Constitution guarantees fundamental rights and embodies a set of values that the judiciary is entrusted to safeguard.</w:t>
      </w:r>
      <w:r>
        <w:rPr>
          <w:rStyle w:val="FootnoteReference"/>
          <w:rFonts w:ascii="Times New Roman" w:eastAsia="Times New Roman" w:hAnsi="Times New Roman" w:cs="Times New Roman"/>
          <w:color w:val="000000"/>
          <w:kern w:val="0"/>
          <w:sz w:val="24"/>
          <w:szCs w:val="24"/>
          <w14:ligatures w14:val="none"/>
        </w:rPr>
        <w:footnoteReference w:id="23"/>
      </w:r>
    </w:p>
    <w:p w:rsidR="008163B8" w:rsidRDefault="00D77193">
      <w:pPr>
        <w:spacing w:after="200" w:line="360" w:lineRule="auto"/>
        <w:ind w:right="72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In the realm of transformati</w:t>
      </w:r>
      <w:r>
        <w:rPr>
          <w:rFonts w:ascii="Times New Roman" w:eastAsia="Times New Roman" w:hAnsi="Times New Roman" w:cs="Times New Roman"/>
          <w:color w:val="000000"/>
          <w:kern w:val="0"/>
          <w:sz w:val="24"/>
          <w:szCs w:val="24"/>
          <w14:ligatures w14:val="none"/>
        </w:rPr>
        <w:t>ve constitutionalism, the judiciary holds a crucial position due to its responsibility in interpreting and upholding fundamental rights as mandated by the constitution. In light of this significance, the article argues that judges in the context of transfo</w:t>
      </w:r>
      <w:r>
        <w:rPr>
          <w:rFonts w:ascii="Times New Roman" w:eastAsia="Times New Roman" w:hAnsi="Times New Roman" w:cs="Times New Roman"/>
          <w:color w:val="000000"/>
          <w:kern w:val="0"/>
          <w:sz w:val="24"/>
          <w:szCs w:val="24"/>
          <w14:ligatures w14:val="none"/>
        </w:rPr>
        <w:t>rmative constitutionalism need to go beyond mere legal interpretation to achieve the objectives of the law. This entails a psychological shift where judges recognize the high expectations placed upon them and adopt a more confident stance within the framew</w:t>
      </w:r>
      <w:r>
        <w:rPr>
          <w:rFonts w:ascii="Times New Roman" w:eastAsia="Times New Roman" w:hAnsi="Times New Roman" w:cs="Times New Roman"/>
          <w:color w:val="000000"/>
          <w:kern w:val="0"/>
          <w:sz w:val="24"/>
          <w:szCs w:val="24"/>
          <w14:ligatures w14:val="none"/>
        </w:rPr>
        <w:t>ork of governance. To accomplish this, judges must embrace a "rights-friendly jurisprudence," which prioritizes the protection of fundamental rights and be willing to reject deference to political bodies when the law and the Constitution are violated or at</w:t>
      </w:r>
      <w:r>
        <w:rPr>
          <w:rFonts w:ascii="Times New Roman" w:eastAsia="Times New Roman" w:hAnsi="Times New Roman" w:cs="Times New Roman"/>
          <w:color w:val="000000"/>
          <w:kern w:val="0"/>
          <w:sz w:val="24"/>
          <w:szCs w:val="24"/>
          <w14:ligatures w14:val="none"/>
        </w:rPr>
        <w:t xml:space="preserve"> risk of violation. Defining the specific characteristics of this "new" judicial attitude required by transformative constitutionalism may prove challenging, but it is an essential shift that must occur and is likely to occupy the attention of judges and c</w:t>
      </w:r>
      <w:r>
        <w:rPr>
          <w:rFonts w:ascii="Times New Roman" w:eastAsia="Times New Roman" w:hAnsi="Times New Roman" w:cs="Times New Roman"/>
          <w:color w:val="000000"/>
          <w:kern w:val="0"/>
          <w:sz w:val="24"/>
          <w:szCs w:val="24"/>
          <w14:ligatures w14:val="none"/>
        </w:rPr>
        <w:t>ommentators for an extended period.</w:t>
      </w:r>
    </w:p>
    <w:p w:rsidR="008163B8" w:rsidRDefault="008163B8">
      <w:pPr>
        <w:spacing w:line="360" w:lineRule="auto"/>
        <w:rPr>
          <w:rFonts w:ascii="Times New Roman" w:hAnsi="Times New Roman" w:cs="Times New Roman"/>
          <w:sz w:val="24"/>
          <w:szCs w:val="24"/>
        </w:rPr>
      </w:pPr>
      <w:bookmarkStart w:id="0" w:name="_GoBack"/>
      <w:bookmarkEnd w:id="0"/>
    </w:p>
    <w:sectPr w:rsidR="008163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93" w:rsidRDefault="00D77193">
      <w:pPr>
        <w:spacing w:after="0" w:line="240" w:lineRule="auto"/>
      </w:pPr>
      <w:r>
        <w:separator/>
      </w:r>
    </w:p>
  </w:endnote>
  <w:endnote w:type="continuationSeparator" w:id="0">
    <w:p w:rsidR="00D77193" w:rsidRDefault="00D7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93" w:rsidRDefault="00D77193">
      <w:pPr>
        <w:spacing w:after="0" w:line="240" w:lineRule="auto"/>
      </w:pPr>
      <w:r>
        <w:separator/>
      </w:r>
    </w:p>
  </w:footnote>
  <w:footnote w:type="continuationSeparator" w:id="0">
    <w:p w:rsidR="00D77193" w:rsidRDefault="00D77193">
      <w:pPr>
        <w:spacing w:after="0" w:line="240" w:lineRule="auto"/>
      </w:pPr>
      <w:r>
        <w:continuationSeparator/>
      </w:r>
    </w:p>
  </w:footnote>
  <w:footnote w:id="1">
    <w:p w:rsidR="008163B8" w:rsidRDefault="00D77193">
      <w:pPr>
        <w:pStyle w:val="FootnoteText"/>
        <w:numPr>
          <w:ilvl w:val="0"/>
          <w:numId w:val="1"/>
        </w:numPr>
        <w:jc w:val="both"/>
        <w:rPr>
          <w:rFonts w:ascii="Times New Roman" w:hAnsi="Times New Roman" w:cs="Times New Roman"/>
        </w:rPr>
      </w:pPr>
      <w:r>
        <w:rPr>
          <w:rFonts w:ascii="Times New Roman" w:hAnsi="Times New Roman" w:cs="Times New Roman"/>
        </w:rPr>
        <w:t xml:space="preserve">Aditi Agarwal, Transformative Constitutionalism and role of Indian Judiciary, ipleaders blog,(Mar 19,2023,1:35 pm) </w:t>
      </w:r>
      <w:hyperlink r:id="rId1" w:history="1">
        <w:r>
          <w:rPr>
            <w:rStyle w:val="Hyperlink"/>
            <w:rFonts w:ascii="Times New Roman" w:hAnsi="Times New Roman" w:cs="Times New Roman"/>
          </w:rPr>
          <w:t>https://blog.ipleaders.in/transformative-constitutionalism-role-judiciary/</w:t>
        </w:r>
      </w:hyperlink>
      <w:r>
        <w:t xml:space="preserve">, cited from </w:t>
      </w:r>
      <w:proofErr w:type="spellStart"/>
      <w:r>
        <w:t>Pranjali</w:t>
      </w:r>
      <w:proofErr w:type="spellEnd"/>
      <w:r>
        <w:t>, Transformative Constitutionalism and role of Judiciary, Legal service India, E-Journal, Jayanta Bornah, Living Tree Doctrine:Role of Indian Judiciary agains</w:t>
      </w:r>
      <w:r>
        <w:t>t constitutional silence in India,5(1),RSRR, p-61,2019</w:t>
      </w:r>
    </w:p>
    <w:p w:rsidR="008163B8" w:rsidRDefault="008163B8">
      <w:pPr>
        <w:pStyle w:val="FootnoteText"/>
        <w:jc w:val="both"/>
        <w:rPr>
          <w:rFonts w:ascii="Times New Roman" w:hAnsi="Times New Roman" w:cs="Times New Roman"/>
        </w:rPr>
      </w:pPr>
    </w:p>
  </w:footnote>
  <w:footnote w:id="2">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Arjun Philip George, Zeenia S, Activist Judiciary and transformative constitution, International Journal of law and management(</w:t>
      </w:r>
      <w:proofErr w:type="spellStart"/>
      <w:r>
        <w:rPr>
          <w:rFonts w:ascii="Times New Roman" w:hAnsi="Times New Roman" w:cs="Times New Roman"/>
        </w:rPr>
        <w:t>ijmh</w:t>
      </w:r>
      <w:proofErr w:type="spellEnd"/>
      <w:r>
        <w:rPr>
          <w:rFonts w:ascii="Times New Roman" w:hAnsi="Times New Roman" w:cs="Times New Roman"/>
        </w:rPr>
        <w:t>),</w:t>
      </w:r>
      <w:r w:rsidR="00EB117E">
        <w:rPr>
          <w:rFonts w:ascii="Times New Roman" w:hAnsi="Times New Roman" w:cs="Times New Roman"/>
        </w:rPr>
        <w:t xml:space="preserve"> </w:t>
      </w:r>
      <w:proofErr w:type="spellStart"/>
      <w:r>
        <w:rPr>
          <w:rFonts w:ascii="Times New Roman" w:hAnsi="Times New Roman" w:cs="Times New Roman"/>
        </w:rPr>
        <w:t>Vol</w:t>
      </w:r>
      <w:proofErr w:type="spellEnd"/>
      <w:r>
        <w:rPr>
          <w:rFonts w:ascii="Times New Roman" w:hAnsi="Times New Roman" w:cs="Times New Roman"/>
        </w:rPr>
        <w:t xml:space="preserve"> 2,ISSUE 4, 1-12</w:t>
      </w:r>
      <w:r w:rsidR="00EB117E">
        <w:rPr>
          <w:rFonts w:ascii="Times New Roman" w:hAnsi="Times New Roman" w:cs="Times New Roman"/>
        </w:rPr>
        <w:t xml:space="preserve">(July 28, 2023,12:20 pm) </w:t>
      </w:r>
      <w:hyperlink r:id="rId2" w:history="1">
        <w:r w:rsidR="00EB117E" w:rsidRPr="00FA484F">
          <w:rPr>
            <w:rStyle w:val="Hyperlink"/>
            <w:rFonts w:ascii="Times New Roman" w:hAnsi="Times New Roman" w:cs="Times New Roman"/>
          </w:rPr>
          <w:t>https://www.ijlmh.com/wp-content/uploads/2019/10/Activist-Judiciary-and-Transformative-Constitution.pdf</w:t>
        </w:r>
      </w:hyperlink>
    </w:p>
    <w:p w:rsidR="00EB117E" w:rsidRDefault="00EB117E">
      <w:pPr>
        <w:pStyle w:val="FootnoteText"/>
        <w:jc w:val="both"/>
        <w:rPr>
          <w:rFonts w:ascii="Times New Roman" w:hAnsi="Times New Roman" w:cs="Times New Roman"/>
        </w:rPr>
      </w:pPr>
    </w:p>
  </w:footnote>
  <w:footnote w:id="3">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Lovleen Bhullar, Environmental constitutionalism and duties of individuals in India, journal of environmental law, </w:t>
      </w:r>
      <w:r w:rsidR="004534E0">
        <w:rPr>
          <w:rFonts w:ascii="Times New Roman" w:hAnsi="Times New Roman" w:cs="Times New Roman"/>
        </w:rPr>
        <w:t>(</w:t>
      </w:r>
      <w:r w:rsidR="004534E0">
        <w:rPr>
          <w:rFonts w:ascii="Times New Roman" w:hAnsi="Times New Roman" w:cs="Times New Roman"/>
        </w:rPr>
        <w:t>July 28, 2023</w:t>
      </w:r>
      <w:r w:rsidR="004534E0">
        <w:rPr>
          <w:rFonts w:ascii="Times New Roman" w:hAnsi="Times New Roman" w:cs="Times New Roman"/>
        </w:rPr>
        <w:t>,12:30</w:t>
      </w:r>
      <w:r w:rsidR="004534E0">
        <w:rPr>
          <w:rFonts w:ascii="Times New Roman" w:hAnsi="Times New Roman" w:cs="Times New Roman"/>
        </w:rPr>
        <w:t xml:space="preserve"> pm</w:t>
      </w:r>
      <w:r w:rsidR="004534E0">
        <w:rPr>
          <w:rFonts w:ascii="Times New Roman" w:hAnsi="Times New Roman" w:cs="Times New Roman"/>
        </w:rPr>
        <w:t xml:space="preserve"> )(</w:t>
      </w:r>
      <w:hyperlink r:id="rId3" w:history="1">
        <w:r>
          <w:rPr>
            <w:rStyle w:val="Hyperlink"/>
            <w:rFonts w:ascii="Times New Roman" w:hAnsi="Times New Roman" w:cs="Times New Roman"/>
          </w:rPr>
          <w:t>https://doi.org/10.1093/jel/eqac010</w:t>
        </w:r>
      </w:hyperlink>
    </w:p>
  </w:footnote>
  <w:footnote w:id="4">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Bhullar</w:t>
      </w:r>
    </w:p>
  </w:footnote>
  <w:footnote w:id="5">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Bhullar</w:t>
      </w:r>
    </w:p>
  </w:footnote>
  <w:footnote w:id="6">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Eric  Kibet, Charl</w:t>
      </w:r>
      <w:r>
        <w:rPr>
          <w:rFonts w:ascii="Times New Roman" w:hAnsi="Times New Roman" w:cs="Times New Roman"/>
        </w:rPr>
        <w:t>es Fombad : Transformative constitutionalism and the adjudication of constitutional rights in Africa, African Human Rights law Journal,</w:t>
      </w:r>
      <w:r w:rsidR="004534E0" w:rsidRPr="004534E0">
        <w:rPr>
          <w:rFonts w:ascii="Times New Roman" w:hAnsi="Times New Roman" w:cs="Times New Roman"/>
        </w:rPr>
        <w:t xml:space="preserve"> </w:t>
      </w:r>
      <w:r w:rsidR="004534E0">
        <w:rPr>
          <w:rFonts w:ascii="Times New Roman" w:hAnsi="Times New Roman" w:cs="Times New Roman"/>
        </w:rPr>
        <w:t>(July 28, 2023,</w:t>
      </w:r>
      <w:r w:rsidR="004534E0">
        <w:rPr>
          <w:rFonts w:ascii="Times New Roman" w:hAnsi="Times New Roman" w:cs="Times New Roman"/>
        </w:rPr>
        <w:t xml:space="preserve"> 12:34</w:t>
      </w:r>
      <w:r w:rsidR="004534E0">
        <w:rPr>
          <w:rFonts w:ascii="Times New Roman" w:hAnsi="Times New Roman" w:cs="Times New Roman"/>
        </w:rPr>
        <w:t xml:space="preserve"> pm</w:t>
      </w:r>
      <w:r w:rsidR="004534E0">
        <w:rPr>
          <w:rFonts w:ascii="Times New Roman" w:hAnsi="Times New Roman" w:cs="Times New Roman"/>
        </w:rPr>
        <w:t xml:space="preserve">) </w:t>
      </w:r>
      <w:hyperlink r:id="rId4" w:history="1">
        <w:r>
          <w:rPr>
            <w:rStyle w:val="Hyperlink"/>
            <w:rFonts w:ascii="Times New Roman" w:hAnsi="Times New Roman" w:cs="Times New Roman"/>
          </w:rPr>
          <w:t>http://www.scielo.org.za/</w:t>
        </w:r>
        <w:r>
          <w:rPr>
            <w:rStyle w:val="Hyperlink"/>
            <w:rFonts w:ascii="Times New Roman" w:hAnsi="Times New Roman" w:cs="Times New Roman"/>
          </w:rPr>
          <w:t>scieli.php?script=sci_arttex&amp;pid=S1996-20962017000200002</w:t>
        </w:r>
      </w:hyperlink>
    </w:p>
    <w:p w:rsidR="008163B8" w:rsidRDefault="008163B8">
      <w:pPr>
        <w:pStyle w:val="FootnoteText"/>
        <w:jc w:val="both"/>
        <w:rPr>
          <w:rFonts w:ascii="Times New Roman" w:hAnsi="Times New Roman" w:cs="Times New Roman"/>
        </w:rPr>
      </w:pPr>
    </w:p>
  </w:footnote>
  <w:footnote w:id="7">
    <w:p w:rsidR="008163B8" w:rsidRDefault="00D77193">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Melanie Murcott,Transformative Environmental Constitutionalism’s Response to the Setting Aside of South Africa’s Moratorium on Rhino Horn Trade</w:t>
      </w:r>
      <w:r w:rsidR="004534E0">
        <w:rPr>
          <w:rFonts w:ascii="Times New Roman" w:hAnsi="Times New Roman" w:cs="Times New Roman"/>
        </w:rPr>
        <w:t>(July 28, 2023, 12:34</w:t>
      </w:r>
      <w:r w:rsidR="004534E0">
        <w:rPr>
          <w:rFonts w:ascii="Times New Roman" w:hAnsi="Times New Roman" w:cs="Times New Roman"/>
        </w:rPr>
        <w:t>5</w:t>
      </w:r>
      <w:r w:rsidR="004534E0">
        <w:rPr>
          <w:rFonts w:ascii="Times New Roman" w:hAnsi="Times New Roman" w:cs="Times New Roman"/>
        </w:rPr>
        <w:t xml:space="preserve">pm) </w:t>
      </w:r>
      <w:r w:rsidR="004534E0">
        <w:rPr>
          <w:rFonts w:ascii="Times New Roman" w:hAnsi="Times New Roman" w:cs="Times New Roman"/>
          <w:sz w:val="20"/>
          <w:szCs w:val="20"/>
        </w:rPr>
        <w:t xml:space="preserve"> </w:t>
      </w:r>
      <w:r>
        <w:rPr>
          <w:rFonts w:ascii="Times New Roman" w:hAnsi="Times New Roman" w:cs="Times New Roman"/>
          <w:sz w:val="20"/>
          <w:szCs w:val="20"/>
        </w:rPr>
        <w:t xml:space="preserve">, </w:t>
      </w:r>
      <w:hyperlink r:id="rId5" w:history="1">
        <w:r>
          <w:rPr>
            <w:rStyle w:val="Hyperlink"/>
            <w:rFonts w:ascii="Times New Roman" w:hAnsi="Times New Roman" w:cs="Times New Roman"/>
            <w:sz w:val="20"/>
            <w:szCs w:val="20"/>
          </w:rPr>
          <w:t>https://www.mdpi.com/2076-0787/6/4/84</w:t>
        </w:r>
      </w:hyperlink>
    </w:p>
    <w:p w:rsidR="008163B8" w:rsidRDefault="008163B8">
      <w:pPr>
        <w:pStyle w:val="FootnoteText"/>
        <w:jc w:val="both"/>
        <w:rPr>
          <w:rFonts w:ascii="Times New Roman" w:hAnsi="Times New Roman" w:cs="Times New Roman"/>
        </w:rPr>
      </w:pPr>
    </w:p>
    <w:p w:rsidR="008163B8" w:rsidRDefault="008163B8">
      <w:pPr>
        <w:pStyle w:val="FootnoteText"/>
        <w:jc w:val="both"/>
        <w:rPr>
          <w:rFonts w:ascii="Times New Roman" w:hAnsi="Times New Roman" w:cs="Times New Roman"/>
        </w:rPr>
      </w:pPr>
    </w:p>
  </w:footnote>
  <w:footnote w:id="8">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 Murcott</w:t>
      </w:r>
    </w:p>
  </w:footnote>
  <w:footnote w:id="9">
    <w:p w:rsidR="008163B8" w:rsidRPr="004534E0" w:rsidRDefault="00D77193" w:rsidP="004534E0">
      <w:pPr>
        <w:jc w:val="both"/>
        <w:rPr>
          <w:rFonts w:ascii="Times New Roman" w:eastAsia="Times New Roman" w:hAnsi="Times New Roman" w:cs="Times New Roman"/>
          <w:color w:val="000000"/>
          <w:kern w:val="0"/>
          <w:sz w:val="20"/>
          <w:szCs w:val="20"/>
          <w14:ligatures w14:val="non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kern w:val="0"/>
          <w:sz w:val="20"/>
          <w:szCs w:val="20"/>
          <w14:ligatures w14:val="none"/>
        </w:rPr>
        <w:t>I. C. Golaknath &amp; Ors vs State Of Punjab &amp; Anrs.(With ... on 27 February, 1967,1967 AIR 1643, 1967 SCR (2) 762</w:t>
      </w:r>
      <w:r w:rsidR="004534E0">
        <w:rPr>
          <w:rFonts w:ascii="Times New Roman" w:eastAsia="Times New Roman" w:hAnsi="Times New Roman" w:cs="Times New Roman"/>
          <w:color w:val="000000"/>
          <w:kern w:val="0"/>
          <w:sz w:val="20"/>
          <w:szCs w:val="20"/>
          <w14:ligatures w14:val="none"/>
        </w:rPr>
        <w:t xml:space="preserve">, </w:t>
      </w:r>
      <w:r w:rsidR="004534E0">
        <w:rPr>
          <w:rFonts w:ascii="Times New Roman" w:hAnsi="Times New Roman" w:cs="Times New Roman"/>
        </w:rPr>
        <w:t>(July 28, 2023, 12:37pm</w:t>
      </w:r>
      <w:r w:rsidR="004534E0">
        <w:rPr>
          <w:rFonts w:ascii="Times New Roman" w:hAnsi="Times New Roman" w:cs="Times New Roman"/>
        </w:rPr>
        <w:t>)</w:t>
      </w:r>
      <w:r w:rsidR="004534E0">
        <w:rPr>
          <w:rFonts w:ascii="Times New Roman" w:eastAsia="Times New Roman" w:hAnsi="Times New Roman" w:cs="Times New Roman"/>
          <w:color w:val="000000"/>
          <w:kern w:val="0"/>
          <w:sz w:val="20"/>
          <w:szCs w:val="20"/>
          <w14:ligatures w14:val="none"/>
        </w:rPr>
        <w:t xml:space="preserve">  </w:t>
      </w:r>
      <w:hyperlink r:id="rId6" w:history="1">
        <w:r w:rsidR="004534E0" w:rsidRPr="00FA484F">
          <w:rPr>
            <w:rStyle w:val="Hyperlink"/>
            <w:rFonts w:ascii="Times New Roman" w:eastAsia="Times New Roman" w:hAnsi="Times New Roman" w:cs="Times New Roman"/>
            <w:kern w:val="0"/>
            <w:sz w:val="20"/>
            <w:szCs w:val="20"/>
            <w14:ligatures w14:val="none"/>
          </w:rPr>
          <w:t>https://indiankanoon.org/doc/120358</w:t>
        </w:r>
      </w:hyperlink>
    </w:p>
  </w:footnote>
  <w:footnote w:id="10">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Rustom Cavasjee Cooper vs Union of India, 1970,564,1970 SCR ( 3) 530</w:t>
      </w:r>
      <w:r w:rsidR="004534E0">
        <w:rPr>
          <w:rFonts w:ascii="Times New Roman" w:hAnsi="Times New Roman" w:cs="Times New Roman"/>
        </w:rPr>
        <w:t xml:space="preserve">, </w:t>
      </w:r>
      <w:r w:rsidR="004534E0">
        <w:rPr>
          <w:rFonts w:ascii="Times New Roman" w:hAnsi="Times New Roman" w:cs="Times New Roman"/>
        </w:rPr>
        <w:t xml:space="preserve">(July 28, 2023, 12:37pm)  </w:t>
      </w:r>
      <w:r w:rsidR="004534E0">
        <w:rPr>
          <w:rFonts w:ascii="Times New Roman" w:hAnsi="Times New Roman" w:cs="Times New Roman"/>
        </w:rPr>
        <w:t xml:space="preserve"> </w:t>
      </w:r>
      <w:hyperlink r:id="rId7" w:history="1">
        <w:r w:rsidR="004534E0" w:rsidRPr="00FA484F">
          <w:rPr>
            <w:rStyle w:val="Hyperlink"/>
            <w:rFonts w:ascii="Times New Roman" w:hAnsi="Times New Roman" w:cs="Times New Roman"/>
          </w:rPr>
          <w:t>https://indiankanoon.org/doc/513801/</w:t>
        </w:r>
      </w:hyperlink>
    </w:p>
    <w:p w:rsidR="004534E0" w:rsidRDefault="004534E0">
      <w:pPr>
        <w:pStyle w:val="FootnoteText"/>
        <w:jc w:val="both"/>
        <w:rPr>
          <w:rFonts w:ascii="Times New Roman" w:hAnsi="Times New Roman" w:cs="Times New Roman"/>
        </w:rPr>
      </w:pPr>
    </w:p>
  </w:footnote>
  <w:footnote w:id="11">
    <w:p w:rsidR="008163B8" w:rsidRDefault="00D77193">
      <w:pPr>
        <w:jc w:val="both"/>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hyperlink r:id="rId8" w:history="1">
        <w:r>
          <w:rPr>
            <w:rStyle w:val="Hyperlink"/>
            <w:rFonts w:ascii="Times New Roman" w:hAnsi="Times New Roman" w:cs="Times New Roman"/>
            <w:sz w:val="20"/>
            <w:szCs w:val="20"/>
          </w:rPr>
          <w:t>https://thelegallock.com/madhav-jiwaji-rao-scindia-v-union-of-india-1970</w:t>
        </w:r>
      </w:hyperlink>
      <w:r w:rsidR="004534E0">
        <w:t xml:space="preserve"> </w:t>
      </w:r>
      <w:r w:rsidR="004534E0">
        <w:rPr>
          <w:rFonts w:ascii="Times New Roman" w:hAnsi="Times New Roman" w:cs="Times New Roman"/>
        </w:rPr>
        <w:t>(July 28, 2023,</w:t>
      </w:r>
      <w:r w:rsidR="004534E0">
        <w:rPr>
          <w:rFonts w:ascii="Times New Roman" w:hAnsi="Times New Roman" w:cs="Times New Roman"/>
        </w:rPr>
        <w:t xml:space="preserve"> 12:37</w:t>
      </w:r>
      <w:r w:rsidR="004534E0">
        <w:rPr>
          <w:rFonts w:ascii="Times New Roman" w:hAnsi="Times New Roman" w:cs="Times New Roman"/>
        </w:rPr>
        <w:t xml:space="preserve">pm) </w:t>
      </w:r>
      <w:r w:rsidR="004534E0">
        <w:rPr>
          <w:rFonts w:ascii="Times New Roman" w:hAnsi="Times New Roman" w:cs="Times New Roman"/>
          <w:sz w:val="20"/>
          <w:szCs w:val="20"/>
        </w:rPr>
        <w:t xml:space="preserve"> </w:t>
      </w:r>
    </w:p>
  </w:footnote>
  <w:footnote w:id="12">
    <w:p w:rsidR="004534E0"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Kesavananda Bharati ... vs State Of Kerala And Anr on 24 April, 1973</w:t>
      </w:r>
      <w:r w:rsidR="004534E0">
        <w:rPr>
          <w:rFonts w:ascii="Times New Roman" w:hAnsi="Times New Roman" w:cs="Times New Roman"/>
          <w:color w:val="000000"/>
          <w:shd w:val="clear" w:color="auto" w:fill="FFFFFF"/>
        </w:rPr>
        <w:t>,</w:t>
      </w:r>
      <w:r w:rsidR="004534E0" w:rsidRPr="004534E0">
        <w:t xml:space="preserve"> </w:t>
      </w:r>
      <w:hyperlink r:id="rId9" w:history="1">
        <w:r w:rsidR="004534E0" w:rsidRPr="00FA484F">
          <w:rPr>
            <w:rStyle w:val="Hyperlink"/>
            <w:rFonts w:ascii="Times New Roman" w:hAnsi="Times New Roman" w:cs="Times New Roman"/>
            <w:shd w:val="clear" w:color="auto" w:fill="FFFFFF"/>
          </w:rPr>
          <w:t>https://indiankanoon.org/doc/257876/</w:t>
        </w:r>
      </w:hyperlink>
      <w:r w:rsidR="004534E0">
        <w:rPr>
          <w:rFonts w:ascii="Times New Roman" w:hAnsi="Times New Roman" w:cs="Times New Roman"/>
          <w:color w:val="000000"/>
          <w:shd w:val="clear" w:color="auto" w:fill="FFFFFF"/>
        </w:rPr>
        <w:t xml:space="preserve"> </w:t>
      </w:r>
      <w:r w:rsidR="004534E0">
        <w:rPr>
          <w:rFonts w:ascii="Times New Roman" w:hAnsi="Times New Roman" w:cs="Times New Roman"/>
        </w:rPr>
        <w:t>(July 28, 2023,</w:t>
      </w:r>
      <w:r w:rsidR="004534E0">
        <w:rPr>
          <w:rFonts w:ascii="Times New Roman" w:hAnsi="Times New Roman" w:cs="Times New Roman"/>
        </w:rPr>
        <w:t xml:space="preserve"> 12:50</w:t>
      </w:r>
      <w:r w:rsidR="004534E0">
        <w:rPr>
          <w:rFonts w:ascii="Times New Roman" w:hAnsi="Times New Roman" w:cs="Times New Roman"/>
        </w:rPr>
        <w:t xml:space="preserve">pm)  </w:t>
      </w:r>
    </w:p>
    <w:p w:rsidR="008163B8" w:rsidRDefault="004534E0">
      <w:pPr>
        <w:pStyle w:val="FootnoteText"/>
        <w:jc w:val="both"/>
        <w:rPr>
          <w:rFonts w:ascii="Times New Roman" w:hAnsi="Times New Roman" w:cs="Times New Roman"/>
        </w:rPr>
      </w:pPr>
      <w:r>
        <w:rPr>
          <w:rFonts w:ascii="Times New Roman" w:hAnsi="Times New Roman" w:cs="Times New Roman"/>
          <w:color w:val="000000"/>
          <w:shd w:val="clear" w:color="auto" w:fill="FFFFFF"/>
        </w:rPr>
        <w:t xml:space="preserve"> </w:t>
      </w:r>
    </w:p>
  </w:footnote>
  <w:footnote w:id="13">
    <w:p w:rsidR="008163B8"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Indira Nehru Gandhi v</w:t>
      </w:r>
      <w:r>
        <w:rPr>
          <w:rFonts w:ascii="Times New Roman" w:hAnsi="Times New Roman" w:cs="Times New Roman"/>
          <w:color w:val="000000"/>
          <w:shd w:val="clear" w:color="auto" w:fill="FFFFFF"/>
        </w:rPr>
        <w:t>s Shri Raj Narain &amp; Anr on 7 November, 1975</w:t>
      </w:r>
      <w:r w:rsidR="004534E0">
        <w:rPr>
          <w:rFonts w:ascii="Times New Roman" w:hAnsi="Times New Roman" w:cs="Times New Roman"/>
        </w:rPr>
        <w:t>(July 28, 2023,</w:t>
      </w:r>
      <w:r w:rsidR="004534E0">
        <w:rPr>
          <w:rFonts w:ascii="Times New Roman" w:hAnsi="Times New Roman" w:cs="Times New Roman"/>
        </w:rPr>
        <w:t xml:space="preserve"> 12:52</w:t>
      </w:r>
      <w:r w:rsidR="004534E0">
        <w:rPr>
          <w:rFonts w:ascii="Times New Roman" w:hAnsi="Times New Roman" w:cs="Times New Roman"/>
        </w:rPr>
        <w:t xml:space="preserve">pm)   </w:t>
      </w:r>
      <w:r w:rsidR="004534E0">
        <w:rPr>
          <w:rFonts w:ascii="Times New Roman" w:hAnsi="Times New Roman" w:cs="Times New Roman"/>
          <w:color w:val="000000"/>
          <w:shd w:val="clear" w:color="auto" w:fill="FFFFFF"/>
        </w:rPr>
        <w:t xml:space="preserve">   </w:t>
      </w:r>
      <w:hyperlink r:id="rId10" w:history="1">
        <w:r w:rsidR="004534E0" w:rsidRPr="00FA484F">
          <w:rPr>
            <w:rStyle w:val="Hyperlink"/>
            <w:rFonts w:ascii="Times New Roman" w:hAnsi="Times New Roman" w:cs="Times New Roman"/>
            <w:shd w:val="clear" w:color="auto" w:fill="FFFFFF"/>
          </w:rPr>
          <w:t>https://indiankanoon.org/doc/936707/</w:t>
        </w:r>
      </w:hyperlink>
    </w:p>
    <w:p w:rsidR="004534E0" w:rsidRDefault="004534E0">
      <w:pPr>
        <w:pStyle w:val="FootnoteText"/>
        <w:jc w:val="both"/>
        <w:rPr>
          <w:rFonts w:ascii="Times New Roman" w:hAnsi="Times New Roman" w:cs="Times New Roman"/>
        </w:rPr>
      </w:pPr>
    </w:p>
  </w:footnote>
  <w:footnote w:id="14">
    <w:p w:rsidR="008163B8" w:rsidRDefault="00D77193">
      <w:pPr>
        <w:jc w:val="both"/>
        <w:rPr>
          <w:rFonts w:ascii="Times New Roman" w:eastAsia="Times New Roman" w:hAnsi="Times New Roman" w:cs="Times New Roman"/>
          <w:color w:val="000000"/>
          <w:kern w:val="0"/>
          <w:sz w:val="20"/>
          <w:szCs w:val="20"/>
          <w14:ligatures w14:val="none"/>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kern w:val="0"/>
          <w:sz w:val="20"/>
          <w:szCs w:val="20"/>
          <w14:ligatures w14:val="none"/>
        </w:rPr>
        <w:t>Mumbai Kamgar Sabha, Bombay vs M/S Abdulbhai Faizullabhai &amp; Ors on 10 March, 1976,1976 AIR 1455, 1976 SCR (3) 591</w:t>
      </w:r>
      <w:r w:rsidR="004534E0">
        <w:rPr>
          <w:rFonts w:ascii="Times New Roman" w:hAnsi="Times New Roman" w:cs="Times New Roman"/>
        </w:rPr>
        <w:t xml:space="preserve">(July 28, 2023, 12:55pm) </w:t>
      </w:r>
      <w:r w:rsidR="004534E0">
        <w:rPr>
          <w:rFonts w:ascii="Times New Roman" w:hAnsi="Times New Roman" w:cs="Times New Roman"/>
          <w:sz w:val="20"/>
          <w:szCs w:val="20"/>
        </w:rPr>
        <w:t xml:space="preserve"> </w:t>
      </w:r>
      <w:r w:rsidR="004534E0">
        <w:rPr>
          <w:rFonts w:ascii="Times New Roman" w:hAnsi="Times New Roman" w:cs="Times New Roman"/>
        </w:rPr>
        <w:t xml:space="preserve"> </w:t>
      </w:r>
      <w:r w:rsidR="004534E0">
        <w:rPr>
          <w:rFonts w:ascii="Times New Roman" w:hAnsi="Times New Roman" w:cs="Times New Roman"/>
          <w:color w:val="000000"/>
          <w:shd w:val="clear" w:color="auto" w:fill="FFFFFF"/>
        </w:rPr>
        <w:t xml:space="preserve">   </w:t>
      </w:r>
      <w:r w:rsidR="004534E0">
        <w:rPr>
          <w:rFonts w:ascii="Times New Roman" w:eastAsia="Times New Roman" w:hAnsi="Times New Roman" w:cs="Times New Roman"/>
          <w:color w:val="000000"/>
          <w:kern w:val="0"/>
          <w:sz w:val="20"/>
          <w:szCs w:val="20"/>
          <w14:ligatures w14:val="none"/>
        </w:rPr>
        <w:t xml:space="preserve">  </w:t>
      </w:r>
      <w:hyperlink r:id="rId11" w:history="1">
        <w:r w:rsidR="004534E0" w:rsidRPr="00FA484F">
          <w:rPr>
            <w:rStyle w:val="Hyperlink"/>
            <w:rFonts w:ascii="Times New Roman" w:eastAsia="Times New Roman" w:hAnsi="Times New Roman" w:cs="Times New Roman"/>
            <w:kern w:val="0"/>
            <w:sz w:val="20"/>
            <w:szCs w:val="20"/>
            <w14:ligatures w14:val="none"/>
          </w:rPr>
          <w:t>https://indiankanoon.org/doc/191016/</w:t>
        </w:r>
      </w:hyperlink>
      <w:r w:rsidR="004534E0">
        <w:rPr>
          <w:rFonts w:ascii="Times New Roman" w:eastAsia="Times New Roman" w:hAnsi="Times New Roman" w:cs="Times New Roman"/>
          <w:color w:val="000000"/>
          <w:kern w:val="0"/>
          <w:sz w:val="20"/>
          <w:szCs w:val="20"/>
          <w14:ligatures w14:val="none"/>
        </w:rPr>
        <w:t xml:space="preserve"> </w:t>
      </w:r>
      <w:r w:rsidR="004534E0">
        <w:rPr>
          <w:rFonts w:ascii="Times New Roman" w:hAnsi="Times New Roman" w:cs="Times New Roman"/>
          <w:sz w:val="20"/>
          <w:szCs w:val="20"/>
        </w:rPr>
        <w:t xml:space="preserve"> </w:t>
      </w:r>
      <w:r w:rsidR="004534E0">
        <w:rPr>
          <w:rFonts w:ascii="Times New Roman" w:hAnsi="Times New Roman" w:cs="Times New Roman"/>
        </w:rPr>
        <w:t xml:space="preserve"> </w:t>
      </w:r>
      <w:r w:rsidR="004534E0">
        <w:rPr>
          <w:rFonts w:ascii="Times New Roman" w:hAnsi="Times New Roman" w:cs="Times New Roman"/>
          <w:color w:val="000000"/>
          <w:shd w:val="clear" w:color="auto" w:fill="FFFFFF"/>
        </w:rPr>
        <w:t xml:space="preserve">   </w:t>
      </w:r>
    </w:p>
    <w:p w:rsidR="004534E0" w:rsidRDefault="004534E0">
      <w:pPr>
        <w:jc w:val="both"/>
        <w:rPr>
          <w:rFonts w:ascii="Times New Roman" w:eastAsia="Times New Roman" w:hAnsi="Times New Roman" w:cs="Times New Roman"/>
          <w:color w:val="000000"/>
          <w:kern w:val="0"/>
          <w:sz w:val="20"/>
          <w:szCs w:val="20"/>
          <w14:ligatures w14:val="none"/>
        </w:rPr>
      </w:pPr>
    </w:p>
  </w:footnote>
  <w:footnote w:id="15">
    <w:p w:rsidR="004534E0" w:rsidRPr="004534E0" w:rsidRDefault="00D77193">
      <w:pPr>
        <w:jc w:val="both"/>
        <w:rPr>
          <w:rFonts w:ascii="Times New Roman" w:hAnsi="Times New Roman" w:cs="Times New Roman"/>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w:t>
      </w:r>
      <w:r>
        <w:rPr>
          <w:rFonts w:ascii="Times New Roman" w:eastAsia="Times New Roman" w:hAnsi="Times New Roman" w:cs="Times New Roman"/>
          <w:color w:val="000000"/>
          <w:kern w:val="0"/>
          <w:sz w:val="20"/>
          <w:szCs w:val="20"/>
          <w14:ligatures w14:val="none"/>
        </w:rPr>
        <w:t>Maneka Gandhi vs Union Of India on 25 January, 1978,1978 AIR 597, 1978 SCR (2) 621</w:t>
      </w:r>
      <w:r w:rsidR="004534E0">
        <w:rPr>
          <w:rFonts w:ascii="Times New Roman" w:eastAsia="Times New Roman" w:hAnsi="Times New Roman" w:cs="Times New Roman"/>
          <w:color w:val="000000"/>
          <w:kern w:val="0"/>
          <w:sz w:val="20"/>
          <w:szCs w:val="20"/>
          <w14:ligatures w14:val="none"/>
        </w:rPr>
        <w:t xml:space="preserve"> </w:t>
      </w:r>
      <w:r w:rsidR="004534E0">
        <w:rPr>
          <w:rFonts w:ascii="Times New Roman" w:hAnsi="Times New Roman" w:cs="Times New Roman"/>
        </w:rPr>
        <w:t>(July 28, 2023,</w:t>
      </w:r>
      <w:r w:rsidR="004534E0">
        <w:rPr>
          <w:rFonts w:ascii="Times New Roman" w:hAnsi="Times New Roman" w:cs="Times New Roman"/>
        </w:rPr>
        <w:t xml:space="preserve"> 12:57</w:t>
      </w:r>
      <w:r w:rsidR="004534E0">
        <w:rPr>
          <w:rFonts w:ascii="Times New Roman" w:hAnsi="Times New Roman" w:cs="Times New Roman"/>
        </w:rPr>
        <w:t>pm)</w:t>
      </w:r>
      <w:r w:rsidR="004534E0">
        <w:rPr>
          <w:rFonts w:ascii="Times New Roman" w:hAnsi="Times New Roman" w:cs="Times New Roman"/>
        </w:rPr>
        <w:t>,</w:t>
      </w:r>
      <w:r w:rsidR="004534E0" w:rsidRPr="004534E0">
        <w:t xml:space="preserve"> </w:t>
      </w:r>
      <w:r w:rsidR="004534E0">
        <w:t xml:space="preserve"> </w:t>
      </w:r>
      <w:hyperlink r:id="rId12" w:history="1">
        <w:r w:rsidR="004534E0" w:rsidRPr="00FA484F">
          <w:rPr>
            <w:rStyle w:val="Hyperlink"/>
            <w:rFonts w:ascii="Times New Roman" w:hAnsi="Times New Roman" w:cs="Times New Roman"/>
          </w:rPr>
          <w:t>https://indiankanoon.org/doc/1766147/</w:t>
        </w:r>
      </w:hyperlink>
    </w:p>
  </w:footnote>
  <w:footnote w:id="16">
    <w:p w:rsidR="008163B8"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color w:val="000000"/>
          <w:shd w:val="clear" w:color="auto" w:fill="FFFFFF"/>
        </w:rPr>
        <w:t>Vishaka</w:t>
      </w:r>
      <w:proofErr w:type="spellEnd"/>
      <w:r>
        <w:rPr>
          <w:rFonts w:ascii="Times New Roman" w:hAnsi="Times New Roman" w:cs="Times New Roman"/>
          <w:color w:val="000000"/>
          <w:shd w:val="clear" w:color="auto" w:fill="FFFFFF"/>
        </w:rPr>
        <w:t xml:space="preserve"> &amp;</w:t>
      </w:r>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Ors</w:t>
      </w:r>
      <w:proofErr w:type="spellEnd"/>
      <w:r>
        <w:rPr>
          <w:rFonts w:ascii="Times New Roman" w:hAnsi="Times New Roman" w:cs="Times New Roman"/>
          <w:color w:val="000000"/>
          <w:shd w:val="clear" w:color="auto" w:fill="FFFFFF"/>
        </w:rPr>
        <w:t xml:space="preserve"> vs State Of Rajasthan &amp; Ors on 13 August, 1997</w:t>
      </w:r>
      <w:r w:rsidR="004534E0">
        <w:rPr>
          <w:rFonts w:ascii="Times New Roman" w:hAnsi="Times New Roman" w:cs="Times New Roman"/>
          <w:color w:val="000000"/>
          <w:shd w:val="clear" w:color="auto" w:fill="FFFFFF"/>
        </w:rPr>
        <w:t>,</w:t>
      </w:r>
      <w:r w:rsidR="004534E0" w:rsidRPr="004534E0">
        <w:rPr>
          <w:rFonts w:ascii="Times New Roman" w:hAnsi="Times New Roman" w:cs="Times New Roman"/>
        </w:rPr>
        <w:t xml:space="preserve"> </w:t>
      </w:r>
      <w:r w:rsidR="004534E0">
        <w:rPr>
          <w:rFonts w:ascii="Times New Roman" w:hAnsi="Times New Roman" w:cs="Times New Roman"/>
        </w:rPr>
        <w:t>(July 28, 2023, 12:57pm),</w:t>
      </w:r>
      <w:r w:rsidR="004534E0">
        <w:rPr>
          <w:rFonts w:ascii="Times New Roman" w:hAnsi="Times New Roman" w:cs="Times New Roman"/>
          <w:color w:val="000000"/>
          <w:shd w:val="clear" w:color="auto" w:fill="FFFFFF"/>
        </w:rPr>
        <w:t xml:space="preserve">   </w:t>
      </w:r>
      <w:hyperlink r:id="rId13" w:history="1">
        <w:r w:rsidR="004534E0" w:rsidRPr="00FA484F">
          <w:rPr>
            <w:rStyle w:val="Hyperlink"/>
            <w:rFonts w:ascii="Times New Roman" w:hAnsi="Times New Roman" w:cs="Times New Roman"/>
            <w:shd w:val="clear" w:color="auto" w:fill="FFFFFF"/>
          </w:rPr>
          <w:t>https://indiankanoon.org/doc/1031794/</w:t>
        </w:r>
      </w:hyperlink>
    </w:p>
    <w:p w:rsidR="004534E0" w:rsidRDefault="004534E0">
      <w:pPr>
        <w:pStyle w:val="FootnoteText"/>
        <w:jc w:val="both"/>
        <w:rPr>
          <w:rFonts w:ascii="Times New Roman" w:hAnsi="Times New Roman" w:cs="Times New Roman"/>
        </w:rPr>
      </w:pPr>
    </w:p>
  </w:footnote>
  <w:footnote w:id="17">
    <w:p w:rsidR="004534E0"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National Legal Ser.Auth vs Union Of India &amp; Ors on 15 April, 2014</w:t>
      </w:r>
      <w:r w:rsidR="004534E0">
        <w:rPr>
          <w:rFonts w:ascii="Times New Roman" w:hAnsi="Times New Roman" w:cs="Times New Roman"/>
        </w:rPr>
        <w:t>(July 28, 2023,</w:t>
      </w:r>
      <w:r w:rsidR="004534E0">
        <w:rPr>
          <w:rFonts w:ascii="Times New Roman" w:hAnsi="Times New Roman" w:cs="Times New Roman"/>
        </w:rPr>
        <w:t xml:space="preserve"> 1:04</w:t>
      </w:r>
      <w:r w:rsidR="004534E0">
        <w:rPr>
          <w:rFonts w:ascii="Times New Roman" w:hAnsi="Times New Roman" w:cs="Times New Roman"/>
        </w:rPr>
        <w:t>pm),</w:t>
      </w:r>
      <w:r w:rsidR="004534E0">
        <w:rPr>
          <w:rFonts w:ascii="Times New Roman" w:hAnsi="Times New Roman" w:cs="Times New Roman"/>
          <w:color w:val="000000"/>
          <w:shd w:val="clear" w:color="auto" w:fill="FFFFFF"/>
        </w:rPr>
        <w:t xml:space="preserve">  </w:t>
      </w:r>
      <w:hyperlink r:id="rId14" w:history="1">
        <w:r w:rsidR="004534E0" w:rsidRPr="00FA484F">
          <w:rPr>
            <w:rStyle w:val="Hyperlink"/>
            <w:rFonts w:ascii="Times New Roman" w:hAnsi="Times New Roman" w:cs="Times New Roman"/>
            <w:shd w:val="clear" w:color="auto" w:fill="FFFFFF"/>
          </w:rPr>
          <w:t>https://indiankanoon.org/doc/193543132/</w:t>
        </w:r>
      </w:hyperlink>
    </w:p>
    <w:p w:rsidR="008163B8" w:rsidRDefault="004534E0">
      <w:pPr>
        <w:pStyle w:val="FootnoteText"/>
        <w:jc w:val="both"/>
        <w:rPr>
          <w:rFonts w:ascii="Times New Roman" w:hAnsi="Times New Roman" w:cs="Times New Roman"/>
        </w:rPr>
      </w:pPr>
      <w:r>
        <w:rPr>
          <w:rFonts w:ascii="Times New Roman" w:hAnsi="Times New Roman" w:cs="Times New Roman"/>
          <w:color w:val="000000"/>
          <w:shd w:val="clear" w:color="auto" w:fill="FFFFFF"/>
        </w:rPr>
        <w:t xml:space="preserve"> </w:t>
      </w:r>
    </w:p>
  </w:footnote>
  <w:footnote w:id="18">
    <w:p w:rsidR="00D476E6" w:rsidRDefault="00D77193" w:rsidP="00D476E6">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Navtej Singh Johar vs Union Of India Ministry Of Law And ... on 6 September, 2018</w:t>
      </w:r>
      <w:r w:rsidR="00B24DAE">
        <w:rPr>
          <w:rFonts w:ascii="Times New Roman" w:hAnsi="Times New Roman" w:cs="Times New Roman"/>
          <w:color w:val="000000"/>
          <w:shd w:val="clear" w:color="auto" w:fill="FFFFFF"/>
        </w:rPr>
        <w:t>,</w:t>
      </w:r>
      <w:r w:rsidR="00B24DAE" w:rsidRPr="00B24DAE">
        <w:t xml:space="preserve"> </w:t>
      </w:r>
      <w:r w:rsidR="00D476E6">
        <w:rPr>
          <w:rFonts w:ascii="Times New Roman" w:hAnsi="Times New Roman" w:cs="Times New Roman"/>
        </w:rPr>
        <w:t>(July 28, 2023, 1:09pm)</w:t>
      </w:r>
    </w:p>
    <w:p w:rsidR="008163B8" w:rsidRDefault="00B24DAE">
      <w:pPr>
        <w:pStyle w:val="FootnoteText"/>
        <w:jc w:val="both"/>
        <w:rPr>
          <w:rFonts w:ascii="Times New Roman" w:hAnsi="Times New Roman" w:cs="Times New Roman"/>
          <w:color w:val="000000"/>
          <w:shd w:val="clear" w:color="auto" w:fill="FFFFFF"/>
        </w:rPr>
      </w:pPr>
      <w:hyperlink r:id="rId15" w:history="1">
        <w:r w:rsidRPr="00FA484F">
          <w:rPr>
            <w:rStyle w:val="Hyperlink"/>
            <w:rFonts w:ascii="Times New Roman" w:hAnsi="Times New Roman" w:cs="Times New Roman"/>
            <w:shd w:val="clear" w:color="auto" w:fill="FFFFFF"/>
          </w:rPr>
          <w:t>https://indiankanoon.org/doc/168671544/</w:t>
        </w:r>
      </w:hyperlink>
      <w:r>
        <w:rPr>
          <w:rFonts w:ascii="Times New Roman" w:hAnsi="Times New Roman" w:cs="Times New Roman"/>
          <w:color w:val="000000"/>
          <w:shd w:val="clear" w:color="auto" w:fill="FFFFFF"/>
        </w:rPr>
        <w:t xml:space="preserve"> </w:t>
      </w:r>
    </w:p>
    <w:p w:rsidR="00B24DAE" w:rsidRDefault="00B24DAE">
      <w:pPr>
        <w:pStyle w:val="FootnoteText"/>
        <w:jc w:val="both"/>
        <w:rPr>
          <w:rFonts w:ascii="Times New Roman" w:hAnsi="Times New Roman" w:cs="Times New Roman"/>
        </w:rPr>
      </w:pPr>
    </w:p>
  </w:footnote>
  <w:footnote w:id="19">
    <w:p w:rsidR="00B24DAE" w:rsidRPr="00B24DAE"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Joseph Shine vs Union Of India on 27 September, 20</w:t>
      </w:r>
      <w:r>
        <w:rPr>
          <w:rFonts w:ascii="Times New Roman" w:hAnsi="Times New Roman" w:cs="Times New Roman"/>
          <w:color w:val="000000"/>
          <w:shd w:val="clear" w:color="auto" w:fill="FFFFFF"/>
        </w:rPr>
        <w:t>18</w:t>
      </w:r>
      <w:r w:rsidR="00B24DAE">
        <w:rPr>
          <w:rFonts w:ascii="Times New Roman" w:hAnsi="Times New Roman" w:cs="Times New Roman"/>
          <w:color w:val="000000"/>
          <w:shd w:val="clear" w:color="auto" w:fill="FFFFFF"/>
        </w:rPr>
        <w:t xml:space="preserve"> </w:t>
      </w:r>
      <w:hyperlink r:id="rId16" w:history="1">
        <w:r w:rsidR="00B24DAE" w:rsidRPr="00FA484F">
          <w:rPr>
            <w:rStyle w:val="Hyperlink"/>
            <w:rFonts w:ascii="Times New Roman" w:hAnsi="Times New Roman" w:cs="Times New Roman"/>
            <w:shd w:val="clear" w:color="auto" w:fill="FFFFFF"/>
          </w:rPr>
          <w:t>https://indiankanoon.org/doc/42184625/</w:t>
        </w:r>
      </w:hyperlink>
      <w:r w:rsidR="00B24DAE">
        <w:rPr>
          <w:rFonts w:ascii="Times New Roman" w:hAnsi="Times New Roman" w:cs="Times New Roman"/>
          <w:color w:val="000000"/>
          <w:shd w:val="clear" w:color="auto" w:fill="FFFFFF"/>
        </w:rPr>
        <w:t xml:space="preserve"> (</w:t>
      </w:r>
      <w:r w:rsidR="00B24DAE">
        <w:rPr>
          <w:rFonts w:ascii="Times New Roman" w:hAnsi="Times New Roman" w:cs="Times New Roman"/>
        </w:rPr>
        <w:t>July 28, 2023,</w:t>
      </w:r>
      <w:r w:rsidR="00B24DAE">
        <w:rPr>
          <w:rFonts w:ascii="Times New Roman" w:hAnsi="Times New Roman" w:cs="Times New Roman"/>
        </w:rPr>
        <w:t xml:space="preserve"> 1:12</w:t>
      </w:r>
      <w:r w:rsidR="00B24DAE">
        <w:rPr>
          <w:rFonts w:ascii="Times New Roman" w:hAnsi="Times New Roman" w:cs="Times New Roman"/>
        </w:rPr>
        <w:t>pm)</w:t>
      </w:r>
    </w:p>
  </w:footnote>
  <w:footnote w:id="20">
    <w:p w:rsidR="00B24DAE" w:rsidRPr="00B24DAE" w:rsidRDefault="00D77193" w:rsidP="00B24DAE">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Indian Young Lawyers Association vs The State Of Kerala on 28 September, 2018</w:t>
      </w:r>
      <w:r w:rsidR="00B24DAE" w:rsidRPr="00B24DAE">
        <w:t xml:space="preserve"> </w:t>
      </w:r>
      <w:r w:rsidR="00D476E6">
        <w:rPr>
          <w:rFonts w:ascii="Times New Roman" w:hAnsi="Times New Roman" w:cs="Times New Roman"/>
          <w:color w:val="000000"/>
          <w:shd w:val="clear" w:color="auto" w:fill="FFFFFF"/>
        </w:rPr>
        <w:t>(</w:t>
      </w:r>
      <w:r w:rsidR="00D476E6">
        <w:rPr>
          <w:rFonts w:ascii="Times New Roman" w:hAnsi="Times New Roman" w:cs="Times New Roman"/>
        </w:rPr>
        <w:t>July 28, 2023, 1:14pm)</w:t>
      </w:r>
      <w:hyperlink r:id="rId17" w:history="1">
        <w:r w:rsidR="00B24DAE" w:rsidRPr="00FA484F">
          <w:rPr>
            <w:rStyle w:val="Hyperlink"/>
            <w:rFonts w:ascii="Times New Roman" w:hAnsi="Times New Roman" w:cs="Times New Roman"/>
            <w:shd w:val="clear" w:color="auto" w:fill="FFFFFF"/>
          </w:rPr>
          <w:t>https://indiankanoon.org/doc/163639357/</w:t>
        </w:r>
      </w:hyperlink>
      <w:r w:rsidR="00B24DAE">
        <w:rPr>
          <w:rFonts w:ascii="Times New Roman" w:hAnsi="Times New Roman" w:cs="Times New Roman"/>
          <w:color w:val="000000"/>
          <w:shd w:val="clear" w:color="auto" w:fill="FFFFFF"/>
        </w:rPr>
        <w:t xml:space="preserve"> </w:t>
      </w:r>
    </w:p>
    <w:p w:rsidR="00B24DAE" w:rsidRDefault="00B24DAE">
      <w:pPr>
        <w:pStyle w:val="FootnoteText"/>
        <w:jc w:val="both"/>
        <w:rPr>
          <w:rFonts w:ascii="Times New Roman" w:hAnsi="Times New Roman" w:cs="Times New Roman"/>
        </w:rPr>
      </w:pPr>
    </w:p>
  </w:footnote>
  <w:footnote w:id="21">
    <w:p w:rsidR="008163B8"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color w:val="000000"/>
          <w:shd w:val="clear" w:color="auto" w:fill="FFFFFF"/>
        </w:rPr>
        <w:t>Vineeta Sharma vs Rakesh Sharma on 11 August, 2020</w:t>
      </w:r>
      <w:r w:rsidR="00D476E6">
        <w:rPr>
          <w:rFonts w:ascii="Times New Roman" w:hAnsi="Times New Roman" w:cs="Times New Roman"/>
          <w:color w:val="000000"/>
          <w:shd w:val="clear" w:color="auto" w:fill="FFFFFF"/>
        </w:rPr>
        <w:t xml:space="preserve"> </w:t>
      </w:r>
      <w:r w:rsidR="00D476E6">
        <w:rPr>
          <w:rFonts w:ascii="Times New Roman" w:hAnsi="Times New Roman" w:cs="Times New Roman"/>
          <w:color w:val="000000"/>
          <w:shd w:val="clear" w:color="auto" w:fill="FFFFFF"/>
        </w:rPr>
        <w:t>(</w:t>
      </w:r>
      <w:r w:rsidR="00D476E6">
        <w:rPr>
          <w:rFonts w:ascii="Times New Roman" w:hAnsi="Times New Roman" w:cs="Times New Roman"/>
        </w:rPr>
        <w:t>July 28, 2023,</w:t>
      </w:r>
      <w:r w:rsidR="00D476E6">
        <w:rPr>
          <w:rFonts w:ascii="Times New Roman" w:hAnsi="Times New Roman" w:cs="Times New Roman"/>
        </w:rPr>
        <w:t xml:space="preserve"> 1:19</w:t>
      </w:r>
      <w:r w:rsidR="00D476E6">
        <w:rPr>
          <w:rFonts w:ascii="Times New Roman" w:hAnsi="Times New Roman" w:cs="Times New Roman"/>
        </w:rPr>
        <w:t>pm</w:t>
      </w:r>
      <w:r w:rsidR="00D476E6">
        <w:rPr>
          <w:rFonts w:ascii="Times New Roman" w:hAnsi="Times New Roman" w:cs="Times New Roman"/>
          <w:color w:val="000000"/>
          <w:shd w:val="clear" w:color="auto" w:fill="FFFFFF"/>
        </w:rPr>
        <w:t xml:space="preserve">) </w:t>
      </w:r>
      <w:hyperlink r:id="rId18" w:history="1">
        <w:r w:rsidR="00D476E6" w:rsidRPr="00FA484F">
          <w:rPr>
            <w:rStyle w:val="Hyperlink"/>
            <w:rFonts w:ascii="Times New Roman" w:hAnsi="Times New Roman" w:cs="Times New Roman"/>
            <w:shd w:val="clear" w:color="auto" w:fill="FFFFFF"/>
          </w:rPr>
          <w:t>https://indiankanoon.org/doc/67965481/</w:t>
        </w:r>
      </w:hyperlink>
    </w:p>
    <w:p w:rsidR="00D476E6" w:rsidRDefault="00D476E6">
      <w:pPr>
        <w:pStyle w:val="FootnoteText"/>
        <w:jc w:val="both"/>
        <w:rPr>
          <w:rFonts w:ascii="Times New Roman" w:hAnsi="Times New Roman" w:cs="Times New Roman"/>
        </w:rPr>
      </w:pPr>
    </w:p>
  </w:footnote>
  <w:footnote w:id="22">
    <w:p w:rsidR="008163B8" w:rsidRDefault="00D77193">
      <w:pPr>
        <w:pStyle w:val="FootnoteText"/>
        <w:jc w:val="both"/>
        <w:rPr>
          <w:rFonts w:ascii="Times New Roman" w:hAnsi="Times New Roman" w:cs="Times New Roman"/>
          <w:color w:val="000000"/>
          <w:shd w:val="clear" w:color="auto" w:fill="FFFFFF"/>
        </w:rPr>
      </w:pPr>
      <w:r>
        <w:rPr>
          <w:rStyle w:val="FootnoteReference"/>
          <w:rFonts w:ascii="Times New Roman" w:hAnsi="Times New Roman" w:cs="Times New Roman"/>
        </w:rPr>
        <w:footnoteRef/>
      </w:r>
      <w:r>
        <w:rPr>
          <w:rFonts w:ascii="Times New Roman" w:hAnsi="Times New Roman" w:cs="Times New Roman"/>
        </w:rPr>
        <w:t xml:space="preserve"> </w:t>
      </w:r>
      <w:proofErr w:type="spellStart"/>
      <w:r>
        <w:rPr>
          <w:rFonts w:ascii="Times New Roman" w:hAnsi="Times New Roman" w:cs="Times New Roman"/>
          <w:color w:val="000000"/>
          <w:shd w:val="clear" w:color="auto" w:fill="FFFFFF"/>
        </w:rPr>
        <w:t>Aishat</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Shifa</w:t>
      </w:r>
      <w:proofErr w:type="spellEnd"/>
      <w:r>
        <w:rPr>
          <w:rFonts w:ascii="Times New Roman" w:hAnsi="Times New Roman" w:cs="Times New Roman"/>
          <w:color w:val="000000"/>
          <w:shd w:val="clear" w:color="auto" w:fill="FFFFFF"/>
        </w:rPr>
        <w:t xml:space="preserve"> </w:t>
      </w:r>
      <w:proofErr w:type="spellStart"/>
      <w:r>
        <w:rPr>
          <w:rFonts w:ascii="Times New Roman" w:hAnsi="Times New Roman" w:cs="Times New Roman"/>
          <w:color w:val="000000"/>
          <w:shd w:val="clear" w:color="auto" w:fill="FFFFFF"/>
        </w:rPr>
        <w:t>vs</w:t>
      </w:r>
      <w:proofErr w:type="spellEnd"/>
      <w:r>
        <w:rPr>
          <w:rFonts w:ascii="Times New Roman" w:hAnsi="Times New Roman" w:cs="Times New Roman"/>
          <w:color w:val="000000"/>
          <w:shd w:val="clear" w:color="auto" w:fill="FFFFFF"/>
        </w:rPr>
        <w:t xml:space="preserve"> The State Of Karnataka on 13 October, 2022</w:t>
      </w:r>
      <w:r w:rsidR="00116E72">
        <w:rPr>
          <w:rFonts w:ascii="Times New Roman" w:hAnsi="Times New Roman" w:cs="Times New Roman"/>
          <w:color w:val="000000"/>
          <w:shd w:val="clear" w:color="auto" w:fill="FFFFFF"/>
        </w:rPr>
        <w:t xml:space="preserve">, </w:t>
      </w:r>
      <w:r w:rsidR="00D476E6">
        <w:rPr>
          <w:rFonts w:ascii="Times New Roman" w:hAnsi="Times New Roman" w:cs="Times New Roman"/>
          <w:color w:val="000000"/>
          <w:shd w:val="clear" w:color="auto" w:fill="FFFFFF"/>
        </w:rPr>
        <w:t xml:space="preserve"> </w:t>
      </w:r>
      <w:r w:rsidR="00116E72">
        <w:rPr>
          <w:rFonts w:ascii="Times New Roman" w:hAnsi="Times New Roman" w:cs="Times New Roman"/>
          <w:color w:val="000000"/>
          <w:shd w:val="clear" w:color="auto" w:fill="FFFFFF"/>
        </w:rPr>
        <w:t>(</w:t>
      </w:r>
      <w:r w:rsidR="00116E72">
        <w:rPr>
          <w:rFonts w:ascii="Times New Roman" w:hAnsi="Times New Roman" w:cs="Times New Roman"/>
        </w:rPr>
        <w:t>July 28, 2023,</w:t>
      </w:r>
      <w:r w:rsidR="00116E72">
        <w:rPr>
          <w:rFonts w:ascii="Times New Roman" w:hAnsi="Times New Roman" w:cs="Times New Roman"/>
        </w:rPr>
        <w:t xml:space="preserve"> 1:25</w:t>
      </w:r>
      <w:r w:rsidR="00116E72">
        <w:rPr>
          <w:rFonts w:ascii="Times New Roman" w:hAnsi="Times New Roman" w:cs="Times New Roman"/>
        </w:rPr>
        <w:t>pm</w:t>
      </w:r>
      <w:r w:rsidR="00116E72">
        <w:rPr>
          <w:rFonts w:ascii="Times New Roman" w:hAnsi="Times New Roman" w:cs="Times New Roman"/>
          <w:color w:val="000000"/>
          <w:shd w:val="clear" w:color="auto" w:fill="FFFFFF"/>
        </w:rPr>
        <w:t xml:space="preserve">) </w:t>
      </w:r>
      <w:hyperlink r:id="rId19" w:history="1">
        <w:r w:rsidR="00D476E6" w:rsidRPr="00FA484F">
          <w:rPr>
            <w:rStyle w:val="Hyperlink"/>
            <w:rFonts w:ascii="Times New Roman" w:hAnsi="Times New Roman" w:cs="Times New Roman"/>
            <w:shd w:val="clear" w:color="auto" w:fill="FFFFFF"/>
          </w:rPr>
          <w:t>https://indiankanoon.org/doc/8682191/</w:t>
        </w:r>
      </w:hyperlink>
    </w:p>
    <w:p w:rsidR="00D476E6" w:rsidRDefault="00D476E6">
      <w:pPr>
        <w:pStyle w:val="FootnoteText"/>
        <w:jc w:val="both"/>
        <w:rPr>
          <w:rFonts w:ascii="Times New Roman" w:hAnsi="Times New Roman" w:cs="Times New Roman"/>
        </w:rPr>
      </w:pPr>
    </w:p>
  </w:footnote>
  <w:footnote w:id="23">
    <w:p w:rsidR="008163B8" w:rsidRDefault="00D77193">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Supra, philip</w:t>
      </w:r>
    </w:p>
    <w:p w:rsidR="008163B8" w:rsidRDefault="008163B8">
      <w:pPr>
        <w:pStyle w:val="FootnoteText"/>
        <w:jc w:val="both"/>
        <w:rPr>
          <w:rFonts w:ascii="Times New Roman" w:hAnsi="Times New Roman" w:cs="Times New Roman"/>
        </w:rPr>
      </w:pPr>
    </w:p>
    <w:p w:rsidR="008163B8" w:rsidRDefault="008163B8">
      <w:pPr>
        <w:pStyle w:val="FootnoteText"/>
        <w:jc w:val="both"/>
        <w:rPr>
          <w:rFonts w:ascii="Times New Roman" w:hAnsi="Times New Roman" w:cs="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740C57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
    <w:nsid w:val="00000001"/>
    <w:multiLevelType w:val="hybridMultilevel"/>
    <w:tmpl w:val="127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63B8"/>
    <w:rsid w:val="00116E72"/>
    <w:rsid w:val="004534E0"/>
    <w:rsid w:val="008163B8"/>
    <w:rsid w:val="00B24DAE"/>
    <w:rsid w:val="00D476E6"/>
    <w:rsid w:val="00D77193"/>
    <w:rsid w:val="00EB1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EB1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17E"/>
  </w:style>
  <w:style w:type="paragraph" w:styleId="Footer">
    <w:name w:val="footer"/>
    <w:basedOn w:val="Normal"/>
    <w:link w:val="FooterChar"/>
    <w:uiPriority w:val="99"/>
    <w:unhideWhenUsed/>
    <w:rsid w:val="00EB1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1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563C1"/>
      <w:u w:val="single"/>
    </w:rPr>
  </w:style>
  <w:style w:type="character" w:customStyle="1" w:styleId="UnresolvedMention">
    <w:name w:val="Unresolved Mention"/>
    <w:basedOn w:val="DefaultParagraphFont"/>
    <w:uiPriority w:val="99"/>
    <w:rPr>
      <w:color w:val="605E5C"/>
      <w:shd w:val="clear" w:color="auto" w:fill="E1DFDD"/>
    </w:r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character" w:styleId="PlaceholderText">
    <w:name w:val="Placeholder Text"/>
    <w:basedOn w:val="DefaultParagraphFont"/>
    <w:uiPriority w:val="99"/>
    <w:rPr>
      <w:color w:val="808080"/>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unhideWhenUsed/>
    <w:rsid w:val="00EB11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117E"/>
  </w:style>
  <w:style w:type="paragraph" w:styleId="Footer">
    <w:name w:val="footer"/>
    <w:basedOn w:val="Normal"/>
    <w:link w:val="FooterChar"/>
    <w:uiPriority w:val="99"/>
    <w:unhideWhenUsed/>
    <w:rsid w:val="00EB11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ptaparniraha475@gmail.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helegallock.com/madhav-jiwaji-rao-scindia-v-union-of-india-1970" TargetMode="External"/><Relationship Id="rId13" Type="http://schemas.openxmlformats.org/officeDocument/2006/relationships/hyperlink" Target="https://indiankanoon.org/doc/1031794/" TargetMode="External"/><Relationship Id="rId18" Type="http://schemas.openxmlformats.org/officeDocument/2006/relationships/hyperlink" Target="https://indiankanoon.org/doc/67965481/" TargetMode="External"/><Relationship Id="rId3" Type="http://schemas.openxmlformats.org/officeDocument/2006/relationships/hyperlink" Target="https://doi.org/10.1093/jel/eqac010" TargetMode="External"/><Relationship Id="rId7" Type="http://schemas.openxmlformats.org/officeDocument/2006/relationships/hyperlink" Target="https://indiankanoon.org/doc/513801/" TargetMode="External"/><Relationship Id="rId12" Type="http://schemas.openxmlformats.org/officeDocument/2006/relationships/hyperlink" Target="https://indiankanoon.org/doc/1766147/" TargetMode="External"/><Relationship Id="rId17" Type="http://schemas.openxmlformats.org/officeDocument/2006/relationships/hyperlink" Target="https://indiankanoon.org/doc/163639357/" TargetMode="External"/><Relationship Id="rId2" Type="http://schemas.openxmlformats.org/officeDocument/2006/relationships/hyperlink" Target="https://www.ijlmh.com/wp-content/uploads/2019/10/Activist-Judiciary-and-Transformative-Constitution.pdf" TargetMode="External"/><Relationship Id="rId16" Type="http://schemas.openxmlformats.org/officeDocument/2006/relationships/hyperlink" Target="https://indiankanoon.org/doc/42184625/" TargetMode="External"/><Relationship Id="rId1" Type="http://schemas.openxmlformats.org/officeDocument/2006/relationships/hyperlink" Target="https://blog.ipleaders.in/transformative-constitutionalism-role-judiciary/" TargetMode="External"/><Relationship Id="rId6" Type="http://schemas.openxmlformats.org/officeDocument/2006/relationships/hyperlink" Target="https://indiankanoon.org/doc/120358" TargetMode="External"/><Relationship Id="rId11" Type="http://schemas.openxmlformats.org/officeDocument/2006/relationships/hyperlink" Target="https://indiankanoon.org/doc/191016/" TargetMode="External"/><Relationship Id="rId5" Type="http://schemas.openxmlformats.org/officeDocument/2006/relationships/hyperlink" Target="https://www.mdpi.com/2076-0787/6/4/84" TargetMode="External"/><Relationship Id="rId15" Type="http://schemas.openxmlformats.org/officeDocument/2006/relationships/hyperlink" Target="https://indiankanoon.org/doc/168671544/" TargetMode="External"/><Relationship Id="rId10" Type="http://schemas.openxmlformats.org/officeDocument/2006/relationships/hyperlink" Target="https://indiankanoon.org/doc/936707/" TargetMode="External"/><Relationship Id="rId19" Type="http://schemas.openxmlformats.org/officeDocument/2006/relationships/hyperlink" Target="https://indiankanoon.org/doc/8682191/" TargetMode="External"/><Relationship Id="rId4" Type="http://schemas.openxmlformats.org/officeDocument/2006/relationships/hyperlink" Target="http://www.scielo.org.za/scieli.php?script=sci_arttex&amp;pid=S1996-20962017000200002" TargetMode="External"/><Relationship Id="rId9" Type="http://schemas.openxmlformats.org/officeDocument/2006/relationships/hyperlink" Target="https://indiankanoon.org/doc/257876/" TargetMode="External"/><Relationship Id="rId14" Type="http://schemas.openxmlformats.org/officeDocument/2006/relationships/hyperlink" Target="https://indiankanoon.org/doc/193543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4C2-4D72-4773-A3E7-8CBE8B02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2023-07-29T08:06:00Z</dcterms:created>
  <dcterms:modified xsi:type="dcterms:W3CDTF">2023-07-29T08:06:00Z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1371e36c81db43fe8965a8658e473aed</vt:lpwstr>
  </property>
</Properties>
</file>