
<file path=[Content_Types].xml><?xml version="1.0" encoding="utf-8"?>
<Types xmlns="http://schemas.openxmlformats.org/package/2006/content-types">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6A55" w:rsidRPr="004A48C0" w:rsidRDefault="004A48C0" w:rsidP="004A48C0">
      <w:pPr>
        <w:tabs>
          <w:tab w:val="left" w:pos="6379"/>
        </w:tabs>
        <w:jc w:val="center"/>
        <w:rPr>
          <w:rFonts w:ascii="Times New Roman" w:hAnsi="Times New Roman" w:cs="Times New Roman"/>
          <w:b/>
          <w:bCs/>
          <w:sz w:val="28"/>
          <w:szCs w:val="24"/>
        </w:rPr>
      </w:pPr>
      <w:r w:rsidRPr="007B1206">
        <w:rPr>
          <w:rFonts w:ascii="Times New Roman" w:hAnsi="Times New Roman" w:cs="Times New Roman"/>
          <w:b/>
          <w:bCs/>
          <w:sz w:val="28"/>
          <w:szCs w:val="24"/>
        </w:rPr>
        <w:t xml:space="preserve">ENTREPRENEURIAL COMPETENCIES AND </w:t>
      </w:r>
      <w:bookmarkStart w:id="0" w:name="_Hlk90485716"/>
      <w:r w:rsidRPr="007B1206">
        <w:rPr>
          <w:rFonts w:ascii="Times New Roman" w:hAnsi="Times New Roman" w:cs="Times New Roman"/>
          <w:b/>
          <w:bCs/>
          <w:sz w:val="28"/>
          <w:szCs w:val="24"/>
        </w:rPr>
        <w:t>RISK RESILIENCE</w:t>
      </w:r>
      <w:bookmarkEnd w:id="0"/>
      <w:r w:rsidRPr="007B1206">
        <w:rPr>
          <w:rFonts w:ascii="Times New Roman" w:hAnsi="Times New Roman" w:cs="Times New Roman"/>
          <w:b/>
          <w:bCs/>
          <w:sz w:val="28"/>
          <w:szCs w:val="24"/>
        </w:rPr>
        <w:t>: INSIGHTS FROM A BIBLIOMETRIC ANALYSIS</w:t>
      </w:r>
    </w:p>
    <w:p w:rsidR="00886A55" w:rsidRDefault="004A48C0" w:rsidP="00886A55">
      <w:pPr>
        <w:jc w:val="center"/>
        <w:rPr>
          <w:rFonts w:ascii="Times New Roman" w:hAnsi="Times New Roman" w:cs="Times New Roman"/>
          <w:i/>
          <w:iCs/>
        </w:rPr>
      </w:pPr>
      <w:r>
        <w:rPr>
          <w:rFonts w:ascii="Times New Roman" w:hAnsi="Times New Roman" w:cs="Times New Roman"/>
          <w:i/>
          <w:iCs/>
        </w:rPr>
        <w:t>*</w:t>
      </w:r>
      <w:proofErr w:type="spellStart"/>
      <w:r w:rsidRPr="00A5335B">
        <w:rPr>
          <w:rFonts w:ascii="Times New Roman" w:hAnsi="Times New Roman" w:cs="Times New Roman"/>
          <w:i/>
          <w:iCs/>
        </w:rPr>
        <w:t>Niraj</w:t>
      </w:r>
      <w:proofErr w:type="spellEnd"/>
      <w:r>
        <w:rPr>
          <w:rFonts w:ascii="Times New Roman" w:hAnsi="Times New Roman" w:cs="Times New Roman"/>
          <w:i/>
          <w:iCs/>
        </w:rPr>
        <w:t xml:space="preserve"> </w:t>
      </w:r>
      <w:proofErr w:type="spellStart"/>
      <w:r w:rsidRPr="00A5335B">
        <w:rPr>
          <w:rFonts w:ascii="Times New Roman" w:hAnsi="Times New Roman" w:cs="Times New Roman"/>
          <w:i/>
          <w:iCs/>
        </w:rPr>
        <w:t>Plaha</w:t>
      </w:r>
      <w:proofErr w:type="spellEnd"/>
      <w:r>
        <w:rPr>
          <w:rFonts w:ascii="Times New Roman" w:hAnsi="Times New Roman" w:cs="Times New Roman"/>
          <w:i/>
          <w:iCs/>
        </w:rPr>
        <w:t xml:space="preserve">, Research Scholar, </w:t>
      </w:r>
      <w:r w:rsidRPr="00A5335B">
        <w:rPr>
          <w:rFonts w:ascii="Times New Roman" w:hAnsi="Times New Roman" w:cs="Times New Roman"/>
          <w:i/>
          <w:iCs/>
        </w:rPr>
        <w:t>MSB, Lovely Professional University</w:t>
      </w:r>
    </w:p>
    <w:p w:rsidR="004A48C0" w:rsidRDefault="004A48C0" w:rsidP="00886A55">
      <w:pPr>
        <w:jc w:val="center"/>
        <w:rPr>
          <w:rFonts w:ascii="Times New Roman" w:hAnsi="Times New Roman" w:cs="Times New Roman"/>
          <w:i/>
          <w:iCs/>
        </w:rPr>
      </w:pPr>
      <w:r>
        <w:rPr>
          <w:rFonts w:ascii="Times New Roman" w:hAnsi="Times New Roman" w:cs="Times New Roman"/>
          <w:i/>
          <w:iCs/>
        </w:rPr>
        <w:t>**</w:t>
      </w:r>
      <w:r w:rsidRPr="00A5335B">
        <w:rPr>
          <w:rFonts w:ascii="Times New Roman" w:hAnsi="Times New Roman" w:cs="Times New Roman"/>
          <w:i/>
          <w:iCs/>
        </w:rPr>
        <w:t>Dr</w:t>
      </w:r>
      <w:r>
        <w:rPr>
          <w:rFonts w:ascii="Times New Roman" w:hAnsi="Times New Roman" w:cs="Times New Roman"/>
          <w:i/>
          <w:iCs/>
        </w:rPr>
        <w:t>.</w:t>
      </w:r>
      <w:r w:rsidRPr="00A5335B">
        <w:rPr>
          <w:rFonts w:ascii="Times New Roman" w:hAnsi="Times New Roman" w:cs="Times New Roman"/>
          <w:i/>
          <w:iCs/>
        </w:rPr>
        <w:t xml:space="preserve"> </w:t>
      </w:r>
      <w:proofErr w:type="spellStart"/>
      <w:r w:rsidRPr="00A5335B">
        <w:rPr>
          <w:rFonts w:ascii="Times New Roman" w:hAnsi="Times New Roman" w:cs="Times New Roman"/>
          <w:i/>
          <w:iCs/>
        </w:rPr>
        <w:t>Pooja</w:t>
      </w:r>
      <w:proofErr w:type="spellEnd"/>
      <w:r w:rsidRPr="00A5335B">
        <w:rPr>
          <w:rFonts w:ascii="Times New Roman" w:hAnsi="Times New Roman" w:cs="Times New Roman"/>
          <w:i/>
          <w:iCs/>
        </w:rPr>
        <w:t xml:space="preserve"> Sharma, Associate Professor, MSB, Lovely Professional University</w:t>
      </w:r>
    </w:p>
    <w:p w:rsidR="004A48C0" w:rsidRPr="00A5335B" w:rsidRDefault="004A48C0" w:rsidP="00886A55">
      <w:pPr>
        <w:jc w:val="center"/>
        <w:rPr>
          <w:rFonts w:ascii="Times New Roman" w:hAnsi="Times New Roman" w:cs="Times New Roman"/>
          <w:i/>
          <w:iCs/>
        </w:rPr>
      </w:pPr>
      <w:r>
        <w:rPr>
          <w:rFonts w:ascii="Times New Roman" w:hAnsi="Times New Roman" w:cs="Times New Roman"/>
          <w:i/>
          <w:iCs/>
        </w:rPr>
        <w:t>***</w:t>
      </w:r>
      <w:proofErr w:type="spellStart"/>
      <w:r>
        <w:rPr>
          <w:rFonts w:ascii="Times New Roman" w:hAnsi="Times New Roman" w:cs="Times New Roman"/>
          <w:i/>
          <w:iCs/>
        </w:rPr>
        <w:t>Aastha</w:t>
      </w:r>
      <w:proofErr w:type="spellEnd"/>
      <w:r>
        <w:rPr>
          <w:rFonts w:ascii="Times New Roman" w:hAnsi="Times New Roman" w:cs="Times New Roman"/>
          <w:i/>
          <w:iCs/>
        </w:rPr>
        <w:t xml:space="preserve">, Research Scholar, </w:t>
      </w:r>
      <w:r w:rsidRPr="00A5335B">
        <w:rPr>
          <w:rFonts w:ascii="Times New Roman" w:hAnsi="Times New Roman" w:cs="Times New Roman"/>
          <w:i/>
          <w:iCs/>
        </w:rPr>
        <w:t>MSB, Lovely Professional University</w:t>
      </w:r>
    </w:p>
    <w:p w:rsidR="00886A55" w:rsidRPr="008E37E3" w:rsidRDefault="004A48C0" w:rsidP="00886A55">
      <w:pPr>
        <w:rPr>
          <w:rFonts w:ascii="Times New Roman" w:hAnsi="Times New Roman" w:cs="Times New Roman"/>
          <w:b/>
          <w:sz w:val="28"/>
          <w:szCs w:val="24"/>
        </w:rPr>
      </w:pPr>
      <w:r w:rsidRPr="008E37E3">
        <w:rPr>
          <w:rFonts w:ascii="Times New Roman" w:hAnsi="Times New Roman" w:cs="Times New Roman"/>
          <w:b/>
          <w:sz w:val="28"/>
          <w:szCs w:val="24"/>
        </w:rPr>
        <w:t>ABSTRACT:</w:t>
      </w:r>
    </w:p>
    <w:p w:rsidR="00886A55" w:rsidRDefault="004A48C0" w:rsidP="00886A55">
      <w:pPr>
        <w:spacing w:line="360" w:lineRule="auto"/>
        <w:jc w:val="both"/>
        <w:rPr>
          <w:rFonts w:ascii="Times New Roman" w:hAnsi="Times New Roman" w:cs="Times New Roman"/>
          <w:sz w:val="24"/>
          <w:szCs w:val="24"/>
        </w:rPr>
      </w:pPr>
      <w:r w:rsidRPr="004F61F7">
        <w:rPr>
          <w:rFonts w:ascii="Times New Roman" w:hAnsi="Times New Roman" w:cs="Times New Roman"/>
          <w:sz w:val="24"/>
          <w:szCs w:val="24"/>
        </w:rPr>
        <w:t>Entrepre</w:t>
      </w:r>
      <w:r>
        <w:rPr>
          <w:rFonts w:ascii="Times New Roman" w:hAnsi="Times New Roman" w:cs="Times New Roman"/>
          <w:sz w:val="24"/>
          <w:szCs w:val="24"/>
        </w:rPr>
        <w:t xml:space="preserve">neurial competencies and </w:t>
      </w:r>
      <w:r w:rsidRPr="003B6C65">
        <w:rPr>
          <w:rFonts w:ascii="Times New Roman" w:hAnsi="Times New Roman" w:cs="Times New Roman"/>
          <w:sz w:val="24"/>
          <w:szCs w:val="24"/>
        </w:rPr>
        <w:t xml:space="preserve">risk resilience </w:t>
      </w:r>
      <w:r>
        <w:rPr>
          <w:rFonts w:ascii="Times New Roman" w:hAnsi="Times New Roman" w:cs="Times New Roman"/>
          <w:sz w:val="24"/>
          <w:szCs w:val="24"/>
        </w:rPr>
        <w:t>play a</w:t>
      </w:r>
      <w:r w:rsidRPr="004F61F7">
        <w:rPr>
          <w:rFonts w:ascii="Times New Roman" w:hAnsi="Times New Roman" w:cs="Times New Roman"/>
          <w:sz w:val="24"/>
          <w:szCs w:val="24"/>
        </w:rPr>
        <w:t xml:space="preserve"> significant </w:t>
      </w:r>
      <w:r>
        <w:rPr>
          <w:rFonts w:ascii="Times New Roman" w:hAnsi="Times New Roman" w:cs="Times New Roman"/>
          <w:sz w:val="24"/>
          <w:szCs w:val="24"/>
        </w:rPr>
        <w:t>role in the</w:t>
      </w:r>
      <w:r w:rsidRPr="004F61F7">
        <w:rPr>
          <w:rFonts w:ascii="Times New Roman" w:hAnsi="Times New Roman" w:cs="Times New Roman"/>
          <w:sz w:val="24"/>
          <w:szCs w:val="24"/>
        </w:rPr>
        <w:t xml:space="preserve"> growth</w:t>
      </w:r>
      <w:r>
        <w:rPr>
          <w:rFonts w:ascii="Times New Roman" w:hAnsi="Times New Roman" w:cs="Times New Roman"/>
          <w:sz w:val="24"/>
          <w:szCs w:val="24"/>
        </w:rPr>
        <w:t xml:space="preserve"> of the business</w:t>
      </w:r>
      <w:r w:rsidRPr="004F61F7">
        <w:rPr>
          <w:rFonts w:ascii="Times New Roman" w:hAnsi="Times New Roman" w:cs="Times New Roman"/>
          <w:sz w:val="24"/>
          <w:szCs w:val="24"/>
        </w:rPr>
        <w:t xml:space="preserve">. </w:t>
      </w:r>
      <w:r>
        <w:rPr>
          <w:rFonts w:ascii="Times New Roman" w:hAnsi="Times New Roman" w:cs="Times New Roman"/>
          <w:sz w:val="24"/>
          <w:szCs w:val="24"/>
        </w:rPr>
        <w:t>Entrepreneurs must possess</w:t>
      </w:r>
      <w:r w:rsidRPr="00C67FF9">
        <w:rPr>
          <w:rFonts w:ascii="Times New Roman" w:hAnsi="Times New Roman" w:cs="Times New Roman"/>
          <w:sz w:val="24"/>
          <w:szCs w:val="24"/>
        </w:rPr>
        <w:t xml:space="preserve"> diverse skills, knowledge, imagination, creativity, </w:t>
      </w:r>
      <w:r>
        <w:rPr>
          <w:rFonts w:ascii="Times New Roman" w:hAnsi="Times New Roman" w:cs="Times New Roman"/>
          <w:sz w:val="24"/>
          <w:szCs w:val="24"/>
        </w:rPr>
        <w:t xml:space="preserve">the </w:t>
      </w:r>
      <w:r w:rsidRPr="00C67FF9">
        <w:rPr>
          <w:rFonts w:ascii="Times New Roman" w:hAnsi="Times New Roman" w:cs="Times New Roman"/>
          <w:sz w:val="24"/>
          <w:szCs w:val="24"/>
        </w:rPr>
        <w:t>ability to identify opportunities</w:t>
      </w:r>
      <w:r w:rsidR="00B84FB1">
        <w:rPr>
          <w:rFonts w:ascii="Times New Roman" w:hAnsi="Times New Roman" w:cs="Times New Roman"/>
          <w:sz w:val="24"/>
          <w:szCs w:val="24"/>
        </w:rPr>
        <w:t>,</w:t>
      </w:r>
      <w:r>
        <w:rPr>
          <w:rFonts w:ascii="Times New Roman" w:hAnsi="Times New Roman" w:cs="Times New Roman"/>
          <w:sz w:val="24"/>
          <w:szCs w:val="24"/>
        </w:rPr>
        <w:t xml:space="preserve"> and the ability to overcome high</w:t>
      </w:r>
      <w:r w:rsidR="00B84FB1">
        <w:rPr>
          <w:rFonts w:ascii="Times New Roman" w:hAnsi="Times New Roman" w:cs="Times New Roman"/>
          <w:sz w:val="24"/>
          <w:szCs w:val="24"/>
        </w:rPr>
        <w:t>-</w:t>
      </w:r>
      <w:r>
        <w:rPr>
          <w:rFonts w:ascii="Times New Roman" w:hAnsi="Times New Roman" w:cs="Times New Roman"/>
          <w:sz w:val="24"/>
          <w:szCs w:val="24"/>
        </w:rPr>
        <w:t>impact</w:t>
      </w:r>
      <w:r w:rsidRPr="004F61F7">
        <w:rPr>
          <w:rFonts w:ascii="Times New Roman" w:hAnsi="Times New Roman" w:cs="Times New Roman"/>
          <w:sz w:val="24"/>
          <w:szCs w:val="24"/>
        </w:rPr>
        <w:t xml:space="preserve"> entrepreneurial challenges in the face of adverse situations</w:t>
      </w:r>
      <w:r>
        <w:rPr>
          <w:rFonts w:ascii="Times New Roman" w:hAnsi="Times New Roman" w:cs="Times New Roman"/>
          <w:sz w:val="24"/>
          <w:szCs w:val="24"/>
        </w:rPr>
        <w:t xml:space="preserve">. </w:t>
      </w:r>
      <w:r w:rsidRPr="001A3D79">
        <w:rPr>
          <w:rFonts w:ascii="Times New Roman" w:hAnsi="Times New Roman" w:cs="Times New Roman"/>
          <w:sz w:val="24"/>
          <w:szCs w:val="24"/>
        </w:rPr>
        <w:t xml:space="preserve">There has been an increased interest in </w:t>
      </w:r>
      <w:r>
        <w:rPr>
          <w:rFonts w:ascii="Times New Roman" w:hAnsi="Times New Roman" w:cs="Times New Roman"/>
          <w:sz w:val="24"/>
          <w:szCs w:val="24"/>
        </w:rPr>
        <w:t>the role of entrepreneurial competencies and risk resilience attitude for the growth of business</w:t>
      </w:r>
      <w:r w:rsidRPr="001A3D79">
        <w:rPr>
          <w:rFonts w:ascii="Times New Roman" w:hAnsi="Times New Roman" w:cs="Times New Roman"/>
          <w:sz w:val="24"/>
          <w:szCs w:val="24"/>
        </w:rPr>
        <w:t xml:space="preserve"> due to the </w:t>
      </w:r>
      <w:r>
        <w:rPr>
          <w:rFonts w:ascii="Times New Roman" w:hAnsi="Times New Roman" w:cs="Times New Roman"/>
          <w:sz w:val="24"/>
          <w:szCs w:val="24"/>
        </w:rPr>
        <w:t xml:space="preserve">changing </w:t>
      </w:r>
      <w:r w:rsidRPr="001A3D79">
        <w:rPr>
          <w:rFonts w:ascii="Times New Roman" w:hAnsi="Times New Roman" w:cs="Times New Roman"/>
          <w:sz w:val="24"/>
          <w:szCs w:val="24"/>
        </w:rPr>
        <w:t xml:space="preserve">conditions in the global marketplace. </w:t>
      </w:r>
      <w:r>
        <w:rPr>
          <w:rFonts w:ascii="Times New Roman" w:hAnsi="Times New Roman" w:cs="Times New Roman"/>
          <w:sz w:val="24"/>
          <w:szCs w:val="24"/>
        </w:rPr>
        <w:t>The purpose of this study is to provide a bibliometric analysis of the research on entrepreneurial competencies and</w:t>
      </w:r>
      <w:r w:rsidR="009B65FE">
        <w:rPr>
          <w:rFonts w:ascii="Times New Roman" w:hAnsi="Times New Roman" w:cs="Times New Roman"/>
          <w:sz w:val="24"/>
          <w:szCs w:val="24"/>
        </w:rPr>
        <w:t xml:space="preserve"> risk resilience. A total of 443 and 353 studies</w:t>
      </w:r>
      <w:r>
        <w:rPr>
          <w:rFonts w:ascii="Times New Roman" w:hAnsi="Times New Roman" w:cs="Times New Roman"/>
          <w:sz w:val="24"/>
          <w:szCs w:val="24"/>
        </w:rPr>
        <w:t xml:space="preserve"> were published from the year 2000 to 2021. The study attempts to identify the significant journals in the area, most cited </w:t>
      </w:r>
      <w:r w:rsidR="00B84FB1">
        <w:rPr>
          <w:rFonts w:ascii="Times New Roman" w:hAnsi="Times New Roman" w:cs="Times New Roman"/>
          <w:sz w:val="24"/>
          <w:szCs w:val="24"/>
        </w:rPr>
        <w:t>studies</w:t>
      </w:r>
      <w:r>
        <w:rPr>
          <w:rFonts w:ascii="Times New Roman" w:hAnsi="Times New Roman" w:cs="Times New Roman"/>
          <w:sz w:val="24"/>
          <w:szCs w:val="24"/>
        </w:rPr>
        <w:t>, top authors</w:t>
      </w:r>
      <w:r w:rsidR="00B84FB1">
        <w:rPr>
          <w:rFonts w:ascii="Times New Roman" w:hAnsi="Times New Roman" w:cs="Times New Roman"/>
          <w:sz w:val="24"/>
          <w:szCs w:val="24"/>
        </w:rPr>
        <w:t>,</w:t>
      </w:r>
      <w:r>
        <w:rPr>
          <w:rFonts w:ascii="Times New Roman" w:hAnsi="Times New Roman" w:cs="Times New Roman"/>
          <w:sz w:val="24"/>
          <w:szCs w:val="24"/>
        </w:rPr>
        <w:t xml:space="preserve"> and top countr</w:t>
      </w:r>
      <w:r w:rsidR="00B84FB1">
        <w:rPr>
          <w:rFonts w:ascii="Times New Roman" w:hAnsi="Times New Roman" w:cs="Times New Roman"/>
          <w:sz w:val="24"/>
          <w:szCs w:val="24"/>
        </w:rPr>
        <w:t>ies'</w:t>
      </w:r>
      <w:r>
        <w:rPr>
          <w:rFonts w:ascii="Times New Roman" w:hAnsi="Times New Roman" w:cs="Times New Roman"/>
          <w:sz w:val="24"/>
          <w:szCs w:val="24"/>
        </w:rPr>
        <w:t xml:space="preserve"> participation. </w:t>
      </w:r>
      <w:r w:rsidRPr="008562D8">
        <w:rPr>
          <w:rFonts w:ascii="Times New Roman" w:hAnsi="Times New Roman" w:cs="Times New Roman"/>
          <w:sz w:val="24"/>
          <w:szCs w:val="24"/>
        </w:rPr>
        <w:t xml:space="preserve">The key statistical aspects and collaboration networks in this topic are highlighted by </w:t>
      </w:r>
      <w:r>
        <w:rPr>
          <w:rFonts w:ascii="Times New Roman" w:hAnsi="Times New Roman" w:cs="Times New Roman"/>
          <w:sz w:val="24"/>
          <w:szCs w:val="24"/>
        </w:rPr>
        <w:t xml:space="preserve">a </w:t>
      </w:r>
      <w:r w:rsidRPr="008562D8">
        <w:rPr>
          <w:rFonts w:ascii="Times New Roman" w:hAnsi="Times New Roman" w:cs="Times New Roman"/>
          <w:sz w:val="24"/>
          <w:szCs w:val="24"/>
        </w:rPr>
        <w:t>bibliometric analysis of the obtained material</w:t>
      </w:r>
      <w:r>
        <w:rPr>
          <w:rFonts w:ascii="Times New Roman" w:hAnsi="Times New Roman" w:cs="Times New Roman"/>
          <w:sz w:val="24"/>
          <w:szCs w:val="24"/>
        </w:rPr>
        <w:t xml:space="preserve">. </w:t>
      </w:r>
      <w:r w:rsidRPr="0026604B">
        <w:rPr>
          <w:rFonts w:ascii="Times New Roman" w:hAnsi="Times New Roman" w:cs="Times New Roman"/>
          <w:sz w:val="24"/>
          <w:szCs w:val="24"/>
        </w:rPr>
        <w:t xml:space="preserve">The data was </w:t>
      </w:r>
      <w:r>
        <w:rPr>
          <w:rFonts w:ascii="Times New Roman" w:hAnsi="Times New Roman" w:cs="Times New Roman"/>
          <w:sz w:val="24"/>
          <w:szCs w:val="24"/>
        </w:rPr>
        <w:t xml:space="preserve">obtained from the </w:t>
      </w:r>
      <w:r w:rsidRPr="0026604B">
        <w:rPr>
          <w:rFonts w:ascii="Times New Roman" w:hAnsi="Times New Roman" w:cs="Times New Roman"/>
          <w:sz w:val="24"/>
          <w:szCs w:val="24"/>
        </w:rPr>
        <w:t>Scopus database. The VOSviewer</w:t>
      </w:r>
      <w:r>
        <w:rPr>
          <w:rFonts w:ascii="Times New Roman" w:hAnsi="Times New Roman" w:cs="Times New Roman"/>
          <w:sz w:val="24"/>
          <w:szCs w:val="24"/>
        </w:rPr>
        <w:t xml:space="preserve"> software</w:t>
      </w:r>
      <w:r w:rsidRPr="0026604B">
        <w:rPr>
          <w:rFonts w:ascii="Times New Roman" w:hAnsi="Times New Roman" w:cs="Times New Roman"/>
          <w:sz w:val="24"/>
          <w:szCs w:val="24"/>
        </w:rPr>
        <w:t xml:space="preserve"> was used to create a co-authorship network map</w:t>
      </w:r>
      <w:r>
        <w:rPr>
          <w:rFonts w:ascii="Times New Roman" w:hAnsi="Times New Roman" w:cs="Times New Roman"/>
          <w:sz w:val="24"/>
          <w:szCs w:val="24"/>
        </w:rPr>
        <w:t xml:space="preserve">. </w:t>
      </w:r>
      <w:r w:rsidRPr="0026604B">
        <w:rPr>
          <w:rFonts w:ascii="Times New Roman" w:hAnsi="Times New Roman" w:cs="Times New Roman"/>
          <w:sz w:val="24"/>
          <w:szCs w:val="24"/>
        </w:rPr>
        <w:t>This research adds to the body of knowled</w:t>
      </w:r>
      <w:r>
        <w:rPr>
          <w:rFonts w:ascii="Times New Roman" w:hAnsi="Times New Roman" w:cs="Times New Roman"/>
          <w:sz w:val="24"/>
          <w:szCs w:val="24"/>
        </w:rPr>
        <w:t>ge on entrepreneurial competencies and risk resilience</w:t>
      </w:r>
      <w:r w:rsidRPr="0026604B">
        <w:rPr>
          <w:rFonts w:ascii="Times New Roman" w:hAnsi="Times New Roman" w:cs="Times New Roman"/>
          <w:sz w:val="24"/>
          <w:szCs w:val="24"/>
        </w:rPr>
        <w:t xml:space="preserve">. Bibliometric techniques provide a far more comprehensive and reliable view of this field. </w:t>
      </w:r>
    </w:p>
    <w:p w:rsidR="003C34C2" w:rsidRDefault="004A48C0" w:rsidP="008E37E3">
      <w:pPr>
        <w:spacing w:line="360" w:lineRule="auto"/>
        <w:jc w:val="both"/>
        <w:rPr>
          <w:rFonts w:ascii="Times New Roman" w:hAnsi="Times New Roman" w:cs="Times New Roman"/>
          <w:i/>
          <w:iCs/>
          <w:sz w:val="24"/>
          <w:szCs w:val="24"/>
        </w:rPr>
      </w:pPr>
      <w:r w:rsidRPr="008E37E3">
        <w:rPr>
          <w:rFonts w:ascii="Times New Roman" w:hAnsi="Times New Roman" w:cs="Times New Roman"/>
          <w:b/>
          <w:sz w:val="28"/>
          <w:szCs w:val="24"/>
        </w:rPr>
        <w:t>KEYWORDS:</w:t>
      </w:r>
      <w:r w:rsidRPr="00C92F15">
        <w:rPr>
          <w:rFonts w:ascii="Times New Roman" w:hAnsi="Times New Roman" w:cs="Times New Roman"/>
          <w:i/>
          <w:iCs/>
          <w:sz w:val="24"/>
          <w:szCs w:val="24"/>
        </w:rPr>
        <w:t>Entrepreneurs, Entrepreneurial Competencies, Risk Resilience, Bibliometric analysis</w:t>
      </w:r>
    </w:p>
    <w:p w:rsidR="008E37E3" w:rsidRPr="008E37E3" w:rsidRDefault="008E37E3" w:rsidP="008E37E3">
      <w:pPr>
        <w:spacing w:line="360" w:lineRule="auto"/>
        <w:jc w:val="both"/>
        <w:rPr>
          <w:rFonts w:ascii="Times New Roman" w:hAnsi="Times New Roman" w:cs="Times New Roman"/>
          <w:i/>
          <w:iCs/>
          <w:sz w:val="24"/>
          <w:szCs w:val="24"/>
        </w:rPr>
      </w:pPr>
    </w:p>
    <w:p w:rsidR="003C34C2" w:rsidRPr="008E37E3" w:rsidRDefault="004A48C0" w:rsidP="006763C9">
      <w:pPr>
        <w:ind w:hanging="284"/>
        <w:rPr>
          <w:rFonts w:ascii="Times New Roman" w:hAnsi="Times New Roman" w:cs="Times New Roman"/>
          <w:b/>
          <w:sz w:val="28"/>
          <w:szCs w:val="24"/>
        </w:rPr>
      </w:pPr>
      <w:r w:rsidRPr="008E37E3">
        <w:rPr>
          <w:rFonts w:ascii="Times New Roman" w:hAnsi="Times New Roman" w:cs="Times New Roman"/>
          <w:b/>
          <w:sz w:val="28"/>
          <w:szCs w:val="24"/>
        </w:rPr>
        <w:t>1. INTRODUCTION</w:t>
      </w:r>
    </w:p>
    <w:p w:rsidR="006763C9" w:rsidRPr="006763C9" w:rsidRDefault="004A48C0" w:rsidP="006763C9">
      <w:pPr>
        <w:rPr>
          <w:rFonts w:ascii="Times New Roman" w:hAnsi="Times New Roman" w:cs="Times New Roman"/>
          <w:b/>
          <w:sz w:val="24"/>
          <w:szCs w:val="24"/>
        </w:rPr>
      </w:pPr>
      <w:r>
        <w:rPr>
          <w:rFonts w:ascii="Times New Roman" w:hAnsi="Times New Roman" w:cs="Times New Roman"/>
          <w:b/>
          <w:sz w:val="24"/>
          <w:szCs w:val="24"/>
        </w:rPr>
        <w:t xml:space="preserve">1.1. </w:t>
      </w:r>
      <w:r w:rsidRPr="006763C9">
        <w:rPr>
          <w:rFonts w:ascii="Times New Roman" w:hAnsi="Times New Roman" w:cs="Times New Roman"/>
          <w:b/>
          <w:sz w:val="24"/>
          <w:szCs w:val="24"/>
        </w:rPr>
        <w:t>Entrepreneurial Competencies</w:t>
      </w:r>
    </w:p>
    <w:p w:rsidR="005E43A8" w:rsidRPr="00B035DF" w:rsidRDefault="004A48C0" w:rsidP="005E43A8">
      <w:pPr>
        <w:spacing w:line="360" w:lineRule="auto"/>
        <w:jc w:val="both"/>
        <w:rPr>
          <w:rFonts w:ascii="Times New Roman" w:hAnsi="Times New Roman" w:cs="Times New Roman"/>
          <w:sz w:val="24"/>
        </w:rPr>
      </w:pPr>
      <w:r w:rsidRPr="00B035DF">
        <w:rPr>
          <w:rFonts w:ascii="Times New Roman" w:hAnsi="Times New Roman" w:cs="Times New Roman"/>
          <w:sz w:val="24"/>
          <w:szCs w:val="24"/>
        </w:rPr>
        <w:t xml:space="preserve">Competencies </w:t>
      </w:r>
      <w:r w:rsidR="00A90FC4">
        <w:rPr>
          <w:rFonts w:ascii="Times New Roman" w:hAnsi="Times New Roman" w:cs="Times New Roman"/>
          <w:sz w:val="24"/>
          <w:szCs w:val="24"/>
        </w:rPr>
        <w:t>a</w:t>
      </w:r>
      <w:r w:rsidRPr="00B035DF">
        <w:rPr>
          <w:rFonts w:ascii="Times New Roman" w:hAnsi="Times New Roman" w:cs="Times New Roman"/>
          <w:sz w:val="24"/>
          <w:szCs w:val="24"/>
        </w:rPr>
        <w:t>re often motivated by a desire to improve performance and as a result, the opportunity for financial benefit or company success</w:t>
      </w:r>
      <w:r w:rsidR="00162C79">
        <w:rPr>
          <w:rFonts w:ascii="Times New Roman" w:hAnsi="Times New Roman" w:cs="Times New Roman"/>
          <w:sz w:val="24"/>
          <w:szCs w:val="24"/>
        </w:rPr>
        <w:fldChar w:fldCharType="begin" w:fldLock="1"/>
      </w:r>
      <w:r w:rsidR="00F16AC4">
        <w:rPr>
          <w:rFonts w:ascii="Times New Roman" w:hAnsi="Times New Roman" w:cs="Times New Roman"/>
          <w:sz w:val="24"/>
          <w:szCs w:val="24"/>
        </w:rPr>
        <w:instrText>ADDIN CSL_CITATION {"citationItems":[{"id":"ITEM-1","itemData":{"DOI":"10.1088/1751-8113/44/8/085201","ISBN":"9788578110796","ISSN":"17518113","PMID":"25246403","abstract":"We study a family of 'classical' orthogonal polynomials which satisfy (apart from a three-term recurrence relation) an eigenvalue problem with a differential operator of Dunkl type. These polynomials can be obtained from the little q-Jacobi polynomials in the limit q = -1. We also show that these polynomials provide a nontrivial realization of the Askey-Wilson algebra for q = -1. © 2011 IOP Publishing Ltd.","author":[{"dropping-particle":"","family":"Vinet","given":"Luc","non-dropping-particle":"","parse-names":false,"suffix":""},{"dropping-particle":"","family":"Zhedanov","given":"Alexei","non-dropping-particle":"","parse-names":false,"suffix":""}],"container-title":"Journal of Physics A: Mathematical and Theoretical","id":"ITEM-1","issue":"8","issued":{"date-parts":[["2011"]]},"page":"3-16","title":"A 'missing' family of classical orthogonal polynomials","type":"article-journal","volume":"44"},"uris":["http://www.mendeley.com/documents/?uuid=d9ac41ad-2d2b-4b07-acd3-8aa72514396d"]},{"id":"ITEM-2","itemData":{"ISSN":"2278-6236","author":[{"dropping-particle":"","family":"Bhardwaj","given":"Anand","non-dropping-particle":"","parse-names":false,"suffix":""}],"container-title":"International Journal of Advanced Research in Management and Social Sciences","id":"ITEM-2","issue":"7","issued":{"date-parts":[["2016"]]},"page":"46-56","title":"Assessing planning and administration competency of working managers: A preliminary study","type":"article-journal","volume":"5"},"uris":["http://www.mendeley.com/documents/?uuid=9c8b6942-57d3-4668-aacc-be85b5cfb7ed"]},{"id":"ITEM-3","itemData":{"DOI":"10.1108/BJM-09-2018-0325","ISSN":"17465265","abstract":"Purpose: The purpose of this paper is to investigate the social-cognitive antecedents of an entrepreneur’s internationalization intent and a firm’s behavior. Building on the insights of social-cognitive psychology, the author develops a conceptual model linking an entrepreneur’s positive orientation, self-efficacy beliefs, internationalization intent and actual behavior of the firm. Design/methodology/approach: The author tests this model with a sample of 310 Polish firms (including 241 domestic and 69 international new ventures), drawing on data collected first in 2006 and then in 2007. Findings: The author finds that self-efficacy mediates between positive orientation and internationalization intent, and that an entrepreneur’s internationalization intent predicts a firm’s behavior (i.e. foreign market entry). Moreover, firm age moderates the relationship between an entrepreneur’s positive orientation and internationalization propensity among new ventures. Research limitations/implications: Overall, the findings demonstrate that social-cognitive theory is useful in predicting new venture internationalization. Practical implications: Based on the findings, the author recommends that managerial education in international management combines the development of “formal” skills and cross-cultural competencies with experiential and vicarious learning. Originality/value: The study combines insights from psychology and international business, thus responding to numerous calls for a more interdisciplinary and cognition-oriented focus on the international behavior of firms.","author":[{"dropping-particle":"","family":"Wasowska","given":"Aleksandra","non-dropping-particle":"","parse-names":false,"suffix":""}],"container-title":"Baltic Journal of Management","id":"ITEM-3","issue":"3","issued":{"date-parts":[["2019"]]},"note":"Cited By (since 2019): 2","page":"462-479","title":"Social-cognitive antecedents of new venture internationalization: The role of entrepreneur intention, self-efficacy, and positive orientation","type":"article-journal","volume":"14"},"uris":["http://www.mendeley.com/documents/?uuid=73b67765-3303-4377-896b-7d02dabf6fc1"]}],"mendeley":{"formattedCitation":"(Bhardwaj, 2016; Vinet &amp; Zhedanov, 2011; Wasowska, 2019)","plainTextFormattedCitation":"(Bhardwaj, 2016; Vinet &amp; Zhedanov, 2011; Wasowska, 2019)","previouslyFormattedCitation":"(Bhardwaj, 2016; Vinet &amp; Zhedanov, 2011; Wasowska, 2019)"},"properties":{"noteIndex":0},"schema":"https://github.com/citation-style-language/schema/raw/master/csl-citation.json"}</w:instrText>
      </w:r>
      <w:r w:rsidR="00162C79">
        <w:rPr>
          <w:rFonts w:ascii="Times New Roman" w:hAnsi="Times New Roman" w:cs="Times New Roman"/>
          <w:sz w:val="24"/>
          <w:szCs w:val="24"/>
        </w:rPr>
        <w:fldChar w:fldCharType="separate"/>
      </w:r>
      <w:r w:rsidR="00F16AC4" w:rsidRPr="00F16AC4">
        <w:rPr>
          <w:rFonts w:ascii="Times New Roman" w:hAnsi="Times New Roman" w:cs="Times New Roman"/>
          <w:noProof/>
          <w:sz w:val="24"/>
          <w:szCs w:val="24"/>
        </w:rPr>
        <w:t>(Bhardwaj, 2016; Vinet &amp; Zhedanov, 2011; Wasowska, 2019)</w:t>
      </w:r>
      <w:r w:rsidR="00162C79">
        <w:rPr>
          <w:rFonts w:ascii="Times New Roman" w:hAnsi="Times New Roman" w:cs="Times New Roman"/>
          <w:sz w:val="24"/>
          <w:szCs w:val="24"/>
        </w:rPr>
        <w:fldChar w:fldCharType="end"/>
      </w:r>
      <w:r w:rsidRPr="00B035DF">
        <w:rPr>
          <w:rFonts w:ascii="Times New Roman" w:hAnsi="Times New Roman" w:cs="Times New Roman"/>
          <w:sz w:val="24"/>
          <w:szCs w:val="24"/>
        </w:rPr>
        <w:t xml:space="preserve">. The term competency was first used by Boyatzis in 1982, to distinguish superior from the average performance of managers which further describes the </w:t>
      </w:r>
      <w:r w:rsidRPr="00B035DF">
        <w:rPr>
          <w:rFonts w:ascii="Times New Roman" w:hAnsi="Times New Roman" w:cs="Times New Roman"/>
          <w:sz w:val="24"/>
          <w:szCs w:val="24"/>
        </w:rPr>
        <w:lastRenderedPageBreak/>
        <w:t xml:space="preserve">underlying characteristic of an individual that is causally related to effective or superior performance </w:t>
      </w:r>
      <w:r w:rsidR="00162C79" w:rsidRPr="00B035DF">
        <w:rPr>
          <w:rFonts w:ascii="Times New Roman" w:hAnsi="Times New Roman" w:cs="Times New Roman"/>
          <w:sz w:val="24"/>
          <w:szCs w:val="24"/>
        </w:rPr>
        <w:fldChar w:fldCharType="begin" w:fldLock="1"/>
      </w:r>
      <w:r w:rsidRPr="00B035DF">
        <w:rPr>
          <w:rFonts w:ascii="Times New Roman" w:hAnsi="Times New Roman" w:cs="Times New Roman"/>
          <w:sz w:val="24"/>
          <w:szCs w:val="24"/>
        </w:rPr>
        <w:instrText>ADDIN CSL_CITATION {"citationItems":[{"id":"ITEM-1","itemData":{"DOI":"10.1108/02621710910947371","ISSN":"02621711","abstract":"Purpose: The purpose of this paper is to investigate whether there is a set of management competencies that should be possessed by managers irrespective of their areas of functional specialization using quantitative methodology. Design/methodology/approach: For the study, 31 individual competencies were analyzed. The study was confined to a fully integrated telecommunication service provider; 198 managerial employees participated in the survey. Findings: The findings reveal broad level competencies that are important for managers working in one of the seven functional areas. The findings suggest the importance of competencies from value and skill clusters than knowledge cluster across all functional areas. Further, there was hardly any congruence with the perceptions on current expertise and current importance across all the functional areas. Practical implications: While the findings of the study have a specific relevance to the managers in the telecommunication industry, they could have a rather broader relevance with implications for management development initiatives. Originality/value: Although there is an enormous diversity in the scope of competency literature, a few empirical research studies have been conducted on management competency requirements for different functional areas. A limited number of competency studies have been conducted in Asia and in many cases those were confined to identify requisite competencies for managers from a specific functional area, such as human resources development. Hence empirical research studies are needed to fill this lacuna in literature. This paper fills some of the gaps. © Emerald Group Publishing Limited.","author":[{"dropping-particle":"","family":"Wickramasinghe","given":"Vathsala","non-dropping-particle":"","parse-names":false,"suffix":""},{"dropping-particle":"","family":"Zoyza","given":"Nimali","non-dropping-particle":"de","parse-names":false,"suffix":""}],"container-title":"Journal of Management Development","id":"ITEM-1","issue":"4","issued":{"date-parts":[["2009"]]},"page":"344-360","title":"A comparative analysis of managerial competency needs across areas of functional specialization","type":"article-journal","volume":"28"},"uris":["http://www.mendeley.com/documents/?uuid=e0630ce7-38e2-46d8-8660-eeafe487d27d"]}],"mendeley":{"formattedCitation":"(Wickramasinghe &amp; de Zoyza, 2009)","plainTextFormattedCitation":"(Wickramasinghe &amp; de Zoyza, 2009)","previouslyFormattedCitation":"(Wickramasinghe &amp; de Zoyza, 2009)"},"properties":{"noteIndex":0},"schema":"https://github.com/citation-style-language/schema/raw/master/csl-citation.json"}</w:instrText>
      </w:r>
      <w:r w:rsidR="00162C79" w:rsidRPr="00B035DF">
        <w:rPr>
          <w:rFonts w:ascii="Times New Roman" w:hAnsi="Times New Roman" w:cs="Times New Roman"/>
          <w:sz w:val="24"/>
          <w:szCs w:val="24"/>
        </w:rPr>
        <w:fldChar w:fldCharType="separate"/>
      </w:r>
      <w:r w:rsidRPr="00B035DF">
        <w:rPr>
          <w:rFonts w:ascii="Times New Roman" w:hAnsi="Times New Roman" w:cs="Times New Roman"/>
          <w:noProof/>
          <w:sz w:val="24"/>
          <w:szCs w:val="24"/>
        </w:rPr>
        <w:t>(Wickramasinghe &amp; de Zoyza, 2009)</w:t>
      </w:r>
      <w:r w:rsidR="00162C79" w:rsidRPr="00B035DF">
        <w:rPr>
          <w:rFonts w:ascii="Times New Roman" w:hAnsi="Times New Roman" w:cs="Times New Roman"/>
          <w:sz w:val="24"/>
          <w:szCs w:val="24"/>
        </w:rPr>
        <w:fldChar w:fldCharType="end"/>
      </w:r>
      <w:r w:rsidRPr="00B035DF">
        <w:rPr>
          <w:rFonts w:ascii="Times New Roman" w:hAnsi="Times New Roman" w:cs="Times New Roman"/>
          <w:sz w:val="24"/>
          <w:szCs w:val="24"/>
        </w:rPr>
        <w:t xml:space="preserve">. The competence of managers considering managerial skills is one of the main factors of success in any organization. The effectiveness of managers in terms of their competencies i.e. managerial skills can help the organization to build up its reputation and achieve its goals and objectives </w:t>
      </w:r>
      <w:r w:rsidR="00162C79" w:rsidRPr="00B035DF">
        <w:rPr>
          <w:rFonts w:ascii="Times New Roman" w:hAnsi="Times New Roman" w:cs="Times New Roman"/>
          <w:sz w:val="24"/>
          <w:szCs w:val="24"/>
        </w:rPr>
        <w:fldChar w:fldCharType="begin" w:fldLock="1"/>
      </w:r>
      <w:r w:rsidRPr="00B035DF">
        <w:rPr>
          <w:rFonts w:ascii="Times New Roman" w:hAnsi="Times New Roman" w:cs="Times New Roman"/>
          <w:sz w:val="24"/>
          <w:szCs w:val="24"/>
        </w:rPr>
        <w:instrText>ADDIN CSL_CITATION {"citationItems":[{"id":"ITEM-1","itemData":{"author":[{"dropping-particle":"","family":"Ghorbani, S., Khodayari, A., &amp; Mohammadi","given":"S.","non-dropping-particle":"","parse-names":false,"suffix":""}],"container-title":"European Journal of Experimental Biology","id":"ITEM-1","issue":"1","issued":{"date-parts":[["2014"]]},"page":"321-326","title":"The relationship between managerial skills with organizational climate in managers and staff in national Olympic committee of Iran","type":"article-journal","volume":"4"},"uris":["http://www.mendeley.com/documents/?uuid=b4f9ad91-1205-409e-80a1-14e46ec7046c"]}],"mendeley":{"formattedCitation":"(Ghorbani, S., Khodayari, A., &amp; Mohammadi, 2014)","plainTextFormattedCitation":"(Ghorbani, S., Khodayari, A., &amp; Mohammadi, 2014)","previouslyFormattedCitation":"(Ghorbani, S., Khodayari, A., &amp; Mohammadi, 2014)"},"properties":{"noteIndex":0},"schema":"https://github.com/citation-style-language/schema/raw/master/csl-citation.json"}</w:instrText>
      </w:r>
      <w:r w:rsidR="00162C79" w:rsidRPr="00B035DF">
        <w:rPr>
          <w:rFonts w:ascii="Times New Roman" w:hAnsi="Times New Roman" w:cs="Times New Roman"/>
          <w:sz w:val="24"/>
          <w:szCs w:val="24"/>
        </w:rPr>
        <w:fldChar w:fldCharType="separate"/>
      </w:r>
      <w:r w:rsidRPr="00B035DF">
        <w:rPr>
          <w:rFonts w:ascii="Times New Roman" w:hAnsi="Times New Roman" w:cs="Times New Roman"/>
          <w:noProof/>
          <w:sz w:val="24"/>
          <w:szCs w:val="24"/>
        </w:rPr>
        <w:t>(Ghorbani, S., Khodayari, A., &amp; Mohammadi, 2014)</w:t>
      </w:r>
      <w:r w:rsidR="00162C79" w:rsidRPr="00B035DF">
        <w:rPr>
          <w:rFonts w:ascii="Times New Roman" w:hAnsi="Times New Roman" w:cs="Times New Roman"/>
          <w:sz w:val="24"/>
          <w:szCs w:val="24"/>
        </w:rPr>
        <w:fldChar w:fldCharType="end"/>
      </w:r>
      <w:r w:rsidRPr="00B035DF">
        <w:rPr>
          <w:rFonts w:ascii="Times New Roman" w:hAnsi="Times New Roman" w:cs="Times New Roman"/>
          <w:sz w:val="24"/>
          <w:szCs w:val="24"/>
        </w:rPr>
        <w:t>.</w:t>
      </w:r>
      <w:r w:rsidR="00A90FC4" w:rsidRPr="00491ABF">
        <w:rPr>
          <w:rFonts w:ascii="Times New Roman" w:hAnsi="Times New Roman" w:cs="Times New Roman"/>
          <w:sz w:val="24"/>
          <w:szCs w:val="24"/>
        </w:rPr>
        <w:t>The competencies include many variables such as knowledge and various skills like leadership, team management</w:t>
      </w:r>
      <w:r w:rsidR="00B84FB1" w:rsidRPr="00491ABF">
        <w:rPr>
          <w:rFonts w:ascii="Times New Roman" w:hAnsi="Times New Roman" w:cs="Times New Roman"/>
          <w:sz w:val="24"/>
          <w:szCs w:val="24"/>
        </w:rPr>
        <w:t>,</w:t>
      </w:r>
      <w:r w:rsidR="00A90FC4" w:rsidRPr="00491ABF">
        <w:rPr>
          <w:rFonts w:ascii="Times New Roman" w:hAnsi="Times New Roman" w:cs="Times New Roman"/>
          <w:sz w:val="24"/>
          <w:szCs w:val="24"/>
        </w:rPr>
        <w:t xml:space="preserve"> and many more. Here, knowledge plays an important role because all the competencies are based on specific knowledge of each </w:t>
      </w:r>
      <w:r w:rsidR="00821962" w:rsidRPr="00491ABF">
        <w:rPr>
          <w:rFonts w:ascii="Times New Roman" w:hAnsi="Times New Roman" w:cs="Times New Roman"/>
          <w:sz w:val="24"/>
          <w:szCs w:val="24"/>
        </w:rPr>
        <w:t>variable</w:t>
      </w:r>
      <w:r w:rsidR="00A90FC4" w:rsidRPr="00491ABF">
        <w:rPr>
          <w:rFonts w:ascii="Times New Roman" w:hAnsi="Times New Roman" w:cs="Times New Roman"/>
          <w:sz w:val="24"/>
          <w:szCs w:val="24"/>
        </w:rPr>
        <w:t xml:space="preserve"> including it</w:t>
      </w:r>
      <w:r w:rsidR="00B84FB1" w:rsidRPr="00491ABF">
        <w:rPr>
          <w:rFonts w:ascii="Times New Roman" w:hAnsi="Times New Roman" w:cs="Times New Roman"/>
          <w:sz w:val="24"/>
          <w:szCs w:val="24"/>
        </w:rPr>
        <w:t>s</w:t>
      </w:r>
      <w:r w:rsidR="00A90FC4" w:rsidRPr="00491ABF">
        <w:rPr>
          <w:rFonts w:ascii="Times New Roman" w:hAnsi="Times New Roman" w:cs="Times New Roman"/>
          <w:sz w:val="24"/>
          <w:szCs w:val="24"/>
        </w:rPr>
        <w:t xml:space="preserve"> knowledge. Hence, </w:t>
      </w:r>
      <w:r w:rsidR="00A144B8" w:rsidRPr="00491ABF">
        <w:rPr>
          <w:rFonts w:ascii="Times New Roman" w:hAnsi="Times New Roman" w:cs="Times New Roman"/>
          <w:sz w:val="24"/>
          <w:szCs w:val="24"/>
        </w:rPr>
        <w:t xml:space="preserve">Knowledge can be defined as the possession and understanding of </w:t>
      </w:r>
      <w:r w:rsidR="00B84FB1" w:rsidRPr="00491ABF">
        <w:rPr>
          <w:rFonts w:ascii="Times New Roman" w:hAnsi="Times New Roman" w:cs="Times New Roman"/>
          <w:sz w:val="24"/>
          <w:szCs w:val="24"/>
        </w:rPr>
        <w:t xml:space="preserve">the </w:t>
      </w:r>
      <w:r w:rsidR="00A144B8" w:rsidRPr="00491ABF">
        <w:rPr>
          <w:rFonts w:ascii="Times New Roman" w:hAnsi="Times New Roman" w:cs="Times New Roman"/>
          <w:sz w:val="24"/>
          <w:szCs w:val="24"/>
        </w:rPr>
        <w:t>principle, facts, processes</w:t>
      </w:r>
      <w:r w:rsidR="00B84FB1" w:rsidRPr="00491ABF">
        <w:rPr>
          <w:rFonts w:ascii="Times New Roman" w:hAnsi="Times New Roman" w:cs="Times New Roman"/>
          <w:sz w:val="24"/>
          <w:szCs w:val="24"/>
        </w:rPr>
        <w:t>,</w:t>
      </w:r>
      <w:r w:rsidR="00A144B8" w:rsidRPr="00491ABF">
        <w:rPr>
          <w:rFonts w:ascii="Times New Roman" w:hAnsi="Times New Roman" w:cs="Times New Roman"/>
          <w:sz w:val="24"/>
          <w:szCs w:val="24"/>
        </w:rPr>
        <w:t xml:space="preserve"> and many more things</w:t>
      </w:r>
      <w:r w:rsidR="00162C79" w:rsidRPr="00491ABF">
        <w:rPr>
          <w:rFonts w:ascii="Times New Roman" w:hAnsi="Times New Roman" w:cs="Times New Roman"/>
          <w:sz w:val="24"/>
        </w:rPr>
        <w:fldChar w:fldCharType="begin" w:fldLock="1"/>
      </w:r>
      <w:r w:rsidR="00F16AC4" w:rsidRPr="00491ABF">
        <w:rPr>
          <w:rFonts w:ascii="Times New Roman" w:hAnsi="Times New Roman" w:cs="Times New Roman"/>
          <w:sz w:val="24"/>
        </w:rPr>
        <w:instrText>ADDIN CSL_CITATION {"citationItems":[{"id":"ITEM-1","itemData":{"DOI":"10.1186/s40008-020-00195-4","ISSN":"21932409","abstract":"Few studies investigated the role of entrepreneurship education in students’ entrepreneurial intentions. These studies produced controversial results which invited the attention of researchers for further investigations. This paper examines the moderating role of entrepreneurship education on the predictive value of attitude, subjective norms and self-efficacy for entrepreneurial intentions. True Experimental Design (post-test-only control group design) is used to investigate the change in the nature and magnitude of the impact of independent variables (personal attitude, self-efficacy and subjective norms) on the dependent variable (intentions) using entrepreneurship education as a moderating variable. Data were collected from the treatment group (completed entrepreneurship course) and control group (not taken entrepreneurship course) from various higher education institutions in Oman. Total 500 questionnaires were distributed, out of which 204 filled questionnaires were received back in which 196 qualified as valid responses. Structural equation modeling was used to test hypotheses. The statistical relationship among the modeled variables was estimated using Partial Least Square method. The results revealed that attitude toward entrepreneurship, subjective norms and self-efficacy are the significant predictors of entrepreneurial intentions. However, entrepreneurship education moderates this relationship by strengthening the path coefficients of attitude toward entrepreneurship and self-efficacy. Same time it weakens the path coefficient of subjective norms.","author":[{"dropping-particle":"","family":"Shah","given":"Iqtidar A.","non-dropping-particle":"","parse-names":false,"suffix":""},{"dropping-particle":"","family":"Amjed","given":"Sohail","non-dropping-particle":"","parse-names":false,"suffix":""},{"dropping-particle":"","family":"Jaboob","given":"Said","non-dropping-particle":"","parse-names":false,"suffix":""}],"container-title":"Journal of Economic Structures","id":"ITEM-1","issue":"1","issued":{"date-parts":[["2020"]]},"publisher":"Springer Berlin Heidelberg","title":"The moderating role of entrepreneurship education in shaping entrepreneurial intentions","type":"article-journal","volume":"9"},"uris":["http://www.mendeley.com/documents/?uuid=21a32fbb-0282-430f-8b94-0948cd199ff6"]},{"id":"ITEM-2","itemData":{"DOI":"10.1007/s10843-017-0218-z","ISSN":"15737349","abstract":"Many universities are becoming more entrepreneurial by supporting spin-off activities of students and staff, installing entrepreneurship programs and creating networks with local entrepreneurs. But how do these activities affect university graduates’ employment choices? By utilizing different data sources, this question is addressed in the present study. Information collected through a large-scale graduate survey, implemented by the International Centre for Higher Education Research-Kassel, is combined with a ranking system of entrepreneurial orientation among German universities and data on the workforce within the university region. Empirical analysis suggests that the likelihood of entering self-employment is significantly positively related to the entrepreneurial orientation of the university. On the individual level, work experience prior to studying increases the likelihood of graduates entering self-employment while no robust influence of human capital indicators is detected.","author":[{"dropping-particle":"","family":"Krabel","given":"Stefan","non-dropping-particle":"","parse-names":false,"suffix":""}],"container-title":"Journal of International Entrepreneurship","id":"ITEM-2","issue":"4","issued":{"date-parts":[["2018"]]},"note":"Cited By (since 2018): 2","page":"456-485","title":"Are entrepreneurs made on campus? The impact of entrepreneurial universities and graduates’ human capital on graduates’ occupational choice","type":"article-journal","volume":"16"},"uris":["http://www.mendeley.com/documents/?uuid=4616da0d-9473-4824-b6b9-97b5233643df"]}],"mendeley":{"formattedCitation":"(Krabel, 2018; Shah et al., 2020)","plainTextFormattedCitation":"(Krabel, 2018; Shah et al., 2020)","previouslyFormattedCitation":"(Krabel, 2018; Shah et al., 2020)"},"properties":{"noteIndex":0},"schema":"https://github.com/citation-style-language/schema/raw/master/csl-citation.json"}</w:instrText>
      </w:r>
      <w:r w:rsidR="00162C79" w:rsidRPr="00491ABF">
        <w:rPr>
          <w:rFonts w:ascii="Times New Roman" w:hAnsi="Times New Roman" w:cs="Times New Roman"/>
          <w:sz w:val="24"/>
        </w:rPr>
        <w:fldChar w:fldCharType="separate"/>
      </w:r>
      <w:r w:rsidRPr="00491ABF">
        <w:rPr>
          <w:rFonts w:ascii="Times New Roman" w:hAnsi="Times New Roman" w:cs="Times New Roman"/>
          <w:noProof/>
          <w:sz w:val="24"/>
        </w:rPr>
        <w:t>(Krabel, 2018; Shah et al., 2020)</w:t>
      </w:r>
      <w:r w:rsidR="00162C79" w:rsidRPr="00491ABF">
        <w:rPr>
          <w:rFonts w:ascii="Times New Roman" w:hAnsi="Times New Roman" w:cs="Times New Roman"/>
          <w:sz w:val="24"/>
        </w:rPr>
        <w:fldChar w:fldCharType="end"/>
      </w:r>
      <w:r w:rsidRPr="00491ABF">
        <w:rPr>
          <w:rFonts w:ascii="Times New Roman" w:hAnsi="Times New Roman" w:cs="Times New Roman"/>
          <w:sz w:val="24"/>
        </w:rPr>
        <w:t>.</w:t>
      </w:r>
    </w:p>
    <w:p w:rsidR="00641371" w:rsidRDefault="004A48C0" w:rsidP="00641371">
      <w:pPr>
        <w:autoSpaceDE w:val="0"/>
        <w:autoSpaceDN w:val="0"/>
        <w:adjustRightInd w:val="0"/>
        <w:spacing w:after="0" w:line="360" w:lineRule="auto"/>
        <w:jc w:val="both"/>
        <w:rPr>
          <w:rFonts w:ascii="Times New Roman" w:hAnsi="Times New Roman" w:cs="Times New Roman"/>
          <w:sz w:val="24"/>
          <w:szCs w:val="24"/>
        </w:rPr>
      </w:pPr>
      <w:r w:rsidRPr="00B035DF">
        <w:rPr>
          <w:rFonts w:ascii="Times New Roman" w:hAnsi="Times New Roman" w:cs="Times New Roman"/>
          <w:color w:val="000000"/>
          <w:sz w:val="24"/>
          <w:szCs w:val="24"/>
        </w:rPr>
        <w:t>Research on entrepreneurial competencies has rapidly grown over the past twenty years. A wide variety of studies have been conducted on various topics related to entrepreneurial competencies</w:t>
      </w:r>
      <w:r w:rsidR="00162C79">
        <w:rPr>
          <w:rFonts w:ascii="Times New Roman" w:hAnsi="Times New Roman" w:cs="Times New Roman"/>
          <w:color w:val="000000"/>
          <w:sz w:val="24"/>
          <w:szCs w:val="24"/>
        </w:rPr>
        <w:fldChar w:fldCharType="begin" w:fldLock="1"/>
      </w:r>
      <w:r w:rsidR="00F16AC4">
        <w:rPr>
          <w:rFonts w:ascii="Times New Roman" w:hAnsi="Times New Roman" w:cs="Times New Roman"/>
          <w:color w:val="000000"/>
          <w:sz w:val="24"/>
          <w:szCs w:val="24"/>
        </w:rPr>
        <w:instrText>ADDIN CSL_CITATION {"citationItems":[{"id":"ITEM-1","itemData":{"abstract":"Despite the growing literature on the impact of entrepreneurial traits of managers/owners on the performance of small firms in developed economies, little is known about the contribution of managerial competencies (MC) of these managers/owners to the success of their firms. Since entrepreneurial literature attributes the failure of most emerging businesses (i.e. in their first three years of existence) to the paucity of MC among managers/owners of emerging businesses, an investigation into the effects of these competencies on the performance of small emerging internet businesses is critical to locating the strategic levers that potentially optimise the growth and sustainability of these businesses in emerging economies. This theoretical study, therefore, examines the relationship between managerial competencies of owners/ managers and the performance of emerging internet firms in South Africa. Extant literature and researchers’ reflective experiences were used to develop a conceptual model on the relationship between managerial competencies of managers/owners of small internet cafés and the performance of their firms. The model suggests that an assortment of managerial competencies (human capital requirements, resources and individual capabilities) is critical to the improved performance of small internet businesses. The thesis of this paper is that understanding the appropriate constitution of managerial competencies ideal for emerging technology firms, organisational context of emerging technology firms including the broader business environment would positively impact small internet business performance.","author":[{"dropping-particle":"","family":"Rambe","given":"Patient","non-dropping-particle":"","parse-names":false,"suffix":""},{"dropping-particle":"","family":"Africa","given":"South","non-dropping-particle":"","parse-names":false,"suffix":""},{"dropping-particle":"","family":"Makhalemele","given":"Naledi","non-dropping-particle":"","parse-names":false,"suffix":""},{"dropping-particle":"","family":"Africa","given":"South","non-dropping-particle":"","parse-names":false,"suffix":""}],"container-title":"International Business &amp; Economics Research Journal","id":"ITEM-1","issue":"4","issued":{"date-parts":[["2015"]]},"page":"678-692, July/August,","title":"Emerging Technology Firms And Business Internet Cafés Performance In South Africa","type":"article-journal","volume":"14"},"uris":["http://www.mendeley.com/documents/?uuid=9a641f3b-2ce7-44fb-ab0a-1164b7e39ead"]},{"id":"ITEM-2","itemData":{"DOI":"10.1016/j.ibusrev.2012.05.002","ISSN":"09695931","abstract":"This study explores the effects of trust, commitment, relation-oriented competencies and entrepreneurial competencies on export performance. Using survey data from 134 exporting organizations located in the south of the Netherlands, a conceptual model is tested in which trust and affective commitment act as energizing forces for the development of competencies that have a positive effect on export performance. The main difference between this approach and other models is that affective commitment is hypothesized to have an indirect effect on performance, rather than a direct effect. This prediction is borne out by the data, which indicates that the role of trust and affective commitment in relational models of export performance may need to be reconsidered. © 2012 Elsevier Ltd.","author":[{"dropping-particle":"","family":"Bloemer","given":"Josée","non-dropping-particle":"","parse-names":false,"suffix":""},{"dropping-particle":"","family":"Pluymaekers","given":"Mark","non-dropping-particle":"","parse-names":false,"suffix":""},{"dropping-particle":"","family":"Odekerken","given":"Armand","non-dropping-particle":"","parse-names":false,"suffix":""}],"container-title":"International Business Review","id":"ITEM-2","issue":"2","issued":{"date-parts":[["2013"]]},"page":"363-380","title":"Trust and affective commitment as energizing forces for export performance","type":"article-journal","volume":"22"},"uris":["http://www.mendeley.com/documents/?uuid=c8a632d4-16ef-4cf2-9e5a-cfd0b7588fa9"]},{"id":"ITEM-3","itemData":{"DOI":"10.4102/sajesbm.v11i1.191","ISSN":"2522-7343","abstract":"Encouraging entrepreneurship and facilitating the rapid growth of innovative SMEs is an effective means of creating jobs, increasing productivity and alleviating poverty. Identifying and implementing the policies that can achieve these goals is an increasing priority for governments of industrialised and developing countries alike. This publication describes recent trends concerning SMEs and entrepreneurship in OECD economies and beyond. It reports on a range of policy initiatives taken to enhance the vitality and competitiveness of the SME sector, which comprises over 95% of all enterprises and accounts for two thirds of private sector employment. Among the themes covered in this edition are: the need to reduce regulatory and administrative burdens affecting entrepreneurial activity; the increasing attention given by governments to entrepreneurship education. education and training; the need to ease SME access to financing, technology, innovation and international markets; the growing importance of women’s entrepreneurship; and local policy issues. This third edition also includes the Istanbul Ministerial Declaration on Fostering the Growth of Innovative and Internationally Competitive SMEs. Coming four years after the Bologna Charter on SME Policies, this Declaration is comprised of a set of policy recommendations and was adopted by Ministers and representatives of 72 governments at the 2 OECD Ministerial Conference on SMEs, held in Istanbul, Turkey, in June 2004.","author":[{"dropping-particle":"","family":"Botha","given":"Melodi","non-dropping-particle":"","parse-names":false,"suffix":""},{"dropping-particle":"","family":"Carruthers","given":"Tom J.","non-dropping-particle":"","parse-names":false,"suffix":""},{"dropping-particle":"","family":"Venter","given":"Marc W.","non-dropping-particle":"","parse-names":false,"suffix":""}],"container-title":"The Southern African Journal of Entrepreneurship and Small Business Management","id":"ITEM-3","issue":"1","issued":{"date-parts":[["2019"]]},"page":"1-15","title":"The relationship between entrepreneurial competencies and the recurring entrepreneurial intention and action of existing entrepreneurs","type":"article-journal","volume":"11"},"uris":["http://www.mendeley.com/documents/?uuid=bcf36882-e495-46ec-9794-b63f633b21d5"]},{"id":"ITEM-4","itemData":{"DOI":"10.1108/IJEBR-12-2018-0806","ISSN":"13552554","abstract":"Purpose: The entrepreneur is the main decision-maker in small and medium-sized enterprises and is the principal force in the implementation of a firm's international strategy. Research has paid limited attention to the intangible aspects of human capital, namely behavioural competencies that may have an impact on the entrepreneur's ability to take advantage of international opportunities. This study addresses this gap, identifying the behavioural competencies that distinguish entrepreneurs who pursue a stronger internationalisation expansion beyond the European market. Design/methodology/approach: A competency modelling process is implemented for a sample of Italian entrepreneurs. Data on behavioural competencies are obtained through the coding of behavioural event interviews administrated to the entrepreneurs. Export intensity is adopted as a performance criterion to classify the entrepreneurs. Findings: Three behavioural competencies (change catalyst, teamwork and organisational learning orientation) emerged as more significantly activated by entrepreneurs who show a higher export intensity in the global market. Research limitations/implications: The exploratory nature of the study, conducted in a small sample and in a specific geographical area, may reduce the generalisability of the findings. Practical implications: Entrepreneurs can become aware of the behavioural competencies needed for the implementation of internationalisation processes. Additionally, training programmes can be designed to promote the development of these behaviours. Originality/value: Bridging the literature on international entrepreneurship, cross-cultural studies and competency-based research, this study highlights the role of behavioural competencies in the internationalisation process from a micro level of analysis. This article proposes a competency framework that can be adopted to assess a broader portfolio of entrepreneurs' behaviours.","author":[{"dropping-particle":"","family":"Cortellazzo","given":"Laura","non-dropping-particle":"","parse-names":false,"suffix":""},{"dropping-particle":"","family":"Bonesso","given":"Sara","non-dropping-particle":"","parse-names":false,"suffix":""},{"dropping-particle":"","family":"Gerli","given":"Fabrizio","non-dropping-particle":"","parse-names":false,"suffix":""}],"container-title":"International Journal of Entrepreneurial Behaviour and Research","id":"ITEM-4","issue":"4","issued":{"date-parts":[["2020"]]},"note":"Cited By (since 2020): 1","page":"723-747","title":"Entrepreneurs' behavioural competencies for internationalisation: Exploratory insights from the Italian context","type":"article-journal","volume":"26"},"uris":["http://www.mendeley.com/documents/?uuid=d11f12d7-dd46-4d18-b274-6455b0aea102"]}],"mendeley":{"formattedCitation":"(Bloemer et al., 2013; Botha et al., 2019; Cortellazzo et al., 2020; Rambe et al., 2015)","plainTextFormattedCitation":"(Bloemer et al., 2013; Botha et al., 2019; Cortellazzo et al., 2020; Rambe et al., 2015)","previouslyFormattedCitation":"(Bloemer et al., 2013; Botha et al., 2019; Cortellazzo et al., 2020; Rambe et al., 2015)"},"properties":{"noteIndex":0},"schema":"https://github.com/citation-style-language/schema/raw/master/csl-citation.json"}</w:instrText>
      </w:r>
      <w:r w:rsidR="00162C79">
        <w:rPr>
          <w:rFonts w:ascii="Times New Roman" w:hAnsi="Times New Roman" w:cs="Times New Roman"/>
          <w:color w:val="000000"/>
          <w:sz w:val="24"/>
          <w:szCs w:val="24"/>
        </w:rPr>
        <w:fldChar w:fldCharType="separate"/>
      </w:r>
      <w:r w:rsidR="00F16AC4" w:rsidRPr="00F16AC4">
        <w:rPr>
          <w:rFonts w:ascii="Times New Roman" w:hAnsi="Times New Roman" w:cs="Times New Roman"/>
          <w:noProof/>
          <w:color w:val="000000"/>
          <w:sz w:val="24"/>
          <w:szCs w:val="24"/>
        </w:rPr>
        <w:t>(Bloemer et al., 2013; Botha et al., 2019; Cortellazzo et al., 2020; Rambe et al., 2015)</w:t>
      </w:r>
      <w:r w:rsidR="00162C79">
        <w:rPr>
          <w:rFonts w:ascii="Times New Roman" w:hAnsi="Times New Roman" w:cs="Times New Roman"/>
          <w:color w:val="000000"/>
          <w:sz w:val="24"/>
          <w:szCs w:val="24"/>
        </w:rPr>
        <w:fldChar w:fldCharType="end"/>
      </w:r>
      <w:r w:rsidRPr="00B035DF">
        <w:rPr>
          <w:rFonts w:ascii="Times New Roman" w:hAnsi="Times New Roman" w:cs="Times New Roman"/>
          <w:color w:val="000000"/>
          <w:sz w:val="24"/>
          <w:szCs w:val="24"/>
        </w:rPr>
        <w:t xml:space="preserve">. However, only a handful </w:t>
      </w:r>
      <w:r w:rsidR="00646B1D">
        <w:rPr>
          <w:rFonts w:ascii="Times New Roman" w:hAnsi="Times New Roman" w:cs="Times New Roman"/>
          <w:color w:val="000000"/>
          <w:sz w:val="24"/>
          <w:szCs w:val="24"/>
        </w:rPr>
        <w:t xml:space="preserve">of </w:t>
      </w:r>
      <w:r w:rsidRPr="00B035DF">
        <w:rPr>
          <w:rFonts w:ascii="Times New Roman" w:hAnsi="Times New Roman" w:cs="Times New Roman"/>
          <w:color w:val="000000"/>
          <w:sz w:val="24"/>
          <w:szCs w:val="24"/>
        </w:rPr>
        <w:t xml:space="preserve">studies could be found that have attempted to provide a bibliometric analysis or review of the available literature on entrepreneurial competencies. So far, the most significant review study has been conducted by </w:t>
      </w:r>
      <w:r w:rsidR="00320900">
        <w:rPr>
          <w:rFonts w:ascii="Times New Roman" w:hAnsi="Times New Roman" w:cs="Times New Roman"/>
          <w:color w:val="000000"/>
          <w:sz w:val="24"/>
          <w:szCs w:val="24"/>
        </w:rPr>
        <w:t>F</w:t>
      </w:r>
      <w:r w:rsidRPr="00B035DF">
        <w:rPr>
          <w:rFonts w:ascii="Times New Roman" w:hAnsi="Times New Roman" w:cs="Times New Roman"/>
          <w:color w:val="000000"/>
          <w:sz w:val="24"/>
          <w:szCs w:val="24"/>
        </w:rPr>
        <w:t xml:space="preserve">agadar in 2021. </w:t>
      </w:r>
      <w:r w:rsidR="00A90FC4">
        <w:rPr>
          <w:rFonts w:ascii="Times New Roman" w:hAnsi="Times New Roman" w:cs="Times New Roman"/>
          <w:color w:val="000000"/>
          <w:sz w:val="24"/>
          <w:szCs w:val="24"/>
        </w:rPr>
        <w:t xml:space="preserve">The study </w:t>
      </w:r>
      <w:r w:rsidR="00E6783B">
        <w:rPr>
          <w:rFonts w:ascii="Times New Roman" w:hAnsi="Times New Roman" w:cs="Times New Roman"/>
          <w:color w:val="000000"/>
          <w:sz w:val="24"/>
          <w:szCs w:val="24"/>
        </w:rPr>
        <w:t xml:space="preserve">has </w:t>
      </w:r>
      <w:r w:rsidR="00E6783B" w:rsidRPr="00262AAA">
        <w:rPr>
          <w:rFonts w:ascii="Times New Roman" w:hAnsi="Times New Roman" w:cs="Times New Roman"/>
          <w:color w:val="000000"/>
          <w:sz w:val="24"/>
          <w:szCs w:val="24"/>
        </w:rPr>
        <w:t>covered</w:t>
      </w:r>
      <w:r w:rsidRPr="00262AAA">
        <w:rPr>
          <w:rFonts w:ascii="Times New Roman" w:hAnsi="Times New Roman" w:cs="Times New Roman"/>
          <w:color w:val="000000"/>
          <w:sz w:val="24"/>
          <w:szCs w:val="24"/>
        </w:rPr>
        <w:t xml:space="preserve"> 160 articles</w:t>
      </w:r>
      <w:r w:rsidR="00E6783B" w:rsidRPr="00262AAA">
        <w:rPr>
          <w:rFonts w:ascii="Times New Roman" w:hAnsi="Times New Roman" w:cs="Times New Roman"/>
          <w:color w:val="000000"/>
          <w:sz w:val="24"/>
          <w:szCs w:val="24"/>
        </w:rPr>
        <w:t>. Those articles were related to only subjects like education, economics</w:t>
      </w:r>
      <w:r w:rsidR="00B84FB1">
        <w:rPr>
          <w:rFonts w:ascii="Times New Roman" w:hAnsi="Times New Roman" w:cs="Times New Roman"/>
          <w:color w:val="000000"/>
          <w:sz w:val="24"/>
          <w:szCs w:val="24"/>
        </w:rPr>
        <w:t>,</w:t>
      </w:r>
      <w:r w:rsidR="00E6783B" w:rsidRPr="00262AAA">
        <w:rPr>
          <w:rFonts w:ascii="Times New Roman" w:hAnsi="Times New Roman" w:cs="Times New Roman"/>
          <w:color w:val="000000"/>
          <w:sz w:val="24"/>
          <w:szCs w:val="24"/>
        </w:rPr>
        <w:t xml:space="preserve"> and business management. The other subject’s related articles were not considered. This was the gap identif</w:t>
      </w:r>
      <w:r w:rsidR="00B84FB1">
        <w:rPr>
          <w:rFonts w:ascii="Times New Roman" w:hAnsi="Times New Roman" w:cs="Times New Roman"/>
          <w:color w:val="000000"/>
          <w:sz w:val="24"/>
          <w:szCs w:val="24"/>
        </w:rPr>
        <w:t>iedin</w:t>
      </w:r>
      <w:r w:rsidR="00E6783B" w:rsidRPr="00262AAA">
        <w:rPr>
          <w:rFonts w:ascii="Times New Roman" w:hAnsi="Times New Roman" w:cs="Times New Roman"/>
          <w:color w:val="000000"/>
          <w:sz w:val="24"/>
          <w:szCs w:val="24"/>
        </w:rPr>
        <w:t xml:space="preserve"> this paper.</w:t>
      </w:r>
      <w:r w:rsidR="00E6783B" w:rsidRPr="00262AAA">
        <w:rPr>
          <w:rFonts w:ascii="Times New Roman" w:hAnsi="Times New Roman" w:cs="Times New Roman"/>
          <w:sz w:val="24"/>
          <w:szCs w:val="24"/>
        </w:rPr>
        <w:t>Furthermore, the</w:t>
      </w:r>
      <w:r w:rsidRPr="00262AAA">
        <w:rPr>
          <w:rFonts w:ascii="Times New Roman" w:hAnsi="Times New Roman" w:cs="Times New Roman"/>
          <w:sz w:val="24"/>
          <w:szCs w:val="24"/>
        </w:rPr>
        <w:t xml:space="preserve"> following were extracted: the article title, author name(s) and affiliation, journal name, number, volume, pages, date of publication, abstract, and cited references. Then the bibliometric</w:t>
      </w:r>
      <w:r w:rsidR="00F16AC4" w:rsidRPr="00262AAA">
        <w:rPr>
          <w:rFonts w:ascii="Times New Roman" w:hAnsi="Times New Roman" w:cs="Times New Roman"/>
          <w:sz w:val="24"/>
          <w:szCs w:val="24"/>
        </w:rPr>
        <w:t xml:space="preserve"> analysis was conducted by</w:t>
      </w:r>
      <w:r w:rsidRPr="00262AAA">
        <w:rPr>
          <w:rFonts w:ascii="Times New Roman" w:hAnsi="Times New Roman" w:cs="Times New Roman"/>
          <w:sz w:val="24"/>
          <w:szCs w:val="24"/>
        </w:rPr>
        <w:t>VosViewer.</w:t>
      </w:r>
    </w:p>
    <w:p w:rsidR="00886A55" w:rsidRDefault="00886A55" w:rsidP="00641371">
      <w:pPr>
        <w:autoSpaceDE w:val="0"/>
        <w:autoSpaceDN w:val="0"/>
        <w:adjustRightInd w:val="0"/>
        <w:spacing w:after="0" w:line="360" w:lineRule="auto"/>
        <w:jc w:val="both"/>
        <w:rPr>
          <w:rFonts w:ascii="Times New Roman" w:hAnsi="Times New Roman" w:cs="Times New Roman"/>
          <w:sz w:val="24"/>
          <w:szCs w:val="24"/>
        </w:rPr>
      </w:pPr>
    </w:p>
    <w:p w:rsidR="00E6783B" w:rsidRPr="00E6783B" w:rsidRDefault="004A48C0" w:rsidP="00E6783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1.2. </w:t>
      </w:r>
      <w:r w:rsidRPr="00B035DF">
        <w:rPr>
          <w:rFonts w:ascii="Times New Roman" w:hAnsi="Times New Roman" w:cs="Times New Roman"/>
          <w:b/>
          <w:sz w:val="24"/>
          <w:szCs w:val="24"/>
        </w:rPr>
        <w:t>Risk - Resilience</w:t>
      </w:r>
    </w:p>
    <w:p w:rsidR="00905564" w:rsidRDefault="004A48C0" w:rsidP="009B65FE">
      <w:pPr>
        <w:autoSpaceDE w:val="0"/>
        <w:autoSpaceDN w:val="0"/>
        <w:adjustRightInd w:val="0"/>
        <w:spacing w:after="0" w:line="360" w:lineRule="auto"/>
        <w:jc w:val="both"/>
        <w:rPr>
          <w:rFonts w:ascii="Times New Roman" w:hAnsi="Times New Roman" w:cs="Times New Roman"/>
          <w:sz w:val="24"/>
          <w:szCs w:val="24"/>
        </w:rPr>
      </w:pPr>
      <w:r w:rsidRPr="00491ABF">
        <w:rPr>
          <w:rFonts w:ascii="Times New Roman" w:hAnsi="Times New Roman" w:cs="Times New Roman"/>
          <w:sz w:val="24"/>
          <w:szCs w:val="24"/>
        </w:rPr>
        <w:t xml:space="preserve">The term risk resilience refers </w:t>
      </w:r>
      <w:r w:rsidR="00B84FB1" w:rsidRPr="00491ABF">
        <w:rPr>
          <w:rFonts w:ascii="Times New Roman" w:hAnsi="Times New Roman" w:cs="Times New Roman"/>
          <w:sz w:val="24"/>
          <w:szCs w:val="24"/>
        </w:rPr>
        <w:t>to</w:t>
      </w:r>
      <w:r w:rsidRPr="00491ABF">
        <w:rPr>
          <w:rFonts w:ascii="Times New Roman" w:hAnsi="Times New Roman" w:cs="Times New Roman"/>
          <w:sz w:val="24"/>
          <w:szCs w:val="24"/>
        </w:rPr>
        <w:t xml:space="preserve"> the ability to get better </w:t>
      </w:r>
      <w:r w:rsidR="000F3A46" w:rsidRPr="00491ABF">
        <w:rPr>
          <w:rFonts w:ascii="Times New Roman" w:hAnsi="Times New Roman" w:cs="Times New Roman"/>
          <w:sz w:val="24"/>
          <w:szCs w:val="24"/>
        </w:rPr>
        <w:t xml:space="preserve">to a steady state after being exposed to </w:t>
      </w:r>
      <w:r w:rsidR="00B84FB1" w:rsidRPr="00491ABF">
        <w:rPr>
          <w:rFonts w:ascii="Times New Roman" w:hAnsi="Times New Roman" w:cs="Times New Roman"/>
          <w:sz w:val="24"/>
          <w:szCs w:val="24"/>
        </w:rPr>
        <w:t>a</w:t>
      </w:r>
      <w:r w:rsidR="000F3A46" w:rsidRPr="00491ABF">
        <w:rPr>
          <w:rFonts w:ascii="Times New Roman" w:hAnsi="Times New Roman" w:cs="Times New Roman"/>
          <w:sz w:val="24"/>
          <w:szCs w:val="24"/>
        </w:rPr>
        <w:t xml:space="preserve"> disruptive situation.</w:t>
      </w:r>
      <w:r w:rsidR="00162C79" w:rsidRPr="002C7D08">
        <w:rPr>
          <w:rFonts w:ascii="Times New Roman" w:hAnsi="Times New Roman" w:cs="Times New Roman"/>
          <w:sz w:val="24"/>
          <w:szCs w:val="24"/>
        </w:rPr>
        <w:fldChar w:fldCharType="begin" w:fldLock="1"/>
      </w:r>
      <w:r w:rsidR="00F16AC4" w:rsidRPr="002C7D08">
        <w:rPr>
          <w:rFonts w:ascii="Times New Roman" w:hAnsi="Times New Roman" w:cs="Times New Roman"/>
          <w:sz w:val="24"/>
          <w:szCs w:val="24"/>
        </w:rPr>
        <w:instrText>ADDIN CSL_CITATION {"citationItems":[{"id":"ITEM-1","itemData":{"DOI":"10.1007/s10802-006-9062-7","ISSN":"00910627","PMID":"17051436","abstract":"Examined a risk-resilience model of peer rejection and attention-deficit/ hyperactivity disorder (ADHD) in a 5-year longitudinal study of 209 ethnically and socioeconomically diverse girls aged 6-13 at baseline and 11-18 at follow-up. Risk factors were childhood ADHD diagnosis and peer rejection; hypothesized protective factors were childhood measures of self-perceived scholastic competence, engagement in goal-directed play when alone, and popularity with adults. Adolescent criterion measures were multi-informant composites of externalizing and internalizing behavior plus indicators of academic achievement, eating pathology, and substance use. ADHD and peer rejection predicted risk for all criterion measures except for substance use, which was predicted by ADHD only. ADHD and peer rejection predicted lower adolescent academic achievement controlling for childhood achievement, but they did not predict adolescent externalizing and internalizing behavior after controlling for baseline levels of these constructs. Regarding buffers, self-perceived scholastic competence in childhood (with control of academic achievement) predicted resilient adolescent functioning. Contrary to hypothesis, goal-directed play in childhood was associated with poor adolescent outcomes. Buffers were not found to have differential effectiveness among girls with ADHD relative to comparison girls. © 2006 Springer Science+Business Media, LLC.","author":[{"dropping-particle":"","family":"Mikami","given":"Amori Yee","non-dropping-particle":"","parse-names":false,"suffix":""},{"dropping-particle":"","family":"Hinshaw","given":"Stephen P.","non-dropping-particle":"","parse-names":false,"suffix":""}],"container-title":"Journal of Abnormal Child Psychology","id":"ITEM-1","issue":"6","issued":{"date-parts":[["2006"]]},"page":"825-839","title":"Resilient adolescent adjustment among girls: Buffers of childhood peer rejection and attention-deficit/hyperactivity disorder","type":"article-journal","volume":"34"},"uris":["http://www.mendeley.com/documents/?uuid=04e844c4-63df-41a6-af1b-0db2c2a1cd6d"]},{"id":"ITEM-2","itemData":{"DOI":"10.1007/s11920-011-0252-9","ISSN":"15233812","PMID":"22367454","abstract":"Alcoholism and drug dependence are common psychiatric disorders with a heritability of about 50%; therefore genetic and environmental influences are equally important. Early-life stress is a predictor of adolescent problem drinking/drug use and alcohol/drug dependence in adulthood, but moderating factors governing the availability of alcohol/drug are important. The risk-resilience balance for addiction may be due in part to the interaction between genetic variation and environment stressors (G×E); this has been confirmed by twin studies of inferred genetic risk. Measured genotype studies to detect G×E effects have used a range of alcohol consumption and diagnostic phenotypes and stressors ranging from early-life to adulthood past year life events. In this article, the current state of the field is critically reviewed and suggestions are put forth for future research. © Springer Science+Business Media, LLC (outside the USA) 2012.","author":[{"dropping-particle":"","family":"Enoch","given":"Mary Anne","non-dropping-particle":"","parse-names":false,"suffix":""}],"container-title":"Current Psychiatry Reports","id":"ITEM-2","issue":"2","issued":{"date-parts":[["2012"]]},"page":"150-158","title":"The influence of gene-environment interactions on the development of alcoholism and drug dependence","type":"article-journal","volume":"14"},"uris":["http://www.mendeley.com/documents/?uuid=cef24698-4cae-4fa5-aada-e8aabe1757b1"]},{"id":"ITEM-3","itemData":{"DOI":"10.1002/bse.679","ISSN":"09644733","abstract":"Physical impacts from climate change already pose major challenges for organizations, and the trend is rising. Organization theorists, however, have barely begun to systematically consider the organizational impacts of more and increasingly intense storms, floods, droughts, fires, sea level rise or changing growing seasons as part of their domain of study. Eight organizationally relevant dimensions of climate impacts are identified: severity, temporal scale, spatial scale, predictability, mode, immediacy, state change potential and accelerating trend potential. Combined, their scale, scope and systemic uncertainty suggest future conditions of systemic hyperturbulence in organizational environments, defined here as 'massive discontinuous change' (MDC). To build a conceptual foundation for organizations to respond and adapt to MDC, the paper examines contributions from literatures on the management of sustainability, crisis, risk, resilience and adaptive organizational change. It highlights gaps for addressing both business challenges and opportunities from MDC, and suggests avenues for future research. © 2010 John Wiley &amp; Sons, Ltd. and ERP Environment.","author":[{"dropping-particle":"","family":"Winn","given":"Monika","non-dropping-particle":"","parse-names":false,"suffix":""},{"dropping-particle":"","family":"Kirchgeorg","given":"Manfred","non-dropping-particle":"","parse-names":false,"suffix":""},{"dropping-particle":"","family":"Griffiths","given":"Andrew","non-dropping-particle":"","parse-names":false,"suffix":""},{"dropping-particle":"","family":"Linnenluecke","given":"Martina K.","non-dropping-particle":"","parse-names":false,"suffix":""},{"dropping-particle":"","family":"Gunther","given":"Elmar","non-dropping-particle":"","parse-names":false,"suffix":""}],"container-title":"Business Strategy and the Environment","id":"ITEM-3","issue":"3","issued":{"date-parts":[["2011"]]},"page":"157-173","title":"Impacts from climate change on organizations: A conceptual foundation","type":"article-journal","volume":"20"},"uris":["http://www.mendeley.com/documents/?uuid=79be6522-fa57-447d-ae9c-6ceffc5e8117"]},{"id":"ITEM-4","itemData":{"DOI":"10.1016/j.ynstr.2015.02.001","ISSN":"23522895","PMID":"25798454","abstract":"Stress can have lasting effects on the brain and behavior. Delineating the impact of stress on the developing brain is fundamental for understanding mechanisms through which stress induces persistent effects on behavior that can lead to psychopathology. The growing field of translational developmental neuroscience has revealed a significant role of the timing of stress on risk, resilience, and neuroplasticity. Studies of stress across species have provided essential insight into the mechanisms by which the brain changes and the timing of those changes on outcome. In this article, we review the neurobiological effects of stress and propose a model by which sensitive periods of neural development interact with stressful life events to affect plasticity and the effects of stress on functional outcomes. We then highlight how early-life stress can alter the course of brain development. Finally, we examine mechanisms of buffering against early-life stress that may promote resilience and positive outcomes. The findings are discussed in the context of implications for early identification of risk and resilience factors and development of novel interventions that target the biological state of the developing brain to ultimately ameliorate the adverse consequences of stress during childhood and adolescence.","author":[{"dropping-particle":"","family":"Gee","given":"Dylan G.","non-dropping-particle":"","parse-names":false,"suffix":""},{"dropping-particle":"","family":"Casey","given":"B. J.","non-dropping-particle":"","parse-names":false,"suffix":""}],"container-title":"Neurobiology of Stress","id":"ITEM-4","issued":{"date-parts":[["2015"]]},"page":"184-194","publisher":"Elsevier Inc","title":"The impact of developmental timing for stress and recovery","type":"article-journal","volume":"1"},"uris":["http://www.mendeley.com/documents/?uuid=9d54f80b-2033-492e-9aba-08ee1c58970e"]}],"mendeley":{"formattedCitation":"(Enoch, 2012; Gee &amp; Casey, 2015; Mikami &amp; Hinshaw, 2006; Winn et al., 2011)","plainTextFormattedCitation":"(Enoch, 2012; Gee &amp; Casey, 2015; Mikami &amp; Hinshaw, 2006; Winn et al., 2011)","previouslyFormattedCitation":"(Enoch, 2012; Gee &amp; Casey, 2015; Mikami &amp; Hinshaw, 2006; Winn et al., 2011)"},"properties":{"noteIndex":0},"schema":"https://github.com/citation-style-language/schema/raw/master/csl-citation.json"}</w:instrText>
      </w:r>
      <w:r w:rsidR="00162C79" w:rsidRPr="002C7D08">
        <w:rPr>
          <w:rFonts w:ascii="Times New Roman" w:hAnsi="Times New Roman" w:cs="Times New Roman"/>
          <w:sz w:val="24"/>
          <w:szCs w:val="24"/>
        </w:rPr>
        <w:fldChar w:fldCharType="separate"/>
      </w:r>
      <w:r w:rsidR="00F16AC4" w:rsidRPr="002C7D08">
        <w:rPr>
          <w:rFonts w:ascii="Times New Roman" w:hAnsi="Times New Roman" w:cs="Times New Roman"/>
          <w:noProof/>
          <w:sz w:val="24"/>
          <w:szCs w:val="24"/>
        </w:rPr>
        <w:t>(Enoch, 2012; Gee &amp; Casey, 2015; Mikami &amp; Hinshaw, 2006; Winn et al., 2011)</w:t>
      </w:r>
      <w:r w:rsidR="00162C79" w:rsidRPr="002C7D08">
        <w:rPr>
          <w:rFonts w:ascii="Times New Roman" w:hAnsi="Times New Roman" w:cs="Times New Roman"/>
          <w:sz w:val="24"/>
          <w:szCs w:val="24"/>
        </w:rPr>
        <w:fldChar w:fldCharType="end"/>
      </w:r>
      <w:r w:rsidR="00886A55" w:rsidRPr="00B035DF">
        <w:rPr>
          <w:rFonts w:ascii="Times New Roman" w:hAnsi="Times New Roman" w:cs="Times New Roman"/>
          <w:sz w:val="24"/>
          <w:szCs w:val="24"/>
        </w:rPr>
        <w:t>. Disruptions are unavoidable, and there are a variety of internal and external variables that contribute to disruptions in companies. When it comes to resilience, the main concerns are organizational vulnerability, disruptions, and complexities, as these are the main challenges that affect the system's resilience. Vulnerability to a disruptive event can be defined as a mix of the likelihood of disruption and</w:t>
      </w:r>
      <w:r w:rsidR="00F16AC4">
        <w:rPr>
          <w:rFonts w:ascii="Times New Roman" w:hAnsi="Times New Roman" w:cs="Times New Roman"/>
          <w:sz w:val="24"/>
          <w:szCs w:val="24"/>
        </w:rPr>
        <w:t xml:space="preserve"> the severity of the disruption </w:t>
      </w:r>
      <w:r w:rsidR="00162C79">
        <w:rPr>
          <w:rFonts w:ascii="Times New Roman" w:hAnsi="Times New Roman" w:cs="Times New Roman"/>
          <w:sz w:val="24"/>
          <w:szCs w:val="24"/>
        </w:rPr>
        <w:fldChar w:fldCharType="begin" w:fldLock="1"/>
      </w:r>
      <w:r w:rsidR="00F16AC4">
        <w:rPr>
          <w:rFonts w:ascii="Times New Roman" w:hAnsi="Times New Roman" w:cs="Times New Roman"/>
          <w:sz w:val="24"/>
          <w:szCs w:val="24"/>
        </w:rPr>
        <w:instrText>ADDIN CSL_CITATION {"citationItems":[{"id":"ITEM-1","itemData":{"DOI":"10.3390/ijerph18105142","ISSN":"16604601","PMID":"34066219","abstract":"Entrepreneurial orientation can be an effective response by sports clubs to manage a recession, such as the COVID-19 crisis. Therefore, its study can be fundamental to understand different ways of managing a recession. This study analyzes the entrepreneurial orientation of Spanish non-profit sports clubs to identify different groups and their profiles. The sample is composed of 145 Spanish non-profit sports clubs. Different validated scales have been used to analyze entrepreneurial orientation, business model adaptation, service quality, and economic and social performance (performance in social impact and performance in social causes). Entrepreneurial orientation is the variable used to differentiate the groups. This is made up of three dimensions: innovation, risk-taking, and proactivity. According to the results obtained, there are three groups of sports clubs according to their entrepreneurial orientation: non-entrepreneurs (n = 11), moderate entrepreneurs (n = 85), and strong entrepreneurs (n = 45). There are substantial differences between the three groups according to the adaptation of the business model, the perceived impact of COVID-19, and the returns analyzed. Strong entrepreneurs have considerably higher levels of business model adaptation, economic performance, social performance, and perceived service quality than non-entrepreneurs. Theoretical and practical implications have been drawn that can bring new information to the sports and organizational sector. For example, the diagnosis of the different profiles according to the level of entrepreneurship can be useful to propose strategies to improve performance. In this way, it can help to evaluate the return on the investment made by sponsors or governments in the organization.","author":[{"dropping-particle":"","family":"Escamilla-Fajardo","given":"Paloma","non-dropping-particle":"","parse-names":false,"suffix":""},{"dropping-particle":"","family":"Parra-Camacho","given":"David","non-dropping-particle":"","parse-names":false,"suffix":""},{"dropping-particle":"","family":"Núñez-Pomar","given":"Juan Manuel","non-dropping-particle":"","parse-names":false,"suffix":""}],"container-title":"International Journal of Environmental Research and Public Health","id":"ITEM-1","issue":"10","issued":{"date-parts":[["2021"]]},"title":"Entrepreneurship and resilience in spanish sports clubs: A cluster analysis","type":"article-journal","volume":"18"},"uris":["http://www.mendeley.com/documents/?uuid=42413595-198c-45b8-a05d-4324c2dfc4a9"]},{"id":"ITEM-2","itemData":{"DOI":"10.3390/su13147926","ISSN":"20711050","abstract":"This paper explores the role of local labor market dynamics on the survival of new busi-nesses. The characteristics of the local labor market are likely to influence the survival of new busi-nesses, the level of entrepreneurship, and the resilience of the regional economy. We apply portfolio theory to evaluate employment-based and income-based measures of risk-and-return trade-offs in local labor markets on new business survival in the United States. Our results show that volatility in local labor markets has a positive impact on new business survival, especially in Metropolitan Statistical Areas. The results are robust across different timeframes, including during economic downturns, thus highlighting the contribution of new businesses in developing the resilience of the local economy, and further promoting sustainable regional economic development.","author":[{"dropping-particle":"","family":"Gulati","given":"Bharman","non-dropping-particle":"","parse-names":false,"suffix":""},{"dropping-particle":"","family":"Weiler","given":"Stephan","non-dropping-particle":"","parse-names":false,"suffix":""}],"container-title":"Sustainability (Switzerland)","id":"ITEM-2","issue":"14","issued":{"date-parts":[["2021"]]},"page":"1-20","title":"Risk, recessions and resilience: towards sustainable local labor markets through employment portfolio analysis","type":"article-journal","volume":"13"},"uris":["http://www.mendeley.com/documents/?uuid=7b79e974-6fb4-4093-b0f6-fdd2f8e2a36d"]},{"id":"ITEM-3","itemData":{"DOI":"10.1002/brb3.1745","ISSN":"21623279","PMID":"32633464","abstract":"Background: The current COVID-19 pandemic comes with multiple psychological stressors due to health-related, social, economic, and individual consequences and may cause psychological distress. The aim of this study was to screen the population in Germany for negative impact on mental health in the current COVID-19 pandemic and to analyze possible risk and protective factors. Methods: A total of 6,509 people took part in an online survey in Germany from 27 March to 6 April. The questionnaire included demographic information and ascertained psychological distress, anxiety and depressive symptoms, and risk and protective factors. Results: In our sample, over 50% expressed suffering from anxiety and psychological distress regarding the COVID-19 pandemic. Participants spent several hours per day thinking about COVID-19 (M = 4.45). Psychological and social determinants showed stronger associations with anxiety regarding COVID-19 than experiences with the disease. Conclusions: The current COVID-19 pandemic does cause psychological distress, anxiety, and depression for large proportions of the general population. Strategies such as maintaining a healthy lifestyle and social contacts, acceptance of anxiety and negative emotions, fostering self-efficacy, and information on where to get medical treatment if needed, seem of help, while substance abuse and suppression of anxiety and negative emotions seem to be associated with more psychological burden.","author":[{"dropping-particle":"","family":"Petzold","given":"Moritz Bruno","non-dropping-particle":"","parse-names":false,"suffix":""},{"dropping-particle":"","family":"Bendau","given":"Antonia","non-dropping-particle":"","parse-names":false,"suffix":""},{"dropping-particle":"","family":"Plag","given":"Jens","non-dropping-particle":"","parse-names":false,"suffix":""},{"dropping-particle":"","family":"Pyrkosch","given":"Lena","non-dropping-particle":"","parse-names":false,"suffix":""},{"dropping-particle":"","family":"Mascarell Maricic","given":"Lea","non-dropping-particle":"","parse-names":false,"suffix":""},{"dropping-particle":"","family":"Betzler","given":"Felix","non-dropping-particle":"","parse-names":false,"suffix":""},{"dropping-particle":"","family":"Rogoll","given":"Janina","non-dropping-particle":"","parse-names":false,"suffix":""},{"dropping-particle":"","family":"Große","given":"Julia","non-dropping-particle":"","parse-names":false,"suffix":""},{"dropping-particle":"","family":"Ströhle","given":"Andreas","non-dropping-particle":"","parse-names":false,"suffix":""}],"container-title":"Brain and Behavior","id":"ITEM-3","issue":"9","issued":{"date-parts":[["2020"]]},"page":"1-10","title":"Risk, resilience, psychological distress, and anxiety at the beginning of the COVID-19 pandemic in Germany","type":"article-journal","volume":"10"},"uris":["http://www.mendeley.com/documents/?uuid=08fc0e7b-6736-4046-8fab-3350f926b0ba"]}],"mendeley":{"formattedCitation":"(Escamilla-Fajardo et al., 2021; Gulati &amp; Weiler, 2021; Petzold et al., 2020)","plainTextFormattedCitation":"(Escamilla-Fajardo et al., 2021; Gulati &amp; Weiler, 2021; Petzold et al., 2020)","previouslyFormattedCitation":"(Escamilla-Fajardo et al., 2021; Gulati &amp; Weiler, 2021; Petzold et al., 2020)"},"properties":{"noteIndex":0},"schema":"https://github.com/citation-style-language/schema/raw/master/csl-citation.json"}</w:instrText>
      </w:r>
      <w:r w:rsidR="00162C79">
        <w:rPr>
          <w:rFonts w:ascii="Times New Roman" w:hAnsi="Times New Roman" w:cs="Times New Roman"/>
          <w:sz w:val="24"/>
          <w:szCs w:val="24"/>
        </w:rPr>
        <w:fldChar w:fldCharType="separate"/>
      </w:r>
      <w:r w:rsidR="00F16AC4" w:rsidRPr="00F16AC4">
        <w:rPr>
          <w:rFonts w:ascii="Times New Roman" w:hAnsi="Times New Roman" w:cs="Times New Roman"/>
          <w:noProof/>
          <w:sz w:val="24"/>
          <w:szCs w:val="24"/>
        </w:rPr>
        <w:t>(Escamilla-Fajardo et al., 2021; Gulati &amp; Weiler, 2021; Petzold et al., 2020)</w:t>
      </w:r>
      <w:r w:rsidR="00162C79">
        <w:rPr>
          <w:rFonts w:ascii="Times New Roman" w:hAnsi="Times New Roman" w:cs="Times New Roman"/>
          <w:sz w:val="24"/>
          <w:szCs w:val="24"/>
        </w:rPr>
        <w:fldChar w:fldCharType="end"/>
      </w:r>
      <w:r w:rsidR="00F16AC4">
        <w:rPr>
          <w:rFonts w:ascii="Times New Roman" w:hAnsi="Times New Roman" w:cs="Times New Roman"/>
          <w:sz w:val="24"/>
          <w:szCs w:val="24"/>
        </w:rPr>
        <w:t>.</w:t>
      </w:r>
    </w:p>
    <w:p w:rsidR="009B65FE" w:rsidRPr="009B65FE" w:rsidRDefault="009B65FE" w:rsidP="009B65FE">
      <w:pPr>
        <w:autoSpaceDE w:val="0"/>
        <w:autoSpaceDN w:val="0"/>
        <w:adjustRightInd w:val="0"/>
        <w:spacing w:after="0" w:line="360" w:lineRule="auto"/>
        <w:jc w:val="both"/>
        <w:rPr>
          <w:rFonts w:ascii="Times New Roman" w:hAnsi="Times New Roman" w:cs="Times New Roman"/>
          <w:sz w:val="24"/>
          <w:szCs w:val="24"/>
        </w:rPr>
      </w:pPr>
    </w:p>
    <w:p w:rsidR="009B65FE" w:rsidRDefault="009B65FE" w:rsidP="005E43A8">
      <w:pPr>
        <w:spacing w:line="360" w:lineRule="auto"/>
        <w:jc w:val="both"/>
        <w:rPr>
          <w:rFonts w:ascii="Times New Roman" w:hAnsi="Times New Roman" w:cs="Times New Roman"/>
          <w:b/>
          <w:sz w:val="24"/>
          <w:szCs w:val="24"/>
        </w:rPr>
      </w:pPr>
    </w:p>
    <w:p w:rsidR="00F74E8D" w:rsidRPr="008E37E3" w:rsidRDefault="004A48C0" w:rsidP="008E37E3">
      <w:pPr>
        <w:spacing w:line="360" w:lineRule="auto"/>
        <w:ind w:left="-284"/>
        <w:jc w:val="both"/>
        <w:rPr>
          <w:rFonts w:ascii="Times New Roman" w:hAnsi="Times New Roman" w:cs="Times New Roman"/>
          <w:b/>
          <w:sz w:val="28"/>
          <w:szCs w:val="24"/>
        </w:rPr>
      </w:pPr>
      <w:r w:rsidRPr="008E37E3">
        <w:rPr>
          <w:rFonts w:ascii="Times New Roman" w:hAnsi="Times New Roman" w:cs="Times New Roman"/>
          <w:b/>
          <w:sz w:val="28"/>
          <w:szCs w:val="24"/>
        </w:rPr>
        <w:t xml:space="preserve">2. </w:t>
      </w:r>
      <w:r w:rsidR="00246ECA" w:rsidRPr="008E37E3">
        <w:rPr>
          <w:rFonts w:ascii="Times New Roman" w:hAnsi="Times New Roman" w:cs="Times New Roman"/>
          <w:b/>
          <w:sz w:val="28"/>
          <w:szCs w:val="24"/>
        </w:rPr>
        <w:t>RESEARCH METHODOLOGY:</w:t>
      </w:r>
    </w:p>
    <w:p w:rsidR="002C7D08" w:rsidRPr="00B035DF" w:rsidRDefault="004A48C0" w:rsidP="005E43A8">
      <w:pPr>
        <w:spacing w:line="360" w:lineRule="auto"/>
        <w:jc w:val="both"/>
        <w:rPr>
          <w:rFonts w:ascii="Times New Roman" w:hAnsi="Times New Roman" w:cs="Times New Roman"/>
          <w:sz w:val="24"/>
          <w:szCs w:val="24"/>
        </w:rPr>
      </w:pPr>
      <w:r w:rsidRPr="00B035DF">
        <w:rPr>
          <w:rFonts w:ascii="Times New Roman" w:hAnsi="Times New Roman" w:cs="Times New Roman"/>
          <w:sz w:val="24"/>
          <w:szCs w:val="24"/>
        </w:rPr>
        <w:t>A bibliometric analysis is frequently used to determine the quantitative changes in a specific research discipline, as well as to determine the pattern of publications on a specific topic and to determine the publication propensity within that discipline. The findings of such a study provide practical, valuable, and timely information for both professionals and specialists interested in evaluating such scientific effort</w:t>
      </w:r>
      <w:r w:rsidR="00646B1D">
        <w:rPr>
          <w:rFonts w:ascii="Times New Roman" w:hAnsi="Times New Roman" w:cs="Times New Roman"/>
          <w:sz w:val="24"/>
          <w:szCs w:val="24"/>
        </w:rPr>
        <w:t>s</w:t>
      </w:r>
      <w:r w:rsidRPr="00B035DF">
        <w:rPr>
          <w:rFonts w:ascii="Times New Roman" w:hAnsi="Times New Roman" w:cs="Times New Roman"/>
          <w:sz w:val="24"/>
          <w:szCs w:val="24"/>
        </w:rPr>
        <w:t>. Another benefit of bibliometric analysis is that it allows for a quantitative objective study of a given discipline.</w:t>
      </w:r>
    </w:p>
    <w:p w:rsidR="002C7D08" w:rsidRDefault="004A48C0" w:rsidP="002C7D08">
      <w:pPr>
        <w:autoSpaceDE w:val="0"/>
        <w:autoSpaceDN w:val="0"/>
        <w:adjustRightInd w:val="0"/>
        <w:spacing w:after="0" w:line="360" w:lineRule="auto"/>
        <w:jc w:val="both"/>
        <w:rPr>
          <w:rFonts w:ascii="Times New Roman" w:hAnsi="Times New Roman" w:cs="Times New Roman"/>
          <w:sz w:val="24"/>
          <w:szCs w:val="19"/>
        </w:rPr>
      </w:pPr>
      <w:r w:rsidRPr="00B035DF">
        <w:rPr>
          <w:rFonts w:ascii="Times New Roman" w:hAnsi="Times New Roman" w:cs="Times New Roman"/>
          <w:sz w:val="24"/>
          <w:szCs w:val="24"/>
        </w:rPr>
        <w:t>The Scopus database was utili</w:t>
      </w:r>
      <w:r w:rsidR="00646B1D">
        <w:rPr>
          <w:rFonts w:ascii="Times New Roman" w:hAnsi="Times New Roman" w:cs="Times New Roman"/>
          <w:sz w:val="24"/>
          <w:szCs w:val="24"/>
        </w:rPr>
        <w:t>z</w:t>
      </w:r>
      <w:r w:rsidRPr="00B035DF">
        <w:rPr>
          <w:rFonts w:ascii="Times New Roman" w:hAnsi="Times New Roman" w:cs="Times New Roman"/>
          <w:sz w:val="24"/>
          <w:szCs w:val="24"/>
        </w:rPr>
        <w:t xml:space="preserve">ed to find publications about </w:t>
      </w:r>
      <w:r w:rsidR="00886A55">
        <w:rPr>
          <w:rFonts w:ascii="Times New Roman" w:hAnsi="Times New Roman" w:cs="Times New Roman"/>
          <w:sz w:val="24"/>
          <w:szCs w:val="24"/>
        </w:rPr>
        <w:t>“</w:t>
      </w:r>
      <w:r w:rsidRPr="00B035DF">
        <w:rPr>
          <w:rFonts w:ascii="Times New Roman" w:hAnsi="Times New Roman" w:cs="Times New Roman"/>
          <w:sz w:val="24"/>
          <w:szCs w:val="24"/>
        </w:rPr>
        <w:t>entrepreneurial competenc</w:t>
      </w:r>
      <w:r w:rsidR="00646B1D">
        <w:rPr>
          <w:rFonts w:ascii="Times New Roman" w:hAnsi="Times New Roman" w:cs="Times New Roman"/>
          <w:sz w:val="24"/>
          <w:szCs w:val="24"/>
        </w:rPr>
        <w:t>i</w:t>
      </w:r>
      <w:r w:rsidRPr="00B035DF">
        <w:rPr>
          <w:rFonts w:ascii="Times New Roman" w:hAnsi="Times New Roman" w:cs="Times New Roman"/>
          <w:sz w:val="24"/>
          <w:szCs w:val="24"/>
        </w:rPr>
        <w:t>es</w:t>
      </w:r>
      <w:r w:rsidR="00886A55">
        <w:rPr>
          <w:rFonts w:ascii="Times New Roman" w:hAnsi="Times New Roman" w:cs="Times New Roman"/>
          <w:sz w:val="24"/>
          <w:szCs w:val="24"/>
        </w:rPr>
        <w:t>” and “risk resilience”</w:t>
      </w:r>
      <w:r w:rsidRPr="00B035DF">
        <w:rPr>
          <w:rFonts w:ascii="Times New Roman" w:hAnsi="Times New Roman" w:cs="Times New Roman"/>
          <w:sz w:val="24"/>
          <w:szCs w:val="24"/>
        </w:rPr>
        <w:t xml:space="preserve"> that were published between 2000 and 2021. This database was chosen because it has a larger number of high-quality journals. </w:t>
      </w:r>
      <w:r w:rsidRPr="002C7D08">
        <w:rPr>
          <w:rFonts w:ascii="Times New Roman" w:hAnsi="Times New Roman" w:cs="Times New Roman"/>
          <w:sz w:val="24"/>
          <w:szCs w:val="19"/>
        </w:rPr>
        <w:t xml:space="preserve">The search filter was applied to find only such </w:t>
      </w:r>
      <w:r w:rsidR="00B84FB1">
        <w:rPr>
          <w:rFonts w:ascii="Times New Roman" w:hAnsi="Times New Roman" w:cs="Times New Roman"/>
          <w:sz w:val="24"/>
          <w:szCs w:val="19"/>
        </w:rPr>
        <w:t>studies</w:t>
      </w:r>
      <w:r w:rsidRPr="002C7D08">
        <w:rPr>
          <w:rFonts w:ascii="Times New Roman" w:hAnsi="Times New Roman" w:cs="Times New Roman"/>
          <w:sz w:val="24"/>
          <w:szCs w:val="19"/>
        </w:rPr>
        <w:t xml:space="preserve"> whichcontained the words “entrepreneurial intentions” </w:t>
      </w:r>
      <w:r>
        <w:rPr>
          <w:rFonts w:ascii="Times New Roman" w:hAnsi="Times New Roman" w:cs="Times New Roman"/>
          <w:sz w:val="24"/>
          <w:szCs w:val="19"/>
        </w:rPr>
        <w:t xml:space="preserve">and “risk-resilience” separately </w:t>
      </w:r>
      <w:r w:rsidRPr="002C7D08">
        <w:rPr>
          <w:rFonts w:ascii="Times New Roman" w:hAnsi="Times New Roman" w:cs="Times New Roman"/>
          <w:sz w:val="24"/>
          <w:szCs w:val="19"/>
        </w:rPr>
        <w:t>in either their title or abstract or keywords.</w:t>
      </w:r>
    </w:p>
    <w:p w:rsidR="009B65FE" w:rsidRDefault="009B65FE" w:rsidP="002C7D08">
      <w:pPr>
        <w:autoSpaceDE w:val="0"/>
        <w:autoSpaceDN w:val="0"/>
        <w:adjustRightInd w:val="0"/>
        <w:spacing w:after="0" w:line="360" w:lineRule="auto"/>
        <w:jc w:val="both"/>
        <w:rPr>
          <w:rFonts w:ascii="Times New Roman" w:hAnsi="Times New Roman" w:cs="Times New Roman"/>
          <w:sz w:val="24"/>
          <w:szCs w:val="19"/>
        </w:rPr>
      </w:pPr>
    </w:p>
    <w:p w:rsidR="002A6046" w:rsidRDefault="004A48C0" w:rsidP="009B65FE">
      <w:pPr>
        <w:autoSpaceDE w:val="0"/>
        <w:autoSpaceDN w:val="0"/>
        <w:adjustRightInd w:val="0"/>
        <w:spacing w:after="0" w:line="360" w:lineRule="auto"/>
        <w:jc w:val="center"/>
        <w:rPr>
          <w:rFonts w:ascii="Times New Roman" w:hAnsi="Times New Roman" w:cs="Times New Roman"/>
          <w:sz w:val="24"/>
          <w:szCs w:val="19"/>
        </w:rPr>
      </w:pPr>
      <w:r w:rsidRPr="00491ABF">
        <w:rPr>
          <w:rFonts w:ascii="Times New Roman" w:hAnsi="Times New Roman" w:cs="Times New Roman"/>
          <w:sz w:val="24"/>
          <w:szCs w:val="19"/>
        </w:rPr>
        <w:t>Figure 1: Research Methodology</w:t>
      </w:r>
    </w:p>
    <w:p w:rsidR="002A6046" w:rsidRDefault="004A48C0" w:rsidP="002C7D08">
      <w:pPr>
        <w:autoSpaceDE w:val="0"/>
        <w:autoSpaceDN w:val="0"/>
        <w:adjustRightInd w:val="0"/>
        <w:spacing w:after="0" w:line="360" w:lineRule="auto"/>
        <w:jc w:val="both"/>
        <w:rPr>
          <w:rFonts w:ascii="Times New Roman" w:hAnsi="Times New Roman" w:cs="Times New Roman"/>
          <w:sz w:val="24"/>
          <w:szCs w:val="19"/>
        </w:rPr>
      </w:pPr>
      <w:r>
        <w:rPr>
          <w:rFonts w:ascii="Times New Roman" w:hAnsi="Times New Roman" w:cs="Times New Roman"/>
          <w:noProof/>
          <w:sz w:val="24"/>
          <w:szCs w:val="19"/>
        </w:rPr>
        <w:drawing>
          <wp:inline distT="0" distB="0" distL="0" distR="0">
            <wp:extent cx="5731510" cy="4339684"/>
            <wp:effectExtent l="19050" t="0" r="2540" b="0"/>
            <wp:docPr id="14" name="Picture 2" descr="C:\Users\SAMSUNG\Pictures\Screenshots\Screenshot (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C:\Users\SAMSUNG\Pictures\Screenshots\Screenshot (299).png"/>
                    <pic:cNvPicPr>
                      <a:picLocks noChangeAspect="1" noChangeArrowheads="1"/>
                    </pic:cNvPicPr>
                  </pic:nvPicPr>
                  <pic:blipFill>
                    <a:blip r:embed="rId6"/>
                    <a:stretch>
                      <a:fillRect/>
                    </a:stretch>
                  </pic:blipFill>
                  <pic:spPr bwMode="auto">
                    <a:xfrm>
                      <a:off x="0" y="0"/>
                      <a:ext cx="5731510" cy="4339684"/>
                    </a:xfrm>
                    <a:prstGeom prst="rect">
                      <a:avLst/>
                    </a:prstGeom>
                    <a:noFill/>
                    <a:ln w="9525">
                      <a:noFill/>
                      <a:miter lim="800000"/>
                      <a:headEnd/>
                      <a:tailEnd/>
                    </a:ln>
                  </pic:spPr>
                </pic:pic>
              </a:graphicData>
            </a:graphic>
          </wp:inline>
        </w:drawing>
      </w:r>
    </w:p>
    <w:p w:rsidR="009B65FE" w:rsidRPr="009B65FE" w:rsidRDefault="004A48C0" w:rsidP="009B65FE">
      <w:pPr>
        <w:autoSpaceDE w:val="0"/>
        <w:autoSpaceDN w:val="0"/>
        <w:adjustRightInd w:val="0"/>
        <w:spacing w:after="0" w:line="360" w:lineRule="auto"/>
        <w:jc w:val="center"/>
        <w:rPr>
          <w:rFonts w:ascii="Times New Roman" w:hAnsi="Times New Roman" w:cs="Times New Roman"/>
          <w:i/>
          <w:sz w:val="24"/>
          <w:szCs w:val="19"/>
        </w:rPr>
      </w:pPr>
      <w:r>
        <w:rPr>
          <w:rFonts w:ascii="Times New Roman" w:hAnsi="Times New Roman" w:cs="Times New Roman"/>
          <w:i/>
          <w:sz w:val="24"/>
          <w:szCs w:val="19"/>
        </w:rPr>
        <w:lastRenderedPageBreak/>
        <w:t>(</w:t>
      </w:r>
      <w:r w:rsidRPr="009B65FE">
        <w:rPr>
          <w:rFonts w:ascii="Times New Roman" w:hAnsi="Times New Roman" w:cs="Times New Roman"/>
          <w:i/>
          <w:sz w:val="24"/>
          <w:szCs w:val="19"/>
        </w:rPr>
        <w:t>Source: Author’s creation</w:t>
      </w:r>
      <w:r>
        <w:rPr>
          <w:rFonts w:ascii="Times New Roman" w:hAnsi="Times New Roman" w:cs="Times New Roman"/>
          <w:i/>
          <w:sz w:val="24"/>
          <w:szCs w:val="19"/>
        </w:rPr>
        <w:t>)</w:t>
      </w:r>
    </w:p>
    <w:p w:rsidR="002C7D08" w:rsidRPr="00491ABF" w:rsidRDefault="004A48C0" w:rsidP="00246ECA">
      <w:pPr>
        <w:autoSpaceDE w:val="0"/>
        <w:autoSpaceDN w:val="0"/>
        <w:adjustRightInd w:val="0"/>
        <w:spacing w:after="0" w:line="360" w:lineRule="auto"/>
        <w:jc w:val="both"/>
        <w:rPr>
          <w:rFonts w:ascii="Times New Roman" w:hAnsi="Times New Roman" w:cs="Times New Roman"/>
          <w:sz w:val="24"/>
          <w:szCs w:val="19"/>
        </w:rPr>
      </w:pPr>
      <w:r w:rsidRPr="00491ABF">
        <w:rPr>
          <w:rFonts w:ascii="Times New Roman" w:hAnsi="Times New Roman" w:cs="Times New Roman"/>
          <w:sz w:val="24"/>
          <w:szCs w:val="19"/>
        </w:rPr>
        <w:t>For the Entrepreneurial competencies</w:t>
      </w:r>
      <w:r w:rsidR="00B84FB1" w:rsidRPr="00491ABF">
        <w:rPr>
          <w:rFonts w:ascii="Times New Roman" w:hAnsi="Times New Roman" w:cs="Times New Roman"/>
          <w:sz w:val="24"/>
          <w:szCs w:val="19"/>
        </w:rPr>
        <w:t>,</w:t>
      </w:r>
      <w:r w:rsidRPr="00491ABF">
        <w:rPr>
          <w:rFonts w:ascii="Times New Roman" w:hAnsi="Times New Roman" w:cs="Times New Roman"/>
          <w:sz w:val="24"/>
          <w:szCs w:val="24"/>
        </w:rPr>
        <w:t>the search reflected a total of 443 studies. To confirm whether the studies in thesearch results were genuinely related to the intended topic or not, the title, abstract</w:t>
      </w:r>
      <w:r w:rsidR="00B84FB1" w:rsidRPr="00491ABF">
        <w:rPr>
          <w:rFonts w:ascii="Times New Roman" w:hAnsi="Times New Roman" w:cs="Times New Roman"/>
          <w:sz w:val="24"/>
          <w:szCs w:val="24"/>
        </w:rPr>
        <w:t>,</w:t>
      </w:r>
      <w:r w:rsidRPr="00491ABF">
        <w:rPr>
          <w:rFonts w:ascii="Times New Roman" w:hAnsi="Times New Roman" w:cs="Times New Roman"/>
          <w:sz w:val="24"/>
          <w:szCs w:val="24"/>
        </w:rPr>
        <w:t xml:space="preserve"> andkeywords of each paper, were manually read by the author. Consequently, it was found that</w:t>
      </w:r>
      <w:r w:rsidR="000B55D2" w:rsidRPr="00491ABF">
        <w:rPr>
          <w:rFonts w:ascii="Times New Roman" w:hAnsi="Times New Roman" w:cs="Times New Roman"/>
          <w:sz w:val="24"/>
          <w:szCs w:val="24"/>
        </w:rPr>
        <w:t xml:space="preserve">out of the 443 studies, one study was done before </w:t>
      </w:r>
      <w:r w:rsidR="00B84FB1" w:rsidRPr="00491ABF">
        <w:rPr>
          <w:rFonts w:ascii="Times New Roman" w:hAnsi="Times New Roman" w:cs="Times New Roman"/>
          <w:sz w:val="24"/>
          <w:szCs w:val="24"/>
        </w:rPr>
        <w:t xml:space="preserve">the </w:t>
      </w:r>
      <w:r w:rsidR="000B55D2" w:rsidRPr="00491ABF">
        <w:rPr>
          <w:rFonts w:ascii="Times New Roman" w:hAnsi="Times New Roman" w:cs="Times New Roman"/>
          <w:sz w:val="24"/>
          <w:szCs w:val="24"/>
        </w:rPr>
        <w:t>year 2000</w:t>
      </w:r>
      <w:r w:rsidR="00B84FB1" w:rsidRPr="00491ABF">
        <w:rPr>
          <w:rFonts w:ascii="Times New Roman" w:hAnsi="Times New Roman" w:cs="Times New Roman"/>
          <w:sz w:val="24"/>
          <w:szCs w:val="24"/>
        </w:rPr>
        <w:t>,</w:t>
      </w:r>
      <w:r w:rsidR="000B55D2" w:rsidRPr="00491ABF">
        <w:rPr>
          <w:rFonts w:ascii="Times New Roman" w:hAnsi="Times New Roman" w:cs="Times New Roman"/>
          <w:sz w:val="24"/>
          <w:szCs w:val="24"/>
        </w:rPr>
        <w:t xml:space="preserve"> and hence it was not considered. </w:t>
      </w:r>
      <w:r w:rsidR="001E2695" w:rsidRPr="00491ABF">
        <w:rPr>
          <w:rFonts w:ascii="Times New Roman" w:hAnsi="Times New Roman" w:cs="Times New Roman"/>
          <w:sz w:val="24"/>
          <w:szCs w:val="24"/>
        </w:rPr>
        <w:t xml:space="preserve">Furthermore, 353 studies were found out of which seven studies were done before </w:t>
      </w:r>
      <w:r w:rsidR="00B84FB1" w:rsidRPr="00491ABF">
        <w:rPr>
          <w:rFonts w:ascii="Times New Roman" w:hAnsi="Times New Roman" w:cs="Times New Roman"/>
          <w:sz w:val="24"/>
          <w:szCs w:val="24"/>
        </w:rPr>
        <w:t xml:space="preserve">the </w:t>
      </w:r>
      <w:r w:rsidR="001E2695" w:rsidRPr="00491ABF">
        <w:rPr>
          <w:rFonts w:ascii="Times New Roman" w:hAnsi="Times New Roman" w:cs="Times New Roman"/>
          <w:sz w:val="24"/>
          <w:szCs w:val="24"/>
        </w:rPr>
        <w:t>year 2000 and thus they were not considered.</w:t>
      </w:r>
    </w:p>
    <w:p w:rsidR="006541C3" w:rsidRDefault="004A48C0" w:rsidP="001C1741">
      <w:pPr>
        <w:autoSpaceDE w:val="0"/>
        <w:autoSpaceDN w:val="0"/>
        <w:adjustRightInd w:val="0"/>
        <w:spacing w:after="0" w:line="360" w:lineRule="auto"/>
        <w:jc w:val="both"/>
        <w:rPr>
          <w:rFonts w:ascii="Times New Roman" w:hAnsi="Times New Roman" w:cs="Times New Roman"/>
          <w:sz w:val="24"/>
          <w:szCs w:val="24"/>
        </w:rPr>
      </w:pPr>
      <w:r w:rsidRPr="00491ABF">
        <w:rPr>
          <w:rFonts w:ascii="Times New Roman" w:hAnsi="Times New Roman" w:cs="Times New Roman"/>
          <w:sz w:val="24"/>
          <w:szCs w:val="24"/>
        </w:rPr>
        <w:t xml:space="preserve">The title, abstract, and keywords of each paper were personally read by the author to validate if the </w:t>
      </w:r>
      <w:r w:rsidR="00B84FB1" w:rsidRPr="00491ABF">
        <w:rPr>
          <w:rFonts w:ascii="Times New Roman" w:hAnsi="Times New Roman" w:cs="Times New Roman"/>
          <w:sz w:val="24"/>
          <w:szCs w:val="24"/>
        </w:rPr>
        <w:t>studies</w:t>
      </w:r>
      <w:r w:rsidRPr="00491ABF">
        <w:rPr>
          <w:rFonts w:ascii="Times New Roman" w:hAnsi="Times New Roman" w:cs="Times New Roman"/>
          <w:sz w:val="24"/>
          <w:szCs w:val="24"/>
        </w:rPr>
        <w:t xml:space="preserve"> in the search results were related to the desired topic or not. Further</w:t>
      </w:r>
      <w:r w:rsidR="001C1741" w:rsidRPr="00491ABF">
        <w:rPr>
          <w:rFonts w:ascii="Times New Roman" w:hAnsi="Times New Roman" w:cs="Times New Roman"/>
          <w:sz w:val="24"/>
          <w:szCs w:val="24"/>
        </w:rPr>
        <w:t>more</w:t>
      </w:r>
      <w:r w:rsidRPr="00491ABF">
        <w:rPr>
          <w:rFonts w:ascii="Times New Roman" w:hAnsi="Times New Roman" w:cs="Times New Roman"/>
          <w:sz w:val="24"/>
          <w:szCs w:val="24"/>
        </w:rPr>
        <w:t xml:space="preserve">, a classification of these </w:t>
      </w:r>
      <w:r w:rsidR="00B84FB1" w:rsidRPr="00491ABF">
        <w:rPr>
          <w:rFonts w:ascii="Times New Roman" w:hAnsi="Times New Roman" w:cs="Times New Roman"/>
          <w:sz w:val="24"/>
          <w:szCs w:val="24"/>
        </w:rPr>
        <w:t>studies</w:t>
      </w:r>
      <w:r w:rsidR="001C1741" w:rsidRPr="00491ABF">
        <w:rPr>
          <w:rFonts w:ascii="Times New Roman" w:hAnsi="Times New Roman" w:cs="Times New Roman"/>
          <w:sz w:val="24"/>
          <w:szCs w:val="24"/>
        </w:rPr>
        <w:t xml:space="preserve"> is provided </w:t>
      </w:r>
      <w:r w:rsidR="00646B1D" w:rsidRPr="00491ABF">
        <w:rPr>
          <w:rFonts w:ascii="Times New Roman" w:hAnsi="Times New Roman" w:cs="Times New Roman"/>
          <w:sz w:val="24"/>
          <w:szCs w:val="24"/>
        </w:rPr>
        <w:t>based on</w:t>
      </w:r>
      <w:r w:rsidR="001C1741" w:rsidRPr="00491ABF">
        <w:rPr>
          <w:rFonts w:ascii="Times New Roman" w:hAnsi="Times New Roman" w:cs="Times New Roman"/>
          <w:sz w:val="24"/>
          <w:szCs w:val="24"/>
        </w:rPr>
        <w:t xml:space="preserve"> the Subject area, </w:t>
      </w:r>
      <w:r w:rsidRPr="00491ABF">
        <w:rPr>
          <w:rFonts w:ascii="Times New Roman" w:hAnsi="Times New Roman" w:cs="Times New Roman"/>
          <w:sz w:val="24"/>
          <w:szCs w:val="24"/>
        </w:rPr>
        <w:t>jou</w:t>
      </w:r>
      <w:r w:rsidR="001C1741" w:rsidRPr="00491ABF">
        <w:rPr>
          <w:rFonts w:ascii="Times New Roman" w:hAnsi="Times New Roman" w:cs="Times New Roman"/>
          <w:sz w:val="24"/>
          <w:szCs w:val="24"/>
        </w:rPr>
        <w:t>rnals with maximum publications, year</w:t>
      </w:r>
      <w:r w:rsidR="00646B1D" w:rsidRPr="00491ABF">
        <w:rPr>
          <w:rFonts w:ascii="Times New Roman" w:hAnsi="Times New Roman" w:cs="Times New Roman"/>
          <w:sz w:val="24"/>
          <w:szCs w:val="24"/>
        </w:rPr>
        <w:t>-</w:t>
      </w:r>
      <w:r w:rsidR="001C1741" w:rsidRPr="00491ABF">
        <w:rPr>
          <w:rFonts w:ascii="Times New Roman" w:hAnsi="Times New Roman" w:cs="Times New Roman"/>
          <w:sz w:val="24"/>
          <w:szCs w:val="24"/>
        </w:rPr>
        <w:t xml:space="preserve">wise publication, most cited </w:t>
      </w:r>
      <w:r w:rsidR="00B84FB1" w:rsidRPr="00491ABF">
        <w:rPr>
          <w:rFonts w:ascii="Times New Roman" w:hAnsi="Times New Roman" w:cs="Times New Roman"/>
          <w:sz w:val="24"/>
          <w:szCs w:val="24"/>
        </w:rPr>
        <w:t>studies</w:t>
      </w:r>
      <w:r w:rsidR="001C1741" w:rsidRPr="00491ABF">
        <w:rPr>
          <w:rFonts w:ascii="Times New Roman" w:hAnsi="Times New Roman" w:cs="Times New Roman"/>
          <w:sz w:val="24"/>
          <w:szCs w:val="24"/>
        </w:rPr>
        <w:t xml:space="preserve">, most prolific authors, </w:t>
      </w:r>
      <w:r w:rsidR="00F16AC4" w:rsidRPr="00491ABF">
        <w:rPr>
          <w:rFonts w:ascii="Times New Roman" w:hAnsi="Times New Roman" w:cs="Times New Roman"/>
          <w:sz w:val="24"/>
          <w:szCs w:val="24"/>
        </w:rPr>
        <w:t>and most</w:t>
      </w:r>
      <w:r w:rsidRPr="00491ABF">
        <w:rPr>
          <w:rFonts w:ascii="Times New Roman" w:hAnsi="Times New Roman" w:cs="Times New Roman"/>
          <w:sz w:val="24"/>
          <w:szCs w:val="24"/>
        </w:rPr>
        <w:t xml:space="preserve"> prol</w:t>
      </w:r>
      <w:r w:rsidR="001C1741" w:rsidRPr="00491ABF">
        <w:rPr>
          <w:rFonts w:ascii="Times New Roman" w:hAnsi="Times New Roman" w:cs="Times New Roman"/>
          <w:sz w:val="24"/>
          <w:szCs w:val="24"/>
        </w:rPr>
        <w:t>ific countries</w:t>
      </w:r>
      <w:r w:rsidR="00EA75C6" w:rsidRPr="00491ABF">
        <w:rPr>
          <w:rFonts w:ascii="Times New Roman" w:hAnsi="Times New Roman" w:cs="Times New Roman"/>
          <w:sz w:val="24"/>
          <w:szCs w:val="24"/>
        </w:rPr>
        <w:t>.</w:t>
      </w:r>
    </w:p>
    <w:p w:rsidR="00EA75C6" w:rsidRDefault="00EA75C6" w:rsidP="001C1741">
      <w:pPr>
        <w:autoSpaceDE w:val="0"/>
        <w:autoSpaceDN w:val="0"/>
        <w:adjustRightInd w:val="0"/>
        <w:spacing w:after="0" w:line="360" w:lineRule="auto"/>
        <w:jc w:val="both"/>
        <w:rPr>
          <w:rFonts w:ascii="Times New Roman" w:hAnsi="Times New Roman" w:cs="Times New Roman"/>
          <w:sz w:val="24"/>
          <w:szCs w:val="24"/>
        </w:rPr>
      </w:pPr>
    </w:p>
    <w:p w:rsidR="00F74E8D" w:rsidRPr="008E37E3" w:rsidRDefault="004A48C0" w:rsidP="008E37E3">
      <w:pPr>
        <w:spacing w:line="360" w:lineRule="auto"/>
        <w:ind w:left="-284"/>
        <w:jc w:val="both"/>
        <w:rPr>
          <w:rFonts w:ascii="Times New Roman" w:hAnsi="Times New Roman" w:cs="Times New Roman"/>
          <w:b/>
          <w:sz w:val="28"/>
          <w:szCs w:val="24"/>
        </w:rPr>
      </w:pPr>
      <w:r w:rsidRPr="008E37E3">
        <w:rPr>
          <w:rFonts w:ascii="Times New Roman" w:hAnsi="Times New Roman" w:cs="Times New Roman"/>
          <w:b/>
          <w:sz w:val="28"/>
          <w:szCs w:val="24"/>
        </w:rPr>
        <w:t xml:space="preserve">3. </w:t>
      </w:r>
      <w:r w:rsidR="00246ECA" w:rsidRPr="008E37E3">
        <w:rPr>
          <w:rFonts w:ascii="Times New Roman" w:hAnsi="Times New Roman" w:cs="Times New Roman"/>
          <w:b/>
          <w:sz w:val="28"/>
          <w:szCs w:val="24"/>
        </w:rPr>
        <w:t>RESULTS AND FINDING</w:t>
      </w:r>
      <w:r w:rsidR="00646B1D" w:rsidRPr="008E37E3">
        <w:rPr>
          <w:rFonts w:ascii="Times New Roman" w:hAnsi="Times New Roman" w:cs="Times New Roman"/>
          <w:b/>
          <w:sz w:val="28"/>
          <w:szCs w:val="24"/>
        </w:rPr>
        <w:t>S</w:t>
      </w:r>
      <w:r w:rsidR="00246ECA" w:rsidRPr="008E37E3">
        <w:rPr>
          <w:rFonts w:ascii="Times New Roman" w:hAnsi="Times New Roman" w:cs="Times New Roman"/>
          <w:b/>
          <w:sz w:val="28"/>
          <w:szCs w:val="24"/>
        </w:rPr>
        <w:t>:</w:t>
      </w:r>
    </w:p>
    <w:p w:rsidR="00EE56F7" w:rsidRPr="00B035DF" w:rsidRDefault="004A48C0" w:rsidP="005E43A8">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3.1 </w:t>
      </w:r>
      <w:r w:rsidRPr="00B035DF">
        <w:rPr>
          <w:rFonts w:ascii="Times New Roman" w:hAnsi="Times New Roman" w:cs="Times New Roman"/>
          <w:b/>
          <w:sz w:val="24"/>
          <w:szCs w:val="24"/>
        </w:rPr>
        <w:t>SUBJECT AREA:</w:t>
      </w:r>
    </w:p>
    <w:p w:rsidR="00EE56F7" w:rsidRDefault="004A48C0" w:rsidP="005E43A8">
      <w:pPr>
        <w:spacing w:line="360" w:lineRule="auto"/>
        <w:jc w:val="both"/>
        <w:rPr>
          <w:rFonts w:ascii="Times New Roman" w:hAnsi="Times New Roman" w:cs="Times New Roman"/>
          <w:sz w:val="24"/>
          <w:szCs w:val="24"/>
        </w:rPr>
      </w:pPr>
      <w:r w:rsidRPr="00B035DF">
        <w:rPr>
          <w:rFonts w:ascii="Times New Roman" w:hAnsi="Times New Roman" w:cs="Times New Roman"/>
          <w:sz w:val="24"/>
          <w:szCs w:val="24"/>
        </w:rPr>
        <w:t xml:space="preserve">It has been observed that maximum </w:t>
      </w:r>
      <w:r w:rsidR="00BB4591">
        <w:rPr>
          <w:rFonts w:ascii="Times New Roman" w:hAnsi="Times New Roman" w:cs="Times New Roman"/>
          <w:sz w:val="24"/>
          <w:szCs w:val="24"/>
        </w:rPr>
        <w:t>studies</w:t>
      </w:r>
      <w:r w:rsidRPr="00B035DF">
        <w:rPr>
          <w:rFonts w:ascii="Times New Roman" w:hAnsi="Times New Roman" w:cs="Times New Roman"/>
          <w:sz w:val="24"/>
          <w:szCs w:val="24"/>
        </w:rPr>
        <w:t xml:space="preserve"> are written in the subject area of Management and Accounting. Furthermore, subject area such as Economics and Social science also has 113 and 78 </w:t>
      </w:r>
      <w:r w:rsidR="00B84FB1">
        <w:rPr>
          <w:rFonts w:ascii="Times New Roman" w:hAnsi="Times New Roman" w:cs="Times New Roman"/>
          <w:sz w:val="24"/>
          <w:szCs w:val="24"/>
        </w:rPr>
        <w:t>studies</w:t>
      </w:r>
      <w:r w:rsidRPr="00B035DF">
        <w:rPr>
          <w:rFonts w:ascii="Times New Roman" w:hAnsi="Times New Roman" w:cs="Times New Roman"/>
          <w:sz w:val="24"/>
          <w:szCs w:val="24"/>
        </w:rPr>
        <w:t xml:space="preserve"> respectively. There are 30 </w:t>
      </w:r>
      <w:r w:rsidR="00B84FB1">
        <w:rPr>
          <w:rFonts w:ascii="Times New Roman" w:hAnsi="Times New Roman" w:cs="Times New Roman"/>
          <w:sz w:val="24"/>
          <w:szCs w:val="24"/>
        </w:rPr>
        <w:t>studies</w:t>
      </w:r>
      <w:r w:rsidRPr="00B035DF">
        <w:rPr>
          <w:rFonts w:ascii="Times New Roman" w:hAnsi="Times New Roman" w:cs="Times New Roman"/>
          <w:sz w:val="24"/>
          <w:szCs w:val="24"/>
        </w:rPr>
        <w:t xml:space="preserve"> in Decision science and 10 in Engineering.</w:t>
      </w:r>
    </w:p>
    <w:p w:rsidR="001E2695" w:rsidRPr="00B035DF" w:rsidRDefault="004A48C0" w:rsidP="001E2695">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2: Subject Area</w:t>
      </w:r>
    </w:p>
    <w:p w:rsidR="00EE56F7" w:rsidRDefault="004A48C0" w:rsidP="005E43A8">
      <w:pPr>
        <w:spacing w:line="360" w:lineRule="auto"/>
        <w:jc w:val="both"/>
        <w:rPr>
          <w:rFonts w:ascii="Times New Roman" w:hAnsi="Times New Roman" w:cs="Times New Roman"/>
          <w:sz w:val="24"/>
          <w:szCs w:val="24"/>
        </w:rPr>
      </w:pPr>
      <w:r w:rsidRPr="00B035DF">
        <w:rPr>
          <w:rFonts w:ascii="Times New Roman" w:hAnsi="Times New Roman" w:cs="Times New Roman"/>
          <w:noProof/>
          <w:sz w:val="24"/>
          <w:szCs w:val="24"/>
        </w:rPr>
        <w:drawing>
          <wp:inline distT="0" distB="0" distL="0" distR="0">
            <wp:extent cx="5579110" cy="3114675"/>
            <wp:effectExtent l="19050" t="0" r="2159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203B7D" w:rsidRPr="00046421" w:rsidRDefault="004A48C0" w:rsidP="00046421">
      <w:pPr>
        <w:spacing w:line="360" w:lineRule="auto"/>
        <w:jc w:val="center"/>
        <w:rPr>
          <w:rFonts w:ascii="Times New Roman" w:hAnsi="Times New Roman" w:cs="Times New Roman"/>
          <w:i/>
          <w:sz w:val="24"/>
          <w:szCs w:val="24"/>
        </w:rPr>
      </w:pPr>
      <w:r w:rsidRPr="00046421">
        <w:rPr>
          <w:rFonts w:ascii="Times New Roman" w:hAnsi="Times New Roman" w:cs="Times New Roman"/>
          <w:i/>
          <w:sz w:val="24"/>
          <w:szCs w:val="24"/>
        </w:rPr>
        <w:lastRenderedPageBreak/>
        <w:t>(Source: Scopus Data Base)</w:t>
      </w:r>
    </w:p>
    <w:p w:rsidR="00965E9A" w:rsidRPr="00B035DF" w:rsidRDefault="004A48C0" w:rsidP="005E43A8">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3.2 </w:t>
      </w:r>
      <w:r w:rsidR="00246ECA" w:rsidRPr="00B035DF">
        <w:rPr>
          <w:rFonts w:ascii="Times New Roman" w:hAnsi="Times New Roman" w:cs="Times New Roman"/>
          <w:b/>
          <w:sz w:val="24"/>
          <w:szCs w:val="24"/>
        </w:rPr>
        <w:t>JOURNALS WITH MAXIMUM PUBLICATIONS:</w:t>
      </w:r>
    </w:p>
    <w:p w:rsidR="00046421" w:rsidRDefault="004A48C0" w:rsidP="00246ECA">
      <w:pPr>
        <w:spacing w:line="360" w:lineRule="auto"/>
        <w:jc w:val="both"/>
        <w:rPr>
          <w:rFonts w:ascii="Times New Roman" w:hAnsi="Times New Roman" w:cs="Times New Roman"/>
          <w:sz w:val="24"/>
          <w:szCs w:val="24"/>
        </w:rPr>
      </w:pPr>
      <w:r w:rsidRPr="00B035DF">
        <w:rPr>
          <w:rFonts w:ascii="Times New Roman" w:hAnsi="Times New Roman" w:cs="Times New Roman"/>
          <w:sz w:val="24"/>
          <w:szCs w:val="24"/>
        </w:rPr>
        <w:t>All the 437</w:t>
      </w:r>
      <w:r w:rsidR="00B84FB1">
        <w:rPr>
          <w:rFonts w:ascii="Times New Roman" w:hAnsi="Times New Roman" w:cs="Times New Roman"/>
          <w:sz w:val="24"/>
          <w:szCs w:val="24"/>
        </w:rPr>
        <w:t>studies</w:t>
      </w:r>
      <w:r w:rsidR="00965E9A" w:rsidRPr="00B035DF">
        <w:rPr>
          <w:rFonts w:ascii="Times New Roman" w:hAnsi="Times New Roman" w:cs="Times New Roman"/>
          <w:sz w:val="24"/>
          <w:szCs w:val="24"/>
        </w:rPr>
        <w:t xml:space="preserve"> in this stud</w:t>
      </w:r>
      <w:r w:rsidRPr="00B035DF">
        <w:rPr>
          <w:rFonts w:ascii="Times New Roman" w:hAnsi="Times New Roman" w:cs="Times New Roman"/>
          <w:sz w:val="24"/>
          <w:szCs w:val="24"/>
        </w:rPr>
        <w:t>y belong to their respective 135</w:t>
      </w:r>
      <w:r w:rsidR="00965E9A" w:rsidRPr="00B035DF">
        <w:rPr>
          <w:rFonts w:ascii="Times New Roman" w:hAnsi="Times New Roman" w:cs="Times New Roman"/>
          <w:sz w:val="24"/>
          <w:szCs w:val="24"/>
        </w:rPr>
        <w:t xml:space="preserve"> journals. The below</w:t>
      </w:r>
      <w:r w:rsidR="00646B1D">
        <w:rPr>
          <w:rFonts w:ascii="Times New Roman" w:hAnsi="Times New Roman" w:cs="Times New Roman"/>
          <w:sz w:val="24"/>
          <w:szCs w:val="24"/>
        </w:rPr>
        <w:t>-</w:t>
      </w:r>
      <w:r w:rsidR="00965E9A" w:rsidRPr="00B035DF">
        <w:rPr>
          <w:rFonts w:ascii="Times New Roman" w:hAnsi="Times New Roman" w:cs="Times New Roman"/>
          <w:sz w:val="24"/>
          <w:szCs w:val="24"/>
        </w:rPr>
        <w:t xml:space="preserve">mentioned table shows the top twenty journals, which published the maximum number of </w:t>
      </w:r>
      <w:r w:rsidR="00B84FB1">
        <w:rPr>
          <w:rFonts w:ascii="Times New Roman" w:hAnsi="Times New Roman" w:cs="Times New Roman"/>
          <w:sz w:val="24"/>
          <w:szCs w:val="24"/>
        </w:rPr>
        <w:t>studies</w:t>
      </w:r>
      <w:r w:rsidR="00965E9A" w:rsidRPr="00B035DF">
        <w:rPr>
          <w:rFonts w:ascii="Times New Roman" w:hAnsi="Times New Roman" w:cs="Times New Roman"/>
          <w:sz w:val="24"/>
          <w:szCs w:val="24"/>
        </w:rPr>
        <w:t xml:space="preserve"> on Entrepreneurial Competencies. </w:t>
      </w:r>
      <w:r w:rsidRPr="00B035DF">
        <w:rPr>
          <w:rFonts w:ascii="Times New Roman" w:hAnsi="Times New Roman" w:cs="Times New Roman"/>
          <w:sz w:val="24"/>
          <w:szCs w:val="24"/>
        </w:rPr>
        <w:t xml:space="preserve">The highest </w:t>
      </w:r>
      <w:r w:rsidR="00B84FB1">
        <w:rPr>
          <w:rFonts w:ascii="Times New Roman" w:hAnsi="Times New Roman" w:cs="Times New Roman"/>
          <w:sz w:val="24"/>
          <w:szCs w:val="24"/>
        </w:rPr>
        <w:t>number of studies</w:t>
      </w:r>
      <w:r w:rsidRPr="00B035DF">
        <w:rPr>
          <w:rFonts w:ascii="Times New Roman" w:hAnsi="Times New Roman" w:cs="Times New Roman"/>
          <w:sz w:val="24"/>
          <w:szCs w:val="24"/>
        </w:rPr>
        <w:t xml:space="preserve"> were published in the Journal of Education and Training with 12 </w:t>
      </w:r>
      <w:r w:rsidR="00B84FB1">
        <w:rPr>
          <w:rFonts w:ascii="Times New Roman" w:hAnsi="Times New Roman" w:cs="Times New Roman"/>
          <w:sz w:val="24"/>
          <w:szCs w:val="24"/>
        </w:rPr>
        <w:t>studies</w:t>
      </w:r>
      <w:r w:rsidRPr="00B035DF">
        <w:rPr>
          <w:rFonts w:ascii="Times New Roman" w:hAnsi="Times New Roman" w:cs="Times New Roman"/>
          <w:sz w:val="24"/>
          <w:szCs w:val="24"/>
        </w:rPr>
        <w:t xml:space="preserve">. Furthermore, </w:t>
      </w:r>
      <w:r w:rsidR="00646B1D">
        <w:rPr>
          <w:rFonts w:ascii="Times New Roman" w:hAnsi="Times New Roman" w:cs="Times New Roman"/>
          <w:sz w:val="24"/>
          <w:szCs w:val="24"/>
        </w:rPr>
        <w:t xml:space="preserve">the </w:t>
      </w:r>
      <w:r w:rsidRPr="00B035DF">
        <w:rPr>
          <w:rFonts w:ascii="Times New Roman" w:hAnsi="Times New Roman" w:cs="Times New Roman"/>
          <w:sz w:val="24"/>
          <w:szCs w:val="24"/>
        </w:rPr>
        <w:t xml:space="preserve">Journal of </w:t>
      </w:r>
      <w:r w:rsidR="00540C5C" w:rsidRPr="00B035DF">
        <w:rPr>
          <w:rFonts w:ascii="Times New Roman" w:hAnsi="Times New Roman" w:cs="Times New Roman"/>
          <w:sz w:val="24"/>
          <w:szCs w:val="24"/>
        </w:rPr>
        <w:t xml:space="preserve">Entrepreneurship Education and Journal of </w:t>
      </w:r>
      <w:r w:rsidR="00646B1D">
        <w:rPr>
          <w:rFonts w:ascii="Times New Roman" w:hAnsi="Times New Roman" w:cs="Times New Roman"/>
          <w:sz w:val="24"/>
          <w:szCs w:val="24"/>
        </w:rPr>
        <w:t>S</w:t>
      </w:r>
      <w:r w:rsidR="00540C5C" w:rsidRPr="00B035DF">
        <w:rPr>
          <w:rFonts w:ascii="Times New Roman" w:hAnsi="Times New Roman" w:cs="Times New Roman"/>
          <w:sz w:val="24"/>
          <w:szCs w:val="24"/>
        </w:rPr>
        <w:t xml:space="preserve">mall Business and Enterprise Development were 9 and 8 </w:t>
      </w:r>
      <w:r w:rsidR="00B84FB1">
        <w:rPr>
          <w:rFonts w:ascii="Times New Roman" w:hAnsi="Times New Roman" w:cs="Times New Roman"/>
          <w:sz w:val="24"/>
          <w:szCs w:val="24"/>
        </w:rPr>
        <w:t>studies</w:t>
      </w:r>
      <w:r w:rsidR="00540C5C" w:rsidRPr="00B035DF">
        <w:rPr>
          <w:rFonts w:ascii="Times New Roman" w:hAnsi="Times New Roman" w:cs="Times New Roman"/>
          <w:sz w:val="24"/>
          <w:szCs w:val="24"/>
        </w:rPr>
        <w:t xml:space="preserve"> respectively</w:t>
      </w:r>
    </w:p>
    <w:p w:rsidR="00965E9A" w:rsidRPr="00B035DF" w:rsidRDefault="004A48C0" w:rsidP="00046421">
      <w:pPr>
        <w:spacing w:line="360" w:lineRule="auto"/>
        <w:jc w:val="center"/>
        <w:rPr>
          <w:rFonts w:ascii="Times New Roman" w:hAnsi="Times New Roman" w:cs="Times New Roman"/>
          <w:sz w:val="24"/>
          <w:szCs w:val="24"/>
        </w:rPr>
      </w:pPr>
      <w:r>
        <w:rPr>
          <w:rFonts w:ascii="Times New Roman" w:hAnsi="Times New Roman" w:cs="Times New Roman"/>
          <w:sz w:val="24"/>
          <w:szCs w:val="24"/>
        </w:rPr>
        <w:t>Table 1: Jou</w:t>
      </w:r>
      <w:r w:rsidR="00C55B9B">
        <w:rPr>
          <w:rFonts w:ascii="Times New Roman" w:hAnsi="Times New Roman" w:cs="Times New Roman"/>
          <w:sz w:val="24"/>
          <w:szCs w:val="24"/>
        </w:rPr>
        <w:t>rnals with maximum publications</w:t>
      </w:r>
    </w:p>
    <w:tbl>
      <w:tblPr>
        <w:tblW w:w="8663"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04"/>
        <w:gridCol w:w="1559"/>
      </w:tblGrid>
      <w:tr w:rsidR="00D268C0" w:rsidTr="00C55B9B">
        <w:trPr>
          <w:trHeight w:val="300"/>
        </w:trPr>
        <w:tc>
          <w:tcPr>
            <w:tcW w:w="7104" w:type="dxa"/>
            <w:shd w:val="clear" w:color="auto" w:fill="auto"/>
            <w:noWrap/>
            <w:hideMark/>
          </w:tcPr>
          <w:p w:rsidR="00B8313E" w:rsidRPr="00B035DF" w:rsidRDefault="004A48C0" w:rsidP="00203B7D">
            <w:pPr>
              <w:spacing w:after="0" w:line="360" w:lineRule="auto"/>
              <w:jc w:val="center"/>
              <w:rPr>
                <w:rFonts w:ascii="Times New Roman" w:eastAsia="Times New Roman" w:hAnsi="Times New Roman" w:cs="Times New Roman"/>
                <w:b/>
                <w:color w:val="000000"/>
                <w:sz w:val="24"/>
                <w:szCs w:val="24"/>
              </w:rPr>
            </w:pPr>
            <w:r w:rsidRPr="00B035DF">
              <w:rPr>
                <w:rFonts w:ascii="Times New Roman" w:eastAsia="Times New Roman" w:hAnsi="Times New Roman" w:cs="Times New Roman"/>
                <w:b/>
                <w:color w:val="000000"/>
                <w:sz w:val="24"/>
                <w:szCs w:val="24"/>
              </w:rPr>
              <w:t>Journal’s Name</w:t>
            </w:r>
          </w:p>
        </w:tc>
        <w:tc>
          <w:tcPr>
            <w:tcW w:w="1559" w:type="dxa"/>
            <w:shd w:val="clear" w:color="auto" w:fill="auto"/>
            <w:noWrap/>
            <w:hideMark/>
          </w:tcPr>
          <w:p w:rsidR="00B8313E" w:rsidRPr="00B035DF" w:rsidRDefault="004A48C0" w:rsidP="00203B7D">
            <w:pPr>
              <w:spacing w:after="0" w:line="360" w:lineRule="auto"/>
              <w:jc w:val="center"/>
              <w:rPr>
                <w:rFonts w:ascii="Times New Roman" w:eastAsia="Times New Roman" w:hAnsi="Times New Roman" w:cs="Times New Roman"/>
                <w:b/>
                <w:color w:val="000000"/>
                <w:sz w:val="24"/>
                <w:szCs w:val="24"/>
              </w:rPr>
            </w:pPr>
            <w:r w:rsidRPr="00B035DF">
              <w:rPr>
                <w:rFonts w:ascii="Times New Roman" w:eastAsia="Times New Roman" w:hAnsi="Times New Roman" w:cs="Times New Roman"/>
                <w:b/>
                <w:color w:val="000000"/>
                <w:sz w:val="24"/>
                <w:szCs w:val="24"/>
              </w:rPr>
              <w:t xml:space="preserve">Number of </w:t>
            </w:r>
            <w:r w:rsidR="00B84FB1">
              <w:rPr>
                <w:rFonts w:ascii="Times New Roman" w:eastAsia="Times New Roman" w:hAnsi="Times New Roman" w:cs="Times New Roman"/>
                <w:b/>
                <w:color w:val="000000"/>
                <w:sz w:val="24"/>
                <w:szCs w:val="24"/>
              </w:rPr>
              <w:t>Studies</w:t>
            </w:r>
          </w:p>
        </w:tc>
      </w:tr>
      <w:tr w:rsidR="00D268C0" w:rsidTr="00C55B9B">
        <w:trPr>
          <w:trHeight w:val="300"/>
        </w:trPr>
        <w:tc>
          <w:tcPr>
            <w:tcW w:w="7104" w:type="dxa"/>
            <w:shd w:val="clear" w:color="auto" w:fill="auto"/>
            <w:noWrap/>
            <w:vAlign w:val="bottom"/>
            <w:hideMark/>
          </w:tcPr>
          <w:p w:rsidR="00203B7D" w:rsidRPr="00B035DF" w:rsidRDefault="004A48C0">
            <w:pPr>
              <w:rPr>
                <w:rFonts w:ascii="Times New Roman" w:hAnsi="Times New Roman" w:cs="Times New Roman"/>
                <w:color w:val="000000"/>
                <w:sz w:val="24"/>
                <w:szCs w:val="24"/>
              </w:rPr>
            </w:pPr>
            <w:r w:rsidRPr="00B035DF">
              <w:rPr>
                <w:rFonts w:ascii="Times New Roman" w:hAnsi="Times New Roman" w:cs="Times New Roman"/>
                <w:color w:val="000000"/>
                <w:sz w:val="24"/>
                <w:szCs w:val="24"/>
              </w:rPr>
              <w:t>Education And Training</w:t>
            </w:r>
          </w:p>
        </w:tc>
        <w:tc>
          <w:tcPr>
            <w:tcW w:w="1559" w:type="dxa"/>
            <w:shd w:val="clear" w:color="auto" w:fill="auto"/>
            <w:noWrap/>
            <w:vAlign w:val="bottom"/>
            <w:hideMark/>
          </w:tcPr>
          <w:p w:rsidR="00203B7D" w:rsidRPr="00B035DF" w:rsidRDefault="004A48C0" w:rsidP="00203B7D">
            <w:pPr>
              <w:jc w:val="center"/>
              <w:rPr>
                <w:rFonts w:ascii="Times New Roman" w:hAnsi="Times New Roman" w:cs="Times New Roman"/>
                <w:color w:val="000000"/>
                <w:sz w:val="24"/>
                <w:szCs w:val="24"/>
              </w:rPr>
            </w:pPr>
            <w:r w:rsidRPr="00B035DF">
              <w:rPr>
                <w:rFonts w:ascii="Times New Roman" w:hAnsi="Times New Roman" w:cs="Times New Roman"/>
                <w:color w:val="000000"/>
                <w:sz w:val="24"/>
                <w:szCs w:val="24"/>
              </w:rPr>
              <w:t>12</w:t>
            </w:r>
          </w:p>
        </w:tc>
      </w:tr>
      <w:tr w:rsidR="00D268C0" w:rsidTr="00C55B9B">
        <w:trPr>
          <w:trHeight w:val="300"/>
        </w:trPr>
        <w:tc>
          <w:tcPr>
            <w:tcW w:w="7104" w:type="dxa"/>
            <w:shd w:val="clear" w:color="auto" w:fill="auto"/>
            <w:noWrap/>
            <w:vAlign w:val="bottom"/>
            <w:hideMark/>
          </w:tcPr>
          <w:p w:rsidR="00203B7D" w:rsidRPr="00B035DF" w:rsidRDefault="004A48C0">
            <w:pPr>
              <w:rPr>
                <w:rFonts w:ascii="Times New Roman" w:hAnsi="Times New Roman" w:cs="Times New Roman"/>
                <w:color w:val="000000"/>
                <w:sz w:val="24"/>
                <w:szCs w:val="24"/>
              </w:rPr>
            </w:pPr>
            <w:r w:rsidRPr="00B035DF">
              <w:rPr>
                <w:rFonts w:ascii="Times New Roman" w:hAnsi="Times New Roman" w:cs="Times New Roman"/>
                <w:color w:val="000000"/>
                <w:sz w:val="24"/>
                <w:szCs w:val="24"/>
              </w:rPr>
              <w:t>Journal Of Entrepreneurship Education</w:t>
            </w:r>
          </w:p>
        </w:tc>
        <w:tc>
          <w:tcPr>
            <w:tcW w:w="1559" w:type="dxa"/>
            <w:shd w:val="clear" w:color="auto" w:fill="auto"/>
            <w:noWrap/>
            <w:vAlign w:val="bottom"/>
            <w:hideMark/>
          </w:tcPr>
          <w:p w:rsidR="00203B7D" w:rsidRPr="00B035DF" w:rsidRDefault="004A48C0" w:rsidP="00203B7D">
            <w:pPr>
              <w:jc w:val="center"/>
              <w:rPr>
                <w:rFonts w:ascii="Times New Roman" w:hAnsi="Times New Roman" w:cs="Times New Roman"/>
                <w:color w:val="000000"/>
                <w:sz w:val="24"/>
                <w:szCs w:val="24"/>
              </w:rPr>
            </w:pPr>
            <w:r w:rsidRPr="00B035DF">
              <w:rPr>
                <w:rFonts w:ascii="Times New Roman" w:hAnsi="Times New Roman" w:cs="Times New Roman"/>
                <w:color w:val="000000"/>
                <w:sz w:val="24"/>
                <w:szCs w:val="24"/>
              </w:rPr>
              <w:t>9</w:t>
            </w:r>
          </w:p>
        </w:tc>
      </w:tr>
      <w:tr w:rsidR="00D268C0" w:rsidTr="00C55B9B">
        <w:trPr>
          <w:trHeight w:val="300"/>
        </w:trPr>
        <w:tc>
          <w:tcPr>
            <w:tcW w:w="7104" w:type="dxa"/>
            <w:shd w:val="clear" w:color="auto" w:fill="auto"/>
            <w:noWrap/>
            <w:vAlign w:val="bottom"/>
            <w:hideMark/>
          </w:tcPr>
          <w:p w:rsidR="00203B7D" w:rsidRPr="00B035DF" w:rsidRDefault="004A48C0">
            <w:pPr>
              <w:rPr>
                <w:rFonts w:ascii="Times New Roman" w:hAnsi="Times New Roman" w:cs="Times New Roman"/>
                <w:color w:val="000000"/>
                <w:sz w:val="24"/>
                <w:szCs w:val="24"/>
              </w:rPr>
            </w:pPr>
            <w:r w:rsidRPr="00B035DF">
              <w:rPr>
                <w:rFonts w:ascii="Times New Roman" w:hAnsi="Times New Roman" w:cs="Times New Roman"/>
                <w:color w:val="000000"/>
                <w:sz w:val="24"/>
                <w:szCs w:val="24"/>
              </w:rPr>
              <w:t>Journal Of Small Business And Enterprise Development</w:t>
            </w:r>
          </w:p>
        </w:tc>
        <w:tc>
          <w:tcPr>
            <w:tcW w:w="1559" w:type="dxa"/>
            <w:shd w:val="clear" w:color="auto" w:fill="auto"/>
            <w:noWrap/>
            <w:vAlign w:val="bottom"/>
            <w:hideMark/>
          </w:tcPr>
          <w:p w:rsidR="00203B7D" w:rsidRPr="00B035DF" w:rsidRDefault="004A48C0" w:rsidP="00203B7D">
            <w:pPr>
              <w:jc w:val="center"/>
              <w:rPr>
                <w:rFonts w:ascii="Times New Roman" w:hAnsi="Times New Roman" w:cs="Times New Roman"/>
                <w:color w:val="000000"/>
                <w:sz w:val="24"/>
                <w:szCs w:val="24"/>
              </w:rPr>
            </w:pPr>
            <w:r w:rsidRPr="00B035DF">
              <w:rPr>
                <w:rFonts w:ascii="Times New Roman" w:hAnsi="Times New Roman" w:cs="Times New Roman"/>
                <w:color w:val="000000"/>
                <w:sz w:val="24"/>
                <w:szCs w:val="24"/>
              </w:rPr>
              <w:t>8</w:t>
            </w:r>
          </w:p>
        </w:tc>
      </w:tr>
      <w:tr w:rsidR="00D268C0" w:rsidTr="00C55B9B">
        <w:trPr>
          <w:trHeight w:val="300"/>
        </w:trPr>
        <w:tc>
          <w:tcPr>
            <w:tcW w:w="7104" w:type="dxa"/>
            <w:shd w:val="clear" w:color="auto" w:fill="auto"/>
            <w:noWrap/>
            <w:vAlign w:val="bottom"/>
            <w:hideMark/>
          </w:tcPr>
          <w:p w:rsidR="00203B7D" w:rsidRPr="00B035DF" w:rsidRDefault="004A48C0">
            <w:pPr>
              <w:rPr>
                <w:rFonts w:ascii="Times New Roman" w:hAnsi="Times New Roman" w:cs="Times New Roman"/>
                <w:color w:val="000000"/>
                <w:sz w:val="24"/>
                <w:szCs w:val="24"/>
              </w:rPr>
            </w:pPr>
            <w:r w:rsidRPr="00B035DF">
              <w:rPr>
                <w:rFonts w:ascii="Times New Roman" w:hAnsi="Times New Roman" w:cs="Times New Roman"/>
                <w:color w:val="000000"/>
                <w:sz w:val="24"/>
                <w:szCs w:val="24"/>
              </w:rPr>
              <w:t>Advances In Intelligent Systems And Computing</w:t>
            </w:r>
          </w:p>
        </w:tc>
        <w:tc>
          <w:tcPr>
            <w:tcW w:w="1559" w:type="dxa"/>
            <w:shd w:val="clear" w:color="auto" w:fill="auto"/>
            <w:noWrap/>
            <w:vAlign w:val="bottom"/>
            <w:hideMark/>
          </w:tcPr>
          <w:p w:rsidR="00203B7D" w:rsidRPr="00B035DF" w:rsidRDefault="004A48C0" w:rsidP="00203B7D">
            <w:pPr>
              <w:jc w:val="center"/>
              <w:rPr>
                <w:rFonts w:ascii="Times New Roman" w:hAnsi="Times New Roman" w:cs="Times New Roman"/>
                <w:color w:val="000000"/>
                <w:sz w:val="24"/>
                <w:szCs w:val="24"/>
              </w:rPr>
            </w:pPr>
            <w:r w:rsidRPr="00B035DF">
              <w:rPr>
                <w:rFonts w:ascii="Times New Roman" w:hAnsi="Times New Roman" w:cs="Times New Roman"/>
                <w:color w:val="000000"/>
                <w:sz w:val="24"/>
                <w:szCs w:val="24"/>
              </w:rPr>
              <w:t>7</w:t>
            </w:r>
          </w:p>
        </w:tc>
      </w:tr>
      <w:tr w:rsidR="00D268C0" w:rsidTr="00C55B9B">
        <w:trPr>
          <w:trHeight w:val="300"/>
        </w:trPr>
        <w:tc>
          <w:tcPr>
            <w:tcW w:w="7104" w:type="dxa"/>
            <w:shd w:val="clear" w:color="auto" w:fill="auto"/>
            <w:noWrap/>
            <w:vAlign w:val="bottom"/>
            <w:hideMark/>
          </w:tcPr>
          <w:p w:rsidR="00203B7D" w:rsidRPr="00B035DF" w:rsidRDefault="004A48C0">
            <w:pPr>
              <w:rPr>
                <w:rFonts w:ascii="Times New Roman" w:hAnsi="Times New Roman" w:cs="Times New Roman"/>
                <w:color w:val="000000"/>
                <w:sz w:val="24"/>
                <w:szCs w:val="24"/>
              </w:rPr>
            </w:pPr>
            <w:r w:rsidRPr="00B035DF">
              <w:rPr>
                <w:rFonts w:ascii="Times New Roman" w:hAnsi="Times New Roman" w:cs="Times New Roman"/>
                <w:color w:val="000000"/>
                <w:sz w:val="24"/>
                <w:szCs w:val="24"/>
              </w:rPr>
              <w:t>Contributions To Management Science</w:t>
            </w:r>
          </w:p>
        </w:tc>
        <w:tc>
          <w:tcPr>
            <w:tcW w:w="1559" w:type="dxa"/>
            <w:shd w:val="clear" w:color="auto" w:fill="auto"/>
            <w:noWrap/>
            <w:vAlign w:val="bottom"/>
            <w:hideMark/>
          </w:tcPr>
          <w:p w:rsidR="00203B7D" w:rsidRPr="00B035DF" w:rsidRDefault="004A48C0" w:rsidP="00203B7D">
            <w:pPr>
              <w:jc w:val="center"/>
              <w:rPr>
                <w:rFonts w:ascii="Times New Roman" w:hAnsi="Times New Roman" w:cs="Times New Roman"/>
                <w:color w:val="000000"/>
                <w:sz w:val="24"/>
                <w:szCs w:val="24"/>
              </w:rPr>
            </w:pPr>
            <w:r w:rsidRPr="00B035DF">
              <w:rPr>
                <w:rFonts w:ascii="Times New Roman" w:hAnsi="Times New Roman" w:cs="Times New Roman"/>
                <w:color w:val="000000"/>
                <w:sz w:val="24"/>
                <w:szCs w:val="24"/>
              </w:rPr>
              <w:t>7</w:t>
            </w:r>
          </w:p>
        </w:tc>
      </w:tr>
      <w:tr w:rsidR="00D268C0" w:rsidTr="00C55B9B">
        <w:trPr>
          <w:trHeight w:val="300"/>
        </w:trPr>
        <w:tc>
          <w:tcPr>
            <w:tcW w:w="7104" w:type="dxa"/>
            <w:shd w:val="clear" w:color="auto" w:fill="auto"/>
            <w:noWrap/>
            <w:vAlign w:val="bottom"/>
            <w:hideMark/>
          </w:tcPr>
          <w:p w:rsidR="00203B7D" w:rsidRPr="00B035DF" w:rsidRDefault="004A48C0">
            <w:pPr>
              <w:rPr>
                <w:rFonts w:ascii="Times New Roman" w:hAnsi="Times New Roman" w:cs="Times New Roman"/>
                <w:color w:val="000000"/>
                <w:sz w:val="24"/>
                <w:szCs w:val="24"/>
              </w:rPr>
            </w:pPr>
            <w:r w:rsidRPr="00B035DF">
              <w:rPr>
                <w:rFonts w:ascii="Times New Roman" w:hAnsi="Times New Roman" w:cs="Times New Roman"/>
                <w:color w:val="000000"/>
                <w:sz w:val="24"/>
                <w:szCs w:val="24"/>
              </w:rPr>
              <w:t>International Journal Of Business And Globalisation</w:t>
            </w:r>
          </w:p>
        </w:tc>
        <w:tc>
          <w:tcPr>
            <w:tcW w:w="1559" w:type="dxa"/>
            <w:shd w:val="clear" w:color="auto" w:fill="auto"/>
            <w:noWrap/>
            <w:vAlign w:val="bottom"/>
            <w:hideMark/>
          </w:tcPr>
          <w:p w:rsidR="00203B7D" w:rsidRPr="00B035DF" w:rsidRDefault="004A48C0" w:rsidP="00203B7D">
            <w:pPr>
              <w:jc w:val="center"/>
              <w:rPr>
                <w:rFonts w:ascii="Times New Roman" w:hAnsi="Times New Roman" w:cs="Times New Roman"/>
                <w:color w:val="000000"/>
                <w:sz w:val="24"/>
                <w:szCs w:val="24"/>
              </w:rPr>
            </w:pPr>
            <w:r w:rsidRPr="00B035DF">
              <w:rPr>
                <w:rFonts w:ascii="Times New Roman" w:hAnsi="Times New Roman" w:cs="Times New Roman"/>
                <w:color w:val="000000"/>
                <w:sz w:val="24"/>
                <w:szCs w:val="24"/>
              </w:rPr>
              <w:t>7</w:t>
            </w:r>
          </w:p>
        </w:tc>
      </w:tr>
      <w:tr w:rsidR="00D268C0" w:rsidTr="00C55B9B">
        <w:trPr>
          <w:trHeight w:val="300"/>
        </w:trPr>
        <w:tc>
          <w:tcPr>
            <w:tcW w:w="7104" w:type="dxa"/>
            <w:shd w:val="clear" w:color="auto" w:fill="auto"/>
            <w:noWrap/>
            <w:vAlign w:val="bottom"/>
            <w:hideMark/>
          </w:tcPr>
          <w:p w:rsidR="00203B7D" w:rsidRPr="00B035DF" w:rsidRDefault="004A48C0">
            <w:pPr>
              <w:rPr>
                <w:rFonts w:ascii="Times New Roman" w:hAnsi="Times New Roman" w:cs="Times New Roman"/>
                <w:color w:val="000000"/>
                <w:sz w:val="24"/>
                <w:szCs w:val="24"/>
              </w:rPr>
            </w:pPr>
            <w:r w:rsidRPr="00B035DF">
              <w:rPr>
                <w:rFonts w:ascii="Times New Roman" w:hAnsi="Times New Roman" w:cs="Times New Roman"/>
                <w:color w:val="000000"/>
                <w:sz w:val="24"/>
                <w:szCs w:val="24"/>
              </w:rPr>
              <w:t>Sustainability Switzerland</w:t>
            </w:r>
          </w:p>
        </w:tc>
        <w:tc>
          <w:tcPr>
            <w:tcW w:w="1559" w:type="dxa"/>
            <w:shd w:val="clear" w:color="auto" w:fill="auto"/>
            <w:noWrap/>
            <w:vAlign w:val="bottom"/>
            <w:hideMark/>
          </w:tcPr>
          <w:p w:rsidR="00203B7D" w:rsidRPr="00B035DF" w:rsidRDefault="004A48C0" w:rsidP="00203B7D">
            <w:pPr>
              <w:jc w:val="center"/>
              <w:rPr>
                <w:rFonts w:ascii="Times New Roman" w:hAnsi="Times New Roman" w:cs="Times New Roman"/>
                <w:color w:val="000000"/>
                <w:sz w:val="24"/>
                <w:szCs w:val="24"/>
              </w:rPr>
            </w:pPr>
            <w:r w:rsidRPr="00B035DF">
              <w:rPr>
                <w:rFonts w:ascii="Times New Roman" w:hAnsi="Times New Roman" w:cs="Times New Roman"/>
                <w:color w:val="000000"/>
                <w:sz w:val="24"/>
                <w:szCs w:val="24"/>
              </w:rPr>
              <w:t>7</w:t>
            </w:r>
          </w:p>
        </w:tc>
      </w:tr>
      <w:tr w:rsidR="00D268C0" w:rsidTr="00C55B9B">
        <w:trPr>
          <w:trHeight w:val="300"/>
        </w:trPr>
        <w:tc>
          <w:tcPr>
            <w:tcW w:w="7104" w:type="dxa"/>
            <w:shd w:val="clear" w:color="auto" w:fill="auto"/>
            <w:noWrap/>
            <w:vAlign w:val="bottom"/>
            <w:hideMark/>
          </w:tcPr>
          <w:p w:rsidR="00203B7D" w:rsidRPr="00B035DF" w:rsidRDefault="004A48C0">
            <w:pPr>
              <w:rPr>
                <w:rFonts w:ascii="Times New Roman" w:hAnsi="Times New Roman" w:cs="Times New Roman"/>
                <w:color w:val="000000"/>
                <w:sz w:val="24"/>
                <w:szCs w:val="24"/>
              </w:rPr>
            </w:pPr>
            <w:r w:rsidRPr="00B035DF">
              <w:rPr>
                <w:rFonts w:ascii="Times New Roman" w:hAnsi="Times New Roman" w:cs="Times New Roman"/>
                <w:color w:val="000000"/>
                <w:sz w:val="24"/>
                <w:szCs w:val="24"/>
              </w:rPr>
              <w:t>Academy Of Entrepreneurship Journal</w:t>
            </w:r>
          </w:p>
        </w:tc>
        <w:tc>
          <w:tcPr>
            <w:tcW w:w="1559" w:type="dxa"/>
            <w:shd w:val="clear" w:color="auto" w:fill="auto"/>
            <w:noWrap/>
            <w:vAlign w:val="bottom"/>
            <w:hideMark/>
          </w:tcPr>
          <w:p w:rsidR="00203B7D" w:rsidRPr="00B035DF" w:rsidRDefault="004A48C0" w:rsidP="00203B7D">
            <w:pPr>
              <w:jc w:val="center"/>
              <w:rPr>
                <w:rFonts w:ascii="Times New Roman" w:hAnsi="Times New Roman" w:cs="Times New Roman"/>
                <w:color w:val="000000"/>
                <w:sz w:val="24"/>
                <w:szCs w:val="24"/>
              </w:rPr>
            </w:pPr>
            <w:r w:rsidRPr="00B035DF">
              <w:rPr>
                <w:rFonts w:ascii="Times New Roman" w:hAnsi="Times New Roman" w:cs="Times New Roman"/>
                <w:color w:val="000000"/>
                <w:sz w:val="24"/>
                <w:szCs w:val="24"/>
              </w:rPr>
              <w:t>6</w:t>
            </w:r>
          </w:p>
        </w:tc>
      </w:tr>
      <w:tr w:rsidR="00D268C0" w:rsidTr="00C55B9B">
        <w:trPr>
          <w:trHeight w:val="300"/>
        </w:trPr>
        <w:tc>
          <w:tcPr>
            <w:tcW w:w="7104" w:type="dxa"/>
            <w:shd w:val="clear" w:color="auto" w:fill="auto"/>
            <w:noWrap/>
            <w:vAlign w:val="bottom"/>
            <w:hideMark/>
          </w:tcPr>
          <w:p w:rsidR="00203B7D" w:rsidRPr="00B035DF" w:rsidRDefault="004A48C0">
            <w:pPr>
              <w:rPr>
                <w:rFonts w:ascii="Times New Roman" w:hAnsi="Times New Roman" w:cs="Times New Roman"/>
                <w:color w:val="000000"/>
                <w:sz w:val="24"/>
                <w:szCs w:val="24"/>
              </w:rPr>
            </w:pPr>
            <w:r w:rsidRPr="00B035DF">
              <w:rPr>
                <w:rFonts w:ascii="Times New Roman" w:hAnsi="Times New Roman" w:cs="Times New Roman"/>
                <w:color w:val="000000"/>
                <w:sz w:val="24"/>
                <w:szCs w:val="24"/>
              </w:rPr>
              <w:t>International Entrepreneurship And Management Journal</w:t>
            </w:r>
          </w:p>
        </w:tc>
        <w:tc>
          <w:tcPr>
            <w:tcW w:w="1559" w:type="dxa"/>
            <w:shd w:val="clear" w:color="auto" w:fill="auto"/>
            <w:noWrap/>
            <w:vAlign w:val="bottom"/>
            <w:hideMark/>
          </w:tcPr>
          <w:p w:rsidR="00203B7D" w:rsidRPr="00B035DF" w:rsidRDefault="004A48C0" w:rsidP="00203B7D">
            <w:pPr>
              <w:jc w:val="center"/>
              <w:rPr>
                <w:rFonts w:ascii="Times New Roman" w:hAnsi="Times New Roman" w:cs="Times New Roman"/>
                <w:color w:val="000000"/>
                <w:sz w:val="24"/>
                <w:szCs w:val="24"/>
              </w:rPr>
            </w:pPr>
            <w:r w:rsidRPr="00B035DF">
              <w:rPr>
                <w:rFonts w:ascii="Times New Roman" w:hAnsi="Times New Roman" w:cs="Times New Roman"/>
                <w:color w:val="000000"/>
                <w:sz w:val="24"/>
                <w:szCs w:val="24"/>
              </w:rPr>
              <w:t>6</w:t>
            </w:r>
          </w:p>
        </w:tc>
      </w:tr>
      <w:tr w:rsidR="00D268C0" w:rsidTr="00C55B9B">
        <w:trPr>
          <w:trHeight w:val="300"/>
        </w:trPr>
        <w:tc>
          <w:tcPr>
            <w:tcW w:w="7104" w:type="dxa"/>
            <w:shd w:val="clear" w:color="auto" w:fill="auto"/>
            <w:noWrap/>
            <w:vAlign w:val="bottom"/>
            <w:hideMark/>
          </w:tcPr>
          <w:p w:rsidR="00203B7D" w:rsidRPr="00B035DF" w:rsidRDefault="004A48C0">
            <w:pPr>
              <w:rPr>
                <w:rFonts w:ascii="Times New Roman" w:hAnsi="Times New Roman" w:cs="Times New Roman"/>
                <w:color w:val="000000"/>
                <w:sz w:val="24"/>
                <w:szCs w:val="24"/>
              </w:rPr>
            </w:pPr>
            <w:r w:rsidRPr="00B035DF">
              <w:rPr>
                <w:rFonts w:ascii="Times New Roman" w:hAnsi="Times New Roman" w:cs="Times New Roman"/>
                <w:color w:val="000000"/>
                <w:sz w:val="24"/>
                <w:szCs w:val="24"/>
              </w:rPr>
              <w:t>International Journal Of Entrepreneurship</w:t>
            </w:r>
          </w:p>
        </w:tc>
        <w:tc>
          <w:tcPr>
            <w:tcW w:w="1559" w:type="dxa"/>
            <w:shd w:val="clear" w:color="auto" w:fill="auto"/>
            <w:noWrap/>
            <w:vAlign w:val="bottom"/>
            <w:hideMark/>
          </w:tcPr>
          <w:p w:rsidR="00203B7D" w:rsidRPr="00B035DF" w:rsidRDefault="004A48C0" w:rsidP="00203B7D">
            <w:pPr>
              <w:jc w:val="center"/>
              <w:rPr>
                <w:rFonts w:ascii="Times New Roman" w:hAnsi="Times New Roman" w:cs="Times New Roman"/>
                <w:color w:val="000000"/>
                <w:sz w:val="24"/>
                <w:szCs w:val="24"/>
              </w:rPr>
            </w:pPr>
            <w:r w:rsidRPr="00B035DF">
              <w:rPr>
                <w:rFonts w:ascii="Times New Roman" w:hAnsi="Times New Roman" w:cs="Times New Roman"/>
                <w:color w:val="000000"/>
                <w:sz w:val="24"/>
                <w:szCs w:val="24"/>
              </w:rPr>
              <w:t>6</w:t>
            </w:r>
          </w:p>
        </w:tc>
      </w:tr>
      <w:tr w:rsidR="00D268C0" w:rsidTr="00C55B9B">
        <w:trPr>
          <w:trHeight w:val="300"/>
        </w:trPr>
        <w:tc>
          <w:tcPr>
            <w:tcW w:w="7104" w:type="dxa"/>
            <w:shd w:val="clear" w:color="auto" w:fill="auto"/>
            <w:noWrap/>
            <w:vAlign w:val="bottom"/>
            <w:hideMark/>
          </w:tcPr>
          <w:p w:rsidR="00203B7D" w:rsidRPr="00B035DF" w:rsidRDefault="004A48C0">
            <w:pPr>
              <w:rPr>
                <w:rFonts w:ascii="Times New Roman" w:hAnsi="Times New Roman" w:cs="Times New Roman"/>
                <w:color w:val="000000"/>
                <w:sz w:val="24"/>
                <w:szCs w:val="24"/>
              </w:rPr>
            </w:pPr>
            <w:r w:rsidRPr="00B035DF">
              <w:rPr>
                <w:rFonts w:ascii="Times New Roman" w:hAnsi="Times New Roman" w:cs="Times New Roman"/>
                <w:color w:val="000000"/>
                <w:sz w:val="24"/>
                <w:szCs w:val="24"/>
              </w:rPr>
              <w:t>International Journal Of Management Education</w:t>
            </w:r>
          </w:p>
        </w:tc>
        <w:tc>
          <w:tcPr>
            <w:tcW w:w="1559" w:type="dxa"/>
            <w:shd w:val="clear" w:color="auto" w:fill="auto"/>
            <w:noWrap/>
            <w:vAlign w:val="bottom"/>
            <w:hideMark/>
          </w:tcPr>
          <w:p w:rsidR="00203B7D" w:rsidRPr="00B035DF" w:rsidRDefault="004A48C0" w:rsidP="00203B7D">
            <w:pPr>
              <w:jc w:val="center"/>
              <w:rPr>
                <w:rFonts w:ascii="Times New Roman" w:hAnsi="Times New Roman" w:cs="Times New Roman"/>
                <w:color w:val="000000"/>
                <w:sz w:val="24"/>
                <w:szCs w:val="24"/>
              </w:rPr>
            </w:pPr>
            <w:r w:rsidRPr="00B035DF">
              <w:rPr>
                <w:rFonts w:ascii="Times New Roman" w:hAnsi="Times New Roman" w:cs="Times New Roman"/>
                <w:color w:val="000000"/>
                <w:sz w:val="24"/>
                <w:szCs w:val="24"/>
              </w:rPr>
              <w:t>6</w:t>
            </w:r>
          </w:p>
        </w:tc>
      </w:tr>
      <w:tr w:rsidR="00D268C0" w:rsidTr="00C55B9B">
        <w:trPr>
          <w:trHeight w:val="300"/>
        </w:trPr>
        <w:tc>
          <w:tcPr>
            <w:tcW w:w="7104" w:type="dxa"/>
            <w:shd w:val="clear" w:color="auto" w:fill="auto"/>
            <w:noWrap/>
            <w:vAlign w:val="bottom"/>
            <w:hideMark/>
          </w:tcPr>
          <w:p w:rsidR="00203B7D" w:rsidRPr="00B035DF" w:rsidRDefault="004A48C0">
            <w:pPr>
              <w:rPr>
                <w:rFonts w:ascii="Times New Roman" w:hAnsi="Times New Roman" w:cs="Times New Roman"/>
                <w:color w:val="000000"/>
                <w:sz w:val="24"/>
                <w:szCs w:val="24"/>
              </w:rPr>
            </w:pPr>
            <w:r w:rsidRPr="00B035DF">
              <w:rPr>
                <w:rFonts w:ascii="Times New Roman" w:hAnsi="Times New Roman" w:cs="Times New Roman"/>
                <w:color w:val="000000"/>
                <w:sz w:val="24"/>
                <w:szCs w:val="24"/>
              </w:rPr>
              <w:t>Frontiers In Psychology</w:t>
            </w:r>
          </w:p>
        </w:tc>
        <w:tc>
          <w:tcPr>
            <w:tcW w:w="1559" w:type="dxa"/>
            <w:shd w:val="clear" w:color="auto" w:fill="auto"/>
            <w:noWrap/>
            <w:vAlign w:val="bottom"/>
            <w:hideMark/>
          </w:tcPr>
          <w:p w:rsidR="00203B7D" w:rsidRPr="00B035DF" w:rsidRDefault="004A48C0" w:rsidP="00203B7D">
            <w:pPr>
              <w:jc w:val="center"/>
              <w:rPr>
                <w:rFonts w:ascii="Times New Roman" w:hAnsi="Times New Roman" w:cs="Times New Roman"/>
                <w:color w:val="000000"/>
                <w:sz w:val="24"/>
                <w:szCs w:val="24"/>
              </w:rPr>
            </w:pPr>
            <w:r w:rsidRPr="00B035DF">
              <w:rPr>
                <w:rFonts w:ascii="Times New Roman" w:hAnsi="Times New Roman" w:cs="Times New Roman"/>
                <w:color w:val="000000"/>
                <w:sz w:val="24"/>
                <w:szCs w:val="24"/>
              </w:rPr>
              <w:t>5</w:t>
            </w:r>
          </w:p>
        </w:tc>
      </w:tr>
      <w:tr w:rsidR="00D268C0" w:rsidTr="00C55B9B">
        <w:trPr>
          <w:trHeight w:val="300"/>
        </w:trPr>
        <w:tc>
          <w:tcPr>
            <w:tcW w:w="7104" w:type="dxa"/>
            <w:shd w:val="clear" w:color="auto" w:fill="auto"/>
            <w:noWrap/>
            <w:vAlign w:val="bottom"/>
            <w:hideMark/>
          </w:tcPr>
          <w:p w:rsidR="00203B7D" w:rsidRPr="00B035DF" w:rsidRDefault="004A48C0">
            <w:pPr>
              <w:rPr>
                <w:rFonts w:ascii="Times New Roman" w:hAnsi="Times New Roman" w:cs="Times New Roman"/>
                <w:color w:val="000000"/>
                <w:sz w:val="24"/>
                <w:szCs w:val="24"/>
              </w:rPr>
            </w:pPr>
            <w:r w:rsidRPr="00B035DF">
              <w:rPr>
                <w:rFonts w:ascii="Times New Roman" w:hAnsi="Times New Roman" w:cs="Times New Roman"/>
                <w:color w:val="000000"/>
                <w:sz w:val="24"/>
                <w:szCs w:val="24"/>
              </w:rPr>
              <w:t>International Journal Of Entrepreneurship And Small Business</w:t>
            </w:r>
          </w:p>
        </w:tc>
        <w:tc>
          <w:tcPr>
            <w:tcW w:w="1559" w:type="dxa"/>
            <w:shd w:val="clear" w:color="auto" w:fill="auto"/>
            <w:noWrap/>
            <w:vAlign w:val="bottom"/>
            <w:hideMark/>
          </w:tcPr>
          <w:p w:rsidR="00203B7D" w:rsidRPr="00B035DF" w:rsidRDefault="004A48C0" w:rsidP="00203B7D">
            <w:pPr>
              <w:jc w:val="center"/>
              <w:rPr>
                <w:rFonts w:ascii="Times New Roman" w:hAnsi="Times New Roman" w:cs="Times New Roman"/>
                <w:color w:val="000000"/>
                <w:sz w:val="24"/>
                <w:szCs w:val="24"/>
              </w:rPr>
            </w:pPr>
            <w:r w:rsidRPr="00B035DF">
              <w:rPr>
                <w:rFonts w:ascii="Times New Roman" w:hAnsi="Times New Roman" w:cs="Times New Roman"/>
                <w:color w:val="000000"/>
                <w:sz w:val="24"/>
                <w:szCs w:val="24"/>
              </w:rPr>
              <w:t>5</w:t>
            </w:r>
          </w:p>
        </w:tc>
      </w:tr>
      <w:tr w:rsidR="00D268C0" w:rsidTr="00C55B9B">
        <w:trPr>
          <w:trHeight w:val="300"/>
        </w:trPr>
        <w:tc>
          <w:tcPr>
            <w:tcW w:w="7104" w:type="dxa"/>
            <w:shd w:val="clear" w:color="auto" w:fill="auto"/>
            <w:noWrap/>
            <w:vAlign w:val="bottom"/>
            <w:hideMark/>
          </w:tcPr>
          <w:p w:rsidR="00203B7D" w:rsidRPr="00B035DF" w:rsidRDefault="004A48C0">
            <w:pPr>
              <w:rPr>
                <w:rFonts w:ascii="Times New Roman" w:hAnsi="Times New Roman" w:cs="Times New Roman"/>
                <w:color w:val="000000"/>
                <w:sz w:val="24"/>
                <w:szCs w:val="24"/>
              </w:rPr>
            </w:pPr>
            <w:r w:rsidRPr="00B035DF">
              <w:rPr>
                <w:rFonts w:ascii="Times New Roman" w:hAnsi="Times New Roman" w:cs="Times New Roman"/>
                <w:color w:val="000000"/>
                <w:sz w:val="24"/>
                <w:szCs w:val="24"/>
              </w:rPr>
              <w:t>Journal Of Small Business Management</w:t>
            </w:r>
          </w:p>
        </w:tc>
        <w:tc>
          <w:tcPr>
            <w:tcW w:w="1559" w:type="dxa"/>
            <w:shd w:val="clear" w:color="auto" w:fill="auto"/>
            <w:noWrap/>
            <w:vAlign w:val="bottom"/>
            <w:hideMark/>
          </w:tcPr>
          <w:p w:rsidR="00203B7D" w:rsidRPr="00B035DF" w:rsidRDefault="004A48C0" w:rsidP="00203B7D">
            <w:pPr>
              <w:jc w:val="center"/>
              <w:rPr>
                <w:rFonts w:ascii="Times New Roman" w:hAnsi="Times New Roman" w:cs="Times New Roman"/>
                <w:color w:val="000000"/>
                <w:sz w:val="24"/>
                <w:szCs w:val="24"/>
              </w:rPr>
            </w:pPr>
            <w:r w:rsidRPr="00B035DF">
              <w:rPr>
                <w:rFonts w:ascii="Times New Roman" w:hAnsi="Times New Roman" w:cs="Times New Roman"/>
                <w:color w:val="000000"/>
                <w:sz w:val="24"/>
                <w:szCs w:val="24"/>
              </w:rPr>
              <w:t>5</w:t>
            </w:r>
          </w:p>
        </w:tc>
      </w:tr>
      <w:tr w:rsidR="00D268C0" w:rsidTr="00C55B9B">
        <w:trPr>
          <w:trHeight w:val="300"/>
        </w:trPr>
        <w:tc>
          <w:tcPr>
            <w:tcW w:w="7104" w:type="dxa"/>
            <w:shd w:val="clear" w:color="auto" w:fill="auto"/>
            <w:noWrap/>
            <w:vAlign w:val="bottom"/>
            <w:hideMark/>
          </w:tcPr>
          <w:p w:rsidR="00203B7D" w:rsidRPr="00B035DF" w:rsidRDefault="004A48C0">
            <w:pPr>
              <w:rPr>
                <w:rFonts w:ascii="Times New Roman" w:hAnsi="Times New Roman" w:cs="Times New Roman"/>
                <w:color w:val="000000"/>
                <w:sz w:val="24"/>
                <w:szCs w:val="24"/>
              </w:rPr>
            </w:pPr>
            <w:r w:rsidRPr="00B035DF">
              <w:rPr>
                <w:rFonts w:ascii="Times New Roman" w:hAnsi="Times New Roman" w:cs="Times New Roman"/>
                <w:color w:val="000000"/>
                <w:sz w:val="24"/>
                <w:szCs w:val="24"/>
              </w:rPr>
              <w:t>International Journal Of Entrepreneurial Behaviour And Research</w:t>
            </w:r>
          </w:p>
        </w:tc>
        <w:tc>
          <w:tcPr>
            <w:tcW w:w="1559" w:type="dxa"/>
            <w:shd w:val="clear" w:color="auto" w:fill="auto"/>
            <w:noWrap/>
            <w:vAlign w:val="bottom"/>
            <w:hideMark/>
          </w:tcPr>
          <w:p w:rsidR="00203B7D" w:rsidRPr="00B035DF" w:rsidRDefault="004A48C0" w:rsidP="00203B7D">
            <w:pPr>
              <w:jc w:val="center"/>
              <w:rPr>
                <w:rFonts w:ascii="Times New Roman" w:hAnsi="Times New Roman" w:cs="Times New Roman"/>
                <w:color w:val="000000"/>
                <w:sz w:val="24"/>
                <w:szCs w:val="24"/>
              </w:rPr>
            </w:pPr>
            <w:r w:rsidRPr="00B035DF">
              <w:rPr>
                <w:rFonts w:ascii="Times New Roman" w:hAnsi="Times New Roman" w:cs="Times New Roman"/>
                <w:color w:val="000000"/>
                <w:sz w:val="24"/>
                <w:szCs w:val="24"/>
              </w:rPr>
              <w:t>4</w:t>
            </w:r>
          </w:p>
        </w:tc>
      </w:tr>
      <w:tr w:rsidR="00D268C0" w:rsidTr="00C55B9B">
        <w:trPr>
          <w:trHeight w:val="300"/>
        </w:trPr>
        <w:tc>
          <w:tcPr>
            <w:tcW w:w="7104" w:type="dxa"/>
            <w:shd w:val="clear" w:color="auto" w:fill="auto"/>
            <w:noWrap/>
            <w:vAlign w:val="bottom"/>
            <w:hideMark/>
          </w:tcPr>
          <w:p w:rsidR="00203B7D" w:rsidRPr="00B035DF" w:rsidRDefault="004A48C0">
            <w:pPr>
              <w:rPr>
                <w:rFonts w:ascii="Times New Roman" w:hAnsi="Times New Roman" w:cs="Times New Roman"/>
                <w:color w:val="000000"/>
                <w:sz w:val="24"/>
                <w:szCs w:val="24"/>
              </w:rPr>
            </w:pPr>
            <w:r w:rsidRPr="00B035DF">
              <w:rPr>
                <w:rFonts w:ascii="Times New Roman" w:hAnsi="Times New Roman" w:cs="Times New Roman"/>
                <w:color w:val="000000"/>
                <w:sz w:val="24"/>
                <w:szCs w:val="24"/>
              </w:rPr>
              <w:t>Journal Of Entrepreneurship In Emerging Economies</w:t>
            </w:r>
          </w:p>
        </w:tc>
        <w:tc>
          <w:tcPr>
            <w:tcW w:w="1559" w:type="dxa"/>
            <w:shd w:val="clear" w:color="auto" w:fill="auto"/>
            <w:noWrap/>
            <w:vAlign w:val="bottom"/>
            <w:hideMark/>
          </w:tcPr>
          <w:p w:rsidR="00203B7D" w:rsidRPr="00B035DF" w:rsidRDefault="004A48C0" w:rsidP="00203B7D">
            <w:pPr>
              <w:jc w:val="center"/>
              <w:rPr>
                <w:rFonts w:ascii="Times New Roman" w:hAnsi="Times New Roman" w:cs="Times New Roman"/>
                <w:color w:val="000000"/>
                <w:sz w:val="24"/>
                <w:szCs w:val="24"/>
              </w:rPr>
            </w:pPr>
            <w:r w:rsidRPr="00B035DF">
              <w:rPr>
                <w:rFonts w:ascii="Times New Roman" w:hAnsi="Times New Roman" w:cs="Times New Roman"/>
                <w:color w:val="000000"/>
                <w:sz w:val="24"/>
                <w:szCs w:val="24"/>
              </w:rPr>
              <w:t>4</w:t>
            </w:r>
          </w:p>
        </w:tc>
      </w:tr>
      <w:tr w:rsidR="00D268C0" w:rsidTr="00C55B9B">
        <w:trPr>
          <w:trHeight w:val="300"/>
        </w:trPr>
        <w:tc>
          <w:tcPr>
            <w:tcW w:w="7104" w:type="dxa"/>
            <w:shd w:val="clear" w:color="auto" w:fill="auto"/>
            <w:noWrap/>
            <w:vAlign w:val="bottom"/>
            <w:hideMark/>
          </w:tcPr>
          <w:p w:rsidR="00203B7D" w:rsidRPr="00B035DF" w:rsidRDefault="004A48C0">
            <w:pPr>
              <w:rPr>
                <w:rFonts w:ascii="Times New Roman" w:hAnsi="Times New Roman" w:cs="Times New Roman"/>
                <w:color w:val="000000"/>
                <w:sz w:val="24"/>
                <w:szCs w:val="24"/>
              </w:rPr>
            </w:pPr>
            <w:r w:rsidRPr="00B035DF">
              <w:rPr>
                <w:rFonts w:ascii="Times New Roman" w:hAnsi="Times New Roman" w:cs="Times New Roman"/>
                <w:color w:val="000000"/>
                <w:sz w:val="24"/>
                <w:szCs w:val="24"/>
              </w:rPr>
              <w:lastRenderedPageBreak/>
              <w:t>Advances In Entrepreneurship Firm Emergence And Growth</w:t>
            </w:r>
          </w:p>
        </w:tc>
        <w:tc>
          <w:tcPr>
            <w:tcW w:w="1559" w:type="dxa"/>
            <w:shd w:val="clear" w:color="auto" w:fill="auto"/>
            <w:noWrap/>
            <w:vAlign w:val="bottom"/>
            <w:hideMark/>
          </w:tcPr>
          <w:p w:rsidR="00203B7D" w:rsidRPr="00B035DF" w:rsidRDefault="004A48C0" w:rsidP="00203B7D">
            <w:pPr>
              <w:jc w:val="center"/>
              <w:rPr>
                <w:rFonts w:ascii="Times New Roman" w:hAnsi="Times New Roman" w:cs="Times New Roman"/>
                <w:color w:val="000000"/>
                <w:sz w:val="24"/>
                <w:szCs w:val="24"/>
              </w:rPr>
            </w:pPr>
            <w:r w:rsidRPr="00B035DF">
              <w:rPr>
                <w:rFonts w:ascii="Times New Roman" w:hAnsi="Times New Roman" w:cs="Times New Roman"/>
                <w:color w:val="000000"/>
                <w:sz w:val="24"/>
                <w:szCs w:val="24"/>
              </w:rPr>
              <w:t>3</w:t>
            </w:r>
          </w:p>
        </w:tc>
      </w:tr>
      <w:tr w:rsidR="00D268C0" w:rsidTr="00C55B9B">
        <w:trPr>
          <w:trHeight w:val="300"/>
        </w:trPr>
        <w:tc>
          <w:tcPr>
            <w:tcW w:w="7104" w:type="dxa"/>
            <w:shd w:val="clear" w:color="auto" w:fill="auto"/>
            <w:noWrap/>
            <w:vAlign w:val="bottom"/>
            <w:hideMark/>
          </w:tcPr>
          <w:p w:rsidR="00203B7D" w:rsidRPr="00B035DF" w:rsidRDefault="004A48C0">
            <w:pPr>
              <w:rPr>
                <w:rFonts w:ascii="Times New Roman" w:hAnsi="Times New Roman" w:cs="Times New Roman"/>
                <w:color w:val="000000"/>
                <w:sz w:val="24"/>
                <w:szCs w:val="24"/>
              </w:rPr>
            </w:pPr>
            <w:r w:rsidRPr="00B035DF">
              <w:rPr>
                <w:rFonts w:ascii="Times New Roman" w:hAnsi="Times New Roman" w:cs="Times New Roman"/>
                <w:color w:val="000000"/>
                <w:sz w:val="24"/>
                <w:szCs w:val="24"/>
              </w:rPr>
              <w:t>Communications In Computer And Information Science</w:t>
            </w:r>
          </w:p>
        </w:tc>
        <w:tc>
          <w:tcPr>
            <w:tcW w:w="1559" w:type="dxa"/>
            <w:shd w:val="clear" w:color="auto" w:fill="auto"/>
            <w:noWrap/>
            <w:vAlign w:val="bottom"/>
            <w:hideMark/>
          </w:tcPr>
          <w:p w:rsidR="00203B7D" w:rsidRPr="00B035DF" w:rsidRDefault="004A48C0" w:rsidP="00203B7D">
            <w:pPr>
              <w:jc w:val="center"/>
              <w:rPr>
                <w:rFonts w:ascii="Times New Roman" w:hAnsi="Times New Roman" w:cs="Times New Roman"/>
                <w:color w:val="000000"/>
                <w:sz w:val="24"/>
                <w:szCs w:val="24"/>
              </w:rPr>
            </w:pPr>
            <w:r w:rsidRPr="00B035DF">
              <w:rPr>
                <w:rFonts w:ascii="Times New Roman" w:hAnsi="Times New Roman" w:cs="Times New Roman"/>
                <w:color w:val="000000"/>
                <w:sz w:val="24"/>
                <w:szCs w:val="24"/>
              </w:rPr>
              <w:t>3</w:t>
            </w:r>
          </w:p>
        </w:tc>
      </w:tr>
      <w:tr w:rsidR="00D268C0" w:rsidTr="00C55B9B">
        <w:trPr>
          <w:trHeight w:val="300"/>
        </w:trPr>
        <w:tc>
          <w:tcPr>
            <w:tcW w:w="7104" w:type="dxa"/>
            <w:shd w:val="clear" w:color="auto" w:fill="auto"/>
            <w:noWrap/>
            <w:vAlign w:val="bottom"/>
            <w:hideMark/>
          </w:tcPr>
          <w:p w:rsidR="00203B7D" w:rsidRPr="00B035DF" w:rsidRDefault="004A48C0">
            <w:pPr>
              <w:rPr>
                <w:rFonts w:ascii="Times New Roman" w:hAnsi="Times New Roman" w:cs="Times New Roman"/>
                <w:color w:val="000000"/>
                <w:sz w:val="24"/>
                <w:szCs w:val="24"/>
              </w:rPr>
            </w:pPr>
            <w:r w:rsidRPr="00B035DF">
              <w:rPr>
                <w:rFonts w:ascii="Times New Roman" w:hAnsi="Times New Roman" w:cs="Times New Roman"/>
                <w:color w:val="000000"/>
                <w:sz w:val="24"/>
                <w:szCs w:val="24"/>
              </w:rPr>
              <w:t>Education Sciences</w:t>
            </w:r>
          </w:p>
        </w:tc>
        <w:tc>
          <w:tcPr>
            <w:tcW w:w="1559" w:type="dxa"/>
            <w:shd w:val="clear" w:color="auto" w:fill="auto"/>
            <w:noWrap/>
            <w:vAlign w:val="bottom"/>
            <w:hideMark/>
          </w:tcPr>
          <w:p w:rsidR="00203B7D" w:rsidRPr="00B035DF" w:rsidRDefault="004A48C0" w:rsidP="00203B7D">
            <w:pPr>
              <w:jc w:val="center"/>
              <w:rPr>
                <w:rFonts w:ascii="Times New Roman" w:hAnsi="Times New Roman" w:cs="Times New Roman"/>
                <w:color w:val="000000"/>
                <w:sz w:val="24"/>
                <w:szCs w:val="24"/>
              </w:rPr>
            </w:pPr>
            <w:r w:rsidRPr="00B035DF">
              <w:rPr>
                <w:rFonts w:ascii="Times New Roman" w:hAnsi="Times New Roman" w:cs="Times New Roman"/>
                <w:color w:val="000000"/>
                <w:sz w:val="24"/>
                <w:szCs w:val="24"/>
              </w:rPr>
              <w:t>3</w:t>
            </w:r>
          </w:p>
        </w:tc>
      </w:tr>
      <w:tr w:rsidR="00D268C0" w:rsidTr="00C55B9B">
        <w:trPr>
          <w:trHeight w:val="300"/>
        </w:trPr>
        <w:tc>
          <w:tcPr>
            <w:tcW w:w="7104" w:type="dxa"/>
            <w:shd w:val="clear" w:color="auto" w:fill="auto"/>
            <w:noWrap/>
            <w:vAlign w:val="bottom"/>
            <w:hideMark/>
          </w:tcPr>
          <w:p w:rsidR="00203B7D" w:rsidRPr="00B035DF" w:rsidRDefault="004A48C0">
            <w:pPr>
              <w:rPr>
                <w:rFonts w:ascii="Times New Roman" w:hAnsi="Times New Roman" w:cs="Times New Roman"/>
                <w:color w:val="000000"/>
                <w:sz w:val="24"/>
                <w:szCs w:val="24"/>
              </w:rPr>
            </w:pPr>
            <w:r w:rsidRPr="00B035DF">
              <w:rPr>
                <w:rFonts w:ascii="Times New Roman" w:hAnsi="Times New Roman" w:cs="Times New Roman"/>
                <w:color w:val="000000"/>
                <w:sz w:val="24"/>
                <w:szCs w:val="24"/>
              </w:rPr>
              <w:t>Entrepreneurship And Sustainability Issues</w:t>
            </w:r>
          </w:p>
        </w:tc>
        <w:tc>
          <w:tcPr>
            <w:tcW w:w="1559" w:type="dxa"/>
            <w:shd w:val="clear" w:color="auto" w:fill="auto"/>
            <w:noWrap/>
            <w:vAlign w:val="bottom"/>
            <w:hideMark/>
          </w:tcPr>
          <w:p w:rsidR="00203B7D" w:rsidRPr="00B035DF" w:rsidRDefault="004A48C0" w:rsidP="00203B7D">
            <w:pPr>
              <w:jc w:val="center"/>
              <w:rPr>
                <w:rFonts w:ascii="Times New Roman" w:hAnsi="Times New Roman" w:cs="Times New Roman"/>
                <w:color w:val="000000"/>
                <w:sz w:val="24"/>
                <w:szCs w:val="24"/>
              </w:rPr>
            </w:pPr>
            <w:r w:rsidRPr="00B035DF">
              <w:rPr>
                <w:rFonts w:ascii="Times New Roman" w:hAnsi="Times New Roman" w:cs="Times New Roman"/>
                <w:color w:val="000000"/>
                <w:sz w:val="24"/>
                <w:szCs w:val="24"/>
              </w:rPr>
              <w:t>3</w:t>
            </w:r>
          </w:p>
        </w:tc>
      </w:tr>
    </w:tbl>
    <w:p w:rsidR="00B8313E" w:rsidRPr="00046421" w:rsidRDefault="004A48C0" w:rsidP="00046421">
      <w:pPr>
        <w:spacing w:line="360" w:lineRule="auto"/>
        <w:jc w:val="center"/>
        <w:rPr>
          <w:rFonts w:ascii="Times New Roman" w:hAnsi="Times New Roman" w:cs="Times New Roman"/>
          <w:i/>
          <w:sz w:val="24"/>
          <w:szCs w:val="24"/>
        </w:rPr>
      </w:pPr>
      <w:r w:rsidRPr="00046421">
        <w:rPr>
          <w:rFonts w:ascii="Times New Roman" w:hAnsi="Times New Roman" w:cs="Times New Roman"/>
          <w:i/>
          <w:sz w:val="24"/>
          <w:szCs w:val="24"/>
        </w:rPr>
        <w:t>(Source: Scopus Data Base)</w:t>
      </w:r>
    </w:p>
    <w:p w:rsidR="006541C3" w:rsidRPr="00B035DF" w:rsidRDefault="004A48C0" w:rsidP="005E43A8">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3.3 </w:t>
      </w:r>
      <w:r w:rsidR="00246ECA" w:rsidRPr="00B035DF">
        <w:rPr>
          <w:rFonts w:ascii="Times New Roman" w:hAnsi="Times New Roman" w:cs="Times New Roman"/>
          <w:b/>
          <w:sz w:val="24"/>
          <w:szCs w:val="24"/>
        </w:rPr>
        <w:t>YEAR WISE PUBLICATION:</w:t>
      </w:r>
    </w:p>
    <w:p w:rsidR="001041A7" w:rsidRPr="00B035DF" w:rsidRDefault="004A48C0" w:rsidP="00246ECA">
      <w:pPr>
        <w:autoSpaceDE w:val="0"/>
        <w:autoSpaceDN w:val="0"/>
        <w:adjustRightInd w:val="0"/>
        <w:spacing w:after="0" w:line="360" w:lineRule="auto"/>
        <w:jc w:val="both"/>
        <w:rPr>
          <w:rFonts w:ascii="Times New Roman" w:hAnsi="Times New Roman" w:cs="Times New Roman"/>
          <w:sz w:val="24"/>
          <w:szCs w:val="24"/>
        </w:rPr>
      </w:pPr>
      <w:r w:rsidRPr="00B035DF">
        <w:rPr>
          <w:rFonts w:ascii="Times New Roman" w:hAnsi="Times New Roman" w:cs="Times New Roman"/>
          <w:sz w:val="24"/>
          <w:szCs w:val="24"/>
        </w:rPr>
        <w:t xml:space="preserve">This table shows the number of </w:t>
      </w:r>
      <w:r w:rsidR="00B84FB1">
        <w:rPr>
          <w:rFonts w:ascii="Times New Roman" w:hAnsi="Times New Roman" w:cs="Times New Roman"/>
          <w:sz w:val="24"/>
          <w:szCs w:val="24"/>
        </w:rPr>
        <w:t>studies</w:t>
      </w:r>
      <w:r w:rsidRPr="00B035DF">
        <w:rPr>
          <w:rFonts w:ascii="Times New Roman" w:hAnsi="Times New Roman" w:cs="Times New Roman"/>
          <w:sz w:val="24"/>
          <w:szCs w:val="24"/>
        </w:rPr>
        <w:t xml:space="preserve"> published from the year 2000 to 2021. It can be seen that the research on entrepreneurial competencies has been growing over the years. Thenumber of published </w:t>
      </w:r>
      <w:r w:rsidR="00B84FB1">
        <w:rPr>
          <w:rFonts w:ascii="Times New Roman" w:hAnsi="Times New Roman" w:cs="Times New Roman"/>
          <w:sz w:val="24"/>
          <w:szCs w:val="24"/>
        </w:rPr>
        <w:t>studies</w:t>
      </w:r>
      <w:r w:rsidRPr="00B035DF">
        <w:rPr>
          <w:rFonts w:ascii="Times New Roman" w:hAnsi="Times New Roman" w:cs="Times New Roman"/>
          <w:sz w:val="24"/>
          <w:szCs w:val="24"/>
        </w:rPr>
        <w:t xml:space="preserve"> was very minim</w:t>
      </w:r>
      <w:r w:rsidR="00385E3C" w:rsidRPr="00B035DF">
        <w:rPr>
          <w:rFonts w:ascii="Times New Roman" w:hAnsi="Times New Roman" w:cs="Times New Roman"/>
          <w:sz w:val="24"/>
          <w:szCs w:val="24"/>
        </w:rPr>
        <w:t>al during the years 2000 to 2014</w:t>
      </w:r>
      <w:r w:rsidRPr="00B035DF">
        <w:rPr>
          <w:rFonts w:ascii="Times New Roman" w:hAnsi="Times New Roman" w:cs="Times New Roman"/>
          <w:sz w:val="24"/>
          <w:szCs w:val="24"/>
        </w:rPr>
        <w:t>. Then, therewas an impres</w:t>
      </w:r>
      <w:r w:rsidR="00385E3C" w:rsidRPr="00B035DF">
        <w:rPr>
          <w:rFonts w:ascii="Times New Roman" w:hAnsi="Times New Roman" w:cs="Times New Roman"/>
          <w:sz w:val="24"/>
          <w:szCs w:val="24"/>
        </w:rPr>
        <w:t>sive increase from the year 2014 to 2019</w:t>
      </w:r>
      <w:r w:rsidRPr="00B035DF">
        <w:rPr>
          <w:rFonts w:ascii="Times New Roman" w:hAnsi="Times New Roman" w:cs="Times New Roman"/>
          <w:sz w:val="24"/>
          <w:szCs w:val="24"/>
        </w:rPr>
        <w:t xml:space="preserve">, </w:t>
      </w:r>
      <w:r w:rsidR="006E7799" w:rsidRPr="00B035DF">
        <w:rPr>
          <w:rFonts w:ascii="Times New Roman" w:hAnsi="Times New Roman" w:cs="Times New Roman"/>
          <w:sz w:val="24"/>
          <w:szCs w:val="24"/>
        </w:rPr>
        <w:t xml:space="preserve">the number of </w:t>
      </w:r>
      <w:r w:rsidR="00B84FB1">
        <w:rPr>
          <w:rFonts w:ascii="Times New Roman" w:hAnsi="Times New Roman" w:cs="Times New Roman"/>
          <w:sz w:val="24"/>
          <w:szCs w:val="24"/>
        </w:rPr>
        <w:t>studies</w:t>
      </w:r>
      <w:r w:rsidR="006E7799" w:rsidRPr="00B035DF">
        <w:rPr>
          <w:rFonts w:ascii="Times New Roman" w:hAnsi="Times New Roman" w:cs="Times New Roman"/>
          <w:sz w:val="24"/>
          <w:szCs w:val="24"/>
        </w:rPr>
        <w:t xml:space="preserve"> rose from </w:t>
      </w:r>
      <w:r w:rsidR="00385E3C" w:rsidRPr="00B035DF">
        <w:rPr>
          <w:rFonts w:ascii="Times New Roman" w:hAnsi="Times New Roman" w:cs="Times New Roman"/>
          <w:sz w:val="24"/>
          <w:szCs w:val="24"/>
        </w:rPr>
        <w:t>1</w:t>
      </w:r>
      <w:r w:rsidR="006E7799" w:rsidRPr="00B035DF">
        <w:rPr>
          <w:rFonts w:ascii="Times New Roman" w:hAnsi="Times New Roman" w:cs="Times New Roman"/>
          <w:sz w:val="24"/>
          <w:szCs w:val="24"/>
        </w:rPr>
        <w:t>6</w:t>
      </w:r>
      <w:r w:rsidRPr="00B035DF">
        <w:rPr>
          <w:rFonts w:ascii="Times New Roman" w:hAnsi="Times New Roman" w:cs="Times New Roman"/>
          <w:sz w:val="24"/>
          <w:szCs w:val="24"/>
        </w:rPr>
        <w:t xml:space="preserve"> to</w:t>
      </w:r>
    </w:p>
    <w:p w:rsidR="001041A7" w:rsidRDefault="004A48C0" w:rsidP="00246ECA">
      <w:pPr>
        <w:autoSpaceDE w:val="0"/>
        <w:autoSpaceDN w:val="0"/>
        <w:adjustRightInd w:val="0"/>
        <w:spacing w:after="0" w:line="360" w:lineRule="auto"/>
        <w:jc w:val="both"/>
        <w:rPr>
          <w:rFonts w:ascii="Times New Roman" w:hAnsi="Times New Roman" w:cs="Times New Roman"/>
          <w:sz w:val="24"/>
          <w:szCs w:val="24"/>
        </w:rPr>
      </w:pPr>
      <w:r w:rsidRPr="00B035DF">
        <w:rPr>
          <w:rFonts w:ascii="Times New Roman" w:hAnsi="Times New Roman" w:cs="Times New Roman"/>
          <w:sz w:val="24"/>
          <w:szCs w:val="24"/>
        </w:rPr>
        <w:t xml:space="preserve">75. Further, it can be seen that a maximum number of </w:t>
      </w:r>
      <w:r w:rsidR="00B84FB1">
        <w:rPr>
          <w:rFonts w:ascii="Times New Roman" w:hAnsi="Times New Roman" w:cs="Times New Roman"/>
          <w:sz w:val="24"/>
          <w:szCs w:val="24"/>
        </w:rPr>
        <w:t>studies</w:t>
      </w:r>
      <w:r w:rsidRPr="00B035DF">
        <w:rPr>
          <w:rFonts w:ascii="Times New Roman" w:hAnsi="Times New Roman" w:cs="Times New Roman"/>
          <w:sz w:val="24"/>
          <w:szCs w:val="24"/>
        </w:rPr>
        <w:t xml:space="preserve"> hav</w:t>
      </w:r>
      <w:r w:rsidR="006E7799" w:rsidRPr="00B035DF">
        <w:rPr>
          <w:rFonts w:ascii="Times New Roman" w:hAnsi="Times New Roman" w:cs="Times New Roman"/>
          <w:sz w:val="24"/>
          <w:szCs w:val="24"/>
        </w:rPr>
        <w:t>e been published in the last five</w:t>
      </w:r>
      <w:r w:rsidRPr="00B035DF">
        <w:rPr>
          <w:rFonts w:ascii="Times New Roman" w:hAnsi="Times New Roman" w:cs="Times New Roman"/>
          <w:sz w:val="24"/>
          <w:szCs w:val="24"/>
        </w:rPr>
        <w:t xml:space="preserve"> years.The number of </w:t>
      </w:r>
      <w:r w:rsidR="00B84FB1">
        <w:rPr>
          <w:rFonts w:ascii="Times New Roman" w:hAnsi="Times New Roman" w:cs="Times New Roman"/>
          <w:sz w:val="24"/>
          <w:szCs w:val="24"/>
        </w:rPr>
        <w:t>studies</w:t>
      </w:r>
      <w:r w:rsidR="006E7799" w:rsidRPr="00B035DF">
        <w:rPr>
          <w:rFonts w:ascii="Times New Roman" w:hAnsi="Times New Roman" w:cs="Times New Roman"/>
          <w:sz w:val="24"/>
          <w:szCs w:val="24"/>
        </w:rPr>
        <w:t xml:space="preserve"> exponentially increased </w:t>
      </w:r>
      <w:r w:rsidRPr="00B035DF">
        <w:rPr>
          <w:rFonts w:ascii="Times New Roman" w:hAnsi="Times New Roman" w:cs="Times New Roman"/>
          <w:sz w:val="24"/>
          <w:szCs w:val="24"/>
        </w:rPr>
        <w:t>from 32 to 68 from the year 2016</w:t>
      </w:r>
      <w:r w:rsidR="006E7799" w:rsidRPr="00B035DF">
        <w:rPr>
          <w:rFonts w:ascii="Times New Roman" w:hAnsi="Times New Roman" w:cs="Times New Roman"/>
          <w:sz w:val="24"/>
          <w:szCs w:val="24"/>
        </w:rPr>
        <w:t xml:space="preserve"> to 2021</w:t>
      </w:r>
      <w:r w:rsidRPr="00B035DF">
        <w:rPr>
          <w:rFonts w:ascii="Times New Roman" w:hAnsi="Times New Roman" w:cs="Times New Roman"/>
          <w:sz w:val="24"/>
          <w:szCs w:val="24"/>
        </w:rPr>
        <w:t xml:space="preserve">.The maximum </w:t>
      </w:r>
      <w:r w:rsidR="00F16AC4">
        <w:rPr>
          <w:rFonts w:ascii="Times New Roman" w:hAnsi="Times New Roman" w:cs="Times New Roman"/>
          <w:sz w:val="24"/>
          <w:szCs w:val="24"/>
        </w:rPr>
        <w:t xml:space="preserve">number of </w:t>
      </w:r>
      <w:r w:rsidR="00B84FB1">
        <w:rPr>
          <w:rFonts w:ascii="Times New Roman" w:hAnsi="Times New Roman" w:cs="Times New Roman"/>
          <w:sz w:val="24"/>
          <w:szCs w:val="24"/>
        </w:rPr>
        <w:t>studies</w:t>
      </w:r>
      <w:r w:rsidR="00F16AC4" w:rsidRPr="00B035DF">
        <w:rPr>
          <w:rFonts w:ascii="Times New Roman" w:hAnsi="Times New Roman" w:cs="Times New Roman"/>
          <w:sz w:val="24"/>
          <w:szCs w:val="24"/>
        </w:rPr>
        <w:t xml:space="preserve"> was</w:t>
      </w:r>
      <w:r w:rsidRPr="00B035DF">
        <w:rPr>
          <w:rFonts w:ascii="Times New Roman" w:hAnsi="Times New Roman" w:cs="Times New Roman"/>
          <w:sz w:val="24"/>
          <w:szCs w:val="24"/>
        </w:rPr>
        <w:t xml:space="preserve"> published in 2019 with 75 </w:t>
      </w:r>
      <w:r w:rsidR="00B84FB1">
        <w:rPr>
          <w:rFonts w:ascii="Times New Roman" w:hAnsi="Times New Roman" w:cs="Times New Roman"/>
          <w:sz w:val="24"/>
          <w:szCs w:val="24"/>
        </w:rPr>
        <w:t>studies</w:t>
      </w:r>
      <w:r w:rsidRPr="00B035DF">
        <w:rPr>
          <w:rFonts w:ascii="Times New Roman" w:hAnsi="Times New Roman" w:cs="Times New Roman"/>
          <w:sz w:val="24"/>
          <w:szCs w:val="24"/>
        </w:rPr>
        <w:t xml:space="preserve">. This clearly shows that the interest of researchers has grown tremendously </w:t>
      </w:r>
      <w:r w:rsidR="00646B1D">
        <w:rPr>
          <w:rFonts w:ascii="Times New Roman" w:hAnsi="Times New Roman" w:cs="Times New Roman"/>
          <w:sz w:val="24"/>
          <w:szCs w:val="24"/>
        </w:rPr>
        <w:t>in</w:t>
      </w:r>
      <w:r w:rsidRPr="00B035DF">
        <w:rPr>
          <w:rFonts w:ascii="Times New Roman" w:hAnsi="Times New Roman" w:cs="Times New Roman"/>
          <w:sz w:val="24"/>
          <w:szCs w:val="24"/>
        </w:rPr>
        <w:t xml:space="preserve"> thisfield, in recent times.</w:t>
      </w:r>
    </w:p>
    <w:p w:rsidR="008E37E3" w:rsidRDefault="008E37E3" w:rsidP="00246ECA">
      <w:pPr>
        <w:autoSpaceDE w:val="0"/>
        <w:autoSpaceDN w:val="0"/>
        <w:adjustRightInd w:val="0"/>
        <w:spacing w:after="0" w:line="360" w:lineRule="auto"/>
        <w:jc w:val="both"/>
        <w:rPr>
          <w:rFonts w:ascii="Times New Roman" w:hAnsi="Times New Roman" w:cs="Times New Roman"/>
          <w:sz w:val="24"/>
          <w:szCs w:val="24"/>
        </w:rPr>
      </w:pPr>
    </w:p>
    <w:p w:rsidR="006E7799" w:rsidRPr="00B035DF" w:rsidRDefault="004A48C0" w:rsidP="00262AAA">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Figure 3</w:t>
      </w:r>
      <w:r w:rsidR="00046421">
        <w:rPr>
          <w:rFonts w:ascii="Times New Roman" w:hAnsi="Times New Roman" w:cs="Times New Roman"/>
          <w:sz w:val="24"/>
          <w:szCs w:val="24"/>
        </w:rPr>
        <w:t>: Year</w:t>
      </w:r>
      <w:r w:rsidR="00B84FB1">
        <w:rPr>
          <w:rFonts w:ascii="Times New Roman" w:hAnsi="Times New Roman" w:cs="Times New Roman"/>
          <w:sz w:val="24"/>
          <w:szCs w:val="24"/>
        </w:rPr>
        <w:t>-</w:t>
      </w:r>
      <w:r w:rsidR="00262AAA">
        <w:rPr>
          <w:rFonts w:ascii="Times New Roman" w:hAnsi="Times New Roman" w:cs="Times New Roman"/>
          <w:sz w:val="24"/>
          <w:szCs w:val="24"/>
        </w:rPr>
        <w:t>wise Publications</w:t>
      </w:r>
    </w:p>
    <w:p w:rsidR="006E7799" w:rsidRPr="00B035DF" w:rsidRDefault="004A48C0" w:rsidP="006E7799">
      <w:pPr>
        <w:autoSpaceDE w:val="0"/>
        <w:autoSpaceDN w:val="0"/>
        <w:adjustRightInd w:val="0"/>
        <w:spacing w:after="0" w:line="360" w:lineRule="auto"/>
        <w:jc w:val="both"/>
        <w:rPr>
          <w:rFonts w:ascii="Times New Roman" w:hAnsi="Times New Roman" w:cs="Times New Roman"/>
          <w:sz w:val="24"/>
          <w:szCs w:val="24"/>
        </w:rPr>
      </w:pPr>
      <w:r w:rsidRPr="00B035DF">
        <w:rPr>
          <w:rFonts w:ascii="Times New Roman" w:hAnsi="Times New Roman" w:cs="Times New Roman"/>
          <w:noProof/>
          <w:sz w:val="24"/>
          <w:szCs w:val="24"/>
        </w:rPr>
        <w:lastRenderedPageBreak/>
        <w:drawing>
          <wp:inline distT="0" distB="0" distL="0" distR="0">
            <wp:extent cx="5487670" cy="3933825"/>
            <wp:effectExtent l="19050" t="0" r="1778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E37E3" w:rsidRDefault="004A48C0" w:rsidP="008E37E3">
      <w:pPr>
        <w:spacing w:line="360" w:lineRule="auto"/>
        <w:jc w:val="center"/>
        <w:rPr>
          <w:rFonts w:ascii="Times New Roman" w:hAnsi="Times New Roman" w:cs="Times New Roman"/>
          <w:i/>
          <w:sz w:val="24"/>
          <w:szCs w:val="24"/>
        </w:rPr>
      </w:pPr>
      <w:r w:rsidRPr="00046421">
        <w:rPr>
          <w:rFonts w:ascii="Times New Roman" w:hAnsi="Times New Roman" w:cs="Times New Roman"/>
          <w:i/>
          <w:sz w:val="24"/>
          <w:szCs w:val="24"/>
        </w:rPr>
        <w:t>(Source: Scopus Data Base)</w:t>
      </w:r>
    </w:p>
    <w:p w:rsidR="00381E43" w:rsidRPr="008E37E3" w:rsidRDefault="004A48C0" w:rsidP="008E37E3">
      <w:pPr>
        <w:spacing w:line="360" w:lineRule="auto"/>
        <w:rPr>
          <w:rFonts w:ascii="Times New Roman" w:hAnsi="Times New Roman" w:cs="Times New Roman"/>
          <w:i/>
          <w:sz w:val="24"/>
          <w:szCs w:val="24"/>
        </w:rPr>
      </w:pPr>
      <w:r>
        <w:rPr>
          <w:rFonts w:ascii="Times New Roman" w:hAnsi="Times New Roman" w:cs="Times New Roman"/>
          <w:b/>
          <w:sz w:val="24"/>
          <w:szCs w:val="24"/>
        </w:rPr>
        <w:t xml:space="preserve">3.4 </w:t>
      </w:r>
      <w:r w:rsidR="00246ECA" w:rsidRPr="00B035DF">
        <w:rPr>
          <w:rFonts w:ascii="Times New Roman" w:hAnsi="Times New Roman" w:cs="Times New Roman"/>
          <w:b/>
          <w:sz w:val="24"/>
          <w:szCs w:val="24"/>
        </w:rPr>
        <w:t>MOST CITED PAPER:</w:t>
      </w:r>
    </w:p>
    <w:p w:rsidR="00AD1969" w:rsidRPr="00B035DF" w:rsidRDefault="004A48C0" w:rsidP="00AD1969">
      <w:pPr>
        <w:spacing w:after="0" w:line="360" w:lineRule="auto"/>
        <w:jc w:val="both"/>
        <w:rPr>
          <w:rFonts w:ascii="Times New Roman" w:eastAsia="Times New Roman" w:hAnsi="Times New Roman" w:cs="Times New Roman"/>
          <w:color w:val="000000"/>
          <w:sz w:val="24"/>
          <w:szCs w:val="24"/>
        </w:rPr>
      </w:pPr>
      <w:r w:rsidRPr="00B035DF">
        <w:rPr>
          <w:rFonts w:ascii="Times New Roman" w:hAnsi="Times New Roman" w:cs="Times New Roman"/>
          <w:sz w:val="24"/>
          <w:szCs w:val="24"/>
        </w:rPr>
        <w:t xml:space="preserve">Focussing on the Scopus content, a list of the twenty most cited </w:t>
      </w:r>
      <w:r w:rsidR="00B84FB1">
        <w:rPr>
          <w:rFonts w:ascii="Times New Roman" w:hAnsi="Times New Roman" w:cs="Times New Roman"/>
          <w:sz w:val="24"/>
          <w:szCs w:val="24"/>
        </w:rPr>
        <w:t>studies</w:t>
      </w:r>
      <w:r w:rsidRPr="00B035DF">
        <w:rPr>
          <w:rFonts w:ascii="Times New Roman" w:hAnsi="Times New Roman" w:cs="Times New Roman"/>
          <w:sz w:val="24"/>
          <w:szCs w:val="24"/>
        </w:rPr>
        <w:t xml:space="preserve"> is presented in the table. The most cited paper 572 citation is</w:t>
      </w:r>
      <w:r w:rsidRPr="00B035DF">
        <w:rPr>
          <w:rFonts w:ascii="Times New Roman" w:eastAsia="Times New Roman" w:hAnsi="Times New Roman" w:cs="Times New Roman"/>
          <w:color w:val="000000"/>
          <w:sz w:val="24"/>
          <w:szCs w:val="24"/>
        </w:rPr>
        <w:t xml:space="preserve"> by Man T.W.Y., Lau T., Chan K.F. In this work, a conceptual model is constructed to link the characteristics of owner-managers of small and medium-sized businesses (SMEs) and their company's performance. Competitive scope, organi</w:t>
      </w:r>
      <w:r w:rsidR="00646B1D">
        <w:rPr>
          <w:rFonts w:ascii="Times New Roman" w:eastAsia="Times New Roman" w:hAnsi="Times New Roman" w:cs="Times New Roman"/>
          <w:color w:val="000000"/>
          <w:sz w:val="24"/>
          <w:szCs w:val="24"/>
        </w:rPr>
        <w:t>z</w:t>
      </w:r>
      <w:r w:rsidRPr="00B035DF">
        <w:rPr>
          <w:rFonts w:ascii="Times New Roman" w:eastAsia="Times New Roman" w:hAnsi="Times New Roman" w:cs="Times New Roman"/>
          <w:color w:val="000000"/>
          <w:sz w:val="24"/>
          <w:szCs w:val="24"/>
        </w:rPr>
        <w:t>ational capabilities, entrepreneurial talents, and performance are the four con</w:t>
      </w:r>
      <w:r w:rsidR="00F16AC4">
        <w:rPr>
          <w:rFonts w:ascii="Times New Roman" w:eastAsia="Times New Roman" w:hAnsi="Times New Roman" w:cs="Times New Roman"/>
          <w:color w:val="000000"/>
          <w:sz w:val="24"/>
          <w:szCs w:val="24"/>
        </w:rPr>
        <w:t xml:space="preserve">structs of the model </w:t>
      </w:r>
      <w:r w:rsidR="00162C79">
        <w:rPr>
          <w:rFonts w:ascii="Times New Roman" w:eastAsia="Times New Roman" w:hAnsi="Times New Roman" w:cs="Times New Roman"/>
          <w:color w:val="000000"/>
          <w:sz w:val="24"/>
          <w:szCs w:val="24"/>
        </w:rPr>
        <w:fldChar w:fldCharType="begin" w:fldLock="1"/>
      </w:r>
      <w:r w:rsidR="00F16AC4">
        <w:rPr>
          <w:rFonts w:ascii="Times New Roman" w:eastAsia="Times New Roman" w:hAnsi="Times New Roman" w:cs="Times New Roman"/>
          <w:color w:val="000000"/>
          <w:sz w:val="24"/>
          <w:szCs w:val="24"/>
        </w:rPr>
        <w:instrText>ADDIN CSL_CITATION {"citationItems":[{"id":"ITEM-1","itemData":{"DOI":"10.1016/S0883-9026(00)00058-6","ISSN":"08839026","abstract":"By drawing upon the concept of competitiveness and the competency approach, a conceptual model is developed to link the characteristics of small and medium-sized enterprises' (SMEs') owner-managers and their firms' performance together. The model consists of four constructs of competitive scope, organizational capabilities, entrepreneurial competencies and performance. The central focus of the model is the three entrepreneurial tasks that link different competency areas with other constructs of competitiveness. Propositions related to these relationships are made. The model suggests further research in different competency areas, interindustry comparisons, and validating studies. © 2001 Elsevier Science Inc. All rights reserved.","author":[{"dropping-particle":"","family":"Man","given":"Thomas W.Y.","non-dropping-particle":"","parse-names":false,"suffix":""},{"dropping-particle":"","family":"Lau","given":"Theresa","non-dropping-particle":"","parse-names":false,"suffix":""},{"dropping-particle":"","family":"Chan","given":"K. F.","non-dropping-particle":"","parse-names":false,"suffix":""}],"container-title":"Journal of Business Venturing","id":"ITEM-1","issue":"2","issued":{"date-parts":[["2002"]]},"page":"123-142","title":"The competitiveness of small and medium enterprises: A conceptualization with focus on entrepreneurial competencies","type":"article-journal","volume":"17"},"uris":["http://www.mendeley.com/documents/?uuid=2f4c2d64-00c9-4ed6-9903-9e3a2c3a9346"]}],"mendeley":{"formattedCitation":"(Man et al., 2002)","plainTextFormattedCitation":"(Man et al., 2002)","previouslyFormattedCitation":"(Man et al., 2002)"},"properties":{"noteIndex":0},"schema":"https://github.com/citation-style-language/schema/raw/master/csl-citation.json"}</w:instrText>
      </w:r>
      <w:r w:rsidR="00162C79">
        <w:rPr>
          <w:rFonts w:ascii="Times New Roman" w:eastAsia="Times New Roman" w:hAnsi="Times New Roman" w:cs="Times New Roman"/>
          <w:color w:val="000000"/>
          <w:sz w:val="24"/>
          <w:szCs w:val="24"/>
        </w:rPr>
        <w:fldChar w:fldCharType="separate"/>
      </w:r>
      <w:r w:rsidR="00F16AC4" w:rsidRPr="00F16AC4">
        <w:rPr>
          <w:rFonts w:ascii="Times New Roman" w:eastAsia="Times New Roman" w:hAnsi="Times New Roman" w:cs="Times New Roman"/>
          <w:noProof/>
          <w:color w:val="000000"/>
          <w:sz w:val="24"/>
          <w:szCs w:val="24"/>
        </w:rPr>
        <w:t>(Man et al., 2002)</w:t>
      </w:r>
      <w:r w:rsidR="00162C79">
        <w:rPr>
          <w:rFonts w:ascii="Times New Roman" w:eastAsia="Times New Roman" w:hAnsi="Times New Roman" w:cs="Times New Roman"/>
          <w:color w:val="000000"/>
          <w:sz w:val="24"/>
          <w:szCs w:val="24"/>
        </w:rPr>
        <w:fldChar w:fldCharType="end"/>
      </w:r>
      <w:r w:rsidR="00F16AC4">
        <w:rPr>
          <w:rFonts w:ascii="Times New Roman" w:eastAsia="Times New Roman" w:hAnsi="Times New Roman" w:cs="Times New Roman"/>
          <w:color w:val="000000"/>
          <w:sz w:val="24"/>
          <w:szCs w:val="24"/>
        </w:rPr>
        <w:t>.</w:t>
      </w:r>
    </w:p>
    <w:p w:rsidR="00381E43" w:rsidRPr="00B035DF" w:rsidRDefault="00381E43" w:rsidP="00AD1969">
      <w:pPr>
        <w:spacing w:after="0" w:line="360" w:lineRule="auto"/>
        <w:jc w:val="both"/>
        <w:rPr>
          <w:rFonts w:ascii="Times New Roman" w:eastAsia="Times New Roman" w:hAnsi="Times New Roman" w:cs="Times New Roman"/>
          <w:color w:val="000000"/>
          <w:sz w:val="24"/>
          <w:szCs w:val="24"/>
        </w:rPr>
      </w:pPr>
    </w:p>
    <w:p w:rsidR="00AD1969" w:rsidRPr="00B035DF" w:rsidRDefault="004A48C0" w:rsidP="00AD1969">
      <w:pPr>
        <w:spacing w:after="0" w:line="360" w:lineRule="auto"/>
        <w:jc w:val="both"/>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 xml:space="preserve">The </w:t>
      </w:r>
      <w:r w:rsidR="00161C8C" w:rsidRPr="00B035DF">
        <w:rPr>
          <w:rFonts w:ascii="Times New Roman" w:eastAsia="Times New Roman" w:hAnsi="Times New Roman" w:cs="Times New Roman"/>
          <w:color w:val="000000"/>
          <w:sz w:val="24"/>
          <w:szCs w:val="24"/>
        </w:rPr>
        <w:t>second most cited paper with 328</w:t>
      </w:r>
      <w:r w:rsidRPr="00B035DF">
        <w:rPr>
          <w:rFonts w:ascii="Times New Roman" w:eastAsia="Times New Roman" w:hAnsi="Times New Roman" w:cs="Times New Roman"/>
          <w:color w:val="000000"/>
          <w:sz w:val="24"/>
          <w:szCs w:val="24"/>
        </w:rPr>
        <w:t xml:space="preserve"> citation</w:t>
      </w:r>
      <w:r w:rsidR="00646B1D">
        <w:rPr>
          <w:rFonts w:ascii="Times New Roman" w:eastAsia="Times New Roman" w:hAnsi="Times New Roman" w:cs="Times New Roman"/>
          <w:color w:val="000000"/>
          <w:sz w:val="24"/>
          <w:szCs w:val="24"/>
        </w:rPr>
        <w:t>s</w:t>
      </w:r>
      <w:r w:rsidRPr="00B035DF">
        <w:rPr>
          <w:rFonts w:ascii="Times New Roman" w:eastAsia="Times New Roman" w:hAnsi="Times New Roman" w:cs="Times New Roman"/>
          <w:color w:val="000000"/>
          <w:sz w:val="24"/>
          <w:szCs w:val="24"/>
        </w:rPr>
        <w:t xml:space="preserve"> is “Entrepreneurial competencies: A literature review and development agenda” by Mitchelmore S., Rowley J.The goal of this paper is to conduct a literature review of entrepreneurial competence research to provide an integrated account of contributions relating to entrepreneurial competencies by different authors working in different countries, different industry sectors, and at different times; and develop an agenda for future research and practi</w:t>
      </w:r>
      <w:r w:rsidR="00646B1D">
        <w:rPr>
          <w:rFonts w:ascii="Times New Roman" w:eastAsia="Times New Roman" w:hAnsi="Times New Roman" w:cs="Times New Roman"/>
          <w:color w:val="000000"/>
          <w:sz w:val="24"/>
          <w:szCs w:val="24"/>
        </w:rPr>
        <w:t>c</w:t>
      </w:r>
      <w:r w:rsidRPr="00B035DF">
        <w:rPr>
          <w:rFonts w:ascii="Times New Roman" w:eastAsia="Times New Roman" w:hAnsi="Times New Roman" w:cs="Times New Roman"/>
          <w:color w:val="000000"/>
          <w:sz w:val="24"/>
          <w:szCs w:val="24"/>
        </w:rPr>
        <w:t xml:space="preserve">e </w:t>
      </w:r>
      <w:r w:rsidR="00646B1D">
        <w:rPr>
          <w:rFonts w:ascii="Times New Roman" w:eastAsia="Times New Roman" w:hAnsi="Times New Roman" w:cs="Times New Roman"/>
          <w:color w:val="000000"/>
          <w:sz w:val="24"/>
          <w:szCs w:val="24"/>
        </w:rPr>
        <w:t>about</w:t>
      </w:r>
      <w:r w:rsidR="00F16AC4">
        <w:rPr>
          <w:rFonts w:ascii="Times New Roman" w:eastAsia="Times New Roman" w:hAnsi="Times New Roman" w:cs="Times New Roman"/>
          <w:color w:val="000000"/>
          <w:sz w:val="24"/>
          <w:szCs w:val="24"/>
        </w:rPr>
        <w:t xml:space="preserve"> entrepreneurial competencies </w:t>
      </w:r>
      <w:r w:rsidR="00162C79">
        <w:rPr>
          <w:rFonts w:ascii="Times New Roman" w:eastAsia="Times New Roman" w:hAnsi="Times New Roman" w:cs="Times New Roman"/>
          <w:color w:val="000000"/>
          <w:sz w:val="24"/>
          <w:szCs w:val="24"/>
        </w:rPr>
        <w:fldChar w:fldCharType="begin" w:fldLock="1"/>
      </w:r>
      <w:r w:rsidR="00F16AC4">
        <w:rPr>
          <w:rFonts w:ascii="Times New Roman" w:eastAsia="Times New Roman" w:hAnsi="Times New Roman" w:cs="Times New Roman"/>
          <w:color w:val="000000"/>
          <w:sz w:val="24"/>
          <w:szCs w:val="24"/>
        </w:rPr>
        <w:instrText>ADDIN CSL_CITATION {"citationItems":[{"id":"ITEM-1","itemData":{"DOI":"10.1108/13552551011026995","ISSN":"13552554","abstract":"Purpose – Entrepreneurial competencies are seen as important to business growth and success. The purpose of this paper is therefore to undertake a literature review of research on entrepreneurial competence in order to: provide an integrated account of contributions relating to entrepreneurial competencies by different authors working in different countries and different industry sectors and at different points in time; and, develop an agenda for future research, and practice in relation to entrepreneurial competencies. Design/methodology/approach – The article starts with a review of the development of the concept of competence, with particular reference to its use in the context of management competencies. It then draws together views on the notion of entrepreneurial competence before exploring and summarising research on the link between entrepreneurial competencies and business performance and growth. A core section then compares the models of entrepreneurial competencies cited in the literature, and on this basis proposes a set of entrepreneurial competencies which can be used as the basis for further research and practice. Finally, the different perspectives adopted by researchers to the measurement of entrepreneurial competencies are reviewed. Findings – Conclusions suggest that although the concept of entrepreneurial competencies is used widely by government agencies and others in their drive for economic development and business success, the core concept of entrepreneurial competencies, its measurement and its relationship to entrepreneurial performance and business success is in need of further rigorous research and development in practice. Originality/value – This article integrates previous models of entrepreneurial competencies towards the development of an entrepreneurial competency framework. © 2010, Emerald Group Publishing Limited","author":[{"dropping-particle":"","family":"Mitchelmore","given":"Siwan","non-dropping-particle":"","parse-names":false,"suffix":""},{"dropping-particle":"","family":"Rowley","given":"Jennifer","non-dropping-particle":"","parse-names":false,"suffix":""}],"container-title":"International Journal of Entrepreneurial Behaviour &amp; Research","id":"ITEM-1","issue":"2","issued":{"date-parts":[["2010"]]},"page":"92-111","title":"Entrepreneurial competencies: A literature review and development agenda","type":"article-journal","volume":"16"},"uris":["http://www.mendeley.com/documents/?uuid=181f00f0-18a5-4805-af76-e27e04bef21e"]}],"mendeley":{"formattedCitation":"(Mitchelmore &amp; Rowley, 2010)","plainTextFormattedCitation":"(Mitchelmore &amp; Rowley, 2010)","previouslyFormattedCitation":"(Mitchelmore &amp; Rowley, 2010)"},"properties":{"noteIndex":0},"schema":"https://github.com/citation-style-language/schema/raw/master/csl-citation.json"}</w:instrText>
      </w:r>
      <w:r w:rsidR="00162C79">
        <w:rPr>
          <w:rFonts w:ascii="Times New Roman" w:eastAsia="Times New Roman" w:hAnsi="Times New Roman" w:cs="Times New Roman"/>
          <w:color w:val="000000"/>
          <w:sz w:val="24"/>
          <w:szCs w:val="24"/>
        </w:rPr>
        <w:fldChar w:fldCharType="separate"/>
      </w:r>
      <w:r w:rsidR="00F16AC4" w:rsidRPr="00F16AC4">
        <w:rPr>
          <w:rFonts w:ascii="Times New Roman" w:eastAsia="Times New Roman" w:hAnsi="Times New Roman" w:cs="Times New Roman"/>
          <w:noProof/>
          <w:color w:val="000000"/>
          <w:sz w:val="24"/>
          <w:szCs w:val="24"/>
        </w:rPr>
        <w:t>(Mitchelmore &amp; Rowley, 2010)</w:t>
      </w:r>
      <w:r w:rsidR="00162C79">
        <w:rPr>
          <w:rFonts w:ascii="Times New Roman" w:eastAsia="Times New Roman" w:hAnsi="Times New Roman" w:cs="Times New Roman"/>
          <w:color w:val="000000"/>
          <w:sz w:val="24"/>
          <w:szCs w:val="24"/>
        </w:rPr>
        <w:fldChar w:fldCharType="end"/>
      </w:r>
    </w:p>
    <w:p w:rsidR="00AD1969" w:rsidRPr="00B035DF" w:rsidRDefault="00AD1969" w:rsidP="00AD1969">
      <w:pPr>
        <w:spacing w:after="0" w:line="360" w:lineRule="auto"/>
        <w:jc w:val="both"/>
        <w:rPr>
          <w:rFonts w:ascii="Times New Roman" w:eastAsia="Times New Roman" w:hAnsi="Times New Roman" w:cs="Times New Roman"/>
          <w:color w:val="000000"/>
          <w:sz w:val="24"/>
          <w:szCs w:val="24"/>
        </w:rPr>
      </w:pPr>
    </w:p>
    <w:p w:rsidR="00AD1969" w:rsidRPr="00B035DF" w:rsidRDefault="004A48C0" w:rsidP="00AD1969">
      <w:pPr>
        <w:spacing w:after="0" w:line="360" w:lineRule="auto"/>
        <w:jc w:val="both"/>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lastRenderedPageBreak/>
        <w:t>Furthermore, the</w:t>
      </w:r>
      <w:r w:rsidR="00161C8C" w:rsidRPr="00B035DF">
        <w:rPr>
          <w:rFonts w:ascii="Times New Roman" w:eastAsia="Times New Roman" w:hAnsi="Times New Roman" w:cs="Times New Roman"/>
          <w:color w:val="000000"/>
          <w:sz w:val="24"/>
          <w:szCs w:val="24"/>
        </w:rPr>
        <w:t xml:space="preserve"> third most cited paper with 267</w:t>
      </w:r>
      <w:r w:rsidRPr="00B035DF">
        <w:rPr>
          <w:rFonts w:ascii="Times New Roman" w:eastAsia="Times New Roman" w:hAnsi="Times New Roman" w:cs="Times New Roman"/>
          <w:color w:val="000000"/>
          <w:sz w:val="24"/>
          <w:szCs w:val="24"/>
        </w:rPr>
        <w:t xml:space="preserve"> citations is “The Evolution of Entrepreneurial Competencies: A Longitudinal Study of University Spin-Off Venture Emergence” by Rasmussen E., Mosey S., Wright M. The goal of this article is to gain a better understanding of how entrepreneurial skills develop in non-commercial academic settings to start new businesses. To assist identify these competencies and explain their development trajectories, we use an evolutionary viewpoint that cons</w:t>
      </w:r>
      <w:r w:rsidR="00F16AC4">
        <w:rPr>
          <w:rFonts w:ascii="Times New Roman" w:eastAsia="Times New Roman" w:hAnsi="Times New Roman" w:cs="Times New Roman"/>
          <w:color w:val="000000"/>
          <w:sz w:val="24"/>
          <w:szCs w:val="24"/>
        </w:rPr>
        <w:t xml:space="preserve">iders where resources come from </w:t>
      </w:r>
      <w:r w:rsidR="00162C79">
        <w:rPr>
          <w:rFonts w:ascii="Times New Roman" w:eastAsia="Times New Roman" w:hAnsi="Times New Roman" w:cs="Times New Roman"/>
          <w:color w:val="000000"/>
          <w:sz w:val="24"/>
          <w:szCs w:val="24"/>
        </w:rPr>
        <w:fldChar w:fldCharType="begin" w:fldLock="1"/>
      </w:r>
      <w:r w:rsidR="00F16AC4">
        <w:rPr>
          <w:rFonts w:ascii="Times New Roman" w:eastAsia="Times New Roman" w:hAnsi="Times New Roman" w:cs="Times New Roman"/>
          <w:color w:val="000000"/>
          <w:sz w:val="24"/>
          <w:szCs w:val="24"/>
        </w:rPr>
        <w:instrText>ADDIN CSL_CITATION {"citationItems":[{"id":"ITEM-1","itemData":{"DOI":"10.1111/j.1467-6486.2010.00995.x","ISSN":"00222380","abstract":"This paper aims to better understand the development of entrepreneurial competencies to create new ventures within the non-commercial academic environment. We build upon the evolutionary perspective considering where resources come from to help define these competencies and explain their paths of development. The study follows the creation and early growth of four university spin-offs within the UK and Norway. We identified three competencies of opportunity refinement, leveraging, and championing that appeared crucial for the ventures to gain credibility. Although selected competencies were inherent within the academic founders, the specific competencies for venture creation had to be developed or acquired. This was achieved iteratively through entrepreneurial experience and accessing competencies from disparate actors such as industry partners and equity investors. Propositions are offered to guide future empirical research based upon our framework. © 2011 The Authors. Journal of Management Studies © 2011 Blackwell Publishing Ltd and Society for the Advancement of Management Studies.","author":[{"dropping-particle":"","family":"Rasmussen","given":"Einar","non-dropping-particle":"","parse-names":false,"suffix":""},{"dropping-particle":"","family":"Mosey","given":"Simon","non-dropping-particle":"","parse-names":false,"suffix":""},{"dropping-particle":"","family":"Wright","given":"Mike","non-dropping-particle":"","parse-names":false,"suffix":""}],"container-title":"Journal of Management Studies","id":"ITEM-1","issue":"6","issued":{"date-parts":[["2011"]]},"page":"1314-1345","title":"The Evolution of Entrepreneurial Competencies: A Longitudinal Study of University Spin-Off Venture Emergence","type":"article-journal","volume":"48"},"uris":["http://www.mendeley.com/documents/?uuid=7c3a99f2-3350-4048-b8d9-b742e9f05419"]}],"mendeley":{"formattedCitation":"(Rasmussen et al., 2011)","plainTextFormattedCitation":"(Rasmussen et al., 2011)","previouslyFormattedCitation":"(Rasmussen et al., 2011)"},"properties":{"noteIndex":0},"schema":"https://github.com/citation-style-language/schema/raw/master/csl-citation.json"}</w:instrText>
      </w:r>
      <w:r w:rsidR="00162C79">
        <w:rPr>
          <w:rFonts w:ascii="Times New Roman" w:eastAsia="Times New Roman" w:hAnsi="Times New Roman" w:cs="Times New Roman"/>
          <w:color w:val="000000"/>
          <w:sz w:val="24"/>
          <w:szCs w:val="24"/>
        </w:rPr>
        <w:fldChar w:fldCharType="separate"/>
      </w:r>
      <w:r w:rsidR="00F16AC4" w:rsidRPr="00F16AC4">
        <w:rPr>
          <w:rFonts w:ascii="Times New Roman" w:eastAsia="Times New Roman" w:hAnsi="Times New Roman" w:cs="Times New Roman"/>
          <w:noProof/>
          <w:color w:val="000000"/>
          <w:sz w:val="24"/>
          <w:szCs w:val="24"/>
        </w:rPr>
        <w:t>(Rasmussen et al., 2011)</w:t>
      </w:r>
      <w:r w:rsidR="00162C79">
        <w:rPr>
          <w:rFonts w:ascii="Times New Roman" w:eastAsia="Times New Roman" w:hAnsi="Times New Roman" w:cs="Times New Roman"/>
          <w:color w:val="000000"/>
          <w:sz w:val="24"/>
          <w:szCs w:val="24"/>
        </w:rPr>
        <w:fldChar w:fldCharType="end"/>
      </w:r>
      <w:r w:rsidR="00F16AC4">
        <w:rPr>
          <w:rFonts w:ascii="Times New Roman" w:eastAsia="Times New Roman" w:hAnsi="Times New Roman" w:cs="Times New Roman"/>
          <w:color w:val="000000"/>
          <w:sz w:val="24"/>
          <w:szCs w:val="24"/>
        </w:rPr>
        <w:t>.</w:t>
      </w:r>
    </w:p>
    <w:p w:rsidR="00BB4679" w:rsidRPr="00B035DF" w:rsidRDefault="00BB4679" w:rsidP="00AD1969">
      <w:pPr>
        <w:spacing w:after="0" w:line="360" w:lineRule="auto"/>
        <w:jc w:val="both"/>
        <w:rPr>
          <w:rFonts w:ascii="Times New Roman" w:eastAsia="Times New Roman" w:hAnsi="Times New Roman" w:cs="Times New Roman"/>
          <w:color w:val="000000"/>
          <w:sz w:val="24"/>
          <w:szCs w:val="24"/>
        </w:rPr>
      </w:pPr>
    </w:p>
    <w:p w:rsidR="00AD1969" w:rsidRDefault="004A48C0" w:rsidP="00AD1969">
      <w:pPr>
        <w:spacing w:after="0" w:line="360" w:lineRule="auto"/>
        <w:jc w:val="both"/>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Then the fourth most cited paper with 246 citations is “A competency-based perspective on entrepreneurship education: Conceptual and empirical insights” by Morris M.H., Webb J.W., Fu J., Singhal S. The competenc</w:t>
      </w:r>
      <w:r w:rsidR="00646B1D">
        <w:rPr>
          <w:rFonts w:ascii="Times New Roman" w:eastAsia="Times New Roman" w:hAnsi="Times New Roman" w:cs="Times New Roman"/>
          <w:color w:val="000000"/>
          <w:sz w:val="24"/>
          <w:szCs w:val="24"/>
        </w:rPr>
        <w:t>i</w:t>
      </w:r>
      <w:r w:rsidRPr="00B035DF">
        <w:rPr>
          <w:rFonts w:ascii="Times New Roman" w:eastAsia="Times New Roman" w:hAnsi="Times New Roman" w:cs="Times New Roman"/>
          <w:color w:val="000000"/>
          <w:sz w:val="24"/>
          <w:szCs w:val="24"/>
        </w:rPr>
        <w:t>es required for entrepreneurial action are studied in this research. Competencies are viewed as an outgrowth of the learning of scripts derived from interactions between the individual and the environment, based on structuration theory. The distinction between managerial and entrepreneurial skills is made, with the latter helping to define the subjec</w:t>
      </w:r>
      <w:r w:rsidR="00F16AC4">
        <w:rPr>
          <w:rFonts w:ascii="Times New Roman" w:eastAsia="Times New Roman" w:hAnsi="Times New Roman" w:cs="Times New Roman"/>
          <w:color w:val="000000"/>
          <w:sz w:val="24"/>
          <w:szCs w:val="24"/>
        </w:rPr>
        <w:t xml:space="preserve">t of entrepreneurship education </w:t>
      </w:r>
      <w:r w:rsidR="00162C79">
        <w:rPr>
          <w:rFonts w:ascii="Times New Roman" w:eastAsia="Times New Roman" w:hAnsi="Times New Roman" w:cs="Times New Roman"/>
          <w:color w:val="000000"/>
          <w:sz w:val="24"/>
          <w:szCs w:val="24"/>
        </w:rPr>
        <w:fldChar w:fldCharType="begin" w:fldLock="1"/>
      </w:r>
      <w:r w:rsidR="00F16AC4">
        <w:rPr>
          <w:rFonts w:ascii="Times New Roman" w:eastAsia="Times New Roman" w:hAnsi="Times New Roman" w:cs="Times New Roman"/>
          <w:color w:val="000000"/>
          <w:sz w:val="24"/>
          <w:szCs w:val="24"/>
        </w:rPr>
        <w:instrText>ADDIN CSL_CITATION {"citationItems":[{"id":"ITEM-1","itemData":{"DOI":"10.1111/jsbm.12023","ISSN":"00472778","abstract":"Competencies necessary for entrepreneurial action are investigated. Building on structuration theory, competencies are approached as an outgrowth of the learning of scripts deriving from interactions between the individual and environment. Managerial and entrepreneurial competencies are distinguished, with the latter helping to define the domain of entrepreneurship education. Employing a Delphi methodology, evidence is provided of a core set of 13 entrepreneurial competencies. Measures are then developed with a pilot study involving students in an international education program. Based on pre- and post-measures, findings demonstrate significant improvement on the competencies. Implications are drawn for the role of entrepreneurship education in competency development. © 2013 International Council for Small Business.","author":[{"dropping-particle":"","family":"Morris","given":"Michael H.","non-dropping-particle":"","parse-names":false,"suffix":""},{"dropping-particle":"","family":"Webb","given":"Justin W.","non-dropping-particle":"","parse-names":false,"suffix":""},{"dropping-particle":"","family":"Fu","given":"Jun","non-dropping-particle":"","parse-names":false,"suffix":""},{"dropping-particle":"","family":"Singhal","given":"Sujata","non-dropping-particle":"","parse-names":false,"suffix":""}],"container-title":"Journal of Small Business Management","id":"ITEM-1","issue":"3","issued":{"date-parts":[["2013"]]},"page":"352-369","title":"A competency-based perspective on entrepreneurship education: Conceptual and empirical insights","type":"article-journal","volume":"51"},"uris":["http://www.mendeley.com/documents/?uuid=2954605c-71cb-419d-be4c-46ab0e9bff50"]}],"mendeley":{"formattedCitation":"(Morris et al., 2013)","plainTextFormattedCitation":"(Morris et al., 2013)","previouslyFormattedCitation":"(Morris et al., 2013)"},"properties":{"noteIndex":0},"schema":"https://github.com/citation-style-language/schema/raw/master/csl-citation.json"}</w:instrText>
      </w:r>
      <w:r w:rsidR="00162C79">
        <w:rPr>
          <w:rFonts w:ascii="Times New Roman" w:eastAsia="Times New Roman" w:hAnsi="Times New Roman" w:cs="Times New Roman"/>
          <w:color w:val="000000"/>
          <w:sz w:val="24"/>
          <w:szCs w:val="24"/>
        </w:rPr>
        <w:fldChar w:fldCharType="separate"/>
      </w:r>
      <w:r w:rsidR="00F16AC4" w:rsidRPr="00F16AC4">
        <w:rPr>
          <w:rFonts w:ascii="Times New Roman" w:eastAsia="Times New Roman" w:hAnsi="Times New Roman" w:cs="Times New Roman"/>
          <w:noProof/>
          <w:color w:val="000000"/>
          <w:sz w:val="24"/>
          <w:szCs w:val="24"/>
        </w:rPr>
        <w:t>(Morris et al., 2013)</w:t>
      </w:r>
      <w:r w:rsidR="00162C79">
        <w:rPr>
          <w:rFonts w:ascii="Times New Roman" w:eastAsia="Times New Roman" w:hAnsi="Times New Roman" w:cs="Times New Roman"/>
          <w:color w:val="000000"/>
          <w:sz w:val="24"/>
          <w:szCs w:val="24"/>
        </w:rPr>
        <w:fldChar w:fldCharType="end"/>
      </w:r>
      <w:r w:rsidR="00F16AC4">
        <w:rPr>
          <w:rFonts w:ascii="Times New Roman" w:eastAsia="Times New Roman" w:hAnsi="Times New Roman" w:cs="Times New Roman"/>
          <w:color w:val="000000"/>
          <w:sz w:val="24"/>
          <w:szCs w:val="24"/>
        </w:rPr>
        <w:t>.</w:t>
      </w:r>
    </w:p>
    <w:p w:rsidR="008E37E3" w:rsidRDefault="008E37E3" w:rsidP="006E7799">
      <w:pPr>
        <w:autoSpaceDE w:val="0"/>
        <w:autoSpaceDN w:val="0"/>
        <w:adjustRightInd w:val="0"/>
        <w:spacing w:after="0" w:line="360" w:lineRule="auto"/>
        <w:jc w:val="both"/>
        <w:rPr>
          <w:rFonts w:ascii="Times New Roman" w:eastAsia="Times New Roman" w:hAnsi="Times New Roman" w:cs="Times New Roman"/>
          <w:color w:val="000000"/>
          <w:sz w:val="24"/>
          <w:szCs w:val="24"/>
        </w:rPr>
      </w:pPr>
    </w:p>
    <w:p w:rsidR="008E37E3" w:rsidRPr="00B035DF" w:rsidRDefault="008E37E3" w:rsidP="006E7799">
      <w:pPr>
        <w:autoSpaceDE w:val="0"/>
        <w:autoSpaceDN w:val="0"/>
        <w:adjustRightInd w:val="0"/>
        <w:spacing w:after="0" w:line="360" w:lineRule="auto"/>
        <w:jc w:val="both"/>
        <w:rPr>
          <w:rFonts w:ascii="Times New Roman" w:hAnsi="Times New Roman" w:cs="Times New Roman"/>
          <w:sz w:val="24"/>
          <w:szCs w:val="24"/>
        </w:rPr>
      </w:pPr>
    </w:p>
    <w:p w:rsidR="009B65FE" w:rsidRPr="00B035DF" w:rsidRDefault="004A48C0" w:rsidP="009B65FE">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Table 2: Most cited </w:t>
      </w:r>
      <w:r w:rsidR="00B84FB1">
        <w:rPr>
          <w:rFonts w:ascii="Times New Roman" w:hAnsi="Times New Roman" w:cs="Times New Roman"/>
          <w:sz w:val="24"/>
          <w:szCs w:val="24"/>
        </w:rPr>
        <w:t>studies</w:t>
      </w:r>
    </w:p>
    <w:tbl>
      <w:tblPr>
        <w:tblW w:w="9372" w:type="dxa"/>
        <w:tblInd w:w="92" w:type="dxa"/>
        <w:tblLook w:val="04A0"/>
      </w:tblPr>
      <w:tblGrid>
        <w:gridCol w:w="583"/>
        <w:gridCol w:w="2694"/>
        <w:gridCol w:w="4394"/>
        <w:gridCol w:w="850"/>
        <w:gridCol w:w="851"/>
      </w:tblGrid>
      <w:tr w:rsidR="00D268C0" w:rsidTr="00381E43">
        <w:trPr>
          <w:trHeight w:val="555"/>
        </w:trPr>
        <w:tc>
          <w:tcPr>
            <w:tcW w:w="583" w:type="dxa"/>
            <w:tcBorders>
              <w:top w:val="single" w:sz="4" w:space="0" w:color="auto"/>
              <w:left w:val="single" w:sz="4" w:space="0" w:color="auto"/>
              <w:bottom w:val="single" w:sz="4" w:space="0" w:color="auto"/>
              <w:right w:val="single" w:sz="4" w:space="0" w:color="auto"/>
            </w:tcBorders>
            <w:shd w:val="clear" w:color="auto" w:fill="auto"/>
            <w:hideMark/>
          </w:tcPr>
          <w:p w:rsidR="00381E43" w:rsidRPr="00B035DF" w:rsidRDefault="004A48C0" w:rsidP="009B65FE">
            <w:pPr>
              <w:spacing w:after="0" w:line="360" w:lineRule="auto"/>
              <w:jc w:val="center"/>
              <w:rPr>
                <w:rFonts w:ascii="Times New Roman" w:eastAsia="Times New Roman" w:hAnsi="Times New Roman" w:cs="Times New Roman"/>
                <w:b/>
                <w:bCs/>
                <w:color w:val="000000"/>
                <w:sz w:val="24"/>
                <w:szCs w:val="24"/>
              </w:rPr>
            </w:pPr>
            <w:r w:rsidRPr="00B035DF">
              <w:rPr>
                <w:rFonts w:ascii="Times New Roman" w:eastAsia="Times New Roman" w:hAnsi="Times New Roman" w:cs="Times New Roman"/>
                <w:b/>
                <w:bCs/>
                <w:color w:val="000000"/>
                <w:sz w:val="24"/>
                <w:szCs w:val="24"/>
              </w:rPr>
              <w:t>Sr. No</w:t>
            </w:r>
          </w:p>
        </w:tc>
        <w:tc>
          <w:tcPr>
            <w:tcW w:w="2694" w:type="dxa"/>
            <w:tcBorders>
              <w:top w:val="single" w:sz="4" w:space="0" w:color="auto"/>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jc w:val="center"/>
              <w:rPr>
                <w:rFonts w:ascii="Times New Roman" w:eastAsia="Times New Roman" w:hAnsi="Times New Roman" w:cs="Times New Roman"/>
                <w:b/>
                <w:bCs/>
                <w:color w:val="000000"/>
                <w:sz w:val="24"/>
                <w:szCs w:val="24"/>
              </w:rPr>
            </w:pPr>
            <w:r w:rsidRPr="00B035DF">
              <w:rPr>
                <w:rFonts w:ascii="Times New Roman" w:eastAsia="Times New Roman" w:hAnsi="Times New Roman" w:cs="Times New Roman"/>
                <w:b/>
                <w:bCs/>
                <w:color w:val="000000"/>
                <w:sz w:val="24"/>
                <w:szCs w:val="24"/>
              </w:rPr>
              <w:t>Authors</w:t>
            </w:r>
          </w:p>
        </w:tc>
        <w:tc>
          <w:tcPr>
            <w:tcW w:w="4394" w:type="dxa"/>
            <w:tcBorders>
              <w:top w:val="single" w:sz="4" w:space="0" w:color="auto"/>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jc w:val="center"/>
              <w:rPr>
                <w:rFonts w:ascii="Times New Roman" w:eastAsia="Times New Roman" w:hAnsi="Times New Roman" w:cs="Times New Roman"/>
                <w:b/>
                <w:bCs/>
                <w:color w:val="000000"/>
                <w:sz w:val="24"/>
                <w:szCs w:val="24"/>
              </w:rPr>
            </w:pPr>
            <w:r w:rsidRPr="00B035DF">
              <w:rPr>
                <w:rFonts w:ascii="Times New Roman" w:eastAsia="Times New Roman" w:hAnsi="Times New Roman" w:cs="Times New Roman"/>
                <w:b/>
                <w:bCs/>
                <w:color w:val="000000"/>
                <w:sz w:val="24"/>
                <w:szCs w:val="24"/>
              </w:rPr>
              <w:t>Title</w:t>
            </w:r>
          </w:p>
        </w:tc>
        <w:tc>
          <w:tcPr>
            <w:tcW w:w="850" w:type="dxa"/>
            <w:tcBorders>
              <w:top w:val="single" w:sz="4" w:space="0" w:color="auto"/>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jc w:val="center"/>
              <w:rPr>
                <w:rFonts w:ascii="Times New Roman" w:eastAsia="Times New Roman" w:hAnsi="Times New Roman" w:cs="Times New Roman"/>
                <w:b/>
                <w:bCs/>
                <w:color w:val="000000"/>
                <w:sz w:val="24"/>
                <w:szCs w:val="24"/>
              </w:rPr>
            </w:pPr>
            <w:r w:rsidRPr="00B035DF">
              <w:rPr>
                <w:rFonts w:ascii="Times New Roman" w:eastAsia="Times New Roman" w:hAnsi="Times New Roman" w:cs="Times New Roman"/>
                <w:b/>
                <w:bCs/>
                <w:color w:val="000000"/>
                <w:sz w:val="24"/>
                <w:szCs w:val="24"/>
              </w:rPr>
              <w:t>Year</w:t>
            </w:r>
          </w:p>
        </w:tc>
        <w:tc>
          <w:tcPr>
            <w:tcW w:w="851" w:type="dxa"/>
            <w:tcBorders>
              <w:top w:val="single" w:sz="4" w:space="0" w:color="auto"/>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jc w:val="center"/>
              <w:rPr>
                <w:rFonts w:ascii="Times New Roman" w:eastAsia="Times New Roman" w:hAnsi="Times New Roman" w:cs="Times New Roman"/>
                <w:b/>
                <w:bCs/>
                <w:color w:val="000000"/>
                <w:sz w:val="24"/>
                <w:szCs w:val="24"/>
              </w:rPr>
            </w:pPr>
            <w:r w:rsidRPr="00B035DF">
              <w:rPr>
                <w:rFonts w:ascii="Times New Roman" w:eastAsia="Times New Roman" w:hAnsi="Times New Roman" w:cs="Times New Roman"/>
                <w:b/>
                <w:bCs/>
                <w:color w:val="000000"/>
                <w:sz w:val="24"/>
                <w:szCs w:val="24"/>
              </w:rPr>
              <w:t>Cited by</w:t>
            </w:r>
          </w:p>
        </w:tc>
      </w:tr>
      <w:tr w:rsidR="00D268C0" w:rsidTr="00381E43">
        <w:trPr>
          <w:trHeight w:val="945"/>
        </w:trPr>
        <w:tc>
          <w:tcPr>
            <w:tcW w:w="583" w:type="dxa"/>
            <w:tcBorders>
              <w:top w:val="nil"/>
              <w:left w:val="single" w:sz="4" w:space="0" w:color="auto"/>
              <w:bottom w:val="single" w:sz="4" w:space="0" w:color="auto"/>
              <w:right w:val="single" w:sz="4" w:space="0" w:color="auto"/>
            </w:tcBorders>
            <w:shd w:val="clear" w:color="auto" w:fill="auto"/>
            <w:hideMark/>
          </w:tcPr>
          <w:p w:rsidR="00381E43" w:rsidRPr="00B035DF" w:rsidRDefault="004A48C0" w:rsidP="009B65FE">
            <w:pPr>
              <w:spacing w:after="0" w:line="360" w:lineRule="auto"/>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1</w:t>
            </w:r>
          </w:p>
        </w:tc>
        <w:tc>
          <w:tcPr>
            <w:tcW w:w="2694"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Man T.W.Y., Lau T., Chan K.F.</w:t>
            </w:r>
          </w:p>
        </w:tc>
        <w:tc>
          <w:tcPr>
            <w:tcW w:w="4394"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The competitiveness of small and medium enterprises: A conceptualization with focus on entrepreneurial competencies</w:t>
            </w:r>
          </w:p>
        </w:tc>
        <w:tc>
          <w:tcPr>
            <w:tcW w:w="850"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jc w:val="center"/>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2002</w:t>
            </w:r>
          </w:p>
        </w:tc>
        <w:tc>
          <w:tcPr>
            <w:tcW w:w="851"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jc w:val="center"/>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572</w:t>
            </w:r>
          </w:p>
        </w:tc>
      </w:tr>
      <w:tr w:rsidR="00D268C0" w:rsidTr="00381E43">
        <w:trPr>
          <w:trHeight w:val="705"/>
        </w:trPr>
        <w:tc>
          <w:tcPr>
            <w:tcW w:w="583" w:type="dxa"/>
            <w:tcBorders>
              <w:top w:val="nil"/>
              <w:left w:val="single" w:sz="4" w:space="0" w:color="auto"/>
              <w:bottom w:val="single" w:sz="4" w:space="0" w:color="auto"/>
              <w:right w:val="single" w:sz="4" w:space="0" w:color="auto"/>
            </w:tcBorders>
            <w:shd w:val="clear" w:color="auto" w:fill="auto"/>
            <w:hideMark/>
          </w:tcPr>
          <w:p w:rsidR="00381E43" w:rsidRPr="00B035DF" w:rsidRDefault="004A48C0" w:rsidP="009B65FE">
            <w:pPr>
              <w:spacing w:after="0" w:line="360" w:lineRule="auto"/>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2</w:t>
            </w:r>
          </w:p>
        </w:tc>
        <w:tc>
          <w:tcPr>
            <w:tcW w:w="2694"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Mitchelmore S., Rowley J.</w:t>
            </w:r>
          </w:p>
        </w:tc>
        <w:tc>
          <w:tcPr>
            <w:tcW w:w="4394"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Entrepreneurial competencies: A literature review and development agenda</w:t>
            </w:r>
          </w:p>
        </w:tc>
        <w:tc>
          <w:tcPr>
            <w:tcW w:w="850"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jc w:val="center"/>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2010</w:t>
            </w:r>
          </w:p>
        </w:tc>
        <w:tc>
          <w:tcPr>
            <w:tcW w:w="851"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jc w:val="center"/>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327</w:t>
            </w:r>
          </w:p>
        </w:tc>
      </w:tr>
      <w:tr w:rsidR="00D268C0" w:rsidTr="00381E43">
        <w:trPr>
          <w:trHeight w:val="945"/>
        </w:trPr>
        <w:tc>
          <w:tcPr>
            <w:tcW w:w="583" w:type="dxa"/>
            <w:tcBorders>
              <w:top w:val="nil"/>
              <w:left w:val="single" w:sz="4" w:space="0" w:color="auto"/>
              <w:bottom w:val="single" w:sz="4" w:space="0" w:color="auto"/>
              <w:right w:val="single" w:sz="4" w:space="0" w:color="auto"/>
            </w:tcBorders>
            <w:shd w:val="clear" w:color="auto" w:fill="auto"/>
            <w:hideMark/>
          </w:tcPr>
          <w:p w:rsidR="00381E43" w:rsidRPr="00B035DF" w:rsidRDefault="004A48C0" w:rsidP="009B65FE">
            <w:pPr>
              <w:spacing w:after="0" w:line="360" w:lineRule="auto"/>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3</w:t>
            </w:r>
          </w:p>
        </w:tc>
        <w:tc>
          <w:tcPr>
            <w:tcW w:w="2694"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Rasmussen E., Mosey S., Wright M.</w:t>
            </w:r>
          </w:p>
        </w:tc>
        <w:tc>
          <w:tcPr>
            <w:tcW w:w="4394"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The Evolution of Entrepreneurial Competencies: A Longitudinal Study of University Spin-Off Venture Emergence</w:t>
            </w:r>
          </w:p>
        </w:tc>
        <w:tc>
          <w:tcPr>
            <w:tcW w:w="850"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jc w:val="center"/>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2011</w:t>
            </w:r>
          </w:p>
        </w:tc>
        <w:tc>
          <w:tcPr>
            <w:tcW w:w="851"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jc w:val="center"/>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266</w:t>
            </w:r>
          </w:p>
        </w:tc>
      </w:tr>
      <w:tr w:rsidR="00D268C0" w:rsidTr="00381E43">
        <w:trPr>
          <w:trHeight w:val="945"/>
        </w:trPr>
        <w:tc>
          <w:tcPr>
            <w:tcW w:w="583" w:type="dxa"/>
            <w:tcBorders>
              <w:top w:val="nil"/>
              <w:left w:val="single" w:sz="4" w:space="0" w:color="auto"/>
              <w:bottom w:val="single" w:sz="4" w:space="0" w:color="auto"/>
              <w:right w:val="single" w:sz="4" w:space="0" w:color="auto"/>
            </w:tcBorders>
            <w:shd w:val="clear" w:color="auto" w:fill="auto"/>
            <w:hideMark/>
          </w:tcPr>
          <w:p w:rsidR="00381E43" w:rsidRPr="00B035DF" w:rsidRDefault="004A48C0" w:rsidP="009B65FE">
            <w:pPr>
              <w:spacing w:after="0" w:line="360" w:lineRule="auto"/>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4</w:t>
            </w:r>
          </w:p>
        </w:tc>
        <w:tc>
          <w:tcPr>
            <w:tcW w:w="2694"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Morris M.H., Webb J.W., Fu J., Singhal S.</w:t>
            </w:r>
          </w:p>
        </w:tc>
        <w:tc>
          <w:tcPr>
            <w:tcW w:w="4394"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A competency-based perspective on entrepreneurship education: Conceptual and empirical insights</w:t>
            </w:r>
          </w:p>
        </w:tc>
        <w:tc>
          <w:tcPr>
            <w:tcW w:w="850"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jc w:val="center"/>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2013</w:t>
            </w:r>
          </w:p>
        </w:tc>
        <w:tc>
          <w:tcPr>
            <w:tcW w:w="851"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jc w:val="center"/>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246</w:t>
            </w:r>
          </w:p>
        </w:tc>
      </w:tr>
      <w:tr w:rsidR="00D268C0" w:rsidTr="00381E43">
        <w:trPr>
          <w:trHeight w:val="945"/>
        </w:trPr>
        <w:tc>
          <w:tcPr>
            <w:tcW w:w="583" w:type="dxa"/>
            <w:tcBorders>
              <w:top w:val="nil"/>
              <w:left w:val="single" w:sz="4" w:space="0" w:color="auto"/>
              <w:bottom w:val="single" w:sz="4" w:space="0" w:color="auto"/>
              <w:right w:val="single" w:sz="4" w:space="0" w:color="auto"/>
            </w:tcBorders>
            <w:shd w:val="clear" w:color="auto" w:fill="auto"/>
            <w:hideMark/>
          </w:tcPr>
          <w:p w:rsidR="00381E43" w:rsidRPr="00B035DF" w:rsidRDefault="004A48C0" w:rsidP="009B65FE">
            <w:pPr>
              <w:spacing w:after="0" w:line="360" w:lineRule="auto"/>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5</w:t>
            </w:r>
          </w:p>
        </w:tc>
        <w:tc>
          <w:tcPr>
            <w:tcW w:w="2694"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SÃ¡nchez J.C.</w:t>
            </w:r>
          </w:p>
        </w:tc>
        <w:tc>
          <w:tcPr>
            <w:tcW w:w="4394"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 xml:space="preserve">The impact of an entrepreneurship education program on entrepreneurial </w:t>
            </w:r>
            <w:r w:rsidRPr="00B035DF">
              <w:rPr>
                <w:rFonts w:ascii="Times New Roman" w:eastAsia="Times New Roman" w:hAnsi="Times New Roman" w:cs="Times New Roman"/>
                <w:color w:val="000000"/>
                <w:sz w:val="24"/>
                <w:szCs w:val="24"/>
              </w:rPr>
              <w:lastRenderedPageBreak/>
              <w:t>competencies and intention</w:t>
            </w:r>
          </w:p>
        </w:tc>
        <w:tc>
          <w:tcPr>
            <w:tcW w:w="850"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jc w:val="center"/>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lastRenderedPageBreak/>
              <w:t>2013</w:t>
            </w:r>
          </w:p>
        </w:tc>
        <w:tc>
          <w:tcPr>
            <w:tcW w:w="851"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jc w:val="center"/>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238</w:t>
            </w:r>
          </w:p>
        </w:tc>
      </w:tr>
      <w:tr w:rsidR="00D268C0" w:rsidTr="00381E43">
        <w:trPr>
          <w:trHeight w:val="735"/>
        </w:trPr>
        <w:tc>
          <w:tcPr>
            <w:tcW w:w="583" w:type="dxa"/>
            <w:tcBorders>
              <w:top w:val="nil"/>
              <w:left w:val="single" w:sz="4" w:space="0" w:color="auto"/>
              <w:bottom w:val="single" w:sz="4" w:space="0" w:color="auto"/>
              <w:right w:val="single" w:sz="4" w:space="0" w:color="auto"/>
            </w:tcBorders>
            <w:shd w:val="clear" w:color="auto" w:fill="auto"/>
            <w:hideMark/>
          </w:tcPr>
          <w:p w:rsidR="00381E43" w:rsidRPr="00B035DF" w:rsidRDefault="004A48C0" w:rsidP="009B65FE">
            <w:pPr>
              <w:spacing w:after="0" w:line="360" w:lineRule="auto"/>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lastRenderedPageBreak/>
              <w:t>6</w:t>
            </w:r>
          </w:p>
        </w:tc>
        <w:tc>
          <w:tcPr>
            <w:tcW w:w="2694"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SÃ¡nchez J.C.</w:t>
            </w:r>
          </w:p>
        </w:tc>
        <w:tc>
          <w:tcPr>
            <w:tcW w:w="4394"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University training for entrepreneurial competencies: Its impact on intention of venture creation</w:t>
            </w:r>
          </w:p>
        </w:tc>
        <w:tc>
          <w:tcPr>
            <w:tcW w:w="850"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jc w:val="center"/>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2011</w:t>
            </w:r>
          </w:p>
        </w:tc>
        <w:tc>
          <w:tcPr>
            <w:tcW w:w="851"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jc w:val="center"/>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199</w:t>
            </w:r>
          </w:p>
        </w:tc>
      </w:tr>
      <w:tr w:rsidR="00D268C0" w:rsidTr="00381E43">
        <w:trPr>
          <w:trHeight w:val="945"/>
        </w:trPr>
        <w:tc>
          <w:tcPr>
            <w:tcW w:w="583" w:type="dxa"/>
            <w:tcBorders>
              <w:top w:val="nil"/>
              <w:left w:val="single" w:sz="4" w:space="0" w:color="auto"/>
              <w:bottom w:val="single" w:sz="4" w:space="0" w:color="auto"/>
              <w:right w:val="single" w:sz="4" w:space="0" w:color="auto"/>
            </w:tcBorders>
            <w:shd w:val="clear" w:color="auto" w:fill="auto"/>
            <w:hideMark/>
          </w:tcPr>
          <w:p w:rsidR="00381E43" w:rsidRPr="00B035DF" w:rsidRDefault="004A48C0" w:rsidP="009B65FE">
            <w:pPr>
              <w:spacing w:after="0" w:line="360" w:lineRule="auto"/>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7</w:t>
            </w:r>
          </w:p>
        </w:tc>
        <w:tc>
          <w:tcPr>
            <w:tcW w:w="2694"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Rasmussen E., Mosey S., Wright M.</w:t>
            </w:r>
          </w:p>
        </w:tc>
        <w:tc>
          <w:tcPr>
            <w:tcW w:w="4394"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The influence of university departments on the evolution of entrepreneurial competencies in spin-off ventures</w:t>
            </w:r>
          </w:p>
        </w:tc>
        <w:tc>
          <w:tcPr>
            <w:tcW w:w="850"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jc w:val="center"/>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2014</w:t>
            </w:r>
          </w:p>
        </w:tc>
        <w:tc>
          <w:tcPr>
            <w:tcW w:w="851"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jc w:val="center"/>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138</w:t>
            </w:r>
          </w:p>
        </w:tc>
      </w:tr>
      <w:tr w:rsidR="00D268C0" w:rsidTr="00381E43">
        <w:trPr>
          <w:trHeight w:val="660"/>
        </w:trPr>
        <w:tc>
          <w:tcPr>
            <w:tcW w:w="583" w:type="dxa"/>
            <w:tcBorders>
              <w:top w:val="nil"/>
              <w:left w:val="single" w:sz="4" w:space="0" w:color="auto"/>
              <w:bottom w:val="single" w:sz="4" w:space="0" w:color="auto"/>
              <w:right w:val="single" w:sz="4" w:space="0" w:color="auto"/>
            </w:tcBorders>
            <w:shd w:val="clear" w:color="auto" w:fill="auto"/>
            <w:hideMark/>
          </w:tcPr>
          <w:p w:rsidR="00381E43" w:rsidRPr="00B035DF" w:rsidRDefault="004A48C0" w:rsidP="009B65FE">
            <w:pPr>
              <w:spacing w:after="0" w:line="360" w:lineRule="auto"/>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8</w:t>
            </w:r>
          </w:p>
        </w:tc>
        <w:tc>
          <w:tcPr>
            <w:tcW w:w="2694"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Mitchelmore S., Rowley J.</w:t>
            </w:r>
          </w:p>
        </w:tc>
        <w:tc>
          <w:tcPr>
            <w:tcW w:w="4394"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Entrepreneurial competencies of women entrepreneurs pursuing business growth</w:t>
            </w:r>
          </w:p>
        </w:tc>
        <w:tc>
          <w:tcPr>
            <w:tcW w:w="850"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jc w:val="center"/>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2013</w:t>
            </w:r>
          </w:p>
        </w:tc>
        <w:tc>
          <w:tcPr>
            <w:tcW w:w="851"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jc w:val="center"/>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132</w:t>
            </w:r>
          </w:p>
        </w:tc>
      </w:tr>
      <w:tr w:rsidR="00D268C0" w:rsidTr="00381E43">
        <w:trPr>
          <w:trHeight w:val="315"/>
        </w:trPr>
        <w:tc>
          <w:tcPr>
            <w:tcW w:w="583" w:type="dxa"/>
            <w:tcBorders>
              <w:top w:val="nil"/>
              <w:left w:val="single" w:sz="4" w:space="0" w:color="auto"/>
              <w:bottom w:val="single" w:sz="4" w:space="0" w:color="auto"/>
              <w:right w:val="single" w:sz="4" w:space="0" w:color="auto"/>
            </w:tcBorders>
            <w:shd w:val="clear" w:color="auto" w:fill="auto"/>
            <w:hideMark/>
          </w:tcPr>
          <w:p w:rsidR="00381E43" w:rsidRPr="00B035DF" w:rsidRDefault="004A48C0" w:rsidP="009B65FE">
            <w:pPr>
              <w:spacing w:after="0" w:line="360" w:lineRule="auto"/>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9</w:t>
            </w:r>
          </w:p>
        </w:tc>
        <w:tc>
          <w:tcPr>
            <w:tcW w:w="2694"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Taatila V.P.</w:t>
            </w:r>
          </w:p>
        </w:tc>
        <w:tc>
          <w:tcPr>
            <w:tcW w:w="4394"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Learning entrepreneurship in higher education</w:t>
            </w:r>
          </w:p>
        </w:tc>
        <w:tc>
          <w:tcPr>
            <w:tcW w:w="850"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jc w:val="center"/>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2010</w:t>
            </w:r>
          </w:p>
        </w:tc>
        <w:tc>
          <w:tcPr>
            <w:tcW w:w="851"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jc w:val="center"/>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112</w:t>
            </w:r>
          </w:p>
        </w:tc>
      </w:tr>
      <w:tr w:rsidR="00D268C0" w:rsidTr="00381E43">
        <w:trPr>
          <w:trHeight w:val="630"/>
        </w:trPr>
        <w:tc>
          <w:tcPr>
            <w:tcW w:w="583" w:type="dxa"/>
            <w:tcBorders>
              <w:top w:val="nil"/>
              <w:left w:val="single" w:sz="4" w:space="0" w:color="auto"/>
              <w:bottom w:val="single" w:sz="4" w:space="0" w:color="auto"/>
              <w:right w:val="single" w:sz="4" w:space="0" w:color="auto"/>
            </w:tcBorders>
            <w:shd w:val="clear" w:color="auto" w:fill="auto"/>
            <w:hideMark/>
          </w:tcPr>
          <w:p w:rsidR="00381E43" w:rsidRPr="00B035DF" w:rsidRDefault="004A48C0" w:rsidP="009B65FE">
            <w:pPr>
              <w:spacing w:after="0" w:line="360" w:lineRule="auto"/>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10</w:t>
            </w:r>
          </w:p>
        </w:tc>
        <w:tc>
          <w:tcPr>
            <w:tcW w:w="2694"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Rasmussen E., Wright M.</w:t>
            </w:r>
          </w:p>
        </w:tc>
        <w:tc>
          <w:tcPr>
            <w:tcW w:w="4394"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How can universities facilitate academic spin-offs? An entrepreneurial Competency perspective</w:t>
            </w:r>
          </w:p>
        </w:tc>
        <w:tc>
          <w:tcPr>
            <w:tcW w:w="850"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jc w:val="center"/>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2015</w:t>
            </w:r>
          </w:p>
        </w:tc>
        <w:tc>
          <w:tcPr>
            <w:tcW w:w="851"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jc w:val="center"/>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108</w:t>
            </w:r>
          </w:p>
        </w:tc>
      </w:tr>
      <w:tr w:rsidR="00D268C0" w:rsidTr="008E37E3">
        <w:trPr>
          <w:trHeight w:val="416"/>
        </w:trPr>
        <w:tc>
          <w:tcPr>
            <w:tcW w:w="583" w:type="dxa"/>
            <w:tcBorders>
              <w:top w:val="nil"/>
              <w:left w:val="single" w:sz="4" w:space="0" w:color="auto"/>
              <w:bottom w:val="single" w:sz="4" w:space="0" w:color="auto"/>
              <w:right w:val="single" w:sz="4" w:space="0" w:color="auto"/>
            </w:tcBorders>
            <w:shd w:val="clear" w:color="auto" w:fill="auto"/>
            <w:hideMark/>
          </w:tcPr>
          <w:p w:rsidR="00381E43" w:rsidRPr="00B035DF" w:rsidRDefault="004A48C0" w:rsidP="009B65FE">
            <w:pPr>
              <w:spacing w:after="0" w:line="360" w:lineRule="auto"/>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11</w:t>
            </w:r>
          </w:p>
        </w:tc>
        <w:tc>
          <w:tcPr>
            <w:tcW w:w="2694"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Man T.W.Y., Lau T., Snape E.</w:t>
            </w:r>
          </w:p>
        </w:tc>
        <w:tc>
          <w:tcPr>
            <w:tcW w:w="4394"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Entrepreneurial Competencies and the Performance of Small and Medium Enterprises: An Investigation through a Framework of Competitiveness</w:t>
            </w:r>
          </w:p>
        </w:tc>
        <w:tc>
          <w:tcPr>
            <w:tcW w:w="850"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jc w:val="center"/>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2008</w:t>
            </w:r>
          </w:p>
        </w:tc>
        <w:tc>
          <w:tcPr>
            <w:tcW w:w="851"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jc w:val="center"/>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104</w:t>
            </w:r>
          </w:p>
        </w:tc>
      </w:tr>
      <w:tr w:rsidR="00D268C0" w:rsidTr="00381E43">
        <w:trPr>
          <w:trHeight w:val="945"/>
        </w:trPr>
        <w:tc>
          <w:tcPr>
            <w:tcW w:w="583" w:type="dxa"/>
            <w:tcBorders>
              <w:top w:val="nil"/>
              <w:left w:val="single" w:sz="4" w:space="0" w:color="auto"/>
              <w:bottom w:val="single" w:sz="4" w:space="0" w:color="auto"/>
              <w:right w:val="single" w:sz="4" w:space="0" w:color="auto"/>
            </w:tcBorders>
            <w:shd w:val="clear" w:color="auto" w:fill="auto"/>
            <w:hideMark/>
          </w:tcPr>
          <w:p w:rsidR="00381E43" w:rsidRPr="00B035DF" w:rsidRDefault="004A48C0" w:rsidP="009B65FE">
            <w:pPr>
              <w:spacing w:after="0" w:line="360" w:lineRule="auto"/>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12</w:t>
            </w:r>
          </w:p>
        </w:tc>
        <w:tc>
          <w:tcPr>
            <w:tcW w:w="2694"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Hazlina Ahmad N., Ramayah T., Wilson C., Kummerow L.</w:t>
            </w:r>
          </w:p>
        </w:tc>
        <w:tc>
          <w:tcPr>
            <w:tcW w:w="4394"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Is entrepreneurial competency and business success relationship contingent upon the business environment?: A study of Malaysian SMEs</w:t>
            </w:r>
          </w:p>
        </w:tc>
        <w:tc>
          <w:tcPr>
            <w:tcW w:w="850"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jc w:val="center"/>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2010</w:t>
            </w:r>
          </w:p>
        </w:tc>
        <w:tc>
          <w:tcPr>
            <w:tcW w:w="851"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jc w:val="center"/>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82</w:t>
            </w:r>
          </w:p>
        </w:tc>
      </w:tr>
      <w:tr w:rsidR="00D268C0" w:rsidTr="00381E43">
        <w:trPr>
          <w:trHeight w:val="630"/>
        </w:trPr>
        <w:tc>
          <w:tcPr>
            <w:tcW w:w="583" w:type="dxa"/>
            <w:tcBorders>
              <w:top w:val="nil"/>
              <w:left w:val="single" w:sz="4" w:space="0" w:color="auto"/>
              <w:bottom w:val="single" w:sz="4" w:space="0" w:color="auto"/>
              <w:right w:val="single" w:sz="4" w:space="0" w:color="auto"/>
            </w:tcBorders>
            <w:shd w:val="clear" w:color="auto" w:fill="auto"/>
            <w:hideMark/>
          </w:tcPr>
          <w:p w:rsidR="00381E43" w:rsidRPr="00B035DF" w:rsidRDefault="004A48C0" w:rsidP="009B65FE">
            <w:pPr>
              <w:spacing w:after="0" w:line="360" w:lineRule="auto"/>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13</w:t>
            </w:r>
          </w:p>
        </w:tc>
        <w:tc>
          <w:tcPr>
            <w:tcW w:w="2694"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LackÃ©us M.</w:t>
            </w:r>
          </w:p>
        </w:tc>
        <w:tc>
          <w:tcPr>
            <w:tcW w:w="4394"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An emotion-based approach to assessing entrepreneurial Education</w:t>
            </w:r>
          </w:p>
        </w:tc>
        <w:tc>
          <w:tcPr>
            <w:tcW w:w="850"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jc w:val="center"/>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2014</w:t>
            </w:r>
          </w:p>
        </w:tc>
        <w:tc>
          <w:tcPr>
            <w:tcW w:w="851"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jc w:val="center"/>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79</w:t>
            </w:r>
          </w:p>
        </w:tc>
      </w:tr>
      <w:tr w:rsidR="00D268C0" w:rsidTr="00381E43">
        <w:trPr>
          <w:trHeight w:val="945"/>
        </w:trPr>
        <w:tc>
          <w:tcPr>
            <w:tcW w:w="583" w:type="dxa"/>
            <w:tcBorders>
              <w:top w:val="nil"/>
              <w:left w:val="single" w:sz="4" w:space="0" w:color="auto"/>
              <w:bottom w:val="single" w:sz="4" w:space="0" w:color="auto"/>
              <w:right w:val="single" w:sz="4" w:space="0" w:color="auto"/>
            </w:tcBorders>
            <w:shd w:val="clear" w:color="auto" w:fill="auto"/>
            <w:hideMark/>
          </w:tcPr>
          <w:p w:rsidR="00381E43" w:rsidRPr="00B035DF" w:rsidRDefault="004A48C0" w:rsidP="009B65FE">
            <w:pPr>
              <w:spacing w:after="0" w:line="360" w:lineRule="auto"/>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14</w:t>
            </w:r>
          </w:p>
        </w:tc>
        <w:tc>
          <w:tcPr>
            <w:tcW w:w="2694"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Boyles T.</w:t>
            </w:r>
          </w:p>
        </w:tc>
        <w:tc>
          <w:tcPr>
            <w:tcW w:w="4394"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21st-century knowledge, skills, and Abilities and entrepreneurial competencies: A Model for undergraduate entrepreneurship education</w:t>
            </w:r>
          </w:p>
        </w:tc>
        <w:tc>
          <w:tcPr>
            <w:tcW w:w="850"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jc w:val="center"/>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2012</w:t>
            </w:r>
          </w:p>
        </w:tc>
        <w:tc>
          <w:tcPr>
            <w:tcW w:w="851"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jc w:val="center"/>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75</w:t>
            </w:r>
          </w:p>
        </w:tc>
      </w:tr>
      <w:tr w:rsidR="00D268C0" w:rsidTr="00381E43">
        <w:trPr>
          <w:trHeight w:val="630"/>
        </w:trPr>
        <w:tc>
          <w:tcPr>
            <w:tcW w:w="583" w:type="dxa"/>
            <w:tcBorders>
              <w:top w:val="nil"/>
              <w:left w:val="single" w:sz="4" w:space="0" w:color="auto"/>
              <w:bottom w:val="single" w:sz="4" w:space="0" w:color="auto"/>
              <w:right w:val="single" w:sz="4" w:space="0" w:color="auto"/>
            </w:tcBorders>
            <w:shd w:val="clear" w:color="auto" w:fill="auto"/>
            <w:hideMark/>
          </w:tcPr>
          <w:p w:rsidR="00381E43" w:rsidRPr="00B035DF" w:rsidRDefault="004A48C0" w:rsidP="009B65FE">
            <w:pPr>
              <w:spacing w:after="0" w:line="360" w:lineRule="auto"/>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15</w:t>
            </w:r>
          </w:p>
        </w:tc>
        <w:tc>
          <w:tcPr>
            <w:tcW w:w="2694"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Kyndt E., Baert H.</w:t>
            </w:r>
          </w:p>
        </w:tc>
        <w:tc>
          <w:tcPr>
            <w:tcW w:w="4394"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Entrepreneurial competencies: Assessment and predictive value for entrepreneurship</w:t>
            </w:r>
          </w:p>
        </w:tc>
        <w:tc>
          <w:tcPr>
            <w:tcW w:w="850"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jc w:val="center"/>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2015</w:t>
            </w:r>
          </w:p>
        </w:tc>
        <w:tc>
          <w:tcPr>
            <w:tcW w:w="851"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jc w:val="center"/>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72</w:t>
            </w:r>
          </w:p>
        </w:tc>
      </w:tr>
      <w:tr w:rsidR="00D268C0" w:rsidTr="00381E43">
        <w:trPr>
          <w:trHeight w:val="945"/>
        </w:trPr>
        <w:tc>
          <w:tcPr>
            <w:tcW w:w="583" w:type="dxa"/>
            <w:tcBorders>
              <w:top w:val="nil"/>
              <w:left w:val="single" w:sz="4" w:space="0" w:color="auto"/>
              <w:bottom w:val="single" w:sz="4" w:space="0" w:color="auto"/>
              <w:right w:val="single" w:sz="4" w:space="0" w:color="auto"/>
            </w:tcBorders>
            <w:shd w:val="clear" w:color="auto" w:fill="auto"/>
            <w:hideMark/>
          </w:tcPr>
          <w:p w:rsidR="00381E43" w:rsidRPr="00B035DF" w:rsidRDefault="004A48C0" w:rsidP="009B65FE">
            <w:pPr>
              <w:spacing w:after="0" w:line="360" w:lineRule="auto"/>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lastRenderedPageBreak/>
              <w:t>16</w:t>
            </w:r>
          </w:p>
        </w:tc>
        <w:tc>
          <w:tcPr>
            <w:tcW w:w="2694"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Rasmussen E., Mosey S., Wright M.</w:t>
            </w:r>
          </w:p>
        </w:tc>
        <w:tc>
          <w:tcPr>
            <w:tcW w:w="4394"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The transformation of network ties to develop entrepreneurial competencies for university spin-offs</w:t>
            </w:r>
          </w:p>
        </w:tc>
        <w:tc>
          <w:tcPr>
            <w:tcW w:w="850"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jc w:val="center"/>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2015</w:t>
            </w:r>
          </w:p>
        </w:tc>
        <w:tc>
          <w:tcPr>
            <w:tcW w:w="851"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jc w:val="center"/>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70</w:t>
            </w:r>
          </w:p>
        </w:tc>
      </w:tr>
      <w:tr w:rsidR="00D268C0" w:rsidTr="00381E43">
        <w:trPr>
          <w:trHeight w:val="945"/>
        </w:trPr>
        <w:tc>
          <w:tcPr>
            <w:tcW w:w="583" w:type="dxa"/>
            <w:tcBorders>
              <w:top w:val="nil"/>
              <w:left w:val="single" w:sz="4" w:space="0" w:color="auto"/>
              <w:bottom w:val="single" w:sz="4" w:space="0" w:color="auto"/>
              <w:right w:val="single" w:sz="4" w:space="0" w:color="auto"/>
            </w:tcBorders>
            <w:shd w:val="clear" w:color="auto" w:fill="auto"/>
            <w:hideMark/>
          </w:tcPr>
          <w:p w:rsidR="00381E43" w:rsidRPr="00B035DF" w:rsidRDefault="004A48C0" w:rsidP="009B65FE">
            <w:pPr>
              <w:spacing w:after="0" w:line="360" w:lineRule="auto"/>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17</w:t>
            </w:r>
          </w:p>
        </w:tc>
        <w:tc>
          <w:tcPr>
            <w:tcW w:w="2694"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Man T.W.Y., Lau T.</w:t>
            </w:r>
          </w:p>
        </w:tc>
        <w:tc>
          <w:tcPr>
            <w:tcW w:w="4394"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The context of entrepreneurship in Hong Kong: An investigation through the patterns of entrepreneurial competencies in contrasting industrial environments</w:t>
            </w:r>
          </w:p>
        </w:tc>
        <w:tc>
          <w:tcPr>
            <w:tcW w:w="850"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jc w:val="center"/>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2005</w:t>
            </w:r>
          </w:p>
        </w:tc>
        <w:tc>
          <w:tcPr>
            <w:tcW w:w="851"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jc w:val="center"/>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69</w:t>
            </w:r>
          </w:p>
        </w:tc>
      </w:tr>
      <w:tr w:rsidR="00D268C0" w:rsidTr="00381E43">
        <w:trPr>
          <w:trHeight w:val="915"/>
        </w:trPr>
        <w:tc>
          <w:tcPr>
            <w:tcW w:w="583" w:type="dxa"/>
            <w:tcBorders>
              <w:top w:val="nil"/>
              <w:left w:val="single" w:sz="4" w:space="0" w:color="auto"/>
              <w:bottom w:val="single" w:sz="4" w:space="0" w:color="auto"/>
              <w:right w:val="single" w:sz="4" w:space="0" w:color="auto"/>
            </w:tcBorders>
            <w:shd w:val="clear" w:color="auto" w:fill="auto"/>
            <w:hideMark/>
          </w:tcPr>
          <w:p w:rsidR="00381E43" w:rsidRPr="00B035DF" w:rsidRDefault="004A48C0" w:rsidP="009B65FE">
            <w:pPr>
              <w:spacing w:after="0" w:line="360" w:lineRule="auto"/>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18</w:t>
            </w:r>
          </w:p>
        </w:tc>
        <w:tc>
          <w:tcPr>
            <w:tcW w:w="2694"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Obschonka M., Hakkarainen K., Lonka K., Salmela-Aro K.</w:t>
            </w:r>
          </w:p>
        </w:tc>
        <w:tc>
          <w:tcPr>
            <w:tcW w:w="4394"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Entrepreneurship as a twenty-first-century skill: entrepreneurial alertness and intention in the transition to adulthood</w:t>
            </w:r>
          </w:p>
        </w:tc>
        <w:tc>
          <w:tcPr>
            <w:tcW w:w="850"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jc w:val="center"/>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2017</w:t>
            </w:r>
          </w:p>
        </w:tc>
        <w:tc>
          <w:tcPr>
            <w:tcW w:w="851"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jc w:val="center"/>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65</w:t>
            </w:r>
          </w:p>
        </w:tc>
      </w:tr>
      <w:tr w:rsidR="00D268C0" w:rsidTr="00381E43">
        <w:trPr>
          <w:trHeight w:val="630"/>
        </w:trPr>
        <w:tc>
          <w:tcPr>
            <w:tcW w:w="583" w:type="dxa"/>
            <w:tcBorders>
              <w:top w:val="nil"/>
              <w:left w:val="single" w:sz="4" w:space="0" w:color="auto"/>
              <w:bottom w:val="single" w:sz="4" w:space="0" w:color="auto"/>
              <w:right w:val="single" w:sz="4" w:space="0" w:color="auto"/>
            </w:tcBorders>
            <w:shd w:val="clear" w:color="auto" w:fill="auto"/>
            <w:hideMark/>
          </w:tcPr>
          <w:p w:rsidR="00381E43" w:rsidRPr="00B035DF" w:rsidRDefault="004A48C0" w:rsidP="009B65FE">
            <w:pPr>
              <w:spacing w:after="0" w:line="360" w:lineRule="auto"/>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19</w:t>
            </w:r>
          </w:p>
        </w:tc>
        <w:tc>
          <w:tcPr>
            <w:tcW w:w="2694"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Sirelkhatim F., Gangi Y.</w:t>
            </w:r>
          </w:p>
        </w:tc>
        <w:tc>
          <w:tcPr>
            <w:tcW w:w="4394"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Entrepreneurship education: A systematic literature review of curricula contents and teaching methods</w:t>
            </w:r>
          </w:p>
        </w:tc>
        <w:tc>
          <w:tcPr>
            <w:tcW w:w="850"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jc w:val="center"/>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2015</w:t>
            </w:r>
          </w:p>
        </w:tc>
        <w:tc>
          <w:tcPr>
            <w:tcW w:w="851"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jc w:val="center"/>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61</w:t>
            </w:r>
          </w:p>
        </w:tc>
      </w:tr>
      <w:tr w:rsidR="00D268C0" w:rsidTr="00381E43">
        <w:trPr>
          <w:trHeight w:val="630"/>
        </w:trPr>
        <w:tc>
          <w:tcPr>
            <w:tcW w:w="583" w:type="dxa"/>
            <w:tcBorders>
              <w:top w:val="nil"/>
              <w:left w:val="single" w:sz="4" w:space="0" w:color="auto"/>
              <w:bottom w:val="single" w:sz="4" w:space="0" w:color="auto"/>
              <w:right w:val="single" w:sz="4" w:space="0" w:color="auto"/>
            </w:tcBorders>
            <w:shd w:val="clear" w:color="auto" w:fill="auto"/>
            <w:hideMark/>
          </w:tcPr>
          <w:p w:rsidR="00381E43" w:rsidRPr="00B035DF" w:rsidRDefault="004A48C0" w:rsidP="009B65FE">
            <w:pPr>
              <w:spacing w:after="0" w:line="360" w:lineRule="auto"/>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20</w:t>
            </w:r>
          </w:p>
        </w:tc>
        <w:tc>
          <w:tcPr>
            <w:tcW w:w="2694"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Verzat C., Byrne J., Fayolle A.</w:t>
            </w:r>
          </w:p>
        </w:tc>
        <w:tc>
          <w:tcPr>
            <w:tcW w:w="4394"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Tangling with spaghetti: Pedagogical lessons from games</w:t>
            </w:r>
          </w:p>
        </w:tc>
        <w:tc>
          <w:tcPr>
            <w:tcW w:w="850"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jc w:val="center"/>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2009</w:t>
            </w:r>
          </w:p>
        </w:tc>
        <w:tc>
          <w:tcPr>
            <w:tcW w:w="851" w:type="dxa"/>
            <w:tcBorders>
              <w:top w:val="nil"/>
              <w:left w:val="nil"/>
              <w:bottom w:val="single" w:sz="4" w:space="0" w:color="auto"/>
              <w:right w:val="single" w:sz="4" w:space="0" w:color="auto"/>
            </w:tcBorders>
            <w:shd w:val="clear" w:color="auto" w:fill="auto"/>
            <w:hideMark/>
          </w:tcPr>
          <w:p w:rsidR="00381E43" w:rsidRPr="00B035DF" w:rsidRDefault="004A48C0" w:rsidP="009B65FE">
            <w:pPr>
              <w:spacing w:after="0" w:line="360" w:lineRule="auto"/>
              <w:jc w:val="center"/>
              <w:rPr>
                <w:rFonts w:ascii="Times New Roman" w:eastAsia="Times New Roman" w:hAnsi="Times New Roman" w:cs="Times New Roman"/>
                <w:color w:val="000000"/>
                <w:sz w:val="24"/>
                <w:szCs w:val="24"/>
              </w:rPr>
            </w:pPr>
            <w:r w:rsidRPr="00B035DF">
              <w:rPr>
                <w:rFonts w:ascii="Times New Roman" w:eastAsia="Times New Roman" w:hAnsi="Times New Roman" w:cs="Times New Roman"/>
                <w:color w:val="000000"/>
                <w:sz w:val="24"/>
                <w:szCs w:val="24"/>
              </w:rPr>
              <w:t>55</w:t>
            </w:r>
          </w:p>
        </w:tc>
      </w:tr>
    </w:tbl>
    <w:p w:rsidR="00530D04" w:rsidRPr="00046421" w:rsidRDefault="004A48C0" w:rsidP="00530D04">
      <w:pPr>
        <w:spacing w:line="360" w:lineRule="auto"/>
        <w:jc w:val="center"/>
        <w:rPr>
          <w:rFonts w:ascii="Times New Roman" w:hAnsi="Times New Roman" w:cs="Times New Roman"/>
          <w:i/>
          <w:sz w:val="24"/>
          <w:szCs w:val="24"/>
        </w:rPr>
      </w:pPr>
      <w:r w:rsidRPr="00046421">
        <w:rPr>
          <w:rFonts w:ascii="Times New Roman" w:hAnsi="Times New Roman" w:cs="Times New Roman"/>
          <w:i/>
          <w:sz w:val="24"/>
          <w:szCs w:val="24"/>
        </w:rPr>
        <w:t>(Source: Scopus Data Base)</w:t>
      </w:r>
    </w:p>
    <w:p w:rsidR="00C94A8A" w:rsidRPr="00B035DF" w:rsidRDefault="004A48C0" w:rsidP="005E43A8">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3.5 </w:t>
      </w:r>
      <w:r w:rsidR="00246ECA" w:rsidRPr="00B035DF">
        <w:rPr>
          <w:rFonts w:ascii="Times New Roman" w:hAnsi="Times New Roman" w:cs="Times New Roman"/>
          <w:b/>
          <w:sz w:val="24"/>
          <w:szCs w:val="24"/>
        </w:rPr>
        <w:t>MOST PROLIFIC AUTHORS:</w:t>
      </w:r>
    </w:p>
    <w:p w:rsidR="00AD1969" w:rsidRPr="00B035DF" w:rsidRDefault="004A48C0" w:rsidP="00851288">
      <w:pPr>
        <w:autoSpaceDE w:val="0"/>
        <w:autoSpaceDN w:val="0"/>
        <w:adjustRightInd w:val="0"/>
        <w:spacing w:after="0" w:line="360" w:lineRule="auto"/>
        <w:jc w:val="both"/>
        <w:rPr>
          <w:rFonts w:ascii="Times New Roman" w:hAnsi="Times New Roman" w:cs="Times New Roman"/>
          <w:sz w:val="24"/>
          <w:szCs w:val="24"/>
        </w:rPr>
      </w:pPr>
      <w:r w:rsidRPr="00B035DF">
        <w:rPr>
          <w:rFonts w:ascii="Times New Roman" w:hAnsi="Times New Roman" w:cs="Times New Roman"/>
          <w:sz w:val="24"/>
          <w:szCs w:val="24"/>
        </w:rPr>
        <w:t>It shows the top twenty most prolifi</w:t>
      </w:r>
      <w:r w:rsidR="0078380B" w:rsidRPr="00B035DF">
        <w:rPr>
          <w:rFonts w:ascii="Times New Roman" w:hAnsi="Times New Roman" w:cs="Times New Roman"/>
          <w:sz w:val="24"/>
          <w:szCs w:val="24"/>
        </w:rPr>
        <w:t>c authors. All 437</w:t>
      </w:r>
      <w:r w:rsidR="00B84FB1">
        <w:rPr>
          <w:rFonts w:ascii="Times New Roman" w:hAnsi="Times New Roman" w:cs="Times New Roman"/>
          <w:sz w:val="24"/>
          <w:szCs w:val="24"/>
        </w:rPr>
        <w:t xml:space="preserve">studies </w:t>
      </w:r>
      <w:r w:rsidRPr="00B035DF">
        <w:rPr>
          <w:rFonts w:ascii="Times New Roman" w:hAnsi="Times New Roman" w:cs="Times New Roman"/>
          <w:sz w:val="24"/>
          <w:szCs w:val="24"/>
        </w:rPr>
        <w:t>belong</w:t>
      </w:r>
      <w:r w:rsidR="0078380B" w:rsidRPr="00B035DF">
        <w:rPr>
          <w:rFonts w:ascii="Times New Roman" w:hAnsi="Times New Roman" w:cs="Times New Roman"/>
          <w:sz w:val="24"/>
          <w:szCs w:val="24"/>
        </w:rPr>
        <w:t xml:space="preserve"> to their respective 159</w:t>
      </w:r>
      <w:r w:rsidRPr="00B035DF">
        <w:rPr>
          <w:rFonts w:ascii="Times New Roman" w:hAnsi="Times New Roman" w:cs="Times New Roman"/>
          <w:sz w:val="24"/>
          <w:szCs w:val="24"/>
        </w:rPr>
        <w:t xml:space="preserve"> authors. Upon analy</w:t>
      </w:r>
      <w:r w:rsidR="00646B1D">
        <w:rPr>
          <w:rFonts w:ascii="Times New Roman" w:hAnsi="Times New Roman" w:cs="Times New Roman"/>
          <w:sz w:val="24"/>
          <w:szCs w:val="24"/>
        </w:rPr>
        <w:t>z</w:t>
      </w:r>
      <w:r w:rsidRPr="00B035DF">
        <w:rPr>
          <w:rFonts w:ascii="Times New Roman" w:hAnsi="Times New Roman" w:cs="Times New Roman"/>
          <w:sz w:val="24"/>
          <w:szCs w:val="24"/>
        </w:rPr>
        <w:t>ing the data, a list of the top twenty authors with maximum publications was prepared. Further, it was found that the most prolific author on entrepreneurial competencies</w:t>
      </w:r>
      <w:r w:rsidR="00646B1D">
        <w:rPr>
          <w:rFonts w:ascii="Times New Roman" w:hAnsi="Times New Roman" w:cs="Times New Roman"/>
          <w:sz w:val="24"/>
          <w:szCs w:val="24"/>
        </w:rPr>
        <w:t>is</w:t>
      </w:r>
      <w:r w:rsidR="0078380B" w:rsidRPr="00B035DF">
        <w:rPr>
          <w:rFonts w:ascii="Times New Roman" w:hAnsi="Times New Roman" w:cs="Times New Roman"/>
          <w:sz w:val="24"/>
          <w:szCs w:val="24"/>
        </w:rPr>
        <w:t>Mamun, A.A and</w:t>
      </w:r>
      <w:r w:rsidRPr="00B035DF">
        <w:rPr>
          <w:rFonts w:ascii="Times New Roman" w:hAnsi="Times New Roman" w:cs="Times New Roman"/>
          <w:sz w:val="24"/>
          <w:szCs w:val="24"/>
        </w:rPr>
        <w:t>Zali, M.R.</w:t>
      </w:r>
      <w:r w:rsidR="0078380B" w:rsidRPr="00B035DF">
        <w:rPr>
          <w:rFonts w:ascii="Times New Roman" w:hAnsi="Times New Roman" w:cs="Times New Roman"/>
          <w:sz w:val="24"/>
          <w:szCs w:val="24"/>
        </w:rPr>
        <w:t xml:space="preserve"> with seven</w:t>
      </w:r>
      <w:r w:rsidR="00B84FB1">
        <w:rPr>
          <w:rFonts w:ascii="Times New Roman" w:hAnsi="Times New Roman" w:cs="Times New Roman"/>
          <w:sz w:val="24"/>
          <w:szCs w:val="24"/>
        </w:rPr>
        <w:t>studies</w:t>
      </w:r>
      <w:r w:rsidRPr="00B035DF">
        <w:rPr>
          <w:rFonts w:ascii="Times New Roman" w:hAnsi="Times New Roman" w:cs="Times New Roman"/>
          <w:sz w:val="24"/>
          <w:szCs w:val="24"/>
        </w:rPr>
        <w:t xml:space="preserve">. </w:t>
      </w:r>
      <w:r w:rsidR="00851288" w:rsidRPr="00B035DF">
        <w:rPr>
          <w:rFonts w:ascii="Times New Roman" w:hAnsi="Times New Roman" w:cs="Times New Roman"/>
          <w:sz w:val="24"/>
          <w:szCs w:val="24"/>
        </w:rPr>
        <w:t>The a</w:t>
      </w:r>
      <w:r w:rsidR="0078380B" w:rsidRPr="00B035DF">
        <w:rPr>
          <w:rFonts w:ascii="Times New Roman" w:hAnsi="Times New Roman" w:cs="Times New Roman"/>
          <w:sz w:val="24"/>
          <w:szCs w:val="24"/>
        </w:rPr>
        <w:t>uthors Ahmad, N.H, Al Mamun, A</w:t>
      </w:r>
      <w:r w:rsidR="00B84FB1">
        <w:rPr>
          <w:rFonts w:ascii="Times New Roman" w:hAnsi="Times New Roman" w:cs="Times New Roman"/>
          <w:sz w:val="24"/>
          <w:szCs w:val="24"/>
        </w:rPr>
        <w:t>,</w:t>
      </w:r>
      <w:r w:rsidR="0078380B" w:rsidRPr="00B035DF">
        <w:rPr>
          <w:rFonts w:ascii="Times New Roman" w:hAnsi="Times New Roman" w:cs="Times New Roman"/>
          <w:sz w:val="24"/>
          <w:szCs w:val="24"/>
        </w:rPr>
        <w:t xml:space="preserve"> and</w:t>
      </w:r>
      <w:r w:rsidR="00851288" w:rsidRPr="00B035DF">
        <w:rPr>
          <w:rFonts w:ascii="Times New Roman" w:hAnsi="Times New Roman" w:cs="Times New Roman"/>
          <w:sz w:val="24"/>
          <w:szCs w:val="24"/>
        </w:rPr>
        <w:t>Fazal, S.A.</w:t>
      </w:r>
      <w:r w:rsidR="0078380B" w:rsidRPr="00B035DF">
        <w:rPr>
          <w:rFonts w:ascii="Times New Roman" w:hAnsi="Times New Roman" w:cs="Times New Roman"/>
          <w:sz w:val="24"/>
          <w:szCs w:val="24"/>
        </w:rPr>
        <w:t xml:space="preserve"> each have published six</w:t>
      </w:r>
      <w:r w:rsidR="00B84FB1">
        <w:rPr>
          <w:rFonts w:ascii="Times New Roman" w:hAnsi="Times New Roman" w:cs="Times New Roman"/>
          <w:sz w:val="24"/>
          <w:szCs w:val="24"/>
        </w:rPr>
        <w:t>studies</w:t>
      </w:r>
      <w:r w:rsidR="00851288" w:rsidRPr="00B035DF">
        <w:rPr>
          <w:rFonts w:ascii="Times New Roman" w:hAnsi="Times New Roman" w:cs="Times New Roman"/>
          <w:sz w:val="24"/>
          <w:szCs w:val="24"/>
        </w:rPr>
        <w:t>. Furthermore,</w:t>
      </w:r>
      <w:r w:rsidR="0078380B" w:rsidRPr="00B035DF">
        <w:rPr>
          <w:rFonts w:ascii="Times New Roman" w:hAnsi="Times New Roman" w:cs="Times New Roman"/>
          <w:sz w:val="24"/>
          <w:szCs w:val="24"/>
        </w:rPr>
        <w:t xml:space="preserve"> Botha, M. and Zainol, N.R.have published five </w:t>
      </w:r>
      <w:r w:rsidR="00B84FB1">
        <w:rPr>
          <w:rFonts w:ascii="Times New Roman" w:hAnsi="Times New Roman" w:cs="Times New Roman"/>
          <w:sz w:val="24"/>
          <w:szCs w:val="24"/>
        </w:rPr>
        <w:t>studies</w:t>
      </w:r>
      <w:r w:rsidR="00162C79">
        <w:rPr>
          <w:rFonts w:ascii="Times New Roman" w:hAnsi="Times New Roman" w:cs="Times New Roman"/>
          <w:sz w:val="24"/>
          <w:szCs w:val="24"/>
        </w:rPr>
        <w:fldChar w:fldCharType="begin" w:fldLock="1"/>
      </w:r>
      <w:r w:rsidR="00F16AC4">
        <w:rPr>
          <w:rFonts w:ascii="Times New Roman" w:hAnsi="Times New Roman" w:cs="Times New Roman"/>
          <w:sz w:val="24"/>
          <w:szCs w:val="24"/>
        </w:rPr>
        <w:instrText>ADDIN CSL_CITATION {"citationItems":[{"id":"ITEM-1","itemData":{"DOI":"10.1108/apjie-05-2018-0033","ISSN":"2398-7812","abstract":"Purpose-This study aims to examine the effect of creativity and innovativeness, risk taking propensity, proactiveness and autonomy on entrepreneurial competency and performance among micro-enterprises in Kelantan, Malaysia. Design/methodology/approach-Adopting a cross-sectional design, the authors collected data from 403 micro-entrepreneurs who were registered under \"Majlis Amanah Rakyat\" and \"Majlis Agama Islam dan Adat Istiadat\". Quantitative data were collected through structured interviews from September 2017 to December 2017. Findings-The findings revealed that creativity and innovativeness, proactiveness and autonomy had a positive influence on entrepreneurial competencies. In addition, autonomy and entrepreneurial competencies had a positive effect on micro-enterprise performance. Then, entrepreneurial competencies showed a mediating effect on the relationships between creativity, innovativeness, autonomy and micro-enterprise performance. Originality/value-The findings contributed to resource-based view and enriched the entrepreneurship literature, particularly in the context of small businesses in emerging economies. This study recommended underlying organizations to pay attention to the improvement of creativity and innovativeness, proactiveness, autonomy and entrepreneurial competencies among low-income entrepreneurs through useful policies and training programs, which were expected to improve micro-enterprise performance and encourage poor households to perform entrepreneurial activities for better socioeconomic conditions.","author":[{"dropping-particle":"","family":"Mamun","given":"Abdullah","non-dropping-particle":"Al","parse-names":false,"suffix":""},{"dropping-particle":"","family":"Fazal","given":"Syed Ali","non-dropping-particle":"","parse-names":false,"suffix":""}],"container-title":"Asia Pacific Journal of Innovation and Entrepreneurship","id":"ITEM-1","issue":"3","issued":{"date-parts":[["2018"]]},"page":"379-398","title":"Effect of entrepreneurial orientation on competency and micro-enterprise performance","type":"article-journal","volume":"12"},"uris":["http://www.mendeley.com/documents/?uuid=b55f19c9-ebad-45bb-8e11-03c20484bae8"]},{"id":"ITEM-2","itemData":{"DOI":"10.4102/sajesbm.v11i1.191","ISSN":"2522-7343","abstract":"Encouraging entrepreneurship and facilitating the rapid growth of innovative SMEs is an effective means of creating jobs, increasing productivity and alleviating poverty. Identifying and implementing the policies that can achieve these goals is an increasing priority for governments of industrialised and developing countries alike. This publication describes recent trends concerning SMEs and entrepreneurship in OECD economies and beyond. It reports on a range of policy initiatives taken to enhance the vitality and competitiveness of the SME sector, which comprises over 95% of all enterprises and accounts for two thirds of private sector employment. Among the themes covered in this edition are: the need to reduce regulatory and administrative burdens affecting entrepreneurial activity; the increasing attention given by governments to entrepreneurship education. education and training; the need to ease SME access to financing, technology, innovation and international markets; the growing importance of women’s entrepreneurship; and local policy issues. This third edition also includes the Istanbul Ministerial Declaration on Fostering the Growth of Innovative and Internationally Competitive SMEs. Coming four years after the Bologna Charter on SME Policies, this Declaration is comprised of a set of policy recommendations and was adopted by Ministers and representatives of 72 governments at the 2 OECD Ministerial Conference on SMEs, held in Istanbul, Turkey, in June 2004.","author":[{"dropping-particle":"","family":"Botha","given":"Melodi","non-dropping-particle":"","parse-names":false,"suffix":""},{"dropping-particle":"","family":"Carruthers","given":"Tom J.","non-dropping-particle":"","parse-names":false,"suffix":""},{"dropping-particle":"","family":"Venter","given":"Marc W.","non-dropping-particle":"","parse-names":false,"suffix":""}],"container-title":"The Southern African Journal of Entrepreneurship and Small Business Management","id":"ITEM-2","issue":"1","issued":{"date-parts":[["2019"]]},"page":"1-15","title":"The relationship between entrepreneurial competencies and the recurring entrepreneurial intention and action of existing entrepreneurs","type":"article-journal","volume":"11"},"uris":["http://www.mendeley.com/documents/?uuid=bcf36882-e495-46ec-9794-b63f633b21d5"]},{"id":"ITEM-3","itemData":{"DOI":"10.4102/sajems.v22i1.2230","ISSN":"22223436","abstract":"Background: Although many scholars focus their research efforts on predicting entrepreneurial intention, these scholars have not determined the bidirectional relationship between entrepreneurial intention and competencies. Aim: This article investigates whether entrepreneurial intention and various individual entrepreneurial competencies influence each other. The human agency and social cognitive theories suggest that these constructs have bidirectional relationships. Furthermore, the direction and strength of these relationships are established. Setting: Results from a sample of 342 nascent and existing entrepreneurs from South Africa are drawn. Method: A quantitative research study is undertaken and structural equation modelling conducted. As far as could be determined, this study is the first to test the model fit between entrepreneurial intention and the individual entrepreneurial competencies in one model. Results: The findings provide evidence of a bidirectional relationship between entrepreneurial intention and various entrepreneurial competencies, and the outcome thereof might lead to an increased business start-up. The strongest positive relationships were observed between entrepreneurial intention and self-efficacy, opportunity recognition, conveying a compelling vision, value creation through innovation (observing customer usage) and perseverance. Previous scholars confirmed that self-efficacy is a strong predictor of entrepreneurial intention. The article found a moderate positive significant bidirectional relationship between entrepreneurial intention and self-efficacy. Conclusion: The findings could assist policy-makers, educators, as well as potential, nascent and start-up entrepreneurs with the understanding that these specific entrepreneurial competencies are necessary for a successful business venture or for moving to the next stage of the venture life cycle. In addition to the previously mentioned practical implications, this study also shows educators, policy-makers and academics that they need to adapt their entrepreneurial training programmes to ensure that self-efficacy and entrepreneurial intention are taught simultaneously as these constructs influence each other.","author":[{"dropping-particle":"","family":"Botha","given":"Melodi","non-dropping-particle":"","parse-names":false,"suffix":""},{"dropping-particle":"","family":"Taljaard","given":"Amorie","non-dropping-particle":"","parse-names":false,"suffix":""}],"container-title":"South African Journal of Economic and Management Sciences","id":"ITEM-3","issue":"1","issued":{"date-parts":[["2019"]]},"page":"1-12","title":"The bidirectional relationship between entrepreneurial intention and entrepreneurial competencies for nascent and existing entrepreneurs","type":"article-journal","volume":"22"},"uris":["http://www.mendeley.com/documents/?uuid=82a51be4-76a2-4564-b952-37d85edbfcb7"]}],"mendeley":{"formattedCitation":"(Al Mamun &amp; Fazal, 2018; Botha et al., 2019; Botha &amp; Taljaard, 2019)","plainTextFormattedCitation":"(Al Mamun &amp; Fazal, 2018; Botha et al., 2019; Botha &amp; Taljaard, 2019)","previouslyFormattedCitation":"(Al Mamun &amp; Fazal, 2018; Botha et al., 2019; Botha &amp; Taljaard, 2019)"},"properties":{"noteIndex":0},"schema":"https://github.com/citation-style-language/schema/raw/master/csl-citation.json"}</w:instrText>
      </w:r>
      <w:r w:rsidR="00162C79">
        <w:rPr>
          <w:rFonts w:ascii="Times New Roman" w:hAnsi="Times New Roman" w:cs="Times New Roman"/>
          <w:sz w:val="24"/>
          <w:szCs w:val="24"/>
        </w:rPr>
        <w:fldChar w:fldCharType="separate"/>
      </w:r>
      <w:r w:rsidR="00F16AC4" w:rsidRPr="00F16AC4">
        <w:rPr>
          <w:rFonts w:ascii="Times New Roman" w:hAnsi="Times New Roman" w:cs="Times New Roman"/>
          <w:noProof/>
          <w:sz w:val="24"/>
          <w:szCs w:val="24"/>
        </w:rPr>
        <w:t>(Al Mamun &amp; Fazal, 2018; Botha et al., 2019; Botha &amp; Taljaard, 2019)</w:t>
      </w:r>
      <w:r w:rsidR="00162C79">
        <w:rPr>
          <w:rFonts w:ascii="Times New Roman" w:hAnsi="Times New Roman" w:cs="Times New Roman"/>
          <w:sz w:val="24"/>
          <w:szCs w:val="24"/>
        </w:rPr>
        <w:fldChar w:fldCharType="end"/>
      </w:r>
    </w:p>
    <w:p w:rsidR="00AD1969" w:rsidRPr="00B035DF" w:rsidRDefault="004A48C0" w:rsidP="00046421">
      <w:pPr>
        <w:spacing w:line="360" w:lineRule="auto"/>
        <w:jc w:val="center"/>
        <w:rPr>
          <w:rFonts w:ascii="Times New Roman" w:hAnsi="Times New Roman" w:cs="Times New Roman"/>
          <w:sz w:val="24"/>
          <w:szCs w:val="24"/>
        </w:rPr>
      </w:pPr>
      <w:r>
        <w:rPr>
          <w:rFonts w:ascii="Times New Roman" w:hAnsi="Times New Roman" w:cs="Times New Roman"/>
          <w:sz w:val="24"/>
          <w:szCs w:val="24"/>
        </w:rPr>
        <w:t>Figu</w:t>
      </w:r>
      <w:r w:rsidR="009B65FE">
        <w:rPr>
          <w:rFonts w:ascii="Times New Roman" w:hAnsi="Times New Roman" w:cs="Times New Roman"/>
          <w:sz w:val="24"/>
          <w:szCs w:val="24"/>
        </w:rPr>
        <w:t>re 4</w:t>
      </w:r>
      <w:r>
        <w:rPr>
          <w:rFonts w:ascii="Times New Roman" w:hAnsi="Times New Roman" w:cs="Times New Roman"/>
          <w:sz w:val="24"/>
          <w:szCs w:val="24"/>
        </w:rPr>
        <w:t>: Most Prolific Author</w:t>
      </w:r>
    </w:p>
    <w:p w:rsidR="00F74E8D" w:rsidRPr="00B035DF" w:rsidRDefault="004A48C0" w:rsidP="005E43A8">
      <w:pPr>
        <w:spacing w:line="360" w:lineRule="auto"/>
        <w:jc w:val="both"/>
        <w:rPr>
          <w:rFonts w:ascii="Times New Roman" w:hAnsi="Times New Roman" w:cs="Times New Roman"/>
          <w:sz w:val="24"/>
          <w:szCs w:val="24"/>
        </w:rPr>
      </w:pPr>
      <w:r w:rsidRPr="00B035DF">
        <w:rPr>
          <w:rFonts w:ascii="Times New Roman" w:hAnsi="Times New Roman" w:cs="Times New Roman"/>
          <w:noProof/>
          <w:sz w:val="24"/>
          <w:szCs w:val="24"/>
        </w:rPr>
        <w:lastRenderedPageBreak/>
        <w:drawing>
          <wp:inline distT="0" distB="0" distL="0" distR="0">
            <wp:extent cx="5490210" cy="5667375"/>
            <wp:effectExtent l="19050" t="0" r="15240" b="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30D04" w:rsidRPr="00046421" w:rsidRDefault="004A48C0" w:rsidP="00530D04">
      <w:pPr>
        <w:spacing w:line="360" w:lineRule="auto"/>
        <w:jc w:val="center"/>
        <w:rPr>
          <w:rFonts w:ascii="Times New Roman" w:hAnsi="Times New Roman" w:cs="Times New Roman"/>
          <w:i/>
          <w:sz w:val="24"/>
          <w:szCs w:val="24"/>
        </w:rPr>
      </w:pPr>
      <w:r w:rsidRPr="00046421">
        <w:rPr>
          <w:rFonts w:ascii="Times New Roman" w:hAnsi="Times New Roman" w:cs="Times New Roman"/>
          <w:i/>
          <w:sz w:val="24"/>
          <w:szCs w:val="24"/>
        </w:rPr>
        <w:t>(Source: Scopus Data Base)</w:t>
      </w:r>
    </w:p>
    <w:p w:rsidR="00F74E8D" w:rsidRPr="00B035DF" w:rsidRDefault="004A48C0" w:rsidP="005E43A8">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3.6 </w:t>
      </w:r>
      <w:r w:rsidR="00246ECA" w:rsidRPr="00B035DF">
        <w:rPr>
          <w:rFonts w:ascii="Times New Roman" w:hAnsi="Times New Roman" w:cs="Times New Roman"/>
          <w:b/>
          <w:sz w:val="24"/>
          <w:szCs w:val="24"/>
        </w:rPr>
        <w:t>MOST PROLIFIC COUNTRIES:</w:t>
      </w:r>
    </w:p>
    <w:p w:rsidR="003931CE" w:rsidRPr="00B035DF" w:rsidRDefault="004A48C0" w:rsidP="00246ECA">
      <w:pPr>
        <w:autoSpaceDE w:val="0"/>
        <w:autoSpaceDN w:val="0"/>
        <w:adjustRightInd w:val="0"/>
        <w:spacing w:after="0" w:line="360" w:lineRule="auto"/>
        <w:jc w:val="both"/>
        <w:rPr>
          <w:rFonts w:ascii="Times New Roman" w:hAnsi="Times New Roman" w:cs="Times New Roman"/>
          <w:color w:val="000000"/>
          <w:sz w:val="24"/>
          <w:szCs w:val="24"/>
        </w:rPr>
      </w:pPr>
      <w:r w:rsidRPr="00B035DF">
        <w:rPr>
          <w:rFonts w:ascii="Times New Roman" w:hAnsi="Times New Roman" w:cs="Times New Roman"/>
          <w:color w:val="000000"/>
          <w:sz w:val="24"/>
          <w:szCs w:val="24"/>
        </w:rPr>
        <w:t xml:space="preserve">All the </w:t>
      </w:r>
      <w:r w:rsidR="00B84FB1">
        <w:rPr>
          <w:rFonts w:ascii="Times New Roman" w:hAnsi="Times New Roman" w:cs="Times New Roman"/>
          <w:color w:val="000000"/>
          <w:sz w:val="24"/>
          <w:szCs w:val="24"/>
        </w:rPr>
        <w:t>studies</w:t>
      </w:r>
      <w:r w:rsidRPr="00B035DF">
        <w:rPr>
          <w:rFonts w:ascii="Times New Roman" w:hAnsi="Times New Roman" w:cs="Times New Roman"/>
          <w:color w:val="000000"/>
          <w:sz w:val="24"/>
          <w:szCs w:val="24"/>
        </w:rPr>
        <w:t xml:space="preserve"> belong to</w:t>
      </w:r>
      <w:r w:rsidR="00037A9F" w:rsidRPr="00B035DF">
        <w:rPr>
          <w:rFonts w:ascii="Times New Roman" w:hAnsi="Times New Roman" w:cs="Times New Roman"/>
          <w:color w:val="000000"/>
          <w:sz w:val="24"/>
          <w:szCs w:val="24"/>
        </w:rPr>
        <w:t xml:space="preserve"> their respective authors from 80 plus</w:t>
      </w:r>
      <w:r w:rsidRPr="00B035DF">
        <w:rPr>
          <w:rFonts w:ascii="Times New Roman" w:hAnsi="Times New Roman" w:cs="Times New Roman"/>
          <w:color w:val="000000"/>
          <w:sz w:val="24"/>
          <w:szCs w:val="24"/>
        </w:rPr>
        <w:t xml:space="preserve"> different countries. The paper</w:t>
      </w:r>
      <w:r w:rsidR="00037A9F" w:rsidRPr="00B035DF">
        <w:rPr>
          <w:rFonts w:ascii="Times New Roman" w:hAnsi="Times New Roman" w:cs="Times New Roman"/>
          <w:color w:val="000000"/>
          <w:sz w:val="24"/>
          <w:szCs w:val="24"/>
        </w:rPr>
        <w:t>shows the top twenty</w:t>
      </w:r>
      <w:r w:rsidRPr="00B035DF">
        <w:rPr>
          <w:rFonts w:ascii="Times New Roman" w:hAnsi="Times New Roman" w:cs="Times New Roman"/>
          <w:color w:val="000000"/>
          <w:sz w:val="24"/>
          <w:szCs w:val="24"/>
        </w:rPr>
        <w:t xml:space="preserve"> countries with </w:t>
      </w:r>
      <w:r w:rsidR="00B84FB1">
        <w:rPr>
          <w:rFonts w:ascii="Times New Roman" w:hAnsi="Times New Roman" w:cs="Times New Roman"/>
          <w:color w:val="000000"/>
          <w:sz w:val="24"/>
          <w:szCs w:val="24"/>
        </w:rPr>
        <w:t xml:space="preserve">a </w:t>
      </w:r>
      <w:r w:rsidRPr="00B035DF">
        <w:rPr>
          <w:rFonts w:ascii="Times New Roman" w:hAnsi="Times New Roman" w:cs="Times New Roman"/>
          <w:color w:val="000000"/>
          <w:sz w:val="24"/>
          <w:szCs w:val="24"/>
        </w:rPr>
        <w:t xml:space="preserve">maximum number of </w:t>
      </w:r>
      <w:r w:rsidR="00B84FB1">
        <w:rPr>
          <w:rFonts w:ascii="Times New Roman" w:hAnsi="Times New Roman" w:cs="Times New Roman"/>
          <w:color w:val="000000"/>
          <w:sz w:val="24"/>
          <w:szCs w:val="24"/>
        </w:rPr>
        <w:t>studies</w:t>
      </w:r>
      <w:r w:rsidRPr="00B035DF">
        <w:rPr>
          <w:rFonts w:ascii="Times New Roman" w:hAnsi="Times New Roman" w:cs="Times New Roman"/>
          <w:color w:val="000000"/>
          <w:sz w:val="24"/>
          <w:szCs w:val="24"/>
        </w:rPr>
        <w:t xml:space="preserve"> on entrepreneurial competencies.  Malaysia</w:t>
      </w:r>
      <w:r w:rsidR="00037A9F" w:rsidRPr="00B035DF">
        <w:rPr>
          <w:rFonts w:ascii="Times New Roman" w:hAnsi="Times New Roman" w:cs="Times New Roman"/>
          <w:color w:val="000000"/>
          <w:sz w:val="24"/>
          <w:szCs w:val="24"/>
        </w:rPr>
        <w:t xml:space="preserve"> tops the list with 48</w:t>
      </w:r>
      <w:r w:rsidRPr="00B035DF">
        <w:rPr>
          <w:rFonts w:ascii="Times New Roman" w:hAnsi="Times New Roman" w:cs="Times New Roman"/>
          <w:color w:val="000000"/>
          <w:sz w:val="24"/>
          <w:szCs w:val="24"/>
        </w:rPr>
        <w:t xml:space="preserve"> total </w:t>
      </w:r>
      <w:r w:rsidR="00B84FB1">
        <w:rPr>
          <w:rFonts w:ascii="Times New Roman" w:hAnsi="Times New Roman" w:cs="Times New Roman"/>
          <w:color w:val="000000"/>
          <w:sz w:val="24"/>
          <w:szCs w:val="24"/>
        </w:rPr>
        <w:t>studies</w:t>
      </w:r>
      <w:r w:rsidRPr="00B035DF">
        <w:rPr>
          <w:rFonts w:ascii="Times New Roman" w:hAnsi="Times New Roman" w:cs="Times New Roman"/>
          <w:color w:val="000000"/>
          <w:sz w:val="24"/>
          <w:szCs w:val="24"/>
        </w:rPr>
        <w:t xml:space="preserve">. </w:t>
      </w:r>
      <w:r w:rsidR="00037A9F" w:rsidRPr="00B035DF">
        <w:rPr>
          <w:rFonts w:ascii="Times New Roman" w:hAnsi="Times New Roman" w:cs="Times New Roman"/>
          <w:color w:val="000000"/>
          <w:sz w:val="24"/>
          <w:szCs w:val="24"/>
        </w:rPr>
        <w:t xml:space="preserve">Secondly, </w:t>
      </w:r>
      <w:r w:rsidRPr="00B035DF">
        <w:rPr>
          <w:rFonts w:ascii="Times New Roman" w:hAnsi="Times New Roman" w:cs="Times New Roman"/>
          <w:color w:val="000000"/>
          <w:sz w:val="24"/>
          <w:szCs w:val="24"/>
        </w:rPr>
        <w:t>the United Kingdom and Ind</w:t>
      </w:r>
      <w:r w:rsidR="00037A9F" w:rsidRPr="00B035DF">
        <w:rPr>
          <w:rFonts w:ascii="Times New Roman" w:hAnsi="Times New Roman" w:cs="Times New Roman"/>
          <w:color w:val="000000"/>
          <w:sz w:val="24"/>
          <w:szCs w:val="24"/>
        </w:rPr>
        <w:t xml:space="preserve">onesia each have published 38 </w:t>
      </w:r>
      <w:r w:rsidR="00B84FB1">
        <w:rPr>
          <w:rFonts w:ascii="Times New Roman" w:hAnsi="Times New Roman" w:cs="Times New Roman"/>
          <w:color w:val="000000"/>
          <w:sz w:val="24"/>
          <w:szCs w:val="24"/>
        </w:rPr>
        <w:t>studies</w:t>
      </w:r>
      <w:r w:rsidRPr="00B035DF">
        <w:rPr>
          <w:rFonts w:ascii="Times New Roman" w:hAnsi="Times New Roman" w:cs="Times New Roman"/>
          <w:color w:val="000000"/>
          <w:sz w:val="24"/>
          <w:szCs w:val="24"/>
        </w:rPr>
        <w:t xml:space="preserve"> respectively.</w:t>
      </w:r>
      <w:r w:rsidR="00037A9F" w:rsidRPr="00B035DF">
        <w:rPr>
          <w:rFonts w:ascii="Times New Roman" w:hAnsi="Times New Roman" w:cs="Times New Roman"/>
          <w:color w:val="000000"/>
          <w:sz w:val="24"/>
          <w:szCs w:val="24"/>
        </w:rPr>
        <w:t xml:space="preserve"> Furthermore, Spain and India have 27 and 22 respectively </w:t>
      </w:r>
      <w:r w:rsidR="00B84FB1">
        <w:rPr>
          <w:rFonts w:ascii="Times New Roman" w:hAnsi="Times New Roman" w:cs="Times New Roman"/>
          <w:color w:val="000000"/>
          <w:sz w:val="24"/>
          <w:szCs w:val="24"/>
        </w:rPr>
        <w:t>studies</w:t>
      </w:r>
      <w:r w:rsidR="00037A9F" w:rsidRPr="00B035DF">
        <w:rPr>
          <w:rFonts w:ascii="Times New Roman" w:hAnsi="Times New Roman" w:cs="Times New Roman"/>
          <w:color w:val="000000"/>
          <w:sz w:val="24"/>
          <w:szCs w:val="24"/>
        </w:rPr>
        <w:t>.</w:t>
      </w:r>
    </w:p>
    <w:p w:rsidR="000F2FF6" w:rsidRPr="00B035DF" w:rsidRDefault="000F2FF6" w:rsidP="00246ECA">
      <w:pPr>
        <w:autoSpaceDE w:val="0"/>
        <w:autoSpaceDN w:val="0"/>
        <w:adjustRightInd w:val="0"/>
        <w:spacing w:after="0" w:line="360" w:lineRule="auto"/>
        <w:jc w:val="both"/>
        <w:rPr>
          <w:rFonts w:ascii="Times New Roman" w:hAnsi="Times New Roman" w:cs="Times New Roman"/>
          <w:color w:val="000000"/>
          <w:sz w:val="24"/>
          <w:szCs w:val="24"/>
        </w:rPr>
      </w:pPr>
    </w:p>
    <w:p w:rsidR="003931CE" w:rsidRPr="00B035DF" w:rsidRDefault="004A48C0" w:rsidP="00262AAA">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Figure 5</w:t>
      </w:r>
      <w:r w:rsidR="00262AAA">
        <w:rPr>
          <w:rFonts w:ascii="Times New Roman" w:hAnsi="Times New Roman" w:cs="Times New Roman"/>
          <w:color w:val="000000"/>
          <w:sz w:val="24"/>
          <w:szCs w:val="24"/>
        </w:rPr>
        <w:t>: Most Prolific countries</w:t>
      </w:r>
    </w:p>
    <w:p w:rsidR="003931CE" w:rsidRPr="00B035DF" w:rsidRDefault="004A48C0" w:rsidP="003931CE">
      <w:pPr>
        <w:autoSpaceDE w:val="0"/>
        <w:autoSpaceDN w:val="0"/>
        <w:adjustRightInd w:val="0"/>
        <w:spacing w:after="0" w:line="360" w:lineRule="auto"/>
        <w:rPr>
          <w:rFonts w:ascii="Times New Roman" w:hAnsi="Times New Roman" w:cs="Times New Roman"/>
          <w:color w:val="000000"/>
          <w:sz w:val="24"/>
          <w:szCs w:val="24"/>
        </w:rPr>
      </w:pPr>
      <w:r w:rsidRPr="00B035DF">
        <w:rPr>
          <w:rFonts w:ascii="Times New Roman" w:hAnsi="Times New Roman" w:cs="Times New Roman"/>
          <w:noProof/>
          <w:color w:val="000000"/>
          <w:sz w:val="24"/>
          <w:szCs w:val="24"/>
        </w:rPr>
        <w:lastRenderedPageBreak/>
        <w:drawing>
          <wp:inline distT="0" distB="0" distL="0" distR="0">
            <wp:extent cx="5488481" cy="4776281"/>
            <wp:effectExtent l="19050" t="0" r="16969" b="5269"/>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30D04" w:rsidRPr="00046421" w:rsidRDefault="004A48C0" w:rsidP="00530D04">
      <w:pPr>
        <w:spacing w:line="360" w:lineRule="auto"/>
        <w:jc w:val="center"/>
        <w:rPr>
          <w:rFonts w:ascii="Times New Roman" w:hAnsi="Times New Roman" w:cs="Times New Roman"/>
          <w:i/>
          <w:sz w:val="24"/>
          <w:szCs w:val="24"/>
        </w:rPr>
      </w:pPr>
      <w:r w:rsidRPr="00046421">
        <w:rPr>
          <w:rFonts w:ascii="Times New Roman" w:hAnsi="Times New Roman" w:cs="Times New Roman"/>
          <w:i/>
          <w:sz w:val="24"/>
          <w:szCs w:val="24"/>
        </w:rPr>
        <w:t>(Source: Scopus Data Base)</w:t>
      </w:r>
    </w:p>
    <w:p w:rsidR="003931CE" w:rsidRPr="00B035DF" w:rsidRDefault="003931CE" w:rsidP="003931CE">
      <w:pPr>
        <w:autoSpaceDE w:val="0"/>
        <w:autoSpaceDN w:val="0"/>
        <w:adjustRightInd w:val="0"/>
        <w:spacing w:after="0" w:line="360" w:lineRule="auto"/>
        <w:rPr>
          <w:rFonts w:ascii="Times New Roman" w:hAnsi="Times New Roman" w:cs="Times New Roman"/>
          <w:color w:val="000000"/>
          <w:sz w:val="24"/>
          <w:szCs w:val="24"/>
        </w:rPr>
      </w:pPr>
    </w:p>
    <w:p w:rsidR="00246ECA" w:rsidRPr="00B035DF" w:rsidRDefault="004A48C0" w:rsidP="000F2FF6">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3.7 </w:t>
      </w:r>
      <w:r w:rsidR="000F2FF6" w:rsidRPr="00B035DF">
        <w:rPr>
          <w:rFonts w:ascii="Times New Roman" w:hAnsi="Times New Roman" w:cs="Times New Roman"/>
          <w:b/>
          <w:sz w:val="24"/>
          <w:szCs w:val="24"/>
        </w:rPr>
        <w:t xml:space="preserve">AFFLICTION OF AUTHORS </w:t>
      </w:r>
    </w:p>
    <w:p w:rsidR="000F2FF6" w:rsidRDefault="004A48C0" w:rsidP="00B31E04">
      <w:pPr>
        <w:spacing w:line="360" w:lineRule="auto"/>
        <w:jc w:val="both"/>
        <w:rPr>
          <w:rFonts w:ascii="Times New Roman" w:eastAsia="Times New Roman" w:hAnsi="Times New Roman" w:cs="Times New Roman"/>
          <w:color w:val="000000"/>
          <w:sz w:val="24"/>
          <w:szCs w:val="24"/>
        </w:rPr>
      </w:pPr>
      <w:r w:rsidRPr="00B035DF">
        <w:rPr>
          <w:rFonts w:ascii="Times New Roman" w:hAnsi="Times New Roman" w:cs="Times New Roman"/>
          <w:sz w:val="24"/>
          <w:szCs w:val="24"/>
        </w:rPr>
        <w:t xml:space="preserve">The figure shows the affiliation of authors. It has been observed that the maximum number of authors are afflicted </w:t>
      </w:r>
      <w:r w:rsidRPr="00B035DF">
        <w:rPr>
          <w:rFonts w:ascii="Times New Roman" w:eastAsia="Times New Roman" w:hAnsi="Times New Roman" w:cs="Times New Roman"/>
          <w:color w:val="000000"/>
          <w:sz w:val="24"/>
          <w:szCs w:val="24"/>
        </w:rPr>
        <w:t xml:space="preserve">University Sains Malaysia with 13 in numbers and secondly from University Malaysia Kelantan has 12 authors. </w:t>
      </w:r>
      <w:r w:rsidR="00646B1D">
        <w:rPr>
          <w:rFonts w:ascii="Times New Roman" w:eastAsia="Times New Roman" w:hAnsi="Times New Roman" w:cs="Times New Roman"/>
          <w:color w:val="000000"/>
          <w:sz w:val="24"/>
          <w:szCs w:val="24"/>
        </w:rPr>
        <w:t xml:space="preserve">The </w:t>
      </w:r>
      <w:r w:rsidRPr="00B035DF">
        <w:rPr>
          <w:rFonts w:ascii="Times New Roman" w:eastAsia="Times New Roman" w:hAnsi="Times New Roman" w:cs="Times New Roman"/>
          <w:color w:val="000000"/>
          <w:sz w:val="24"/>
          <w:szCs w:val="24"/>
        </w:rPr>
        <w:t xml:space="preserve">University of Tehran has 9 authors’ afflictions. Furthermore, </w:t>
      </w:r>
      <w:r w:rsidR="00646B1D">
        <w:rPr>
          <w:rFonts w:ascii="Times New Roman" w:eastAsia="Times New Roman" w:hAnsi="Times New Roman" w:cs="Times New Roman"/>
          <w:color w:val="000000"/>
          <w:sz w:val="24"/>
          <w:szCs w:val="24"/>
        </w:rPr>
        <w:t xml:space="preserve">the </w:t>
      </w:r>
      <w:r w:rsidRPr="00B035DF">
        <w:rPr>
          <w:rFonts w:ascii="Times New Roman" w:eastAsia="Times New Roman" w:hAnsi="Times New Roman" w:cs="Times New Roman"/>
          <w:color w:val="000000"/>
          <w:sz w:val="24"/>
          <w:szCs w:val="24"/>
        </w:rPr>
        <w:t>University of Pretoria and the Institute of Technology Bandung have 7 authors' affliction respectively.</w:t>
      </w:r>
    </w:p>
    <w:p w:rsidR="008E37E3" w:rsidRDefault="008E37E3" w:rsidP="00B31E04">
      <w:pPr>
        <w:spacing w:line="360" w:lineRule="auto"/>
        <w:jc w:val="both"/>
        <w:rPr>
          <w:rFonts w:ascii="Times New Roman" w:eastAsia="Times New Roman" w:hAnsi="Times New Roman" w:cs="Times New Roman"/>
          <w:color w:val="000000"/>
          <w:sz w:val="24"/>
          <w:szCs w:val="24"/>
        </w:rPr>
      </w:pPr>
    </w:p>
    <w:p w:rsidR="00262AAA" w:rsidRPr="00B035DF" w:rsidRDefault="004A48C0" w:rsidP="00262AAA">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Figure 6: Affliction of Authors</w:t>
      </w:r>
    </w:p>
    <w:p w:rsidR="000F2FF6" w:rsidRPr="00B035DF" w:rsidRDefault="004A48C0" w:rsidP="000F2FF6">
      <w:pPr>
        <w:autoSpaceDE w:val="0"/>
        <w:autoSpaceDN w:val="0"/>
        <w:adjustRightInd w:val="0"/>
        <w:spacing w:after="0" w:line="360" w:lineRule="auto"/>
        <w:rPr>
          <w:rFonts w:ascii="Times New Roman" w:hAnsi="Times New Roman" w:cs="Times New Roman"/>
          <w:sz w:val="24"/>
          <w:szCs w:val="24"/>
        </w:rPr>
      </w:pPr>
      <w:r w:rsidRPr="00B035DF">
        <w:rPr>
          <w:rFonts w:ascii="Times New Roman" w:hAnsi="Times New Roman" w:cs="Times New Roman"/>
          <w:noProof/>
          <w:sz w:val="24"/>
          <w:szCs w:val="24"/>
        </w:rPr>
        <w:lastRenderedPageBreak/>
        <w:drawing>
          <wp:inline distT="0" distB="0" distL="0" distR="0">
            <wp:extent cx="5488481" cy="5184843"/>
            <wp:effectExtent l="19050" t="0" r="16969"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30D04" w:rsidRPr="00046421" w:rsidRDefault="004A48C0" w:rsidP="00530D04">
      <w:pPr>
        <w:spacing w:line="360" w:lineRule="auto"/>
        <w:jc w:val="center"/>
        <w:rPr>
          <w:rFonts w:ascii="Times New Roman" w:hAnsi="Times New Roman" w:cs="Times New Roman"/>
          <w:i/>
          <w:sz w:val="24"/>
          <w:szCs w:val="24"/>
        </w:rPr>
      </w:pPr>
      <w:r w:rsidRPr="00046421">
        <w:rPr>
          <w:rFonts w:ascii="Times New Roman" w:hAnsi="Times New Roman" w:cs="Times New Roman"/>
          <w:i/>
          <w:sz w:val="24"/>
          <w:szCs w:val="24"/>
        </w:rPr>
        <w:t>(Source: Scopus Data Base)</w:t>
      </w:r>
    </w:p>
    <w:p w:rsidR="00246ECA" w:rsidRPr="00B035DF" w:rsidRDefault="00246ECA" w:rsidP="005E43A8">
      <w:pPr>
        <w:spacing w:line="360" w:lineRule="auto"/>
        <w:jc w:val="both"/>
        <w:rPr>
          <w:rFonts w:ascii="Times New Roman" w:hAnsi="Times New Roman" w:cs="Times New Roman"/>
          <w:sz w:val="24"/>
          <w:szCs w:val="24"/>
        </w:rPr>
      </w:pPr>
    </w:p>
    <w:p w:rsidR="00246ECA" w:rsidRPr="004D4FAA" w:rsidRDefault="004A48C0" w:rsidP="005E43A8">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3.8 </w:t>
      </w:r>
      <w:r w:rsidR="004D4FAA" w:rsidRPr="004D4FAA">
        <w:rPr>
          <w:rFonts w:ascii="Times New Roman" w:hAnsi="Times New Roman" w:cs="Times New Roman"/>
          <w:b/>
          <w:sz w:val="24"/>
          <w:szCs w:val="24"/>
        </w:rPr>
        <w:t>CO-AUTHORSHIP NETWORK MAPPING:</w:t>
      </w:r>
    </w:p>
    <w:p w:rsidR="004D4FAA" w:rsidRDefault="004A48C0" w:rsidP="004D4FAA">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The figure </w:t>
      </w:r>
      <w:r w:rsidRPr="004D4FAA">
        <w:rPr>
          <w:rFonts w:ascii="Times New Roman" w:hAnsi="Times New Roman" w:cs="Times New Roman"/>
          <w:sz w:val="24"/>
          <w:szCs w:val="24"/>
        </w:rPr>
        <w:t>shows the co-authorship network map generated by the VOSviewer software.The figure consists of big and small circles connected with several lines. Thoseauthors who have co-authored with more authors are assigned bigger circles and</w:t>
      </w:r>
      <w:r w:rsidRPr="004D4FAA">
        <w:rPr>
          <w:rFonts w:ascii="Times New Roman" w:hAnsi="Times New Roman" w:cs="Times New Roman"/>
          <w:color w:val="000000"/>
          <w:sz w:val="24"/>
          <w:szCs w:val="24"/>
        </w:rPr>
        <w:t>labels. Th</w:t>
      </w:r>
      <w:r>
        <w:rPr>
          <w:rFonts w:ascii="Times New Roman" w:hAnsi="Times New Roman" w:cs="Times New Roman"/>
          <w:color w:val="000000"/>
          <w:sz w:val="24"/>
          <w:szCs w:val="24"/>
        </w:rPr>
        <w:t>e figureshows the names of the top 96</w:t>
      </w:r>
      <w:r w:rsidRPr="004D4FAA">
        <w:rPr>
          <w:rFonts w:ascii="Times New Roman" w:hAnsi="Times New Roman" w:cs="Times New Roman"/>
          <w:color w:val="000000"/>
          <w:sz w:val="24"/>
          <w:szCs w:val="24"/>
        </w:rPr>
        <w:t xml:space="preserve"> authors, who have co-authored with themaximum number of other authors in the data set.</w:t>
      </w:r>
    </w:p>
    <w:p w:rsidR="008E37E3" w:rsidRDefault="008E37E3" w:rsidP="004D4FAA">
      <w:pPr>
        <w:autoSpaceDE w:val="0"/>
        <w:autoSpaceDN w:val="0"/>
        <w:adjustRightInd w:val="0"/>
        <w:spacing w:after="0" w:line="360" w:lineRule="auto"/>
        <w:jc w:val="both"/>
        <w:rPr>
          <w:rFonts w:ascii="Times New Roman" w:hAnsi="Times New Roman" w:cs="Times New Roman"/>
          <w:color w:val="000000"/>
          <w:sz w:val="24"/>
          <w:szCs w:val="24"/>
        </w:rPr>
      </w:pPr>
    </w:p>
    <w:p w:rsidR="008E37E3" w:rsidRDefault="008E37E3" w:rsidP="004D4FAA">
      <w:pPr>
        <w:autoSpaceDE w:val="0"/>
        <w:autoSpaceDN w:val="0"/>
        <w:adjustRightInd w:val="0"/>
        <w:spacing w:after="0" w:line="360" w:lineRule="auto"/>
        <w:jc w:val="both"/>
        <w:rPr>
          <w:rFonts w:ascii="Times New Roman" w:hAnsi="Times New Roman" w:cs="Times New Roman"/>
          <w:color w:val="000000"/>
          <w:sz w:val="24"/>
          <w:szCs w:val="24"/>
        </w:rPr>
      </w:pPr>
    </w:p>
    <w:p w:rsidR="008E37E3" w:rsidRDefault="008E37E3" w:rsidP="004D4FAA">
      <w:pPr>
        <w:autoSpaceDE w:val="0"/>
        <w:autoSpaceDN w:val="0"/>
        <w:adjustRightInd w:val="0"/>
        <w:spacing w:after="0" w:line="360" w:lineRule="auto"/>
        <w:jc w:val="both"/>
        <w:rPr>
          <w:rFonts w:ascii="Times New Roman" w:hAnsi="Times New Roman" w:cs="Times New Roman"/>
          <w:color w:val="000000"/>
          <w:sz w:val="24"/>
          <w:szCs w:val="24"/>
        </w:rPr>
      </w:pPr>
    </w:p>
    <w:p w:rsidR="004D4FAA" w:rsidRDefault="004A48C0" w:rsidP="00262AAA">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Figure 7</w:t>
      </w:r>
      <w:r w:rsidR="00262AAA">
        <w:rPr>
          <w:rFonts w:ascii="Times New Roman" w:hAnsi="Times New Roman" w:cs="Times New Roman"/>
          <w:color w:val="000000"/>
          <w:sz w:val="24"/>
          <w:szCs w:val="24"/>
        </w:rPr>
        <w:t>: Co-authorship Network Mapping</w:t>
      </w:r>
    </w:p>
    <w:p w:rsidR="004D4FAA" w:rsidRDefault="004A48C0" w:rsidP="004D4FAA">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extent cx="5718354" cy="4362450"/>
            <wp:effectExtent l="19050" t="0" r="0" b="0"/>
            <wp:docPr id="6" name="Picture 1" descr="C:\Users\SAMSUNG\Pictures\Screenshots\Screenshot (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C:\Users\SAMSUNG\Pictures\Screenshots\Screenshot (292).png"/>
                    <pic:cNvPicPr>
                      <a:picLocks noChangeAspect="1" noChangeArrowheads="1"/>
                    </pic:cNvPicPr>
                  </pic:nvPicPr>
                  <pic:blipFill>
                    <a:blip r:embed="rId12"/>
                    <a:stretch>
                      <a:fillRect/>
                    </a:stretch>
                  </pic:blipFill>
                  <pic:spPr bwMode="auto">
                    <a:xfrm>
                      <a:off x="0" y="0"/>
                      <a:ext cx="5731510" cy="4372487"/>
                    </a:xfrm>
                    <a:prstGeom prst="rect">
                      <a:avLst/>
                    </a:prstGeom>
                    <a:noFill/>
                    <a:ln w="9525">
                      <a:noFill/>
                      <a:miter lim="800000"/>
                      <a:headEnd/>
                      <a:tailEnd/>
                    </a:ln>
                  </pic:spPr>
                </pic:pic>
              </a:graphicData>
            </a:graphic>
          </wp:inline>
        </w:drawing>
      </w:r>
    </w:p>
    <w:p w:rsidR="004D4FAA" w:rsidRPr="00262AAA" w:rsidRDefault="004A48C0" w:rsidP="00262AAA">
      <w:pPr>
        <w:autoSpaceDE w:val="0"/>
        <w:autoSpaceDN w:val="0"/>
        <w:adjustRightInd w:val="0"/>
        <w:spacing w:after="0" w:line="360" w:lineRule="auto"/>
        <w:jc w:val="center"/>
        <w:rPr>
          <w:rFonts w:ascii="Times New Roman" w:hAnsi="Times New Roman" w:cs="Times New Roman"/>
          <w:i/>
          <w:color w:val="000000"/>
          <w:sz w:val="24"/>
          <w:szCs w:val="24"/>
        </w:rPr>
      </w:pPr>
      <w:r w:rsidRPr="00262AAA">
        <w:rPr>
          <w:rFonts w:ascii="Times New Roman" w:hAnsi="Times New Roman" w:cs="Times New Roman"/>
          <w:i/>
          <w:color w:val="000000"/>
          <w:sz w:val="24"/>
          <w:szCs w:val="24"/>
        </w:rPr>
        <w:t>(Source: VOS viewer)</w:t>
      </w:r>
    </w:p>
    <w:p w:rsidR="004D4FAA" w:rsidRPr="00262AAA" w:rsidRDefault="004D4FAA" w:rsidP="00262AAA">
      <w:pPr>
        <w:spacing w:line="360" w:lineRule="auto"/>
        <w:jc w:val="center"/>
        <w:rPr>
          <w:rFonts w:ascii="Times New Roman" w:hAnsi="Times New Roman" w:cs="Times New Roman"/>
          <w:sz w:val="28"/>
          <w:szCs w:val="24"/>
        </w:rPr>
      </w:pPr>
    </w:p>
    <w:p w:rsidR="005E43A8" w:rsidRPr="00DE78C5" w:rsidRDefault="004A48C0" w:rsidP="0012669D">
      <w:pPr>
        <w:spacing w:line="360" w:lineRule="auto"/>
        <w:ind w:left="-284"/>
        <w:jc w:val="both"/>
        <w:rPr>
          <w:rFonts w:ascii="Times New Roman" w:hAnsi="Times New Roman" w:cs="Times New Roman"/>
          <w:b/>
          <w:sz w:val="28"/>
          <w:szCs w:val="24"/>
        </w:rPr>
      </w:pPr>
      <w:r>
        <w:rPr>
          <w:rFonts w:ascii="Times New Roman" w:hAnsi="Times New Roman" w:cs="Times New Roman"/>
          <w:b/>
          <w:sz w:val="28"/>
          <w:szCs w:val="24"/>
        </w:rPr>
        <w:t xml:space="preserve">4. </w:t>
      </w:r>
      <w:r w:rsidR="00DE78C5" w:rsidRPr="00DE78C5">
        <w:rPr>
          <w:rFonts w:ascii="Times New Roman" w:hAnsi="Times New Roman" w:cs="Times New Roman"/>
          <w:b/>
          <w:sz w:val="28"/>
          <w:szCs w:val="24"/>
        </w:rPr>
        <w:t>RISK - RESILIENCE</w:t>
      </w:r>
    </w:p>
    <w:p w:rsidR="005E43A8" w:rsidRDefault="004A48C0" w:rsidP="00DE78C5">
      <w:pPr>
        <w:autoSpaceDE w:val="0"/>
        <w:autoSpaceDN w:val="0"/>
        <w:adjustRightInd w:val="0"/>
        <w:spacing w:after="0" w:line="360" w:lineRule="auto"/>
        <w:jc w:val="both"/>
        <w:rPr>
          <w:rFonts w:ascii="Times New Roman" w:hAnsi="Times New Roman" w:cs="Times New Roman"/>
          <w:sz w:val="24"/>
          <w:szCs w:val="24"/>
        </w:rPr>
      </w:pPr>
      <w:r w:rsidRPr="00B035DF">
        <w:rPr>
          <w:rFonts w:ascii="Times New Roman" w:hAnsi="Times New Roman" w:cs="Times New Roman"/>
          <w:sz w:val="24"/>
          <w:szCs w:val="24"/>
        </w:rPr>
        <w:t>The ability of a company to undergo and develop in a dynamic and uncertain environment is referred to as resilience. The ability to get better to a steady state after being exposed to a disruptive situation is referred to as resilience. Disruptions are unavoidable, and there are a variety of internal and external variables that contribute to disruptions in companies. When it comes to resilience, the main concerns are organizational vulnerability, disruptions, and complexities, as these are the main challenges that affect the system's resilience. Vulnerability to a disruptive event can be defined as a mix of the likelihood of disruption and the severity of the disruption.</w:t>
      </w:r>
    </w:p>
    <w:p w:rsidR="00DE78C5" w:rsidRPr="00B035DF" w:rsidRDefault="00DE78C5" w:rsidP="00DE78C5">
      <w:pPr>
        <w:autoSpaceDE w:val="0"/>
        <w:autoSpaceDN w:val="0"/>
        <w:adjustRightInd w:val="0"/>
        <w:spacing w:after="0" w:line="360" w:lineRule="auto"/>
        <w:jc w:val="both"/>
        <w:rPr>
          <w:rFonts w:ascii="Times New Roman" w:hAnsi="Times New Roman" w:cs="Times New Roman"/>
          <w:sz w:val="24"/>
          <w:szCs w:val="24"/>
        </w:rPr>
      </w:pPr>
    </w:p>
    <w:p w:rsidR="0012669D" w:rsidRDefault="0012669D" w:rsidP="00D20713">
      <w:pPr>
        <w:spacing w:line="360" w:lineRule="auto"/>
        <w:jc w:val="both"/>
        <w:rPr>
          <w:rFonts w:ascii="Times New Roman" w:hAnsi="Times New Roman" w:cs="Times New Roman"/>
          <w:b/>
          <w:sz w:val="24"/>
          <w:szCs w:val="24"/>
        </w:rPr>
      </w:pPr>
    </w:p>
    <w:p w:rsidR="0012669D" w:rsidRDefault="0012669D" w:rsidP="00D20713">
      <w:pPr>
        <w:spacing w:line="360" w:lineRule="auto"/>
        <w:jc w:val="both"/>
        <w:rPr>
          <w:rFonts w:ascii="Times New Roman" w:hAnsi="Times New Roman" w:cs="Times New Roman"/>
          <w:b/>
          <w:sz w:val="24"/>
          <w:szCs w:val="24"/>
        </w:rPr>
      </w:pPr>
    </w:p>
    <w:p w:rsidR="00D20713" w:rsidRDefault="004A48C0" w:rsidP="00D20713">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4.1 SUBJECT AREA:</w:t>
      </w:r>
    </w:p>
    <w:p w:rsidR="00D20713" w:rsidRDefault="004A48C0" w:rsidP="005E43A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It has been observed that a maximum number of </w:t>
      </w:r>
      <w:r w:rsidR="00B84FB1">
        <w:rPr>
          <w:rFonts w:ascii="Times New Roman" w:hAnsi="Times New Roman" w:cs="Times New Roman"/>
          <w:sz w:val="24"/>
          <w:szCs w:val="24"/>
        </w:rPr>
        <w:t>studies</w:t>
      </w:r>
      <w:r>
        <w:rPr>
          <w:rFonts w:ascii="Times New Roman" w:hAnsi="Times New Roman" w:cs="Times New Roman"/>
          <w:sz w:val="24"/>
          <w:szCs w:val="24"/>
        </w:rPr>
        <w:t xml:space="preserve"> are written in the subject area of Social Science with 139 </w:t>
      </w:r>
      <w:r w:rsidR="00B84FB1">
        <w:rPr>
          <w:rFonts w:ascii="Times New Roman" w:hAnsi="Times New Roman" w:cs="Times New Roman"/>
          <w:sz w:val="24"/>
          <w:szCs w:val="24"/>
        </w:rPr>
        <w:t>studies</w:t>
      </w:r>
      <w:r>
        <w:rPr>
          <w:rFonts w:ascii="Times New Roman" w:hAnsi="Times New Roman" w:cs="Times New Roman"/>
          <w:sz w:val="24"/>
          <w:szCs w:val="24"/>
        </w:rPr>
        <w:t xml:space="preserve">. Furthermore, the subject area such as Medicine and Social Science also has 92 and 76 </w:t>
      </w:r>
      <w:r w:rsidR="00B84FB1">
        <w:rPr>
          <w:rFonts w:ascii="Times New Roman" w:hAnsi="Times New Roman" w:cs="Times New Roman"/>
          <w:sz w:val="24"/>
          <w:szCs w:val="24"/>
        </w:rPr>
        <w:t>studies</w:t>
      </w:r>
      <w:r>
        <w:rPr>
          <w:rFonts w:ascii="Times New Roman" w:hAnsi="Times New Roman" w:cs="Times New Roman"/>
          <w:sz w:val="24"/>
          <w:szCs w:val="24"/>
        </w:rPr>
        <w:t xml:space="preserve"> respectively. There are 53 </w:t>
      </w:r>
      <w:r w:rsidR="00B84FB1">
        <w:rPr>
          <w:rFonts w:ascii="Times New Roman" w:hAnsi="Times New Roman" w:cs="Times New Roman"/>
          <w:sz w:val="24"/>
          <w:szCs w:val="24"/>
        </w:rPr>
        <w:t>studies</w:t>
      </w:r>
      <w:r>
        <w:rPr>
          <w:rFonts w:ascii="Times New Roman" w:hAnsi="Times New Roman" w:cs="Times New Roman"/>
          <w:sz w:val="24"/>
          <w:szCs w:val="24"/>
        </w:rPr>
        <w:t xml:space="preserve"> in Environmental Science and 43 in Engineering.</w:t>
      </w:r>
    </w:p>
    <w:p w:rsidR="0064413E" w:rsidRPr="00B035DF" w:rsidRDefault="004A48C0" w:rsidP="00424AEF">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8</w:t>
      </w:r>
      <w:r w:rsidR="00424AEF">
        <w:rPr>
          <w:rFonts w:ascii="Times New Roman" w:hAnsi="Times New Roman" w:cs="Times New Roman"/>
          <w:sz w:val="24"/>
          <w:szCs w:val="24"/>
        </w:rPr>
        <w:t>: Subject Area</w:t>
      </w:r>
    </w:p>
    <w:p w:rsidR="006B0DD4" w:rsidRPr="00B035DF" w:rsidRDefault="004A48C0" w:rsidP="005E43A8">
      <w:pPr>
        <w:spacing w:line="360" w:lineRule="auto"/>
        <w:jc w:val="both"/>
        <w:rPr>
          <w:rFonts w:ascii="Times New Roman" w:hAnsi="Times New Roman" w:cs="Times New Roman"/>
          <w:sz w:val="24"/>
          <w:szCs w:val="24"/>
        </w:rPr>
      </w:pPr>
      <w:r w:rsidRPr="00B035DF">
        <w:rPr>
          <w:rFonts w:ascii="Times New Roman" w:hAnsi="Times New Roman" w:cs="Times New Roman"/>
          <w:noProof/>
          <w:sz w:val="24"/>
          <w:szCs w:val="24"/>
        </w:rPr>
        <w:drawing>
          <wp:inline distT="0" distB="0" distL="0" distR="0">
            <wp:extent cx="5438370" cy="6099243"/>
            <wp:effectExtent l="19050" t="0" r="9930" b="0"/>
            <wp:docPr id="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30D04" w:rsidRPr="001F077F" w:rsidRDefault="004A48C0" w:rsidP="001F077F">
      <w:pPr>
        <w:spacing w:line="360" w:lineRule="auto"/>
        <w:jc w:val="center"/>
        <w:rPr>
          <w:rFonts w:ascii="Times New Roman" w:hAnsi="Times New Roman" w:cs="Times New Roman"/>
          <w:i/>
          <w:sz w:val="24"/>
          <w:szCs w:val="24"/>
        </w:rPr>
      </w:pPr>
      <w:r w:rsidRPr="00046421">
        <w:rPr>
          <w:rFonts w:ascii="Times New Roman" w:hAnsi="Times New Roman" w:cs="Times New Roman"/>
          <w:i/>
          <w:sz w:val="24"/>
          <w:szCs w:val="24"/>
        </w:rPr>
        <w:t>(Source: Scopus Data Base)</w:t>
      </w:r>
    </w:p>
    <w:p w:rsidR="0012669D" w:rsidRDefault="0012669D" w:rsidP="00D20713">
      <w:pPr>
        <w:spacing w:line="360" w:lineRule="auto"/>
        <w:jc w:val="both"/>
        <w:rPr>
          <w:rFonts w:ascii="Times New Roman" w:hAnsi="Times New Roman" w:cs="Times New Roman"/>
          <w:b/>
          <w:sz w:val="24"/>
          <w:szCs w:val="24"/>
        </w:rPr>
      </w:pPr>
    </w:p>
    <w:p w:rsidR="001F077F" w:rsidRDefault="004A48C0" w:rsidP="00D20713">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4.2 </w:t>
      </w:r>
      <w:r w:rsidR="00D20713">
        <w:rPr>
          <w:rFonts w:ascii="Times New Roman" w:hAnsi="Times New Roman" w:cs="Times New Roman"/>
          <w:b/>
          <w:sz w:val="24"/>
          <w:szCs w:val="24"/>
        </w:rPr>
        <w:t>JOURNALS WITH MAXIMUM PUBLICATIONS:</w:t>
      </w:r>
    </w:p>
    <w:p w:rsidR="00F16AC4" w:rsidRPr="001F077F" w:rsidRDefault="004A48C0" w:rsidP="00D20713">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All the 342 </w:t>
      </w:r>
      <w:r w:rsidR="00B84FB1">
        <w:rPr>
          <w:rFonts w:ascii="Times New Roman" w:hAnsi="Times New Roman" w:cs="Times New Roman"/>
          <w:sz w:val="24"/>
          <w:szCs w:val="24"/>
        </w:rPr>
        <w:t>studies</w:t>
      </w:r>
      <w:r>
        <w:rPr>
          <w:rFonts w:ascii="Times New Roman" w:hAnsi="Times New Roman" w:cs="Times New Roman"/>
          <w:sz w:val="24"/>
          <w:szCs w:val="24"/>
        </w:rPr>
        <w:t xml:space="preserve"> in this study belong to their respective 136 journals. The below</w:t>
      </w:r>
      <w:r w:rsidR="00646B1D">
        <w:rPr>
          <w:rFonts w:ascii="Times New Roman" w:hAnsi="Times New Roman" w:cs="Times New Roman"/>
          <w:sz w:val="24"/>
          <w:szCs w:val="24"/>
        </w:rPr>
        <w:t>-</w:t>
      </w:r>
      <w:r>
        <w:rPr>
          <w:rFonts w:ascii="Times New Roman" w:hAnsi="Times New Roman" w:cs="Times New Roman"/>
          <w:sz w:val="24"/>
          <w:szCs w:val="24"/>
        </w:rPr>
        <w:t xml:space="preserve">mentioned table shows the top twenty journals, which published the maximum number of </w:t>
      </w:r>
      <w:r w:rsidR="00B84FB1">
        <w:rPr>
          <w:rFonts w:ascii="Times New Roman" w:hAnsi="Times New Roman" w:cs="Times New Roman"/>
          <w:sz w:val="24"/>
          <w:szCs w:val="24"/>
        </w:rPr>
        <w:t>studies</w:t>
      </w:r>
      <w:r>
        <w:rPr>
          <w:rFonts w:ascii="Times New Roman" w:hAnsi="Times New Roman" w:cs="Times New Roman"/>
          <w:sz w:val="24"/>
          <w:szCs w:val="24"/>
        </w:rPr>
        <w:t xml:space="preserve"> on Entrepreneurial Competencies. The highest </w:t>
      </w:r>
      <w:r w:rsidR="00B84FB1">
        <w:rPr>
          <w:rFonts w:ascii="Times New Roman" w:hAnsi="Times New Roman" w:cs="Times New Roman"/>
          <w:sz w:val="24"/>
          <w:szCs w:val="24"/>
        </w:rPr>
        <w:t>number of studies</w:t>
      </w:r>
      <w:r>
        <w:rPr>
          <w:rFonts w:ascii="Times New Roman" w:hAnsi="Times New Roman" w:cs="Times New Roman"/>
          <w:sz w:val="24"/>
          <w:szCs w:val="24"/>
        </w:rPr>
        <w:t xml:space="preserve"> were published in the Journal of Early Adolescence with 12 </w:t>
      </w:r>
      <w:r w:rsidR="00B84FB1">
        <w:rPr>
          <w:rFonts w:ascii="Times New Roman" w:hAnsi="Times New Roman" w:cs="Times New Roman"/>
          <w:sz w:val="24"/>
          <w:szCs w:val="24"/>
        </w:rPr>
        <w:t>studies</w:t>
      </w:r>
      <w:r>
        <w:rPr>
          <w:rFonts w:ascii="Times New Roman" w:hAnsi="Times New Roman" w:cs="Times New Roman"/>
          <w:sz w:val="24"/>
          <w:szCs w:val="24"/>
        </w:rPr>
        <w:t>. Furthermore,</w:t>
      </w:r>
      <w:r w:rsidR="0082210E">
        <w:rPr>
          <w:rFonts w:ascii="Times New Roman" w:hAnsi="Times New Roman" w:cs="Times New Roman"/>
          <w:sz w:val="24"/>
          <w:szCs w:val="24"/>
        </w:rPr>
        <w:t xml:space="preserve"> sustainability </w:t>
      </w:r>
      <w:r>
        <w:rPr>
          <w:rFonts w:ascii="Times New Roman" w:hAnsi="Times New Roman" w:cs="Times New Roman"/>
          <w:sz w:val="24"/>
          <w:szCs w:val="24"/>
        </w:rPr>
        <w:t>Switzerland</w:t>
      </w:r>
      <w:r w:rsidR="0082210E">
        <w:rPr>
          <w:rFonts w:ascii="Times New Roman" w:hAnsi="Times New Roman" w:cs="Times New Roman"/>
          <w:sz w:val="24"/>
          <w:szCs w:val="24"/>
        </w:rPr>
        <w:t>,Structure of Infrastructure Engineering</w:t>
      </w:r>
      <w:r w:rsidR="00646B1D">
        <w:rPr>
          <w:rFonts w:ascii="Times New Roman" w:hAnsi="Times New Roman" w:cs="Times New Roman"/>
          <w:sz w:val="24"/>
          <w:szCs w:val="24"/>
        </w:rPr>
        <w:t>,</w:t>
      </w:r>
      <w:r w:rsidR="0082210E">
        <w:rPr>
          <w:rFonts w:ascii="Times New Roman" w:hAnsi="Times New Roman" w:cs="Times New Roman"/>
          <w:sz w:val="24"/>
          <w:szCs w:val="24"/>
        </w:rPr>
        <w:t xml:space="preserve"> and International </w:t>
      </w:r>
      <w:r w:rsidR="00646B1D">
        <w:rPr>
          <w:rFonts w:ascii="Times New Roman" w:hAnsi="Times New Roman" w:cs="Times New Roman"/>
          <w:sz w:val="24"/>
          <w:szCs w:val="24"/>
        </w:rPr>
        <w:t>J</w:t>
      </w:r>
      <w:r w:rsidR="0082210E">
        <w:rPr>
          <w:rFonts w:ascii="Times New Roman" w:hAnsi="Times New Roman" w:cs="Times New Roman"/>
          <w:sz w:val="24"/>
          <w:szCs w:val="24"/>
        </w:rPr>
        <w:t>ournal of Disaster Risk Science were having 5</w:t>
      </w:r>
      <w:r w:rsidR="00B84FB1">
        <w:rPr>
          <w:rFonts w:ascii="Times New Roman" w:hAnsi="Times New Roman" w:cs="Times New Roman"/>
          <w:sz w:val="24"/>
          <w:szCs w:val="24"/>
        </w:rPr>
        <w:t>studies</w:t>
      </w:r>
      <w:r w:rsidR="0082210E">
        <w:rPr>
          <w:rFonts w:ascii="Times New Roman" w:hAnsi="Times New Roman" w:cs="Times New Roman"/>
          <w:sz w:val="24"/>
          <w:szCs w:val="24"/>
        </w:rPr>
        <w:t xml:space="preserve">each </w:t>
      </w:r>
      <w:r>
        <w:rPr>
          <w:rFonts w:ascii="Times New Roman" w:hAnsi="Times New Roman" w:cs="Times New Roman"/>
          <w:sz w:val="24"/>
          <w:szCs w:val="24"/>
        </w:rPr>
        <w:t>respectively.</w:t>
      </w:r>
    </w:p>
    <w:p w:rsidR="00F16AC4" w:rsidRDefault="004A48C0" w:rsidP="001F077F">
      <w:pPr>
        <w:spacing w:line="360" w:lineRule="auto"/>
        <w:jc w:val="center"/>
        <w:rPr>
          <w:rFonts w:ascii="Times New Roman" w:hAnsi="Times New Roman" w:cs="Times New Roman"/>
          <w:sz w:val="24"/>
          <w:szCs w:val="24"/>
        </w:rPr>
      </w:pPr>
      <w:r>
        <w:rPr>
          <w:rFonts w:ascii="Times New Roman" w:hAnsi="Times New Roman" w:cs="Times New Roman"/>
          <w:sz w:val="24"/>
          <w:szCs w:val="24"/>
        </w:rPr>
        <w:t>Table 3: Journals with maximum Citations</w:t>
      </w:r>
    </w:p>
    <w:tbl>
      <w:tblPr>
        <w:tblW w:w="8804" w:type="dxa"/>
        <w:tblInd w:w="93" w:type="dxa"/>
        <w:tblLook w:val="04A0"/>
      </w:tblPr>
      <w:tblGrid>
        <w:gridCol w:w="7245"/>
        <w:gridCol w:w="1559"/>
      </w:tblGrid>
      <w:tr w:rsidR="00D268C0" w:rsidTr="00C55B9B">
        <w:trPr>
          <w:trHeight w:val="315"/>
        </w:trPr>
        <w:tc>
          <w:tcPr>
            <w:tcW w:w="7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6AC4" w:rsidRPr="00F16AC4" w:rsidRDefault="004A48C0" w:rsidP="00F16AC4">
            <w:pPr>
              <w:spacing w:after="0" w:line="360" w:lineRule="auto"/>
              <w:rPr>
                <w:rFonts w:ascii="Times New Roman" w:eastAsia="Times New Roman" w:hAnsi="Times New Roman" w:cs="Times New Roman"/>
                <w:b/>
                <w:color w:val="000000"/>
                <w:sz w:val="24"/>
                <w:szCs w:val="24"/>
              </w:rPr>
            </w:pPr>
            <w:r w:rsidRPr="00F16AC4">
              <w:rPr>
                <w:rFonts w:ascii="Times New Roman" w:eastAsia="Times New Roman" w:hAnsi="Times New Roman" w:cs="Times New Roman"/>
                <w:b/>
                <w:color w:val="000000"/>
                <w:sz w:val="24"/>
                <w:szCs w:val="24"/>
              </w:rPr>
              <w:t>Journal</w:t>
            </w:r>
            <w:r>
              <w:rPr>
                <w:rFonts w:ascii="Times New Roman" w:eastAsia="Times New Roman" w:hAnsi="Times New Roman" w:cs="Times New Roman"/>
                <w:b/>
                <w:color w:val="000000"/>
                <w:sz w:val="24"/>
                <w:szCs w:val="24"/>
              </w:rPr>
              <w:t xml:space="preserve">’s </w:t>
            </w:r>
            <w:r w:rsidRPr="00F16AC4">
              <w:rPr>
                <w:rFonts w:ascii="Times New Roman" w:eastAsia="Times New Roman" w:hAnsi="Times New Roman" w:cs="Times New Roman"/>
                <w:b/>
                <w:color w:val="000000"/>
                <w:sz w:val="24"/>
                <w:szCs w:val="24"/>
              </w:rPr>
              <w:t xml:space="preserve"> Name</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F16AC4" w:rsidRPr="00F16AC4" w:rsidRDefault="004A48C0" w:rsidP="00F16AC4">
            <w:pPr>
              <w:spacing w:after="0"/>
              <w:jc w:val="right"/>
              <w:rPr>
                <w:rFonts w:ascii="Times New Roman" w:eastAsia="Times New Roman" w:hAnsi="Times New Roman" w:cs="Times New Roman"/>
                <w:b/>
                <w:color w:val="000000"/>
                <w:sz w:val="24"/>
                <w:szCs w:val="24"/>
              </w:rPr>
            </w:pPr>
            <w:r w:rsidRPr="00F16AC4">
              <w:rPr>
                <w:rFonts w:ascii="Times New Roman" w:eastAsia="Times New Roman" w:hAnsi="Times New Roman" w:cs="Times New Roman"/>
                <w:b/>
                <w:color w:val="000000"/>
                <w:sz w:val="24"/>
                <w:szCs w:val="24"/>
              </w:rPr>
              <w:t xml:space="preserve">No of </w:t>
            </w:r>
            <w:r w:rsidR="00B84FB1">
              <w:rPr>
                <w:rFonts w:ascii="Times New Roman" w:eastAsia="Times New Roman" w:hAnsi="Times New Roman" w:cs="Times New Roman"/>
                <w:b/>
                <w:color w:val="000000"/>
                <w:sz w:val="24"/>
                <w:szCs w:val="24"/>
              </w:rPr>
              <w:t>Studies</w:t>
            </w:r>
          </w:p>
        </w:tc>
      </w:tr>
      <w:tr w:rsidR="00D268C0" w:rsidTr="00C55B9B">
        <w:trPr>
          <w:trHeight w:val="315"/>
        </w:trPr>
        <w:tc>
          <w:tcPr>
            <w:tcW w:w="7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6AC4" w:rsidRPr="00F16AC4" w:rsidRDefault="004A48C0" w:rsidP="00F16AC4">
            <w:pPr>
              <w:spacing w:after="0" w:line="360" w:lineRule="auto"/>
              <w:rPr>
                <w:rFonts w:ascii="Times New Roman" w:eastAsia="Times New Roman" w:hAnsi="Times New Roman" w:cs="Times New Roman"/>
                <w:color w:val="000000"/>
                <w:sz w:val="24"/>
                <w:szCs w:val="24"/>
              </w:rPr>
            </w:pPr>
            <w:r w:rsidRPr="00F16AC4">
              <w:rPr>
                <w:rFonts w:ascii="Times New Roman" w:eastAsia="Times New Roman" w:hAnsi="Times New Roman" w:cs="Times New Roman"/>
                <w:color w:val="000000"/>
                <w:sz w:val="24"/>
                <w:szCs w:val="24"/>
              </w:rPr>
              <w:t>Journal Of Early Adolescence</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F16AC4" w:rsidRPr="00F16AC4" w:rsidRDefault="004A48C0" w:rsidP="00F16AC4">
            <w:pPr>
              <w:spacing w:after="0"/>
              <w:jc w:val="right"/>
              <w:rPr>
                <w:rFonts w:ascii="Times New Roman" w:eastAsia="Times New Roman" w:hAnsi="Times New Roman" w:cs="Times New Roman"/>
                <w:color w:val="000000"/>
                <w:sz w:val="24"/>
                <w:szCs w:val="24"/>
              </w:rPr>
            </w:pPr>
            <w:r w:rsidRPr="00F16AC4">
              <w:rPr>
                <w:rFonts w:ascii="Times New Roman" w:eastAsia="Times New Roman" w:hAnsi="Times New Roman" w:cs="Times New Roman"/>
                <w:color w:val="000000"/>
                <w:sz w:val="24"/>
                <w:szCs w:val="24"/>
              </w:rPr>
              <w:t>12</w:t>
            </w:r>
          </w:p>
        </w:tc>
      </w:tr>
      <w:tr w:rsidR="00D268C0" w:rsidTr="00C55B9B">
        <w:trPr>
          <w:trHeight w:val="315"/>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F16AC4" w:rsidRPr="00F16AC4" w:rsidRDefault="004A48C0" w:rsidP="00F16AC4">
            <w:pPr>
              <w:spacing w:after="0" w:line="360" w:lineRule="auto"/>
              <w:rPr>
                <w:rFonts w:ascii="Times New Roman" w:eastAsia="Times New Roman" w:hAnsi="Times New Roman" w:cs="Times New Roman"/>
                <w:color w:val="000000"/>
                <w:sz w:val="24"/>
                <w:szCs w:val="24"/>
              </w:rPr>
            </w:pPr>
            <w:r w:rsidRPr="00F16AC4">
              <w:rPr>
                <w:rFonts w:ascii="Times New Roman" w:eastAsia="Times New Roman" w:hAnsi="Times New Roman" w:cs="Times New Roman"/>
                <w:color w:val="000000"/>
                <w:sz w:val="24"/>
                <w:szCs w:val="24"/>
              </w:rPr>
              <w:t>International Journal Of Disaster Risk Science</w:t>
            </w:r>
          </w:p>
        </w:tc>
        <w:tc>
          <w:tcPr>
            <w:tcW w:w="1559" w:type="dxa"/>
            <w:tcBorders>
              <w:top w:val="nil"/>
              <w:left w:val="nil"/>
              <w:bottom w:val="single" w:sz="4" w:space="0" w:color="auto"/>
              <w:right w:val="single" w:sz="4" w:space="0" w:color="auto"/>
            </w:tcBorders>
            <w:shd w:val="clear" w:color="auto" w:fill="auto"/>
            <w:noWrap/>
            <w:vAlign w:val="bottom"/>
            <w:hideMark/>
          </w:tcPr>
          <w:p w:rsidR="00F16AC4" w:rsidRPr="00F16AC4" w:rsidRDefault="004A48C0" w:rsidP="00F16AC4">
            <w:pPr>
              <w:spacing w:after="0"/>
              <w:jc w:val="right"/>
              <w:rPr>
                <w:rFonts w:ascii="Times New Roman" w:eastAsia="Times New Roman" w:hAnsi="Times New Roman" w:cs="Times New Roman"/>
                <w:color w:val="000000"/>
                <w:sz w:val="24"/>
                <w:szCs w:val="24"/>
              </w:rPr>
            </w:pPr>
            <w:r w:rsidRPr="00F16AC4">
              <w:rPr>
                <w:rFonts w:ascii="Times New Roman" w:eastAsia="Times New Roman" w:hAnsi="Times New Roman" w:cs="Times New Roman"/>
                <w:color w:val="000000"/>
                <w:sz w:val="24"/>
                <w:szCs w:val="24"/>
              </w:rPr>
              <w:t>5</w:t>
            </w:r>
          </w:p>
        </w:tc>
      </w:tr>
      <w:tr w:rsidR="00D268C0" w:rsidTr="00C55B9B">
        <w:trPr>
          <w:trHeight w:val="315"/>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F16AC4" w:rsidRPr="00F16AC4" w:rsidRDefault="004A48C0" w:rsidP="00F16AC4">
            <w:pPr>
              <w:spacing w:after="0" w:line="360" w:lineRule="auto"/>
              <w:rPr>
                <w:rFonts w:ascii="Times New Roman" w:eastAsia="Times New Roman" w:hAnsi="Times New Roman" w:cs="Times New Roman"/>
                <w:color w:val="000000"/>
                <w:sz w:val="24"/>
                <w:szCs w:val="24"/>
              </w:rPr>
            </w:pPr>
            <w:r w:rsidRPr="00F16AC4">
              <w:rPr>
                <w:rFonts w:ascii="Times New Roman" w:eastAsia="Times New Roman" w:hAnsi="Times New Roman" w:cs="Times New Roman"/>
                <w:color w:val="000000"/>
                <w:sz w:val="24"/>
                <w:szCs w:val="24"/>
              </w:rPr>
              <w:t>Structure And Infrastructure Engineering</w:t>
            </w:r>
          </w:p>
        </w:tc>
        <w:tc>
          <w:tcPr>
            <w:tcW w:w="1559" w:type="dxa"/>
            <w:tcBorders>
              <w:top w:val="nil"/>
              <w:left w:val="nil"/>
              <w:bottom w:val="single" w:sz="4" w:space="0" w:color="auto"/>
              <w:right w:val="single" w:sz="4" w:space="0" w:color="auto"/>
            </w:tcBorders>
            <w:shd w:val="clear" w:color="auto" w:fill="auto"/>
            <w:noWrap/>
            <w:vAlign w:val="bottom"/>
            <w:hideMark/>
          </w:tcPr>
          <w:p w:rsidR="00F16AC4" w:rsidRPr="00F16AC4" w:rsidRDefault="004A48C0" w:rsidP="00F16AC4">
            <w:pPr>
              <w:spacing w:after="0"/>
              <w:jc w:val="right"/>
              <w:rPr>
                <w:rFonts w:ascii="Times New Roman" w:eastAsia="Times New Roman" w:hAnsi="Times New Roman" w:cs="Times New Roman"/>
                <w:color w:val="000000"/>
                <w:sz w:val="24"/>
                <w:szCs w:val="24"/>
              </w:rPr>
            </w:pPr>
            <w:r w:rsidRPr="00F16AC4">
              <w:rPr>
                <w:rFonts w:ascii="Times New Roman" w:eastAsia="Times New Roman" w:hAnsi="Times New Roman" w:cs="Times New Roman"/>
                <w:color w:val="000000"/>
                <w:sz w:val="24"/>
                <w:szCs w:val="24"/>
              </w:rPr>
              <w:t>5</w:t>
            </w:r>
          </w:p>
        </w:tc>
      </w:tr>
      <w:tr w:rsidR="00D268C0" w:rsidTr="00C55B9B">
        <w:trPr>
          <w:trHeight w:val="315"/>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F16AC4" w:rsidRPr="00F16AC4" w:rsidRDefault="004A48C0" w:rsidP="00F16AC4">
            <w:pPr>
              <w:spacing w:after="0" w:line="360" w:lineRule="auto"/>
              <w:rPr>
                <w:rFonts w:ascii="Times New Roman" w:eastAsia="Times New Roman" w:hAnsi="Times New Roman" w:cs="Times New Roman"/>
                <w:color w:val="000000"/>
                <w:sz w:val="24"/>
                <w:szCs w:val="24"/>
              </w:rPr>
            </w:pPr>
            <w:r w:rsidRPr="00F16AC4">
              <w:rPr>
                <w:rFonts w:ascii="Times New Roman" w:eastAsia="Times New Roman" w:hAnsi="Times New Roman" w:cs="Times New Roman"/>
                <w:color w:val="000000"/>
                <w:sz w:val="24"/>
                <w:szCs w:val="24"/>
              </w:rPr>
              <w:t>Sustainability Switzerland</w:t>
            </w:r>
          </w:p>
        </w:tc>
        <w:tc>
          <w:tcPr>
            <w:tcW w:w="1559" w:type="dxa"/>
            <w:tcBorders>
              <w:top w:val="nil"/>
              <w:left w:val="nil"/>
              <w:bottom w:val="single" w:sz="4" w:space="0" w:color="auto"/>
              <w:right w:val="single" w:sz="4" w:space="0" w:color="auto"/>
            </w:tcBorders>
            <w:shd w:val="clear" w:color="auto" w:fill="auto"/>
            <w:noWrap/>
            <w:vAlign w:val="bottom"/>
            <w:hideMark/>
          </w:tcPr>
          <w:p w:rsidR="00F16AC4" w:rsidRPr="00F16AC4" w:rsidRDefault="004A48C0" w:rsidP="00F16AC4">
            <w:pPr>
              <w:spacing w:after="0"/>
              <w:jc w:val="right"/>
              <w:rPr>
                <w:rFonts w:ascii="Times New Roman" w:eastAsia="Times New Roman" w:hAnsi="Times New Roman" w:cs="Times New Roman"/>
                <w:color w:val="000000"/>
                <w:sz w:val="24"/>
                <w:szCs w:val="24"/>
              </w:rPr>
            </w:pPr>
            <w:r w:rsidRPr="00F16AC4">
              <w:rPr>
                <w:rFonts w:ascii="Times New Roman" w:eastAsia="Times New Roman" w:hAnsi="Times New Roman" w:cs="Times New Roman"/>
                <w:color w:val="000000"/>
                <w:sz w:val="24"/>
                <w:szCs w:val="24"/>
              </w:rPr>
              <w:t>5</w:t>
            </w:r>
          </w:p>
        </w:tc>
      </w:tr>
      <w:tr w:rsidR="00D268C0" w:rsidTr="00C55B9B">
        <w:trPr>
          <w:trHeight w:val="315"/>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F16AC4" w:rsidRPr="00F16AC4" w:rsidRDefault="004A48C0" w:rsidP="00F16AC4">
            <w:pPr>
              <w:spacing w:after="0" w:line="360" w:lineRule="auto"/>
              <w:rPr>
                <w:rFonts w:ascii="Times New Roman" w:eastAsia="Times New Roman" w:hAnsi="Times New Roman" w:cs="Times New Roman"/>
                <w:color w:val="000000"/>
                <w:sz w:val="24"/>
                <w:szCs w:val="24"/>
              </w:rPr>
            </w:pPr>
            <w:r w:rsidRPr="00F16AC4">
              <w:rPr>
                <w:rFonts w:ascii="Times New Roman" w:eastAsia="Times New Roman" w:hAnsi="Times New Roman" w:cs="Times New Roman"/>
                <w:color w:val="000000"/>
                <w:sz w:val="24"/>
                <w:szCs w:val="24"/>
              </w:rPr>
              <w:t>International Journal Of Disaster Risk Reduction</w:t>
            </w:r>
          </w:p>
        </w:tc>
        <w:tc>
          <w:tcPr>
            <w:tcW w:w="1559" w:type="dxa"/>
            <w:tcBorders>
              <w:top w:val="nil"/>
              <w:left w:val="nil"/>
              <w:bottom w:val="single" w:sz="4" w:space="0" w:color="auto"/>
              <w:right w:val="single" w:sz="4" w:space="0" w:color="auto"/>
            </w:tcBorders>
            <w:shd w:val="clear" w:color="auto" w:fill="auto"/>
            <w:noWrap/>
            <w:vAlign w:val="bottom"/>
            <w:hideMark/>
          </w:tcPr>
          <w:p w:rsidR="00F16AC4" w:rsidRPr="00F16AC4" w:rsidRDefault="004A48C0" w:rsidP="00F16AC4">
            <w:pPr>
              <w:spacing w:after="0"/>
              <w:jc w:val="right"/>
              <w:rPr>
                <w:rFonts w:ascii="Times New Roman" w:eastAsia="Times New Roman" w:hAnsi="Times New Roman" w:cs="Times New Roman"/>
                <w:color w:val="000000"/>
                <w:sz w:val="24"/>
                <w:szCs w:val="24"/>
              </w:rPr>
            </w:pPr>
            <w:r w:rsidRPr="00F16AC4">
              <w:rPr>
                <w:rFonts w:ascii="Times New Roman" w:eastAsia="Times New Roman" w:hAnsi="Times New Roman" w:cs="Times New Roman"/>
                <w:color w:val="000000"/>
                <w:sz w:val="24"/>
                <w:szCs w:val="24"/>
              </w:rPr>
              <w:t>4</w:t>
            </w:r>
          </w:p>
        </w:tc>
      </w:tr>
      <w:tr w:rsidR="00D268C0" w:rsidTr="00C55B9B">
        <w:trPr>
          <w:trHeight w:val="315"/>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F16AC4" w:rsidRPr="00F16AC4" w:rsidRDefault="004A48C0" w:rsidP="00F16AC4">
            <w:pPr>
              <w:spacing w:after="0" w:line="360" w:lineRule="auto"/>
              <w:rPr>
                <w:rFonts w:ascii="Times New Roman" w:eastAsia="Times New Roman" w:hAnsi="Times New Roman" w:cs="Times New Roman"/>
                <w:color w:val="000000"/>
                <w:sz w:val="24"/>
                <w:szCs w:val="24"/>
              </w:rPr>
            </w:pPr>
            <w:r w:rsidRPr="00F16AC4">
              <w:rPr>
                <w:rFonts w:ascii="Times New Roman" w:eastAsia="Times New Roman" w:hAnsi="Times New Roman" w:cs="Times New Roman"/>
                <w:color w:val="000000"/>
                <w:sz w:val="24"/>
                <w:szCs w:val="24"/>
              </w:rPr>
              <w:t>Children And Youth Services Review</w:t>
            </w:r>
          </w:p>
        </w:tc>
        <w:tc>
          <w:tcPr>
            <w:tcW w:w="1559" w:type="dxa"/>
            <w:tcBorders>
              <w:top w:val="nil"/>
              <w:left w:val="nil"/>
              <w:bottom w:val="single" w:sz="4" w:space="0" w:color="auto"/>
              <w:right w:val="single" w:sz="4" w:space="0" w:color="auto"/>
            </w:tcBorders>
            <w:shd w:val="clear" w:color="auto" w:fill="auto"/>
            <w:noWrap/>
            <w:vAlign w:val="bottom"/>
            <w:hideMark/>
          </w:tcPr>
          <w:p w:rsidR="00F16AC4" w:rsidRPr="00F16AC4" w:rsidRDefault="004A48C0" w:rsidP="00F16AC4">
            <w:pPr>
              <w:spacing w:after="0"/>
              <w:jc w:val="right"/>
              <w:rPr>
                <w:rFonts w:ascii="Times New Roman" w:eastAsia="Times New Roman" w:hAnsi="Times New Roman" w:cs="Times New Roman"/>
                <w:color w:val="000000"/>
                <w:sz w:val="24"/>
                <w:szCs w:val="24"/>
              </w:rPr>
            </w:pPr>
            <w:r w:rsidRPr="00F16AC4">
              <w:rPr>
                <w:rFonts w:ascii="Times New Roman" w:eastAsia="Times New Roman" w:hAnsi="Times New Roman" w:cs="Times New Roman"/>
                <w:color w:val="000000"/>
                <w:sz w:val="24"/>
                <w:szCs w:val="24"/>
              </w:rPr>
              <w:t>3</w:t>
            </w:r>
          </w:p>
        </w:tc>
      </w:tr>
      <w:tr w:rsidR="00D268C0" w:rsidTr="00C55B9B">
        <w:trPr>
          <w:trHeight w:val="315"/>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F16AC4" w:rsidRPr="00F16AC4" w:rsidRDefault="004A48C0" w:rsidP="00F16AC4">
            <w:pPr>
              <w:spacing w:after="0" w:line="360" w:lineRule="auto"/>
              <w:rPr>
                <w:rFonts w:ascii="Times New Roman" w:eastAsia="Times New Roman" w:hAnsi="Times New Roman" w:cs="Times New Roman"/>
                <w:color w:val="000000"/>
                <w:sz w:val="24"/>
                <w:szCs w:val="24"/>
              </w:rPr>
            </w:pPr>
            <w:r w:rsidRPr="00F16AC4">
              <w:rPr>
                <w:rFonts w:ascii="Times New Roman" w:eastAsia="Times New Roman" w:hAnsi="Times New Roman" w:cs="Times New Roman"/>
                <w:color w:val="000000"/>
                <w:sz w:val="24"/>
                <w:szCs w:val="24"/>
              </w:rPr>
              <w:t>Development And Psychopathology</w:t>
            </w:r>
          </w:p>
        </w:tc>
        <w:tc>
          <w:tcPr>
            <w:tcW w:w="1559" w:type="dxa"/>
            <w:tcBorders>
              <w:top w:val="nil"/>
              <w:left w:val="nil"/>
              <w:bottom w:val="single" w:sz="4" w:space="0" w:color="auto"/>
              <w:right w:val="single" w:sz="4" w:space="0" w:color="auto"/>
            </w:tcBorders>
            <w:shd w:val="clear" w:color="auto" w:fill="auto"/>
            <w:noWrap/>
            <w:vAlign w:val="bottom"/>
            <w:hideMark/>
          </w:tcPr>
          <w:p w:rsidR="00F16AC4" w:rsidRPr="00F16AC4" w:rsidRDefault="004A48C0" w:rsidP="00F16AC4">
            <w:pPr>
              <w:spacing w:after="0"/>
              <w:jc w:val="right"/>
              <w:rPr>
                <w:rFonts w:ascii="Times New Roman" w:eastAsia="Times New Roman" w:hAnsi="Times New Roman" w:cs="Times New Roman"/>
                <w:color w:val="000000"/>
                <w:sz w:val="24"/>
                <w:szCs w:val="24"/>
              </w:rPr>
            </w:pPr>
            <w:r w:rsidRPr="00F16AC4">
              <w:rPr>
                <w:rFonts w:ascii="Times New Roman" w:eastAsia="Times New Roman" w:hAnsi="Times New Roman" w:cs="Times New Roman"/>
                <w:color w:val="000000"/>
                <w:sz w:val="24"/>
                <w:szCs w:val="24"/>
              </w:rPr>
              <w:t>3</w:t>
            </w:r>
          </w:p>
        </w:tc>
      </w:tr>
      <w:tr w:rsidR="00D268C0" w:rsidTr="00C55B9B">
        <w:trPr>
          <w:trHeight w:val="315"/>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F16AC4" w:rsidRPr="00F16AC4" w:rsidRDefault="004A48C0" w:rsidP="00F16AC4">
            <w:pPr>
              <w:spacing w:after="0" w:line="360" w:lineRule="auto"/>
              <w:rPr>
                <w:rFonts w:ascii="Times New Roman" w:eastAsia="Times New Roman" w:hAnsi="Times New Roman" w:cs="Times New Roman"/>
                <w:color w:val="000000"/>
                <w:sz w:val="24"/>
                <w:szCs w:val="24"/>
              </w:rPr>
            </w:pPr>
            <w:r w:rsidRPr="00F16AC4">
              <w:rPr>
                <w:rFonts w:ascii="Times New Roman" w:eastAsia="Times New Roman" w:hAnsi="Times New Roman" w:cs="Times New Roman"/>
                <w:color w:val="000000"/>
                <w:sz w:val="24"/>
                <w:szCs w:val="24"/>
              </w:rPr>
              <w:t>International Journal Of Environmental Research And Public Health</w:t>
            </w:r>
          </w:p>
        </w:tc>
        <w:tc>
          <w:tcPr>
            <w:tcW w:w="1559" w:type="dxa"/>
            <w:tcBorders>
              <w:top w:val="nil"/>
              <w:left w:val="nil"/>
              <w:bottom w:val="single" w:sz="4" w:space="0" w:color="auto"/>
              <w:right w:val="single" w:sz="4" w:space="0" w:color="auto"/>
            </w:tcBorders>
            <w:shd w:val="clear" w:color="auto" w:fill="auto"/>
            <w:noWrap/>
            <w:vAlign w:val="bottom"/>
            <w:hideMark/>
          </w:tcPr>
          <w:p w:rsidR="00F16AC4" w:rsidRPr="00F16AC4" w:rsidRDefault="004A48C0" w:rsidP="00F16AC4">
            <w:pPr>
              <w:spacing w:after="0"/>
              <w:jc w:val="right"/>
              <w:rPr>
                <w:rFonts w:ascii="Times New Roman" w:eastAsia="Times New Roman" w:hAnsi="Times New Roman" w:cs="Times New Roman"/>
                <w:color w:val="000000"/>
                <w:sz w:val="24"/>
                <w:szCs w:val="24"/>
              </w:rPr>
            </w:pPr>
            <w:r w:rsidRPr="00F16AC4">
              <w:rPr>
                <w:rFonts w:ascii="Times New Roman" w:eastAsia="Times New Roman" w:hAnsi="Times New Roman" w:cs="Times New Roman"/>
                <w:color w:val="000000"/>
                <w:sz w:val="24"/>
                <w:szCs w:val="24"/>
              </w:rPr>
              <w:t>3</w:t>
            </w:r>
          </w:p>
        </w:tc>
      </w:tr>
      <w:tr w:rsidR="00D268C0" w:rsidTr="00C55B9B">
        <w:trPr>
          <w:trHeight w:val="315"/>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F16AC4" w:rsidRPr="00F16AC4" w:rsidRDefault="004A48C0" w:rsidP="00F16AC4">
            <w:pPr>
              <w:spacing w:after="0" w:line="360" w:lineRule="auto"/>
              <w:rPr>
                <w:rFonts w:ascii="Times New Roman" w:eastAsia="Times New Roman" w:hAnsi="Times New Roman" w:cs="Times New Roman"/>
                <w:color w:val="000000"/>
                <w:sz w:val="24"/>
                <w:szCs w:val="24"/>
              </w:rPr>
            </w:pPr>
            <w:r w:rsidRPr="00F16AC4">
              <w:rPr>
                <w:rFonts w:ascii="Times New Roman" w:eastAsia="Times New Roman" w:hAnsi="Times New Roman" w:cs="Times New Roman"/>
                <w:color w:val="000000"/>
                <w:sz w:val="24"/>
                <w:szCs w:val="24"/>
              </w:rPr>
              <w:t>Journal Of Abnormal Child Psychology</w:t>
            </w:r>
          </w:p>
        </w:tc>
        <w:tc>
          <w:tcPr>
            <w:tcW w:w="1559" w:type="dxa"/>
            <w:tcBorders>
              <w:top w:val="nil"/>
              <w:left w:val="nil"/>
              <w:bottom w:val="single" w:sz="4" w:space="0" w:color="auto"/>
              <w:right w:val="single" w:sz="4" w:space="0" w:color="auto"/>
            </w:tcBorders>
            <w:shd w:val="clear" w:color="auto" w:fill="auto"/>
            <w:noWrap/>
            <w:vAlign w:val="bottom"/>
            <w:hideMark/>
          </w:tcPr>
          <w:p w:rsidR="00F16AC4" w:rsidRPr="00F16AC4" w:rsidRDefault="004A48C0" w:rsidP="00F16AC4">
            <w:pPr>
              <w:spacing w:after="0"/>
              <w:jc w:val="right"/>
              <w:rPr>
                <w:rFonts w:ascii="Times New Roman" w:eastAsia="Times New Roman" w:hAnsi="Times New Roman" w:cs="Times New Roman"/>
                <w:color w:val="000000"/>
                <w:sz w:val="24"/>
                <w:szCs w:val="24"/>
              </w:rPr>
            </w:pPr>
            <w:r w:rsidRPr="00F16AC4">
              <w:rPr>
                <w:rFonts w:ascii="Times New Roman" w:eastAsia="Times New Roman" w:hAnsi="Times New Roman" w:cs="Times New Roman"/>
                <w:color w:val="000000"/>
                <w:sz w:val="24"/>
                <w:szCs w:val="24"/>
              </w:rPr>
              <w:t>3</w:t>
            </w:r>
          </w:p>
        </w:tc>
      </w:tr>
      <w:tr w:rsidR="00D268C0" w:rsidTr="00C55B9B">
        <w:trPr>
          <w:trHeight w:val="315"/>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F16AC4" w:rsidRPr="00F16AC4" w:rsidRDefault="004A48C0" w:rsidP="00F16AC4">
            <w:pPr>
              <w:spacing w:after="0" w:line="360" w:lineRule="auto"/>
              <w:rPr>
                <w:rFonts w:ascii="Times New Roman" w:eastAsia="Times New Roman" w:hAnsi="Times New Roman" w:cs="Times New Roman"/>
                <w:color w:val="000000"/>
                <w:sz w:val="24"/>
                <w:szCs w:val="24"/>
              </w:rPr>
            </w:pPr>
            <w:r w:rsidRPr="00F16AC4">
              <w:rPr>
                <w:rFonts w:ascii="Times New Roman" w:eastAsia="Times New Roman" w:hAnsi="Times New Roman" w:cs="Times New Roman"/>
                <w:color w:val="000000"/>
                <w:sz w:val="24"/>
                <w:szCs w:val="24"/>
              </w:rPr>
              <w:t>Annals Of The New York Academy Of Sciences</w:t>
            </w:r>
          </w:p>
        </w:tc>
        <w:tc>
          <w:tcPr>
            <w:tcW w:w="1559" w:type="dxa"/>
            <w:tcBorders>
              <w:top w:val="nil"/>
              <w:left w:val="nil"/>
              <w:bottom w:val="single" w:sz="4" w:space="0" w:color="auto"/>
              <w:right w:val="single" w:sz="4" w:space="0" w:color="auto"/>
            </w:tcBorders>
            <w:shd w:val="clear" w:color="auto" w:fill="auto"/>
            <w:noWrap/>
            <w:vAlign w:val="bottom"/>
            <w:hideMark/>
          </w:tcPr>
          <w:p w:rsidR="00F16AC4" w:rsidRPr="00F16AC4" w:rsidRDefault="004A48C0" w:rsidP="00F16AC4">
            <w:pPr>
              <w:spacing w:after="0"/>
              <w:jc w:val="right"/>
              <w:rPr>
                <w:rFonts w:ascii="Times New Roman" w:eastAsia="Times New Roman" w:hAnsi="Times New Roman" w:cs="Times New Roman"/>
                <w:color w:val="000000"/>
                <w:sz w:val="24"/>
                <w:szCs w:val="24"/>
              </w:rPr>
            </w:pPr>
            <w:r w:rsidRPr="00F16AC4">
              <w:rPr>
                <w:rFonts w:ascii="Times New Roman" w:eastAsia="Times New Roman" w:hAnsi="Times New Roman" w:cs="Times New Roman"/>
                <w:color w:val="000000"/>
                <w:sz w:val="24"/>
                <w:szCs w:val="24"/>
              </w:rPr>
              <w:t>2</w:t>
            </w:r>
          </w:p>
        </w:tc>
      </w:tr>
      <w:tr w:rsidR="00D268C0" w:rsidTr="00C55B9B">
        <w:trPr>
          <w:trHeight w:val="315"/>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F16AC4" w:rsidRPr="00F16AC4" w:rsidRDefault="004A48C0" w:rsidP="00F16AC4">
            <w:pPr>
              <w:spacing w:after="0" w:line="360" w:lineRule="auto"/>
              <w:rPr>
                <w:rFonts w:ascii="Times New Roman" w:eastAsia="Times New Roman" w:hAnsi="Times New Roman" w:cs="Times New Roman"/>
                <w:color w:val="000000"/>
                <w:sz w:val="24"/>
                <w:szCs w:val="24"/>
              </w:rPr>
            </w:pPr>
            <w:r w:rsidRPr="00F16AC4">
              <w:rPr>
                <w:rFonts w:ascii="Times New Roman" w:eastAsia="Times New Roman" w:hAnsi="Times New Roman" w:cs="Times New Roman"/>
                <w:color w:val="000000"/>
                <w:sz w:val="24"/>
                <w:szCs w:val="24"/>
              </w:rPr>
              <w:t>Biological Psychiatry</w:t>
            </w:r>
          </w:p>
        </w:tc>
        <w:tc>
          <w:tcPr>
            <w:tcW w:w="1559" w:type="dxa"/>
            <w:tcBorders>
              <w:top w:val="nil"/>
              <w:left w:val="nil"/>
              <w:bottom w:val="single" w:sz="4" w:space="0" w:color="auto"/>
              <w:right w:val="single" w:sz="4" w:space="0" w:color="auto"/>
            </w:tcBorders>
            <w:shd w:val="clear" w:color="auto" w:fill="auto"/>
            <w:noWrap/>
            <w:vAlign w:val="bottom"/>
            <w:hideMark/>
          </w:tcPr>
          <w:p w:rsidR="00F16AC4" w:rsidRPr="00F16AC4" w:rsidRDefault="004A48C0" w:rsidP="00F16AC4">
            <w:pPr>
              <w:spacing w:after="0"/>
              <w:jc w:val="right"/>
              <w:rPr>
                <w:rFonts w:ascii="Times New Roman" w:eastAsia="Times New Roman" w:hAnsi="Times New Roman" w:cs="Times New Roman"/>
                <w:color w:val="000000"/>
                <w:sz w:val="24"/>
                <w:szCs w:val="24"/>
              </w:rPr>
            </w:pPr>
            <w:r w:rsidRPr="00F16AC4">
              <w:rPr>
                <w:rFonts w:ascii="Times New Roman" w:eastAsia="Times New Roman" w:hAnsi="Times New Roman" w:cs="Times New Roman"/>
                <w:color w:val="000000"/>
                <w:sz w:val="24"/>
                <w:szCs w:val="24"/>
              </w:rPr>
              <w:t>2</w:t>
            </w:r>
          </w:p>
        </w:tc>
      </w:tr>
      <w:tr w:rsidR="00D268C0" w:rsidTr="00C55B9B">
        <w:trPr>
          <w:trHeight w:val="315"/>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F16AC4" w:rsidRPr="00F16AC4" w:rsidRDefault="004A48C0" w:rsidP="00F16AC4">
            <w:pPr>
              <w:spacing w:after="0" w:line="360" w:lineRule="auto"/>
              <w:rPr>
                <w:rFonts w:ascii="Times New Roman" w:eastAsia="Times New Roman" w:hAnsi="Times New Roman" w:cs="Times New Roman"/>
                <w:color w:val="000000"/>
                <w:sz w:val="24"/>
                <w:szCs w:val="24"/>
              </w:rPr>
            </w:pPr>
            <w:r w:rsidRPr="00F16AC4">
              <w:rPr>
                <w:rFonts w:ascii="Times New Roman" w:eastAsia="Times New Roman" w:hAnsi="Times New Roman" w:cs="Times New Roman"/>
                <w:color w:val="000000"/>
                <w:sz w:val="24"/>
                <w:szCs w:val="24"/>
              </w:rPr>
              <w:t>Brain And Behavior</w:t>
            </w:r>
          </w:p>
        </w:tc>
        <w:tc>
          <w:tcPr>
            <w:tcW w:w="1559" w:type="dxa"/>
            <w:tcBorders>
              <w:top w:val="nil"/>
              <w:left w:val="nil"/>
              <w:bottom w:val="single" w:sz="4" w:space="0" w:color="auto"/>
              <w:right w:val="single" w:sz="4" w:space="0" w:color="auto"/>
            </w:tcBorders>
            <w:shd w:val="clear" w:color="auto" w:fill="auto"/>
            <w:noWrap/>
            <w:vAlign w:val="bottom"/>
            <w:hideMark/>
          </w:tcPr>
          <w:p w:rsidR="00F16AC4" w:rsidRPr="00F16AC4" w:rsidRDefault="004A48C0" w:rsidP="00F16AC4">
            <w:pPr>
              <w:spacing w:after="0"/>
              <w:jc w:val="right"/>
              <w:rPr>
                <w:rFonts w:ascii="Times New Roman" w:eastAsia="Times New Roman" w:hAnsi="Times New Roman" w:cs="Times New Roman"/>
                <w:color w:val="000000"/>
                <w:sz w:val="24"/>
                <w:szCs w:val="24"/>
              </w:rPr>
            </w:pPr>
            <w:r w:rsidRPr="00F16AC4">
              <w:rPr>
                <w:rFonts w:ascii="Times New Roman" w:eastAsia="Times New Roman" w:hAnsi="Times New Roman" w:cs="Times New Roman"/>
                <w:color w:val="000000"/>
                <w:sz w:val="24"/>
                <w:szCs w:val="24"/>
              </w:rPr>
              <w:t>2</w:t>
            </w:r>
          </w:p>
        </w:tc>
      </w:tr>
      <w:tr w:rsidR="00D268C0" w:rsidTr="00C55B9B">
        <w:trPr>
          <w:trHeight w:val="315"/>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F16AC4" w:rsidRPr="00F16AC4" w:rsidRDefault="004A48C0" w:rsidP="00F16AC4">
            <w:pPr>
              <w:spacing w:after="0" w:line="360" w:lineRule="auto"/>
              <w:rPr>
                <w:rFonts w:ascii="Times New Roman" w:eastAsia="Times New Roman" w:hAnsi="Times New Roman" w:cs="Times New Roman"/>
                <w:color w:val="000000"/>
                <w:sz w:val="24"/>
                <w:szCs w:val="24"/>
              </w:rPr>
            </w:pPr>
            <w:r w:rsidRPr="00F16AC4">
              <w:rPr>
                <w:rFonts w:ascii="Times New Roman" w:eastAsia="Times New Roman" w:hAnsi="Times New Roman" w:cs="Times New Roman"/>
                <w:color w:val="000000"/>
                <w:sz w:val="24"/>
                <w:szCs w:val="24"/>
              </w:rPr>
              <w:t>Child And Family Social Work</w:t>
            </w:r>
          </w:p>
        </w:tc>
        <w:tc>
          <w:tcPr>
            <w:tcW w:w="1559" w:type="dxa"/>
            <w:tcBorders>
              <w:top w:val="nil"/>
              <w:left w:val="nil"/>
              <w:bottom w:val="single" w:sz="4" w:space="0" w:color="auto"/>
              <w:right w:val="single" w:sz="4" w:space="0" w:color="auto"/>
            </w:tcBorders>
            <w:shd w:val="clear" w:color="auto" w:fill="auto"/>
            <w:noWrap/>
            <w:vAlign w:val="bottom"/>
            <w:hideMark/>
          </w:tcPr>
          <w:p w:rsidR="00F16AC4" w:rsidRPr="00F16AC4" w:rsidRDefault="004A48C0" w:rsidP="00F16AC4">
            <w:pPr>
              <w:spacing w:after="0"/>
              <w:jc w:val="right"/>
              <w:rPr>
                <w:rFonts w:ascii="Times New Roman" w:eastAsia="Times New Roman" w:hAnsi="Times New Roman" w:cs="Times New Roman"/>
                <w:color w:val="000000"/>
                <w:sz w:val="24"/>
                <w:szCs w:val="24"/>
              </w:rPr>
            </w:pPr>
            <w:r w:rsidRPr="00F16AC4">
              <w:rPr>
                <w:rFonts w:ascii="Times New Roman" w:eastAsia="Times New Roman" w:hAnsi="Times New Roman" w:cs="Times New Roman"/>
                <w:color w:val="000000"/>
                <w:sz w:val="24"/>
                <w:szCs w:val="24"/>
              </w:rPr>
              <w:t>2</w:t>
            </w:r>
          </w:p>
        </w:tc>
      </w:tr>
      <w:tr w:rsidR="00D268C0" w:rsidTr="00C55B9B">
        <w:trPr>
          <w:trHeight w:val="315"/>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F16AC4" w:rsidRPr="00F16AC4" w:rsidRDefault="004A48C0" w:rsidP="00F16AC4">
            <w:pPr>
              <w:spacing w:after="0" w:line="360" w:lineRule="auto"/>
              <w:rPr>
                <w:rFonts w:ascii="Times New Roman" w:eastAsia="Times New Roman" w:hAnsi="Times New Roman" w:cs="Times New Roman"/>
                <w:color w:val="000000"/>
                <w:sz w:val="24"/>
                <w:szCs w:val="24"/>
              </w:rPr>
            </w:pPr>
            <w:r w:rsidRPr="00F16AC4">
              <w:rPr>
                <w:rFonts w:ascii="Times New Roman" w:eastAsia="Times New Roman" w:hAnsi="Times New Roman" w:cs="Times New Roman"/>
                <w:color w:val="000000"/>
                <w:sz w:val="24"/>
                <w:szCs w:val="24"/>
              </w:rPr>
              <w:t>Clinical Child And Family Psychology Review</w:t>
            </w:r>
          </w:p>
        </w:tc>
        <w:tc>
          <w:tcPr>
            <w:tcW w:w="1559" w:type="dxa"/>
            <w:tcBorders>
              <w:top w:val="nil"/>
              <w:left w:val="nil"/>
              <w:bottom w:val="single" w:sz="4" w:space="0" w:color="auto"/>
              <w:right w:val="single" w:sz="4" w:space="0" w:color="auto"/>
            </w:tcBorders>
            <w:shd w:val="clear" w:color="auto" w:fill="auto"/>
            <w:noWrap/>
            <w:vAlign w:val="bottom"/>
            <w:hideMark/>
          </w:tcPr>
          <w:p w:rsidR="00F16AC4" w:rsidRPr="00F16AC4" w:rsidRDefault="004A48C0" w:rsidP="00F16AC4">
            <w:pPr>
              <w:spacing w:after="0"/>
              <w:jc w:val="right"/>
              <w:rPr>
                <w:rFonts w:ascii="Times New Roman" w:eastAsia="Times New Roman" w:hAnsi="Times New Roman" w:cs="Times New Roman"/>
                <w:color w:val="000000"/>
                <w:sz w:val="24"/>
                <w:szCs w:val="24"/>
              </w:rPr>
            </w:pPr>
            <w:r w:rsidRPr="00F16AC4">
              <w:rPr>
                <w:rFonts w:ascii="Times New Roman" w:eastAsia="Times New Roman" w:hAnsi="Times New Roman" w:cs="Times New Roman"/>
                <w:color w:val="000000"/>
                <w:sz w:val="24"/>
                <w:szCs w:val="24"/>
              </w:rPr>
              <w:t>2</w:t>
            </w:r>
          </w:p>
        </w:tc>
      </w:tr>
      <w:tr w:rsidR="00D268C0" w:rsidTr="00C55B9B">
        <w:trPr>
          <w:trHeight w:val="315"/>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F16AC4" w:rsidRPr="00F16AC4" w:rsidRDefault="004A48C0" w:rsidP="00F16AC4">
            <w:pPr>
              <w:spacing w:after="0" w:line="360" w:lineRule="auto"/>
              <w:rPr>
                <w:rFonts w:ascii="Times New Roman" w:eastAsia="Times New Roman" w:hAnsi="Times New Roman" w:cs="Times New Roman"/>
                <w:color w:val="000000"/>
                <w:sz w:val="24"/>
                <w:szCs w:val="24"/>
              </w:rPr>
            </w:pPr>
            <w:r w:rsidRPr="00F16AC4">
              <w:rPr>
                <w:rFonts w:ascii="Times New Roman" w:eastAsia="Times New Roman" w:hAnsi="Times New Roman" w:cs="Times New Roman"/>
                <w:color w:val="000000"/>
                <w:sz w:val="24"/>
                <w:szCs w:val="24"/>
              </w:rPr>
              <w:t>Cultural Diversity And Ethnic Minority Psychology</w:t>
            </w:r>
          </w:p>
        </w:tc>
        <w:tc>
          <w:tcPr>
            <w:tcW w:w="1559" w:type="dxa"/>
            <w:tcBorders>
              <w:top w:val="nil"/>
              <w:left w:val="nil"/>
              <w:bottom w:val="single" w:sz="4" w:space="0" w:color="auto"/>
              <w:right w:val="single" w:sz="4" w:space="0" w:color="auto"/>
            </w:tcBorders>
            <w:shd w:val="clear" w:color="auto" w:fill="auto"/>
            <w:noWrap/>
            <w:vAlign w:val="bottom"/>
            <w:hideMark/>
          </w:tcPr>
          <w:p w:rsidR="00F16AC4" w:rsidRPr="00F16AC4" w:rsidRDefault="004A48C0" w:rsidP="00F16AC4">
            <w:pPr>
              <w:spacing w:after="0"/>
              <w:jc w:val="right"/>
              <w:rPr>
                <w:rFonts w:ascii="Times New Roman" w:eastAsia="Times New Roman" w:hAnsi="Times New Roman" w:cs="Times New Roman"/>
                <w:color w:val="000000"/>
                <w:sz w:val="24"/>
                <w:szCs w:val="24"/>
              </w:rPr>
            </w:pPr>
            <w:r w:rsidRPr="00F16AC4">
              <w:rPr>
                <w:rFonts w:ascii="Times New Roman" w:eastAsia="Times New Roman" w:hAnsi="Times New Roman" w:cs="Times New Roman"/>
                <w:color w:val="000000"/>
                <w:sz w:val="24"/>
                <w:szCs w:val="24"/>
              </w:rPr>
              <w:t>2</w:t>
            </w:r>
          </w:p>
        </w:tc>
      </w:tr>
      <w:tr w:rsidR="00D268C0" w:rsidTr="00C55B9B">
        <w:trPr>
          <w:trHeight w:val="315"/>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F16AC4" w:rsidRPr="00F16AC4" w:rsidRDefault="004A48C0" w:rsidP="00F16AC4">
            <w:pPr>
              <w:spacing w:after="0" w:line="360" w:lineRule="auto"/>
              <w:rPr>
                <w:rFonts w:ascii="Times New Roman" w:eastAsia="Times New Roman" w:hAnsi="Times New Roman" w:cs="Times New Roman"/>
                <w:color w:val="000000"/>
                <w:sz w:val="24"/>
                <w:szCs w:val="24"/>
              </w:rPr>
            </w:pPr>
            <w:r w:rsidRPr="00F16AC4">
              <w:rPr>
                <w:rFonts w:ascii="Times New Roman" w:eastAsia="Times New Roman" w:hAnsi="Times New Roman" w:cs="Times New Roman"/>
                <w:color w:val="000000"/>
                <w:sz w:val="24"/>
                <w:szCs w:val="24"/>
              </w:rPr>
              <w:t>Families In Society</w:t>
            </w:r>
          </w:p>
        </w:tc>
        <w:tc>
          <w:tcPr>
            <w:tcW w:w="1559" w:type="dxa"/>
            <w:tcBorders>
              <w:top w:val="nil"/>
              <w:left w:val="nil"/>
              <w:bottom w:val="single" w:sz="4" w:space="0" w:color="auto"/>
              <w:right w:val="single" w:sz="4" w:space="0" w:color="auto"/>
            </w:tcBorders>
            <w:shd w:val="clear" w:color="auto" w:fill="auto"/>
            <w:noWrap/>
            <w:vAlign w:val="bottom"/>
            <w:hideMark/>
          </w:tcPr>
          <w:p w:rsidR="00F16AC4" w:rsidRPr="00F16AC4" w:rsidRDefault="004A48C0" w:rsidP="00F16AC4">
            <w:pPr>
              <w:spacing w:after="0"/>
              <w:jc w:val="right"/>
              <w:rPr>
                <w:rFonts w:ascii="Times New Roman" w:eastAsia="Times New Roman" w:hAnsi="Times New Roman" w:cs="Times New Roman"/>
                <w:color w:val="000000"/>
                <w:sz w:val="24"/>
                <w:szCs w:val="24"/>
              </w:rPr>
            </w:pPr>
            <w:r w:rsidRPr="00F16AC4">
              <w:rPr>
                <w:rFonts w:ascii="Times New Roman" w:eastAsia="Times New Roman" w:hAnsi="Times New Roman" w:cs="Times New Roman"/>
                <w:color w:val="000000"/>
                <w:sz w:val="24"/>
                <w:szCs w:val="24"/>
              </w:rPr>
              <w:t>2</w:t>
            </w:r>
          </w:p>
        </w:tc>
      </w:tr>
      <w:tr w:rsidR="00D268C0" w:rsidTr="00C55B9B">
        <w:trPr>
          <w:trHeight w:val="315"/>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F16AC4" w:rsidRPr="00F16AC4" w:rsidRDefault="004A48C0" w:rsidP="00F16AC4">
            <w:pPr>
              <w:spacing w:after="0" w:line="360" w:lineRule="auto"/>
              <w:rPr>
                <w:rFonts w:ascii="Times New Roman" w:eastAsia="Times New Roman" w:hAnsi="Times New Roman" w:cs="Times New Roman"/>
                <w:color w:val="000000"/>
                <w:sz w:val="24"/>
                <w:szCs w:val="24"/>
              </w:rPr>
            </w:pPr>
            <w:r w:rsidRPr="00F16AC4">
              <w:rPr>
                <w:rFonts w:ascii="Times New Roman" w:eastAsia="Times New Roman" w:hAnsi="Times New Roman" w:cs="Times New Roman"/>
                <w:color w:val="000000"/>
                <w:sz w:val="24"/>
                <w:szCs w:val="24"/>
              </w:rPr>
              <w:t>ISPRS International Journal Of Geo-Information</w:t>
            </w:r>
          </w:p>
        </w:tc>
        <w:tc>
          <w:tcPr>
            <w:tcW w:w="1559" w:type="dxa"/>
            <w:tcBorders>
              <w:top w:val="nil"/>
              <w:left w:val="nil"/>
              <w:bottom w:val="single" w:sz="4" w:space="0" w:color="auto"/>
              <w:right w:val="single" w:sz="4" w:space="0" w:color="auto"/>
            </w:tcBorders>
            <w:shd w:val="clear" w:color="auto" w:fill="auto"/>
            <w:noWrap/>
            <w:vAlign w:val="bottom"/>
            <w:hideMark/>
          </w:tcPr>
          <w:p w:rsidR="00F16AC4" w:rsidRPr="00F16AC4" w:rsidRDefault="004A48C0" w:rsidP="00F16AC4">
            <w:pPr>
              <w:spacing w:after="0"/>
              <w:jc w:val="right"/>
              <w:rPr>
                <w:rFonts w:ascii="Times New Roman" w:eastAsia="Times New Roman" w:hAnsi="Times New Roman" w:cs="Times New Roman"/>
                <w:color w:val="000000"/>
                <w:sz w:val="24"/>
                <w:szCs w:val="24"/>
              </w:rPr>
            </w:pPr>
            <w:r w:rsidRPr="00F16AC4">
              <w:rPr>
                <w:rFonts w:ascii="Times New Roman" w:eastAsia="Times New Roman" w:hAnsi="Times New Roman" w:cs="Times New Roman"/>
                <w:color w:val="000000"/>
                <w:sz w:val="24"/>
                <w:szCs w:val="24"/>
              </w:rPr>
              <w:t>2</w:t>
            </w:r>
          </w:p>
        </w:tc>
      </w:tr>
      <w:tr w:rsidR="00D268C0" w:rsidTr="00C55B9B">
        <w:trPr>
          <w:trHeight w:val="315"/>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F16AC4" w:rsidRPr="00F16AC4" w:rsidRDefault="004A48C0" w:rsidP="00F16AC4">
            <w:pPr>
              <w:spacing w:after="0" w:line="360" w:lineRule="auto"/>
              <w:rPr>
                <w:rFonts w:ascii="Times New Roman" w:eastAsia="Times New Roman" w:hAnsi="Times New Roman" w:cs="Times New Roman"/>
                <w:color w:val="000000"/>
                <w:sz w:val="24"/>
                <w:szCs w:val="24"/>
              </w:rPr>
            </w:pPr>
            <w:r w:rsidRPr="00F16AC4">
              <w:rPr>
                <w:rFonts w:ascii="Times New Roman" w:eastAsia="Times New Roman" w:hAnsi="Times New Roman" w:cs="Times New Roman"/>
                <w:color w:val="000000"/>
                <w:sz w:val="24"/>
                <w:szCs w:val="24"/>
              </w:rPr>
              <w:t>International Journal Of Behavioral Development</w:t>
            </w:r>
          </w:p>
        </w:tc>
        <w:tc>
          <w:tcPr>
            <w:tcW w:w="1559" w:type="dxa"/>
            <w:tcBorders>
              <w:top w:val="nil"/>
              <w:left w:val="nil"/>
              <w:bottom w:val="single" w:sz="4" w:space="0" w:color="auto"/>
              <w:right w:val="single" w:sz="4" w:space="0" w:color="auto"/>
            </w:tcBorders>
            <w:shd w:val="clear" w:color="auto" w:fill="auto"/>
            <w:noWrap/>
            <w:vAlign w:val="bottom"/>
            <w:hideMark/>
          </w:tcPr>
          <w:p w:rsidR="00F16AC4" w:rsidRPr="00F16AC4" w:rsidRDefault="004A48C0" w:rsidP="00F16AC4">
            <w:pPr>
              <w:spacing w:after="0"/>
              <w:jc w:val="right"/>
              <w:rPr>
                <w:rFonts w:ascii="Times New Roman" w:eastAsia="Times New Roman" w:hAnsi="Times New Roman" w:cs="Times New Roman"/>
                <w:color w:val="000000"/>
                <w:sz w:val="24"/>
                <w:szCs w:val="24"/>
              </w:rPr>
            </w:pPr>
            <w:r w:rsidRPr="00F16AC4">
              <w:rPr>
                <w:rFonts w:ascii="Times New Roman" w:eastAsia="Times New Roman" w:hAnsi="Times New Roman" w:cs="Times New Roman"/>
                <w:color w:val="000000"/>
                <w:sz w:val="24"/>
                <w:szCs w:val="24"/>
              </w:rPr>
              <w:t>2</w:t>
            </w:r>
          </w:p>
        </w:tc>
      </w:tr>
      <w:tr w:rsidR="00D268C0" w:rsidTr="00C55B9B">
        <w:trPr>
          <w:trHeight w:val="315"/>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F16AC4" w:rsidRPr="00F16AC4" w:rsidRDefault="004A48C0" w:rsidP="00F16AC4">
            <w:pPr>
              <w:spacing w:after="0" w:line="360" w:lineRule="auto"/>
              <w:rPr>
                <w:rFonts w:ascii="Times New Roman" w:eastAsia="Times New Roman" w:hAnsi="Times New Roman" w:cs="Times New Roman"/>
                <w:color w:val="000000"/>
                <w:sz w:val="24"/>
                <w:szCs w:val="24"/>
              </w:rPr>
            </w:pPr>
            <w:r w:rsidRPr="00F16AC4">
              <w:rPr>
                <w:rFonts w:ascii="Times New Roman" w:eastAsia="Times New Roman" w:hAnsi="Times New Roman" w:cs="Times New Roman"/>
                <w:color w:val="000000"/>
                <w:sz w:val="24"/>
                <w:szCs w:val="24"/>
              </w:rPr>
              <w:t>International Journal Of Production Research</w:t>
            </w:r>
          </w:p>
        </w:tc>
        <w:tc>
          <w:tcPr>
            <w:tcW w:w="1559" w:type="dxa"/>
            <w:tcBorders>
              <w:top w:val="nil"/>
              <w:left w:val="nil"/>
              <w:bottom w:val="single" w:sz="4" w:space="0" w:color="auto"/>
              <w:right w:val="single" w:sz="4" w:space="0" w:color="auto"/>
            </w:tcBorders>
            <w:shd w:val="clear" w:color="auto" w:fill="auto"/>
            <w:noWrap/>
            <w:vAlign w:val="bottom"/>
            <w:hideMark/>
          </w:tcPr>
          <w:p w:rsidR="00F16AC4" w:rsidRPr="00F16AC4" w:rsidRDefault="004A48C0" w:rsidP="00F16AC4">
            <w:pPr>
              <w:spacing w:after="0"/>
              <w:jc w:val="right"/>
              <w:rPr>
                <w:rFonts w:ascii="Times New Roman" w:eastAsia="Times New Roman" w:hAnsi="Times New Roman" w:cs="Times New Roman"/>
                <w:color w:val="000000"/>
                <w:sz w:val="24"/>
                <w:szCs w:val="24"/>
              </w:rPr>
            </w:pPr>
            <w:r w:rsidRPr="00F16AC4">
              <w:rPr>
                <w:rFonts w:ascii="Times New Roman" w:eastAsia="Times New Roman" w:hAnsi="Times New Roman" w:cs="Times New Roman"/>
                <w:color w:val="000000"/>
                <w:sz w:val="24"/>
                <w:szCs w:val="24"/>
              </w:rPr>
              <w:t>2</w:t>
            </w:r>
          </w:p>
        </w:tc>
      </w:tr>
      <w:tr w:rsidR="00D268C0" w:rsidTr="00C55B9B">
        <w:trPr>
          <w:trHeight w:val="315"/>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F16AC4" w:rsidRPr="00F16AC4" w:rsidRDefault="004A48C0" w:rsidP="00F16AC4">
            <w:pPr>
              <w:spacing w:after="0" w:line="360" w:lineRule="auto"/>
              <w:rPr>
                <w:rFonts w:ascii="Times New Roman" w:eastAsia="Times New Roman" w:hAnsi="Times New Roman" w:cs="Times New Roman"/>
                <w:color w:val="000000"/>
                <w:sz w:val="24"/>
                <w:szCs w:val="24"/>
              </w:rPr>
            </w:pPr>
            <w:r w:rsidRPr="00F16AC4">
              <w:rPr>
                <w:rFonts w:ascii="Times New Roman" w:eastAsia="Times New Roman" w:hAnsi="Times New Roman" w:cs="Times New Roman"/>
                <w:color w:val="000000"/>
                <w:sz w:val="24"/>
                <w:szCs w:val="24"/>
              </w:rPr>
              <w:t>Journal Of Adolescent Health</w:t>
            </w:r>
          </w:p>
        </w:tc>
        <w:tc>
          <w:tcPr>
            <w:tcW w:w="1559" w:type="dxa"/>
            <w:tcBorders>
              <w:top w:val="nil"/>
              <w:left w:val="nil"/>
              <w:bottom w:val="single" w:sz="4" w:space="0" w:color="auto"/>
              <w:right w:val="single" w:sz="4" w:space="0" w:color="auto"/>
            </w:tcBorders>
            <w:shd w:val="clear" w:color="auto" w:fill="auto"/>
            <w:noWrap/>
            <w:vAlign w:val="bottom"/>
            <w:hideMark/>
          </w:tcPr>
          <w:p w:rsidR="00F16AC4" w:rsidRPr="00F16AC4" w:rsidRDefault="004A48C0" w:rsidP="00F16AC4">
            <w:pPr>
              <w:spacing w:after="0"/>
              <w:jc w:val="right"/>
              <w:rPr>
                <w:rFonts w:ascii="Times New Roman" w:eastAsia="Times New Roman" w:hAnsi="Times New Roman" w:cs="Times New Roman"/>
                <w:color w:val="000000"/>
                <w:sz w:val="24"/>
                <w:szCs w:val="24"/>
              </w:rPr>
            </w:pPr>
            <w:r w:rsidRPr="00F16AC4">
              <w:rPr>
                <w:rFonts w:ascii="Times New Roman" w:eastAsia="Times New Roman" w:hAnsi="Times New Roman" w:cs="Times New Roman"/>
                <w:color w:val="000000"/>
                <w:sz w:val="24"/>
                <w:szCs w:val="24"/>
              </w:rPr>
              <w:t>2</w:t>
            </w:r>
          </w:p>
        </w:tc>
      </w:tr>
      <w:tr w:rsidR="00D268C0" w:rsidTr="00C55B9B">
        <w:trPr>
          <w:trHeight w:val="315"/>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F16AC4" w:rsidRPr="00F16AC4" w:rsidRDefault="004A48C0" w:rsidP="00F16AC4">
            <w:pPr>
              <w:spacing w:after="0" w:line="360" w:lineRule="auto"/>
              <w:rPr>
                <w:rFonts w:ascii="Times New Roman" w:eastAsia="Times New Roman" w:hAnsi="Times New Roman" w:cs="Times New Roman"/>
                <w:color w:val="000000"/>
                <w:sz w:val="24"/>
                <w:szCs w:val="24"/>
              </w:rPr>
            </w:pPr>
            <w:r w:rsidRPr="00F16AC4">
              <w:rPr>
                <w:rFonts w:ascii="Times New Roman" w:eastAsia="Times New Roman" w:hAnsi="Times New Roman" w:cs="Times New Roman"/>
                <w:color w:val="000000"/>
                <w:sz w:val="24"/>
                <w:szCs w:val="24"/>
              </w:rPr>
              <w:t>Journal Of Human Behavior In The Social Environment</w:t>
            </w:r>
          </w:p>
        </w:tc>
        <w:tc>
          <w:tcPr>
            <w:tcW w:w="1559" w:type="dxa"/>
            <w:tcBorders>
              <w:top w:val="nil"/>
              <w:left w:val="nil"/>
              <w:bottom w:val="single" w:sz="4" w:space="0" w:color="auto"/>
              <w:right w:val="single" w:sz="4" w:space="0" w:color="auto"/>
            </w:tcBorders>
            <w:shd w:val="clear" w:color="auto" w:fill="auto"/>
            <w:noWrap/>
            <w:vAlign w:val="bottom"/>
            <w:hideMark/>
          </w:tcPr>
          <w:p w:rsidR="00F16AC4" w:rsidRPr="00F16AC4" w:rsidRDefault="004A48C0" w:rsidP="00F16AC4">
            <w:pPr>
              <w:spacing w:after="0"/>
              <w:jc w:val="right"/>
              <w:rPr>
                <w:rFonts w:ascii="Times New Roman" w:eastAsia="Times New Roman" w:hAnsi="Times New Roman" w:cs="Times New Roman"/>
                <w:color w:val="000000"/>
                <w:sz w:val="24"/>
                <w:szCs w:val="24"/>
              </w:rPr>
            </w:pPr>
            <w:r w:rsidRPr="00F16AC4">
              <w:rPr>
                <w:rFonts w:ascii="Times New Roman" w:eastAsia="Times New Roman" w:hAnsi="Times New Roman" w:cs="Times New Roman"/>
                <w:color w:val="000000"/>
                <w:sz w:val="24"/>
                <w:szCs w:val="24"/>
              </w:rPr>
              <w:t>2</w:t>
            </w:r>
          </w:p>
        </w:tc>
      </w:tr>
    </w:tbl>
    <w:p w:rsidR="00A144B8" w:rsidRPr="00046421" w:rsidRDefault="004A48C0" w:rsidP="00A144B8">
      <w:pPr>
        <w:spacing w:line="360" w:lineRule="auto"/>
        <w:jc w:val="center"/>
        <w:rPr>
          <w:rFonts w:ascii="Times New Roman" w:hAnsi="Times New Roman" w:cs="Times New Roman"/>
          <w:i/>
          <w:sz w:val="24"/>
          <w:szCs w:val="24"/>
        </w:rPr>
      </w:pPr>
      <w:r w:rsidRPr="00046421">
        <w:rPr>
          <w:rFonts w:ascii="Times New Roman" w:hAnsi="Times New Roman" w:cs="Times New Roman"/>
          <w:i/>
          <w:sz w:val="24"/>
          <w:szCs w:val="24"/>
        </w:rPr>
        <w:t>(Source: Scopus Data Base)</w:t>
      </w:r>
    </w:p>
    <w:p w:rsidR="00343E27" w:rsidRPr="003F2965" w:rsidRDefault="004A48C0" w:rsidP="005E43A8">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4.3 </w:t>
      </w:r>
      <w:r w:rsidR="003F2965" w:rsidRPr="003F2965">
        <w:rPr>
          <w:rFonts w:ascii="Times New Roman" w:hAnsi="Times New Roman" w:cs="Times New Roman"/>
          <w:b/>
          <w:sz w:val="24"/>
          <w:szCs w:val="24"/>
        </w:rPr>
        <w:t>YEAR</w:t>
      </w:r>
      <w:r w:rsidR="00646B1D">
        <w:rPr>
          <w:rFonts w:ascii="Times New Roman" w:hAnsi="Times New Roman" w:cs="Times New Roman"/>
          <w:b/>
          <w:sz w:val="24"/>
          <w:szCs w:val="24"/>
        </w:rPr>
        <w:t>-</w:t>
      </w:r>
      <w:r w:rsidR="003F2965" w:rsidRPr="003F2965">
        <w:rPr>
          <w:rFonts w:ascii="Times New Roman" w:hAnsi="Times New Roman" w:cs="Times New Roman"/>
          <w:b/>
          <w:sz w:val="24"/>
          <w:szCs w:val="24"/>
        </w:rPr>
        <w:t>WISE PUBLICATIONS:</w:t>
      </w:r>
    </w:p>
    <w:p w:rsidR="003F2965" w:rsidRDefault="004A48C0" w:rsidP="003F296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This table shows the number of </w:t>
      </w:r>
      <w:r w:rsidR="00B84FB1">
        <w:rPr>
          <w:rFonts w:ascii="Times New Roman" w:hAnsi="Times New Roman" w:cs="Times New Roman"/>
          <w:sz w:val="24"/>
          <w:szCs w:val="24"/>
        </w:rPr>
        <w:t>studies</w:t>
      </w:r>
      <w:r>
        <w:rPr>
          <w:rFonts w:ascii="Times New Roman" w:hAnsi="Times New Roman" w:cs="Times New Roman"/>
          <w:sz w:val="24"/>
          <w:szCs w:val="24"/>
        </w:rPr>
        <w:t xml:space="preserve"> published from the year 2000 to 2021. It can be seen that the research on risk resilience has been growing over the years. The number of published </w:t>
      </w:r>
      <w:r w:rsidR="00B84FB1">
        <w:rPr>
          <w:rFonts w:ascii="Times New Roman" w:hAnsi="Times New Roman" w:cs="Times New Roman"/>
          <w:sz w:val="24"/>
          <w:szCs w:val="24"/>
        </w:rPr>
        <w:t>studies</w:t>
      </w:r>
      <w:r>
        <w:rPr>
          <w:rFonts w:ascii="Times New Roman" w:hAnsi="Times New Roman" w:cs="Times New Roman"/>
          <w:sz w:val="24"/>
          <w:szCs w:val="24"/>
        </w:rPr>
        <w:t xml:space="preserve"> was very minimal during the years 2000 to 2012. Then, there was an impressive increase from the year 2014 to 2021, the number of </w:t>
      </w:r>
      <w:r w:rsidR="00B84FB1">
        <w:rPr>
          <w:rFonts w:ascii="Times New Roman" w:hAnsi="Times New Roman" w:cs="Times New Roman"/>
          <w:sz w:val="24"/>
          <w:szCs w:val="24"/>
        </w:rPr>
        <w:t>studies</w:t>
      </w:r>
      <w:r>
        <w:rPr>
          <w:rFonts w:ascii="Times New Roman" w:hAnsi="Times New Roman" w:cs="Times New Roman"/>
          <w:sz w:val="24"/>
          <w:szCs w:val="24"/>
        </w:rPr>
        <w:t xml:space="preserve"> rose from 20 to 47. Further, it can be seen that a maximum number of </w:t>
      </w:r>
      <w:r w:rsidR="00B84FB1">
        <w:rPr>
          <w:rFonts w:ascii="Times New Roman" w:hAnsi="Times New Roman" w:cs="Times New Roman"/>
          <w:sz w:val="24"/>
          <w:szCs w:val="24"/>
        </w:rPr>
        <w:t>studies</w:t>
      </w:r>
      <w:r>
        <w:rPr>
          <w:rFonts w:ascii="Times New Roman" w:hAnsi="Times New Roman" w:cs="Times New Roman"/>
          <w:sz w:val="24"/>
          <w:szCs w:val="24"/>
        </w:rPr>
        <w:t xml:space="preserve"> have been published in the last five years. The number of </w:t>
      </w:r>
      <w:r w:rsidR="00B84FB1">
        <w:rPr>
          <w:rFonts w:ascii="Times New Roman" w:hAnsi="Times New Roman" w:cs="Times New Roman"/>
          <w:sz w:val="24"/>
          <w:szCs w:val="24"/>
        </w:rPr>
        <w:t>studies</w:t>
      </w:r>
      <w:r>
        <w:rPr>
          <w:rFonts w:ascii="Times New Roman" w:hAnsi="Times New Roman" w:cs="Times New Roman"/>
          <w:sz w:val="24"/>
          <w:szCs w:val="24"/>
        </w:rPr>
        <w:t xml:space="preserve"> exponentially increased from 31 to 47 from the year 2019 to 2021. The maximum </w:t>
      </w:r>
      <w:r w:rsidR="00B84FB1">
        <w:rPr>
          <w:rFonts w:ascii="Times New Roman" w:hAnsi="Times New Roman" w:cs="Times New Roman"/>
          <w:sz w:val="24"/>
          <w:szCs w:val="24"/>
        </w:rPr>
        <w:t>studies</w:t>
      </w:r>
      <w:r>
        <w:rPr>
          <w:rFonts w:ascii="Times New Roman" w:hAnsi="Times New Roman" w:cs="Times New Roman"/>
          <w:sz w:val="24"/>
          <w:szCs w:val="24"/>
        </w:rPr>
        <w:t xml:space="preserve"> were published in 2020 with 48 </w:t>
      </w:r>
      <w:r w:rsidR="00B84FB1">
        <w:rPr>
          <w:rFonts w:ascii="Times New Roman" w:hAnsi="Times New Roman" w:cs="Times New Roman"/>
          <w:sz w:val="24"/>
          <w:szCs w:val="24"/>
        </w:rPr>
        <w:t>studies</w:t>
      </w:r>
      <w:r>
        <w:rPr>
          <w:rFonts w:ascii="Times New Roman" w:hAnsi="Times New Roman" w:cs="Times New Roman"/>
          <w:sz w:val="24"/>
          <w:szCs w:val="24"/>
        </w:rPr>
        <w:t xml:space="preserve">. This clearly shows that the interest of researchers has grown tremendously </w:t>
      </w:r>
      <w:r w:rsidR="00646B1D">
        <w:rPr>
          <w:rFonts w:ascii="Times New Roman" w:hAnsi="Times New Roman" w:cs="Times New Roman"/>
          <w:sz w:val="24"/>
          <w:szCs w:val="24"/>
        </w:rPr>
        <w:t>in</w:t>
      </w:r>
      <w:r>
        <w:rPr>
          <w:rFonts w:ascii="Times New Roman" w:hAnsi="Times New Roman" w:cs="Times New Roman"/>
          <w:sz w:val="24"/>
          <w:szCs w:val="24"/>
        </w:rPr>
        <w:t xml:space="preserve"> this field, in recent times.</w:t>
      </w:r>
    </w:p>
    <w:p w:rsidR="00084C08" w:rsidRDefault="00084C08" w:rsidP="003F2965">
      <w:pPr>
        <w:autoSpaceDE w:val="0"/>
        <w:autoSpaceDN w:val="0"/>
        <w:adjustRightInd w:val="0"/>
        <w:spacing w:after="0" w:line="360" w:lineRule="auto"/>
        <w:jc w:val="both"/>
        <w:rPr>
          <w:rFonts w:ascii="Times New Roman" w:hAnsi="Times New Roman" w:cs="Times New Roman"/>
          <w:sz w:val="24"/>
          <w:szCs w:val="24"/>
        </w:rPr>
      </w:pPr>
    </w:p>
    <w:p w:rsidR="003F2965" w:rsidRPr="00B035DF" w:rsidRDefault="004A48C0" w:rsidP="001F077F">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9</w:t>
      </w:r>
      <w:r w:rsidR="001F077F">
        <w:rPr>
          <w:rFonts w:ascii="Times New Roman" w:hAnsi="Times New Roman" w:cs="Times New Roman"/>
          <w:sz w:val="24"/>
          <w:szCs w:val="24"/>
        </w:rPr>
        <w:t>: Year-wise Publications</w:t>
      </w:r>
    </w:p>
    <w:p w:rsidR="00343E27" w:rsidRPr="00B035DF" w:rsidRDefault="004A48C0" w:rsidP="005E43A8">
      <w:pPr>
        <w:spacing w:line="360" w:lineRule="auto"/>
        <w:jc w:val="both"/>
        <w:rPr>
          <w:rFonts w:ascii="Times New Roman" w:hAnsi="Times New Roman" w:cs="Times New Roman"/>
          <w:sz w:val="24"/>
          <w:szCs w:val="24"/>
        </w:rPr>
      </w:pPr>
      <w:r w:rsidRPr="00B035DF">
        <w:rPr>
          <w:rFonts w:ascii="Times New Roman" w:hAnsi="Times New Roman" w:cs="Times New Roman"/>
          <w:noProof/>
          <w:sz w:val="24"/>
          <w:szCs w:val="24"/>
        </w:rPr>
        <w:drawing>
          <wp:inline distT="0" distB="0" distL="0" distR="0">
            <wp:extent cx="5488940" cy="3448050"/>
            <wp:effectExtent l="19050" t="0" r="1651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144B8" w:rsidRPr="00046421" w:rsidRDefault="004A48C0" w:rsidP="00A144B8">
      <w:pPr>
        <w:spacing w:line="360" w:lineRule="auto"/>
        <w:jc w:val="center"/>
        <w:rPr>
          <w:rFonts w:ascii="Times New Roman" w:hAnsi="Times New Roman" w:cs="Times New Roman"/>
          <w:i/>
          <w:sz w:val="24"/>
          <w:szCs w:val="24"/>
        </w:rPr>
      </w:pPr>
      <w:r w:rsidRPr="00046421">
        <w:rPr>
          <w:rFonts w:ascii="Times New Roman" w:hAnsi="Times New Roman" w:cs="Times New Roman"/>
          <w:i/>
          <w:sz w:val="24"/>
          <w:szCs w:val="24"/>
        </w:rPr>
        <w:t>(Source: Scopus Data Base)</w:t>
      </w:r>
    </w:p>
    <w:p w:rsidR="00343E27" w:rsidRPr="003F2965" w:rsidRDefault="004A48C0" w:rsidP="00A01D49">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4.4 </w:t>
      </w:r>
      <w:r w:rsidRPr="003F2965">
        <w:rPr>
          <w:rFonts w:ascii="Times New Roman" w:hAnsi="Times New Roman" w:cs="Times New Roman"/>
          <w:b/>
          <w:sz w:val="24"/>
          <w:szCs w:val="24"/>
        </w:rPr>
        <w:t xml:space="preserve">MOST CITED </w:t>
      </w:r>
      <w:r w:rsidR="00B84FB1">
        <w:rPr>
          <w:rFonts w:ascii="Times New Roman" w:hAnsi="Times New Roman" w:cs="Times New Roman"/>
          <w:b/>
          <w:sz w:val="24"/>
          <w:szCs w:val="24"/>
        </w:rPr>
        <w:t>STUDIES</w:t>
      </w:r>
      <w:r w:rsidRPr="003F2965">
        <w:rPr>
          <w:rFonts w:ascii="Times New Roman" w:hAnsi="Times New Roman" w:cs="Times New Roman"/>
          <w:b/>
          <w:sz w:val="24"/>
          <w:szCs w:val="24"/>
        </w:rPr>
        <w:t>:</w:t>
      </w:r>
    </w:p>
    <w:p w:rsidR="00A01D49" w:rsidRDefault="004A48C0" w:rsidP="00A01D49">
      <w:pPr>
        <w:spacing w:after="0" w:line="360" w:lineRule="auto"/>
        <w:jc w:val="both"/>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Focussing on the Scopus content, a list of the twenty most cited </w:t>
      </w:r>
      <w:r w:rsidR="00B84FB1">
        <w:rPr>
          <w:rFonts w:ascii="Times New Roman" w:hAnsi="Times New Roman" w:cs="Times New Roman"/>
          <w:sz w:val="24"/>
          <w:szCs w:val="24"/>
        </w:rPr>
        <w:t>studies</w:t>
      </w:r>
      <w:r>
        <w:rPr>
          <w:rFonts w:ascii="Times New Roman" w:hAnsi="Times New Roman" w:cs="Times New Roman"/>
          <w:sz w:val="24"/>
          <w:szCs w:val="24"/>
        </w:rPr>
        <w:t xml:space="preserve"> is presented in the table. The most cited paper 372 citation is “</w:t>
      </w:r>
      <w:r w:rsidRPr="007F72C6">
        <w:rPr>
          <w:rFonts w:ascii="Times New Roman" w:eastAsia="Times New Roman" w:hAnsi="Times New Roman" w:cs="Times New Roman"/>
          <w:color w:val="000000"/>
          <w:sz w:val="24"/>
          <w:szCs w:val="24"/>
        </w:rPr>
        <w:t>The role of early life stress as a predictor for alcohol and drug dependence</w:t>
      </w:r>
      <w:r>
        <w:rPr>
          <w:rFonts w:ascii="Times New Roman" w:eastAsia="Times New Roman" w:hAnsi="Times New Roman" w:cs="Times New Roman"/>
          <w:color w:val="000000"/>
          <w:sz w:val="24"/>
          <w:szCs w:val="24"/>
        </w:rPr>
        <w:t>” by Enoch, M.-A. The second most cited paper with 209 citation</w:t>
      </w:r>
      <w:r w:rsidR="00646B1D">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is “</w:t>
      </w:r>
      <w:r w:rsidRPr="007F72C6">
        <w:rPr>
          <w:rFonts w:ascii="Times New Roman" w:eastAsia="Times New Roman" w:hAnsi="Times New Roman" w:cs="Times New Roman"/>
          <w:color w:val="000000"/>
          <w:sz w:val="24"/>
          <w:szCs w:val="24"/>
        </w:rPr>
        <w:t>Beyond Risk, resilience, and Dysregulation: Phenotypic Plasticity and human development</w:t>
      </w:r>
      <w:r>
        <w:rPr>
          <w:rFonts w:ascii="Times New Roman" w:eastAsia="Times New Roman" w:hAnsi="Times New Roman" w:cs="Times New Roman"/>
          <w:color w:val="000000"/>
          <w:sz w:val="24"/>
          <w:szCs w:val="24"/>
        </w:rPr>
        <w:t xml:space="preserve">” by </w:t>
      </w:r>
      <w:r w:rsidRPr="007F72C6">
        <w:rPr>
          <w:rFonts w:ascii="Times New Roman" w:eastAsia="Times New Roman" w:hAnsi="Times New Roman" w:cs="Times New Roman"/>
          <w:color w:val="000000"/>
          <w:sz w:val="24"/>
          <w:szCs w:val="24"/>
        </w:rPr>
        <w:t>Belsky, J., Pluess, M.</w:t>
      </w:r>
      <w:r w:rsidR="00162C79">
        <w:rPr>
          <w:rFonts w:ascii="Times New Roman" w:eastAsia="Times New Roman" w:hAnsi="Times New Roman" w:cs="Times New Roman"/>
          <w:color w:val="000000"/>
          <w:sz w:val="24"/>
          <w:szCs w:val="24"/>
        </w:rPr>
        <w:fldChar w:fldCharType="begin" w:fldLock="1"/>
      </w:r>
      <w:r w:rsidR="00F16AC4">
        <w:rPr>
          <w:rFonts w:ascii="Times New Roman" w:eastAsia="Times New Roman" w:hAnsi="Times New Roman" w:cs="Times New Roman"/>
          <w:color w:val="000000"/>
          <w:sz w:val="24"/>
          <w:szCs w:val="24"/>
        </w:rPr>
        <w:instrText>ADDIN CSL_CITATION {"citationItems":[{"id":"ITEM-1","itemData":{"DOI":"10.1017/S095457941300059X","ISSN":"09545794","PMID":"24342838","abstract":"We provide a theoretical and empirical basis for the claim that individual differences exist in developmental plasticity and that phenotypic plasticity should be a subject of study in its own right. To advance this argument, we begin by highlighting challenges that evolutionary thinking poses for a science of development and psychopathology, including for the diathesis-stress framework that has (fruitfully) guided so much empirical inquiry on developmental risk, resilience, and dysregulation. With this foundation laid, we raise a series of issues that the differential-susceptibility hypothesis calls attention to, while highlighting findings that have emerged over just the past several years and are pertinent to some of the questions posed. Even though it is clear that this new perspective on Person × Environment interaction is stimulating research and influencing how hypotheses are framed and data interpreted, a great many topics remain that need empirical attention. Our intention is to encourage students of development and psychopathology to treat phenotypic plasticity as an individual-difference construct while exploring unknowns in the differential-susceptibility equation. © 2013 Cambridge University Press.","author":[{"dropping-particle":"","family":"Belsky","given":"Jay","non-dropping-particle":"","parse-names":false,"suffix":""},{"dropping-particle":"","family":"Pluess","given":"Michael","non-dropping-particle":"","parse-names":false,"suffix":""}],"container-title":"Development and Psychopathology","id":"ITEM-1","issue":"4 PART 2","issued":{"date-parts":[["2013"]]},"page":"1243-1261","title":"Beyond risk, resilience, and dysregulation: Phenotypic plasticity and human development","type":"article-journal","volume":"25"},"uris":["http://www.mendeley.com/documents/?uuid=cf2e5109-9bda-4971-9aa0-a963904029d6"]}],"mendeley":{"formattedCitation":"(Belsky &amp; Pluess, 2013)","plainTextFormattedCitation":"(Belsky &amp; Pluess, 2013)","previouslyFormattedCitation":"(Belsky &amp; Pluess, 2013)"},"properties":{"noteIndex":0},"schema":"https://github.com/citation-style-language/schema/raw/master/csl-citation.json"}</w:instrText>
      </w:r>
      <w:r w:rsidR="00162C79">
        <w:rPr>
          <w:rFonts w:ascii="Times New Roman" w:eastAsia="Times New Roman" w:hAnsi="Times New Roman" w:cs="Times New Roman"/>
          <w:color w:val="000000"/>
          <w:sz w:val="24"/>
          <w:szCs w:val="24"/>
        </w:rPr>
        <w:fldChar w:fldCharType="separate"/>
      </w:r>
      <w:r w:rsidR="00F16AC4" w:rsidRPr="00F16AC4">
        <w:rPr>
          <w:rFonts w:ascii="Times New Roman" w:eastAsia="Times New Roman" w:hAnsi="Times New Roman" w:cs="Times New Roman"/>
          <w:noProof/>
          <w:color w:val="000000"/>
          <w:sz w:val="24"/>
          <w:szCs w:val="24"/>
        </w:rPr>
        <w:t>(Belsky&amp; Pluess, 2013)</w:t>
      </w:r>
      <w:r w:rsidR="00162C79">
        <w:rPr>
          <w:rFonts w:ascii="Times New Roman" w:eastAsia="Times New Roman" w:hAnsi="Times New Roman" w:cs="Times New Roman"/>
          <w:color w:val="000000"/>
          <w:sz w:val="24"/>
          <w:szCs w:val="24"/>
        </w:rPr>
        <w:fldChar w:fldCharType="end"/>
      </w:r>
      <w:r w:rsidR="00F16AC4">
        <w:rPr>
          <w:rFonts w:ascii="Times New Roman" w:eastAsia="Times New Roman" w:hAnsi="Times New Roman" w:cs="Times New Roman"/>
          <w:color w:val="000000"/>
          <w:sz w:val="24"/>
          <w:szCs w:val="24"/>
        </w:rPr>
        <w:t>.</w:t>
      </w:r>
    </w:p>
    <w:p w:rsidR="00A01D49" w:rsidRDefault="004A48C0" w:rsidP="00A01D49">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Furthermore, the third most cited paper with 202 citations is “</w:t>
      </w:r>
      <w:r w:rsidRPr="007F72C6">
        <w:rPr>
          <w:rFonts w:ascii="Times New Roman" w:eastAsia="Times New Roman" w:hAnsi="Times New Roman" w:cs="Times New Roman"/>
          <w:color w:val="000000"/>
          <w:sz w:val="24"/>
          <w:szCs w:val="24"/>
        </w:rPr>
        <w:t>Risk, resilience, and gene x environment interactions in rhesus monkeys</w:t>
      </w:r>
      <w:r>
        <w:rPr>
          <w:rFonts w:ascii="Times New Roman" w:eastAsia="Times New Roman" w:hAnsi="Times New Roman" w:cs="Times New Roman"/>
          <w:color w:val="000000"/>
          <w:sz w:val="24"/>
          <w:szCs w:val="24"/>
        </w:rPr>
        <w:t xml:space="preserve">” by </w:t>
      </w:r>
      <w:r w:rsidRPr="007F72C6">
        <w:rPr>
          <w:rFonts w:ascii="Times New Roman" w:eastAsia="Times New Roman" w:hAnsi="Times New Roman" w:cs="Times New Roman"/>
          <w:color w:val="000000"/>
          <w:sz w:val="24"/>
          <w:szCs w:val="24"/>
        </w:rPr>
        <w:t>Suomi, S.J.</w:t>
      </w:r>
      <w:r>
        <w:rPr>
          <w:rFonts w:ascii="Times New Roman" w:eastAsia="Times New Roman" w:hAnsi="Times New Roman" w:cs="Times New Roman"/>
          <w:color w:val="000000"/>
          <w:sz w:val="24"/>
          <w:szCs w:val="24"/>
        </w:rPr>
        <w:t>Then the fourth most cited paper with 179 citations are "</w:t>
      </w:r>
      <w:r w:rsidRPr="007F72C6">
        <w:rPr>
          <w:rFonts w:ascii="Times New Roman" w:eastAsia="Times New Roman" w:hAnsi="Times New Roman" w:cs="Times New Roman"/>
          <w:color w:val="000000"/>
          <w:sz w:val="24"/>
          <w:szCs w:val="24"/>
        </w:rPr>
        <w:t>Risk-resilient heuristics and genetic algorithms for security-assured grid job scheduling</w:t>
      </w:r>
      <w:r>
        <w:rPr>
          <w:rFonts w:ascii="Times New Roman" w:eastAsia="Times New Roman" w:hAnsi="Times New Roman" w:cs="Times New Roman"/>
          <w:color w:val="000000"/>
          <w:sz w:val="24"/>
          <w:szCs w:val="24"/>
        </w:rPr>
        <w:t xml:space="preserve">” by </w:t>
      </w:r>
      <w:r w:rsidRPr="007F72C6">
        <w:rPr>
          <w:rFonts w:ascii="Times New Roman" w:eastAsia="Times New Roman" w:hAnsi="Times New Roman" w:cs="Times New Roman"/>
          <w:color w:val="000000"/>
          <w:sz w:val="24"/>
          <w:szCs w:val="24"/>
        </w:rPr>
        <w:t>Song, S., Hwang, K., Kwok, Y.-K</w:t>
      </w:r>
      <w:r w:rsidR="00162C79">
        <w:rPr>
          <w:rFonts w:ascii="Times New Roman" w:eastAsia="Times New Roman" w:hAnsi="Times New Roman" w:cs="Times New Roman"/>
          <w:color w:val="000000"/>
          <w:sz w:val="24"/>
          <w:szCs w:val="24"/>
        </w:rPr>
        <w:fldChar w:fldCharType="begin" w:fldLock="1"/>
      </w:r>
      <w:r w:rsidR="00F16AC4">
        <w:rPr>
          <w:rFonts w:ascii="Times New Roman" w:eastAsia="Times New Roman" w:hAnsi="Times New Roman" w:cs="Times New Roman"/>
          <w:color w:val="000000"/>
          <w:sz w:val="24"/>
          <w:szCs w:val="24"/>
        </w:rPr>
        <w:instrText>ADDIN CSL_CITATION {"citationItems":[{"id":"ITEM-1","itemData":{"DOI":"10.1109/TC.2006.89","ISSN":"00189340","abstract":"In scheduling a large number of user jobs for parallel execution on an open-resource Grid system, the jobs are subject to system failures or delays caused by infected hardware, software vulnerability, and distrusted security policy. This paper models the risk and insecure conditions in Grid job scheduling. Three risk-resilient strategies, preemptive, replication, and delay-tolerant, are developed to provide security assurance. We propose six risk-resilient scheduling algorithms to assure secure Grid job execution under different risky conditions. We report the simulated Grid performances of these new Grid job scheduling algorithms under the NAS and PSA workloads. The relative performance is measured by the total job makespan, Grid resource utilization, job failure rate, slowdown ratio, replication overhead, etc. In addition to extending from known scheduling heuristics, we developed a new space-time genetic algorithm (STGA) based on faster searching and protected chromosome formation. Our simulation results suggest that, in a wide-area Grid environment, it is more resilient for the global job scheduler to tolerate some job delays instead of resorting to preemption or replication or taking a risk on unreliable resources allocated. We find that delay-tolerant Min-Min and STGA job scheduling have 13-23 percent higher performance than using risky or preemptive or replicated algorithms. The resource overheads for replicated job scheduling are kept at a low 15 percent. The delayed job execution is optimized with a delay factor, which is 20 percent of the total makespan. A Kiviat graph is proposed for demonstrating the quality of Grid computing services. These risk-resilient job scheduling schemes can upgrade Grid performance significantly at only a moderate increase in extra resources or scheduling delays in a risky Grid computing environment. © 2006 IEEE.","author":[{"dropping-particle":"","family":"Song","given":"Shanshan","non-dropping-particle":"","parse-names":false,"suffix":""},{"dropping-particle":"","family":"Hwang","given":"Kai","non-dropping-particle":"","parse-names":false,"suffix":""},{"dropping-particle":"","family":"Kwok","given":"Yu Kwong","non-dropping-particle":"","parse-names":false,"suffix":""}],"container-title":"IEEE Transactions on Computers","id":"ITEM-1","issue":"6","issued":{"date-parts":[["2006"]]},"page":"703-719","title":"Risk-resilient heuristics and genetic algorithms for security-assured grid job scheduling","type":"article-journal","volume":"55"},"uris":["http://www.mendeley.com/documents/?uuid=f0c41b0b-115a-4287-9e30-b6780b13bc19"]}],"mendeley":{"formattedCitation":"(Song et al., 2006)","plainTextFormattedCitation":"(Song et al., 2006)","previouslyFormattedCitation":"(Song et al., 2006)"},"properties":{"noteIndex":0},"schema":"https://github.com/citation-style-language/schema/raw/master/csl-citation.json"}</w:instrText>
      </w:r>
      <w:r w:rsidR="00162C79">
        <w:rPr>
          <w:rFonts w:ascii="Times New Roman" w:eastAsia="Times New Roman" w:hAnsi="Times New Roman" w:cs="Times New Roman"/>
          <w:color w:val="000000"/>
          <w:sz w:val="24"/>
          <w:szCs w:val="24"/>
        </w:rPr>
        <w:fldChar w:fldCharType="separate"/>
      </w:r>
      <w:r w:rsidR="00F16AC4" w:rsidRPr="00F16AC4">
        <w:rPr>
          <w:rFonts w:ascii="Times New Roman" w:eastAsia="Times New Roman" w:hAnsi="Times New Roman" w:cs="Times New Roman"/>
          <w:noProof/>
          <w:color w:val="000000"/>
          <w:sz w:val="24"/>
          <w:szCs w:val="24"/>
        </w:rPr>
        <w:t>(Song et al., 2006)</w:t>
      </w:r>
      <w:r w:rsidR="00162C79">
        <w:rPr>
          <w:rFonts w:ascii="Times New Roman" w:eastAsia="Times New Roman" w:hAnsi="Times New Roman" w:cs="Times New Roman"/>
          <w:color w:val="000000"/>
          <w:sz w:val="24"/>
          <w:szCs w:val="24"/>
        </w:rPr>
        <w:fldChar w:fldCharType="end"/>
      </w:r>
      <w:r w:rsidR="00F16AC4">
        <w:rPr>
          <w:rFonts w:ascii="Times New Roman" w:eastAsia="Times New Roman" w:hAnsi="Times New Roman" w:cs="Times New Roman"/>
          <w:color w:val="000000"/>
          <w:sz w:val="24"/>
          <w:szCs w:val="24"/>
        </w:rPr>
        <w:t>.</w:t>
      </w:r>
    </w:p>
    <w:p w:rsidR="001F077F" w:rsidRDefault="001F077F" w:rsidP="00A01D49">
      <w:pPr>
        <w:spacing w:after="0" w:line="360" w:lineRule="auto"/>
        <w:jc w:val="both"/>
        <w:rPr>
          <w:rFonts w:ascii="Times New Roman" w:eastAsia="Times New Roman" w:hAnsi="Times New Roman" w:cs="Times New Roman"/>
          <w:color w:val="000000"/>
          <w:sz w:val="24"/>
          <w:szCs w:val="24"/>
        </w:rPr>
      </w:pPr>
    </w:p>
    <w:p w:rsidR="00343E27" w:rsidRPr="00B035DF" w:rsidRDefault="004A48C0" w:rsidP="001F077F">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Table 4: Most cited </w:t>
      </w:r>
      <w:r w:rsidR="00B84FB1">
        <w:rPr>
          <w:rFonts w:ascii="Times New Roman" w:hAnsi="Times New Roman" w:cs="Times New Roman"/>
          <w:sz w:val="24"/>
          <w:szCs w:val="24"/>
        </w:rPr>
        <w:t>studies</w:t>
      </w:r>
    </w:p>
    <w:tbl>
      <w:tblPr>
        <w:tblW w:w="9459" w:type="dxa"/>
        <w:tblInd w:w="93" w:type="dxa"/>
        <w:tblLook w:val="04A0"/>
      </w:tblPr>
      <w:tblGrid>
        <w:gridCol w:w="516"/>
        <w:gridCol w:w="2778"/>
        <w:gridCol w:w="4505"/>
        <w:gridCol w:w="863"/>
        <w:gridCol w:w="797"/>
      </w:tblGrid>
      <w:tr w:rsidR="00D268C0" w:rsidTr="007F72C6">
        <w:trPr>
          <w:trHeight w:val="300"/>
        </w:trPr>
        <w:tc>
          <w:tcPr>
            <w:tcW w:w="516" w:type="dxa"/>
            <w:tcBorders>
              <w:top w:val="single" w:sz="4" w:space="0" w:color="auto"/>
              <w:left w:val="single" w:sz="4" w:space="0" w:color="auto"/>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b/>
                <w:color w:val="000000"/>
                <w:sz w:val="24"/>
                <w:szCs w:val="24"/>
              </w:rPr>
            </w:pPr>
            <w:r w:rsidRPr="007F72C6">
              <w:rPr>
                <w:rFonts w:ascii="Times New Roman" w:eastAsia="Times New Roman" w:hAnsi="Times New Roman" w:cs="Times New Roman"/>
                <w:b/>
                <w:color w:val="000000"/>
                <w:sz w:val="24"/>
                <w:szCs w:val="24"/>
              </w:rPr>
              <w:t>Sr. No</w:t>
            </w:r>
          </w:p>
        </w:tc>
        <w:tc>
          <w:tcPr>
            <w:tcW w:w="2778" w:type="dxa"/>
            <w:tcBorders>
              <w:top w:val="single" w:sz="4" w:space="0" w:color="auto"/>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b/>
                <w:color w:val="000000"/>
                <w:sz w:val="24"/>
                <w:szCs w:val="24"/>
              </w:rPr>
            </w:pPr>
            <w:r w:rsidRPr="007F72C6">
              <w:rPr>
                <w:rFonts w:ascii="Times New Roman" w:eastAsia="Times New Roman" w:hAnsi="Times New Roman" w:cs="Times New Roman"/>
                <w:b/>
                <w:color w:val="000000"/>
                <w:sz w:val="24"/>
                <w:szCs w:val="24"/>
              </w:rPr>
              <w:t>Authors</w:t>
            </w:r>
          </w:p>
        </w:tc>
        <w:tc>
          <w:tcPr>
            <w:tcW w:w="4505" w:type="dxa"/>
            <w:tcBorders>
              <w:top w:val="single" w:sz="4" w:space="0" w:color="auto"/>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b/>
                <w:color w:val="000000"/>
                <w:sz w:val="24"/>
                <w:szCs w:val="24"/>
              </w:rPr>
            </w:pPr>
            <w:r w:rsidRPr="007F72C6">
              <w:rPr>
                <w:rFonts w:ascii="Times New Roman" w:eastAsia="Times New Roman" w:hAnsi="Times New Roman" w:cs="Times New Roman"/>
                <w:b/>
                <w:color w:val="000000"/>
                <w:sz w:val="24"/>
                <w:szCs w:val="24"/>
              </w:rPr>
              <w:t>Title</w:t>
            </w:r>
          </w:p>
        </w:tc>
        <w:tc>
          <w:tcPr>
            <w:tcW w:w="863" w:type="dxa"/>
            <w:tcBorders>
              <w:top w:val="single" w:sz="4" w:space="0" w:color="auto"/>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b/>
                <w:color w:val="000000"/>
                <w:sz w:val="24"/>
                <w:szCs w:val="24"/>
              </w:rPr>
            </w:pPr>
            <w:r w:rsidRPr="007F72C6">
              <w:rPr>
                <w:rFonts w:ascii="Times New Roman" w:eastAsia="Times New Roman" w:hAnsi="Times New Roman" w:cs="Times New Roman"/>
                <w:b/>
                <w:color w:val="000000"/>
                <w:sz w:val="24"/>
                <w:szCs w:val="24"/>
              </w:rPr>
              <w:t>Year</w:t>
            </w:r>
          </w:p>
        </w:tc>
        <w:tc>
          <w:tcPr>
            <w:tcW w:w="797" w:type="dxa"/>
            <w:tcBorders>
              <w:top w:val="single" w:sz="4" w:space="0" w:color="auto"/>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b/>
                <w:color w:val="000000"/>
                <w:sz w:val="24"/>
                <w:szCs w:val="24"/>
              </w:rPr>
            </w:pPr>
            <w:r w:rsidRPr="007F72C6">
              <w:rPr>
                <w:rFonts w:ascii="Times New Roman" w:eastAsia="Times New Roman" w:hAnsi="Times New Roman" w:cs="Times New Roman"/>
                <w:b/>
                <w:color w:val="000000"/>
                <w:sz w:val="24"/>
                <w:szCs w:val="24"/>
              </w:rPr>
              <w:t>Cited by</w:t>
            </w:r>
          </w:p>
        </w:tc>
      </w:tr>
      <w:tr w:rsidR="00D268C0" w:rsidTr="007F72C6">
        <w:trPr>
          <w:trHeight w:val="300"/>
        </w:trPr>
        <w:tc>
          <w:tcPr>
            <w:tcW w:w="516" w:type="dxa"/>
            <w:tcBorders>
              <w:top w:val="nil"/>
              <w:left w:val="single" w:sz="4" w:space="0" w:color="auto"/>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1</w:t>
            </w:r>
          </w:p>
        </w:tc>
        <w:tc>
          <w:tcPr>
            <w:tcW w:w="2778"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Enoch, M.-A.</w:t>
            </w:r>
          </w:p>
        </w:tc>
        <w:tc>
          <w:tcPr>
            <w:tcW w:w="4505"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The role of early life stress as a predictor for alcohol and drug dependence</w:t>
            </w:r>
          </w:p>
        </w:tc>
        <w:tc>
          <w:tcPr>
            <w:tcW w:w="863"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2011</w:t>
            </w:r>
          </w:p>
        </w:tc>
        <w:tc>
          <w:tcPr>
            <w:tcW w:w="797"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372</w:t>
            </w:r>
          </w:p>
        </w:tc>
      </w:tr>
      <w:tr w:rsidR="00D268C0" w:rsidTr="007F72C6">
        <w:trPr>
          <w:trHeight w:val="300"/>
        </w:trPr>
        <w:tc>
          <w:tcPr>
            <w:tcW w:w="516" w:type="dxa"/>
            <w:tcBorders>
              <w:top w:val="nil"/>
              <w:left w:val="single" w:sz="4" w:space="0" w:color="auto"/>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2</w:t>
            </w:r>
          </w:p>
        </w:tc>
        <w:tc>
          <w:tcPr>
            <w:tcW w:w="2778"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Belsky, J., Pluess, M.</w:t>
            </w:r>
          </w:p>
        </w:tc>
        <w:tc>
          <w:tcPr>
            <w:tcW w:w="4505"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Beyond risk, resilience, and dysregulation: Phenotypic plasticity and human development</w:t>
            </w:r>
          </w:p>
        </w:tc>
        <w:tc>
          <w:tcPr>
            <w:tcW w:w="863"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2013</w:t>
            </w:r>
          </w:p>
        </w:tc>
        <w:tc>
          <w:tcPr>
            <w:tcW w:w="797"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209</w:t>
            </w:r>
          </w:p>
        </w:tc>
      </w:tr>
      <w:tr w:rsidR="00D268C0" w:rsidTr="007F72C6">
        <w:trPr>
          <w:trHeight w:val="300"/>
        </w:trPr>
        <w:tc>
          <w:tcPr>
            <w:tcW w:w="516" w:type="dxa"/>
            <w:tcBorders>
              <w:top w:val="nil"/>
              <w:left w:val="single" w:sz="4" w:space="0" w:color="auto"/>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3</w:t>
            </w:r>
          </w:p>
        </w:tc>
        <w:tc>
          <w:tcPr>
            <w:tcW w:w="2778"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Suomi, S.J.</w:t>
            </w:r>
          </w:p>
        </w:tc>
        <w:tc>
          <w:tcPr>
            <w:tcW w:w="4505"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Risk, resilience, and Gene x environment interactions in Rhesus monkeys</w:t>
            </w:r>
          </w:p>
        </w:tc>
        <w:tc>
          <w:tcPr>
            <w:tcW w:w="863"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2006</w:t>
            </w:r>
          </w:p>
        </w:tc>
        <w:tc>
          <w:tcPr>
            <w:tcW w:w="797"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202</w:t>
            </w:r>
          </w:p>
        </w:tc>
      </w:tr>
      <w:tr w:rsidR="00D268C0" w:rsidTr="007F72C6">
        <w:trPr>
          <w:trHeight w:val="300"/>
        </w:trPr>
        <w:tc>
          <w:tcPr>
            <w:tcW w:w="516" w:type="dxa"/>
            <w:tcBorders>
              <w:top w:val="nil"/>
              <w:left w:val="single" w:sz="4" w:space="0" w:color="auto"/>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4</w:t>
            </w:r>
          </w:p>
        </w:tc>
        <w:tc>
          <w:tcPr>
            <w:tcW w:w="2778"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Song, S., Hwang, K., Kwok, Y.-K.</w:t>
            </w:r>
          </w:p>
        </w:tc>
        <w:tc>
          <w:tcPr>
            <w:tcW w:w="4505"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Risk-resilient heuristics and genetic algorithms for security-assured grid job scheduling</w:t>
            </w:r>
          </w:p>
        </w:tc>
        <w:tc>
          <w:tcPr>
            <w:tcW w:w="863"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2006</w:t>
            </w:r>
          </w:p>
        </w:tc>
        <w:tc>
          <w:tcPr>
            <w:tcW w:w="797"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179</w:t>
            </w:r>
          </w:p>
        </w:tc>
      </w:tr>
      <w:tr w:rsidR="00D268C0" w:rsidTr="007F72C6">
        <w:trPr>
          <w:trHeight w:val="300"/>
        </w:trPr>
        <w:tc>
          <w:tcPr>
            <w:tcW w:w="516" w:type="dxa"/>
            <w:tcBorders>
              <w:top w:val="nil"/>
              <w:left w:val="single" w:sz="4" w:space="0" w:color="auto"/>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5</w:t>
            </w:r>
          </w:p>
        </w:tc>
        <w:tc>
          <w:tcPr>
            <w:tcW w:w="2778"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Frangopol, D.M., Soliman, M.</w:t>
            </w:r>
          </w:p>
        </w:tc>
        <w:tc>
          <w:tcPr>
            <w:tcW w:w="4505"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Life-cycle of structural systems: recent achievements and future directions</w:t>
            </w:r>
          </w:p>
        </w:tc>
        <w:tc>
          <w:tcPr>
            <w:tcW w:w="863"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2016</w:t>
            </w:r>
          </w:p>
        </w:tc>
        <w:tc>
          <w:tcPr>
            <w:tcW w:w="797"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177</w:t>
            </w:r>
          </w:p>
        </w:tc>
      </w:tr>
      <w:tr w:rsidR="00D268C0" w:rsidTr="007F72C6">
        <w:trPr>
          <w:trHeight w:val="300"/>
        </w:trPr>
        <w:tc>
          <w:tcPr>
            <w:tcW w:w="516" w:type="dxa"/>
            <w:tcBorders>
              <w:top w:val="nil"/>
              <w:left w:val="single" w:sz="4" w:space="0" w:color="auto"/>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6</w:t>
            </w:r>
          </w:p>
        </w:tc>
        <w:tc>
          <w:tcPr>
            <w:tcW w:w="2778"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Swain, J.E., Kim, P., Spicer, J., Ho, S.S., Dayton, C.J., Elmadih, A., Abel, K.M.</w:t>
            </w:r>
          </w:p>
        </w:tc>
        <w:tc>
          <w:tcPr>
            <w:tcW w:w="4505"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Approaching the biology of human parental attachment: Brain imaging, oxytocin and coordinated assessments of mothers and fathers</w:t>
            </w:r>
          </w:p>
        </w:tc>
        <w:tc>
          <w:tcPr>
            <w:tcW w:w="863"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2014</w:t>
            </w:r>
          </w:p>
        </w:tc>
        <w:tc>
          <w:tcPr>
            <w:tcW w:w="797"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172</w:t>
            </w:r>
          </w:p>
        </w:tc>
      </w:tr>
      <w:tr w:rsidR="00D268C0" w:rsidTr="007F72C6">
        <w:trPr>
          <w:trHeight w:val="300"/>
        </w:trPr>
        <w:tc>
          <w:tcPr>
            <w:tcW w:w="516" w:type="dxa"/>
            <w:tcBorders>
              <w:top w:val="nil"/>
              <w:left w:val="single" w:sz="4" w:space="0" w:color="auto"/>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7</w:t>
            </w:r>
          </w:p>
        </w:tc>
        <w:tc>
          <w:tcPr>
            <w:tcW w:w="2778"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Enoch, M.-A.</w:t>
            </w:r>
          </w:p>
        </w:tc>
        <w:tc>
          <w:tcPr>
            <w:tcW w:w="4505"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Genetic and environmental influences on the development of alcoholism: Resilience vs. risk</w:t>
            </w:r>
          </w:p>
        </w:tc>
        <w:tc>
          <w:tcPr>
            <w:tcW w:w="863"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2006</w:t>
            </w:r>
          </w:p>
        </w:tc>
        <w:tc>
          <w:tcPr>
            <w:tcW w:w="797"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162</w:t>
            </w:r>
          </w:p>
        </w:tc>
      </w:tr>
      <w:tr w:rsidR="00D268C0" w:rsidTr="007F72C6">
        <w:trPr>
          <w:trHeight w:val="300"/>
        </w:trPr>
        <w:tc>
          <w:tcPr>
            <w:tcW w:w="516" w:type="dxa"/>
            <w:tcBorders>
              <w:top w:val="nil"/>
              <w:left w:val="single" w:sz="4" w:space="0" w:color="auto"/>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8</w:t>
            </w:r>
          </w:p>
        </w:tc>
        <w:tc>
          <w:tcPr>
            <w:tcW w:w="2778"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Winn, M., Kirchgeorg, M., Griffiths, A., Linnenluecke, M.K., Gunther, E.</w:t>
            </w:r>
          </w:p>
        </w:tc>
        <w:tc>
          <w:tcPr>
            <w:tcW w:w="4505"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Impacts from climate change on organizations: A conceptual foundation</w:t>
            </w:r>
          </w:p>
        </w:tc>
        <w:tc>
          <w:tcPr>
            <w:tcW w:w="863"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2011</w:t>
            </w:r>
          </w:p>
        </w:tc>
        <w:tc>
          <w:tcPr>
            <w:tcW w:w="797"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152</w:t>
            </w:r>
          </w:p>
        </w:tc>
      </w:tr>
      <w:tr w:rsidR="00D268C0" w:rsidTr="007F72C6">
        <w:trPr>
          <w:trHeight w:val="300"/>
        </w:trPr>
        <w:tc>
          <w:tcPr>
            <w:tcW w:w="516" w:type="dxa"/>
            <w:tcBorders>
              <w:top w:val="nil"/>
              <w:left w:val="single" w:sz="4" w:space="0" w:color="auto"/>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9</w:t>
            </w:r>
          </w:p>
        </w:tc>
        <w:tc>
          <w:tcPr>
            <w:tcW w:w="2778"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Boyden, J., Mann, G.</w:t>
            </w:r>
          </w:p>
        </w:tc>
        <w:tc>
          <w:tcPr>
            <w:tcW w:w="4505"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 xml:space="preserve">Children's risk, resilience, and coping in </w:t>
            </w:r>
            <w:r w:rsidRPr="007F72C6">
              <w:rPr>
                <w:rFonts w:ascii="Times New Roman" w:eastAsia="Times New Roman" w:hAnsi="Times New Roman" w:cs="Times New Roman"/>
                <w:color w:val="000000"/>
                <w:sz w:val="24"/>
                <w:szCs w:val="24"/>
              </w:rPr>
              <w:lastRenderedPageBreak/>
              <w:t>extreme situations</w:t>
            </w:r>
          </w:p>
        </w:tc>
        <w:tc>
          <w:tcPr>
            <w:tcW w:w="863"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lastRenderedPageBreak/>
              <w:t>2005</w:t>
            </w:r>
          </w:p>
        </w:tc>
        <w:tc>
          <w:tcPr>
            <w:tcW w:w="797"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149</w:t>
            </w:r>
          </w:p>
        </w:tc>
      </w:tr>
      <w:tr w:rsidR="00D268C0" w:rsidTr="007F72C6">
        <w:trPr>
          <w:trHeight w:val="300"/>
        </w:trPr>
        <w:tc>
          <w:tcPr>
            <w:tcW w:w="516" w:type="dxa"/>
            <w:tcBorders>
              <w:top w:val="nil"/>
              <w:left w:val="single" w:sz="4" w:space="0" w:color="auto"/>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lastRenderedPageBreak/>
              <w:t>10</w:t>
            </w:r>
          </w:p>
        </w:tc>
        <w:tc>
          <w:tcPr>
            <w:tcW w:w="2778"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Frangopol, D.M., Dong, Y., Sabatino, S.</w:t>
            </w:r>
          </w:p>
        </w:tc>
        <w:tc>
          <w:tcPr>
            <w:tcW w:w="4505"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Bridge life-cycle performance and cost: analysis, prediction, optimization, and decision-making</w:t>
            </w:r>
          </w:p>
        </w:tc>
        <w:tc>
          <w:tcPr>
            <w:tcW w:w="863"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2017</w:t>
            </w:r>
          </w:p>
        </w:tc>
        <w:tc>
          <w:tcPr>
            <w:tcW w:w="797"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137</w:t>
            </w:r>
          </w:p>
        </w:tc>
      </w:tr>
      <w:tr w:rsidR="00D268C0" w:rsidTr="007F72C6">
        <w:trPr>
          <w:trHeight w:val="300"/>
        </w:trPr>
        <w:tc>
          <w:tcPr>
            <w:tcW w:w="516" w:type="dxa"/>
            <w:tcBorders>
              <w:top w:val="nil"/>
              <w:left w:val="single" w:sz="4" w:space="0" w:color="auto"/>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11</w:t>
            </w:r>
          </w:p>
        </w:tc>
        <w:tc>
          <w:tcPr>
            <w:tcW w:w="2778"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Coaffee, J.</w:t>
            </w:r>
          </w:p>
        </w:tc>
        <w:tc>
          <w:tcPr>
            <w:tcW w:w="4505"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Risk, resilience, and environmentally sustainable cities</w:t>
            </w:r>
          </w:p>
        </w:tc>
        <w:tc>
          <w:tcPr>
            <w:tcW w:w="863"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2008</w:t>
            </w:r>
          </w:p>
        </w:tc>
        <w:tc>
          <w:tcPr>
            <w:tcW w:w="797"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121</w:t>
            </w:r>
          </w:p>
        </w:tc>
      </w:tr>
      <w:tr w:rsidR="00D268C0" w:rsidTr="007F72C6">
        <w:trPr>
          <w:trHeight w:val="300"/>
        </w:trPr>
        <w:tc>
          <w:tcPr>
            <w:tcW w:w="516" w:type="dxa"/>
            <w:tcBorders>
              <w:top w:val="nil"/>
              <w:left w:val="single" w:sz="4" w:space="0" w:color="auto"/>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12</w:t>
            </w:r>
          </w:p>
        </w:tc>
        <w:tc>
          <w:tcPr>
            <w:tcW w:w="2778"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Russell, S.T.</w:t>
            </w:r>
          </w:p>
        </w:tc>
        <w:tc>
          <w:tcPr>
            <w:tcW w:w="4505"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Beyond risk: Resilience in the lives of sexual minority youth</w:t>
            </w:r>
          </w:p>
        </w:tc>
        <w:tc>
          <w:tcPr>
            <w:tcW w:w="863"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2005</w:t>
            </w:r>
          </w:p>
        </w:tc>
        <w:tc>
          <w:tcPr>
            <w:tcW w:w="797"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111</w:t>
            </w:r>
          </w:p>
        </w:tc>
      </w:tr>
      <w:tr w:rsidR="00D268C0" w:rsidTr="007F72C6">
        <w:trPr>
          <w:trHeight w:val="300"/>
        </w:trPr>
        <w:tc>
          <w:tcPr>
            <w:tcW w:w="516" w:type="dxa"/>
            <w:tcBorders>
              <w:top w:val="nil"/>
              <w:left w:val="single" w:sz="4" w:space="0" w:color="auto"/>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13</w:t>
            </w:r>
          </w:p>
        </w:tc>
        <w:tc>
          <w:tcPr>
            <w:tcW w:w="2778"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Petzold, M.B., Bendau, A., Plag, J., Pyrkosch, L., MascarellMaricic, L., Betzler, F., Rogoll, J., GroÃŸe, J., StrÃ¶hle, A.</w:t>
            </w:r>
          </w:p>
        </w:tc>
        <w:tc>
          <w:tcPr>
            <w:tcW w:w="4505"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Risk, resilience, psychological distress, and Anxiety at the Beginning of the COVID-19 pandemic in Germany</w:t>
            </w:r>
          </w:p>
        </w:tc>
        <w:tc>
          <w:tcPr>
            <w:tcW w:w="863"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2020</w:t>
            </w:r>
          </w:p>
        </w:tc>
        <w:tc>
          <w:tcPr>
            <w:tcW w:w="797"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109</w:t>
            </w:r>
          </w:p>
        </w:tc>
      </w:tr>
      <w:tr w:rsidR="00D268C0" w:rsidTr="007F72C6">
        <w:trPr>
          <w:trHeight w:val="300"/>
        </w:trPr>
        <w:tc>
          <w:tcPr>
            <w:tcW w:w="516" w:type="dxa"/>
            <w:tcBorders>
              <w:top w:val="nil"/>
              <w:left w:val="single" w:sz="4" w:space="0" w:color="auto"/>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14</w:t>
            </w:r>
          </w:p>
        </w:tc>
        <w:tc>
          <w:tcPr>
            <w:tcW w:w="2778"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Mizock, L., Lewis, T.K.</w:t>
            </w:r>
          </w:p>
        </w:tc>
        <w:tc>
          <w:tcPr>
            <w:tcW w:w="4505"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Trauma in transgender populations: Risk, resilience, and clinical care</w:t>
            </w:r>
          </w:p>
        </w:tc>
        <w:tc>
          <w:tcPr>
            <w:tcW w:w="863"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2008</w:t>
            </w:r>
          </w:p>
        </w:tc>
        <w:tc>
          <w:tcPr>
            <w:tcW w:w="797"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106</w:t>
            </w:r>
          </w:p>
        </w:tc>
      </w:tr>
      <w:tr w:rsidR="00D268C0" w:rsidTr="007F72C6">
        <w:trPr>
          <w:trHeight w:val="300"/>
        </w:trPr>
        <w:tc>
          <w:tcPr>
            <w:tcW w:w="516" w:type="dxa"/>
            <w:tcBorders>
              <w:top w:val="nil"/>
              <w:left w:val="single" w:sz="4" w:space="0" w:color="auto"/>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15</w:t>
            </w:r>
          </w:p>
        </w:tc>
        <w:tc>
          <w:tcPr>
            <w:tcW w:w="2778"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Gee, D.G., Casey, B.J.</w:t>
            </w:r>
          </w:p>
        </w:tc>
        <w:tc>
          <w:tcPr>
            <w:tcW w:w="4505"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The impact of developmental timing for stress and recovery</w:t>
            </w:r>
          </w:p>
        </w:tc>
        <w:tc>
          <w:tcPr>
            <w:tcW w:w="863"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2015</w:t>
            </w:r>
          </w:p>
        </w:tc>
        <w:tc>
          <w:tcPr>
            <w:tcW w:w="797"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102</w:t>
            </w:r>
          </w:p>
        </w:tc>
      </w:tr>
      <w:tr w:rsidR="00D268C0" w:rsidTr="007F72C6">
        <w:trPr>
          <w:trHeight w:val="300"/>
        </w:trPr>
        <w:tc>
          <w:tcPr>
            <w:tcW w:w="516" w:type="dxa"/>
            <w:tcBorders>
              <w:top w:val="nil"/>
              <w:left w:val="single" w:sz="4" w:space="0" w:color="auto"/>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16</w:t>
            </w:r>
          </w:p>
        </w:tc>
        <w:tc>
          <w:tcPr>
            <w:tcW w:w="2778"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Mikami, A.Y., Hinshaw, S.P.</w:t>
            </w:r>
          </w:p>
        </w:tc>
        <w:tc>
          <w:tcPr>
            <w:tcW w:w="4505"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Resilient adolescent adjustment among girls: Buffers of childhood peer rejection and attention-deficit/hyperactivity disorder</w:t>
            </w:r>
          </w:p>
        </w:tc>
        <w:tc>
          <w:tcPr>
            <w:tcW w:w="863"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2006</w:t>
            </w:r>
          </w:p>
        </w:tc>
        <w:tc>
          <w:tcPr>
            <w:tcW w:w="797"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97</w:t>
            </w:r>
          </w:p>
        </w:tc>
      </w:tr>
      <w:tr w:rsidR="00D268C0" w:rsidTr="007F72C6">
        <w:trPr>
          <w:trHeight w:val="300"/>
        </w:trPr>
        <w:tc>
          <w:tcPr>
            <w:tcW w:w="516" w:type="dxa"/>
            <w:tcBorders>
              <w:top w:val="nil"/>
              <w:left w:val="single" w:sz="4" w:space="0" w:color="auto"/>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17</w:t>
            </w:r>
          </w:p>
        </w:tc>
        <w:tc>
          <w:tcPr>
            <w:tcW w:w="2778"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Lonsdorf, T.B., Merz, C.J.</w:t>
            </w:r>
          </w:p>
        </w:tc>
        <w:tc>
          <w:tcPr>
            <w:tcW w:w="4505"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More than just noise: Inter-individual differences in fear acquisition, extinction and return of fear in humans - Biological, experiential, temperamental factors, and methodological pitfalls</w:t>
            </w:r>
          </w:p>
        </w:tc>
        <w:tc>
          <w:tcPr>
            <w:tcW w:w="863"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2017</w:t>
            </w:r>
          </w:p>
        </w:tc>
        <w:tc>
          <w:tcPr>
            <w:tcW w:w="797"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96</w:t>
            </w:r>
          </w:p>
        </w:tc>
      </w:tr>
      <w:tr w:rsidR="00D268C0" w:rsidTr="007F72C6">
        <w:trPr>
          <w:trHeight w:val="300"/>
        </w:trPr>
        <w:tc>
          <w:tcPr>
            <w:tcW w:w="516" w:type="dxa"/>
            <w:tcBorders>
              <w:top w:val="nil"/>
              <w:left w:val="single" w:sz="4" w:space="0" w:color="auto"/>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18</w:t>
            </w:r>
          </w:p>
        </w:tc>
        <w:tc>
          <w:tcPr>
            <w:tcW w:w="2778"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Gladstone, B.M., Boydell, K.M., McKeever, P.</w:t>
            </w:r>
          </w:p>
        </w:tc>
        <w:tc>
          <w:tcPr>
            <w:tcW w:w="4505"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Recasting research into children's experiences of parental mental illness: Beyond risk and resilience</w:t>
            </w:r>
          </w:p>
        </w:tc>
        <w:tc>
          <w:tcPr>
            <w:tcW w:w="863"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2006</w:t>
            </w:r>
          </w:p>
        </w:tc>
        <w:tc>
          <w:tcPr>
            <w:tcW w:w="797"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94</w:t>
            </w:r>
          </w:p>
        </w:tc>
      </w:tr>
      <w:tr w:rsidR="00D268C0" w:rsidTr="007F72C6">
        <w:trPr>
          <w:trHeight w:val="300"/>
        </w:trPr>
        <w:tc>
          <w:tcPr>
            <w:tcW w:w="516" w:type="dxa"/>
            <w:tcBorders>
              <w:top w:val="nil"/>
              <w:left w:val="single" w:sz="4" w:space="0" w:color="auto"/>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19</w:t>
            </w:r>
          </w:p>
        </w:tc>
        <w:tc>
          <w:tcPr>
            <w:tcW w:w="2778"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Enoch, M.-A., Hodgkinson, C.A., Yuan, Q., Shen, P.-H., Goldman, D., Roy, A.</w:t>
            </w:r>
          </w:p>
        </w:tc>
        <w:tc>
          <w:tcPr>
            <w:tcW w:w="4505"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The Influence of GABRA2, Childhood Trauma, and Their Interaction on Alcohol, Heroin, and Cocaine Dependence</w:t>
            </w:r>
          </w:p>
        </w:tc>
        <w:tc>
          <w:tcPr>
            <w:tcW w:w="863"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2010</w:t>
            </w:r>
          </w:p>
        </w:tc>
        <w:tc>
          <w:tcPr>
            <w:tcW w:w="797"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93</w:t>
            </w:r>
          </w:p>
        </w:tc>
      </w:tr>
      <w:tr w:rsidR="00D268C0" w:rsidTr="007F72C6">
        <w:trPr>
          <w:trHeight w:val="300"/>
        </w:trPr>
        <w:tc>
          <w:tcPr>
            <w:tcW w:w="516" w:type="dxa"/>
            <w:tcBorders>
              <w:top w:val="nil"/>
              <w:left w:val="single" w:sz="4" w:space="0" w:color="auto"/>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20</w:t>
            </w:r>
          </w:p>
        </w:tc>
        <w:tc>
          <w:tcPr>
            <w:tcW w:w="2778"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Game, E.T., McDonald-</w:t>
            </w:r>
            <w:r w:rsidRPr="007F72C6">
              <w:rPr>
                <w:rFonts w:ascii="Times New Roman" w:eastAsia="Times New Roman" w:hAnsi="Times New Roman" w:cs="Times New Roman"/>
                <w:color w:val="000000"/>
                <w:sz w:val="24"/>
                <w:szCs w:val="24"/>
              </w:rPr>
              <w:lastRenderedPageBreak/>
              <w:t>Madden, E., Puotinen, M.L., Possingham, H.P.</w:t>
            </w:r>
          </w:p>
        </w:tc>
        <w:tc>
          <w:tcPr>
            <w:tcW w:w="4505"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lastRenderedPageBreak/>
              <w:t xml:space="preserve">Should we protect the strong or the weak? </w:t>
            </w:r>
            <w:r w:rsidRPr="007F72C6">
              <w:rPr>
                <w:rFonts w:ascii="Times New Roman" w:eastAsia="Times New Roman" w:hAnsi="Times New Roman" w:cs="Times New Roman"/>
                <w:color w:val="000000"/>
                <w:sz w:val="24"/>
                <w:szCs w:val="24"/>
              </w:rPr>
              <w:lastRenderedPageBreak/>
              <w:t>Risk, resilience, and the selection of marine protected areas</w:t>
            </w:r>
          </w:p>
        </w:tc>
        <w:tc>
          <w:tcPr>
            <w:tcW w:w="863"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lastRenderedPageBreak/>
              <w:t>2008</w:t>
            </w:r>
          </w:p>
        </w:tc>
        <w:tc>
          <w:tcPr>
            <w:tcW w:w="797" w:type="dxa"/>
            <w:tcBorders>
              <w:top w:val="nil"/>
              <w:left w:val="nil"/>
              <w:bottom w:val="single" w:sz="4" w:space="0" w:color="auto"/>
              <w:right w:val="single" w:sz="4" w:space="0" w:color="auto"/>
            </w:tcBorders>
            <w:shd w:val="clear" w:color="auto" w:fill="auto"/>
            <w:noWrap/>
            <w:hideMark/>
          </w:tcPr>
          <w:p w:rsidR="007F72C6" w:rsidRPr="007F72C6" w:rsidRDefault="004A48C0" w:rsidP="00084C08">
            <w:pPr>
              <w:spacing w:after="0" w:line="360" w:lineRule="auto"/>
              <w:rPr>
                <w:rFonts w:ascii="Times New Roman" w:eastAsia="Times New Roman" w:hAnsi="Times New Roman" w:cs="Times New Roman"/>
                <w:color w:val="000000"/>
                <w:sz w:val="24"/>
                <w:szCs w:val="24"/>
              </w:rPr>
            </w:pPr>
            <w:r w:rsidRPr="007F72C6">
              <w:rPr>
                <w:rFonts w:ascii="Times New Roman" w:eastAsia="Times New Roman" w:hAnsi="Times New Roman" w:cs="Times New Roman"/>
                <w:color w:val="000000"/>
                <w:sz w:val="24"/>
                <w:szCs w:val="24"/>
              </w:rPr>
              <w:t>89</w:t>
            </w:r>
          </w:p>
        </w:tc>
      </w:tr>
    </w:tbl>
    <w:p w:rsidR="00A144B8" w:rsidRPr="00046421" w:rsidRDefault="004A48C0" w:rsidP="00A144B8">
      <w:pPr>
        <w:spacing w:line="360" w:lineRule="auto"/>
        <w:jc w:val="center"/>
        <w:rPr>
          <w:rFonts w:ascii="Times New Roman" w:hAnsi="Times New Roman" w:cs="Times New Roman"/>
          <w:i/>
          <w:sz w:val="24"/>
          <w:szCs w:val="24"/>
        </w:rPr>
      </w:pPr>
      <w:r w:rsidRPr="00046421">
        <w:rPr>
          <w:rFonts w:ascii="Times New Roman" w:hAnsi="Times New Roman" w:cs="Times New Roman"/>
          <w:i/>
          <w:sz w:val="24"/>
          <w:szCs w:val="24"/>
        </w:rPr>
        <w:lastRenderedPageBreak/>
        <w:t>(Source: Scopus Data Base)</w:t>
      </w:r>
    </w:p>
    <w:p w:rsidR="00A01D49" w:rsidRDefault="004A48C0" w:rsidP="00A01D49">
      <w:pPr>
        <w:spacing w:line="360" w:lineRule="auto"/>
        <w:jc w:val="both"/>
        <w:rPr>
          <w:rFonts w:ascii="Times New Roman" w:hAnsi="Times New Roman" w:cs="Times New Roman"/>
          <w:b/>
          <w:sz w:val="24"/>
          <w:szCs w:val="24"/>
        </w:rPr>
      </w:pPr>
      <w:r>
        <w:rPr>
          <w:rFonts w:ascii="Times New Roman" w:hAnsi="Times New Roman" w:cs="Times New Roman"/>
          <w:b/>
          <w:sz w:val="24"/>
          <w:szCs w:val="24"/>
        </w:rPr>
        <w:t>4.5 MOST PROLIFIC AUTHORS:</w:t>
      </w:r>
    </w:p>
    <w:p w:rsidR="001F077F" w:rsidRPr="007037E1" w:rsidRDefault="004A48C0" w:rsidP="00A01D49">
      <w:pPr>
        <w:autoSpaceDE w:val="0"/>
        <w:autoSpaceDN w:val="0"/>
        <w:adjustRightInd w:val="0"/>
        <w:spacing w:after="0" w:line="360" w:lineRule="auto"/>
        <w:jc w:val="both"/>
        <w:rPr>
          <w:rFonts w:ascii="Times New Roman" w:hAnsi="Times New Roman" w:cs="Times New Roman"/>
          <w:sz w:val="24"/>
          <w:szCs w:val="24"/>
        </w:rPr>
      </w:pPr>
      <w:r w:rsidRPr="007037E1">
        <w:rPr>
          <w:rFonts w:ascii="Times New Roman" w:hAnsi="Times New Roman" w:cs="Times New Roman"/>
          <w:sz w:val="24"/>
          <w:szCs w:val="24"/>
        </w:rPr>
        <w:t xml:space="preserve">It shows the top twenty most prolific authors. All 342 </w:t>
      </w:r>
      <w:r w:rsidR="00B84FB1">
        <w:rPr>
          <w:rFonts w:ascii="Times New Roman" w:hAnsi="Times New Roman" w:cs="Times New Roman"/>
          <w:sz w:val="24"/>
          <w:szCs w:val="24"/>
        </w:rPr>
        <w:t xml:space="preserve">studies </w:t>
      </w:r>
      <w:r w:rsidRPr="007037E1">
        <w:rPr>
          <w:rFonts w:ascii="Times New Roman" w:hAnsi="Times New Roman" w:cs="Times New Roman"/>
          <w:sz w:val="24"/>
          <w:szCs w:val="24"/>
        </w:rPr>
        <w:t xml:space="preserve">belong to </w:t>
      </w:r>
      <w:r w:rsidR="00B84FB1">
        <w:rPr>
          <w:rFonts w:ascii="Times New Roman" w:hAnsi="Times New Roman" w:cs="Times New Roman"/>
          <w:sz w:val="24"/>
          <w:szCs w:val="24"/>
        </w:rPr>
        <w:t>the</w:t>
      </w:r>
      <w:r w:rsidRPr="007037E1">
        <w:rPr>
          <w:rFonts w:ascii="Times New Roman" w:hAnsi="Times New Roman" w:cs="Times New Roman"/>
          <w:sz w:val="24"/>
          <w:szCs w:val="24"/>
        </w:rPr>
        <w:t xml:space="preserve"> respective 159 authors. Upon analy</w:t>
      </w:r>
      <w:r w:rsidR="00646B1D">
        <w:rPr>
          <w:rFonts w:ascii="Times New Roman" w:hAnsi="Times New Roman" w:cs="Times New Roman"/>
          <w:sz w:val="24"/>
          <w:szCs w:val="24"/>
        </w:rPr>
        <w:t>z</w:t>
      </w:r>
      <w:r w:rsidRPr="007037E1">
        <w:rPr>
          <w:rFonts w:ascii="Times New Roman" w:hAnsi="Times New Roman" w:cs="Times New Roman"/>
          <w:sz w:val="24"/>
          <w:szCs w:val="24"/>
        </w:rPr>
        <w:t xml:space="preserve">ing the data, a list of the top twenty authors with maximum publications was prepared. Further, it was found that the most prolific author on risk resilience is </w:t>
      </w:r>
      <w:r w:rsidRPr="007037E1">
        <w:rPr>
          <w:rFonts w:ascii="Times New Roman" w:hAnsi="Times New Roman" w:cs="Times New Roman"/>
          <w:color w:val="000000"/>
          <w:sz w:val="24"/>
          <w:szCs w:val="24"/>
        </w:rPr>
        <w:t>Enoch, M.A.</w:t>
      </w:r>
      <w:r w:rsidR="007037E1">
        <w:rPr>
          <w:rFonts w:ascii="Times New Roman" w:hAnsi="Times New Roman" w:cs="Times New Roman"/>
          <w:sz w:val="24"/>
          <w:szCs w:val="24"/>
        </w:rPr>
        <w:t>w</w:t>
      </w:r>
      <w:r w:rsidR="007037E1" w:rsidRPr="007037E1">
        <w:rPr>
          <w:rFonts w:ascii="Times New Roman" w:hAnsi="Times New Roman" w:cs="Times New Roman"/>
          <w:sz w:val="24"/>
          <w:szCs w:val="24"/>
        </w:rPr>
        <w:t>ith</w:t>
      </w:r>
      <w:r w:rsidRPr="007037E1">
        <w:rPr>
          <w:rFonts w:ascii="Times New Roman" w:hAnsi="Times New Roman" w:cs="Times New Roman"/>
          <w:sz w:val="24"/>
          <w:szCs w:val="24"/>
        </w:rPr>
        <w:t xml:space="preserve"> six </w:t>
      </w:r>
      <w:r w:rsidR="00B84FB1">
        <w:rPr>
          <w:rFonts w:ascii="Times New Roman" w:hAnsi="Times New Roman" w:cs="Times New Roman"/>
          <w:sz w:val="24"/>
          <w:szCs w:val="24"/>
        </w:rPr>
        <w:t>studies</w:t>
      </w:r>
      <w:r w:rsidRPr="007037E1">
        <w:rPr>
          <w:rFonts w:ascii="Times New Roman" w:hAnsi="Times New Roman" w:cs="Times New Roman"/>
          <w:sz w:val="24"/>
          <w:szCs w:val="24"/>
        </w:rPr>
        <w:t xml:space="preserve">. The authors </w:t>
      </w:r>
      <w:r w:rsidR="007037E1" w:rsidRPr="007037E1">
        <w:rPr>
          <w:rFonts w:ascii="Times New Roman" w:hAnsi="Times New Roman" w:cs="Times New Roman"/>
          <w:color w:val="000000"/>
          <w:sz w:val="24"/>
          <w:szCs w:val="24"/>
        </w:rPr>
        <w:t>Shahar, G, Frangopol, D.M.</w:t>
      </w:r>
      <w:r w:rsidR="00646B1D">
        <w:rPr>
          <w:rFonts w:ascii="Times New Roman" w:hAnsi="Times New Roman" w:cs="Times New Roman"/>
          <w:color w:val="000000"/>
          <w:sz w:val="24"/>
          <w:szCs w:val="24"/>
        </w:rPr>
        <w:t>,</w:t>
      </w:r>
      <w:r w:rsidR="007037E1" w:rsidRPr="007037E1">
        <w:rPr>
          <w:rFonts w:ascii="Times New Roman" w:hAnsi="Times New Roman" w:cs="Times New Roman"/>
          <w:color w:val="000000"/>
          <w:sz w:val="24"/>
          <w:szCs w:val="24"/>
        </w:rPr>
        <w:t xml:space="preserve"> and Dong, Y.</w:t>
      </w:r>
      <w:r w:rsidR="007037E1" w:rsidRPr="007037E1">
        <w:rPr>
          <w:rFonts w:ascii="Times New Roman" w:hAnsi="Times New Roman" w:cs="Times New Roman"/>
          <w:sz w:val="24"/>
          <w:szCs w:val="24"/>
        </w:rPr>
        <w:t>each ha</w:t>
      </w:r>
      <w:r w:rsidR="00B84FB1">
        <w:rPr>
          <w:rFonts w:ascii="Times New Roman" w:hAnsi="Times New Roman" w:cs="Times New Roman"/>
          <w:sz w:val="24"/>
          <w:szCs w:val="24"/>
        </w:rPr>
        <w:t>s</w:t>
      </w:r>
      <w:r w:rsidR="007037E1" w:rsidRPr="007037E1">
        <w:rPr>
          <w:rFonts w:ascii="Times New Roman" w:hAnsi="Times New Roman" w:cs="Times New Roman"/>
          <w:sz w:val="24"/>
          <w:szCs w:val="24"/>
        </w:rPr>
        <w:t xml:space="preserve"> published five</w:t>
      </w:r>
      <w:r w:rsidR="00B84FB1">
        <w:rPr>
          <w:rFonts w:ascii="Times New Roman" w:hAnsi="Times New Roman" w:cs="Times New Roman"/>
          <w:sz w:val="24"/>
          <w:szCs w:val="24"/>
        </w:rPr>
        <w:t>studies</w:t>
      </w:r>
      <w:r w:rsidRPr="007037E1">
        <w:rPr>
          <w:rFonts w:ascii="Times New Roman" w:hAnsi="Times New Roman" w:cs="Times New Roman"/>
          <w:sz w:val="24"/>
          <w:szCs w:val="24"/>
        </w:rPr>
        <w:t xml:space="preserve">. Furthermore, Botha, M. and Zainol, N.R. have published five </w:t>
      </w:r>
      <w:r w:rsidR="00B84FB1">
        <w:rPr>
          <w:rFonts w:ascii="Times New Roman" w:hAnsi="Times New Roman" w:cs="Times New Roman"/>
          <w:sz w:val="24"/>
          <w:szCs w:val="24"/>
        </w:rPr>
        <w:t>studies</w:t>
      </w:r>
      <w:r w:rsidRPr="007037E1">
        <w:rPr>
          <w:rFonts w:ascii="Times New Roman" w:hAnsi="Times New Roman" w:cs="Times New Roman"/>
          <w:sz w:val="24"/>
          <w:szCs w:val="24"/>
        </w:rPr>
        <w:t>.</w:t>
      </w:r>
      <w:r w:rsidR="00162C79">
        <w:rPr>
          <w:rFonts w:ascii="Times New Roman" w:hAnsi="Times New Roman" w:cs="Times New Roman"/>
          <w:sz w:val="24"/>
          <w:szCs w:val="24"/>
        </w:rPr>
        <w:fldChar w:fldCharType="begin" w:fldLock="1"/>
      </w:r>
      <w:r w:rsidR="00F16AC4">
        <w:rPr>
          <w:rFonts w:ascii="Times New Roman" w:hAnsi="Times New Roman" w:cs="Times New Roman"/>
          <w:sz w:val="24"/>
          <w:szCs w:val="24"/>
        </w:rPr>
        <w:instrText>ADDIN CSL_CITATION {"citationItems":[{"id":"ITEM-1","itemData":{"abstract":"Social responsibility of business and impact of business on society has got some immense importance during last decade. In this prospective, business students who are future leaders, entrepreneurs, managers, and employees-can play vital role in the development of better society. This study explored the ethical orientation of business student in Pakistan. It inspects whether dissimilarities in student's demographic and personal characteristics have any attitude regarding business ethics. Attitude towards business ethic questioner (ATBEQ) is adopted as a measurement scale. Sample size of 102 students was taken from management sciences department, The Islamia University of Bahawalpur, and descriptive statistics and t-test employed. The results showed that there are some differences in the attitude of male and female students. Female responded more positive attitude than male. It also reflected that level of study and knowledge about business ethics shape positive attitude for social and moral obligation. Study recommended that more practical and conceptual framework of knowledge and studies should be included in the curricula.","author":[{"dropping-particle":"","family":"Rizvi","given":"Shaheer","non-dropping-particle":"","parse-names":false,"suffix":""},{"dropping-particle":"","family":"Tanveer","given":"Muhammad Asif","non-dropping-particle":"","parse-names":false,"suffix":""},{"dropping-particle":"","family":"Saleem","given":"Umer","non-dropping-particle":"","parse-names":false,"suffix":""},{"dropping-particle":"","family":"Latif","given":"Moaaz","non-dropping-particle":"","parse-names":false,"suffix":""}],"container-title":"European Scientific Journal","id":"ITEM-1","issue":"25","issued":{"date-parts":[["2012"]]},"page":"178-188","title":"Business students' attitude toward business ethics in Pakistan","type":"article-journal","volume":"8"},"uris":["http://www.mendeley.com/documents/?uuid=8cf08d68-e9d8-46f5-97f1-00110b4e5484"]},{"id":"ITEM-2","itemData":{"DOI":"10.4102/sajems.v22i1.2230","ISSN":"22223436","abstract":"Background: Although many scholars focus their research efforts on predicting entrepreneurial intention, these scholars have not determined the bidirectional relationship between entrepreneurial intention and competencies. Aim: This article investigates whether entrepreneurial intention and various individual entrepreneurial competencies influence each other. The human agency and social cognitive theories suggest that these constructs have bidirectional relationships. Furthermore, the direction and strength of these relationships are established. Setting: Results from a sample of 342 nascent and existing entrepreneurs from South Africa are drawn. Method: A quantitative research study is undertaken and structural equation modelling conducted. As far as could be determined, this study is the first to test the model fit between entrepreneurial intention and the individual entrepreneurial competencies in one model. Results: The findings provide evidence of a bidirectional relationship between entrepreneurial intention and various entrepreneurial competencies, and the outcome thereof might lead to an increased business start-up. The strongest positive relationships were observed between entrepreneurial intention and self-efficacy, opportunity recognition, conveying a compelling vision, value creation through innovation (observing customer usage) and perseverance. Previous scholars confirmed that self-efficacy is a strong predictor of entrepreneurial intention. The article found a moderate positive significant bidirectional relationship between entrepreneurial intention and self-efficacy. Conclusion: The findings could assist policy-makers, educators, as well as potential, nascent and start-up entrepreneurs with the understanding that these specific entrepreneurial competencies are necessary for a successful business venture or for moving to the next stage of the venture life cycle. In addition to the previously mentioned practical implications, this study also shows educators, policy-makers and academics that they need to adapt their entrepreneurial training programmes to ensure that self-efficacy and entrepreneurial intention are taught simultaneously as these constructs influence each other.","author":[{"dropping-particle":"","family":"Botha","given":"Melodi","non-dropping-particle":"","parse-names":false,"suffix":""},{"dropping-particle":"","family":"Taljaard","given":"Amorie","non-dropping-particle":"","parse-names":false,"suffix":""}],"container-title":"South African Journal of Economic and Management Sciences","id":"ITEM-2","issue":"1","issued":{"date-parts":[["2019"]]},"page":"1-12","title":"The bidirectional relationship between entrepreneurial intention and entrepreneurial competencies for nascent and existing entrepreneurs","type":"article-journal","volume":"22"},"uris":["http://www.mendeley.com/documents/?uuid=82a51be4-76a2-4564-b952-37d85edbfcb7"]}],"mendeley":{"formattedCitation":"(Botha &amp; Taljaard, 2019; Rizvi et al., 2012)","plainTextFormattedCitation":"(Botha &amp; Taljaard, 2019; Rizvi et al., 2012)","previouslyFormattedCitation":"(Botha &amp; Taljaard, 2019; Rizvi et al., 2012)"},"properties":{"noteIndex":0},"schema":"https://github.com/citation-style-language/schema/raw/master/csl-citation.json"}</w:instrText>
      </w:r>
      <w:r w:rsidR="00162C79">
        <w:rPr>
          <w:rFonts w:ascii="Times New Roman" w:hAnsi="Times New Roman" w:cs="Times New Roman"/>
          <w:sz w:val="24"/>
          <w:szCs w:val="24"/>
        </w:rPr>
        <w:fldChar w:fldCharType="separate"/>
      </w:r>
      <w:r w:rsidR="00F16AC4" w:rsidRPr="00F16AC4">
        <w:rPr>
          <w:rFonts w:ascii="Times New Roman" w:hAnsi="Times New Roman" w:cs="Times New Roman"/>
          <w:noProof/>
          <w:sz w:val="24"/>
          <w:szCs w:val="24"/>
        </w:rPr>
        <w:t>(Botha &amp; Taljaard, 2019; Rizvi et al., 2012)</w:t>
      </w:r>
      <w:r w:rsidR="00162C79">
        <w:rPr>
          <w:rFonts w:ascii="Times New Roman" w:hAnsi="Times New Roman" w:cs="Times New Roman"/>
          <w:sz w:val="24"/>
          <w:szCs w:val="24"/>
        </w:rPr>
        <w:fldChar w:fldCharType="end"/>
      </w:r>
      <w:r w:rsidR="00162C79">
        <w:rPr>
          <w:rFonts w:ascii="Times New Roman" w:hAnsi="Times New Roman" w:cs="Times New Roman"/>
          <w:sz w:val="24"/>
          <w:szCs w:val="24"/>
        </w:rPr>
        <w:fldChar w:fldCharType="begin" w:fldLock="1"/>
      </w:r>
      <w:r w:rsidR="00F16AC4">
        <w:rPr>
          <w:rFonts w:ascii="Times New Roman" w:hAnsi="Times New Roman" w:cs="Times New Roman"/>
          <w:sz w:val="24"/>
          <w:szCs w:val="24"/>
        </w:rPr>
        <w:instrText>ADDIN CSL_CITATION {"citationItems":[{"id":"ITEM-1","itemData":{"DOI":"10.1196/annals.1376.019","ISBN":"1573316431","ISSN":"17496632","PMID":"17347351","abstract":"The physiological changes of adolescence may promote risk-taking behaviors, including binge drinking. Approximately 40% of alcoholics were already drinking heavily in late adolescence. Most cases of alcoholism are established by the age of 30 years with the peak prevalence at 18-23 years of age. Therefore the key time frame for the development, and prevention, of alcoholism lies in adolescence and young adulthood. Severe childhood stressors have been associated with increased vulnerability to addiction, however, not all stress-exposed children go on to develop alcoholism. Origins of resilience can be both genetic (variation in alcohol-metabolizing genes, increased susceptibility to alcohol's sedative effects) and environmental (lack of alcohol availability, positive peer and parental support). Genetic vulnerability is likely to be conferred by multiple genes of small to modest effects, possibly only apparent in gene-environment interactions. For example, it has been shown that childhood maltreatment interacts with a monoamine oxidase A (MAOA) gene variant to predict antisocial behavior that is often associated with alcoholism, and an interaction between early life stress and a serotonin transporter promoter variant predicts alcohol abuse in nonhuman primates and depression in humans. In addition, a common Met158 variant in the catechol-O-methyltransferase (COMT) gene can confer both risk and resilience to alcoholism in different drinking environments. It is likely that a complex mix of gene(s) - environment(s) interactions underlie addiction vulnerability and development. Risk-resilience factors can best be determined in longitudinal studies, preferably starting during pregnancy. This kind of research is important for planning future measures to prevent harmful drinking in adolescence. © 2006 New York Academy of Sciences.","author":[{"dropping-particle":"","family":"Enoch","given":"Mary Anne","non-dropping-particle":"","parse-names":false,"suffix":""}],"container-title":"Annals of the New York Academy of Sciences","id":"ITEM-1","issued":{"date-parts":[["2006"]]},"page":"193-201","title":"Genetic and environmental influences on the development of alcoholism: Resilience vs. risk","type":"article-journal","volume":"1094"},"uris":["http://www.mendeley.com/documents/?uuid=5215d98b-eab1-494b-9329-015a2e357e92"]},{"id":"ITEM-2","itemData":{"DOI":"10.1016/j.biopsych.2009.08.019","ISSN":"00063223","PMID":"19833324","abstract":"Background: The GABRA2 gene has been implicated in addiction. Early life stress has been shown to alter GABRA2 expression in adult rodents. We hypothesized that childhood trauma, GABRA2 variation, and their interaction would influence addiction vulnerability. Methods: African-American men were recruited for this study: 577 patients with lifetime DSM-IV single and comorbid diagnoses of alcohol, cocaine, and heroin dependence, and 255 control subjects. The Childhood Trauma Questionnaire (CTQ) was administered. Ten GABRA2 haplotype-tagging single-nucleotide polymorphisms (SNPs) were genotyped. Results: We found that exposure to childhood trauma predicted substance dependence (p &lt; .0001). Polysubstance dependence was associated with the highest CTQ scores (p &lt; .0001). The African Americans had four common haplotypes (frequency: .11-.30) within the distal haplotype block: two that correspond to the Caucasian and Asian yin-yang haplotypes, and two not found in other ethnic groups. One of the unique haplotypes predicted heroin addiction, whereas the other haplotype was more common in control subjects and seemed to confer resilience to addiction after exposure to severe childhood trauma. The yin-yang haplotypes had no effects. Moreover, the intron 2 SNP rs11503014, not located in any haplotype block and potentially implicated in exon splicing, was independently associated with addiction, specifically heroin addiction (p &lt; .005). Childhood trauma interacted with rs11503014 variation to influence addiction vulnerability, particularly to cocaine (p &lt; .005). Conclusions: Our results suggest that at least in African-American men, childhood trauma, GABRA2 variation, and their interaction play a role in risk-resilience for substance dependence. © 2010 Society of Biological Psychiatry.","author":[{"dropping-particle":"","family":"Enoch","given":"Mary Anne","non-dropping-particle":"","parse-names":false,"suffix":""},{"dropping-particle":"","family":"Hodgkinson","given":"Colin A.","non-dropping-particle":"","parse-names":false,"suffix":""},{"dropping-particle":"","family":"Yuan","given":"Qiaoping","non-dropping-particle":"","parse-names":false,"suffix":""},{"dropping-particle":"","family":"Shen","given":"Pei Hong","non-dropping-particle":"","parse-names":false,"suffix":""},{"dropping-particle":"","family":"Goldman","given":"David","non-dropping-particle":"","parse-names":false,"suffix":""},{"dropping-particle":"","family":"Roy","given":"Alec","non-dropping-particle":"","parse-names":false,"suffix":""}],"container-title":"Biological Psychiatry","id":"ITEM-2","issue":"1","issued":{"date-parts":[["2010"]]},"page":"20-27","publisher":"Elsevier Inc.","title":"The Influence of GABRA2, Childhood Trauma, and Their Interaction on Alcohol, Heroin, and Cocaine Dependence","type":"article-journal","volume":"67"},"uris":["http://www.mendeley.com/documents/?uuid=38e4e5e3-6870-4280-8915-32d17c84ae52"]},{"id":"ITEM-3","itemData":{"DOI":"10.1080/15732479.2014.999794","ISSN":"17448980","abstract":"Structural systems are under deterioration due to ageing, mechanical stressors, and harsh environment, among other threats. Corrosion and fatigue can cause gradual structural deterioration. Moreover, natural and man-made hazards may lead to a sudden drop in the structural performance. Inspection and maintenance actions are performed to monitor the structural safety and maintain the performance over certain thresholds. However, these actions must be effectively planned throughout the life-cycle of a system to ensure the optimum budget allocation and maximum possible service life without adverse effects on the structural system safety. Life-cycle engineering provides rational means to optimise life-cycle aspects, starting from the initial design and construction to dismantling and replacing the system at the end of its service life. This paper presents a brief overview of the recent research achievements in the field of life-cycle engineering for civil and marine structural systems and indicates future directions in this research field. Several aspects of life-cycle engineering are presented, including the performance prediction under uncertainty and optimisation of life-cycle cost and intervention activities, as well as the role of structural health monitoring and non-destructive testing techniques in supporting the life-cycle management decisions. Risk, resilience, sustainability, and their integration into the life-cycle management are also discussed.","author":[{"dropping-particle":"","family":"Frangopol","given":"Dan M.","non-dropping-particle":"","parse-names":false,"suffix":""},{"dropping-particle":"","family":"Soliman","given":"Mohamed","non-dropping-particle":"","parse-names":false,"suffix":""}],"container-title":"Structure and Infrastructure Engineering","id":"ITEM-3","issue":"1","issued":{"date-parts":[["2016"]]},"page":"1-20","title":"Life-cycle of structural systems: recent achievements and future directions","type":"article-journal","volume":"12"},"uris":["http://www.mendeley.com/documents/?uuid=e6dfa4fd-cc73-4ae0-b164-043e75116593"]},{"id":"ITEM-4","itemData":{"DOI":"10.1080/15732479.2016.1267772","ISSN":"17448980","abstract":"The development of a generalised framework for assessing bridge life-cycle performance and cost, with emphasis on analysis, prediction, optimisation and decision-making under uncertainty, is briefly addressed. The central issue underlying the importance of the life-cycle approach to bridge engineering is the need for a rational basis for making informed decisions regarding design, construction, inspection, monitoring, maintenance, repair, rehabilitation, replacement and management of bridges under uncertainty which is carried out by using multi-objective optimisation procedures that balance conflicting criteria such as performance and cost. A number of significant developments are summarised, including time-variant reliability, risk, resilience, and sustainability of bridges, bridge transportation networks and interdependent infrastructure systems. Furthermore, the effects of climate change on the probabilistic life-cycle performance assessment of highway bridges are addressed. Moreover, integration of SHM and updating in bridge management and probabilistic life-cycle optimisation considering multi-attribute utility and risk attitudes are presented.","author":[{"dropping-particle":"","family":"Frangopol","given":"Dan M.","non-dropping-particle":"","parse-names":false,"suffix":""},{"dropping-particle":"","family":"Dong","given":"You","non-dropping-particle":"","parse-names":false,"suffix":""},{"dropping-particle":"","family":"Sabatino","given":"Samantha","non-dropping-particle":"","parse-names":false,"suffix":""}],"container-title":"Structure and Infrastructure Engineering","id":"ITEM-4","issue":"10","issued":{"date-parts":[["2017"]]},"page":"1239-1257","publisher":"Taylor &amp; Francis","title":"Bridge life-cycle performance and cost: analysis, prediction, optimisation and decision-making","type":"article-journal","volume":"13"},"uris":["http://www.mendeley.com/documents/?uuid=f350d32a-9c11-4a82-8bad-a5c4a234f34d"]},{"id":"ITEM-5","itemData":{"DOI":"10.1080/23311975.2020.1747962","ISSN":"23311975","abstract":"This study, built upon the theory of planned behavior, examines the ability of attitude, social norms, perceived behavioral control, and proactive personality in predicting entrepreneurial intent of business students in Vietnam, a transitional economy. Using a cross-sectional data set from a sample of 396 business students, this study reveals that attitude and social norms toward entrepreneurship and proactive personality significantly influence the entrepreneurial intent of business students, whereas perceived behavioral control toward entrepreneurship does not. These findings suggest that if business students in Vietnam lack confidence in their ability to start new businesses, they should be trained/educated in developing soft-skills rather than focusing only on textbook knowledge.","author":[{"dropping-particle":"","family":"Phong","given":"Nguyen Dong","non-dropping-particle":"","parse-names":false,"suffix":""},{"dropping-particle":"","family":"Thao","given":"Nguyen Thuy Phuong","non-dropping-particle":"","parse-names":false,"suffix":""},{"dropping-particle":"","family":"Nguyen","given":"Nguyen Phong","non-dropping-particle":"","parse-names":false,"suffix":""}],"container-title":"Cogent Business and Management","id":"ITEM-5","issue":"1","issued":{"date-parts":[["2020"]]},"publisher":"Cogent","title":"Entrepreneurial intent of business students: Empirical evidence from a transitional economy","type":"article-journal","volume":"7"},"uris":["http://www.mendeley.com/documents/?uuid=9b697d63-d87c-4d9f-9234-3424f7d7b0b2"]},{"id":"ITEM-6","itemData":{"abstract":"Social responsibility of business and impact of business on society has got some immense importance during last decade. In this prospective, business students who are future leaders, entrepreneurs, managers, and employees-can play vital role in the development of better society. This study explored the ethical orientation of business student in Pakistan. It inspects whether dissimilarities in student's demographic and personal characteristics have any attitude regarding business ethics. Attitude towards business ethic questioner (ATBEQ) is adopted as a measurement scale. Sample size of 102 students was taken from management sciences department, The Islamia University of Bahawalpur, and descriptive statistics and t-test employed. The results showed that there are some differences in the attitude of male and female students. Female responded more positive attitude than male. It also reflected that level of study and knowledge about business ethics shape positive attitude for social and moral obligation. Study recommended that more practical and conceptual framework of knowledge and studies should be included in the curricula.","author":[{"dropping-particle":"","family":"Rizvi","given":"Shaheer","non-dropping-particle":"","parse-names":false,"suffix":""},{"dropping-particle":"","family":"Tanveer","given":"Muhammad Asif","non-dropping-particle":"","parse-names":false,"suffix":""},{"dropping-particle":"","family":"Saleem","given":"Umer","non-dropping-particle":"","parse-names":false,"suffix":""},{"dropping-particle":"","family":"Latif","given":"Moaaz","non-dropping-particle":"","parse-names":false,"suffix":""}],"container-title":"European Scientific Journal","id":"ITEM-6","issue":"25","issued":{"date-parts":[["2012"]]},"page":"178-188","title":"Business students' attitude toward business ethics in Pakistan","type":"article-journal","volume":"8"},"uris":["http://www.mendeley.com/documents/?uuid=8cf08d68-e9d8-46f5-97f1-00110b4e5484"]}],"mendeley":{"formattedCitation":"(Enoch, 2006; Enoch et al., 2010; Frangopol et al., 2017; Frangopol &amp; Soliman, 2016; Phong et al., 2020; Rizvi et al., 2012)","plainTextFormattedCitation":"(Enoch, 2006; Enoch et al., 2010; Frangopol et al., 2017; Frangopol &amp; Soliman, 2016; Phong et al., 2020; Rizvi et al., 2012)","previouslyFormattedCitation":"(Enoch, 2006; Enoch et al., 2010; Frangopol et al., 2017; Frangopol &amp; Soliman, 2016; Phong et al., 2020; Rizvi et al., 2012)"},"properties":{"noteIndex":0},"schema":"https://github.com/citation-style-language/schema/raw/master/csl-citation.json"}</w:instrText>
      </w:r>
      <w:r w:rsidR="00162C79">
        <w:rPr>
          <w:rFonts w:ascii="Times New Roman" w:hAnsi="Times New Roman" w:cs="Times New Roman"/>
          <w:sz w:val="24"/>
          <w:szCs w:val="24"/>
        </w:rPr>
        <w:fldChar w:fldCharType="separate"/>
      </w:r>
      <w:r w:rsidR="00F16AC4" w:rsidRPr="00F16AC4">
        <w:rPr>
          <w:rFonts w:ascii="Times New Roman" w:hAnsi="Times New Roman" w:cs="Times New Roman"/>
          <w:noProof/>
          <w:sz w:val="24"/>
          <w:szCs w:val="24"/>
        </w:rPr>
        <w:t>(Enoch, 2006; Enoch et al., 2010; Frangopol et al., 2017; Frangopol &amp; Soliman, 2016; Phong et al., 2020; Rizvi et al., 2012)</w:t>
      </w:r>
      <w:r w:rsidR="00162C79">
        <w:rPr>
          <w:rFonts w:ascii="Times New Roman" w:hAnsi="Times New Roman" w:cs="Times New Roman"/>
          <w:sz w:val="24"/>
          <w:szCs w:val="24"/>
        </w:rPr>
        <w:fldChar w:fldCharType="end"/>
      </w:r>
      <w:r w:rsidR="00162C79">
        <w:rPr>
          <w:rFonts w:ascii="Times New Roman" w:hAnsi="Times New Roman" w:cs="Times New Roman"/>
          <w:sz w:val="24"/>
          <w:szCs w:val="24"/>
        </w:rPr>
        <w:fldChar w:fldCharType="begin" w:fldLock="1"/>
      </w:r>
      <w:r w:rsidR="00F16AC4">
        <w:rPr>
          <w:rFonts w:ascii="Times New Roman" w:hAnsi="Times New Roman" w:cs="Times New Roman"/>
          <w:sz w:val="24"/>
          <w:szCs w:val="24"/>
        </w:rPr>
        <w:instrText>ADDIN CSL_CITATION {"citationItems":[{"id":"ITEM-1","itemData":{"author":[{"dropping-particle":"","family":"Ghorbani, S., Khodayari, A., &amp; Mohammadi","given":"S.","non-dropping-particle":"","parse-names":false,"suffix":""}],"container-title":"European Journal of Experimental Biology","id":"ITEM-1","issue":"1","issued":{"date-parts":[["2014"]]},"page":"321-326","title":"The relationship between managerial skills with organizational climate in managers and staff in national Olympic committee of Iran","type":"article-journal","volume":"4"},"uris":["http://www.mendeley.com/documents/?uuid=b4f9ad91-1205-409e-80a1-14e46ec7046c"]},{"id":"ITEM-2","itemData":{"DOI":"10.1088/1751-8113/44/8/085201","ISBN":"9788578110796","ISSN":"17518113","PMID":"25246403","abstract":"We study a family of 'classical' orthogonal polynomials which satisfy (apart from a three-term recurrence relation) an eigenvalue problem with a differential operator of Dunkl type. These polynomials can be obtained from the little q-Jacobi polynomials in the limit q = -1. We also show that these polynomials provide a nontrivial realization of the Askey-Wilson algebra for q = -1. © 2011 IOP Publishing Ltd.","author":[{"dropping-particle":"","family":"Vinet","given":"Luc","non-dropping-particle":"","parse-names":false,"suffix":""},{"dropping-particle":"","family":"Zhedanov","given":"Alexei","non-dropping-particle":"","parse-names":false,"suffix":""}],"container-title":"Journal of Physics A: Mathematical and Theoretical","id":"ITEM-2","issue":"8","issued":{"date-parts":[["2011"]]},"page":"3-16","title":"A 'missing' family of classical orthogonal polynomials","type":"article-journal","volume":"44"},"uris":["http://www.mendeley.com/documents/?uuid=d9ac41ad-2d2b-4b07-acd3-8aa72514396d"]}],"mendeley":{"formattedCitation":"(Ghorbani, S., Khodayari, A., &amp; Mohammadi, 2014; Vinet &amp; Zhedanov, 2011)","plainTextFormattedCitation":"(Ghorbani, S., Khodayari, A., &amp; Mohammadi, 2014; Vinet &amp; Zhedanov, 2011)","previouslyFormattedCitation":"(Ghorbani, S., Khodayari, A., &amp; Mohammadi, 2014; Vinet &amp; Zhedanov, 2011)"},"properties":{"noteIndex":0},"schema":"https://github.com/citation-style-language/schema/raw/master/csl-citation.json"}</w:instrText>
      </w:r>
      <w:r w:rsidR="00162C79">
        <w:rPr>
          <w:rFonts w:ascii="Times New Roman" w:hAnsi="Times New Roman" w:cs="Times New Roman"/>
          <w:sz w:val="24"/>
          <w:szCs w:val="24"/>
        </w:rPr>
        <w:fldChar w:fldCharType="separate"/>
      </w:r>
      <w:r w:rsidR="00F16AC4" w:rsidRPr="00F16AC4">
        <w:rPr>
          <w:rFonts w:ascii="Times New Roman" w:hAnsi="Times New Roman" w:cs="Times New Roman"/>
          <w:noProof/>
          <w:sz w:val="24"/>
          <w:szCs w:val="24"/>
        </w:rPr>
        <w:t>(Ghorbani, S., Khodayari, A., &amp; Mohammadi, 2014; Vinet &amp; Zhedanov, 2011)</w:t>
      </w:r>
      <w:r w:rsidR="00162C79">
        <w:rPr>
          <w:rFonts w:ascii="Times New Roman" w:hAnsi="Times New Roman" w:cs="Times New Roman"/>
          <w:sz w:val="24"/>
          <w:szCs w:val="24"/>
        </w:rPr>
        <w:fldChar w:fldCharType="end"/>
      </w:r>
    </w:p>
    <w:p w:rsidR="00A01D49" w:rsidRPr="00B035DF" w:rsidRDefault="004A48C0" w:rsidP="001F077F">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10</w:t>
      </w:r>
      <w:r w:rsidR="001F077F">
        <w:rPr>
          <w:rFonts w:ascii="Times New Roman" w:hAnsi="Times New Roman" w:cs="Times New Roman"/>
          <w:sz w:val="24"/>
          <w:szCs w:val="24"/>
        </w:rPr>
        <w:t>: Most Prolific author</w:t>
      </w:r>
    </w:p>
    <w:p w:rsidR="00B035DF" w:rsidRPr="00B035DF" w:rsidRDefault="004A48C0" w:rsidP="005E43A8">
      <w:pPr>
        <w:spacing w:line="360" w:lineRule="auto"/>
        <w:jc w:val="both"/>
        <w:rPr>
          <w:rFonts w:ascii="Times New Roman" w:hAnsi="Times New Roman" w:cs="Times New Roman"/>
          <w:sz w:val="24"/>
          <w:szCs w:val="24"/>
        </w:rPr>
      </w:pPr>
      <w:r w:rsidRPr="00B035DF">
        <w:rPr>
          <w:rFonts w:ascii="Times New Roman" w:hAnsi="Times New Roman" w:cs="Times New Roman"/>
          <w:noProof/>
          <w:sz w:val="24"/>
          <w:szCs w:val="24"/>
        </w:rPr>
        <w:drawing>
          <wp:inline distT="0" distB="0" distL="0" distR="0">
            <wp:extent cx="5490210" cy="4629150"/>
            <wp:effectExtent l="19050" t="0" r="1524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144B8" w:rsidRPr="00046421" w:rsidRDefault="004A48C0" w:rsidP="00A144B8">
      <w:pPr>
        <w:spacing w:line="360" w:lineRule="auto"/>
        <w:jc w:val="center"/>
        <w:rPr>
          <w:rFonts w:ascii="Times New Roman" w:hAnsi="Times New Roman" w:cs="Times New Roman"/>
          <w:i/>
          <w:sz w:val="24"/>
          <w:szCs w:val="24"/>
        </w:rPr>
      </w:pPr>
      <w:r w:rsidRPr="00046421">
        <w:rPr>
          <w:rFonts w:ascii="Times New Roman" w:hAnsi="Times New Roman" w:cs="Times New Roman"/>
          <w:i/>
          <w:sz w:val="24"/>
          <w:szCs w:val="24"/>
        </w:rPr>
        <w:t>(Source: Scopus Data Base)</w:t>
      </w:r>
    </w:p>
    <w:p w:rsidR="007037E1" w:rsidRDefault="004A48C0" w:rsidP="007037E1">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4.6 MOST PROLIFIC COUNTRIES:</w:t>
      </w:r>
    </w:p>
    <w:p w:rsidR="007037E1" w:rsidRDefault="004A48C0" w:rsidP="007037E1">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All the </w:t>
      </w:r>
      <w:r w:rsidR="00B84FB1">
        <w:rPr>
          <w:rFonts w:ascii="Times New Roman" w:hAnsi="Times New Roman" w:cs="Times New Roman"/>
          <w:color w:val="000000"/>
          <w:sz w:val="24"/>
          <w:szCs w:val="24"/>
        </w:rPr>
        <w:t>studies</w:t>
      </w:r>
      <w:r>
        <w:rPr>
          <w:rFonts w:ascii="Times New Roman" w:hAnsi="Times New Roman" w:cs="Times New Roman"/>
          <w:color w:val="000000"/>
          <w:sz w:val="24"/>
          <w:szCs w:val="24"/>
        </w:rPr>
        <w:t xml:space="preserve"> belong to their respective authors from 55 plus different countries. The papershows the top twenty countries with </w:t>
      </w:r>
      <w:r w:rsidR="00646B1D">
        <w:rPr>
          <w:rFonts w:ascii="Times New Roman" w:hAnsi="Times New Roman" w:cs="Times New Roman"/>
          <w:color w:val="000000"/>
          <w:sz w:val="24"/>
          <w:szCs w:val="24"/>
        </w:rPr>
        <w:t xml:space="preserve">a </w:t>
      </w:r>
      <w:r>
        <w:rPr>
          <w:rFonts w:ascii="Times New Roman" w:hAnsi="Times New Roman" w:cs="Times New Roman"/>
          <w:color w:val="000000"/>
          <w:sz w:val="24"/>
          <w:szCs w:val="24"/>
        </w:rPr>
        <w:t xml:space="preserve">maximum number of </w:t>
      </w:r>
      <w:r w:rsidR="00B84FB1">
        <w:rPr>
          <w:rFonts w:ascii="Times New Roman" w:hAnsi="Times New Roman" w:cs="Times New Roman"/>
          <w:color w:val="000000"/>
          <w:sz w:val="24"/>
          <w:szCs w:val="24"/>
        </w:rPr>
        <w:t>studies</w:t>
      </w:r>
      <w:r>
        <w:rPr>
          <w:rFonts w:ascii="Times New Roman" w:hAnsi="Times New Roman" w:cs="Times New Roman"/>
          <w:color w:val="000000"/>
          <w:sz w:val="24"/>
          <w:szCs w:val="24"/>
        </w:rPr>
        <w:t xml:space="preserve"> on risk resilience.  </w:t>
      </w:r>
      <w:r w:rsidR="00646B1D">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United States tops the list with 41% of total </w:t>
      </w:r>
      <w:r w:rsidR="00B84FB1">
        <w:rPr>
          <w:rFonts w:ascii="Times New Roman" w:hAnsi="Times New Roman" w:cs="Times New Roman"/>
          <w:color w:val="000000"/>
          <w:sz w:val="24"/>
          <w:szCs w:val="24"/>
        </w:rPr>
        <w:t>studies</w:t>
      </w:r>
      <w:r>
        <w:rPr>
          <w:rFonts w:ascii="Times New Roman" w:hAnsi="Times New Roman" w:cs="Times New Roman"/>
          <w:color w:val="000000"/>
          <w:sz w:val="24"/>
          <w:szCs w:val="24"/>
        </w:rPr>
        <w:t xml:space="preserve">. Secondly, </w:t>
      </w:r>
      <w:r w:rsidR="00646B1D">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United Kingdom and Canada each have published 10% and 9% </w:t>
      </w:r>
      <w:r w:rsidR="00B84FB1">
        <w:rPr>
          <w:rFonts w:ascii="Times New Roman" w:hAnsi="Times New Roman" w:cs="Times New Roman"/>
          <w:color w:val="000000"/>
          <w:sz w:val="24"/>
          <w:szCs w:val="24"/>
        </w:rPr>
        <w:t>studies</w:t>
      </w:r>
      <w:r>
        <w:rPr>
          <w:rFonts w:ascii="Times New Roman" w:hAnsi="Times New Roman" w:cs="Times New Roman"/>
          <w:color w:val="000000"/>
          <w:sz w:val="24"/>
          <w:szCs w:val="24"/>
        </w:rPr>
        <w:t xml:space="preserve"> respectively. Furthermore,   Australia and China ha</w:t>
      </w:r>
      <w:r w:rsidR="00646B1D">
        <w:rPr>
          <w:rFonts w:ascii="Times New Roman" w:hAnsi="Times New Roman" w:cs="Times New Roman"/>
          <w:color w:val="000000"/>
          <w:sz w:val="24"/>
          <w:szCs w:val="24"/>
        </w:rPr>
        <w:t>ve</w:t>
      </w:r>
      <w:r>
        <w:rPr>
          <w:rFonts w:ascii="Times New Roman" w:hAnsi="Times New Roman" w:cs="Times New Roman"/>
          <w:color w:val="000000"/>
          <w:sz w:val="24"/>
          <w:szCs w:val="24"/>
        </w:rPr>
        <w:t xml:space="preserve"> 7% and 5% respectively </w:t>
      </w:r>
      <w:r w:rsidR="00B84FB1">
        <w:rPr>
          <w:rFonts w:ascii="Times New Roman" w:hAnsi="Times New Roman" w:cs="Times New Roman"/>
          <w:color w:val="000000"/>
          <w:sz w:val="24"/>
          <w:szCs w:val="24"/>
        </w:rPr>
        <w:t>studies</w:t>
      </w:r>
      <w:r>
        <w:rPr>
          <w:rFonts w:ascii="Times New Roman" w:hAnsi="Times New Roman" w:cs="Times New Roman"/>
          <w:color w:val="000000"/>
          <w:sz w:val="24"/>
          <w:szCs w:val="24"/>
        </w:rPr>
        <w:t>.</w:t>
      </w:r>
    </w:p>
    <w:p w:rsidR="001F077F" w:rsidRDefault="001F077F" w:rsidP="007037E1">
      <w:pPr>
        <w:autoSpaceDE w:val="0"/>
        <w:autoSpaceDN w:val="0"/>
        <w:adjustRightInd w:val="0"/>
        <w:spacing w:after="0" w:line="360" w:lineRule="auto"/>
        <w:jc w:val="both"/>
        <w:rPr>
          <w:rFonts w:ascii="Times New Roman" w:hAnsi="Times New Roman" w:cs="Times New Roman"/>
          <w:color w:val="000000"/>
          <w:sz w:val="24"/>
          <w:szCs w:val="24"/>
        </w:rPr>
      </w:pPr>
    </w:p>
    <w:p w:rsidR="007037E1" w:rsidRDefault="004A48C0" w:rsidP="001F077F">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Figure 11</w:t>
      </w:r>
      <w:r w:rsidR="001F077F">
        <w:rPr>
          <w:rFonts w:ascii="Times New Roman" w:hAnsi="Times New Roman" w:cs="Times New Roman"/>
          <w:color w:val="000000"/>
          <w:sz w:val="24"/>
          <w:szCs w:val="24"/>
        </w:rPr>
        <w:t>: Most Prolific Countries</w:t>
      </w:r>
    </w:p>
    <w:p w:rsidR="00B035DF" w:rsidRPr="00B035DF" w:rsidRDefault="004A48C0" w:rsidP="005E43A8">
      <w:pPr>
        <w:spacing w:line="360" w:lineRule="auto"/>
        <w:jc w:val="both"/>
        <w:rPr>
          <w:rFonts w:ascii="Times New Roman" w:hAnsi="Times New Roman" w:cs="Times New Roman"/>
          <w:sz w:val="24"/>
          <w:szCs w:val="24"/>
        </w:rPr>
      </w:pPr>
      <w:r w:rsidRPr="00B035DF">
        <w:rPr>
          <w:rFonts w:ascii="Times New Roman" w:hAnsi="Times New Roman" w:cs="Times New Roman"/>
          <w:noProof/>
          <w:sz w:val="24"/>
          <w:szCs w:val="24"/>
        </w:rPr>
        <w:drawing>
          <wp:inline distT="0" distB="0" distL="0" distR="0">
            <wp:extent cx="5487670" cy="6238875"/>
            <wp:effectExtent l="19050" t="0" r="1778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144B8" w:rsidRPr="00046421" w:rsidRDefault="004A48C0" w:rsidP="00A144B8">
      <w:pPr>
        <w:spacing w:line="360" w:lineRule="auto"/>
        <w:jc w:val="center"/>
        <w:rPr>
          <w:rFonts w:ascii="Times New Roman" w:hAnsi="Times New Roman" w:cs="Times New Roman"/>
          <w:i/>
          <w:sz w:val="24"/>
          <w:szCs w:val="24"/>
        </w:rPr>
      </w:pPr>
      <w:r w:rsidRPr="00046421">
        <w:rPr>
          <w:rFonts w:ascii="Times New Roman" w:hAnsi="Times New Roman" w:cs="Times New Roman"/>
          <w:i/>
          <w:sz w:val="24"/>
          <w:szCs w:val="24"/>
        </w:rPr>
        <w:t>(Source: Scopus Data Base)</w:t>
      </w:r>
    </w:p>
    <w:p w:rsidR="007037E1" w:rsidRDefault="004A48C0" w:rsidP="007037E1">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4.7 AFFLICTION OF AUTHORS </w:t>
      </w:r>
    </w:p>
    <w:p w:rsidR="007037E1" w:rsidRDefault="004A48C0" w:rsidP="007037E1">
      <w:pPr>
        <w:spacing w:line="360" w:lineRule="auto"/>
        <w:jc w:val="both"/>
        <w:rPr>
          <w:rFonts w:ascii="Times New Roman" w:eastAsia="Times New Roman" w:hAnsi="Times New Roman" w:cs="Times New Roman"/>
          <w:color w:val="000000"/>
          <w:sz w:val="24"/>
          <w:szCs w:val="24"/>
          <w:lang w:val="en-US"/>
        </w:rPr>
      </w:pPr>
      <w:r>
        <w:rPr>
          <w:rFonts w:ascii="Times New Roman" w:hAnsi="Times New Roman" w:cs="Times New Roman"/>
          <w:sz w:val="24"/>
          <w:szCs w:val="24"/>
        </w:rPr>
        <w:t xml:space="preserve">The figure shows the affiliation of authors. It has been observed that the maximum number of authors are afflicted Lehigh </w:t>
      </w:r>
      <w:r>
        <w:rPr>
          <w:rFonts w:ascii="Times New Roman" w:eastAsia="Times New Roman" w:hAnsi="Times New Roman" w:cs="Times New Roman"/>
          <w:color w:val="000000"/>
          <w:sz w:val="24"/>
          <w:szCs w:val="24"/>
        </w:rPr>
        <w:t xml:space="preserve">University with 9 in numbers and secondly from </w:t>
      </w:r>
      <w:r w:rsidRPr="007037E1">
        <w:rPr>
          <w:rFonts w:ascii="Times New Roman" w:eastAsia="Times New Roman" w:hAnsi="Times New Roman" w:cs="Times New Roman"/>
          <w:color w:val="000000"/>
          <w:sz w:val="24"/>
          <w:szCs w:val="24"/>
          <w:lang w:val="en-US"/>
        </w:rPr>
        <w:t>Pennsylvania State</w:t>
      </w:r>
      <w:r>
        <w:rPr>
          <w:rFonts w:ascii="Times New Roman" w:eastAsia="Times New Roman" w:hAnsi="Times New Roman" w:cs="Times New Roman"/>
          <w:color w:val="000000"/>
          <w:sz w:val="24"/>
          <w:szCs w:val="24"/>
        </w:rPr>
        <w:t xml:space="preserve"> University, </w:t>
      </w:r>
      <w:r w:rsidR="00646B1D">
        <w:rPr>
          <w:rFonts w:ascii="Times New Roman" w:eastAsia="Times New Roman" w:hAnsi="Times New Roman" w:cs="Times New Roman"/>
          <w:color w:val="000000"/>
          <w:sz w:val="24"/>
          <w:szCs w:val="24"/>
        </w:rPr>
        <w:t>the</w:t>
      </w:r>
      <w:r>
        <w:rPr>
          <w:rFonts w:ascii="Times New Roman" w:eastAsia="Times New Roman" w:hAnsi="Times New Roman" w:cs="Times New Roman"/>
          <w:color w:val="000000"/>
          <w:sz w:val="24"/>
          <w:szCs w:val="24"/>
        </w:rPr>
        <w:t xml:space="preserve"> University of </w:t>
      </w:r>
      <w:r w:rsidRPr="007037E1">
        <w:rPr>
          <w:rFonts w:ascii="Times New Roman" w:eastAsia="Times New Roman" w:hAnsi="Times New Roman" w:cs="Times New Roman"/>
          <w:color w:val="000000"/>
          <w:sz w:val="24"/>
          <w:szCs w:val="24"/>
          <w:lang w:val="en-US"/>
        </w:rPr>
        <w:t>Pennsylvania</w:t>
      </w:r>
      <w:r>
        <w:rPr>
          <w:rFonts w:ascii="Times New Roman" w:eastAsia="Times New Roman" w:hAnsi="Times New Roman" w:cs="Times New Roman"/>
          <w:color w:val="000000"/>
          <w:sz w:val="24"/>
          <w:szCs w:val="24"/>
          <w:lang w:val="en-US"/>
        </w:rPr>
        <w:t>, and the University of Toronto have 7 each.</w:t>
      </w:r>
    </w:p>
    <w:p w:rsidR="000566C0" w:rsidRPr="001F077F" w:rsidRDefault="004A48C0" w:rsidP="001F077F">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Figure 12</w:t>
      </w:r>
      <w:r w:rsidR="001F077F">
        <w:rPr>
          <w:rFonts w:ascii="Times New Roman" w:eastAsia="Times New Roman" w:hAnsi="Times New Roman" w:cs="Times New Roman"/>
          <w:color w:val="000000"/>
          <w:sz w:val="24"/>
          <w:szCs w:val="24"/>
        </w:rPr>
        <w:t>: Affliction of authors</w:t>
      </w:r>
    </w:p>
    <w:p w:rsidR="005E43A8" w:rsidRPr="00B035DF" w:rsidRDefault="004A48C0" w:rsidP="005E43A8">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89751" cy="6313251"/>
            <wp:effectExtent l="19050" t="0" r="15699"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144B8" w:rsidRPr="00046421" w:rsidRDefault="004A48C0" w:rsidP="00A144B8">
      <w:pPr>
        <w:spacing w:line="360" w:lineRule="auto"/>
        <w:jc w:val="center"/>
        <w:rPr>
          <w:rFonts w:ascii="Times New Roman" w:hAnsi="Times New Roman" w:cs="Times New Roman"/>
          <w:i/>
          <w:sz w:val="24"/>
          <w:szCs w:val="24"/>
        </w:rPr>
      </w:pPr>
      <w:r w:rsidRPr="00046421">
        <w:rPr>
          <w:rFonts w:ascii="Times New Roman" w:hAnsi="Times New Roman" w:cs="Times New Roman"/>
          <w:i/>
          <w:sz w:val="24"/>
          <w:szCs w:val="24"/>
        </w:rPr>
        <w:t>(Source: Scopus Data Base)</w:t>
      </w:r>
    </w:p>
    <w:p w:rsidR="005E43A8" w:rsidRPr="00B035DF" w:rsidRDefault="005E43A8" w:rsidP="005E43A8">
      <w:pPr>
        <w:autoSpaceDE w:val="0"/>
        <w:autoSpaceDN w:val="0"/>
        <w:adjustRightInd w:val="0"/>
        <w:spacing w:after="0" w:line="360" w:lineRule="auto"/>
        <w:rPr>
          <w:rFonts w:ascii="Times New Roman" w:hAnsi="Times New Roman" w:cs="Times New Roman"/>
          <w:color w:val="000000"/>
          <w:sz w:val="24"/>
          <w:szCs w:val="24"/>
        </w:rPr>
      </w:pPr>
    </w:p>
    <w:p w:rsidR="005C0F50" w:rsidRPr="004D4FAA" w:rsidRDefault="004A48C0" w:rsidP="005C0F50">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4.8 </w:t>
      </w:r>
      <w:r w:rsidRPr="004D4FAA">
        <w:rPr>
          <w:rFonts w:ascii="Times New Roman" w:hAnsi="Times New Roman" w:cs="Times New Roman"/>
          <w:b/>
          <w:sz w:val="24"/>
          <w:szCs w:val="24"/>
        </w:rPr>
        <w:t>CO-AUTHORSHIP NETWORK MAPPING:</w:t>
      </w:r>
    </w:p>
    <w:p w:rsidR="005C0F50" w:rsidRDefault="004A48C0" w:rsidP="005C0F5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The figure </w:t>
      </w:r>
      <w:r w:rsidRPr="004D4FAA">
        <w:rPr>
          <w:rFonts w:ascii="Times New Roman" w:hAnsi="Times New Roman" w:cs="Times New Roman"/>
          <w:sz w:val="24"/>
          <w:szCs w:val="24"/>
        </w:rPr>
        <w:t>shows the co-authorship network map generated by the VOSviewer software.The figure consists of big and small circles connected with several lines. Thoseauthors who have co-authored with more authors are assigned bigger circles and</w:t>
      </w:r>
      <w:r w:rsidRPr="004D4FAA">
        <w:rPr>
          <w:rFonts w:ascii="Times New Roman" w:hAnsi="Times New Roman" w:cs="Times New Roman"/>
          <w:color w:val="000000"/>
          <w:sz w:val="24"/>
          <w:szCs w:val="24"/>
        </w:rPr>
        <w:t>labels. Th</w:t>
      </w:r>
      <w:r>
        <w:rPr>
          <w:rFonts w:ascii="Times New Roman" w:hAnsi="Times New Roman" w:cs="Times New Roman"/>
          <w:color w:val="000000"/>
          <w:sz w:val="24"/>
          <w:szCs w:val="24"/>
        </w:rPr>
        <w:t>e figureshows the names of the top 29</w:t>
      </w:r>
      <w:r w:rsidRPr="004D4FAA">
        <w:rPr>
          <w:rFonts w:ascii="Times New Roman" w:hAnsi="Times New Roman" w:cs="Times New Roman"/>
          <w:color w:val="000000"/>
          <w:sz w:val="24"/>
          <w:szCs w:val="24"/>
        </w:rPr>
        <w:t xml:space="preserve"> authors, who have co-authored with themaximum number of other authors in the data set.</w:t>
      </w:r>
    </w:p>
    <w:p w:rsidR="001F077F" w:rsidRDefault="004A48C0" w:rsidP="001F077F">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Figure 13: Co-authorship Network Mapping</w:t>
      </w:r>
    </w:p>
    <w:p w:rsidR="00FA33BC" w:rsidRDefault="00FA33BC" w:rsidP="00735A5D">
      <w:pPr>
        <w:autoSpaceDE w:val="0"/>
        <w:autoSpaceDN w:val="0"/>
        <w:adjustRightInd w:val="0"/>
        <w:spacing w:after="0" w:line="360" w:lineRule="auto"/>
        <w:rPr>
          <w:rFonts w:ascii="Times New Roman" w:hAnsi="Times New Roman" w:cs="Times New Roman"/>
          <w:b/>
          <w:sz w:val="28"/>
          <w:szCs w:val="24"/>
        </w:rPr>
      </w:pPr>
    </w:p>
    <w:p w:rsidR="00FA33BC" w:rsidRDefault="004A48C0" w:rsidP="00735A5D">
      <w:pPr>
        <w:autoSpaceDE w:val="0"/>
        <w:autoSpaceDN w:val="0"/>
        <w:adjustRightInd w:val="0"/>
        <w:spacing w:after="0" w:line="360" w:lineRule="auto"/>
        <w:rPr>
          <w:rFonts w:ascii="Times New Roman" w:hAnsi="Times New Roman" w:cs="Times New Roman"/>
          <w:b/>
          <w:sz w:val="28"/>
          <w:szCs w:val="24"/>
        </w:rPr>
      </w:pPr>
      <w:r>
        <w:rPr>
          <w:rFonts w:ascii="Times New Roman" w:hAnsi="Times New Roman" w:cs="Times New Roman"/>
          <w:b/>
          <w:noProof/>
          <w:sz w:val="28"/>
          <w:szCs w:val="24"/>
        </w:rPr>
        <w:drawing>
          <wp:inline distT="0" distB="0" distL="0" distR="0">
            <wp:extent cx="5914822" cy="4141226"/>
            <wp:effectExtent l="19050" t="0" r="0" b="0"/>
            <wp:docPr id="13" name="Picture 2" descr="C:\Users\SAMSUNG\Pictures\Screenshots\Screenshot (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C:\Users\SAMSUNG\Pictures\Screenshots\Screenshot (293).png"/>
                    <pic:cNvPicPr>
                      <a:picLocks noChangeAspect="1" noChangeArrowheads="1"/>
                    </pic:cNvPicPr>
                  </pic:nvPicPr>
                  <pic:blipFill>
                    <a:blip r:embed="rId18"/>
                    <a:stretch>
                      <a:fillRect/>
                    </a:stretch>
                  </pic:blipFill>
                  <pic:spPr bwMode="auto">
                    <a:xfrm>
                      <a:off x="0" y="0"/>
                      <a:ext cx="5922948" cy="4146915"/>
                    </a:xfrm>
                    <a:prstGeom prst="rect">
                      <a:avLst/>
                    </a:prstGeom>
                    <a:noFill/>
                    <a:ln w="9525">
                      <a:noFill/>
                      <a:miter lim="800000"/>
                      <a:headEnd/>
                      <a:tailEnd/>
                    </a:ln>
                  </pic:spPr>
                </pic:pic>
              </a:graphicData>
            </a:graphic>
          </wp:inline>
        </w:drawing>
      </w:r>
    </w:p>
    <w:p w:rsidR="005C0F50" w:rsidRPr="001F077F" w:rsidRDefault="004A48C0" w:rsidP="001F077F">
      <w:pPr>
        <w:autoSpaceDE w:val="0"/>
        <w:autoSpaceDN w:val="0"/>
        <w:adjustRightInd w:val="0"/>
        <w:spacing w:after="0" w:line="360" w:lineRule="auto"/>
        <w:jc w:val="center"/>
        <w:rPr>
          <w:rFonts w:ascii="Times New Roman" w:hAnsi="Times New Roman" w:cs="Times New Roman"/>
          <w:i/>
          <w:sz w:val="24"/>
          <w:szCs w:val="24"/>
        </w:rPr>
      </w:pPr>
      <w:r w:rsidRPr="001F077F">
        <w:rPr>
          <w:rFonts w:ascii="Times New Roman" w:hAnsi="Times New Roman" w:cs="Times New Roman"/>
          <w:i/>
          <w:sz w:val="24"/>
          <w:szCs w:val="24"/>
        </w:rPr>
        <w:t>(Source: VOS viewer)</w:t>
      </w:r>
    </w:p>
    <w:p w:rsidR="005C0F50" w:rsidRDefault="005C0F50" w:rsidP="00735A5D">
      <w:pPr>
        <w:autoSpaceDE w:val="0"/>
        <w:autoSpaceDN w:val="0"/>
        <w:adjustRightInd w:val="0"/>
        <w:spacing w:after="0" w:line="360" w:lineRule="auto"/>
        <w:rPr>
          <w:rFonts w:ascii="Times New Roman" w:hAnsi="Times New Roman" w:cs="Times New Roman"/>
          <w:b/>
          <w:sz w:val="28"/>
          <w:szCs w:val="24"/>
        </w:rPr>
      </w:pPr>
    </w:p>
    <w:p w:rsidR="005C0F50" w:rsidRPr="0012669D" w:rsidRDefault="004A48C0" w:rsidP="00735A5D">
      <w:pPr>
        <w:autoSpaceDE w:val="0"/>
        <w:autoSpaceDN w:val="0"/>
        <w:adjustRightInd w:val="0"/>
        <w:spacing w:after="0" w:line="360" w:lineRule="auto"/>
        <w:rPr>
          <w:rFonts w:ascii="Times New Roman" w:hAnsi="Times New Roman" w:cs="Times New Roman"/>
          <w:b/>
          <w:sz w:val="28"/>
          <w:szCs w:val="24"/>
        </w:rPr>
      </w:pPr>
      <w:r w:rsidRPr="0012669D">
        <w:rPr>
          <w:rFonts w:ascii="Times New Roman" w:hAnsi="Times New Roman" w:cs="Times New Roman"/>
          <w:b/>
          <w:sz w:val="28"/>
          <w:szCs w:val="24"/>
        </w:rPr>
        <w:t>CONCLUSION:</w:t>
      </w:r>
    </w:p>
    <w:p w:rsidR="005C0F50" w:rsidRPr="005C0F50" w:rsidRDefault="005C0F50" w:rsidP="00735A5D">
      <w:pPr>
        <w:autoSpaceDE w:val="0"/>
        <w:autoSpaceDN w:val="0"/>
        <w:adjustRightInd w:val="0"/>
        <w:spacing w:after="0" w:line="360" w:lineRule="auto"/>
        <w:rPr>
          <w:rFonts w:ascii="Times New Roman" w:hAnsi="Times New Roman" w:cs="Times New Roman"/>
          <w:sz w:val="24"/>
          <w:szCs w:val="24"/>
        </w:rPr>
      </w:pPr>
    </w:p>
    <w:p w:rsidR="00646B1D" w:rsidRDefault="004A48C0" w:rsidP="00646B1D">
      <w:pPr>
        <w:autoSpaceDE w:val="0"/>
        <w:autoSpaceDN w:val="0"/>
        <w:adjustRightInd w:val="0"/>
        <w:spacing w:after="0" w:line="360" w:lineRule="auto"/>
        <w:jc w:val="both"/>
        <w:rPr>
          <w:rFonts w:ascii="Times New Roman" w:hAnsi="Times New Roman" w:cs="Times New Roman"/>
          <w:sz w:val="24"/>
          <w:szCs w:val="24"/>
        </w:rPr>
      </w:pPr>
      <w:r w:rsidRPr="00B035DF">
        <w:rPr>
          <w:rFonts w:ascii="Times New Roman" w:hAnsi="Times New Roman" w:cs="Times New Roman"/>
          <w:sz w:val="24"/>
          <w:szCs w:val="24"/>
        </w:rPr>
        <w:t xml:space="preserve">A bibliometric analysis is carried out in this study </w:t>
      </w:r>
      <w:r>
        <w:rPr>
          <w:rFonts w:ascii="Times New Roman" w:hAnsi="Times New Roman" w:cs="Times New Roman"/>
          <w:sz w:val="24"/>
          <w:szCs w:val="24"/>
        </w:rPr>
        <w:t>to analyze</w:t>
      </w:r>
      <w:r w:rsidRPr="00B035DF">
        <w:rPr>
          <w:rFonts w:ascii="Times New Roman" w:hAnsi="Times New Roman" w:cs="Times New Roman"/>
          <w:sz w:val="24"/>
          <w:szCs w:val="24"/>
        </w:rPr>
        <w:t xml:space="preserve"> the research on entrepreneurial competencies from the year 2000 to 2021.</w:t>
      </w:r>
      <w:r>
        <w:rPr>
          <w:rFonts w:ascii="Times New Roman" w:hAnsi="Times New Roman" w:cs="Times New Roman"/>
          <w:sz w:val="24"/>
          <w:szCs w:val="24"/>
        </w:rPr>
        <w:t xml:space="preserve"> The maximum </w:t>
      </w:r>
      <w:r w:rsidR="00F16AC4">
        <w:rPr>
          <w:rFonts w:ascii="Times New Roman" w:hAnsi="Times New Roman" w:cs="Times New Roman"/>
          <w:sz w:val="24"/>
          <w:szCs w:val="24"/>
        </w:rPr>
        <w:t xml:space="preserve">number of </w:t>
      </w:r>
      <w:r w:rsidR="00B84FB1">
        <w:rPr>
          <w:rFonts w:ascii="Times New Roman" w:hAnsi="Times New Roman" w:cs="Times New Roman"/>
          <w:sz w:val="24"/>
          <w:szCs w:val="24"/>
        </w:rPr>
        <w:t>studies</w:t>
      </w:r>
      <w:r w:rsidR="00F16AC4">
        <w:rPr>
          <w:rFonts w:ascii="Times New Roman" w:hAnsi="Times New Roman" w:cs="Times New Roman"/>
          <w:sz w:val="24"/>
          <w:szCs w:val="24"/>
        </w:rPr>
        <w:t xml:space="preserve"> related to Entrepreneurial competencies is</w:t>
      </w:r>
      <w:r>
        <w:rPr>
          <w:rFonts w:ascii="Times New Roman" w:hAnsi="Times New Roman" w:cs="Times New Roman"/>
          <w:sz w:val="24"/>
          <w:szCs w:val="24"/>
        </w:rPr>
        <w:t xml:space="preserve"> in education and training with 12 </w:t>
      </w:r>
      <w:r w:rsidR="00B84FB1">
        <w:rPr>
          <w:rFonts w:ascii="Times New Roman" w:hAnsi="Times New Roman" w:cs="Times New Roman"/>
          <w:sz w:val="24"/>
          <w:szCs w:val="24"/>
        </w:rPr>
        <w:t>studies</w:t>
      </w:r>
      <w:r>
        <w:rPr>
          <w:rFonts w:ascii="Times New Roman" w:hAnsi="Times New Roman" w:cs="Times New Roman"/>
          <w:sz w:val="24"/>
          <w:szCs w:val="24"/>
        </w:rPr>
        <w:t xml:space="preserve">. A maximum paper on entrepreneurial competencies has been published in 2019. Maximum </w:t>
      </w:r>
      <w:r w:rsidR="00B84FB1">
        <w:rPr>
          <w:rFonts w:ascii="Times New Roman" w:hAnsi="Times New Roman" w:cs="Times New Roman"/>
          <w:sz w:val="24"/>
          <w:szCs w:val="24"/>
        </w:rPr>
        <w:t>studies</w:t>
      </w:r>
      <w:r>
        <w:rPr>
          <w:rFonts w:ascii="Times New Roman" w:hAnsi="Times New Roman" w:cs="Times New Roman"/>
          <w:sz w:val="24"/>
          <w:szCs w:val="24"/>
        </w:rPr>
        <w:t xml:space="preserve"> on risk </w:t>
      </w:r>
      <w:r>
        <w:rPr>
          <w:rFonts w:ascii="Times New Roman" w:hAnsi="Times New Roman" w:cs="Times New Roman"/>
          <w:sz w:val="24"/>
          <w:szCs w:val="24"/>
        </w:rPr>
        <w:lastRenderedPageBreak/>
        <w:t xml:space="preserve">resilience have been published in 2020 with 48 </w:t>
      </w:r>
      <w:r w:rsidR="00B84FB1">
        <w:rPr>
          <w:rFonts w:ascii="Times New Roman" w:hAnsi="Times New Roman" w:cs="Times New Roman"/>
          <w:sz w:val="24"/>
          <w:szCs w:val="24"/>
        </w:rPr>
        <w:t>studies</w:t>
      </w:r>
      <w:r>
        <w:rPr>
          <w:rFonts w:ascii="Times New Roman" w:hAnsi="Times New Roman" w:cs="Times New Roman"/>
          <w:sz w:val="24"/>
          <w:szCs w:val="24"/>
        </w:rPr>
        <w:t xml:space="preserve"> and the maximum was published in the US.</w:t>
      </w:r>
    </w:p>
    <w:p w:rsidR="00646B1D" w:rsidRDefault="00646B1D" w:rsidP="00646B1D">
      <w:pPr>
        <w:autoSpaceDE w:val="0"/>
        <w:autoSpaceDN w:val="0"/>
        <w:adjustRightInd w:val="0"/>
        <w:spacing w:after="0" w:line="360" w:lineRule="auto"/>
        <w:jc w:val="both"/>
        <w:rPr>
          <w:rFonts w:ascii="Times New Roman" w:hAnsi="Times New Roman" w:cs="Times New Roman"/>
          <w:sz w:val="24"/>
          <w:szCs w:val="24"/>
        </w:rPr>
      </w:pPr>
    </w:p>
    <w:p w:rsidR="00646B1D" w:rsidRPr="0012669D" w:rsidRDefault="004A48C0" w:rsidP="00646B1D">
      <w:pPr>
        <w:autoSpaceDE w:val="0"/>
        <w:autoSpaceDN w:val="0"/>
        <w:adjustRightInd w:val="0"/>
        <w:spacing w:after="0" w:line="360" w:lineRule="auto"/>
        <w:jc w:val="both"/>
        <w:rPr>
          <w:rFonts w:ascii="Times New Roman" w:hAnsi="Times New Roman" w:cs="Times New Roman"/>
          <w:b/>
          <w:sz w:val="28"/>
          <w:szCs w:val="24"/>
        </w:rPr>
      </w:pPr>
      <w:r w:rsidRPr="0012669D">
        <w:rPr>
          <w:rFonts w:ascii="Times New Roman" w:hAnsi="Times New Roman" w:cs="Times New Roman"/>
          <w:b/>
          <w:sz w:val="28"/>
          <w:szCs w:val="24"/>
        </w:rPr>
        <w:t>REFERENCES:</w:t>
      </w:r>
    </w:p>
    <w:p w:rsidR="00F16AC4" w:rsidRPr="00F16AC4" w:rsidRDefault="00F16AC4" w:rsidP="00646B1D">
      <w:pPr>
        <w:autoSpaceDE w:val="0"/>
        <w:autoSpaceDN w:val="0"/>
        <w:adjustRightInd w:val="0"/>
        <w:spacing w:after="0" w:line="360" w:lineRule="auto"/>
        <w:jc w:val="both"/>
        <w:rPr>
          <w:rFonts w:ascii="Times New Roman" w:hAnsi="Times New Roman" w:cs="Times New Roman"/>
          <w:b/>
          <w:sz w:val="24"/>
          <w:szCs w:val="24"/>
        </w:rPr>
      </w:pPr>
    </w:p>
    <w:p w:rsidR="00F16AC4" w:rsidRPr="00F16AC4" w:rsidRDefault="00162C79" w:rsidP="0012669D">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Pr>
          <w:rFonts w:ascii="Times New Roman" w:hAnsi="Times New Roman" w:cs="Times New Roman"/>
          <w:sz w:val="24"/>
          <w:szCs w:val="24"/>
        </w:rPr>
        <w:fldChar w:fldCharType="begin" w:fldLock="1"/>
      </w:r>
      <w:r w:rsidR="004A48C0">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4A48C0" w:rsidRPr="00F16AC4">
        <w:rPr>
          <w:rFonts w:ascii="Times New Roman" w:hAnsi="Times New Roman" w:cs="Times New Roman"/>
          <w:noProof/>
          <w:sz w:val="24"/>
          <w:szCs w:val="24"/>
        </w:rPr>
        <w:t xml:space="preserve">Al Mamun, A., &amp; Fazal, S. A. (2018). Effect of entrepreneurial orientation on competency and micro-enterprise performance. </w:t>
      </w:r>
      <w:r w:rsidR="004A48C0" w:rsidRPr="00F16AC4">
        <w:rPr>
          <w:rFonts w:ascii="Times New Roman" w:hAnsi="Times New Roman" w:cs="Times New Roman"/>
          <w:i/>
          <w:iCs/>
          <w:noProof/>
          <w:sz w:val="24"/>
          <w:szCs w:val="24"/>
        </w:rPr>
        <w:t>Asia Pacific Journal of Innovation and Entrepreneurship</w:t>
      </w:r>
      <w:r w:rsidR="004A48C0" w:rsidRPr="00F16AC4">
        <w:rPr>
          <w:rFonts w:ascii="Times New Roman" w:hAnsi="Times New Roman" w:cs="Times New Roman"/>
          <w:noProof/>
          <w:sz w:val="24"/>
          <w:szCs w:val="24"/>
        </w:rPr>
        <w:t xml:space="preserve">, </w:t>
      </w:r>
      <w:r w:rsidR="004A48C0" w:rsidRPr="00F16AC4">
        <w:rPr>
          <w:rFonts w:ascii="Times New Roman" w:hAnsi="Times New Roman" w:cs="Times New Roman"/>
          <w:i/>
          <w:iCs/>
          <w:noProof/>
          <w:sz w:val="24"/>
          <w:szCs w:val="24"/>
        </w:rPr>
        <w:t>12</w:t>
      </w:r>
      <w:r w:rsidR="004A48C0" w:rsidRPr="00F16AC4">
        <w:rPr>
          <w:rFonts w:ascii="Times New Roman" w:hAnsi="Times New Roman" w:cs="Times New Roman"/>
          <w:noProof/>
          <w:sz w:val="24"/>
          <w:szCs w:val="24"/>
        </w:rPr>
        <w:t>(3), 379–398. https://doi.org/10.1108/apjie-05-2018-0033</w:t>
      </w:r>
    </w:p>
    <w:p w:rsidR="00F16AC4" w:rsidRPr="00F16AC4" w:rsidRDefault="004A48C0" w:rsidP="0012669D">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16AC4">
        <w:rPr>
          <w:rFonts w:ascii="Times New Roman" w:hAnsi="Times New Roman" w:cs="Times New Roman"/>
          <w:noProof/>
          <w:sz w:val="24"/>
          <w:szCs w:val="24"/>
        </w:rPr>
        <w:t xml:space="preserve">Belsky, J., &amp; Pluess, M. (2013). Beyond risk, resilience, and dysregulation: Phenotypic plasticity and human development. </w:t>
      </w:r>
      <w:r w:rsidRPr="00F16AC4">
        <w:rPr>
          <w:rFonts w:ascii="Times New Roman" w:hAnsi="Times New Roman" w:cs="Times New Roman"/>
          <w:i/>
          <w:iCs/>
          <w:noProof/>
          <w:sz w:val="24"/>
          <w:szCs w:val="24"/>
        </w:rPr>
        <w:t>Development and Psychopathology</w:t>
      </w:r>
      <w:r w:rsidRPr="00F16AC4">
        <w:rPr>
          <w:rFonts w:ascii="Times New Roman" w:hAnsi="Times New Roman" w:cs="Times New Roman"/>
          <w:noProof/>
          <w:sz w:val="24"/>
          <w:szCs w:val="24"/>
        </w:rPr>
        <w:t xml:space="preserve">, </w:t>
      </w:r>
      <w:r w:rsidRPr="00F16AC4">
        <w:rPr>
          <w:rFonts w:ascii="Times New Roman" w:hAnsi="Times New Roman" w:cs="Times New Roman"/>
          <w:i/>
          <w:iCs/>
          <w:noProof/>
          <w:sz w:val="24"/>
          <w:szCs w:val="24"/>
        </w:rPr>
        <w:t>25</w:t>
      </w:r>
      <w:r w:rsidRPr="00F16AC4">
        <w:rPr>
          <w:rFonts w:ascii="Times New Roman" w:hAnsi="Times New Roman" w:cs="Times New Roman"/>
          <w:noProof/>
          <w:sz w:val="24"/>
          <w:szCs w:val="24"/>
        </w:rPr>
        <w:t>(4 PART 2), 1243–1261. https://doi.org/10.1017/S095457941300059X</w:t>
      </w:r>
    </w:p>
    <w:p w:rsidR="00F16AC4" w:rsidRPr="00F16AC4" w:rsidRDefault="004A48C0" w:rsidP="0012669D">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16AC4">
        <w:rPr>
          <w:rFonts w:ascii="Times New Roman" w:hAnsi="Times New Roman" w:cs="Times New Roman"/>
          <w:noProof/>
          <w:sz w:val="24"/>
          <w:szCs w:val="24"/>
        </w:rPr>
        <w:t xml:space="preserve">Bhardwaj, A. (2016). Assessing planning and administration competency of working managers: A preliminary study. </w:t>
      </w:r>
      <w:r w:rsidRPr="00F16AC4">
        <w:rPr>
          <w:rFonts w:ascii="Times New Roman" w:hAnsi="Times New Roman" w:cs="Times New Roman"/>
          <w:i/>
          <w:iCs/>
          <w:noProof/>
          <w:sz w:val="24"/>
          <w:szCs w:val="24"/>
        </w:rPr>
        <w:t>International Journal of Advanced Research in Management and Social Sciences</w:t>
      </w:r>
      <w:r w:rsidRPr="00F16AC4">
        <w:rPr>
          <w:rFonts w:ascii="Times New Roman" w:hAnsi="Times New Roman" w:cs="Times New Roman"/>
          <w:noProof/>
          <w:sz w:val="24"/>
          <w:szCs w:val="24"/>
        </w:rPr>
        <w:t xml:space="preserve">, </w:t>
      </w:r>
      <w:r w:rsidRPr="00F16AC4">
        <w:rPr>
          <w:rFonts w:ascii="Times New Roman" w:hAnsi="Times New Roman" w:cs="Times New Roman"/>
          <w:i/>
          <w:iCs/>
          <w:noProof/>
          <w:sz w:val="24"/>
          <w:szCs w:val="24"/>
        </w:rPr>
        <w:t>5</w:t>
      </w:r>
      <w:r w:rsidRPr="00F16AC4">
        <w:rPr>
          <w:rFonts w:ascii="Times New Roman" w:hAnsi="Times New Roman" w:cs="Times New Roman"/>
          <w:noProof/>
          <w:sz w:val="24"/>
          <w:szCs w:val="24"/>
        </w:rPr>
        <w:t>(7), 46–56.</w:t>
      </w:r>
      <w:r w:rsidR="0012669D" w:rsidRPr="0012669D">
        <w:rPr>
          <w:rFonts w:ascii="Times New Roman" w:hAnsi="Times New Roman" w:cs="Times New Roman"/>
          <w:noProof/>
          <w:sz w:val="24"/>
          <w:szCs w:val="24"/>
        </w:rPr>
        <w:t>https://www.indianjournals.com/ijor.aspx?target=ijor:ijarmss&amp;volume=5&amp;issue=7&amp;article=006</w:t>
      </w:r>
    </w:p>
    <w:p w:rsidR="00F16AC4" w:rsidRPr="00F16AC4" w:rsidRDefault="004A48C0" w:rsidP="0012669D">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16AC4">
        <w:rPr>
          <w:rFonts w:ascii="Times New Roman" w:hAnsi="Times New Roman" w:cs="Times New Roman"/>
          <w:noProof/>
          <w:sz w:val="24"/>
          <w:szCs w:val="24"/>
        </w:rPr>
        <w:t xml:space="preserve">Bloemer, J., Pluymaekers, M., &amp; Odekerken, A. (2013). Trust and affective commitment as energizing forces for export performance. </w:t>
      </w:r>
      <w:r w:rsidRPr="00F16AC4">
        <w:rPr>
          <w:rFonts w:ascii="Times New Roman" w:hAnsi="Times New Roman" w:cs="Times New Roman"/>
          <w:i/>
          <w:iCs/>
          <w:noProof/>
          <w:sz w:val="24"/>
          <w:szCs w:val="24"/>
        </w:rPr>
        <w:t>International Business Review</w:t>
      </w:r>
      <w:r w:rsidRPr="00F16AC4">
        <w:rPr>
          <w:rFonts w:ascii="Times New Roman" w:hAnsi="Times New Roman" w:cs="Times New Roman"/>
          <w:noProof/>
          <w:sz w:val="24"/>
          <w:szCs w:val="24"/>
        </w:rPr>
        <w:t xml:space="preserve">, </w:t>
      </w:r>
      <w:r w:rsidRPr="00F16AC4">
        <w:rPr>
          <w:rFonts w:ascii="Times New Roman" w:hAnsi="Times New Roman" w:cs="Times New Roman"/>
          <w:i/>
          <w:iCs/>
          <w:noProof/>
          <w:sz w:val="24"/>
          <w:szCs w:val="24"/>
        </w:rPr>
        <w:t>22</w:t>
      </w:r>
      <w:r w:rsidRPr="00F16AC4">
        <w:rPr>
          <w:rFonts w:ascii="Times New Roman" w:hAnsi="Times New Roman" w:cs="Times New Roman"/>
          <w:noProof/>
          <w:sz w:val="24"/>
          <w:szCs w:val="24"/>
        </w:rPr>
        <w:t>(2), 363–380. https://doi.org/10.1016/j.ibusrev.2012.05.002</w:t>
      </w:r>
    </w:p>
    <w:p w:rsidR="00F16AC4" w:rsidRPr="00F16AC4" w:rsidRDefault="004A48C0" w:rsidP="0012669D">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16AC4">
        <w:rPr>
          <w:rFonts w:ascii="Times New Roman" w:hAnsi="Times New Roman" w:cs="Times New Roman"/>
          <w:noProof/>
          <w:sz w:val="24"/>
          <w:szCs w:val="24"/>
        </w:rPr>
        <w:t xml:space="preserve">Botha, M., Carruthers, T. J., &amp; Venter, M. W. (2019). The relationship between entrepreneurial competencies and the recurring entrepreneurial intention and action of existing entrepreneurs. </w:t>
      </w:r>
      <w:r w:rsidRPr="00F16AC4">
        <w:rPr>
          <w:rFonts w:ascii="Times New Roman" w:hAnsi="Times New Roman" w:cs="Times New Roman"/>
          <w:i/>
          <w:iCs/>
          <w:noProof/>
          <w:sz w:val="24"/>
          <w:szCs w:val="24"/>
        </w:rPr>
        <w:t>The Southern African Journal of Entrepreneurship and Small Business Management</w:t>
      </w:r>
      <w:r w:rsidRPr="00F16AC4">
        <w:rPr>
          <w:rFonts w:ascii="Times New Roman" w:hAnsi="Times New Roman" w:cs="Times New Roman"/>
          <w:noProof/>
          <w:sz w:val="24"/>
          <w:szCs w:val="24"/>
        </w:rPr>
        <w:t xml:space="preserve">, </w:t>
      </w:r>
      <w:r w:rsidRPr="00F16AC4">
        <w:rPr>
          <w:rFonts w:ascii="Times New Roman" w:hAnsi="Times New Roman" w:cs="Times New Roman"/>
          <w:i/>
          <w:iCs/>
          <w:noProof/>
          <w:sz w:val="24"/>
          <w:szCs w:val="24"/>
        </w:rPr>
        <w:t>11</w:t>
      </w:r>
      <w:r w:rsidRPr="00F16AC4">
        <w:rPr>
          <w:rFonts w:ascii="Times New Roman" w:hAnsi="Times New Roman" w:cs="Times New Roman"/>
          <w:noProof/>
          <w:sz w:val="24"/>
          <w:szCs w:val="24"/>
        </w:rPr>
        <w:t>(1), 1–15. https://doi.org/10.4102/sajesbm.v11i1.191</w:t>
      </w:r>
    </w:p>
    <w:p w:rsidR="00F16AC4" w:rsidRPr="00F16AC4" w:rsidRDefault="004A48C0" w:rsidP="0012669D">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16AC4">
        <w:rPr>
          <w:rFonts w:ascii="Times New Roman" w:hAnsi="Times New Roman" w:cs="Times New Roman"/>
          <w:noProof/>
          <w:sz w:val="24"/>
          <w:szCs w:val="24"/>
        </w:rPr>
        <w:t xml:space="preserve">Botha, M., &amp; Taljaard, A. (2019). The bidirectional relationship between entrepreneurial intention and entrepreneurial competencies for nascent and existing entrepreneurs. </w:t>
      </w:r>
      <w:r w:rsidRPr="00F16AC4">
        <w:rPr>
          <w:rFonts w:ascii="Times New Roman" w:hAnsi="Times New Roman" w:cs="Times New Roman"/>
          <w:i/>
          <w:iCs/>
          <w:noProof/>
          <w:sz w:val="24"/>
          <w:szCs w:val="24"/>
        </w:rPr>
        <w:t>South African Journal of Economic and Management Sciences</w:t>
      </w:r>
      <w:r w:rsidRPr="00F16AC4">
        <w:rPr>
          <w:rFonts w:ascii="Times New Roman" w:hAnsi="Times New Roman" w:cs="Times New Roman"/>
          <w:noProof/>
          <w:sz w:val="24"/>
          <w:szCs w:val="24"/>
        </w:rPr>
        <w:t xml:space="preserve">, </w:t>
      </w:r>
      <w:r w:rsidRPr="00F16AC4">
        <w:rPr>
          <w:rFonts w:ascii="Times New Roman" w:hAnsi="Times New Roman" w:cs="Times New Roman"/>
          <w:i/>
          <w:iCs/>
          <w:noProof/>
          <w:sz w:val="24"/>
          <w:szCs w:val="24"/>
        </w:rPr>
        <w:t>22</w:t>
      </w:r>
      <w:r w:rsidRPr="00F16AC4">
        <w:rPr>
          <w:rFonts w:ascii="Times New Roman" w:hAnsi="Times New Roman" w:cs="Times New Roman"/>
          <w:noProof/>
          <w:sz w:val="24"/>
          <w:szCs w:val="24"/>
        </w:rPr>
        <w:t>(1), 1–12. https://doi.org/10.4102/sajems.v22i1.2230</w:t>
      </w:r>
    </w:p>
    <w:p w:rsidR="00F16AC4" w:rsidRPr="00F16AC4" w:rsidRDefault="004A48C0" w:rsidP="0012669D">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16AC4">
        <w:rPr>
          <w:rFonts w:ascii="Times New Roman" w:hAnsi="Times New Roman" w:cs="Times New Roman"/>
          <w:noProof/>
          <w:sz w:val="24"/>
          <w:szCs w:val="24"/>
        </w:rPr>
        <w:t xml:space="preserve">Cortellazzo, L., Bonesso, S., &amp; Gerli, F. (2020). Entrepreneurs' behavioral competencies for internationalization: Exploratory insights from the Italian context. </w:t>
      </w:r>
      <w:r w:rsidRPr="00F16AC4">
        <w:rPr>
          <w:rFonts w:ascii="Times New Roman" w:hAnsi="Times New Roman" w:cs="Times New Roman"/>
          <w:i/>
          <w:iCs/>
          <w:noProof/>
          <w:sz w:val="24"/>
          <w:szCs w:val="24"/>
        </w:rPr>
        <w:t>International Journal of Entrepreneurial Behaviour and Research</w:t>
      </w:r>
      <w:r w:rsidRPr="00F16AC4">
        <w:rPr>
          <w:rFonts w:ascii="Times New Roman" w:hAnsi="Times New Roman" w:cs="Times New Roman"/>
          <w:noProof/>
          <w:sz w:val="24"/>
          <w:szCs w:val="24"/>
        </w:rPr>
        <w:t xml:space="preserve">, </w:t>
      </w:r>
      <w:r w:rsidRPr="00F16AC4">
        <w:rPr>
          <w:rFonts w:ascii="Times New Roman" w:hAnsi="Times New Roman" w:cs="Times New Roman"/>
          <w:i/>
          <w:iCs/>
          <w:noProof/>
          <w:sz w:val="24"/>
          <w:szCs w:val="24"/>
        </w:rPr>
        <w:t>26</w:t>
      </w:r>
      <w:r w:rsidRPr="00F16AC4">
        <w:rPr>
          <w:rFonts w:ascii="Times New Roman" w:hAnsi="Times New Roman" w:cs="Times New Roman"/>
          <w:noProof/>
          <w:sz w:val="24"/>
          <w:szCs w:val="24"/>
        </w:rPr>
        <w:t>(4), 723–747. https://doi.org/10.1108/IJEBR-12-2018-0806</w:t>
      </w:r>
    </w:p>
    <w:p w:rsidR="00F16AC4" w:rsidRPr="00F16AC4" w:rsidRDefault="004A48C0" w:rsidP="0012669D">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16AC4">
        <w:rPr>
          <w:rFonts w:ascii="Times New Roman" w:hAnsi="Times New Roman" w:cs="Times New Roman"/>
          <w:noProof/>
          <w:sz w:val="24"/>
          <w:szCs w:val="24"/>
        </w:rPr>
        <w:t xml:space="preserve">Enoch, M. A. (2006). Genetic and environmental influences on the development of alcoholism: Resilience vs. risk. </w:t>
      </w:r>
      <w:r w:rsidRPr="00F16AC4">
        <w:rPr>
          <w:rFonts w:ascii="Times New Roman" w:hAnsi="Times New Roman" w:cs="Times New Roman"/>
          <w:i/>
          <w:iCs/>
          <w:noProof/>
          <w:sz w:val="24"/>
          <w:szCs w:val="24"/>
        </w:rPr>
        <w:t>Annals of the New York Academy of Sciences</w:t>
      </w:r>
      <w:r w:rsidRPr="00F16AC4">
        <w:rPr>
          <w:rFonts w:ascii="Times New Roman" w:hAnsi="Times New Roman" w:cs="Times New Roman"/>
          <w:noProof/>
          <w:sz w:val="24"/>
          <w:szCs w:val="24"/>
        </w:rPr>
        <w:t xml:space="preserve">, </w:t>
      </w:r>
      <w:r w:rsidRPr="00F16AC4">
        <w:rPr>
          <w:rFonts w:ascii="Times New Roman" w:hAnsi="Times New Roman" w:cs="Times New Roman"/>
          <w:i/>
          <w:iCs/>
          <w:noProof/>
          <w:sz w:val="24"/>
          <w:szCs w:val="24"/>
        </w:rPr>
        <w:t>1094</w:t>
      </w:r>
      <w:r w:rsidRPr="00F16AC4">
        <w:rPr>
          <w:rFonts w:ascii="Times New Roman" w:hAnsi="Times New Roman" w:cs="Times New Roman"/>
          <w:noProof/>
          <w:sz w:val="24"/>
          <w:szCs w:val="24"/>
        </w:rPr>
        <w:t xml:space="preserve">, </w:t>
      </w:r>
      <w:r w:rsidRPr="00F16AC4">
        <w:rPr>
          <w:rFonts w:ascii="Times New Roman" w:hAnsi="Times New Roman" w:cs="Times New Roman"/>
          <w:noProof/>
          <w:sz w:val="24"/>
          <w:szCs w:val="24"/>
        </w:rPr>
        <w:lastRenderedPageBreak/>
        <w:t>193–201. https://doi.org/10.1196/annals.1376.019</w:t>
      </w:r>
    </w:p>
    <w:p w:rsidR="00F16AC4" w:rsidRPr="00F16AC4" w:rsidRDefault="004A48C0" w:rsidP="0012669D">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16AC4">
        <w:rPr>
          <w:rFonts w:ascii="Times New Roman" w:hAnsi="Times New Roman" w:cs="Times New Roman"/>
          <w:noProof/>
          <w:sz w:val="24"/>
          <w:szCs w:val="24"/>
        </w:rPr>
        <w:t xml:space="preserve">Enoch, M. A. (2012). The influence of gene-environment interactions on the development of alcoholism and drug dependence. </w:t>
      </w:r>
      <w:r w:rsidRPr="00F16AC4">
        <w:rPr>
          <w:rFonts w:ascii="Times New Roman" w:hAnsi="Times New Roman" w:cs="Times New Roman"/>
          <w:i/>
          <w:iCs/>
          <w:noProof/>
          <w:sz w:val="24"/>
          <w:szCs w:val="24"/>
        </w:rPr>
        <w:t>Current Psychiatry Reports</w:t>
      </w:r>
      <w:r w:rsidRPr="00F16AC4">
        <w:rPr>
          <w:rFonts w:ascii="Times New Roman" w:hAnsi="Times New Roman" w:cs="Times New Roman"/>
          <w:noProof/>
          <w:sz w:val="24"/>
          <w:szCs w:val="24"/>
        </w:rPr>
        <w:t xml:space="preserve">, </w:t>
      </w:r>
      <w:r w:rsidRPr="00F16AC4">
        <w:rPr>
          <w:rFonts w:ascii="Times New Roman" w:hAnsi="Times New Roman" w:cs="Times New Roman"/>
          <w:i/>
          <w:iCs/>
          <w:noProof/>
          <w:sz w:val="24"/>
          <w:szCs w:val="24"/>
        </w:rPr>
        <w:t>14</w:t>
      </w:r>
      <w:r w:rsidRPr="00F16AC4">
        <w:rPr>
          <w:rFonts w:ascii="Times New Roman" w:hAnsi="Times New Roman" w:cs="Times New Roman"/>
          <w:noProof/>
          <w:sz w:val="24"/>
          <w:szCs w:val="24"/>
        </w:rPr>
        <w:t>(2), 150–158. https://doi.org/10.1007/s11920-011-0252-9</w:t>
      </w:r>
    </w:p>
    <w:p w:rsidR="00F16AC4" w:rsidRPr="00F16AC4" w:rsidRDefault="004A48C0" w:rsidP="0012669D">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16AC4">
        <w:rPr>
          <w:rFonts w:ascii="Times New Roman" w:hAnsi="Times New Roman" w:cs="Times New Roman"/>
          <w:noProof/>
          <w:sz w:val="24"/>
          <w:szCs w:val="24"/>
        </w:rPr>
        <w:t xml:space="preserve">Enoch, M. A., Hodgkinson, C. A., Yuan, Q., Shen, P. H., Goldman, D., &amp; Roy, A. (2010). The Influence of GABRA2, Childhood Trauma, and Their Interaction on Alcohol, Heroin, and Cocaine Dependence. </w:t>
      </w:r>
      <w:r w:rsidRPr="00F16AC4">
        <w:rPr>
          <w:rFonts w:ascii="Times New Roman" w:hAnsi="Times New Roman" w:cs="Times New Roman"/>
          <w:i/>
          <w:iCs/>
          <w:noProof/>
          <w:sz w:val="24"/>
          <w:szCs w:val="24"/>
        </w:rPr>
        <w:t>Biological Psychiatry</w:t>
      </w:r>
      <w:r w:rsidRPr="00F16AC4">
        <w:rPr>
          <w:rFonts w:ascii="Times New Roman" w:hAnsi="Times New Roman" w:cs="Times New Roman"/>
          <w:noProof/>
          <w:sz w:val="24"/>
          <w:szCs w:val="24"/>
        </w:rPr>
        <w:t xml:space="preserve">, </w:t>
      </w:r>
      <w:r w:rsidRPr="00F16AC4">
        <w:rPr>
          <w:rFonts w:ascii="Times New Roman" w:hAnsi="Times New Roman" w:cs="Times New Roman"/>
          <w:i/>
          <w:iCs/>
          <w:noProof/>
          <w:sz w:val="24"/>
          <w:szCs w:val="24"/>
        </w:rPr>
        <w:t>67</w:t>
      </w:r>
      <w:r w:rsidRPr="00F16AC4">
        <w:rPr>
          <w:rFonts w:ascii="Times New Roman" w:hAnsi="Times New Roman" w:cs="Times New Roman"/>
          <w:noProof/>
          <w:sz w:val="24"/>
          <w:szCs w:val="24"/>
        </w:rPr>
        <w:t>(1), 20–27. https://doi.org/10.1016/j.biopsych.2009.08.019</w:t>
      </w:r>
    </w:p>
    <w:p w:rsidR="00F16AC4" w:rsidRPr="00F16AC4" w:rsidRDefault="004A48C0" w:rsidP="0012669D">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16AC4">
        <w:rPr>
          <w:rFonts w:ascii="Times New Roman" w:hAnsi="Times New Roman" w:cs="Times New Roman"/>
          <w:noProof/>
          <w:sz w:val="24"/>
          <w:szCs w:val="24"/>
        </w:rPr>
        <w:t xml:space="preserve">Escamilla-Fajardo, P., Parra-Camacho, D., &amp; Núñez-Pomar, J. M. (2021). Entrepreneurship and resilience in Spanish sports clubs: A cluster analysis. </w:t>
      </w:r>
      <w:r w:rsidRPr="00F16AC4">
        <w:rPr>
          <w:rFonts w:ascii="Times New Roman" w:hAnsi="Times New Roman" w:cs="Times New Roman"/>
          <w:i/>
          <w:iCs/>
          <w:noProof/>
          <w:sz w:val="24"/>
          <w:szCs w:val="24"/>
        </w:rPr>
        <w:t>International Journal of Environmental Research and Public Health</w:t>
      </w:r>
      <w:r w:rsidRPr="00F16AC4">
        <w:rPr>
          <w:rFonts w:ascii="Times New Roman" w:hAnsi="Times New Roman" w:cs="Times New Roman"/>
          <w:noProof/>
          <w:sz w:val="24"/>
          <w:szCs w:val="24"/>
        </w:rPr>
        <w:t xml:space="preserve">, </w:t>
      </w:r>
      <w:r w:rsidRPr="00F16AC4">
        <w:rPr>
          <w:rFonts w:ascii="Times New Roman" w:hAnsi="Times New Roman" w:cs="Times New Roman"/>
          <w:i/>
          <w:iCs/>
          <w:noProof/>
          <w:sz w:val="24"/>
          <w:szCs w:val="24"/>
        </w:rPr>
        <w:t>18</w:t>
      </w:r>
      <w:r w:rsidRPr="00F16AC4">
        <w:rPr>
          <w:rFonts w:ascii="Times New Roman" w:hAnsi="Times New Roman" w:cs="Times New Roman"/>
          <w:noProof/>
          <w:sz w:val="24"/>
          <w:szCs w:val="24"/>
        </w:rPr>
        <w:t>(10). https://doi.org/10.3390/ijerph18105142</w:t>
      </w:r>
    </w:p>
    <w:p w:rsidR="00F16AC4" w:rsidRPr="00F16AC4" w:rsidRDefault="004A48C0" w:rsidP="0012669D">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16AC4">
        <w:rPr>
          <w:rFonts w:ascii="Times New Roman" w:hAnsi="Times New Roman" w:cs="Times New Roman"/>
          <w:noProof/>
          <w:sz w:val="24"/>
          <w:szCs w:val="24"/>
        </w:rPr>
        <w:t xml:space="preserve">Frangopol, D. M., Dong, Y., &amp; Sabatino, S. (2017). Bridge life-cycle performance and cost: analysis, prediction, optimization, and decision-making. </w:t>
      </w:r>
      <w:r w:rsidRPr="00F16AC4">
        <w:rPr>
          <w:rFonts w:ascii="Times New Roman" w:hAnsi="Times New Roman" w:cs="Times New Roman"/>
          <w:i/>
          <w:iCs/>
          <w:noProof/>
          <w:sz w:val="24"/>
          <w:szCs w:val="24"/>
        </w:rPr>
        <w:t>Structure and Infrastructure Engineering</w:t>
      </w:r>
      <w:r w:rsidRPr="00F16AC4">
        <w:rPr>
          <w:rFonts w:ascii="Times New Roman" w:hAnsi="Times New Roman" w:cs="Times New Roman"/>
          <w:noProof/>
          <w:sz w:val="24"/>
          <w:szCs w:val="24"/>
        </w:rPr>
        <w:t xml:space="preserve">, </w:t>
      </w:r>
      <w:r w:rsidRPr="00F16AC4">
        <w:rPr>
          <w:rFonts w:ascii="Times New Roman" w:hAnsi="Times New Roman" w:cs="Times New Roman"/>
          <w:i/>
          <w:iCs/>
          <w:noProof/>
          <w:sz w:val="24"/>
          <w:szCs w:val="24"/>
        </w:rPr>
        <w:t>13</w:t>
      </w:r>
      <w:r w:rsidRPr="00F16AC4">
        <w:rPr>
          <w:rFonts w:ascii="Times New Roman" w:hAnsi="Times New Roman" w:cs="Times New Roman"/>
          <w:noProof/>
          <w:sz w:val="24"/>
          <w:szCs w:val="24"/>
        </w:rPr>
        <w:t>(10), 1239–1257. https://doi.org/10.1080/15732479.2016.1267772</w:t>
      </w:r>
    </w:p>
    <w:p w:rsidR="00F16AC4" w:rsidRPr="00F16AC4" w:rsidRDefault="004A48C0" w:rsidP="0012669D">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16AC4">
        <w:rPr>
          <w:rFonts w:ascii="Times New Roman" w:hAnsi="Times New Roman" w:cs="Times New Roman"/>
          <w:noProof/>
          <w:sz w:val="24"/>
          <w:szCs w:val="24"/>
        </w:rPr>
        <w:t xml:space="preserve">Frangopol, D. M., &amp; Soliman, M. (2016). Life-cycle of structural systems: recent achievements and future directions. </w:t>
      </w:r>
      <w:r w:rsidRPr="00F16AC4">
        <w:rPr>
          <w:rFonts w:ascii="Times New Roman" w:hAnsi="Times New Roman" w:cs="Times New Roman"/>
          <w:i/>
          <w:iCs/>
          <w:noProof/>
          <w:sz w:val="24"/>
          <w:szCs w:val="24"/>
        </w:rPr>
        <w:t>Structure and Infrastructure Engineering</w:t>
      </w:r>
      <w:r w:rsidRPr="00F16AC4">
        <w:rPr>
          <w:rFonts w:ascii="Times New Roman" w:hAnsi="Times New Roman" w:cs="Times New Roman"/>
          <w:noProof/>
          <w:sz w:val="24"/>
          <w:szCs w:val="24"/>
        </w:rPr>
        <w:t xml:space="preserve">, </w:t>
      </w:r>
      <w:r w:rsidRPr="00F16AC4">
        <w:rPr>
          <w:rFonts w:ascii="Times New Roman" w:hAnsi="Times New Roman" w:cs="Times New Roman"/>
          <w:i/>
          <w:iCs/>
          <w:noProof/>
          <w:sz w:val="24"/>
          <w:szCs w:val="24"/>
        </w:rPr>
        <w:t>12</w:t>
      </w:r>
      <w:r w:rsidRPr="00F16AC4">
        <w:rPr>
          <w:rFonts w:ascii="Times New Roman" w:hAnsi="Times New Roman" w:cs="Times New Roman"/>
          <w:noProof/>
          <w:sz w:val="24"/>
          <w:szCs w:val="24"/>
        </w:rPr>
        <w:t>(1), 1–20. https://doi.org/10.1080/15732479.2014.999794</w:t>
      </w:r>
    </w:p>
    <w:p w:rsidR="00F16AC4" w:rsidRPr="00F16AC4" w:rsidRDefault="004A48C0" w:rsidP="0012669D">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16AC4">
        <w:rPr>
          <w:rFonts w:ascii="Times New Roman" w:hAnsi="Times New Roman" w:cs="Times New Roman"/>
          <w:noProof/>
          <w:sz w:val="24"/>
          <w:szCs w:val="24"/>
        </w:rPr>
        <w:t xml:space="preserve">Gee, D. G., &amp; Casey, B. J. (2015). The impact of developmental timing for stress and recovery. </w:t>
      </w:r>
      <w:r w:rsidRPr="00F16AC4">
        <w:rPr>
          <w:rFonts w:ascii="Times New Roman" w:hAnsi="Times New Roman" w:cs="Times New Roman"/>
          <w:i/>
          <w:iCs/>
          <w:noProof/>
          <w:sz w:val="24"/>
          <w:szCs w:val="24"/>
        </w:rPr>
        <w:t>Neurobiology of Stress</w:t>
      </w:r>
      <w:r w:rsidRPr="00F16AC4">
        <w:rPr>
          <w:rFonts w:ascii="Times New Roman" w:hAnsi="Times New Roman" w:cs="Times New Roman"/>
          <w:noProof/>
          <w:sz w:val="24"/>
          <w:szCs w:val="24"/>
        </w:rPr>
        <w:t xml:space="preserve">, </w:t>
      </w:r>
      <w:r w:rsidRPr="00F16AC4">
        <w:rPr>
          <w:rFonts w:ascii="Times New Roman" w:hAnsi="Times New Roman" w:cs="Times New Roman"/>
          <w:i/>
          <w:iCs/>
          <w:noProof/>
          <w:sz w:val="24"/>
          <w:szCs w:val="24"/>
        </w:rPr>
        <w:t>1</w:t>
      </w:r>
      <w:r w:rsidRPr="00F16AC4">
        <w:rPr>
          <w:rFonts w:ascii="Times New Roman" w:hAnsi="Times New Roman" w:cs="Times New Roman"/>
          <w:noProof/>
          <w:sz w:val="24"/>
          <w:szCs w:val="24"/>
        </w:rPr>
        <w:t>, 184–194. https://doi.org/10.1016/j.ynstr.2015.02.001</w:t>
      </w:r>
    </w:p>
    <w:p w:rsidR="00F16AC4" w:rsidRPr="00F16AC4" w:rsidRDefault="004A48C0" w:rsidP="0012669D">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16AC4">
        <w:rPr>
          <w:rFonts w:ascii="Times New Roman" w:hAnsi="Times New Roman" w:cs="Times New Roman"/>
          <w:noProof/>
          <w:sz w:val="24"/>
          <w:szCs w:val="24"/>
        </w:rPr>
        <w:t xml:space="preserve">Ghorbani, S., Khodayari, A., &amp; Mohammadi, S. (2014). The relationship between managerial skills with organizational climate in managers and staff in the national Olympic committee of Iran. </w:t>
      </w:r>
      <w:r w:rsidRPr="00F16AC4">
        <w:rPr>
          <w:rFonts w:ascii="Times New Roman" w:hAnsi="Times New Roman" w:cs="Times New Roman"/>
          <w:i/>
          <w:iCs/>
          <w:noProof/>
          <w:sz w:val="24"/>
          <w:szCs w:val="24"/>
        </w:rPr>
        <w:t>European Journal of Experimental Biology</w:t>
      </w:r>
      <w:r w:rsidRPr="00F16AC4">
        <w:rPr>
          <w:rFonts w:ascii="Times New Roman" w:hAnsi="Times New Roman" w:cs="Times New Roman"/>
          <w:noProof/>
          <w:sz w:val="24"/>
          <w:szCs w:val="24"/>
        </w:rPr>
        <w:t xml:space="preserve">, </w:t>
      </w:r>
      <w:r w:rsidRPr="00F16AC4">
        <w:rPr>
          <w:rFonts w:ascii="Times New Roman" w:hAnsi="Times New Roman" w:cs="Times New Roman"/>
          <w:i/>
          <w:iCs/>
          <w:noProof/>
          <w:sz w:val="24"/>
          <w:szCs w:val="24"/>
        </w:rPr>
        <w:t>4</w:t>
      </w:r>
      <w:r w:rsidRPr="00F16AC4">
        <w:rPr>
          <w:rFonts w:ascii="Times New Roman" w:hAnsi="Times New Roman" w:cs="Times New Roman"/>
          <w:noProof/>
          <w:sz w:val="24"/>
          <w:szCs w:val="24"/>
        </w:rPr>
        <w:t>(1), 321–326.</w:t>
      </w:r>
      <w:r w:rsidR="0012669D" w:rsidRPr="0012669D">
        <w:rPr>
          <w:rFonts w:ascii="Times New Roman" w:hAnsi="Times New Roman" w:cs="Times New Roman"/>
          <w:noProof/>
          <w:sz w:val="24"/>
          <w:szCs w:val="24"/>
        </w:rPr>
        <w:t>https://www.primescholars.com/articles/the-relationship-between-managerial-skills-with-organizational-climate-in-managers-and-staff-in-national-olympic-committee-of-iran.pdf</w:t>
      </w:r>
    </w:p>
    <w:p w:rsidR="00F16AC4" w:rsidRPr="00F16AC4" w:rsidRDefault="004A48C0" w:rsidP="0012669D">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16AC4">
        <w:rPr>
          <w:rFonts w:ascii="Times New Roman" w:hAnsi="Times New Roman" w:cs="Times New Roman"/>
          <w:noProof/>
          <w:sz w:val="24"/>
          <w:szCs w:val="24"/>
        </w:rPr>
        <w:t xml:space="preserve">Gulati, B., &amp; Weiler, S. (2021). Risk, recessions, and resilience: towards sustainable local labor markets through employment portfolio analysis. </w:t>
      </w:r>
      <w:r w:rsidRPr="00F16AC4">
        <w:rPr>
          <w:rFonts w:ascii="Times New Roman" w:hAnsi="Times New Roman" w:cs="Times New Roman"/>
          <w:i/>
          <w:iCs/>
          <w:noProof/>
          <w:sz w:val="24"/>
          <w:szCs w:val="24"/>
        </w:rPr>
        <w:t>Sustainability (Switzerland)</w:t>
      </w:r>
      <w:r w:rsidRPr="00F16AC4">
        <w:rPr>
          <w:rFonts w:ascii="Times New Roman" w:hAnsi="Times New Roman" w:cs="Times New Roman"/>
          <w:noProof/>
          <w:sz w:val="24"/>
          <w:szCs w:val="24"/>
        </w:rPr>
        <w:t xml:space="preserve">, </w:t>
      </w:r>
      <w:r w:rsidRPr="00F16AC4">
        <w:rPr>
          <w:rFonts w:ascii="Times New Roman" w:hAnsi="Times New Roman" w:cs="Times New Roman"/>
          <w:i/>
          <w:iCs/>
          <w:noProof/>
          <w:sz w:val="24"/>
          <w:szCs w:val="24"/>
        </w:rPr>
        <w:t>13</w:t>
      </w:r>
      <w:r w:rsidRPr="00F16AC4">
        <w:rPr>
          <w:rFonts w:ascii="Times New Roman" w:hAnsi="Times New Roman" w:cs="Times New Roman"/>
          <w:noProof/>
          <w:sz w:val="24"/>
          <w:szCs w:val="24"/>
        </w:rPr>
        <w:t>(14), 1–20. https://doi.org/10.3390/su13147926</w:t>
      </w:r>
    </w:p>
    <w:p w:rsidR="00F16AC4" w:rsidRPr="00F16AC4" w:rsidRDefault="004A48C0" w:rsidP="0012669D">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16AC4">
        <w:rPr>
          <w:rFonts w:ascii="Times New Roman" w:hAnsi="Times New Roman" w:cs="Times New Roman"/>
          <w:noProof/>
          <w:sz w:val="24"/>
          <w:szCs w:val="24"/>
        </w:rPr>
        <w:t xml:space="preserve">Krabel, S. (2018). Are entrepreneurs made on campus? The impact of entrepreneurial universities and graduates’ human capital on graduates’ occupational choice. </w:t>
      </w:r>
      <w:r w:rsidRPr="00F16AC4">
        <w:rPr>
          <w:rFonts w:ascii="Times New Roman" w:hAnsi="Times New Roman" w:cs="Times New Roman"/>
          <w:i/>
          <w:iCs/>
          <w:noProof/>
          <w:sz w:val="24"/>
          <w:szCs w:val="24"/>
        </w:rPr>
        <w:t>Journal of International Entrepreneurship</w:t>
      </w:r>
      <w:r w:rsidRPr="00F16AC4">
        <w:rPr>
          <w:rFonts w:ascii="Times New Roman" w:hAnsi="Times New Roman" w:cs="Times New Roman"/>
          <w:noProof/>
          <w:sz w:val="24"/>
          <w:szCs w:val="24"/>
        </w:rPr>
        <w:t xml:space="preserve">, </w:t>
      </w:r>
      <w:r w:rsidRPr="00F16AC4">
        <w:rPr>
          <w:rFonts w:ascii="Times New Roman" w:hAnsi="Times New Roman" w:cs="Times New Roman"/>
          <w:i/>
          <w:iCs/>
          <w:noProof/>
          <w:sz w:val="24"/>
          <w:szCs w:val="24"/>
        </w:rPr>
        <w:t>16</w:t>
      </w:r>
      <w:r w:rsidRPr="00F16AC4">
        <w:rPr>
          <w:rFonts w:ascii="Times New Roman" w:hAnsi="Times New Roman" w:cs="Times New Roman"/>
          <w:noProof/>
          <w:sz w:val="24"/>
          <w:szCs w:val="24"/>
        </w:rPr>
        <w:t>(4), 456–485. https://doi.org/10.1007/s10843-017-0218-z</w:t>
      </w:r>
    </w:p>
    <w:p w:rsidR="00F16AC4" w:rsidRPr="00F16AC4" w:rsidRDefault="004A48C0" w:rsidP="0012669D">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16AC4">
        <w:rPr>
          <w:rFonts w:ascii="Times New Roman" w:hAnsi="Times New Roman" w:cs="Times New Roman"/>
          <w:noProof/>
          <w:sz w:val="24"/>
          <w:szCs w:val="24"/>
        </w:rPr>
        <w:lastRenderedPageBreak/>
        <w:t xml:space="preserve">Lonsdorf, T. B., &amp; Merz, C. J. (2017). More than just noise: Inter-individual differences in fear acquisition, extinction and return of fear in humans - Biological, experiential, temperamental factors, and methodological pitfalls. </w:t>
      </w:r>
      <w:r w:rsidRPr="00F16AC4">
        <w:rPr>
          <w:rFonts w:ascii="Times New Roman" w:hAnsi="Times New Roman" w:cs="Times New Roman"/>
          <w:i/>
          <w:iCs/>
          <w:noProof/>
          <w:sz w:val="24"/>
          <w:szCs w:val="24"/>
        </w:rPr>
        <w:t>Neuroscience and Biobehavioral Reviews</w:t>
      </w:r>
      <w:r w:rsidRPr="00F16AC4">
        <w:rPr>
          <w:rFonts w:ascii="Times New Roman" w:hAnsi="Times New Roman" w:cs="Times New Roman"/>
          <w:noProof/>
          <w:sz w:val="24"/>
          <w:szCs w:val="24"/>
        </w:rPr>
        <w:t xml:space="preserve">, </w:t>
      </w:r>
      <w:r w:rsidRPr="00F16AC4">
        <w:rPr>
          <w:rFonts w:ascii="Times New Roman" w:hAnsi="Times New Roman" w:cs="Times New Roman"/>
          <w:i/>
          <w:iCs/>
          <w:noProof/>
          <w:sz w:val="24"/>
          <w:szCs w:val="24"/>
        </w:rPr>
        <w:t>80</w:t>
      </w:r>
      <w:r w:rsidRPr="00F16AC4">
        <w:rPr>
          <w:rFonts w:ascii="Times New Roman" w:hAnsi="Times New Roman" w:cs="Times New Roman"/>
          <w:noProof/>
          <w:sz w:val="24"/>
          <w:szCs w:val="24"/>
        </w:rPr>
        <w:t>, 703–728. https://doi.org/10.1016/j.neubiorev.2017.07.007</w:t>
      </w:r>
    </w:p>
    <w:p w:rsidR="00F16AC4" w:rsidRPr="00F16AC4" w:rsidRDefault="004A48C0" w:rsidP="0012669D">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16AC4">
        <w:rPr>
          <w:rFonts w:ascii="Times New Roman" w:hAnsi="Times New Roman" w:cs="Times New Roman"/>
          <w:noProof/>
          <w:sz w:val="24"/>
          <w:szCs w:val="24"/>
        </w:rPr>
        <w:t xml:space="preserve">Man, T. W. Y., Lau, T., &amp; Chan, K. F. (2002). The competitiveness of small and medium enterprises: A conceptualization with focus on entrepreneurial competencies. </w:t>
      </w:r>
      <w:r w:rsidRPr="00F16AC4">
        <w:rPr>
          <w:rFonts w:ascii="Times New Roman" w:hAnsi="Times New Roman" w:cs="Times New Roman"/>
          <w:i/>
          <w:iCs/>
          <w:noProof/>
          <w:sz w:val="24"/>
          <w:szCs w:val="24"/>
        </w:rPr>
        <w:t>Journal of Business Venturing</w:t>
      </w:r>
      <w:r w:rsidRPr="00F16AC4">
        <w:rPr>
          <w:rFonts w:ascii="Times New Roman" w:hAnsi="Times New Roman" w:cs="Times New Roman"/>
          <w:noProof/>
          <w:sz w:val="24"/>
          <w:szCs w:val="24"/>
        </w:rPr>
        <w:t xml:space="preserve">, </w:t>
      </w:r>
      <w:r w:rsidRPr="00F16AC4">
        <w:rPr>
          <w:rFonts w:ascii="Times New Roman" w:hAnsi="Times New Roman" w:cs="Times New Roman"/>
          <w:i/>
          <w:iCs/>
          <w:noProof/>
          <w:sz w:val="24"/>
          <w:szCs w:val="24"/>
        </w:rPr>
        <w:t>17</w:t>
      </w:r>
      <w:r w:rsidRPr="00F16AC4">
        <w:rPr>
          <w:rFonts w:ascii="Times New Roman" w:hAnsi="Times New Roman" w:cs="Times New Roman"/>
          <w:noProof/>
          <w:sz w:val="24"/>
          <w:szCs w:val="24"/>
        </w:rPr>
        <w:t>(2), 123–142. https://doi.org/10.1016/S0883-9026(00)00058-6</w:t>
      </w:r>
    </w:p>
    <w:p w:rsidR="00F16AC4" w:rsidRPr="00F16AC4" w:rsidRDefault="004A48C0" w:rsidP="0012669D">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16AC4">
        <w:rPr>
          <w:rFonts w:ascii="Times New Roman" w:hAnsi="Times New Roman" w:cs="Times New Roman"/>
          <w:noProof/>
          <w:sz w:val="24"/>
          <w:szCs w:val="24"/>
        </w:rPr>
        <w:t xml:space="preserve">Mikami, A. Y., &amp; Hinshaw, S. P. (2006). Resilient adolescent adjustment among girls: Buffers of childhood peer rejection and attention-deficit/hyperactivity disorder. </w:t>
      </w:r>
      <w:r w:rsidRPr="00F16AC4">
        <w:rPr>
          <w:rFonts w:ascii="Times New Roman" w:hAnsi="Times New Roman" w:cs="Times New Roman"/>
          <w:i/>
          <w:iCs/>
          <w:noProof/>
          <w:sz w:val="24"/>
          <w:szCs w:val="24"/>
        </w:rPr>
        <w:t>Journal of Abnormal Child Psychology</w:t>
      </w:r>
      <w:r w:rsidRPr="00F16AC4">
        <w:rPr>
          <w:rFonts w:ascii="Times New Roman" w:hAnsi="Times New Roman" w:cs="Times New Roman"/>
          <w:noProof/>
          <w:sz w:val="24"/>
          <w:szCs w:val="24"/>
        </w:rPr>
        <w:t xml:space="preserve">, </w:t>
      </w:r>
      <w:r w:rsidRPr="00F16AC4">
        <w:rPr>
          <w:rFonts w:ascii="Times New Roman" w:hAnsi="Times New Roman" w:cs="Times New Roman"/>
          <w:i/>
          <w:iCs/>
          <w:noProof/>
          <w:sz w:val="24"/>
          <w:szCs w:val="24"/>
        </w:rPr>
        <w:t>34</w:t>
      </w:r>
      <w:r w:rsidRPr="00F16AC4">
        <w:rPr>
          <w:rFonts w:ascii="Times New Roman" w:hAnsi="Times New Roman" w:cs="Times New Roman"/>
          <w:noProof/>
          <w:sz w:val="24"/>
          <w:szCs w:val="24"/>
        </w:rPr>
        <w:t>(6), 825–839. https://doi.org/10.1007/s10802-006-9062-7</w:t>
      </w:r>
    </w:p>
    <w:p w:rsidR="00F16AC4" w:rsidRPr="00F16AC4" w:rsidRDefault="004A48C0" w:rsidP="0012669D">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16AC4">
        <w:rPr>
          <w:rFonts w:ascii="Times New Roman" w:hAnsi="Times New Roman" w:cs="Times New Roman"/>
          <w:noProof/>
          <w:sz w:val="24"/>
          <w:szCs w:val="24"/>
        </w:rPr>
        <w:t xml:space="preserve">Mitchelmore, S., &amp; Rowley, J. (2010). Entrepreneurial competencies: A literature review and development agenda. </w:t>
      </w:r>
      <w:r w:rsidRPr="00F16AC4">
        <w:rPr>
          <w:rFonts w:ascii="Times New Roman" w:hAnsi="Times New Roman" w:cs="Times New Roman"/>
          <w:i/>
          <w:iCs/>
          <w:noProof/>
          <w:sz w:val="24"/>
          <w:szCs w:val="24"/>
        </w:rPr>
        <w:t>International Journal of Entrepreneurial Behaviour &amp; Research</w:t>
      </w:r>
      <w:r w:rsidRPr="00F16AC4">
        <w:rPr>
          <w:rFonts w:ascii="Times New Roman" w:hAnsi="Times New Roman" w:cs="Times New Roman"/>
          <w:noProof/>
          <w:sz w:val="24"/>
          <w:szCs w:val="24"/>
        </w:rPr>
        <w:t xml:space="preserve">, </w:t>
      </w:r>
      <w:r w:rsidRPr="00F16AC4">
        <w:rPr>
          <w:rFonts w:ascii="Times New Roman" w:hAnsi="Times New Roman" w:cs="Times New Roman"/>
          <w:i/>
          <w:iCs/>
          <w:noProof/>
          <w:sz w:val="24"/>
          <w:szCs w:val="24"/>
        </w:rPr>
        <w:t>16</w:t>
      </w:r>
      <w:r w:rsidRPr="00F16AC4">
        <w:rPr>
          <w:rFonts w:ascii="Times New Roman" w:hAnsi="Times New Roman" w:cs="Times New Roman"/>
          <w:noProof/>
          <w:sz w:val="24"/>
          <w:szCs w:val="24"/>
        </w:rPr>
        <w:t>(2), 92–111. https://doi.org/10.1108/13552551011026995</w:t>
      </w:r>
    </w:p>
    <w:p w:rsidR="00F16AC4" w:rsidRPr="00F16AC4" w:rsidRDefault="004A48C0" w:rsidP="0012669D">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16AC4">
        <w:rPr>
          <w:rFonts w:ascii="Times New Roman" w:hAnsi="Times New Roman" w:cs="Times New Roman"/>
          <w:noProof/>
          <w:sz w:val="24"/>
          <w:szCs w:val="24"/>
        </w:rPr>
        <w:t xml:space="preserve">Morris, M. H., Webb, J. W., Fu, J., &amp; Singhal, S. (2013). A competency-based perspective on entrepreneurship education: Conceptual and empirical insights. </w:t>
      </w:r>
      <w:r w:rsidRPr="00F16AC4">
        <w:rPr>
          <w:rFonts w:ascii="Times New Roman" w:hAnsi="Times New Roman" w:cs="Times New Roman"/>
          <w:i/>
          <w:iCs/>
          <w:noProof/>
          <w:sz w:val="24"/>
          <w:szCs w:val="24"/>
        </w:rPr>
        <w:t>Journal of Small Business Management</w:t>
      </w:r>
      <w:r w:rsidRPr="00F16AC4">
        <w:rPr>
          <w:rFonts w:ascii="Times New Roman" w:hAnsi="Times New Roman" w:cs="Times New Roman"/>
          <w:noProof/>
          <w:sz w:val="24"/>
          <w:szCs w:val="24"/>
        </w:rPr>
        <w:t xml:space="preserve">, </w:t>
      </w:r>
      <w:r w:rsidRPr="00F16AC4">
        <w:rPr>
          <w:rFonts w:ascii="Times New Roman" w:hAnsi="Times New Roman" w:cs="Times New Roman"/>
          <w:i/>
          <w:iCs/>
          <w:noProof/>
          <w:sz w:val="24"/>
          <w:szCs w:val="24"/>
        </w:rPr>
        <w:t>51</w:t>
      </w:r>
      <w:r w:rsidRPr="00F16AC4">
        <w:rPr>
          <w:rFonts w:ascii="Times New Roman" w:hAnsi="Times New Roman" w:cs="Times New Roman"/>
          <w:noProof/>
          <w:sz w:val="24"/>
          <w:szCs w:val="24"/>
        </w:rPr>
        <w:t>(3), 352–369. https://doi.org/10.1111/jsbm.12023</w:t>
      </w:r>
    </w:p>
    <w:p w:rsidR="00F16AC4" w:rsidRPr="00F16AC4" w:rsidRDefault="004A48C0" w:rsidP="0012669D">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16AC4">
        <w:rPr>
          <w:rFonts w:ascii="Times New Roman" w:hAnsi="Times New Roman" w:cs="Times New Roman"/>
          <w:noProof/>
          <w:sz w:val="24"/>
          <w:szCs w:val="24"/>
        </w:rPr>
        <w:t xml:space="preserve">Petzold, M. B., Bendau, A., Plag, J., Pyrkosch, L., Mascarell Maricic, L., Betzler, F., Rogoll, J., Große, J., &amp; Ströhle, A. (2020). Risk, resilience, psychological distress, and anxiety at the beginning of the COVID-19 pandemic in Germany. </w:t>
      </w:r>
      <w:r w:rsidRPr="00F16AC4">
        <w:rPr>
          <w:rFonts w:ascii="Times New Roman" w:hAnsi="Times New Roman" w:cs="Times New Roman"/>
          <w:i/>
          <w:iCs/>
          <w:noProof/>
          <w:sz w:val="24"/>
          <w:szCs w:val="24"/>
        </w:rPr>
        <w:t>Brain and Behavior</w:t>
      </w:r>
      <w:r w:rsidRPr="00F16AC4">
        <w:rPr>
          <w:rFonts w:ascii="Times New Roman" w:hAnsi="Times New Roman" w:cs="Times New Roman"/>
          <w:noProof/>
          <w:sz w:val="24"/>
          <w:szCs w:val="24"/>
        </w:rPr>
        <w:t xml:space="preserve">, </w:t>
      </w:r>
      <w:r w:rsidRPr="00F16AC4">
        <w:rPr>
          <w:rFonts w:ascii="Times New Roman" w:hAnsi="Times New Roman" w:cs="Times New Roman"/>
          <w:i/>
          <w:iCs/>
          <w:noProof/>
          <w:sz w:val="24"/>
          <w:szCs w:val="24"/>
        </w:rPr>
        <w:t>10</w:t>
      </w:r>
      <w:r w:rsidRPr="00F16AC4">
        <w:rPr>
          <w:rFonts w:ascii="Times New Roman" w:hAnsi="Times New Roman" w:cs="Times New Roman"/>
          <w:noProof/>
          <w:sz w:val="24"/>
          <w:szCs w:val="24"/>
        </w:rPr>
        <w:t>(9), 1–10. https://doi.org/10.1002/brb3.1745</w:t>
      </w:r>
    </w:p>
    <w:p w:rsidR="00F16AC4" w:rsidRPr="00F16AC4" w:rsidRDefault="004A48C0" w:rsidP="0012669D">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16AC4">
        <w:rPr>
          <w:rFonts w:ascii="Times New Roman" w:hAnsi="Times New Roman" w:cs="Times New Roman"/>
          <w:noProof/>
          <w:sz w:val="24"/>
          <w:szCs w:val="24"/>
        </w:rPr>
        <w:t xml:space="preserve">Phong, N. D., Thao, N. T. P., &amp; Nguyen, N. P. (2020). Entrepreneurial intent of business students: Empirical evidence from a transitional economy. </w:t>
      </w:r>
      <w:r w:rsidRPr="00F16AC4">
        <w:rPr>
          <w:rFonts w:ascii="Times New Roman" w:hAnsi="Times New Roman" w:cs="Times New Roman"/>
          <w:i/>
          <w:iCs/>
          <w:noProof/>
          <w:sz w:val="24"/>
          <w:szCs w:val="24"/>
        </w:rPr>
        <w:t>Cogent Business and Management</w:t>
      </w:r>
      <w:r w:rsidRPr="00F16AC4">
        <w:rPr>
          <w:rFonts w:ascii="Times New Roman" w:hAnsi="Times New Roman" w:cs="Times New Roman"/>
          <w:noProof/>
          <w:sz w:val="24"/>
          <w:szCs w:val="24"/>
        </w:rPr>
        <w:t xml:space="preserve">, </w:t>
      </w:r>
      <w:r w:rsidRPr="00F16AC4">
        <w:rPr>
          <w:rFonts w:ascii="Times New Roman" w:hAnsi="Times New Roman" w:cs="Times New Roman"/>
          <w:i/>
          <w:iCs/>
          <w:noProof/>
          <w:sz w:val="24"/>
          <w:szCs w:val="24"/>
        </w:rPr>
        <w:t>7</w:t>
      </w:r>
      <w:r w:rsidRPr="00F16AC4">
        <w:rPr>
          <w:rFonts w:ascii="Times New Roman" w:hAnsi="Times New Roman" w:cs="Times New Roman"/>
          <w:noProof/>
          <w:sz w:val="24"/>
          <w:szCs w:val="24"/>
        </w:rPr>
        <w:t>(1). https://doi.org/10.1080/23311975.2020.1747962</w:t>
      </w:r>
    </w:p>
    <w:p w:rsidR="00F16AC4" w:rsidRPr="00F16AC4" w:rsidRDefault="004A48C0" w:rsidP="0012669D">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16AC4">
        <w:rPr>
          <w:rFonts w:ascii="Times New Roman" w:hAnsi="Times New Roman" w:cs="Times New Roman"/>
          <w:noProof/>
          <w:sz w:val="24"/>
          <w:szCs w:val="24"/>
        </w:rPr>
        <w:t xml:space="preserve">Rambe, P., Africa, S., Makhalemele, N., &amp; Africa, S. (2015). Emerging Technology Firms And Business Internet Cafés Performance In South Africa. </w:t>
      </w:r>
      <w:r w:rsidRPr="00F16AC4">
        <w:rPr>
          <w:rFonts w:ascii="Times New Roman" w:hAnsi="Times New Roman" w:cs="Times New Roman"/>
          <w:i/>
          <w:iCs/>
          <w:noProof/>
          <w:sz w:val="24"/>
          <w:szCs w:val="24"/>
        </w:rPr>
        <w:t>International Business &amp; Economics Research Journal</w:t>
      </w:r>
      <w:r w:rsidRPr="00F16AC4">
        <w:rPr>
          <w:rFonts w:ascii="Times New Roman" w:hAnsi="Times New Roman" w:cs="Times New Roman"/>
          <w:noProof/>
          <w:sz w:val="24"/>
          <w:szCs w:val="24"/>
        </w:rPr>
        <w:t xml:space="preserve">, </w:t>
      </w:r>
      <w:r w:rsidRPr="00F16AC4">
        <w:rPr>
          <w:rFonts w:ascii="Times New Roman" w:hAnsi="Times New Roman" w:cs="Times New Roman"/>
          <w:i/>
          <w:iCs/>
          <w:noProof/>
          <w:sz w:val="24"/>
          <w:szCs w:val="24"/>
        </w:rPr>
        <w:t>14</w:t>
      </w:r>
      <w:r w:rsidRPr="00F16AC4">
        <w:rPr>
          <w:rFonts w:ascii="Times New Roman" w:hAnsi="Times New Roman" w:cs="Times New Roman"/>
          <w:noProof/>
          <w:sz w:val="24"/>
          <w:szCs w:val="24"/>
        </w:rPr>
        <w:t>(4), 678–692, July/August,</w:t>
      </w:r>
    </w:p>
    <w:p w:rsidR="00F16AC4" w:rsidRPr="00F16AC4" w:rsidRDefault="004A48C0" w:rsidP="0012669D">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16AC4">
        <w:rPr>
          <w:rFonts w:ascii="Times New Roman" w:hAnsi="Times New Roman" w:cs="Times New Roman"/>
          <w:noProof/>
          <w:sz w:val="24"/>
          <w:szCs w:val="24"/>
        </w:rPr>
        <w:t xml:space="preserve">Rasmussen, E., Mosey, S., &amp; Wright, M. (2011). The Evolution of Entrepreneurial Competencies: A Longitudinal Study of University Spin-Off Venture Emergence. </w:t>
      </w:r>
      <w:r w:rsidRPr="00F16AC4">
        <w:rPr>
          <w:rFonts w:ascii="Times New Roman" w:hAnsi="Times New Roman" w:cs="Times New Roman"/>
          <w:i/>
          <w:iCs/>
          <w:noProof/>
          <w:sz w:val="24"/>
          <w:szCs w:val="24"/>
        </w:rPr>
        <w:t>Journal of Management Studies</w:t>
      </w:r>
      <w:r w:rsidRPr="00F16AC4">
        <w:rPr>
          <w:rFonts w:ascii="Times New Roman" w:hAnsi="Times New Roman" w:cs="Times New Roman"/>
          <w:noProof/>
          <w:sz w:val="24"/>
          <w:szCs w:val="24"/>
        </w:rPr>
        <w:t xml:space="preserve">, </w:t>
      </w:r>
      <w:r w:rsidRPr="00F16AC4">
        <w:rPr>
          <w:rFonts w:ascii="Times New Roman" w:hAnsi="Times New Roman" w:cs="Times New Roman"/>
          <w:i/>
          <w:iCs/>
          <w:noProof/>
          <w:sz w:val="24"/>
          <w:szCs w:val="24"/>
        </w:rPr>
        <w:t>48</w:t>
      </w:r>
      <w:r w:rsidRPr="00F16AC4">
        <w:rPr>
          <w:rFonts w:ascii="Times New Roman" w:hAnsi="Times New Roman" w:cs="Times New Roman"/>
          <w:noProof/>
          <w:sz w:val="24"/>
          <w:szCs w:val="24"/>
        </w:rPr>
        <w:t>(6), 1314–1345. https://doi.org/10.1111/j.1467-6486.2010.00995.x</w:t>
      </w:r>
    </w:p>
    <w:p w:rsidR="00F16AC4" w:rsidRPr="00F16AC4" w:rsidRDefault="004A48C0" w:rsidP="0012669D">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16AC4">
        <w:rPr>
          <w:rFonts w:ascii="Times New Roman" w:hAnsi="Times New Roman" w:cs="Times New Roman"/>
          <w:noProof/>
          <w:sz w:val="24"/>
          <w:szCs w:val="24"/>
        </w:rPr>
        <w:t xml:space="preserve">Shah, I. A., Amjed, S., &amp; Jaboob, S. (2020). The moderating role of entrepreneurship education in shaping entrepreneurial intentions. </w:t>
      </w:r>
      <w:r w:rsidRPr="00F16AC4">
        <w:rPr>
          <w:rFonts w:ascii="Times New Roman" w:hAnsi="Times New Roman" w:cs="Times New Roman"/>
          <w:i/>
          <w:iCs/>
          <w:noProof/>
          <w:sz w:val="24"/>
          <w:szCs w:val="24"/>
        </w:rPr>
        <w:t>Journal of Economic Structures</w:t>
      </w:r>
      <w:r w:rsidRPr="00F16AC4">
        <w:rPr>
          <w:rFonts w:ascii="Times New Roman" w:hAnsi="Times New Roman" w:cs="Times New Roman"/>
          <w:noProof/>
          <w:sz w:val="24"/>
          <w:szCs w:val="24"/>
        </w:rPr>
        <w:t xml:space="preserve">, </w:t>
      </w:r>
      <w:r w:rsidRPr="00F16AC4">
        <w:rPr>
          <w:rFonts w:ascii="Times New Roman" w:hAnsi="Times New Roman" w:cs="Times New Roman"/>
          <w:i/>
          <w:iCs/>
          <w:noProof/>
          <w:sz w:val="24"/>
          <w:szCs w:val="24"/>
        </w:rPr>
        <w:t>9</w:t>
      </w:r>
      <w:r w:rsidRPr="00F16AC4">
        <w:rPr>
          <w:rFonts w:ascii="Times New Roman" w:hAnsi="Times New Roman" w:cs="Times New Roman"/>
          <w:noProof/>
          <w:sz w:val="24"/>
          <w:szCs w:val="24"/>
        </w:rPr>
        <w:t>(1). https://doi.org/10.1186/s40008-020-00195-4</w:t>
      </w:r>
    </w:p>
    <w:p w:rsidR="00F16AC4" w:rsidRPr="00F16AC4" w:rsidRDefault="004A48C0" w:rsidP="0012669D">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16AC4">
        <w:rPr>
          <w:rFonts w:ascii="Times New Roman" w:hAnsi="Times New Roman" w:cs="Times New Roman"/>
          <w:noProof/>
          <w:sz w:val="24"/>
          <w:szCs w:val="24"/>
        </w:rPr>
        <w:lastRenderedPageBreak/>
        <w:t xml:space="preserve">Song, S., Hwang, K., &amp; Kwok, Y. K. (2006). Risk-resilient heuristics and genetic algorithms for security-assured grid job scheduling. </w:t>
      </w:r>
      <w:r w:rsidRPr="00F16AC4">
        <w:rPr>
          <w:rFonts w:ascii="Times New Roman" w:hAnsi="Times New Roman" w:cs="Times New Roman"/>
          <w:i/>
          <w:iCs/>
          <w:noProof/>
          <w:sz w:val="24"/>
          <w:szCs w:val="24"/>
        </w:rPr>
        <w:t>IEEE Transactions on Computers</w:t>
      </w:r>
      <w:r w:rsidRPr="00F16AC4">
        <w:rPr>
          <w:rFonts w:ascii="Times New Roman" w:hAnsi="Times New Roman" w:cs="Times New Roman"/>
          <w:noProof/>
          <w:sz w:val="24"/>
          <w:szCs w:val="24"/>
        </w:rPr>
        <w:t xml:space="preserve">, </w:t>
      </w:r>
      <w:r w:rsidRPr="00F16AC4">
        <w:rPr>
          <w:rFonts w:ascii="Times New Roman" w:hAnsi="Times New Roman" w:cs="Times New Roman"/>
          <w:i/>
          <w:iCs/>
          <w:noProof/>
          <w:sz w:val="24"/>
          <w:szCs w:val="24"/>
        </w:rPr>
        <w:t>55</w:t>
      </w:r>
      <w:r w:rsidRPr="00F16AC4">
        <w:rPr>
          <w:rFonts w:ascii="Times New Roman" w:hAnsi="Times New Roman" w:cs="Times New Roman"/>
          <w:noProof/>
          <w:sz w:val="24"/>
          <w:szCs w:val="24"/>
        </w:rPr>
        <w:t>(6), 703–719. https://doi.org/10.1109/TC.2006.89</w:t>
      </w:r>
    </w:p>
    <w:p w:rsidR="00F16AC4" w:rsidRPr="00F16AC4" w:rsidRDefault="004A48C0" w:rsidP="0012669D">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16AC4">
        <w:rPr>
          <w:rFonts w:ascii="Times New Roman" w:hAnsi="Times New Roman" w:cs="Times New Roman"/>
          <w:noProof/>
          <w:sz w:val="24"/>
          <w:szCs w:val="24"/>
        </w:rPr>
        <w:t xml:space="preserve">Vinet, L., &amp; Zhedanov, A. (2011). A “missing” family of classical orthogonal polynomials. </w:t>
      </w:r>
      <w:r w:rsidRPr="00F16AC4">
        <w:rPr>
          <w:rFonts w:ascii="Times New Roman" w:hAnsi="Times New Roman" w:cs="Times New Roman"/>
          <w:i/>
          <w:iCs/>
          <w:noProof/>
          <w:sz w:val="24"/>
          <w:szCs w:val="24"/>
        </w:rPr>
        <w:t>Journal of Physics A: Mathematical and Theoretical</w:t>
      </w:r>
      <w:r w:rsidRPr="00F16AC4">
        <w:rPr>
          <w:rFonts w:ascii="Times New Roman" w:hAnsi="Times New Roman" w:cs="Times New Roman"/>
          <w:noProof/>
          <w:sz w:val="24"/>
          <w:szCs w:val="24"/>
        </w:rPr>
        <w:t xml:space="preserve">, </w:t>
      </w:r>
      <w:r w:rsidRPr="00F16AC4">
        <w:rPr>
          <w:rFonts w:ascii="Times New Roman" w:hAnsi="Times New Roman" w:cs="Times New Roman"/>
          <w:i/>
          <w:iCs/>
          <w:noProof/>
          <w:sz w:val="24"/>
          <w:szCs w:val="24"/>
        </w:rPr>
        <w:t>44</w:t>
      </w:r>
      <w:r w:rsidRPr="00F16AC4">
        <w:rPr>
          <w:rFonts w:ascii="Times New Roman" w:hAnsi="Times New Roman" w:cs="Times New Roman"/>
          <w:noProof/>
          <w:sz w:val="24"/>
          <w:szCs w:val="24"/>
        </w:rPr>
        <w:t>(8), 3–16. https://doi.org/10.1088/1751-8113/44/8/085201</w:t>
      </w:r>
    </w:p>
    <w:p w:rsidR="00F16AC4" w:rsidRPr="00F16AC4" w:rsidRDefault="004A48C0" w:rsidP="0012669D">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16AC4">
        <w:rPr>
          <w:rFonts w:ascii="Times New Roman" w:hAnsi="Times New Roman" w:cs="Times New Roman"/>
          <w:noProof/>
          <w:sz w:val="24"/>
          <w:szCs w:val="24"/>
        </w:rPr>
        <w:t xml:space="preserve">Wasowska, A. (2019). Social-cognitive antecedents of new venture internationalization: The role of entrepreneur intention, self-efficacy, and positive orientation. </w:t>
      </w:r>
      <w:r w:rsidRPr="00F16AC4">
        <w:rPr>
          <w:rFonts w:ascii="Times New Roman" w:hAnsi="Times New Roman" w:cs="Times New Roman"/>
          <w:i/>
          <w:iCs/>
          <w:noProof/>
          <w:sz w:val="24"/>
          <w:szCs w:val="24"/>
        </w:rPr>
        <w:t>Baltic Journal of Management</w:t>
      </w:r>
      <w:r w:rsidRPr="00F16AC4">
        <w:rPr>
          <w:rFonts w:ascii="Times New Roman" w:hAnsi="Times New Roman" w:cs="Times New Roman"/>
          <w:noProof/>
          <w:sz w:val="24"/>
          <w:szCs w:val="24"/>
        </w:rPr>
        <w:t xml:space="preserve">, </w:t>
      </w:r>
      <w:r w:rsidRPr="00F16AC4">
        <w:rPr>
          <w:rFonts w:ascii="Times New Roman" w:hAnsi="Times New Roman" w:cs="Times New Roman"/>
          <w:i/>
          <w:iCs/>
          <w:noProof/>
          <w:sz w:val="24"/>
          <w:szCs w:val="24"/>
        </w:rPr>
        <w:t>14</w:t>
      </w:r>
      <w:r w:rsidRPr="00F16AC4">
        <w:rPr>
          <w:rFonts w:ascii="Times New Roman" w:hAnsi="Times New Roman" w:cs="Times New Roman"/>
          <w:noProof/>
          <w:sz w:val="24"/>
          <w:szCs w:val="24"/>
        </w:rPr>
        <w:t>(3), 462–479. https://doi.org/10.1108/BJM-09-2018-0325</w:t>
      </w:r>
    </w:p>
    <w:p w:rsidR="00F16AC4" w:rsidRPr="00F16AC4" w:rsidRDefault="004A48C0" w:rsidP="0012669D">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F16AC4">
        <w:rPr>
          <w:rFonts w:ascii="Times New Roman" w:hAnsi="Times New Roman" w:cs="Times New Roman"/>
          <w:noProof/>
          <w:sz w:val="24"/>
          <w:szCs w:val="24"/>
        </w:rPr>
        <w:t xml:space="preserve">Wickramasinghe, V., &amp; de Zoyza, N. (2009). A comparative analysis of managerial competency needs across areas of functional specialization. </w:t>
      </w:r>
      <w:r w:rsidRPr="00F16AC4">
        <w:rPr>
          <w:rFonts w:ascii="Times New Roman" w:hAnsi="Times New Roman" w:cs="Times New Roman"/>
          <w:i/>
          <w:iCs/>
          <w:noProof/>
          <w:sz w:val="24"/>
          <w:szCs w:val="24"/>
        </w:rPr>
        <w:t>Journal of Management Development</w:t>
      </w:r>
      <w:r w:rsidRPr="00F16AC4">
        <w:rPr>
          <w:rFonts w:ascii="Times New Roman" w:hAnsi="Times New Roman" w:cs="Times New Roman"/>
          <w:noProof/>
          <w:sz w:val="24"/>
          <w:szCs w:val="24"/>
        </w:rPr>
        <w:t xml:space="preserve">, </w:t>
      </w:r>
      <w:r w:rsidRPr="00F16AC4">
        <w:rPr>
          <w:rFonts w:ascii="Times New Roman" w:hAnsi="Times New Roman" w:cs="Times New Roman"/>
          <w:i/>
          <w:iCs/>
          <w:noProof/>
          <w:sz w:val="24"/>
          <w:szCs w:val="24"/>
        </w:rPr>
        <w:t>28</w:t>
      </w:r>
      <w:r w:rsidRPr="00F16AC4">
        <w:rPr>
          <w:rFonts w:ascii="Times New Roman" w:hAnsi="Times New Roman" w:cs="Times New Roman"/>
          <w:noProof/>
          <w:sz w:val="24"/>
          <w:szCs w:val="24"/>
        </w:rPr>
        <w:t>(4), 344–360. https://doi.org/10.1108/02621710910947371</w:t>
      </w:r>
    </w:p>
    <w:p w:rsidR="00F16AC4" w:rsidRPr="00F16AC4" w:rsidRDefault="004A48C0" w:rsidP="0012669D">
      <w:pPr>
        <w:widowControl w:val="0"/>
        <w:autoSpaceDE w:val="0"/>
        <w:autoSpaceDN w:val="0"/>
        <w:adjustRightInd w:val="0"/>
        <w:spacing w:after="0" w:line="360" w:lineRule="auto"/>
        <w:ind w:left="480" w:hanging="480"/>
        <w:jc w:val="both"/>
        <w:rPr>
          <w:rFonts w:ascii="Times New Roman" w:hAnsi="Times New Roman" w:cs="Times New Roman"/>
          <w:noProof/>
          <w:sz w:val="24"/>
        </w:rPr>
      </w:pPr>
      <w:r w:rsidRPr="00F16AC4">
        <w:rPr>
          <w:rFonts w:ascii="Times New Roman" w:hAnsi="Times New Roman" w:cs="Times New Roman"/>
          <w:noProof/>
          <w:sz w:val="24"/>
          <w:szCs w:val="24"/>
        </w:rPr>
        <w:t xml:space="preserve">Winn, M., Kirchgeorg, M., Griffiths, A., Linnenluecke, M. K., &amp; Gunther, E. (2011). Impacts from climate change on organizations: A conceptual foundation. </w:t>
      </w:r>
      <w:r w:rsidRPr="00F16AC4">
        <w:rPr>
          <w:rFonts w:ascii="Times New Roman" w:hAnsi="Times New Roman" w:cs="Times New Roman"/>
          <w:i/>
          <w:iCs/>
          <w:noProof/>
          <w:sz w:val="24"/>
          <w:szCs w:val="24"/>
        </w:rPr>
        <w:t>Business Strategy and the Environment</w:t>
      </w:r>
      <w:r w:rsidRPr="00F16AC4">
        <w:rPr>
          <w:rFonts w:ascii="Times New Roman" w:hAnsi="Times New Roman" w:cs="Times New Roman"/>
          <w:noProof/>
          <w:sz w:val="24"/>
          <w:szCs w:val="24"/>
        </w:rPr>
        <w:t xml:space="preserve">, </w:t>
      </w:r>
      <w:r w:rsidRPr="00F16AC4">
        <w:rPr>
          <w:rFonts w:ascii="Times New Roman" w:hAnsi="Times New Roman" w:cs="Times New Roman"/>
          <w:i/>
          <w:iCs/>
          <w:noProof/>
          <w:sz w:val="24"/>
          <w:szCs w:val="24"/>
        </w:rPr>
        <w:t>20</w:t>
      </w:r>
      <w:r w:rsidRPr="00F16AC4">
        <w:rPr>
          <w:rFonts w:ascii="Times New Roman" w:hAnsi="Times New Roman" w:cs="Times New Roman"/>
          <w:noProof/>
          <w:sz w:val="24"/>
          <w:szCs w:val="24"/>
        </w:rPr>
        <w:t>(3), 157–173. https://doi.org/10.1002/bse.679</w:t>
      </w:r>
    </w:p>
    <w:p w:rsidR="00646B1D" w:rsidRPr="00646B1D" w:rsidRDefault="00162C79" w:rsidP="00646B1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fldChar w:fldCharType="end"/>
      </w:r>
    </w:p>
    <w:sectPr w:rsidR="00646B1D" w:rsidRPr="00646B1D" w:rsidSect="00712E47">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DA96B1A"/>
    <w:multiLevelType w:val="hybridMultilevel"/>
    <w:tmpl w:val="0BFC2DE0"/>
    <w:lvl w:ilvl="0" w:tplc="8BE2D852">
      <w:start w:val="1"/>
      <w:numFmt w:val="bullet"/>
      <w:lvlText w:val=""/>
      <w:lvlJc w:val="left"/>
      <w:pPr>
        <w:tabs>
          <w:tab w:val="num" w:pos="720"/>
        </w:tabs>
        <w:ind w:left="720" w:hanging="360"/>
      </w:pPr>
      <w:rPr>
        <w:rFonts w:ascii="Wingdings" w:hAnsi="Wingdings" w:hint="default"/>
      </w:rPr>
    </w:lvl>
    <w:lvl w:ilvl="1" w:tplc="7AA81824">
      <w:start w:val="1"/>
      <w:numFmt w:val="bullet"/>
      <w:lvlText w:val=""/>
      <w:lvlJc w:val="left"/>
      <w:pPr>
        <w:tabs>
          <w:tab w:val="num" w:pos="1440"/>
        </w:tabs>
        <w:ind w:left="1440" w:hanging="360"/>
      </w:pPr>
      <w:rPr>
        <w:rFonts w:ascii="Wingdings" w:hAnsi="Wingdings" w:hint="default"/>
      </w:rPr>
    </w:lvl>
    <w:lvl w:ilvl="2" w:tplc="90AC8196" w:tentative="1">
      <w:start w:val="1"/>
      <w:numFmt w:val="bullet"/>
      <w:lvlText w:val=""/>
      <w:lvlJc w:val="left"/>
      <w:pPr>
        <w:tabs>
          <w:tab w:val="num" w:pos="2160"/>
        </w:tabs>
        <w:ind w:left="2160" w:hanging="360"/>
      </w:pPr>
      <w:rPr>
        <w:rFonts w:ascii="Wingdings" w:hAnsi="Wingdings" w:hint="default"/>
      </w:rPr>
    </w:lvl>
    <w:lvl w:ilvl="3" w:tplc="C616B82E" w:tentative="1">
      <w:start w:val="1"/>
      <w:numFmt w:val="bullet"/>
      <w:lvlText w:val=""/>
      <w:lvlJc w:val="left"/>
      <w:pPr>
        <w:tabs>
          <w:tab w:val="num" w:pos="2880"/>
        </w:tabs>
        <w:ind w:left="2880" w:hanging="360"/>
      </w:pPr>
      <w:rPr>
        <w:rFonts w:ascii="Wingdings" w:hAnsi="Wingdings" w:hint="default"/>
      </w:rPr>
    </w:lvl>
    <w:lvl w:ilvl="4" w:tplc="74C4270E" w:tentative="1">
      <w:start w:val="1"/>
      <w:numFmt w:val="bullet"/>
      <w:lvlText w:val=""/>
      <w:lvlJc w:val="left"/>
      <w:pPr>
        <w:tabs>
          <w:tab w:val="num" w:pos="3600"/>
        </w:tabs>
        <w:ind w:left="3600" w:hanging="360"/>
      </w:pPr>
      <w:rPr>
        <w:rFonts w:ascii="Wingdings" w:hAnsi="Wingdings" w:hint="default"/>
      </w:rPr>
    </w:lvl>
    <w:lvl w:ilvl="5" w:tplc="CBB8E790" w:tentative="1">
      <w:start w:val="1"/>
      <w:numFmt w:val="bullet"/>
      <w:lvlText w:val=""/>
      <w:lvlJc w:val="left"/>
      <w:pPr>
        <w:tabs>
          <w:tab w:val="num" w:pos="4320"/>
        </w:tabs>
        <w:ind w:left="4320" w:hanging="360"/>
      </w:pPr>
      <w:rPr>
        <w:rFonts w:ascii="Wingdings" w:hAnsi="Wingdings" w:hint="default"/>
      </w:rPr>
    </w:lvl>
    <w:lvl w:ilvl="6" w:tplc="4350D41E" w:tentative="1">
      <w:start w:val="1"/>
      <w:numFmt w:val="bullet"/>
      <w:lvlText w:val=""/>
      <w:lvlJc w:val="left"/>
      <w:pPr>
        <w:tabs>
          <w:tab w:val="num" w:pos="5040"/>
        </w:tabs>
        <w:ind w:left="5040" w:hanging="360"/>
      </w:pPr>
      <w:rPr>
        <w:rFonts w:ascii="Wingdings" w:hAnsi="Wingdings" w:hint="default"/>
      </w:rPr>
    </w:lvl>
    <w:lvl w:ilvl="7" w:tplc="1E68DCD6" w:tentative="1">
      <w:start w:val="1"/>
      <w:numFmt w:val="bullet"/>
      <w:lvlText w:val=""/>
      <w:lvlJc w:val="left"/>
      <w:pPr>
        <w:tabs>
          <w:tab w:val="num" w:pos="5760"/>
        </w:tabs>
        <w:ind w:left="5760" w:hanging="360"/>
      </w:pPr>
      <w:rPr>
        <w:rFonts w:ascii="Wingdings" w:hAnsi="Wingdings" w:hint="default"/>
      </w:rPr>
    </w:lvl>
    <w:lvl w:ilvl="8" w:tplc="9B964CD4" w:tentative="1">
      <w:start w:val="1"/>
      <w:numFmt w:val="bullet"/>
      <w:lvlText w:val=""/>
      <w:lvlJc w:val="left"/>
      <w:pPr>
        <w:tabs>
          <w:tab w:val="num" w:pos="6480"/>
        </w:tabs>
        <w:ind w:left="6480" w:hanging="360"/>
      </w:pPr>
      <w:rPr>
        <w:rFonts w:ascii="Wingdings" w:hAnsi="Wingdings" w:hint="default"/>
      </w:rPr>
    </w:lvl>
  </w:abstractNum>
  <w:abstractNum w:abstractNumId="1">
    <w:nsid w:val="73ED1018"/>
    <w:multiLevelType w:val="hybridMultilevel"/>
    <w:tmpl w:val="489E3E3E"/>
    <w:lvl w:ilvl="0" w:tplc="54D018A6">
      <w:start w:val="1"/>
      <w:numFmt w:val="bullet"/>
      <w:lvlText w:val=""/>
      <w:lvlJc w:val="left"/>
      <w:pPr>
        <w:tabs>
          <w:tab w:val="num" w:pos="720"/>
        </w:tabs>
        <w:ind w:left="720" w:hanging="360"/>
      </w:pPr>
      <w:rPr>
        <w:rFonts w:ascii="Wingdings" w:hAnsi="Wingdings" w:hint="default"/>
      </w:rPr>
    </w:lvl>
    <w:lvl w:ilvl="1" w:tplc="1DC2135A">
      <w:start w:val="1"/>
      <w:numFmt w:val="bullet"/>
      <w:lvlText w:val=""/>
      <w:lvlJc w:val="left"/>
      <w:pPr>
        <w:tabs>
          <w:tab w:val="num" w:pos="1440"/>
        </w:tabs>
        <w:ind w:left="1440" w:hanging="360"/>
      </w:pPr>
      <w:rPr>
        <w:rFonts w:ascii="Wingdings" w:hAnsi="Wingdings" w:hint="default"/>
      </w:rPr>
    </w:lvl>
    <w:lvl w:ilvl="2" w:tplc="A90CA03E">
      <w:start w:val="1"/>
      <w:numFmt w:val="decimal"/>
      <w:lvlText w:val="%3."/>
      <w:lvlJc w:val="left"/>
      <w:pPr>
        <w:tabs>
          <w:tab w:val="num" w:pos="2160"/>
        </w:tabs>
        <w:ind w:left="2160" w:hanging="360"/>
      </w:pPr>
    </w:lvl>
    <w:lvl w:ilvl="3" w:tplc="E8EEB4BE">
      <w:start w:val="1"/>
      <w:numFmt w:val="decimal"/>
      <w:lvlText w:val="%4."/>
      <w:lvlJc w:val="left"/>
      <w:pPr>
        <w:tabs>
          <w:tab w:val="num" w:pos="2880"/>
        </w:tabs>
        <w:ind w:left="2880" w:hanging="360"/>
      </w:pPr>
    </w:lvl>
    <w:lvl w:ilvl="4" w:tplc="5614A8EE">
      <w:start w:val="1"/>
      <w:numFmt w:val="decimal"/>
      <w:lvlText w:val="%5."/>
      <w:lvlJc w:val="left"/>
      <w:pPr>
        <w:tabs>
          <w:tab w:val="num" w:pos="3600"/>
        </w:tabs>
        <w:ind w:left="3600" w:hanging="360"/>
      </w:pPr>
    </w:lvl>
    <w:lvl w:ilvl="5" w:tplc="6574964C">
      <w:start w:val="1"/>
      <w:numFmt w:val="decimal"/>
      <w:lvlText w:val="%6."/>
      <w:lvlJc w:val="left"/>
      <w:pPr>
        <w:tabs>
          <w:tab w:val="num" w:pos="4320"/>
        </w:tabs>
        <w:ind w:left="4320" w:hanging="360"/>
      </w:pPr>
    </w:lvl>
    <w:lvl w:ilvl="6" w:tplc="5A527E6C">
      <w:start w:val="1"/>
      <w:numFmt w:val="decimal"/>
      <w:lvlText w:val="%7."/>
      <w:lvlJc w:val="left"/>
      <w:pPr>
        <w:tabs>
          <w:tab w:val="num" w:pos="5040"/>
        </w:tabs>
        <w:ind w:left="5040" w:hanging="360"/>
      </w:pPr>
    </w:lvl>
    <w:lvl w:ilvl="7" w:tplc="55ECBC28">
      <w:start w:val="1"/>
      <w:numFmt w:val="decimal"/>
      <w:lvlText w:val="%8."/>
      <w:lvlJc w:val="left"/>
      <w:pPr>
        <w:tabs>
          <w:tab w:val="num" w:pos="5760"/>
        </w:tabs>
        <w:ind w:left="5760" w:hanging="360"/>
      </w:pPr>
    </w:lvl>
    <w:lvl w:ilvl="8" w:tplc="C272309E">
      <w:start w:val="1"/>
      <w:numFmt w:val="decimal"/>
      <w:lvlText w:val="%9."/>
      <w:lvlJc w:val="left"/>
      <w:pPr>
        <w:tabs>
          <w:tab w:val="num" w:pos="6480"/>
        </w:tabs>
        <w:ind w:left="6480" w:hanging="360"/>
      </w:pPr>
    </w:lvl>
  </w:abstractNum>
  <w:num w:numId="1">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15:person w15:author="Pooja Sharma">
    <w15:presenceInfo w15:providerId="Windows Live" w15:userId="d6c812ba3df462c3"/>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docVars>
    <w:docVar w:name="__Grammarly_42____i" w:val="H4sIAAAAAAAEAKtWckksSQxILCpxzi/NK1GyMqwFAAEhoTITAAAA"/>
    <w:docVar w:name="__Grammarly_42___1" w:val="H4sIAAAAAAAEAKtWcslP9kxRslIyNDYyt7QwNwASBhZmlpZmpko6SsGpxcWZ+XkgBUbGtQD4wDEpLQAAAA=="/>
  </w:docVars>
  <w:rsids>
    <w:rsidRoot w:val="00916691"/>
    <w:rsid w:val="00037A9F"/>
    <w:rsid w:val="00046421"/>
    <w:rsid w:val="000566C0"/>
    <w:rsid w:val="00065CD4"/>
    <w:rsid w:val="00083E92"/>
    <w:rsid w:val="00084C08"/>
    <w:rsid w:val="000B55D2"/>
    <w:rsid w:val="000C533D"/>
    <w:rsid w:val="000F2FF6"/>
    <w:rsid w:val="000F3A46"/>
    <w:rsid w:val="001041A7"/>
    <w:rsid w:val="001067CA"/>
    <w:rsid w:val="00123471"/>
    <w:rsid w:val="0012669D"/>
    <w:rsid w:val="00152C5C"/>
    <w:rsid w:val="00161C8C"/>
    <w:rsid w:val="00162C79"/>
    <w:rsid w:val="0016461B"/>
    <w:rsid w:val="0017158B"/>
    <w:rsid w:val="0017299D"/>
    <w:rsid w:val="0019213F"/>
    <w:rsid w:val="001A3D79"/>
    <w:rsid w:val="001A6669"/>
    <w:rsid w:val="001C1741"/>
    <w:rsid w:val="001E13A6"/>
    <w:rsid w:val="001E2695"/>
    <w:rsid w:val="001F077F"/>
    <w:rsid w:val="001F2C3A"/>
    <w:rsid w:val="001F47C8"/>
    <w:rsid w:val="00203B7D"/>
    <w:rsid w:val="00231148"/>
    <w:rsid w:val="00246ECA"/>
    <w:rsid w:val="00262AAA"/>
    <w:rsid w:val="0026604B"/>
    <w:rsid w:val="002A6046"/>
    <w:rsid w:val="002C0812"/>
    <w:rsid w:val="002C7D08"/>
    <w:rsid w:val="0031579E"/>
    <w:rsid w:val="00320900"/>
    <w:rsid w:val="00321FA3"/>
    <w:rsid w:val="003375F9"/>
    <w:rsid w:val="00343E27"/>
    <w:rsid w:val="00381E43"/>
    <w:rsid w:val="00385E3C"/>
    <w:rsid w:val="003931CE"/>
    <w:rsid w:val="003B6C65"/>
    <w:rsid w:val="003C34C2"/>
    <w:rsid w:val="003E2776"/>
    <w:rsid w:val="003E35BF"/>
    <w:rsid w:val="003F2965"/>
    <w:rsid w:val="00424AEF"/>
    <w:rsid w:val="00444882"/>
    <w:rsid w:val="00467D96"/>
    <w:rsid w:val="00471690"/>
    <w:rsid w:val="00484B50"/>
    <w:rsid w:val="00491ABF"/>
    <w:rsid w:val="004A48C0"/>
    <w:rsid w:val="004D4FAA"/>
    <w:rsid w:val="004E6B43"/>
    <w:rsid w:val="004F5C1A"/>
    <w:rsid w:val="004F61F7"/>
    <w:rsid w:val="00510D18"/>
    <w:rsid w:val="005112CE"/>
    <w:rsid w:val="00530D04"/>
    <w:rsid w:val="00540C5C"/>
    <w:rsid w:val="00557013"/>
    <w:rsid w:val="00582313"/>
    <w:rsid w:val="005C0F50"/>
    <w:rsid w:val="005E43A8"/>
    <w:rsid w:val="00641316"/>
    <w:rsid w:val="00641371"/>
    <w:rsid w:val="0064413E"/>
    <w:rsid w:val="00646B1D"/>
    <w:rsid w:val="006541C3"/>
    <w:rsid w:val="006763C9"/>
    <w:rsid w:val="006871E4"/>
    <w:rsid w:val="00695A33"/>
    <w:rsid w:val="006B0663"/>
    <w:rsid w:val="006B0DD4"/>
    <w:rsid w:val="006E7799"/>
    <w:rsid w:val="007037E1"/>
    <w:rsid w:val="00712E47"/>
    <w:rsid w:val="00730872"/>
    <w:rsid w:val="00735A5D"/>
    <w:rsid w:val="00751B69"/>
    <w:rsid w:val="00770590"/>
    <w:rsid w:val="0078380B"/>
    <w:rsid w:val="007B1206"/>
    <w:rsid w:val="007B1A78"/>
    <w:rsid w:val="007B75DF"/>
    <w:rsid w:val="007F72C6"/>
    <w:rsid w:val="00821962"/>
    <w:rsid w:val="0082210E"/>
    <w:rsid w:val="00836895"/>
    <w:rsid w:val="00851288"/>
    <w:rsid w:val="008562D8"/>
    <w:rsid w:val="0088031A"/>
    <w:rsid w:val="00886A55"/>
    <w:rsid w:val="00891C20"/>
    <w:rsid w:val="008C5360"/>
    <w:rsid w:val="008D5D59"/>
    <w:rsid w:val="008E37E3"/>
    <w:rsid w:val="008F4DCC"/>
    <w:rsid w:val="009008A7"/>
    <w:rsid w:val="00905564"/>
    <w:rsid w:val="00913A18"/>
    <w:rsid w:val="00916691"/>
    <w:rsid w:val="00965E9A"/>
    <w:rsid w:val="009845DD"/>
    <w:rsid w:val="009A77B4"/>
    <w:rsid w:val="009B65FE"/>
    <w:rsid w:val="00A01D49"/>
    <w:rsid w:val="00A11C3B"/>
    <w:rsid w:val="00A144B8"/>
    <w:rsid w:val="00A5335B"/>
    <w:rsid w:val="00A604D9"/>
    <w:rsid w:val="00A90FC4"/>
    <w:rsid w:val="00A93957"/>
    <w:rsid w:val="00AC7388"/>
    <w:rsid w:val="00AD1969"/>
    <w:rsid w:val="00AE073A"/>
    <w:rsid w:val="00B035DF"/>
    <w:rsid w:val="00B31E04"/>
    <w:rsid w:val="00B519C9"/>
    <w:rsid w:val="00B60A29"/>
    <w:rsid w:val="00B77AD9"/>
    <w:rsid w:val="00B8313E"/>
    <w:rsid w:val="00B84FB1"/>
    <w:rsid w:val="00BA6E21"/>
    <w:rsid w:val="00BB4591"/>
    <w:rsid w:val="00BB4679"/>
    <w:rsid w:val="00BB4EAB"/>
    <w:rsid w:val="00C54D93"/>
    <w:rsid w:val="00C55B9B"/>
    <w:rsid w:val="00C66B95"/>
    <w:rsid w:val="00C67FF9"/>
    <w:rsid w:val="00C92F15"/>
    <w:rsid w:val="00C94A8A"/>
    <w:rsid w:val="00CB150D"/>
    <w:rsid w:val="00CD2022"/>
    <w:rsid w:val="00D20713"/>
    <w:rsid w:val="00D268C0"/>
    <w:rsid w:val="00D34B11"/>
    <w:rsid w:val="00DE78C5"/>
    <w:rsid w:val="00E35FE5"/>
    <w:rsid w:val="00E53149"/>
    <w:rsid w:val="00E6783B"/>
    <w:rsid w:val="00E80589"/>
    <w:rsid w:val="00E9734C"/>
    <w:rsid w:val="00EA75C6"/>
    <w:rsid w:val="00EE56F7"/>
    <w:rsid w:val="00F16AC4"/>
    <w:rsid w:val="00F74E8D"/>
    <w:rsid w:val="00FA33BC"/>
    <w:rsid w:val="00FC306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2E4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1FA3"/>
    <w:pPr>
      <w:ind w:left="720"/>
      <w:contextualSpacing/>
    </w:pPr>
  </w:style>
  <w:style w:type="paragraph" w:styleId="BalloonText">
    <w:name w:val="Balloon Text"/>
    <w:basedOn w:val="Normal"/>
    <w:link w:val="BalloonTextChar"/>
    <w:uiPriority w:val="99"/>
    <w:semiHidden/>
    <w:unhideWhenUsed/>
    <w:rsid w:val="00C94A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4A8A"/>
    <w:rPr>
      <w:rFonts w:ascii="Tahoma" w:hAnsi="Tahoma" w:cs="Tahoma"/>
      <w:sz w:val="16"/>
      <w:szCs w:val="16"/>
    </w:rPr>
  </w:style>
  <w:style w:type="character" w:styleId="CommentReference">
    <w:name w:val="annotation reference"/>
    <w:basedOn w:val="DefaultParagraphFont"/>
    <w:uiPriority w:val="99"/>
    <w:semiHidden/>
    <w:unhideWhenUsed/>
    <w:rsid w:val="003C34C2"/>
    <w:rPr>
      <w:sz w:val="16"/>
      <w:szCs w:val="16"/>
    </w:rPr>
  </w:style>
  <w:style w:type="paragraph" w:styleId="CommentText">
    <w:name w:val="annotation text"/>
    <w:basedOn w:val="Normal"/>
    <w:link w:val="CommentTextChar"/>
    <w:uiPriority w:val="99"/>
    <w:semiHidden/>
    <w:unhideWhenUsed/>
    <w:rsid w:val="003C34C2"/>
    <w:pPr>
      <w:spacing w:line="240" w:lineRule="auto"/>
    </w:pPr>
    <w:rPr>
      <w:sz w:val="20"/>
      <w:szCs w:val="20"/>
    </w:rPr>
  </w:style>
  <w:style w:type="character" w:customStyle="1" w:styleId="CommentTextChar">
    <w:name w:val="Comment Text Char"/>
    <w:basedOn w:val="DefaultParagraphFont"/>
    <w:link w:val="CommentText"/>
    <w:uiPriority w:val="99"/>
    <w:semiHidden/>
    <w:rsid w:val="003C34C2"/>
    <w:rPr>
      <w:sz w:val="20"/>
      <w:szCs w:val="20"/>
    </w:rPr>
  </w:style>
  <w:style w:type="paragraph" w:styleId="CommentSubject">
    <w:name w:val="annotation subject"/>
    <w:basedOn w:val="CommentText"/>
    <w:next w:val="CommentText"/>
    <w:link w:val="CommentSubjectChar"/>
    <w:uiPriority w:val="99"/>
    <w:semiHidden/>
    <w:unhideWhenUsed/>
    <w:rsid w:val="003C34C2"/>
    <w:rPr>
      <w:b/>
      <w:bCs/>
    </w:rPr>
  </w:style>
  <w:style w:type="character" w:customStyle="1" w:styleId="CommentSubjectChar">
    <w:name w:val="Comment Subject Char"/>
    <w:basedOn w:val="CommentTextChar"/>
    <w:link w:val="CommentSubject"/>
    <w:uiPriority w:val="99"/>
    <w:semiHidden/>
    <w:rsid w:val="003C34C2"/>
    <w:rPr>
      <w:b/>
      <w:bCs/>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image" Target="media/image3.png"/><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chart" Target="charts/chart1.xml"/><Relationship Id="rId12" Type="http://schemas.openxmlformats.org/officeDocument/2006/relationships/image" Target="media/image2.png"/><Relationship Id="rId17"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chart" Target="charts/chart8.xml"/><Relationship Id="rId10" Type="http://schemas.openxmlformats.org/officeDocument/2006/relationships/chart" Target="charts/chart4.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3.xml"/><Relationship Id="rId14"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IN"/>
  <c:chart>
    <c:autoTitleDeleted val="1"/>
    <c:plotArea>
      <c:layout/>
      <c:barChart>
        <c:barDir val="bar"/>
        <c:grouping val="clustered"/>
        <c:ser>
          <c:idx val="0"/>
          <c:order val="0"/>
          <c:tx>
            <c:strRef>
              <c:f>Sheet1!$B$1</c:f>
              <c:strCache>
                <c:ptCount val="1"/>
                <c:pt idx="0">
                  <c:v>Subject Wise </c:v>
                </c:pt>
              </c:strCache>
            </c:strRef>
          </c:tx>
          <c:dLbls>
            <c:spPr>
              <a:noFill/>
              <a:ln>
                <a:noFill/>
              </a:ln>
              <a:effectLst/>
            </c:spPr>
            <c:txPr>
              <a:bodyPr/>
              <a:lstStyle/>
              <a:p>
                <a:pPr>
                  <a:defRPr lang="en-US"/>
                </a:pPr>
                <a:endParaRPr lang="en-US"/>
              </a:p>
            </c:txPr>
            <c:showVal val="1"/>
            <c:extLst>
              <c:ext xmlns:c15="http://schemas.microsoft.com/office/drawing/2012/chart" uri="{CE6537A1-D6FC-4f65-9D91-7224C49458BB}">
                <c15:showLeaderLines val="0"/>
              </c:ext>
            </c:extLst>
          </c:dLbls>
          <c:cat>
            <c:strRef>
              <c:f>Sheet1!$A$2:$A$17</c:f>
              <c:strCache>
                <c:ptCount val="16"/>
                <c:pt idx="0">
                  <c:v>Agricultural and Biological Sciences</c:v>
                </c:pt>
                <c:pt idx="1">
                  <c:v>Chemical Engineering</c:v>
                </c:pt>
                <c:pt idx="2">
                  <c:v>Chemistry</c:v>
                </c:pt>
                <c:pt idx="3">
                  <c:v>Earth and Planetary Sciences</c:v>
                </c:pt>
                <c:pt idx="4">
                  <c:v>Energy</c:v>
                </c:pt>
                <c:pt idx="5">
                  <c:v>Materials Science</c:v>
                </c:pt>
                <c:pt idx="6">
                  <c:v>Multidisciplinary</c:v>
                </c:pt>
                <c:pt idx="7">
                  <c:v>Psychology</c:v>
                </c:pt>
                <c:pt idx="8">
                  <c:v>Environmental Science</c:v>
                </c:pt>
                <c:pt idx="9">
                  <c:v>Computer Science</c:v>
                </c:pt>
                <c:pt idx="10">
                  <c:v>Arts and Humanities</c:v>
                </c:pt>
                <c:pt idx="11">
                  <c:v>Engineering</c:v>
                </c:pt>
                <c:pt idx="12">
                  <c:v>Decision Sciences</c:v>
                </c:pt>
                <c:pt idx="13">
                  <c:v>Social Sciences</c:v>
                </c:pt>
                <c:pt idx="14">
                  <c:v>Economics, Econometrics and Finance</c:v>
                </c:pt>
                <c:pt idx="15">
                  <c:v>Business, Management and Accounting</c:v>
                </c:pt>
              </c:strCache>
            </c:strRef>
          </c:cat>
          <c:val>
            <c:numRef>
              <c:f>Sheet1!$B$2:$B$17</c:f>
              <c:numCache>
                <c:formatCode>General</c:formatCode>
                <c:ptCount val="16"/>
                <c:pt idx="0">
                  <c:v>1</c:v>
                </c:pt>
                <c:pt idx="1">
                  <c:v>1</c:v>
                </c:pt>
                <c:pt idx="2">
                  <c:v>1</c:v>
                </c:pt>
                <c:pt idx="3">
                  <c:v>1</c:v>
                </c:pt>
                <c:pt idx="4">
                  <c:v>1</c:v>
                </c:pt>
                <c:pt idx="5">
                  <c:v>1</c:v>
                </c:pt>
                <c:pt idx="6">
                  <c:v>1</c:v>
                </c:pt>
                <c:pt idx="7">
                  <c:v>2</c:v>
                </c:pt>
                <c:pt idx="8">
                  <c:v>4</c:v>
                </c:pt>
                <c:pt idx="9">
                  <c:v>7</c:v>
                </c:pt>
                <c:pt idx="10">
                  <c:v>9</c:v>
                </c:pt>
                <c:pt idx="11">
                  <c:v>10</c:v>
                </c:pt>
                <c:pt idx="12">
                  <c:v>30</c:v>
                </c:pt>
                <c:pt idx="13">
                  <c:v>78</c:v>
                </c:pt>
                <c:pt idx="14">
                  <c:v>113</c:v>
                </c:pt>
                <c:pt idx="15">
                  <c:v>267</c:v>
                </c:pt>
              </c:numCache>
            </c:numRef>
          </c:val>
          <c:extLst>
            <c:ext xmlns:c16="http://schemas.microsoft.com/office/drawing/2014/chart" uri="{C3380CC4-5D6E-409C-BE32-E72D297353CC}">
              <c16:uniqueId val="{00000000-D137-464D-8699-FAA0D51E5FFA}"/>
            </c:ext>
          </c:extLst>
        </c:ser>
        <c:dLbls>
          <c:showVal val="1"/>
        </c:dLbls>
        <c:gapWidth val="75"/>
        <c:axId val="323091456"/>
        <c:axId val="322878464"/>
      </c:barChart>
      <c:valAx>
        <c:axId val="322878464"/>
        <c:scaling>
          <c:orientation val="minMax"/>
        </c:scaling>
        <c:axPos val="b"/>
        <c:numFmt formatCode="General" sourceLinked="1"/>
        <c:majorTickMark val="none"/>
        <c:tickLblPos val="nextTo"/>
        <c:txPr>
          <a:bodyPr/>
          <a:lstStyle/>
          <a:p>
            <a:pPr>
              <a:defRPr lang="en-US"/>
            </a:pPr>
            <a:endParaRPr lang="en-US"/>
          </a:p>
        </c:txPr>
        <c:crossAx val="323091456"/>
        <c:crosses val="autoZero"/>
        <c:crossBetween val="between"/>
      </c:valAx>
      <c:catAx>
        <c:axId val="323091456"/>
        <c:scaling>
          <c:orientation val="minMax"/>
        </c:scaling>
        <c:axPos val="l"/>
        <c:numFmt formatCode="General" sourceLinked="0"/>
        <c:majorTickMark val="none"/>
        <c:tickLblPos val="nextTo"/>
        <c:txPr>
          <a:bodyPr/>
          <a:lstStyle/>
          <a:p>
            <a:pPr>
              <a:defRPr lang="en-US"/>
            </a:pPr>
            <a:endParaRPr lang="en-US"/>
          </a:p>
        </c:txPr>
        <c:crossAx val="322878464"/>
        <c:crosses val="autoZero"/>
        <c:auto val="1"/>
        <c:lblAlgn val="ctr"/>
        <c:lblOffset val="100"/>
      </c:catAx>
    </c:plotArea>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IN"/>
  <c:chart>
    <c:autoTitleDeleted val="1"/>
    <c:plotArea>
      <c:layout/>
      <c:pieChart>
        <c:varyColors val="1"/>
        <c:ser>
          <c:idx val="0"/>
          <c:order val="0"/>
          <c:tx>
            <c:strRef>
              <c:f>Sheet1!$B$1</c:f>
              <c:strCache>
                <c:ptCount val="1"/>
                <c:pt idx="0">
                  <c:v>Afflication</c:v>
                </c:pt>
              </c:strCache>
            </c:strRef>
          </c:tx>
          <c:dLbls>
            <c:spPr>
              <a:noFill/>
              <a:ln>
                <a:noFill/>
              </a:ln>
              <a:effectLst/>
            </c:spPr>
            <c:txPr>
              <a:bodyPr/>
              <a:lstStyle/>
              <a:p>
                <a:pPr>
                  <a:defRPr lang="en-US"/>
                </a:pPr>
                <a:endParaRPr lang="en-US"/>
              </a:p>
            </c:txPr>
            <c:showVal val="1"/>
            <c:showCatName val="1"/>
            <c:extLst>
              <c:ext xmlns:c15="http://schemas.microsoft.com/office/drawing/2012/chart" uri="{CE6537A1-D6FC-4f65-9D91-7224C49458BB}"/>
            </c:extLst>
          </c:dLbls>
          <c:cat>
            <c:strRef>
              <c:f>Sheet1!$A$2:$A$21</c:f>
              <c:strCache>
                <c:ptCount val="20"/>
                <c:pt idx="0">
                  <c:v>Lehigh University</c:v>
                </c:pt>
                <c:pt idx="1">
                  <c:v>Pennsylvania State University</c:v>
                </c:pt>
                <c:pt idx="2">
                  <c:v>University of Pennsylvania</c:v>
                </c:pt>
                <c:pt idx="3">
                  <c:v>University of Toronto</c:v>
                </c:pt>
                <c:pt idx="4">
                  <c:v>National Institutes of Health NIH</c:v>
                </c:pt>
                <c:pt idx="5">
                  <c:v>King's College London</c:v>
                </c:pt>
                <c:pt idx="6">
                  <c:v>University of Denver</c:v>
                </c:pt>
                <c:pt idx="7">
                  <c:v>National Institute on Alcohol Abuse and Alcoholism NIAAA</c:v>
                </c:pt>
                <c:pt idx="8">
                  <c:v>Virginia Commonwealth University</c:v>
                </c:pt>
                <c:pt idx="9">
                  <c:v>Hong Kong Polytechnic University</c:v>
                </c:pt>
                <c:pt idx="10">
                  <c:v>VA Medical Center</c:v>
                </c:pt>
                <c:pt idx="11">
                  <c:v>Dalhousie University</c:v>
                </c:pt>
                <c:pt idx="12">
                  <c:v>The University of North Carolina at Chapel Hill</c:v>
                </c:pt>
                <c:pt idx="13">
                  <c:v>University of Michigan, Ann Arbor</c:v>
                </c:pt>
                <c:pt idx="14">
                  <c:v>Ben-Gurion University of the Negev</c:v>
                </c:pt>
                <c:pt idx="15">
                  <c:v>University of Minnesota Twin Cities</c:v>
                </c:pt>
                <c:pt idx="16">
                  <c:v>Columbia University</c:v>
                </c:pt>
                <c:pt idx="17">
                  <c:v>The University of Manchester</c:v>
                </c:pt>
                <c:pt idx="18">
                  <c:v>Arizona State University</c:v>
                </c:pt>
                <c:pt idx="19">
                  <c:v>Massey University</c:v>
                </c:pt>
              </c:strCache>
            </c:strRef>
          </c:cat>
          <c:val>
            <c:numRef>
              <c:f>Sheet1!$B$2:$B$21</c:f>
              <c:numCache>
                <c:formatCode>General</c:formatCode>
                <c:ptCount val="20"/>
                <c:pt idx="0">
                  <c:v>9</c:v>
                </c:pt>
                <c:pt idx="1">
                  <c:v>7</c:v>
                </c:pt>
                <c:pt idx="2">
                  <c:v>7</c:v>
                </c:pt>
                <c:pt idx="3">
                  <c:v>7</c:v>
                </c:pt>
                <c:pt idx="4">
                  <c:v>6</c:v>
                </c:pt>
                <c:pt idx="5">
                  <c:v>6</c:v>
                </c:pt>
                <c:pt idx="6">
                  <c:v>6</c:v>
                </c:pt>
                <c:pt idx="7">
                  <c:v>6</c:v>
                </c:pt>
                <c:pt idx="8">
                  <c:v>5</c:v>
                </c:pt>
                <c:pt idx="9">
                  <c:v>5</c:v>
                </c:pt>
                <c:pt idx="10">
                  <c:v>5</c:v>
                </c:pt>
                <c:pt idx="11">
                  <c:v>5</c:v>
                </c:pt>
                <c:pt idx="12">
                  <c:v>5</c:v>
                </c:pt>
                <c:pt idx="13">
                  <c:v>5</c:v>
                </c:pt>
                <c:pt idx="14">
                  <c:v>5</c:v>
                </c:pt>
                <c:pt idx="15">
                  <c:v>5</c:v>
                </c:pt>
                <c:pt idx="16">
                  <c:v>5</c:v>
                </c:pt>
                <c:pt idx="17">
                  <c:v>4</c:v>
                </c:pt>
                <c:pt idx="18">
                  <c:v>4</c:v>
                </c:pt>
                <c:pt idx="19">
                  <c:v>4</c:v>
                </c:pt>
              </c:numCache>
            </c:numRef>
          </c:val>
          <c:extLst>
            <c:ext xmlns:c16="http://schemas.microsoft.com/office/drawing/2014/chart" uri="{C3380CC4-5D6E-409C-BE32-E72D297353CC}">
              <c16:uniqueId val="{00000000-EC4E-4DC0-B714-329DFF7A8B8B}"/>
            </c:ext>
          </c:extLst>
        </c:ser>
        <c:dLbls>
          <c:showVal val="1"/>
          <c:showCatName val="1"/>
        </c:dLbls>
        <c:firstSliceAng val="0"/>
      </c:pieChart>
    </c:plotArea>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IN"/>
  <c:chart>
    <c:autoTitleDeleted val="1"/>
    <c:plotArea>
      <c:layout/>
      <c:lineChart>
        <c:grouping val="standard"/>
        <c:ser>
          <c:idx val="0"/>
          <c:order val="0"/>
          <c:tx>
            <c:strRef>
              <c:f>Sheet1!$B$1</c:f>
              <c:strCache>
                <c:ptCount val="1"/>
                <c:pt idx="0">
                  <c:v>Series 1</c:v>
                </c:pt>
              </c:strCache>
            </c:strRef>
          </c:tx>
          <c:dLbls>
            <c:spPr>
              <a:noFill/>
              <a:ln>
                <a:noFill/>
              </a:ln>
              <a:effectLst/>
            </c:spPr>
            <c:txPr>
              <a:bodyPr/>
              <a:lstStyle/>
              <a:p>
                <a:pPr>
                  <a:defRPr lang="en-US"/>
                </a:pPr>
                <a:endParaRPr lang="en-US"/>
              </a:p>
            </c:txPr>
            <c:showVal val="1"/>
            <c:extLst>
              <c:ext xmlns:c15="http://schemas.microsoft.com/office/drawing/2012/chart" uri="{CE6537A1-D6FC-4f65-9D91-7224C49458BB}">
                <c15:showLeaderLines val="0"/>
              </c:ext>
            </c:extLst>
          </c:dLbls>
          <c:cat>
            <c:numRef>
              <c:f>Sheet1!$A$2:$A$18</c:f>
              <c:numCache>
                <c:formatCode>General</c:formatCode>
                <c:ptCount val="17"/>
                <c:pt idx="0">
                  <c:v>2002</c:v>
                </c:pt>
                <c:pt idx="1">
                  <c:v>2004</c:v>
                </c:pt>
                <c:pt idx="2">
                  <c:v>2005</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numCache>
            </c:numRef>
          </c:cat>
          <c:val>
            <c:numRef>
              <c:f>Sheet1!$B$2:$B$18</c:f>
              <c:numCache>
                <c:formatCode>General</c:formatCode>
                <c:ptCount val="17"/>
                <c:pt idx="0">
                  <c:v>2</c:v>
                </c:pt>
                <c:pt idx="1">
                  <c:v>1</c:v>
                </c:pt>
                <c:pt idx="2">
                  <c:v>2</c:v>
                </c:pt>
                <c:pt idx="3">
                  <c:v>4</c:v>
                </c:pt>
                <c:pt idx="4">
                  <c:v>8</c:v>
                </c:pt>
                <c:pt idx="5">
                  <c:v>11</c:v>
                </c:pt>
                <c:pt idx="6">
                  <c:v>13</c:v>
                </c:pt>
                <c:pt idx="7">
                  <c:v>11</c:v>
                </c:pt>
                <c:pt idx="8">
                  <c:v>15</c:v>
                </c:pt>
                <c:pt idx="9">
                  <c:v>16</c:v>
                </c:pt>
                <c:pt idx="10">
                  <c:v>16</c:v>
                </c:pt>
                <c:pt idx="11">
                  <c:v>32</c:v>
                </c:pt>
                <c:pt idx="12">
                  <c:v>40</c:v>
                </c:pt>
                <c:pt idx="13">
                  <c:v>63</c:v>
                </c:pt>
                <c:pt idx="14">
                  <c:v>75</c:v>
                </c:pt>
                <c:pt idx="15">
                  <c:v>60</c:v>
                </c:pt>
                <c:pt idx="16">
                  <c:v>68</c:v>
                </c:pt>
              </c:numCache>
            </c:numRef>
          </c:val>
          <c:extLst>
            <c:ext xmlns:c16="http://schemas.microsoft.com/office/drawing/2014/chart" uri="{C3380CC4-5D6E-409C-BE32-E72D297353CC}">
              <c16:uniqueId val="{00000000-2DFD-4420-9BF6-147930347516}"/>
            </c:ext>
          </c:extLst>
        </c:ser>
        <c:dLbls>
          <c:showVal val="1"/>
        </c:dLbls>
        <c:marker val="1"/>
        <c:axId val="70271360"/>
        <c:axId val="70272896"/>
      </c:lineChart>
      <c:catAx>
        <c:axId val="70271360"/>
        <c:scaling>
          <c:orientation val="minMax"/>
        </c:scaling>
        <c:axPos val="b"/>
        <c:numFmt formatCode="General" sourceLinked="1"/>
        <c:majorTickMark val="none"/>
        <c:tickLblPos val="nextTo"/>
        <c:txPr>
          <a:bodyPr/>
          <a:lstStyle/>
          <a:p>
            <a:pPr>
              <a:defRPr lang="en-US"/>
            </a:pPr>
            <a:endParaRPr lang="en-US"/>
          </a:p>
        </c:txPr>
        <c:crossAx val="70272896"/>
        <c:crosses val="autoZero"/>
        <c:auto val="1"/>
        <c:lblAlgn val="ctr"/>
        <c:lblOffset val="100"/>
      </c:catAx>
      <c:valAx>
        <c:axId val="70272896"/>
        <c:scaling>
          <c:orientation val="minMax"/>
        </c:scaling>
        <c:axPos val="l"/>
        <c:majorGridlines/>
        <c:numFmt formatCode="General" sourceLinked="1"/>
        <c:majorTickMark val="none"/>
        <c:tickLblPos val="nextTo"/>
        <c:txPr>
          <a:bodyPr/>
          <a:lstStyle/>
          <a:p>
            <a:pPr>
              <a:defRPr lang="en-US"/>
            </a:pPr>
            <a:endParaRPr lang="en-US"/>
          </a:p>
        </c:txPr>
        <c:crossAx val="70271360"/>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IN"/>
  <c:chart>
    <c:autoTitleDeleted val="1"/>
    <c:plotArea>
      <c:layout/>
      <c:barChart>
        <c:barDir val="bar"/>
        <c:grouping val="clustered"/>
        <c:ser>
          <c:idx val="0"/>
          <c:order val="0"/>
          <c:tx>
            <c:strRef>
              <c:f>Sheet1!$B$1</c:f>
              <c:strCache>
                <c:ptCount val="1"/>
                <c:pt idx="0">
                  <c:v>Series 1</c:v>
                </c:pt>
              </c:strCache>
            </c:strRef>
          </c:tx>
          <c:dLbls>
            <c:spPr>
              <a:noFill/>
              <a:ln>
                <a:noFill/>
              </a:ln>
              <a:effectLst/>
            </c:spPr>
            <c:txPr>
              <a:bodyPr/>
              <a:lstStyle/>
              <a:p>
                <a:pPr>
                  <a:defRPr lang="en-US"/>
                </a:pPr>
                <a:endParaRPr lang="en-US"/>
              </a:p>
            </c:txPr>
            <c:dLblPos val="inEnd"/>
            <c:showVal val="1"/>
            <c:extLst>
              <c:ext xmlns:c15="http://schemas.microsoft.com/office/drawing/2012/chart" uri="{CE6537A1-D6FC-4f65-9D91-7224C49458BB}">
                <c15:showLeaderLines val="0"/>
              </c:ext>
            </c:extLst>
          </c:dLbls>
          <c:cat>
            <c:strRef>
              <c:f>Sheet1!$A$2:$A$21</c:f>
              <c:strCache>
                <c:ptCount val="20"/>
                <c:pt idx="0">
                  <c:v>Ahmad, G.B.</c:v>
                </c:pt>
                <c:pt idx="1">
                  <c:v>Bagheri, A.</c:v>
                </c:pt>
                <c:pt idx="2">
                  <c:v>Fayolle, A.</c:v>
                </c:pt>
                <c:pt idx="3">
                  <c:v>Herliana, S.</c:v>
                </c:pt>
                <c:pt idx="4">
                  <c:v>Faghih, N.</c:v>
                </c:pt>
                <c:pt idx="5">
                  <c:v>Ibidunni, A.S.</c:v>
                </c:pt>
                <c:pt idx="6">
                  <c:v>Man, T.W.Y.</c:v>
                </c:pt>
                <c:pt idx="7">
                  <c:v>Mitchelmore, S.</c:v>
                </c:pt>
                <c:pt idx="8">
                  <c:v>Mosey, S.</c:v>
                </c:pt>
                <c:pt idx="9">
                  <c:v>Ramayah, T.</c:v>
                </c:pt>
                <c:pt idx="10">
                  <c:v>Rasmussen, E.</c:v>
                </c:pt>
                <c:pt idx="11">
                  <c:v>Tehseen, S.</c:v>
                </c:pt>
                <c:pt idx="12">
                  <c:v>Wright, M.</c:v>
                </c:pt>
                <c:pt idx="13">
                  <c:v>Botha, M.</c:v>
                </c:pt>
                <c:pt idx="14">
                  <c:v>Zainol, N.R.</c:v>
                </c:pt>
                <c:pt idx="15">
                  <c:v>Ahmad, N.H.</c:v>
                </c:pt>
                <c:pt idx="16">
                  <c:v>Al Mamun, A.</c:v>
                </c:pt>
                <c:pt idx="17">
                  <c:v>Fazal, S.A.</c:v>
                </c:pt>
                <c:pt idx="18">
                  <c:v>Mamun, A.A.</c:v>
                </c:pt>
                <c:pt idx="19">
                  <c:v>Zali, M.R.</c:v>
                </c:pt>
              </c:strCache>
            </c:strRef>
          </c:cat>
          <c:val>
            <c:numRef>
              <c:f>Sheet1!$B$2:$B$21</c:f>
              <c:numCache>
                <c:formatCode>General</c:formatCode>
                <c:ptCount val="20"/>
                <c:pt idx="0">
                  <c:v>3</c:v>
                </c:pt>
                <c:pt idx="1">
                  <c:v>3</c:v>
                </c:pt>
                <c:pt idx="2">
                  <c:v>3</c:v>
                </c:pt>
                <c:pt idx="3">
                  <c:v>3</c:v>
                </c:pt>
                <c:pt idx="4">
                  <c:v>4</c:v>
                </c:pt>
                <c:pt idx="5">
                  <c:v>4</c:v>
                </c:pt>
                <c:pt idx="6">
                  <c:v>4</c:v>
                </c:pt>
                <c:pt idx="7">
                  <c:v>4</c:v>
                </c:pt>
                <c:pt idx="8">
                  <c:v>4</c:v>
                </c:pt>
                <c:pt idx="9">
                  <c:v>4</c:v>
                </c:pt>
                <c:pt idx="10">
                  <c:v>4</c:v>
                </c:pt>
                <c:pt idx="11">
                  <c:v>4</c:v>
                </c:pt>
                <c:pt idx="12">
                  <c:v>4</c:v>
                </c:pt>
                <c:pt idx="13">
                  <c:v>5</c:v>
                </c:pt>
                <c:pt idx="14">
                  <c:v>5</c:v>
                </c:pt>
                <c:pt idx="15">
                  <c:v>6</c:v>
                </c:pt>
                <c:pt idx="16">
                  <c:v>6</c:v>
                </c:pt>
                <c:pt idx="17">
                  <c:v>6</c:v>
                </c:pt>
                <c:pt idx="18">
                  <c:v>7</c:v>
                </c:pt>
                <c:pt idx="19">
                  <c:v>7</c:v>
                </c:pt>
              </c:numCache>
            </c:numRef>
          </c:val>
          <c:extLst>
            <c:ext xmlns:c16="http://schemas.microsoft.com/office/drawing/2014/chart" uri="{C3380CC4-5D6E-409C-BE32-E72D297353CC}">
              <c16:uniqueId val="{00000000-2C64-4CF0-93BB-AA7B6A4CAC18}"/>
            </c:ext>
          </c:extLst>
        </c:ser>
        <c:gapWidth val="75"/>
        <c:axId val="69694592"/>
        <c:axId val="69696128"/>
      </c:barChart>
      <c:catAx>
        <c:axId val="69694592"/>
        <c:scaling>
          <c:orientation val="minMax"/>
        </c:scaling>
        <c:axPos val="l"/>
        <c:numFmt formatCode="General" sourceLinked="0"/>
        <c:majorTickMark val="none"/>
        <c:tickLblPos val="nextTo"/>
        <c:txPr>
          <a:bodyPr/>
          <a:lstStyle/>
          <a:p>
            <a:pPr>
              <a:defRPr lang="en-US"/>
            </a:pPr>
            <a:endParaRPr lang="en-US"/>
          </a:p>
        </c:txPr>
        <c:crossAx val="69696128"/>
        <c:crosses val="autoZero"/>
        <c:auto val="1"/>
        <c:lblAlgn val="ctr"/>
        <c:lblOffset val="100"/>
      </c:catAx>
      <c:valAx>
        <c:axId val="69696128"/>
        <c:scaling>
          <c:orientation val="minMax"/>
        </c:scaling>
        <c:axPos val="b"/>
        <c:majorGridlines/>
        <c:numFmt formatCode="General" sourceLinked="1"/>
        <c:majorTickMark val="none"/>
        <c:tickLblPos val="nextTo"/>
        <c:txPr>
          <a:bodyPr/>
          <a:lstStyle/>
          <a:p>
            <a:pPr>
              <a:defRPr lang="en-US"/>
            </a:pPr>
            <a:endParaRPr lang="en-US"/>
          </a:p>
        </c:txPr>
        <c:crossAx val="69694592"/>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IN"/>
  <c:chart>
    <c:title/>
    <c:plotArea>
      <c:layout/>
      <c:pieChart>
        <c:varyColors val="1"/>
        <c:ser>
          <c:idx val="0"/>
          <c:order val="0"/>
          <c:tx>
            <c:strRef>
              <c:f>Sheet1!$B$1</c:f>
              <c:strCache>
                <c:ptCount val="1"/>
                <c:pt idx="0">
                  <c:v>Countries</c:v>
                </c:pt>
              </c:strCache>
            </c:strRef>
          </c:tx>
          <c:dLbls>
            <c:showCatName val="1"/>
            <c:showPercent val="1"/>
          </c:dLbls>
          <c:cat>
            <c:strRef>
              <c:f>Sheet1!$A$2:$A$21</c:f>
              <c:strCache>
                <c:ptCount val="20"/>
                <c:pt idx="0">
                  <c:v>Malaysia</c:v>
                </c:pt>
                <c:pt idx="1">
                  <c:v>Indonesia</c:v>
                </c:pt>
                <c:pt idx="2">
                  <c:v>United Kingdom</c:v>
                </c:pt>
                <c:pt idx="3">
                  <c:v>United States</c:v>
                </c:pt>
                <c:pt idx="4">
                  <c:v>Spain</c:v>
                </c:pt>
                <c:pt idx="5">
                  <c:v>India</c:v>
                </c:pt>
                <c:pt idx="6">
                  <c:v>Russian Federation</c:v>
                </c:pt>
                <c:pt idx="7">
                  <c:v>South Africa</c:v>
                </c:pt>
                <c:pt idx="8">
                  <c:v>China</c:v>
                </c:pt>
                <c:pt idx="9">
                  <c:v>Iran</c:v>
                </c:pt>
                <c:pt idx="10">
                  <c:v>Germany</c:v>
                </c:pt>
                <c:pt idx="11">
                  <c:v>Netherlands</c:v>
                </c:pt>
                <c:pt idx="12">
                  <c:v>Nigeria</c:v>
                </c:pt>
                <c:pt idx="13">
                  <c:v>Australia</c:v>
                </c:pt>
                <c:pt idx="14">
                  <c:v>Belgium</c:v>
                </c:pt>
                <c:pt idx="15">
                  <c:v>Finland</c:v>
                </c:pt>
                <c:pt idx="16">
                  <c:v>Italy</c:v>
                </c:pt>
                <c:pt idx="17">
                  <c:v>Sweden</c:v>
                </c:pt>
                <c:pt idx="18">
                  <c:v>Poland</c:v>
                </c:pt>
                <c:pt idx="19">
                  <c:v>Portugal</c:v>
                </c:pt>
              </c:strCache>
            </c:strRef>
          </c:cat>
          <c:val>
            <c:numRef>
              <c:f>Sheet1!$B$2:$B$21</c:f>
              <c:numCache>
                <c:formatCode>General</c:formatCode>
                <c:ptCount val="20"/>
                <c:pt idx="0">
                  <c:v>48</c:v>
                </c:pt>
                <c:pt idx="1">
                  <c:v>38</c:v>
                </c:pt>
                <c:pt idx="2">
                  <c:v>38</c:v>
                </c:pt>
                <c:pt idx="3">
                  <c:v>32</c:v>
                </c:pt>
                <c:pt idx="4">
                  <c:v>27</c:v>
                </c:pt>
                <c:pt idx="5">
                  <c:v>22</c:v>
                </c:pt>
                <c:pt idx="6">
                  <c:v>21</c:v>
                </c:pt>
                <c:pt idx="7">
                  <c:v>15</c:v>
                </c:pt>
                <c:pt idx="8">
                  <c:v>13</c:v>
                </c:pt>
                <c:pt idx="9">
                  <c:v>13</c:v>
                </c:pt>
                <c:pt idx="10">
                  <c:v>12</c:v>
                </c:pt>
                <c:pt idx="11">
                  <c:v>12</c:v>
                </c:pt>
                <c:pt idx="12">
                  <c:v>12</c:v>
                </c:pt>
                <c:pt idx="13">
                  <c:v>10</c:v>
                </c:pt>
                <c:pt idx="14">
                  <c:v>10</c:v>
                </c:pt>
                <c:pt idx="15">
                  <c:v>9</c:v>
                </c:pt>
                <c:pt idx="16">
                  <c:v>9</c:v>
                </c:pt>
                <c:pt idx="17">
                  <c:v>9</c:v>
                </c:pt>
                <c:pt idx="18">
                  <c:v>8</c:v>
                </c:pt>
                <c:pt idx="19">
                  <c:v>8</c:v>
                </c:pt>
              </c:numCache>
            </c:numRef>
          </c:val>
          <c:extLst>
            <c:ext xmlns:c16="http://schemas.microsoft.com/office/drawing/2014/chart" uri="{C3380CC4-5D6E-409C-BE32-E72D297353CC}">
              <c16:uniqueId val="{00000000-5093-46A1-B581-605806127A4E}"/>
            </c:ext>
          </c:extLst>
        </c:ser>
        <c:dLbls>
          <c:showCatName val="1"/>
          <c:showPercent val="1"/>
        </c:dLbls>
        <c:firstSliceAng val="0"/>
      </c:pieChart>
    </c:plotArea>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lang="en-US"/>
            </a:pPr>
            <a:r>
              <a:rPr lang="en-US"/>
              <a:t>Affiliation</a:t>
            </a:r>
          </a:p>
        </c:rich>
      </c:tx>
    </c:title>
    <c:plotArea>
      <c:layout/>
      <c:pieChart>
        <c:varyColors val="1"/>
        <c:ser>
          <c:idx val="0"/>
          <c:order val="0"/>
          <c:tx>
            <c:strRef>
              <c:f>Sheet1!$B$1</c:f>
              <c:strCache>
                <c:ptCount val="1"/>
                <c:pt idx="0">
                  <c:v>Afflicatation</c:v>
                </c:pt>
              </c:strCache>
            </c:strRef>
          </c:tx>
          <c:dLbls>
            <c:spPr>
              <a:noFill/>
              <a:ln>
                <a:noFill/>
              </a:ln>
              <a:effectLst/>
            </c:spPr>
            <c:txPr>
              <a:bodyPr/>
              <a:lstStyle/>
              <a:p>
                <a:pPr>
                  <a:defRPr lang="en-US"/>
                </a:pPr>
                <a:endParaRPr lang="en-US"/>
              </a:p>
            </c:txPr>
            <c:showCatName val="1"/>
            <c:showPercent val="1"/>
            <c:extLst>
              <c:ext xmlns:c15="http://schemas.microsoft.com/office/drawing/2012/chart" uri="{CE6537A1-D6FC-4f65-9D91-7224C49458BB}"/>
            </c:extLst>
          </c:dLbls>
          <c:cat>
            <c:strRef>
              <c:f>Sheet1!$A$2:$A$11</c:f>
              <c:strCache>
                <c:ptCount val="10"/>
                <c:pt idx="0">
                  <c:v>Universiti Sains Malaysia</c:v>
                </c:pt>
                <c:pt idx="1">
                  <c:v>Universiti Malaysia Kelantan</c:v>
                </c:pt>
                <c:pt idx="2">
                  <c:v>University of Tehran</c:v>
                </c:pt>
                <c:pt idx="3">
                  <c:v>University of Pretoria</c:v>
                </c:pt>
                <c:pt idx="4">
                  <c:v>Institut Teknologi Bandung</c:v>
                </c:pt>
                <c:pt idx="5">
                  <c:v>Universiteit Gent</c:v>
                </c:pt>
                <c:pt idx="6">
                  <c:v>Covenant University</c:v>
                </c:pt>
                <c:pt idx="7">
                  <c:v>Chalmers University of Technology</c:v>
                </c:pt>
                <c:pt idx="8">
                  <c:v>Universiti Utara Malaysia</c:v>
                </c:pt>
                <c:pt idx="9">
                  <c:v>Wageningen University &amp; Research</c:v>
                </c:pt>
              </c:strCache>
            </c:strRef>
          </c:cat>
          <c:val>
            <c:numRef>
              <c:f>Sheet1!$B$2:$B$11</c:f>
              <c:numCache>
                <c:formatCode>General</c:formatCode>
                <c:ptCount val="10"/>
                <c:pt idx="0">
                  <c:v>13</c:v>
                </c:pt>
                <c:pt idx="1">
                  <c:v>12</c:v>
                </c:pt>
                <c:pt idx="2">
                  <c:v>9</c:v>
                </c:pt>
                <c:pt idx="3">
                  <c:v>7</c:v>
                </c:pt>
                <c:pt idx="4">
                  <c:v>7</c:v>
                </c:pt>
                <c:pt idx="5">
                  <c:v>6</c:v>
                </c:pt>
                <c:pt idx="6">
                  <c:v>5</c:v>
                </c:pt>
                <c:pt idx="7">
                  <c:v>4</c:v>
                </c:pt>
                <c:pt idx="8">
                  <c:v>4</c:v>
                </c:pt>
                <c:pt idx="9">
                  <c:v>4</c:v>
                </c:pt>
              </c:numCache>
            </c:numRef>
          </c:val>
          <c:extLst>
            <c:ext xmlns:c16="http://schemas.microsoft.com/office/drawing/2014/chart" uri="{C3380CC4-5D6E-409C-BE32-E72D297353CC}">
              <c16:uniqueId val="{00000000-2E6E-489F-AEFF-D69986A412A3}"/>
            </c:ext>
          </c:extLst>
        </c:ser>
        <c:dLbls>
          <c:showCatName val="1"/>
          <c:showPercent val="1"/>
        </c:dLbls>
        <c:firstSliceAng val="0"/>
      </c:pieChart>
    </c:plotArea>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IN"/>
  <c:chart>
    <c:autoTitleDeleted val="1"/>
    <c:plotArea>
      <c:layout/>
      <c:barChart>
        <c:barDir val="bar"/>
        <c:grouping val="clustered"/>
        <c:ser>
          <c:idx val="0"/>
          <c:order val="0"/>
          <c:tx>
            <c:strRef>
              <c:f>Sheet1!$B$1</c:f>
              <c:strCache>
                <c:ptCount val="1"/>
                <c:pt idx="0">
                  <c:v>Sales</c:v>
                </c:pt>
              </c:strCache>
            </c:strRef>
          </c:tx>
          <c:dLbls>
            <c:spPr>
              <a:noFill/>
              <a:ln>
                <a:noFill/>
              </a:ln>
              <a:effectLst/>
            </c:spPr>
            <c:txPr>
              <a:bodyPr/>
              <a:lstStyle/>
              <a:p>
                <a:pPr>
                  <a:defRPr lang="en-US"/>
                </a:pPr>
                <a:endParaRPr lang="en-US"/>
              </a:p>
            </c:txPr>
            <c:showVal val="1"/>
            <c:extLst>
              <c:ext xmlns:c15="http://schemas.microsoft.com/office/drawing/2012/chart" uri="{CE6537A1-D6FC-4f65-9D91-7224C49458BB}">
                <c15:showLeaderLines val="0"/>
              </c:ext>
            </c:extLst>
          </c:dLbls>
          <c:cat>
            <c:strRef>
              <c:f>Sheet1!$A$2:$A$27</c:f>
              <c:strCache>
                <c:ptCount val="26"/>
                <c:pt idx="0">
                  <c:v>Chemistry</c:v>
                </c:pt>
                <c:pt idx="1">
                  <c:v>Materials Science</c:v>
                </c:pt>
                <c:pt idx="2">
                  <c:v>Veterinary</c:v>
                </c:pt>
                <c:pt idx="3">
                  <c:v>Health Professions</c:v>
                </c:pt>
                <c:pt idx="4">
                  <c:v>Immunology and Microbiology</c:v>
                </c:pt>
                <c:pt idx="5">
                  <c:v>Physics and Astronomy</c:v>
                </c:pt>
                <c:pt idx="6">
                  <c:v>Pharmacology, Toxicology and Pharmaceutics</c:v>
                </c:pt>
                <c:pt idx="7">
                  <c:v>Multidisciplinary</c:v>
                </c:pt>
                <c:pt idx="8">
                  <c:v>Chemical Engineering</c:v>
                </c:pt>
                <c:pt idx="9">
                  <c:v>Mathematics</c:v>
                </c:pt>
                <c:pt idx="10">
                  <c:v>Nursing</c:v>
                </c:pt>
                <c:pt idx="11">
                  <c:v>Agricultural and Biological Sciences</c:v>
                </c:pt>
                <c:pt idx="12">
                  <c:v>Decision Sciences</c:v>
                </c:pt>
                <c:pt idx="13">
                  <c:v>Economics, Econometrics and Finance</c:v>
                </c:pt>
                <c:pt idx="14">
                  <c:v>Arts and Humanities</c:v>
                </c:pt>
                <c:pt idx="15">
                  <c:v>Biochemistry, Genetics and Molecular Biology</c:v>
                </c:pt>
                <c:pt idx="16">
                  <c:v>Energy</c:v>
                </c:pt>
                <c:pt idx="17">
                  <c:v>Computer Science</c:v>
                </c:pt>
                <c:pt idx="18">
                  <c:v>Neuroscience</c:v>
                </c:pt>
                <c:pt idx="19">
                  <c:v>Earth and Planetary Sciences</c:v>
                </c:pt>
                <c:pt idx="20">
                  <c:v>Business, Management and Accounting</c:v>
                </c:pt>
                <c:pt idx="21">
                  <c:v>Engineering</c:v>
                </c:pt>
                <c:pt idx="22">
                  <c:v>Environmental Science</c:v>
                </c:pt>
                <c:pt idx="23">
                  <c:v>Psychology</c:v>
                </c:pt>
                <c:pt idx="24">
                  <c:v>Medicine</c:v>
                </c:pt>
                <c:pt idx="25">
                  <c:v>Social Sciences</c:v>
                </c:pt>
              </c:strCache>
            </c:strRef>
          </c:cat>
          <c:val>
            <c:numRef>
              <c:f>Sheet1!$B$2:$B$27</c:f>
              <c:numCache>
                <c:formatCode>General</c:formatCode>
                <c:ptCount val="26"/>
                <c:pt idx="0">
                  <c:v>1</c:v>
                </c:pt>
                <c:pt idx="1">
                  <c:v>1</c:v>
                </c:pt>
                <c:pt idx="2">
                  <c:v>1</c:v>
                </c:pt>
                <c:pt idx="3">
                  <c:v>2</c:v>
                </c:pt>
                <c:pt idx="4">
                  <c:v>2</c:v>
                </c:pt>
                <c:pt idx="5">
                  <c:v>2</c:v>
                </c:pt>
                <c:pt idx="6">
                  <c:v>3</c:v>
                </c:pt>
                <c:pt idx="7">
                  <c:v>4</c:v>
                </c:pt>
                <c:pt idx="8">
                  <c:v>5</c:v>
                </c:pt>
                <c:pt idx="9">
                  <c:v>7</c:v>
                </c:pt>
                <c:pt idx="10">
                  <c:v>7</c:v>
                </c:pt>
                <c:pt idx="11">
                  <c:v>10</c:v>
                </c:pt>
                <c:pt idx="12">
                  <c:v>11</c:v>
                </c:pt>
                <c:pt idx="13">
                  <c:v>11</c:v>
                </c:pt>
                <c:pt idx="14">
                  <c:v>12</c:v>
                </c:pt>
                <c:pt idx="15">
                  <c:v>13</c:v>
                </c:pt>
                <c:pt idx="16">
                  <c:v>13</c:v>
                </c:pt>
                <c:pt idx="17">
                  <c:v>23</c:v>
                </c:pt>
                <c:pt idx="18">
                  <c:v>23</c:v>
                </c:pt>
                <c:pt idx="19">
                  <c:v>26</c:v>
                </c:pt>
                <c:pt idx="20">
                  <c:v>27</c:v>
                </c:pt>
                <c:pt idx="21">
                  <c:v>43</c:v>
                </c:pt>
                <c:pt idx="22">
                  <c:v>53</c:v>
                </c:pt>
                <c:pt idx="23">
                  <c:v>76</c:v>
                </c:pt>
                <c:pt idx="24">
                  <c:v>92</c:v>
                </c:pt>
                <c:pt idx="25">
                  <c:v>139</c:v>
                </c:pt>
              </c:numCache>
            </c:numRef>
          </c:val>
          <c:extLst>
            <c:ext xmlns:c16="http://schemas.microsoft.com/office/drawing/2014/chart" uri="{C3380CC4-5D6E-409C-BE32-E72D297353CC}">
              <c16:uniqueId val="{00000000-AD25-4C8D-BD54-2024337D99C2}"/>
            </c:ext>
          </c:extLst>
        </c:ser>
        <c:dLbls>
          <c:showVal val="1"/>
        </c:dLbls>
        <c:gapWidth val="75"/>
        <c:axId val="70023808"/>
        <c:axId val="70022272"/>
      </c:barChart>
      <c:valAx>
        <c:axId val="70022272"/>
        <c:scaling>
          <c:orientation val="minMax"/>
        </c:scaling>
        <c:axPos val="b"/>
        <c:numFmt formatCode="General" sourceLinked="1"/>
        <c:majorTickMark val="none"/>
        <c:tickLblPos val="nextTo"/>
        <c:txPr>
          <a:bodyPr/>
          <a:lstStyle/>
          <a:p>
            <a:pPr>
              <a:defRPr lang="en-US"/>
            </a:pPr>
            <a:endParaRPr lang="en-US"/>
          </a:p>
        </c:txPr>
        <c:crossAx val="70023808"/>
        <c:crosses val="autoZero"/>
        <c:crossBetween val="between"/>
      </c:valAx>
      <c:catAx>
        <c:axId val="70023808"/>
        <c:scaling>
          <c:orientation val="minMax"/>
        </c:scaling>
        <c:axPos val="l"/>
        <c:numFmt formatCode="General" sourceLinked="0"/>
        <c:majorTickMark val="none"/>
        <c:tickLblPos val="nextTo"/>
        <c:txPr>
          <a:bodyPr/>
          <a:lstStyle/>
          <a:p>
            <a:pPr>
              <a:defRPr lang="en-US"/>
            </a:pPr>
            <a:endParaRPr lang="en-US"/>
          </a:p>
        </c:txPr>
        <c:crossAx val="70022272"/>
        <c:crosses val="autoZero"/>
        <c:auto val="1"/>
        <c:lblAlgn val="ctr"/>
        <c:lblOffset val="100"/>
      </c:catAx>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IN"/>
  <c:chart>
    <c:autoTitleDeleted val="1"/>
    <c:plotArea>
      <c:layout/>
      <c:lineChart>
        <c:grouping val="standard"/>
        <c:ser>
          <c:idx val="0"/>
          <c:order val="0"/>
          <c:tx>
            <c:strRef>
              <c:f>Sheet1!$B$1</c:f>
              <c:strCache>
                <c:ptCount val="1"/>
                <c:pt idx="0">
                  <c:v>Number of Publication</c:v>
                </c:pt>
              </c:strCache>
            </c:strRef>
          </c:tx>
          <c:marker>
            <c:symbol val="none"/>
          </c:marker>
          <c:dLbls>
            <c:spPr>
              <a:noFill/>
              <a:ln>
                <a:noFill/>
              </a:ln>
              <a:effectLst/>
            </c:spPr>
            <c:txPr>
              <a:bodyPr/>
              <a:lstStyle/>
              <a:p>
                <a:pPr>
                  <a:defRPr lang="en-US"/>
                </a:pPr>
                <a:endParaRPr lang="en-US"/>
              </a:p>
            </c:txPr>
            <c:showVal val="1"/>
            <c:extLst>
              <c:ext xmlns:c15="http://schemas.microsoft.com/office/drawing/2012/chart" uri="{CE6537A1-D6FC-4f65-9D91-7224C49458BB}">
                <c15:showLeaderLines val="0"/>
              </c:ext>
            </c:extLst>
          </c:dLbls>
          <c:cat>
            <c:numRef>
              <c:f>Sheet1!$A$2:$A$22</c:f>
              <c:numCache>
                <c:formatCode>General</c:formatCode>
                <c:ptCount val="21"/>
                <c:pt idx="0">
                  <c:v>2000</c:v>
                </c:pt>
                <c:pt idx="1">
                  <c:v>2001</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cat>
          <c:val>
            <c:numRef>
              <c:f>Sheet1!$B$2:$B$22</c:f>
              <c:numCache>
                <c:formatCode>General</c:formatCode>
                <c:ptCount val="21"/>
                <c:pt idx="0">
                  <c:v>1</c:v>
                </c:pt>
                <c:pt idx="1">
                  <c:v>1</c:v>
                </c:pt>
                <c:pt idx="2">
                  <c:v>1</c:v>
                </c:pt>
                <c:pt idx="3">
                  <c:v>2</c:v>
                </c:pt>
                <c:pt idx="4">
                  <c:v>5</c:v>
                </c:pt>
                <c:pt idx="5">
                  <c:v>8</c:v>
                </c:pt>
                <c:pt idx="6">
                  <c:v>2</c:v>
                </c:pt>
                <c:pt idx="7">
                  <c:v>7</c:v>
                </c:pt>
                <c:pt idx="8">
                  <c:v>7</c:v>
                </c:pt>
                <c:pt idx="9">
                  <c:v>7</c:v>
                </c:pt>
                <c:pt idx="10">
                  <c:v>9</c:v>
                </c:pt>
                <c:pt idx="11">
                  <c:v>18</c:v>
                </c:pt>
                <c:pt idx="12">
                  <c:v>20</c:v>
                </c:pt>
                <c:pt idx="13">
                  <c:v>20</c:v>
                </c:pt>
                <c:pt idx="14">
                  <c:v>25</c:v>
                </c:pt>
                <c:pt idx="15">
                  <c:v>23</c:v>
                </c:pt>
                <c:pt idx="16">
                  <c:v>29</c:v>
                </c:pt>
                <c:pt idx="17">
                  <c:v>31</c:v>
                </c:pt>
                <c:pt idx="18">
                  <c:v>31</c:v>
                </c:pt>
                <c:pt idx="19">
                  <c:v>48</c:v>
                </c:pt>
                <c:pt idx="20">
                  <c:v>47</c:v>
                </c:pt>
              </c:numCache>
            </c:numRef>
          </c:val>
          <c:extLst>
            <c:ext xmlns:c16="http://schemas.microsoft.com/office/drawing/2014/chart" uri="{C3380CC4-5D6E-409C-BE32-E72D297353CC}">
              <c16:uniqueId val="{00000000-8DD5-4E45-A1F8-DCA680FC11DC}"/>
            </c:ext>
          </c:extLst>
        </c:ser>
        <c:dLbls>
          <c:showVal val="1"/>
        </c:dLbls>
        <c:marker val="1"/>
        <c:axId val="75442816"/>
        <c:axId val="75444608"/>
      </c:lineChart>
      <c:catAx>
        <c:axId val="75442816"/>
        <c:scaling>
          <c:orientation val="minMax"/>
        </c:scaling>
        <c:axPos val="b"/>
        <c:numFmt formatCode="General" sourceLinked="1"/>
        <c:majorTickMark val="none"/>
        <c:tickLblPos val="nextTo"/>
        <c:txPr>
          <a:bodyPr/>
          <a:lstStyle/>
          <a:p>
            <a:pPr>
              <a:defRPr lang="en-US"/>
            </a:pPr>
            <a:endParaRPr lang="en-US"/>
          </a:p>
        </c:txPr>
        <c:crossAx val="75444608"/>
        <c:crosses val="autoZero"/>
        <c:auto val="1"/>
        <c:lblAlgn val="ctr"/>
        <c:lblOffset val="100"/>
      </c:catAx>
      <c:valAx>
        <c:axId val="75444608"/>
        <c:scaling>
          <c:orientation val="minMax"/>
        </c:scaling>
        <c:axPos val="l"/>
        <c:majorGridlines/>
        <c:numFmt formatCode="General" sourceLinked="1"/>
        <c:majorTickMark val="none"/>
        <c:tickLblPos val="nextTo"/>
        <c:txPr>
          <a:bodyPr/>
          <a:lstStyle/>
          <a:p>
            <a:pPr>
              <a:defRPr lang="en-US"/>
            </a:pPr>
            <a:endParaRPr lang="en-US"/>
          </a:p>
        </c:txPr>
        <c:crossAx val="75442816"/>
        <c:crosses val="autoZero"/>
        <c:crossBetween val="between"/>
      </c:valAx>
    </c:plotArea>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IN"/>
  <c:chart>
    <c:autoTitleDeleted val="1"/>
    <c:plotArea>
      <c:layout/>
      <c:barChart>
        <c:barDir val="bar"/>
        <c:grouping val="clustered"/>
        <c:ser>
          <c:idx val="0"/>
          <c:order val="0"/>
          <c:tx>
            <c:strRef>
              <c:f>Sheet1!$B$1</c:f>
              <c:strCache>
                <c:ptCount val="1"/>
                <c:pt idx="0">
                  <c:v>Series 1</c:v>
                </c:pt>
              </c:strCache>
            </c:strRef>
          </c:tx>
          <c:dLbls>
            <c:spPr>
              <a:noFill/>
              <a:ln>
                <a:noFill/>
              </a:ln>
              <a:effectLst/>
            </c:spPr>
            <c:txPr>
              <a:bodyPr/>
              <a:lstStyle/>
              <a:p>
                <a:pPr>
                  <a:defRPr lang="en-US"/>
                </a:pPr>
                <a:endParaRPr lang="en-US"/>
              </a:p>
            </c:txPr>
            <c:showVal val="1"/>
            <c:extLst>
              <c:ext xmlns:c15="http://schemas.microsoft.com/office/drawing/2012/chart" uri="{CE6537A1-D6FC-4f65-9D91-7224C49458BB}">
                <c15:showLeaderLines val="0"/>
              </c:ext>
            </c:extLst>
          </c:dLbls>
          <c:cat>
            <c:strRef>
              <c:f>Sheet1!$A$2:$A$21</c:f>
              <c:strCache>
                <c:ptCount val="20"/>
                <c:pt idx="0">
                  <c:v>Anthony, E.K.</c:v>
                </c:pt>
                <c:pt idx="1">
                  <c:v>Barnes, R.</c:v>
                </c:pt>
                <c:pt idx="2">
                  <c:v>Barzilay, R.</c:v>
                </c:pt>
                <c:pt idx="3">
                  <c:v>Abenavoli, R.M.</c:v>
                </c:pt>
                <c:pt idx="4">
                  <c:v>Akiyama, M.</c:v>
                </c:pt>
                <c:pt idx="5">
                  <c:v>Erian, W.</c:v>
                </c:pt>
                <c:pt idx="6">
                  <c:v>Freres, D.R.</c:v>
                </c:pt>
                <c:pt idx="7">
                  <c:v>Gillham, J.E.</c:v>
                </c:pt>
                <c:pt idx="8">
                  <c:v>Hutter, B.M.</c:v>
                </c:pt>
                <c:pt idx="9">
                  <c:v>Katlan, B.</c:v>
                </c:pt>
                <c:pt idx="10">
                  <c:v>Khoday, K.</c:v>
                </c:pt>
                <c:pt idx="11">
                  <c:v>Krause, E.D.</c:v>
                </c:pt>
                <c:pt idx="12">
                  <c:v>Murshed, Z.</c:v>
                </c:pt>
                <c:pt idx="13">
                  <c:v>VÃ©lez, C.E.</c:v>
                </c:pt>
                <c:pt idx="14">
                  <c:v>Frangopol, D.M.</c:v>
                </c:pt>
                <c:pt idx="15">
                  <c:v>Liebenberg, L.</c:v>
                </c:pt>
                <c:pt idx="16">
                  <c:v>Dong, Y.</c:v>
                </c:pt>
                <c:pt idx="17">
                  <c:v>Frangopol, D.M.</c:v>
                </c:pt>
                <c:pt idx="18">
                  <c:v>Shahar, G.</c:v>
                </c:pt>
                <c:pt idx="19">
                  <c:v>Enoch, M.A.</c:v>
                </c:pt>
              </c:strCache>
            </c:strRef>
          </c:cat>
          <c:val>
            <c:numRef>
              <c:f>Sheet1!$B$2:$B$21</c:f>
              <c:numCache>
                <c:formatCode>General</c:formatCode>
                <c:ptCount val="20"/>
                <c:pt idx="0">
                  <c:v>2</c:v>
                </c:pt>
                <c:pt idx="1">
                  <c:v>2</c:v>
                </c:pt>
                <c:pt idx="2">
                  <c:v>2</c:v>
                </c:pt>
                <c:pt idx="3">
                  <c:v>3</c:v>
                </c:pt>
                <c:pt idx="4">
                  <c:v>3</c:v>
                </c:pt>
                <c:pt idx="5">
                  <c:v>3</c:v>
                </c:pt>
                <c:pt idx="6">
                  <c:v>3</c:v>
                </c:pt>
                <c:pt idx="7">
                  <c:v>3</c:v>
                </c:pt>
                <c:pt idx="8">
                  <c:v>3</c:v>
                </c:pt>
                <c:pt idx="9">
                  <c:v>3</c:v>
                </c:pt>
                <c:pt idx="10">
                  <c:v>3</c:v>
                </c:pt>
                <c:pt idx="11">
                  <c:v>3</c:v>
                </c:pt>
                <c:pt idx="12">
                  <c:v>3</c:v>
                </c:pt>
                <c:pt idx="13">
                  <c:v>3</c:v>
                </c:pt>
                <c:pt idx="14">
                  <c:v>4</c:v>
                </c:pt>
                <c:pt idx="15">
                  <c:v>4</c:v>
                </c:pt>
                <c:pt idx="16">
                  <c:v>5</c:v>
                </c:pt>
                <c:pt idx="17">
                  <c:v>5</c:v>
                </c:pt>
                <c:pt idx="18">
                  <c:v>5</c:v>
                </c:pt>
                <c:pt idx="19">
                  <c:v>6</c:v>
                </c:pt>
              </c:numCache>
            </c:numRef>
          </c:val>
          <c:extLst>
            <c:ext xmlns:c16="http://schemas.microsoft.com/office/drawing/2014/chart" uri="{C3380CC4-5D6E-409C-BE32-E72D297353CC}">
              <c16:uniqueId val="{00000000-CF53-4729-85A3-6AF76F77114E}"/>
            </c:ext>
          </c:extLst>
        </c:ser>
        <c:dLbls>
          <c:showVal val="1"/>
        </c:dLbls>
        <c:gapWidth val="75"/>
        <c:axId val="75459200"/>
        <c:axId val="75469184"/>
      </c:barChart>
      <c:catAx>
        <c:axId val="75459200"/>
        <c:scaling>
          <c:orientation val="minMax"/>
        </c:scaling>
        <c:axPos val="l"/>
        <c:numFmt formatCode="General" sourceLinked="0"/>
        <c:majorTickMark val="none"/>
        <c:tickLblPos val="nextTo"/>
        <c:txPr>
          <a:bodyPr/>
          <a:lstStyle/>
          <a:p>
            <a:pPr>
              <a:defRPr lang="en-US"/>
            </a:pPr>
            <a:endParaRPr lang="en-US"/>
          </a:p>
        </c:txPr>
        <c:crossAx val="75469184"/>
        <c:crosses val="autoZero"/>
        <c:auto val="1"/>
        <c:lblAlgn val="ctr"/>
        <c:lblOffset val="100"/>
      </c:catAx>
      <c:valAx>
        <c:axId val="75469184"/>
        <c:scaling>
          <c:orientation val="minMax"/>
        </c:scaling>
        <c:axPos val="b"/>
        <c:numFmt formatCode="General" sourceLinked="1"/>
        <c:majorTickMark val="none"/>
        <c:tickLblPos val="nextTo"/>
        <c:txPr>
          <a:bodyPr/>
          <a:lstStyle/>
          <a:p>
            <a:pPr>
              <a:defRPr lang="en-US"/>
            </a:pPr>
            <a:endParaRPr lang="en-US"/>
          </a:p>
        </c:txPr>
        <c:crossAx val="75459200"/>
        <c:crosses val="autoZero"/>
        <c:crossBetween val="between"/>
      </c:valAx>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lang="en-US"/>
            </a:pPr>
            <a:r>
              <a:rPr lang="en-US"/>
              <a:t>Prolific</a:t>
            </a:r>
            <a:r>
              <a:rPr lang="en-US" baseline="0"/>
              <a:t> Countries</a:t>
            </a:r>
            <a:endParaRPr lang="en-US"/>
          </a:p>
        </c:rich>
      </c:tx>
    </c:title>
    <c:plotArea>
      <c:layout/>
      <c:pieChart>
        <c:varyColors val="1"/>
        <c:ser>
          <c:idx val="0"/>
          <c:order val="0"/>
          <c:tx>
            <c:strRef>
              <c:f>Sheet1!$B$1</c:f>
              <c:strCache>
                <c:ptCount val="1"/>
                <c:pt idx="0">
                  <c:v>Sales</c:v>
                </c:pt>
              </c:strCache>
            </c:strRef>
          </c:tx>
          <c:dLbls>
            <c:spPr>
              <a:noFill/>
              <a:ln>
                <a:noFill/>
              </a:ln>
              <a:effectLst/>
            </c:spPr>
            <c:txPr>
              <a:bodyPr/>
              <a:lstStyle/>
              <a:p>
                <a:pPr>
                  <a:defRPr lang="en-US"/>
                </a:pPr>
                <a:endParaRPr lang="en-US"/>
              </a:p>
            </c:txPr>
            <c:showCatName val="1"/>
            <c:showPercent val="1"/>
            <c:extLst>
              <c:ext xmlns:c15="http://schemas.microsoft.com/office/drawing/2012/chart" uri="{CE6537A1-D6FC-4f65-9D91-7224C49458BB}"/>
            </c:extLst>
          </c:dLbls>
          <c:cat>
            <c:strRef>
              <c:f>Sheet1!$A$2:$A$21</c:f>
              <c:strCache>
                <c:ptCount val="20"/>
                <c:pt idx="0">
                  <c:v>United States</c:v>
                </c:pt>
                <c:pt idx="1">
                  <c:v>United Kingdom</c:v>
                </c:pt>
                <c:pt idx="2">
                  <c:v>Canada</c:v>
                </c:pt>
                <c:pt idx="3">
                  <c:v>Australia</c:v>
                </c:pt>
                <c:pt idx="4">
                  <c:v>China</c:v>
                </c:pt>
                <c:pt idx="5">
                  <c:v>Germany</c:v>
                </c:pt>
                <c:pt idx="6">
                  <c:v>Italy</c:v>
                </c:pt>
                <c:pt idx="7">
                  <c:v>Hong Kong</c:v>
                </c:pt>
                <c:pt idx="8">
                  <c:v>Israel</c:v>
                </c:pt>
                <c:pt idx="9">
                  <c:v>Japan</c:v>
                </c:pt>
                <c:pt idx="10">
                  <c:v>Netherlands</c:v>
                </c:pt>
                <c:pt idx="11">
                  <c:v>New Zealand</c:v>
                </c:pt>
                <c:pt idx="12">
                  <c:v>India</c:v>
                </c:pt>
                <c:pt idx="13">
                  <c:v>Norway</c:v>
                </c:pt>
                <c:pt idx="14">
                  <c:v>Indonesia</c:v>
                </c:pt>
                <c:pt idx="15">
                  <c:v>Thailand</c:v>
                </c:pt>
                <c:pt idx="16">
                  <c:v>Egypt</c:v>
                </c:pt>
                <c:pt idx="17">
                  <c:v>Greece</c:v>
                </c:pt>
                <c:pt idx="18">
                  <c:v>Poland</c:v>
                </c:pt>
                <c:pt idx="19">
                  <c:v>Sweden</c:v>
                </c:pt>
              </c:strCache>
            </c:strRef>
          </c:cat>
          <c:val>
            <c:numRef>
              <c:f>Sheet1!$B$2:$B$21</c:f>
              <c:numCache>
                <c:formatCode>General</c:formatCode>
                <c:ptCount val="20"/>
                <c:pt idx="0">
                  <c:v>157</c:v>
                </c:pt>
                <c:pt idx="1">
                  <c:v>38</c:v>
                </c:pt>
                <c:pt idx="2">
                  <c:v>33</c:v>
                </c:pt>
                <c:pt idx="3">
                  <c:v>29</c:v>
                </c:pt>
                <c:pt idx="4">
                  <c:v>19</c:v>
                </c:pt>
                <c:pt idx="5">
                  <c:v>15</c:v>
                </c:pt>
                <c:pt idx="6">
                  <c:v>13</c:v>
                </c:pt>
                <c:pt idx="7">
                  <c:v>10</c:v>
                </c:pt>
                <c:pt idx="8">
                  <c:v>9</c:v>
                </c:pt>
                <c:pt idx="9">
                  <c:v>8</c:v>
                </c:pt>
                <c:pt idx="10">
                  <c:v>8</c:v>
                </c:pt>
                <c:pt idx="11">
                  <c:v>8</c:v>
                </c:pt>
                <c:pt idx="12">
                  <c:v>7</c:v>
                </c:pt>
                <c:pt idx="13">
                  <c:v>7</c:v>
                </c:pt>
                <c:pt idx="14">
                  <c:v>5</c:v>
                </c:pt>
                <c:pt idx="15">
                  <c:v>5</c:v>
                </c:pt>
                <c:pt idx="16">
                  <c:v>4</c:v>
                </c:pt>
                <c:pt idx="17">
                  <c:v>4</c:v>
                </c:pt>
                <c:pt idx="18">
                  <c:v>4</c:v>
                </c:pt>
                <c:pt idx="19">
                  <c:v>4</c:v>
                </c:pt>
              </c:numCache>
            </c:numRef>
          </c:val>
          <c:extLst>
            <c:ext xmlns:c16="http://schemas.microsoft.com/office/drawing/2014/chart" uri="{C3380CC4-5D6E-409C-BE32-E72D297353CC}">
              <c16:uniqueId val="{00000000-8EBB-400B-90A4-C4E8CE02E327}"/>
            </c:ext>
          </c:extLst>
        </c:ser>
        <c:dLbls>
          <c:showCatName val="1"/>
          <c:showPercent val="1"/>
        </c:dLbls>
        <c:firstSliceAng val="0"/>
      </c:pieChart>
    </c:plotArea>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F9B1A5-665E-425A-9B5C-7944BFEE6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598</TotalTime>
  <Pages>27</Pages>
  <Words>17544</Words>
  <Characters>100002</Characters>
  <Application>Microsoft Office Word</Application>
  <DocSecurity>0</DocSecurity>
  <Lines>833</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SAMSUNG</cp:lastModifiedBy>
  <cp:revision>31</cp:revision>
  <dcterms:created xsi:type="dcterms:W3CDTF">2022-01-03T09:21:00Z</dcterms:created>
  <dcterms:modified xsi:type="dcterms:W3CDTF">2023-07-31T16:17:00Z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y fmtid="{D5CDD505-2E9C-101B-9397-08002B2CF9AE}" pid="3" name="Mendeley Document_1">
    <vt:lpwstr>True</vt:lpwstr>
  </property>
  <property fmtid="{D5CDD505-2E9C-101B-9397-08002B2CF9AE}" pid="4" name="Mendeley Recent Style Id 0_1">
    <vt:lpwstr>http://www.zotero.org/styles/american-medical-association</vt:lpwstr>
  </property>
  <property fmtid="{D5CDD505-2E9C-101B-9397-08002B2CF9AE}" pid="5" name="Mendeley Recent Style Id 1_1">
    <vt:lpwstr>http://www.zotero.org/styles/american-political-science-association</vt:lpwstr>
  </property>
  <property fmtid="{D5CDD505-2E9C-101B-9397-08002B2CF9AE}" pid="6" name="Mendeley Recent Style Id 2_1">
    <vt:lpwstr>http://www.zotero.org/styles/apa</vt:lpwstr>
  </property>
  <property fmtid="{D5CDD505-2E9C-101B-9397-08002B2CF9AE}" pid="7" name="Mendeley Recent Style Id 3_1">
    <vt:lpwstr>http://www.zotero.org/styles/american-sociological-association</vt:lpwstr>
  </property>
  <property fmtid="{D5CDD505-2E9C-101B-9397-08002B2CF9AE}" pid="8" name="Mendeley Recent Style Id 4_1">
    <vt:lpwstr>http://www.zotero.org/styles/chicago-author-date</vt:lpwstr>
  </property>
  <property fmtid="{D5CDD505-2E9C-101B-9397-08002B2CF9AE}" pid="9" name="Mendeley Recent Style Id 5_1">
    <vt:lpwstr>http://www.zotero.org/styles/harvard-cite-them-right</vt:lpwstr>
  </property>
  <property fmtid="{D5CDD505-2E9C-101B-9397-08002B2CF9AE}" pid="10" name="Mendeley Recent Style Id 6_1">
    <vt:lpwstr>http://www.zotero.org/styles/ieee</vt:lpwstr>
  </property>
  <property fmtid="{D5CDD505-2E9C-101B-9397-08002B2CF9AE}" pid="11" name="Mendeley Recent Style Id 7_1">
    <vt:lpwstr>http://www.zotero.org/styles/modern-humanities-research-association</vt:lpwstr>
  </property>
  <property fmtid="{D5CDD505-2E9C-101B-9397-08002B2CF9AE}" pid="12" name="Mendeley Recent Style Id 8_1">
    <vt:lpwstr>http://www.zotero.org/styles/modern-language-association</vt:lpwstr>
  </property>
  <property fmtid="{D5CDD505-2E9C-101B-9397-08002B2CF9AE}" pid="13" name="Mendeley Recent Style Id 9_1">
    <vt:lpwstr>http://www.zotero.org/styles/nature</vt:lpwstr>
  </property>
  <property fmtid="{D5CDD505-2E9C-101B-9397-08002B2CF9AE}" pid="14" name="Mendeley Recent Style Name 0_1">
    <vt:lpwstr>American Medical Association 11th edition</vt:lpwstr>
  </property>
  <property fmtid="{D5CDD505-2E9C-101B-9397-08002B2CF9AE}" pid="15" name="Mendeley Recent Style Name 1_1">
    <vt:lpwstr>American Political Science Association</vt:lpwstr>
  </property>
  <property fmtid="{D5CDD505-2E9C-101B-9397-08002B2CF9AE}" pid="16" name="Mendeley Recent Style Name 2_1">
    <vt:lpwstr>American Psychological Association 7th edition</vt:lpwstr>
  </property>
  <property fmtid="{D5CDD505-2E9C-101B-9397-08002B2CF9AE}" pid="17" name="Mendeley Recent Style Name 3_1">
    <vt:lpwstr>American Sociological Association 6th edition</vt:lpwstr>
  </property>
  <property fmtid="{D5CDD505-2E9C-101B-9397-08002B2CF9AE}" pid="18" name="Mendeley Recent Style Name 4_1">
    <vt:lpwstr>Chicago Manual of Style 17th edition (author-date)</vt:lpwstr>
  </property>
  <property fmtid="{D5CDD505-2E9C-101B-9397-08002B2CF9AE}" pid="19" name="Mendeley Recent Style Name 5_1">
    <vt:lpwstr>Cite Them Right 10th edition - Harvard</vt:lpwstr>
  </property>
  <property fmtid="{D5CDD505-2E9C-101B-9397-08002B2CF9AE}" pid="20" name="Mendeley Recent Style Name 6_1">
    <vt:lpwstr>IEEE</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Name 8_1">
    <vt:lpwstr>Modern Language Association 8th edition</vt:lpwstr>
  </property>
  <property fmtid="{D5CDD505-2E9C-101B-9397-08002B2CF9AE}" pid="23" name="Mendeley Recent Style Name 9_1">
    <vt:lpwstr>Nature</vt:lpwstr>
  </property>
  <property fmtid="{D5CDD505-2E9C-101B-9397-08002B2CF9AE}" pid="24" name="Mendeley Unique User Id_1">
    <vt:lpwstr>1d47d08c-60dc-3f77-8e4a-5e3a3633e188</vt:lpwstr>
  </property>
</Properties>
</file>