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F2B" w:rsidRPr="00875F49" w:rsidRDefault="00875F49" w:rsidP="00430D6F">
      <w:pPr>
        <w:jc w:val="center"/>
        <w:rPr>
          <w:rFonts w:ascii="Times New Roman" w:hAnsi="Times New Roman" w:cs="Times New Roman"/>
          <w:b/>
          <w:sz w:val="48"/>
        </w:rPr>
      </w:pPr>
      <w:r>
        <w:rPr>
          <w:rFonts w:ascii="Times New Roman" w:hAnsi="Times New Roman" w:cs="Times New Roman"/>
          <w:b/>
          <w:sz w:val="48"/>
        </w:rPr>
        <w:t>C</w:t>
      </w:r>
      <w:r w:rsidR="00907235">
        <w:rPr>
          <w:rFonts w:ascii="Times New Roman" w:hAnsi="Times New Roman" w:cs="Times New Roman"/>
          <w:b/>
          <w:sz w:val="48"/>
        </w:rPr>
        <w:t>ONSTRUCTION OF EQUITY MUTUAL FUND</w:t>
      </w:r>
      <w:r>
        <w:rPr>
          <w:rFonts w:ascii="Times New Roman" w:hAnsi="Times New Roman" w:cs="Times New Roman"/>
          <w:b/>
          <w:sz w:val="48"/>
        </w:rPr>
        <w:t xml:space="preserve"> OPTIMAL PORTFOLIO</w:t>
      </w:r>
    </w:p>
    <w:p w:rsidR="00244B2E" w:rsidRPr="0095031D" w:rsidRDefault="00244B2E" w:rsidP="00244B2E">
      <w:pPr>
        <w:spacing w:after="0"/>
        <w:rPr>
          <w:bCs/>
          <w:sz w:val="28"/>
          <w:szCs w:val="18"/>
        </w:rPr>
      </w:pPr>
      <w:r w:rsidRPr="0095031D">
        <w:rPr>
          <w:bCs/>
          <w:sz w:val="28"/>
          <w:szCs w:val="18"/>
        </w:rPr>
        <w:t>Nisha Gupta</w:t>
      </w:r>
      <w:r>
        <w:rPr>
          <w:bCs/>
          <w:sz w:val="28"/>
          <w:szCs w:val="18"/>
        </w:rPr>
        <w:t>, research scholar</w:t>
      </w:r>
    </w:p>
    <w:p w:rsidR="00244B2E" w:rsidRDefault="00244B2E" w:rsidP="00244B2E">
      <w:pPr>
        <w:spacing w:after="0"/>
        <w:rPr>
          <w:bCs/>
          <w:sz w:val="28"/>
          <w:szCs w:val="18"/>
        </w:rPr>
      </w:pPr>
      <w:r w:rsidRPr="0095031D">
        <w:rPr>
          <w:bCs/>
          <w:sz w:val="28"/>
          <w:szCs w:val="18"/>
        </w:rPr>
        <w:t xml:space="preserve">RIMT University, </w:t>
      </w:r>
      <w:proofErr w:type="spellStart"/>
      <w:r>
        <w:rPr>
          <w:bCs/>
          <w:sz w:val="28"/>
          <w:szCs w:val="18"/>
        </w:rPr>
        <w:t>Mandi</w:t>
      </w:r>
      <w:proofErr w:type="spellEnd"/>
      <w:r>
        <w:rPr>
          <w:bCs/>
          <w:sz w:val="28"/>
          <w:szCs w:val="18"/>
        </w:rPr>
        <w:t xml:space="preserve"> </w:t>
      </w:r>
      <w:proofErr w:type="spellStart"/>
      <w:r>
        <w:rPr>
          <w:bCs/>
          <w:sz w:val="28"/>
          <w:szCs w:val="18"/>
        </w:rPr>
        <w:t>Gobindgarh</w:t>
      </w:r>
      <w:proofErr w:type="spellEnd"/>
    </w:p>
    <w:p w:rsidR="00875F49" w:rsidRDefault="007B2E15" w:rsidP="00875F49">
      <w:pPr>
        <w:spacing w:after="0"/>
        <w:rPr>
          <w:bCs/>
          <w:sz w:val="28"/>
          <w:szCs w:val="18"/>
        </w:rPr>
      </w:pPr>
      <w:r>
        <w:rPr>
          <w:bCs/>
          <w:sz w:val="28"/>
          <w:szCs w:val="18"/>
        </w:rPr>
        <w:t>Pf (</w:t>
      </w:r>
      <w:proofErr w:type="spellStart"/>
      <w:r w:rsidR="00244B2E">
        <w:rPr>
          <w:bCs/>
          <w:sz w:val="28"/>
          <w:szCs w:val="18"/>
        </w:rPr>
        <w:t>Dr</w:t>
      </w:r>
      <w:proofErr w:type="spellEnd"/>
      <w:r>
        <w:rPr>
          <w:bCs/>
          <w:sz w:val="28"/>
          <w:szCs w:val="18"/>
        </w:rPr>
        <w:t>)</w:t>
      </w:r>
      <w:r w:rsidR="00244B2E">
        <w:rPr>
          <w:bCs/>
          <w:sz w:val="28"/>
          <w:szCs w:val="18"/>
        </w:rPr>
        <w:t xml:space="preserve">. </w:t>
      </w:r>
      <w:r w:rsidR="00875F49">
        <w:rPr>
          <w:bCs/>
          <w:sz w:val="28"/>
          <w:szCs w:val="18"/>
        </w:rPr>
        <w:t>B.S Bhatia Pro Vice-Chancellor</w:t>
      </w:r>
    </w:p>
    <w:p w:rsidR="00244B2E" w:rsidRPr="00244B2E" w:rsidRDefault="00244B2E" w:rsidP="00244B2E">
      <w:pPr>
        <w:rPr>
          <w:bCs/>
          <w:sz w:val="28"/>
          <w:szCs w:val="18"/>
        </w:rPr>
      </w:pPr>
      <w:r>
        <w:rPr>
          <w:bCs/>
          <w:sz w:val="28"/>
          <w:szCs w:val="18"/>
        </w:rPr>
        <w:t xml:space="preserve">RIMT University, </w:t>
      </w:r>
      <w:proofErr w:type="spellStart"/>
      <w:r>
        <w:rPr>
          <w:bCs/>
          <w:sz w:val="28"/>
          <w:szCs w:val="18"/>
        </w:rPr>
        <w:t>Mandi</w:t>
      </w:r>
      <w:proofErr w:type="spellEnd"/>
      <w:r>
        <w:rPr>
          <w:bCs/>
          <w:sz w:val="28"/>
          <w:szCs w:val="18"/>
        </w:rPr>
        <w:t xml:space="preserve"> </w:t>
      </w:r>
      <w:proofErr w:type="spellStart"/>
      <w:r>
        <w:rPr>
          <w:bCs/>
          <w:sz w:val="28"/>
          <w:szCs w:val="18"/>
        </w:rPr>
        <w:t>Gobindgarh</w:t>
      </w:r>
      <w:proofErr w:type="spellEnd"/>
      <w:r w:rsidR="00875F49">
        <w:rPr>
          <w:bCs/>
          <w:sz w:val="28"/>
          <w:szCs w:val="18"/>
        </w:rPr>
        <w:t>, India</w:t>
      </w:r>
    </w:p>
    <w:p w:rsidR="00F1411B" w:rsidRDefault="00C062D7" w:rsidP="00F1411B">
      <w:pPr>
        <w:widowControl w:val="0"/>
        <w:autoSpaceDE w:val="0"/>
        <w:autoSpaceDN w:val="0"/>
        <w:adjustRightInd w:val="0"/>
        <w:spacing w:after="0" w:line="360" w:lineRule="auto"/>
        <w:jc w:val="both"/>
        <w:rPr>
          <w:rFonts w:ascii="Times New Roman" w:hAnsi="Times New Roman" w:cs="Times New Roman"/>
          <w:sz w:val="24"/>
        </w:rPr>
      </w:pPr>
      <w:r w:rsidRPr="00C062D7">
        <w:rPr>
          <w:rFonts w:ascii="Times New Roman" w:hAnsi="Times New Roman" w:cs="Times New Roman"/>
          <w:b/>
          <w:sz w:val="24"/>
        </w:rPr>
        <w:t>Abstract-</w:t>
      </w:r>
      <w:r>
        <w:rPr>
          <w:rFonts w:ascii="Times New Roman" w:hAnsi="Times New Roman" w:cs="Times New Roman"/>
          <w:sz w:val="24"/>
        </w:rPr>
        <w:t xml:space="preserve"> </w:t>
      </w:r>
      <w:r w:rsidR="00EE53B2" w:rsidRPr="00EE53B2">
        <w:rPr>
          <w:rFonts w:ascii="Times New Roman" w:hAnsi="Times New Roman" w:cs="Times New Roman"/>
          <w:sz w:val="24"/>
        </w:rPr>
        <w:t xml:space="preserve">Fixed deposits can be replaced with mutual funds since they are excellent investment </w:t>
      </w:r>
      <w:r w:rsidR="00A27501">
        <w:rPr>
          <w:rFonts w:ascii="Times New Roman" w:hAnsi="Times New Roman" w:cs="Times New Roman"/>
          <w:sz w:val="24"/>
        </w:rPr>
        <w:t xml:space="preserve">                                                                                                                                          </w:t>
      </w:r>
      <w:r w:rsidR="00EE53B2" w:rsidRPr="00EE53B2">
        <w:rPr>
          <w:rFonts w:ascii="Times New Roman" w:hAnsi="Times New Roman" w:cs="Times New Roman"/>
          <w:sz w:val="24"/>
        </w:rPr>
        <w:t>product that yields higher returns. A portfolio is beneficial for investors since it minimizes risk and increases return on investment. However, building a portfolio is a challenging task. To solve this complicated task optimal portfolio construction process is developed. The present study has selected a total of 30 equity mutual fund schemes from a variety of equity schemes based on their return performance f</w:t>
      </w:r>
      <w:r w:rsidR="00695A2B">
        <w:rPr>
          <w:rFonts w:ascii="Times New Roman" w:hAnsi="Times New Roman" w:cs="Times New Roman"/>
          <w:sz w:val="24"/>
        </w:rPr>
        <w:t>rom December 2017- December 2022</w:t>
      </w:r>
      <w:r w:rsidR="00EE53B2" w:rsidRPr="00EE53B2">
        <w:rPr>
          <w:rFonts w:ascii="Times New Roman" w:hAnsi="Times New Roman" w:cs="Times New Roman"/>
          <w:sz w:val="24"/>
        </w:rPr>
        <w:t xml:space="preserve"> (five years). Out of these 30 selected equity funds, Invesco India Large-Cap Fund, PGIM India Mid-cap Opportunities Fund, Kotak Small Cap Fund, Quant Active Fund, Parag Parikh Flexi Cap Fund, IIFL Focused Fund, Templeton India Equity Income Fund, SBI Contra Fund, and PGIM India Long Term Equity Fund were chosen for future investments that will provide the best return. For the investor, this portfolio of chosen schemes will be ideal. </w:t>
      </w:r>
      <w:r w:rsidR="00F1411B" w:rsidRPr="00F1411B">
        <w:rPr>
          <w:rFonts w:ascii="Times New Roman" w:hAnsi="Times New Roman" w:cs="Times New Roman"/>
          <w:sz w:val="24"/>
        </w:rPr>
        <w:t>Investors can select from the aforementioned range of schemes to create the ideal portfolio based on their level of risk tolerance and asset allocation.</w:t>
      </w:r>
    </w:p>
    <w:p w:rsidR="00C062D7" w:rsidRDefault="00D763B8" w:rsidP="00F1411B">
      <w:pPr>
        <w:widowControl w:val="0"/>
        <w:autoSpaceDE w:val="0"/>
        <w:autoSpaceDN w:val="0"/>
        <w:adjustRightInd w:val="0"/>
        <w:spacing w:after="0" w:line="360" w:lineRule="auto"/>
        <w:rPr>
          <w:rFonts w:ascii="Times New Roman" w:hAnsi="Times New Roman" w:cs="Times New Roman"/>
          <w:sz w:val="24"/>
        </w:rPr>
        <w:sectPr w:rsidR="00C062D7">
          <w:pgSz w:w="12240" w:h="15840"/>
          <w:pgMar w:top="1440" w:right="1440" w:bottom="1440" w:left="1440" w:header="720" w:footer="720" w:gutter="0"/>
          <w:cols w:space="720"/>
          <w:docGrid w:linePitch="360"/>
        </w:sectPr>
      </w:pPr>
      <w:r w:rsidRPr="00C062D7">
        <w:rPr>
          <w:rFonts w:ascii="Times New Roman" w:hAnsi="Times New Roman" w:cs="Times New Roman"/>
          <w:b/>
          <w:sz w:val="24"/>
        </w:rPr>
        <w:t>Keywords</w:t>
      </w:r>
      <w:r>
        <w:rPr>
          <w:rFonts w:ascii="Times New Roman" w:hAnsi="Times New Roman" w:cs="Times New Roman"/>
          <w:sz w:val="24"/>
        </w:rPr>
        <w:t xml:space="preserve">: Mutual fund, </w:t>
      </w:r>
      <w:r w:rsidR="00430D6F">
        <w:rPr>
          <w:rFonts w:ascii="Times New Roman" w:hAnsi="Times New Roman" w:cs="Times New Roman"/>
          <w:sz w:val="24"/>
        </w:rPr>
        <w:t>optimal</w:t>
      </w:r>
      <w:r>
        <w:rPr>
          <w:rFonts w:ascii="Times New Roman" w:hAnsi="Times New Roman" w:cs="Times New Roman"/>
          <w:sz w:val="24"/>
        </w:rPr>
        <w:t xml:space="preserve"> portfolio, </w:t>
      </w:r>
      <w:r w:rsidR="00430D6F">
        <w:rPr>
          <w:rFonts w:ascii="Times New Roman" w:hAnsi="Times New Roman" w:cs="Times New Roman"/>
          <w:sz w:val="24"/>
        </w:rPr>
        <w:t>annualized rate of return, standard deviatio</w:t>
      </w:r>
      <w:r w:rsidR="00EE53B2">
        <w:rPr>
          <w:rFonts w:ascii="Times New Roman" w:hAnsi="Times New Roman" w:cs="Times New Roman"/>
          <w:sz w:val="24"/>
        </w:rPr>
        <w:t>n, beta, and Sharpe rate, alpha.</w:t>
      </w:r>
    </w:p>
    <w:p w:rsidR="00C062D7" w:rsidRDefault="00C062D7" w:rsidP="0077739F">
      <w:pPr>
        <w:jc w:val="both"/>
        <w:rPr>
          <w:rFonts w:ascii="Times New Roman" w:hAnsi="Times New Roman" w:cs="Times New Roman"/>
          <w:sz w:val="24"/>
        </w:rPr>
      </w:pPr>
    </w:p>
    <w:p w:rsidR="00430D6F" w:rsidRPr="002849D6" w:rsidRDefault="00430D6F" w:rsidP="002849D6">
      <w:pPr>
        <w:jc w:val="both"/>
        <w:rPr>
          <w:rFonts w:ascii="Times New Roman" w:hAnsi="Times New Roman" w:cs="Times New Roman"/>
          <w:b/>
          <w:sz w:val="24"/>
        </w:rPr>
      </w:pPr>
      <w:r w:rsidRPr="002849D6">
        <w:rPr>
          <w:rFonts w:ascii="Times New Roman" w:hAnsi="Times New Roman" w:cs="Times New Roman"/>
          <w:b/>
          <w:sz w:val="24"/>
        </w:rPr>
        <w:t>INTRODUCTION</w:t>
      </w:r>
    </w:p>
    <w:p w:rsidR="00EE53B2" w:rsidRPr="00EE53B2" w:rsidRDefault="00EE53B2" w:rsidP="00EE53B2">
      <w:pPr>
        <w:widowControl w:val="0"/>
        <w:autoSpaceDE w:val="0"/>
        <w:autoSpaceDN w:val="0"/>
        <w:adjustRightInd w:val="0"/>
        <w:spacing w:line="360" w:lineRule="auto"/>
        <w:jc w:val="both"/>
        <w:rPr>
          <w:rFonts w:ascii="Times New Roman" w:hAnsi="Times New Roman" w:cs="Times New Roman"/>
          <w:sz w:val="24"/>
        </w:rPr>
      </w:pPr>
      <w:r w:rsidRPr="00EE53B2">
        <w:rPr>
          <w:rFonts w:ascii="Times New Roman" w:hAnsi="Times New Roman" w:cs="Times New Roman"/>
          <w:sz w:val="24"/>
        </w:rPr>
        <w:t xml:space="preserve">Mutual fund investments are always exposed to market risk, which can significantly affect investors' wealth. By building a portfolio, an investor can reduce or manage risk to a certain extent. A portfolio may consist of debt, equity, or balanced investments. An ideal portfolio is made up of a selection of mutual fund kinds that are successfully helping the investor to meet their financial goals. This form of a portfolio is designed to include investments that the investor is already familiar with and that have a level of risk which fits with the person's general approach to investing. To ascertain if a portfolio is genuinely efficient, the preferences and goals of the </w:t>
      </w:r>
      <w:r w:rsidRPr="00EE53B2">
        <w:rPr>
          <w:rFonts w:ascii="Times New Roman" w:hAnsi="Times New Roman" w:cs="Times New Roman"/>
          <w:sz w:val="24"/>
        </w:rPr>
        <w:lastRenderedPageBreak/>
        <w:t>investor must be taken into account. This typically includes evaluating the investor's underlying mindset toward money in general. A person on a tight budget could experience considerable anxiety while considering investing in mutual funds with a high rate of risk. The best plan of action for creating the ideal portfolio, in this case, will be to invest in assets that carry less risk yet offer the highest return for that level of volatility. More risk-tolerant investors would probably not be interested in a collection of relatively conservative and lower-yielding funds. The optimum portfolio in this scenario would focus on purchasing a variety of equity mutual fund schemes that offer the potential for a higher rate of return. Despite the possibility of higher returns, the investments' greater volatility increases the risk that some losses may be incurred along the way. A portfolio made up of a variety of investments is what most investors think would be most profitable. According to the theory, diversifying the investments in the portfolio increases the probability that a loss won't occur.</w:t>
      </w:r>
    </w:p>
    <w:p w:rsidR="00084DE5" w:rsidRPr="002849D6" w:rsidRDefault="00084DE5" w:rsidP="002849D6">
      <w:pPr>
        <w:jc w:val="both"/>
        <w:rPr>
          <w:rFonts w:ascii="Times New Roman" w:hAnsi="Times New Roman" w:cs="Times New Roman"/>
          <w:b/>
          <w:sz w:val="24"/>
        </w:rPr>
      </w:pPr>
      <w:r w:rsidRPr="002849D6">
        <w:rPr>
          <w:rFonts w:ascii="Times New Roman" w:hAnsi="Times New Roman" w:cs="Times New Roman"/>
          <w:b/>
          <w:sz w:val="24"/>
        </w:rPr>
        <w:t>Types of mutual funds</w:t>
      </w:r>
    </w:p>
    <w:p w:rsidR="00C062D7" w:rsidRDefault="00EE53B2" w:rsidP="00EE53B2">
      <w:pPr>
        <w:widowControl w:val="0"/>
        <w:autoSpaceDE w:val="0"/>
        <w:autoSpaceDN w:val="0"/>
        <w:adjustRightInd w:val="0"/>
        <w:spacing w:line="360" w:lineRule="auto"/>
        <w:jc w:val="both"/>
        <w:rPr>
          <w:rFonts w:ascii="Times New Roman" w:hAnsi="Times New Roman" w:cs="Times New Roman"/>
          <w:sz w:val="24"/>
        </w:rPr>
      </w:pPr>
      <w:r w:rsidRPr="00EE53B2">
        <w:rPr>
          <w:rFonts w:ascii="Times New Roman" w:hAnsi="Times New Roman" w:cs="Times New Roman"/>
          <w:sz w:val="24"/>
        </w:rPr>
        <w:t>A wide range of mutual funds is available in India across several industries. Asset type, fund structure, and financial objective are the main categories used to classify mutual funds. Each one of them carries a distinct risk and return potential. A pool of money that multiple investors have put their money into collectively makes up the majority of a mutual fund. Then, this money is put to use in a variety of asset types, such as stocks, bonds, and securities. In this research paper, only equity mutual funds will be considered.</w:t>
      </w:r>
    </w:p>
    <w:p w:rsidR="00C062D7" w:rsidRPr="00C062D7" w:rsidRDefault="00C062D7" w:rsidP="00C062D7">
      <w:pPr>
        <w:pStyle w:val="ListParagraph"/>
        <w:ind w:left="360"/>
        <w:jc w:val="center"/>
        <w:rPr>
          <w:rFonts w:ascii="Times New Roman" w:hAnsi="Times New Roman" w:cs="Times New Roman"/>
          <w:sz w:val="20"/>
        </w:rPr>
      </w:pPr>
      <w:r w:rsidRPr="00C062D7">
        <w:rPr>
          <w:rFonts w:ascii="Times New Roman" w:hAnsi="Times New Roman" w:cs="Times New Roman"/>
          <w:sz w:val="20"/>
        </w:rPr>
        <w:t>Figure- 1 types of Mutual fund</w:t>
      </w:r>
    </w:p>
    <w:p w:rsidR="00C062D7" w:rsidRPr="00BF033E" w:rsidRDefault="00084DE5" w:rsidP="00BF033E">
      <w:pPr>
        <w:pStyle w:val="ListParagraph"/>
        <w:spacing w:before="240"/>
        <w:ind w:left="360"/>
        <w:jc w:val="both"/>
        <w:rPr>
          <w:rFonts w:ascii="Times New Roman" w:hAnsi="Times New Roman" w:cs="Times New Roman"/>
          <w:sz w:val="24"/>
        </w:rPr>
      </w:pPr>
      <w:r w:rsidRPr="00BD018A">
        <w:rPr>
          <w:rFonts w:ascii="Times New Roman" w:hAnsi="Times New Roman"/>
          <w:noProof/>
          <w:sz w:val="24"/>
          <w:szCs w:val="24"/>
          <w:bdr w:val="single" w:sz="4" w:space="0" w:color="auto"/>
        </w:rPr>
        <w:drawing>
          <wp:inline distT="0" distB="0" distL="0" distR="0" wp14:anchorId="2B046817" wp14:editId="631A123F">
            <wp:extent cx="5486400" cy="2543175"/>
            <wp:effectExtent l="76200" t="57150" r="95250" b="0"/>
            <wp:docPr id="56" name="Diagram 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062D7" w:rsidRPr="00B33936" w:rsidRDefault="00084DE5" w:rsidP="00BF033E">
      <w:pPr>
        <w:pStyle w:val="ListParagraph"/>
        <w:numPr>
          <w:ilvl w:val="1"/>
          <w:numId w:val="1"/>
        </w:numPr>
        <w:spacing w:line="360" w:lineRule="auto"/>
        <w:jc w:val="both"/>
        <w:rPr>
          <w:rFonts w:ascii="Times New Roman" w:hAnsi="Times New Roman" w:cs="Times New Roman"/>
          <w:sz w:val="24"/>
        </w:rPr>
      </w:pPr>
      <w:r w:rsidRPr="00B33936">
        <w:rPr>
          <w:rFonts w:ascii="Times New Roman" w:hAnsi="Times New Roman" w:cs="Times New Roman"/>
          <w:b/>
          <w:sz w:val="24"/>
        </w:rPr>
        <w:lastRenderedPageBreak/>
        <w:t>Equity mutual fund-</w:t>
      </w:r>
      <w:r w:rsidRPr="00B33936">
        <w:rPr>
          <w:rFonts w:ascii="Times New Roman" w:hAnsi="Times New Roman" w:cs="Times New Roman"/>
          <w:sz w:val="24"/>
        </w:rPr>
        <w:t xml:space="preserve"> </w:t>
      </w:r>
      <w:r w:rsidR="00263966" w:rsidRPr="00B33936">
        <w:rPr>
          <w:rFonts w:ascii="Times New Roman" w:hAnsi="Times New Roman" w:cs="Times New Roman"/>
          <w:sz w:val="24"/>
        </w:rPr>
        <w:t>To achieve high returns, equity mutual funds invests their whole corpus in equities and equity-related instruments. The equity mutual fund is the riskiest form of mutual fund. Because they are known for producing larger returns than debt or hybrid funds. Equity mutual funds are further categorize</w:t>
      </w:r>
      <w:r w:rsidR="00B33936" w:rsidRPr="00B33936">
        <w:rPr>
          <w:rFonts w:ascii="Times New Roman" w:hAnsi="Times New Roman" w:cs="Times New Roman"/>
          <w:sz w:val="24"/>
        </w:rPr>
        <w:t>d into various types of schemes.</w:t>
      </w:r>
    </w:p>
    <w:p w:rsidR="00C062D7" w:rsidRDefault="00C062D7" w:rsidP="00263966">
      <w:pPr>
        <w:pStyle w:val="ListParagraph"/>
        <w:widowControl w:val="0"/>
        <w:autoSpaceDE w:val="0"/>
        <w:autoSpaceDN w:val="0"/>
        <w:adjustRightInd w:val="0"/>
        <w:spacing w:before="240" w:line="240" w:lineRule="auto"/>
        <w:ind w:left="360"/>
        <w:jc w:val="center"/>
        <w:rPr>
          <w:rFonts w:ascii="Times New Roman" w:hAnsi="Times New Roman"/>
          <w:sz w:val="18"/>
          <w:szCs w:val="24"/>
        </w:rPr>
      </w:pPr>
    </w:p>
    <w:p w:rsidR="00263966" w:rsidRPr="00263966" w:rsidRDefault="00C062D7" w:rsidP="00263966">
      <w:pPr>
        <w:pStyle w:val="ListParagraph"/>
        <w:widowControl w:val="0"/>
        <w:autoSpaceDE w:val="0"/>
        <w:autoSpaceDN w:val="0"/>
        <w:adjustRightInd w:val="0"/>
        <w:spacing w:before="240" w:line="240" w:lineRule="auto"/>
        <w:ind w:left="360"/>
        <w:jc w:val="center"/>
        <w:rPr>
          <w:rFonts w:ascii="Times New Roman" w:hAnsi="Times New Roman"/>
          <w:sz w:val="18"/>
          <w:szCs w:val="24"/>
        </w:rPr>
      </w:pPr>
      <w:r>
        <w:rPr>
          <w:rFonts w:ascii="Times New Roman" w:hAnsi="Times New Roman"/>
          <w:sz w:val="18"/>
          <w:szCs w:val="24"/>
        </w:rPr>
        <w:t>Figure 2:</w:t>
      </w:r>
      <w:r w:rsidR="00263966" w:rsidRPr="00263966">
        <w:rPr>
          <w:rFonts w:ascii="Times New Roman" w:hAnsi="Times New Roman"/>
          <w:sz w:val="18"/>
          <w:szCs w:val="24"/>
        </w:rPr>
        <w:t xml:space="preserve"> Categorization of Equity Mutual funds</w:t>
      </w:r>
    </w:p>
    <w:p w:rsidR="00263966" w:rsidRDefault="00B33936" w:rsidP="00263966">
      <w:pPr>
        <w:pStyle w:val="ListParagraph"/>
        <w:jc w:val="both"/>
        <w:rPr>
          <w:rFonts w:ascii="Times New Roman" w:hAnsi="Times New Roman" w:cs="Times New Roman"/>
          <w:sz w:val="24"/>
        </w:rPr>
      </w:pPr>
      <w:r>
        <w:rPr>
          <w:noProof/>
        </w:rPr>
        <mc:AlternateContent>
          <mc:Choice Requires="wpg">
            <w:drawing>
              <wp:anchor distT="0" distB="0" distL="114300" distR="114300" simplePos="0" relativeHeight="251659264" behindDoc="0" locked="0" layoutInCell="1" allowOverlap="1" wp14:anchorId="1D2EEC1B" wp14:editId="2C247E22">
                <wp:simplePos x="0" y="0"/>
                <wp:positionH relativeFrom="column">
                  <wp:posOffset>200025</wp:posOffset>
                </wp:positionH>
                <wp:positionV relativeFrom="paragraph">
                  <wp:posOffset>116205</wp:posOffset>
                </wp:positionV>
                <wp:extent cx="5591175" cy="4462780"/>
                <wp:effectExtent l="38100" t="0" r="28575" b="13970"/>
                <wp:wrapNone/>
                <wp:docPr id="260" name="Group 260"/>
                <wp:cNvGraphicFramePr/>
                <a:graphic xmlns:a="http://schemas.openxmlformats.org/drawingml/2006/main">
                  <a:graphicData uri="http://schemas.microsoft.com/office/word/2010/wordprocessingGroup">
                    <wpg:wgp>
                      <wpg:cNvGrpSpPr/>
                      <wpg:grpSpPr>
                        <a:xfrm>
                          <a:off x="0" y="0"/>
                          <a:ext cx="5591175" cy="4462780"/>
                          <a:chOff x="0" y="0"/>
                          <a:chExt cx="8254365" cy="4298849"/>
                        </a:xfrm>
                      </wpg:grpSpPr>
                      <wps:wsp>
                        <wps:cNvPr id="188" name="Rounded Rectangle 188"/>
                        <wps:cNvSpPr/>
                        <wps:spPr>
                          <a:xfrm>
                            <a:off x="3149877" y="0"/>
                            <a:ext cx="2629585" cy="47382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B8310E" w:rsidRDefault="007B2E15" w:rsidP="00263966">
                              <w:pPr>
                                <w:jc w:val="center"/>
                                <w:rPr>
                                  <w:sz w:val="20"/>
                                </w:rPr>
                              </w:pPr>
                              <w:r w:rsidRPr="00B8310E">
                                <w:rPr>
                                  <w:sz w:val="20"/>
                                </w:rPr>
                                <w:t>CATEGORIZATION OF EQUITY MUTUAL FUNDS</w:t>
                              </w:r>
                            </w:p>
                            <w:p w:rsidR="007B2E15" w:rsidRDefault="007B2E15" w:rsidP="0026396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 name="Straight Connector 187"/>
                        <wps:cNvCnPr/>
                        <wps:spPr>
                          <a:xfrm>
                            <a:off x="4264429" y="473825"/>
                            <a:ext cx="8313" cy="307687"/>
                          </a:xfrm>
                          <a:prstGeom prst="line">
                            <a:avLst/>
                          </a:prstGeom>
                          <a:ln w="28575">
                            <a:solidFill>
                              <a:schemeClr val="accent1"/>
                            </a:solidFill>
                          </a:ln>
                        </wps:spPr>
                        <wps:style>
                          <a:lnRef idx="1">
                            <a:schemeClr val="accent1"/>
                          </a:lnRef>
                          <a:fillRef idx="0">
                            <a:schemeClr val="accent1"/>
                          </a:fillRef>
                          <a:effectRef idx="0">
                            <a:schemeClr val="accent1"/>
                          </a:effectRef>
                          <a:fontRef idx="minor">
                            <a:schemeClr val="tx1"/>
                          </a:fontRef>
                        </wps:style>
                        <wps:bodyPr/>
                      </wps:wsp>
                      <wps:wsp>
                        <wps:cNvPr id="179" name="Straight Connector 179"/>
                        <wps:cNvCnPr/>
                        <wps:spPr>
                          <a:xfrm flipV="1">
                            <a:off x="681644" y="773083"/>
                            <a:ext cx="7106920" cy="4127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78" name="Straight Arrow Connector 178"/>
                        <wps:cNvCnPr/>
                        <wps:spPr>
                          <a:xfrm>
                            <a:off x="681644" y="822960"/>
                            <a:ext cx="0" cy="23304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86" name="Rounded Rectangle 186"/>
                        <wps:cNvSpPr/>
                        <wps:spPr>
                          <a:xfrm>
                            <a:off x="0" y="1047403"/>
                            <a:ext cx="1263534" cy="44804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616A80" w:rsidRDefault="007B2E15" w:rsidP="00263966">
                              <w:pPr>
                                <w:jc w:val="center"/>
                                <w:rPr>
                                  <w:sz w:val="18"/>
                                </w:rPr>
                              </w:pPr>
                              <w:r w:rsidRPr="00616A80">
                                <w:rPr>
                                  <w:sz w:val="16"/>
                                </w:rPr>
                                <w:t>Management Style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9" name="Rounded Rectangle 169"/>
                        <wps:cNvSpPr/>
                        <wps:spPr>
                          <a:xfrm>
                            <a:off x="1762298" y="1047403"/>
                            <a:ext cx="1280160" cy="448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616A80" w:rsidRDefault="007B2E15" w:rsidP="00263966">
                              <w:pPr>
                                <w:jc w:val="center"/>
                                <w:rPr>
                                  <w:sz w:val="16"/>
                                </w:rPr>
                              </w:pPr>
                              <w:r w:rsidRPr="00616A80">
                                <w:rPr>
                                  <w:sz w:val="16"/>
                                </w:rPr>
                                <w:t>Market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Rounded Rectangle 184"/>
                        <wps:cNvSpPr/>
                        <wps:spPr>
                          <a:xfrm>
                            <a:off x="3649287" y="1047403"/>
                            <a:ext cx="1263016" cy="4480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B8310E" w:rsidRDefault="007B2E15" w:rsidP="00263966">
                              <w:pPr>
                                <w:jc w:val="center"/>
                                <w:rPr>
                                  <w:sz w:val="20"/>
                                </w:rPr>
                              </w:pPr>
                              <w:r w:rsidRPr="00616A80">
                                <w:rPr>
                                  <w:sz w:val="16"/>
                                </w:rPr>
                                <w:t xml:space="preserve">Investment </w:t>
                              </w:r>
                              <w:r>
                                <w:rPr>
                                  <w:sz w:val="18"/>
                                </w:rPr>
                                <w:t>Strategy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Rounded Rectangle 185"/>
                        <wps:cNvSpPr/>
                        <wps:spPr>
                          <a:xfrm>
                            <a:off x="5303518" y="1022464"/>
                            <a:ext cx="1361845" cy="596808"/>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B8310E" w:rsidRDefault="007B2E15" w:rsidP="00263966">
                              <w:pPr>
                                <w:jc w:val="center"/>
                                <w:rPr>
                                  <w:sz w:val="20"/>
                                </w:rPr>
                              </w:pPr>
                              <w:r>
                                <w:rPr>
                                  <w:sz w:val="16"/>
                                </w:rPr>
                                <w:t>Profit distribution/ growth aspect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 name="Rounded Rectangle 182"/>
                        <wps:cNvSpPr/>
                        <wps:spPr>
                          <a:xfrm>
                            <a:off x="7056956" y="1014151"/>
                            <a:ext cx="1196862" cy="40509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616A80" w:rsidRDefault="007B2E15" w:rsidP="00263966">
                              <w:pPr>
                                <w:jc w:val="center"/>
                                <w:rPr>
                                  <w:sz w:val="18"/>
                                </w:rPr>
                              </w:pPr>
                              <w:r>
                                <w:rPr>
                                  <w:sz w:val="16"/>
                                </w:rPr>
                                <w:t>Tax 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Straight Arrow Connector 183"/>
                        <wps:cNvCnPr/>
                        <wps:spPr>
                          <a:xfrm>
                            <a:off x="7789025" y="781396"/>
                            <a:ext cx="0" cy="2413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47" name="Straight Arrow Connector 147"/>
                        <wps:cNvCnPr/>
                        <wps:spPr>
                          <a:xfrm>
                            <a:off x="5951913" y="781396"/>
                            <a:ext cx="0" cy="2413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81" name="Straight Arrow Connector 181"/>
                        <wps:cNvCnPr/>
                        <wps:spPr>
                          <a:xfrm>
                            <a:off x="4272742" y="806334"/>
                            <a:ext cx="0" cy="2413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80" name="Straight Arrow Connector 180"/>
                        <wps:cNvCnPr/>
                        <wps:spPr>
                          <a:xfrm>
                            <a:off x="2460567" y="798022"/>
                            <a:ext cx="0" cy="241300"/>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0" name="Straight Connector 150"/>
                        <wps:cNvCnPr/>
                        <wps:spPr>
                          <a:xfrm>
                            <a:off x="58189" y="1354974"/>
                            <a:ext cx="0" cy="195326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48" name="Straight Connector 148"/>
                        <wps:cNvCnPr/>
                        <wps:spPr>
                          <a:xfrm>
                            <a:off x="1744478" y="1472456"/>
                            <a:ext cx="0" cy="266001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58" name="Straight Connector 158"/>
                        <wps:cNvCnPr/>
                        <wps:spPr>
                          <a:xfrm flipH="1">
                            <a:off x="3657600" y="1354974"/>
                            <a:ext cx="0" cy="206946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57" name="Straight Connector 157"/>
                        <wps:cNvCnPr/>
                        <wps:spPr>
                          <a:xfrm>
                            <a:off x="5303520" y="1321723"/>
                            <a:ext cx="0" cy="2036445"/>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56" name="Straight Connector 156"/>
                        <wps:cNvCnPr/>
                        <wps:spPr>
                          <a:xfrm flipH="1">
                            <a:off x="7065818" y="1321723"/>
                            <a:ext cx="0" cy="123825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77" name="Straight Arrow Connector 177"/>
                        <wps:cNvCnPr/>
                        <wps:spPr>
                          <a:xfrm>
                            <a:off x="58189" y="1862051"/>
                            <a:ext cx="158000" cy="8313"/>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1" name="Straight Arrow Connector 151"/>
                        <wps:cNvCnPr/>
                        <wps:spPr>
                          <a:xfrm>
                            <a:off x="58189" y="2601883"/>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37" name="Straight Arrow Connector 137"/>
                        <wps:cNvCnPr/>
                        <wps:spPr>
                          <a:xfrm>
                            <a:off x="49876" y="3250276"/>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3" name="Rounded Rectangle 153"/>
                        <wps:cNvSpPr/>
                        <wps:spPr>
                          <a:xfrm>
                            <a:off x="216131" y="2377440"/>
                            <a:ext cx="1138555" cy="42354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sidRPr="00C47A59">
                                <w:rPr>
                                  <w:sz w:val="18"/>
                                </w:rPr>
                                <w:t>Passively managed scheme</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Rounded Rectangle 152"/>
                        <wps:cNvSpPr/>
                        <wps:spPr>
                          <a:xfrm>
                            <a:off x="216131" y="3050771"/>
                            <a:ext cx="1138555" cy="46545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sidRPr="00C47A59">
                                <w:rPr>
                                  <w:sz w:val="18"/>
                                </w:rPr>
                                <w:t>Exchange traded funds</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 name="Rounded Rectangle 176"/>
                        <wps:cNvSpPr/>
                        <wps:spPr>
                          <a:xfrm>
                            <a:off x="216131" y="1704109"/>
                            <a:ext cx="1138843" cy="43226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B8310E" w:rsidRDefault="007B2E15" w:rsidP="00263966">
                              <w:pPr>
                                <w:rPr>
                                  <w:sz w:val="18"/>
                                </w:rPr>
                              </w:pPr>
                              <w:r w:rsidRPr="00B8310E">
                                <w:rPr>
                                  <w:sz w:val="18"/>
                                </w:rPr>
                                <w:t>Actively Managed scheme</w:t>
                              </w:r>
                              <w:r>
                                <w:rPr>
                                  <w:noProof/>
                                  <w:sz w:val="18"/>
                                </w:rPr>
                                <w:drawing>
                                  <wp:inline distT="0" distB="0" distL="0" distR="0" wp14:anchorId="4BCF93B5" wp14:editId="75627259">
                                    <wp:extent cx="888365" cy="226522"/>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r>
                                <w:rPr>
                                  <w:noProof/>
                                  <w:sz w:val="18"/>
                                </w:rPr>
                                <w:drawing>
                                  <wp:inline distT="0" distB="0" distL="0" distR="0" wp14:anchorId="5CC9BA3D" wp14:editId="41FAA461">
                                    <wp:extent cx="888365" cy="226522"/>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r>
                                <w:rPr>
                                  <w:noProof/>
                                  <w:sz w:val="18"/>
                                </w:rPr>
                                <w:drawing>
                                  <wp:inline distT="0" distB="0" distL="0" distR="0" wp14:anchorId="4780FE7F" wp14:editId="3AB01F23">
                                    <wp:extent cx="888365" cy="226522"/>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Straight Arrow Connector 170"/>
                        <wps:cNvCnPr/>
                        <wps:spPr>
                          <a:xfrm>
                            <a:off x="1762759" y="4065832"/>
                            <a:ext cx="157481"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71" name="Straight Arrow Connector 171"/>
                        <wps:cNvCnPr/>
                        <wps:spPr>
                          <a:xfrm>
                            <a:off x="1753985" y="3680146"/>
                            <a:ext cx="157481"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72" name="Straight Arrow Connector 172"/>
                        <wps:cNvCnPr/>
                        <wps:spPr>
                          <a:xfrm>
                            <a:off x="1762298" y="3175514"/>
                            <a:ext cx="157481"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73" name="Straight Arrow Connector 173"/>
                        <wps:cNvCnPr/>
                        <wps:spPr>
                          <a:xfrm>
                            <a:off x="1762298" y="2601883"/>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74" name="Straight Arrow Connector 174"/>
                        <wps:cNvCnPr/>
                        <wps:spPr>
                          <a:xfrm>
                            <a:off x="1753985" y="2177934"/>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75" name="Straight Arrow Connector 175"/>
                        <wps:cNvCnPr/>
                        <wps:spPr>
                          <a:xfrm>
                            <a:off x="1762298" y="1704109"/>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63" name="Rounded Rectangle 163"/>
                        <wps:cNvSpPr/>
                        <wps:spPr>
                          <a:xfrm>
                            <a:off x="1911927" y="1554480"/>
                            <a:ext cx="1055370"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Large-cap</w:t>
                              </w:r>
                              <w:r>
                                <w:rPr>
                                  <w:noProof/>
                                  <w:sz w:val="18"/>
                                </w:rPr>
                                <w:drawing>
                                  <wp:inline distT="0" distB="0" distL="0" distR="0" wp14:anchorId="48574242" wp14:editId="5695B87D">
                                    <wp:extent cx="1041400" cy="265544"/>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48D37D6F" wp14:editId="747FE5FC">
                                    <wp:extent cx="1041400" cy="265544"/>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Rounded Rectangle 165"/>
                        <wps:cNvSpPr/>
                        <wps:spPr>
                          <a:xfrm>
                            <a:off x="1920240" y="2460567"/>
                            <a:ext cx="104711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Small-cap</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8" name="Rounded Rectangle 168"/>
                        <wps:cNvSpPr/>
                        <wps:spPr>
                          <a:xfrm>
                            <a:off x="1920239" y="2950743"/>
                            <a:ext cx="1032779" cy="50811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Large &amp; Mid-cap</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Rounded Rectangle 166"/>
                        <wps:cNvSpPr/>
                        <wps:spPr>
                          <a:xfrm>
                            <a:off x="1905903" y="3569122"/>
                            <a:ext cx="1047116"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Multi-cap</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7" name="Rounded Rectangle 167"/>
                        <wps:cNvSpPr/>
                        <wps:spPr>
                          <a:xfrm>
                            <a:off x="1911466" y="3991509"/>
                            <a:ext cx="1047116"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Flexi-cap</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Rounded Rectangle 164"/>
                        <wps:cNvSpPr/>
                        <wps:spPr>
                          <a:xfrm>
                            <a:off x="1920240" y="2019992"/>
                            <a:ext cx="104711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Mid-cap</w:t>
                              </w:r>
                              <w:r>
                                <w:rPr>
                                  <w:noProof/>
                                  <w:sz w:val="18"/>
                                </w:rPr>
                                <w:drawing>
                                  <wp:inline distT="0" distB="0" distL="0" distR="0" wp14:anchorId="19A7352B" wp14:editId="3EAF7635">
                                    <wp:extent cx="1041400" cy="265544"/>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6C56A2F2" wp14:editId="52B619FF">
                                    <wp:extent cx="1041400" cy="265544"/>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ounded Rectangle 161"/>
                        <wps:cNvSpPr/>
                        <wps:spPr>
                          <a:xfrm>
                            <a:off x="3790604" y="3217025"/>
                            <a:ext cx="103060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Focused funds</w:t>
                              </w:r>
                              <w:r>
                                <w:rPr>
                                  <w:noProof/>
                                  <w:sz w:val="18"/>
                                </w:rPr>
                                <w:drawing>
                                  <wp:inline distT="0" distB="0" distL="0" distR="0" wp14:anchorId="2352B1E6" wp14:editId="367F7EED">
                                    <wp:extent cx="1041400" cy="265544"/>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543510AE" wp14:editId="12CDC119">
                                    <wp:extent cx="1041400" cy="265544"/>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ounded Rectangle 162"/>
                        <wps:cNvSpPr/>
                        <wps:spPr>
                          <a:xfrm>
                            <a:off x="3790604" y="2443942"/>
                            <a:ext cx="1030778"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Thematic Funds</w:t>
                              </w:r>
                              <w:r>
                                <w:rPr>
                                  <w:noProof/>
                                  <w:sz w:val="18"/>
                                </w:rPr>
                                <w:drawing>
                                  <wp:inline distT="0" distB="0" distL="0" distR="0" wp14:anchorId="076C2F1C" wp14:editId="5C580CE0">
                                    <wp:extent cx="1041400" cy="265544"/>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38F2E70F" wp14:editId="599703B0">
                                    <wp:extent cx="1041400" cy="265544"/>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Rounded Rectangle 159"/>
                        <wps:cNvSpPr/>
                        <wps:spPr>
                          <a:xfrm>
                            <a:off x="3790604" y="1753985"/>
                            <a:ext cx="103060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C062D7">
                              <w:pPr>
                                <w:jc w:val="center"/>
                                <w:rPr>
                                  <w:sz w:val="18"/>
                                </w:rPr>
                              </w:pPr>
                              <w:r>
                                <w:rPr>
                                  <w:sz w:val="18"/>
                                </w:rPr>
                                <w:t>Sectoral funds</w:t>
                              </w:r>
                              <w:r>
                                <w:rPr>
                                  <w:noProof/>
                                  <w:sz w:val="18"/>
                                </w:rPr>
                                <w:drawing>
                                  <wp:inline distT="0" distB="0" distL="0" distR="0" wp14:anchorId="7091DA28" wp14:editId="266B2E56">
                                    <wp:extent cx="215900" cy="1327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8DD722E" wp14:editId="62723FDA">
                                    <wp:extent cx="215900" cy="1327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540872AC" wp14:editId="63242093">
                                    <wp:extent cx="215900" cy="1327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C029D69" wp14:editId="0B5DC893">
                                    <wp:extent cx="1041400" cy="265544"/>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27E45372" wp14:editId="7D61FE0C">
                                    <wp:extent cx="1041400" cy="265544"/>
                                    <wp:effectExtent l="0" t="0" r="635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Straight Arrow Connector 149"/>
                        <wps:cNvCnPr/>
                        <wps:spPr>
                          <a:xfrm flipV="1">
                            <a:off x="3657600" y="3416531"/>
                            <a:ext cx="1320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4" name="Straight Arrow Connector 154"/>
                        <wps:cNvCnPr/>
                        <wps:spPr>
                          <a:xfrm>
                            <a:off x="3657600" y="2601883"/>
                            <a:ext cx="157480" cy="848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55" name="Straight Arrow Connector 155"/>
                        <wps:cNvCnPr/>
                        <wps:spPr>
                          <a:xfrm>
                            <a:off x="3649287" y="1903614"/>
                            <a:ext cx="1574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38" name="Rounded Rectangle 138"/>
                        <wps:cNvSpPr/>
                        <wps:spPr>
                          <a:xfrm>
                            <a:off x="5436524" y="3183774"/>
                            <a:ext cx="103060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Value Funds</w:t>
                              </w:r>
                              <w:r>
                                <w:rPr>
                                  <w:noProof/>
                                  <w:sz w:val="18"/>
                                </w:rPr>
                                <w:drawing>
                                  <wp:inline distT="0" distB="0" distL="0" distR="0" wp14:anchorId="06534E79" wp14:editId="44F6309A">
                                    <wp:extent cx="215900" cy="1327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33B36A13" wp14:editId="04F9247C">
                                    <wp:extent cx="215900" cy="132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4F96AC2" wp14:editId="4F8179C7">
                                    <wp:extent cx="1041400" cy="265544"/>
                                    <wp:effectExtent l="0" t="0" r="635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3529B750" wp14:editId="1C6A40BF">
                                    <wp:extent cx="1041400" cy="265544"/>
                                    <wp:effectExtent l="0" t="0" r="635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Rounded Rectangle 140"/>
                        <wps:cNvSpPr/>
                        <wps:spPr>
                          <a:xfrm>
                            <a:off x="5444836" y="2560666"/>
                            <a:ext cx="1030604"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Contra Funds</w:t>
                              </w:r>
                              <w:r>
                                <w:rPr>
                                  <w:noProof/>
                                  <w:sz w:val="18"/>
                                </w:rPr>
                                <w:drawing>
                                  <wp:inline distT="0" distB="0" distL="0" distR="0" wp14:anchorId="049475CB" wp14:editId="4E779249">
                                    <wp:extent cx="215900" cy="132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5C33D46F" wp14:editId="4B697EF7">
                                    <wp:extent cx="215900" cy="1327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29389F00" wp14:editId="7C389199">
                                    <wp:extent cx="215900" cy="1327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2136892E" wp14:editId="44396115">
                                    <wp:extent cx="1041400" cy="265544"/>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684E4562" wp14:editId="1DC8A9E1">
                                    <wp:extent cx="1041400" cy="265544"/>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Rounded Rectangle 160"/>
                        <wps:cNvSpPr/>
                        <wps:spPr>
                          <a:xfrm>
                            <a:off x="5469774" y="1940591"/>
                            <a:ext cx="1030604"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Dividend Yield</w:t>
                              </w:r>
                              <w:r>
                                <w:rPr>
                                  <w:noProof/>
                                  <w:sz w:val="18"/>
                                </w:rPr>
                                <w:drawing>
                                  <wp:inline distT="0" distB="0" distL="0" distR="0" wp14:anchorId="1B4B29F8" wp14:editId="2D95C259">
                                    <wp:extent cx="215900" cy="1327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54D8D19" wp14:editId="6B2ADDD5">
                                    <wp:extent cx="215900" cy="1327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68D27D7" wp14:editId="503E5FDC">
                                    <wp:extent cx="215900" cy="1327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03F06553" wp14:editId="386BD1EE">
                                    <wp:extent cx="1041400" cy="265544"/>
                                    <wp:effectExtent l="0" t="0" r="635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1B617AD2" wp14:editId="05B17839">
                                    <wp:extent cx="1041400" cy="265544"/>
                                    <wp:effectExtent l="0" t="0" r="635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 name="Rounded Rectangle 143"/>
                        <wps:cNvSpPr/>
                        <wps:spPr>
                          <a:xfrm>
                            <a:off x="7223760" y="2394065"/>
                            <a:ext cx="103060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RGEES</w:t>
                              </w:r>
                              <w:r>
                                <w:rPr>
                                  <w:noProof/>
                                  <w:sz w:val="18"/>
                                </w:rPr>
                                <w:drawing>
                                  <wp:inline distT="0" distB="0" distL="0" distR="0" wp14:anchorId="3FD79668" wp14:editId="4CB1FC62">
                                    <wp:extent cx="215900" cy="1327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32C106B" wp14:editId="2C7ECA64">
                                    <wp:extent cx="215900" cy="1327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172718ED" wp14:editId="51F3F139">
                                    <wp:extent cx="1041400" cy="265544"/>
                                    <wp:effectExtent l="0" t="0" r="635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1679E93B" wp14:editId="5DF547E3">
                                    <wp:extent cx="1041400" cy="265544"/>
                                    <wp:effectExtent l="0" t="0" r="635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Rounded Rectangle 145"/>
                        <wps:cNvSpPr/>
                        <wps:spPr>
                          <a:xfrm>
                            <a:off x="7190509" y="1704109"/>
                            <a:ext cx="1030605" cy="3073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B2E15" w:rsidRPr="00C47A59" w:rsidRDefault="007B2E15" w:rsidP="00263966">
                              <w:pPr>
                                <w:rPr>
                                  <w:sz w:val="18"/>
                                </w:rPr>
                              </w:pPr>
                              <w:r>
                                <w:rPr>
                                  <w:sz w:val="18"/>
                                </w:rPr>
                                <w:t>ELSS</w:t>
                              </w:r>
                              <w:r>
                                <w:rPr>
                                  <w:noProof/>
                                  <w:sz w:val="18"/>
                                </w:rPr>
                                <w:drawing>
                                  <wp:inline distT="0" distB="0" distL="0" distR="0" wp14:anchorId="0E746101" wp14:editId="21BA0DC6">
                                    <wp:extent cx="215900" cy="1327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9AF376C" wp14:editId="51EE29E9">
                                    <wp:extent cx="215900" cy="1327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38CABD44" wp14:editId="54CBA993">
                                    <wp:extent cx="1041400" cy="265544"/>
                                    <wp:effectExtent l="0" t="0" r="635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24355E5F" wp14:editId="2E72208E">
                                    <wp:extent cx="1041400" cy="265544"/>
                                    <wp:effectExtent l="0" t="0" r="635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7B2E15" w:rsidRPr="00B8310E" w:rsidRDefault="007B2E15" w:rsidP="00263966">
                              <w:pPr>
                                <w:rPr>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Straight Arrow Connector 139"/>
                        <wps:cNvCnPr/>
                        <wps:spPr>
                          <a:xfrm flipV="1">
                            <a:off x="5346233" y="3330644"/>
                            <a:ext cx="1320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41" name="Straight Arrow Connector 141"/>
                        <wps:cNvCnPr/>
                        <wps:spPr>
                          <a:xfrm flipV="1">
                            <a:off x="5366142" y="2701405"/>
                            <a:ext cx="1320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42" name="Straight Arrow Connector 142"/>
                        <wps:cNvCnPr/>
                        <wps:spPr>
                          <a:xfrm flipV="1">
                            <a:off x="5366142" y="2102518"/>
                            <a:ext cx="1320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44" name="Straight Arrow Connector 144"/>
                        <wps:cNvCnPr/>
                        <wps:spPr>
                          <a:xfrm flipV="1">
                            <a:off x="7082444" y="2560320"/>
                            <a:ext cx="132080" cy="346"/>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s:wsp>
                        <wps:cNvPr id="146" name="Straight Arrow Connector 146"/>
                        <wps:cNvCnPr/>
                        <wps:spPr>
                          <a:xfrm flipV="1">
                            <a:off x="7065818" y="1870363"/>
                            <a:ext cx="132080" cy="8255"/>
                          </a:xfrm>
                          <a:prstGeom prst="straightConnector1">
                            <a:avLst/>
                          </a:prstGeom>
                          <a:ln w="28575">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260" o:spid="_x0000_s1026" style="position:absolute;left:0;text-align:left;margin-left:15.75pt;margin-top:9.15pt;width:440.25pt;height:351.4pt;z-index:251659264;mso-width-relative:margin;mso-height-relative:margin" coordsize="82543,42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">
                <v:roundrect id="Rounded Rectangle 188" o:spid="_x0000_s1027" style="position:absolute;left:31498;width:26296;height:47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eDncIA&#10;AADcAAAADwAAAGRycy9kb3ducmV2LnhtbESPQWuDQBCF74H+h2UCvZS6toFirJtQCm1zreYHDO5E&#10;Je6suGvUf985FHKb4b1575viuLhe3WgMnWcDL0kKirj2tuPGwLn6es5AhYhssfdMBlYKcDw8bArM&#10;rZ/5l25lbJSEcMjRQBvjkGsd6pYchsQPxKJd/Ogwyjo22o44S7jr9WuavmmHHUtDiwN9tlRfy8kZ&#10;2E8/a9npy67C+DR9k9+X2FhjHrfLxzuoSEu8m/+vT1bwM6GVZ2QCf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Z4OdwgAAANwAAAAPAAAAAAAAAAAAAAAAAJgCAABkcnMvZG93&#10;bnJldi54bWxQSwUGAAAAAAQABAD1AAAAhwMAAAAA&#10;" fillcolor="#4f81bd [3204]" strokecolor="#243f60 [1604]" strokeweight="2pt">
                  <v:textbox>
                    <w:txbxContent>
                      <w:p w:rsidR="00BF033E" w:rsidRPr="00B8310E" w:rsidRDefault="00BF033E" w:rsidP="00263966">
                        <w:pPr>
                          <w:jc w:val="center"/>
                          <w:rPr>
                            <w:sz w:val="20"/>
                          </w:rPr>
                        </w:pPr>
                        <w:r w:rsidRPr="00B8310E">
                          <w:rPr>
                            <w:sz w:val="20"/>
                          </w:rPr>
                          <w:t>CATEGORIZATION OF EQUITY MUTUAL FUNDS</w:t>
                        </w:r>
                      </w:p>
                      <w:p w:rsidR="00BF033E" w:rsidRDefault="00BF033E" w:rsidP="00263966">
                        <w:pPr>
                          <w:jc w:val="center"/>
                        </w:pPr>
                      </w:p>
                    </w:txbxContent>
                  </v:textbox>
                </v:roundrect>
                <v:line id="Straight Connector 187" o:spid="_x0000_s1028" style="position:absolute;visibility:visible;mso-wrap-style:square" from="42644,4738" to="42727,78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5NbMEAAADcAAAADwAAAGRycy9kb3ducmV2LnhtbERPS4vCMBC+L/gfwgh7W1N1WbUaRUTB&#10;0y4+wOvYjE2xmZQm1vrvN4LgbT6+58wWrS1FQ7UvHCvo9xIQxJnTBecKjofN1xiED8gaS8ek4EEe&#10;FvPOxwxT7e68o2YfchFD2KeowIRQpVL6zJBF33MVceQurrYYIqxzqWu8x3BbykGS/EiLBccGgxWt&#10;DGXX/c0qGHw7fTbNY/u30qdhc1mXk9/RRqnPbrucggjUhrf45d7qOH88gucz8QI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Tk1swQAAANwAAAAPAAAAAAAAAAAAAAAA&#10;AKECAABkcnMvZG93bnJldi54bWxQSwUGAAAAAAQABAD5AAAAjwMAAAAA&#10;" strokecolor="#4f81bd [3204]" strokeweight="2.25pt"/>
                <v:line id="Straight Connector 179" o:spid="_x0000_s1029" style="position:absolute;flip:y;visibility:visible;mso-wrap-style:square" from="6816,7730" to="77885,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3W0sIAAADcAAAADwAAAGRycy9kb3ducmV2LnhtbERPS2vCQBC+C/6HZYReRDe1UG10FQkW&#10;esmhtnoestMkuDsbsts8+uu7hYK3+fieszsM1oiOWl87VvC4TEAQF07XXCr4/HhdbED4gKzROCYF&#10;I3k47KeTHaba9fxO3TmUIoawT1FBFUKTSumLiiz6pWuII/flWoshwraUusU+hlsjV0nyLC3WHBsq&#10;bCirqLidv62Cp6vMj6YIvHayy39Ol5HnJlPqYTYctyACDeEu/ne/6Th//QJ/z8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43W0sIAAADcAAAADwAAAAAAAAAAAAAA&#10;AAChAgAAZHJzL2Rvd25yZXYueG1sUEsFBgAAAAAEAAQA+QAAAJADAAAAAA==&#10;" strokecolor="#4579b8 [3044]" strokeweight="2.25pt"/>
                <v:shapetype id="_x0000_t32" coordsize="21600,21600" o:spt="32" o:oned="t" path="m,l21600,21600e" filled="f">
                  <v:path arrowok="t" fillok="f" o:connecttype="none"/>
                  <o:lock v:ext="edit" shapetype="t"/>
                </v:shapetype>
                <v:shape id="Straight Arrow Connector 178" o:spid="_x0000_s1030" type="#_x0000_t32" style="position:absolute;left:6816;top:8229;width:0;height:2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E8MAAADcAAAADwAAAGRycy9kb3ducmV2LnhtbESPTWvCQBCG74L/YRmhN91YqJXoKiIU&#10;iie/UI9Ddkyi2dmY3Zr47zuHQm8zzPvxzHzZuUo9qQmlZwPjUQKKOPO25NzA8fA1nIIKEdli5ZkM&#10;vCjActHvzTG1vuUdPfcxVxLCIUUDRYx1qnXICnIYRr4mltvVNw6jrE2ubYOthLtKvyfJRDssWRoK&#10;rGldUHbf/zjprU7n2+V1+MBbshkTuXby2GyNeRt0qxmoSF38F/+5v63gfwqtPCMT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1IBPDAAAA3AAAAA8AAAAAAAAAAAAA&#10;AAAAoQIAAGRycy9kb3ducmV2LnhtbFBLBQYAAAAABAAEAPkAAACRAwAAAAA=&#10;" strokecolor="#4579b8 [3044]" strokeweight="2.25pt">
                  <v:stroke endarrow="open"/>
                </v:shape>
                <v:roundrect id="Rounded Rectangle 186" o:spid="_x0000_s1031" style="position:absolute;top:10474;width:12635;height:4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SydLwA&#10;AADcAAAADwAAAGRycy9kb3ducmV2LnhtbERPSwrCMBDdC94hjOBGNFVBtBpFBD9bWw8wNGNbbCal&#10;SbXe3giCu3m872x2nanEkxpXWlYwnUQgiDOrS84V3NLjeAnCeWSNlWVS8CYHu22/t8FY2xdf6Zn4&#10;XIQQdjEqKLyvYyldVpBBN7E1ceDutjHoA2xyqRt8hXBTyVkULaTBkkNDgTUdCsoeSWsUrNrzOynl&#10;fZ6iH7UnsqsEc63UcNDt1yA8df4v/rkvOsxfLuD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LtLJ0vAAAANwAAAAPAAAAAAAAAAAAAAAAAJgCAABkcnMvZG93bnJldi54&#10;bWxQSwUGAAAAAAQABAD1AAAAgQMAAAAA&#10;" fillcolor="#4f81bd [3204]" strokecolor="#243f60 [1604]" strokeweight="2pt">
                  <v:textbox>
                    <w:txbxContent>
                      <w:p w:rsidR="00BF033E" w:rsidRPr="00616A80" w:rsidRDefault="00BF033E" w:rsidP="00263966">
                        <w:pPr>
                          <w:jc w:val="center"/>
                          <w:rPr>
                            <w:sz w:val="18"/>
                          </w:rPr>
                        </w:pPr>
                        <w:r w:rsidRPr="00616A80">
                          <w:rPr>
                            <w:sz w:val="16"/>
                          </w:rPr>
                          <w:t>Management Style</w:t>
                        </w:r>
                      </w:p>
                    </w:txbxContent>
                  </v:textbox>
                </v:roundrect>
                <v:roundrect id="Rounded Rectangle 169" o:spid="_x0000_s1032" style="position:absolute;left:17622;top:10474;width:12802;height:4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A/LwA&#10;AADcAAAADwAAAGRycy9kb3ducmV2LnhtbERPSwrCMBDdC94hjOBGNFVBbDWKCH62Vg8wNGNbbCal&#10;SbXe3giCu3m876y3nanEkxpXWlYwnUQgiDOrS84V3K6H8RKE88gaK8uk4E0Otpt+b42Jti++0DP1&#10;uQgh7BJUUHhfJ1K6rCCDbmJr4sDdbWPQB9jkUjf4CuGmkrMoWkiDJYeGAmvaF5Q90tYoiNvTOy3l&#10;fX5FP2qPZOMUc63UcNDtViA8df4v/rnPOsxfxPB9JlwgN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KJ8D8vAAAANwAAAAPAAAAAAAAAAAAAAAAAJgCAABkcnMvZG93bnJldi54&#10;bWxQSwUGAAAAAAQABAD1AAAAgQMAAAAA&#10;" fillcolor="#4f81bd [3204]" strokecolor="#243f60 [1604]" strokeweight="2pt">
                  <v:textbox>
                    <w:txbxContent>
                      <w:p w:rsidR="00BF033E" w:rsidRPr="00616A80" w:rsidRDefault="00BF033E" w:rsidP="00263966">
                        <w:pPr>
                          <w:jc w:val="center"/>
                          <w:rPr>
                            <w:sz w:val="16"/>
                          </w:rPr>
                        </w:pPr>
                        <w:r w:rsidRPr="00616A80">
                          <w:rPr>
                            <w:sz w:val="16"/>
                          </w:rPr>
                          <w:t>Market Capitalization</w:t>
                        </w:r>
                      </w:p>
                      <w:p w:rsidR="00BF033E" w:rsidRPr="00B8310E" w:rsidRDefault="00BF033E" w:rsidP="00263966">
                        <w:pPr>
                          <w:rPr>
                            <w:sz w:val="20"/>
                          </w:rPr>
                        </w:pPr>
                      </w:p>
                    </w:txbxContent>
                  </v:textbox>
                </v:roundrect>
                <v:roundrect id="Rounded Rectangle 184" o:spid="_x0000_s1033" style="position:absolute;left:36492;top:10474;width:12631;height:4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JmLwA&#10;AADcAAAADwAAAGRycy9kb3ducmV2LnhtbERPSwrCMBDdC94hjOBGNPWDaDWKCH62Vg8wNGNbbCal&#10;SbXe3giCu3m876y3rSnFk2pXWFYwHkUgiFOrC84U3K6H4QKE88gaS8uk4E0OtptuZ42xti++0DPx&#10;mQgh7GJUkHtfxVK6NCeDbmQr4sDdbW3QB1hnUtf4CuGmlJMomkuDBYeGHCva55Q+ksYoWDand1LI&#10;+/SKftAcyS4TzLRS/V67W4Hw1Pq/+Oc+6zB/MYP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UKomYvAAAANwAAAAPAAAAAAAAAAAAAAAAAJgCAABkcnMvZG93bnJldi54&#10;bWxQSwUGAAAAAAQABAD1AAAAgQMAAAAA&#10;" fillcolor="#4f81bd [3204]" strokecolor="#243f60 [1604]" strokeweight="2pt">
                  <v:textbox>
                    <w:txbxContent>
                      <w:p w:rsidR="00BF033E" w:rsidRPr="00B8310E" w:rsidRDefault="00BF033E" w:rsidP="00263966">
                        <w:pPr>
                          <w:jc w:val="center"/>
                          <w:rPr>
                            <w:sz w:val="20"/>
                          </w:rPr>
                        </w:pPr>
                        <w:r w:rsidRPr="00616A80">
                          <w:rPr>
                            <w:sz w:val="16"/>
                          </w:rPr>
                          <w:t xml:space="preserve">Investment </w:t>
                        </w:r>
                        <w:r>
                          <w:rPr>
                            <w:sz w:val="18"/>
                          </w:rPr>
                          <w:t>Strategy</w:t>
                        </w:r>
                      </w:p>
                    </w:txbxContent>
                  </v:textbox>
                </v:roundrect>
                <v:roundrect id="Rounded Rectangle 185" o:spid="_x0000_s1034" style="position:absolute;left:53035;top:10224;width:13618;height:59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sA7wA&#10;AADcAAAADwAAAGRycy9kb3ducmV2LnhtbERPSwrCMBDdC94hjOBGNFVRtBpFBD9bqwcYmrEtNpPS&#10;pFpvbwTB3Tzed9bb1pTiSbUrLCsYjyIQxKnVBWcKbtfDcAHCeWSNpWVS8CYH2023s8ZY2xdf6Jn4&#10;TIQQdjEqyL2vYildmpNBN7IVceDutjboA6wzqWt8hXBTykkUzaXBgkNDjhXtc0ofSWMULJvTOynk&#10;fXpFP2iOZJcJZlqpfq/drUB4av1f/HOfdZi/mMH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7ZiwDvAAAANwAAAAPAAAAAAAAAAAAAAAAAJgCAABkcnMvZG93bnJldi54&#10;bWxQSwUGAAAAAAQABAD1AAAAgQMAAAAA&#10;" fillcolor="#4f81bd [3204]" strokecolor="#243f60 [1604]" strokeweight="2pt">
                  <v:textbox>
                    <w:txbxContent>
                      <w:p w:rsidR="00BF033E" w:rsidRPr="00B8310E" w:rsidRDefault="00BF033E" w:rsidP="00263966">
                        <w:pPr>
                          <w:jc w:val="center"/>
                          <w:rPr>
                            <w:sz w:val="20"/>
                          </w:rPr>
                        </w:pPr>
                        <w:r>
                          <w:rPr>
                            <w:sz w:val="16"/>
                          </w:rPr>
                          <w:t>Profit distribution/ growth aspect</w:t>
                        </w:r>
                      </w:p>
                    </w:txbxContent>
                  </v:textbox>
                </v:roundrect>
                <v:roundrect id="Rounded Rectangle 182" o:spid="_x0000_s1035" style="position:absolute;left:70569;top:10141;width:11969;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0d7wA&#10;AADcAAAADwAAAGRycy9kb3ducmV2LnhtbERPSwrCMBDdC94hjOBGNFVBtBpFBD9bWw8wNGNbbCal&#10;SbXe3giCu3m872x2nanEkxpXWlYwnUQgiDOrS84V3NLjeAnCeWSNlWVS8CYHu22/t8FY2xdf6Zn4&#10;XIQQdjEqKLyvYyldVpBBN7E1ceDutjHoA2xyqRt8hXBTyVkULaTBkkNDgTUdCsoeSWsUrNrzOynl&#10;fZ6iH7UnsqsEc63UcNDt1yA8df4v/rkvOsxfzuD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0j7R3vAAAANwAAAAPAAAAAAAAAAAAAAAAAJgCAABkcnMvZG93bnJldi54&#10;bWxQSwUGAAAAAAQABAD1AAAAgQMAAAAA&#10;" fillcolor="#4f81bd [3204]" strokecolor="#243f60 [1604]" strokeweight="2pt">
                  <v:textbox>
                    <w:txbxContent>
                      <w:p w:rsidR="00BF033E" w:rsidRPr="00616A80" w:rsidRDefault="00BF033E" w:rsidP="00263966">
                        <w:pPr>
                          <w:jc w:val="center"/>
                          <w:rPr>
                            <w:sz w:val="18"/>
                          </w:rPr>
                        </w:pPr>
                        <w:r>
                          <w:rPr>
                            <w:sz w:val="16"/>
                          </w:rPr>
                          <w:t>Tax treatment</w:t>
                        </w:r>
                      </w:p>
                    </w:txbxContent>
                  </v:textbox>
                </v:roundrect>
                <v:shape id="Straight Arrow Connector 183" o:spid="_x0000_s1036" type="#_x0000_t32" style="position:absolute;left:77890;top:7813;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TCRcUAAADcAAAADwAAAGRycy9kb3ducmV2LnhtbESPT2vCQBDF74LfYZmCt7pJiyJpNlKE&#10;QsnJf2iPQ3ZMotnZNLs18du7QsHbDO/N+71Jl4NpxJU6V1tWEE8jEMSF1TWXCva7r9cFCOeRNTaW&#10;ScGNHCyz8SjFRNueN3Td+lKEEHYJKqi8bxMpXVGRQTe1LXHQTrYz6MPalVJ32Idw08i3KJpLgzUH&#10;QoUtrSoqLts/E7jN4Xj+ue1meI7ymMj08998rdTkZfj8AOFp8E/z//W3DvUX7/B4Jkwgs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ITCRcUAAADcAAAADwAAAAAAAAAA&#10;AAAAAAChAgAAZHJzL2Rvd25yZXYueG1sUEsFBgAAAAAEAAQA+QAAAJMDAAAAAA==&#10;" strokecolor="#4579b8 [3044]" strokeweight="2.25pt">
                  <v:stroke endarrow="open"/>
                </v:shape>
                <v:shape id="Straight Arrow Connector 147" o:spid="_x0000_s1037" type="#_x0000_t32" style="position:absolute;left:59519;top:7813;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Z+3MUAAADcAAAADwAAAGRycy9kb3ducmV2LnhtbESPT2vCQBDF7wW/wzKCt2ajtFbSrCKC&#10;UHJqtbQeh+w0f8zOxuyaxG/fLRS8zfDevN+bdDOaRvTUucqygnkUgyDOra64UPB53D+uQDiPrLGx&#10;TApu5GCznjykmGg78Af1B1+IEMIuQQWl920ipctLMugi2xIH7cd2Bn1Yu0LqDocQbhq5iOOlNFhx&#10;IJTY0q6k/Hy4msBtvr7r0+34jHWczYnMsLxk70rNpuP2FYSn0d/N/9dvOtR/eoG/Z8IE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Z+3MUAAADcAAAADwAAAAAAAAAA&#10;AAAAAAChAgAAZHJzL2Rvd25yZXYueG1sUEsFBgAAAAAEAAQA+QAAAJMDAAAAAA==&#10;" strokecolor="#4579b8 [3044]" strokeweight="2.25pt">
                  <v:stroke endarrow="open"/>
                </v:shape>
                <v:shape id="Straight Arrow Connector 181" o:spid="_x0000_s1038" type="#_x0000_t32" style="position:absolute;left:42727;top:8063;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r5qcIAAADcAAAADwAAAGRycy9kb3ducmV2LnhtbESPzarCMBCF94LvEEa4O0174YpUo4gg&#10;XFz5h7ocmrGtNpPaRFvf3giCuxnOmfOdmcxaU4oH1a6wrCAeRCCIU6sLzhTsd8v+CITzyBpLy6Tg&#10;SQ5m025ngom2DW/osfWZCCHsElSQe18lUro0J4NuYCvioJ1tbdCHtc6krrEJ4aaUv1E0lAYLDoQc&#10;K1rklF63dxO45eF4OT13f3iJVjGRaYa31Vqpn147H4Pw1Pqv+XP9r0P9UQzvZ8IEcvo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r5qcIAAADcAAAADwAAAAAAAAAAAAAA&#10;AAChAgAAZHJzL2Rvd25yZXYueG1sUEsFBgAAAAAEAAQA+QAAAJADAAAAAA==&#10;" strokecolor="#4579b8 [3044]" strokeweight="2.25pt">
                  <v:stroke endarrow="open"/>
                </v:shape>
                <v:shape id="Straight Arrow Connector 180" o:spid="_x0000_s1039" type="#_x0000_t32" style="position:absolute;left:24605;top:7980;width:0;height:24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ZcMsIAAADcAAAADwAAAGRycy9kb3ducmV2LnhtbESPTYvCQAyG74L/YYiwN50qrEjXURZB&#10;EE+7KuoxdLJt3U6mdkZb/705CN4S8n48mS87V6k7NaH0bGA8SkARZ96WnBs47NfDGagQkS1WnsnA&#10;gwIsF/3eHFPrW/6l+y7mSkI4pGigiLFOtQ5ZQQ7DyNfEcvvzjcMoa5Nr22Ar4a7SkySZaoclS0OB&#10;Na0Kyv53Nye91fF0OT/2n3hJtmMi106v2x9jPgbd9xeoSF18i1/ujRX8meDLMzKBXj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FZcMsIAAADcAAAADwAAAAAAAAAAAAAA&#10;AAChAgAAZHJzL2Rvd25yZXYueG1sUEsFBgAAAAAEAAQA+QAAAJADAAAAAA==&#10;" strokecolor="#4579b8 [3044]" strokeweight="2.25pt">
                  <v:stroke endarrow="open"/>
                </v:shape>
                <v:line id="Straight Connector 150" o:spid="_x0000_s1040" style="position:absolute;visibility:visible;mso-wrap-style:square" from="581,13549" to="581,330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V0n8YAAADcAAAADwAAAGRycy9kb3ducmV2LnhtbESPT2vCQBDF74V+h2UK3upGW0VSVymt&#10;gmB78B9eh+w0CWZnw+6qybfvHAq9zfDevPeb+bJzjbpRiLVnA6NhBoq48Lbm0sDxsH6egYoJ2WLj&#10;mQz0FGG5eHyYY279nXd026dSSQjHHA1UKbW51rGoyGEc+pZYtB8fHCZZQ6ltwLuEu0aPs2yqHdYs&#10;DRW29FFRcdlfnYGV70+7bVidv+t+sn09zL7GL5+FMYOn7v0NVKIu/Zv/rjdW8CeCL8/IB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uFdJ/GAAAA3AAAAA8AAAAAAAAA&#10;AAAAAAAAoQIAAGRycy9kb3ducmV2LnhtbFBLBQYAAAAABAAEAPkAAACUAwAAAAA=&#10;" strokecolor="#4579b8 [3044]" strokeweight="2.25pt"/>
                <v:line id="Straight Connector 148" o:spid="_x0000_s1041" style="position:absolute;visibility:visible;mso-wrap-style:square" from="17444,14724" to="17444,413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uRMYAAADcAAAADwAAAGRycy9kb3ducmV2LnhtbESPT2vCQBDF74V+h2UK3upGa0VSVymt&#10;gmB78B9eh+w0CWZnw+6qybfvHAq9zfDevPeb+bJzjbpRiLVnA6NhBoq48Lbm0sDxsH6egYoJ2WLj&#10;mQz0FGG5eHyYY279nXd026dSSQjHHA1UKbW51rGoyGEc+pZYtB8fHCZZQ6ltwLuEu0aPs2yqHdYs&#10;DRW29FFRcdlfnYGV70+7bVidv+v+dTs5zL7GL5+FMYOn7v0NVKIu/Zv/rjdW8CdCK8/IBHr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q7kTGAAAA3AAAAA8AAAAAAAAA&#10;AAAAAAAAoQIAAGRycy9kb3ducmV2LnhtbFBLBQYAAAAABAAEAPkAAACUAwAAAAA=&#10;" strokecolor="#4579b8 [3044]" strokeweight="2.25pt"/>
                <v:line id="Straight Connector 158" o:spid="_x0000_s1042" style="position:absolute;flip:x;visibility:visible;mso-wrap-style:square" from="36576,13549" to="36576,34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QvKcQAAADcAAAADwAAAGRycy9kb3ducmV2LnhtbESPQWvCQBCF7wX/wzKCl6KbtrRKdBWR&#10;Cl48VKvnITsmwd3ZkN3G6K/vHAq9zfDevPfNYtV7pzpqYx3YwMskA0VcBFtzaeD7uB3PQMWEbNEF&#10;JgN3irBaDp4WmNtw4y/qDqlUEsIxRwNVSk2udSwq8hgnoSEW7RJaj0nWttS2xZuEe6dfs+xDe6xZ&#10;GipsaFNRcT38eANvZ71fuyLxNOhu//g83fnZbYwZDfv1HFSiPv2b/653VvDfhVaekQn0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dC8pxAAAANwAAAAPAAAAAAAAAAAA&#10;AAAAAKECAABkcnMvZG93bnJldi54bWxQSwUGAAAAAAQABAD5AAAAkgMAAAAA&#10;" strokecolor="#4579b8 [3044]" strokeweight="2.25pt"/>
                <v:line id="Straight Connector 157" o:spid="_x0000_s1043" style="position:absolute;visibility:visible;mso-wrap-style:square" from="53035,13217" to="53035,33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zs68QAAADcAAAADwAAAGRycy9kb3ducmV2LnhtbERPS2sCMRC+C/0PYQrearZaW9kapfiA&#10;gnpQW3odNtPdpZvJksR9/HsjFLzNx/ec+bIzlWjI+dKygudRAoI4s7rkXMHXefs0A+EDssbKMino&#10;ycNy8TCYY6pty0dqTiEXMYR9igqKEOpUSp8VZNCPbE0cuV/rDIYIXS61wzaGm0qOk+RVGiw5NhRY&#10;06qg7O90MQo2tv8+7tzm51D2093LebYfT9aZUsPH7uMdRKAu3MX/7k8d50/f4PZMvEAur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bOzrxAAAANwAAAAPAAAAAAAAAAAA&#10;AAAAAKECAABkcnMvZG93bnJldi54bWxQSwUGAAAAAAQABAD5AAAAkgMAAAAA&#10;" strokecolor="#4579b8 [3044]" strokeweight="2.25pt"/>
                <v:line id="Straight Connector 156" o:spid="_x0000_s1044" style="position:absolute;flip:x;visibility:visible;mso-wrap-style:square" from="70658,13217" to="70658,25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ewMIAAADcAAAADwAAAGRycy9kb3ducmV2LnhtbERPS2vCQBC+C/6HZYReRDe1VEt0FQkW&#10;esmhtnoestMkuDsbsts8+uu7hYK3+fieszsM1oiOWl87VvC4TEAQF07XXCr4/HhdvIDwAVmjcUwK&#10;RvJw2E8nO0y16/mdunMoRQxhn6KCKoQmldIXFVn0S9cQR+7LtRZDhG0pdYt9DLdGrpJkLS3WHBsq&#10;bCirqLidv62Cp6vMj6YIvHGyy39Ol5HnJlPqYTYctyACDeEu/ne/6Tj/eQ1/z8QL5P4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cewMIAAADcAAAADwAAAAAAAAAAAAAA&#10;AAChAgAAZHJzL2Rvd25yZXYueG1sUEsFBgAAAAAEAAQA+QAAAJADAAAAAA==&#10;" strokecolor="#4579b8 [3044]" strokeweight="2.25pt"/>
                <v:shape id="Straight Arrow Connector 177" o:spid="_x0000_s1045" type="#_x0000_t32" style="position:absolute;left:581;top:18620;width:1580;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0YcUAAADcAAAADwAAAGRycy9kb3ducmV2LnhtbESPS2vDMBCE74H+B7GF3mI5hTrBsRJK&#10;oVB8you0x8Xa2E6tlWupfvz7qhDIbZeZnW82246mET11rrasYBHFIIgLq2suFZyO7/MVCOeRNTaW&#10;ScFEDrabh1mGqbYD76k/+FKEEHYpKqi8b1MpXVGRQRfZljhoF9sZ9GHtSqk7HEK4aeRzHCfSYM2B&#10;UGFLbxUV34dfE7jN+fP6NR1f8BrnCyIzJD/5Tqmnx/F1DcLT6O/m2/WHDvWXS/h/Jkw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q0YcUAAADcAAAADwAAAAAAAAAA&#10;AAAAAAChAgAAZHJzL2Rvd25yZXYueG1sUEsFBgAAAAAEAAQA+QAAAJMDAAAAAA==&#10;" strokecolor="#4579b8 [3044]" strokeweight="2.25pt">
                  <v:stroke endarrow="open"/>
                </v:shape>
                <v:shape id="Straight Arrow Connector 151" o:spid="_x0000_s1046" type="#_x0000_t32" style="position:absolute;left:581;top:26018;width:1575;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rV7sQAAADcAAAADwAAAGRycy9kb3ducmV2LnhtbESPQWvCQBCF7wX/wzJCb80mBaXErEEE&#10;oXhqtbQeh+yYRLOzMbs1yb93BcHbDO/N+95k+WAacaXO1ZYVJFEMgriwuuZSwc9+8/YBwnlkjY1l&#10;UjCSg3w5eckw1bbnb7rufClCCLsUFVTet6mUrqjIoItsSxy0o+0M+rB2pdQd9iHcNPI9jufSYM2B&#10;UGFL64qK8+7fBG7z+3c6jPsZnuJtQmT6+WX7pdTrdFgtQHga/NP8uP7Uof4sgfszYQK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etXuxAAAANwAAAAPAAAAAAAAAAAA&#10;AAAAAKECAABkcnMvZG93bnJldi54bWxQSwUGAAAAAAQABAD5AAAAkgMAAAAA&#10;" strokecolor="#4579b8 [3044]" strokeweight="2.25pt">
                  <v:stroke endarrow="open"/>
                </v:shape>
                <v:shape id="Straight Arrow Connector 137" o:spid="_x0000_s1047" type="#_x0000_t32" style="position:absolute;left:498;top:32502;width:1575;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ANocUAAADcAAAADwAAAGRycy9kb3ducmV2LnhtbESPT2vCQBDF7wW/wzKCt2ajpVbSrCKC&#10;UHJqtbQeh+w0f8zOxuyaxG/fLRS8zfDevN+bdDOaRvTUucqygnkUgyDOra64UPB53D+uQDiPrLGx&#10;TApu5GCznjykmGg78Af1B1+IEMIuQQWl920ipctLMugi2xIH7cd2Bn1Yu0LqDocQbhq5iOOlNFhx&#10;IJTY0q6k/Hy4msBtvr7r0+34jHWczYnMsLxk70rNpuP2FYSn0d/N/9dvOtR/eoG/Z8IE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ANocUAAADcAAAADwAAAAAAAAAA&#10;AAAAAAChAgAAZHJzL2Rvd25yZXYueG1sUEsFBgAAAAAEAAQA+QAAAJMDAAAAAA==&#10;" strokecolor="#4579b8 [3044]" strokeweight="2.25pt">
                  <v:stroke endarrow="open"/>
                </v:shape>
                <v:roundrect id="Rounded Rectangle 153" o:spid="_x0000_s1048" style="position:absolute;left:2161;top:23774;width:11385;height:4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M9q7wA&#10;AADcAAAADwAAAGRycy9kb3ducmV2LnhtbERPSwrCMBDdC94hjOBGNFVRtBpFBD9bqwcYmrEtNpPS&#10;pFpvbwTB3Tzed9bb1pTiSbUrLCsYjyIQxKnVBWcKbtfDcAHCeWSNpWVS8CYH2023s8ZY2xdf6Jn4&#10;TIQQdjEqyL2vYildmpNBN7IVceDutjboA6wzqWt8hXBTykkUzaXBgkNDjhXtc0ofSWMULJvTOynk&#10;fXpFP2iOZJcJZlqpfq/drUB4av1f/HOfdZg/m8L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oz2rvAAAANwAAAAPAAAAAAAAAAAAAAAAAJgCAABkcnMvZG93bnJldi54&#10;bWxQSwUGAAAAAAQABAD1AAAAgQMAAAAA&#10;" fillcolor="#4f81bd [3204]" strokecolor="#243f60 [1604]" strokeweight="2pt">
                  <v:textbox>
                    <w:txbxContent>
                      <w:p w:rsidR="00BF033E" w:rsidRPr="00C47A59" w:rsidRDefault="00BF033E" w:rsidP="00263966">
                        <w:pPr>
                          <w:rPr>
                            <w:sz w:val="18"/>
                          </w:rPr>
                        </w:pPr>
                        <w:r w:rsidRPr="00C47A59">
                          <w:rPr>
                            <w:sz w:val="18"/>
                          </w:rPr>
                          <w:t>Passively managed scheme</w:t>
                        </w:r>
                      </w:p>
                      <w:p w:rsidR="00BF033E" w:rsidRPr="00B8310E" w:rsidRDefault="00BF033E" w:rsidP="00263966">
                        <w:pPr>
                          <w:rPr>
                            <w:sz w:val="20"/>
                          </w:rPr>
                        </w:pPr>
                      </w:p>
                    </w:txbxContent>
                  </v:textbox>
                </v:roundrect>
                <v:roundrect id="Rounded Rectangle 152" o:spid="_x0000_s1049" style="position:absolute;left:2161;top:30507;width:11385;height:46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YMLwA&#10;AADcAAAADwAAAGRycy9kb3ducmV2LnhtbERPSwrCMBDdC94hjOBGNFVRtBpFBD9bqwcYmrEtNpPS&#10;pFpvbwTB3Tzed9bb1pTiSbUrLCsYjyIQxKnVBWcKbtfDcAHCeWSNpWVS8CYH2023s8ZY2xdf6Jn4&#10;TIQQdjEqyL2vYildmpNBN7IVceDutjboA6wzqWt8hXBTykkUzaXBgkNDjhXtc0ofSWMULJvTOynk&#10;fXpFP2iOZJcJZlqpfq/drUB4av1f/HOfdZg/m8D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75gwvAAAANwAAAAPAAAAAAAAAAAAAAAAAJgCAABkcnMvZG93bnJldi54&#10;bWxQSwUGAAAAAAQABAD1AAAAgQMAAAAA&#10;" fillcolor="#4f81bd [3204]" strokecolor="#243f60 [1604]" strokeweight="2pt">
                  <v:textbox>
                    <w:txbxContent>
                      <w:p w:rsidR="00BF033E" w:rsidRPr="00C47A59" w:rsidRDefault="00BF033E" w:rsidP="00263966">
                        <w:pPr>
                          <w:rPr>
                            <w:sz w:val="18"/>
                          </w:rPr>
                        </w:pPr>
                        <w:r w:rsidRPr="00C47A59">
                          <w:rPr>
                            <w:sz w:val="18"/>
                          </w:rPr>
                          <w:t>Exchange traded funds</w:t>
                        </w:r>
                      </w:p>
                      <w:p w:rsidR="00BF033E" w:rsidRPr="00B8310E" w:rsidRDefault="00BF033E" w:rsidP="00263966">
                        <w:pPr>
                          <w:rPr>
                            <w:sz w:val="20"/>
                          </w:rPr>
                        </w:pPr>
                      </w:p>
                    </w:txbxContent>
                  </v:textbox>
                </v:roundrect>
                <v:roundrect id="Rounded Rectangle 176" o:spid="_x0000_s1050" style="position:absolute;left:2161;top:17041;width:11388;height:43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CU7wA&#10;AADcAAAADwAAAGRycy9kb3ducmV2LnhtbERPSwrCMBDdC94hjOBGNFXBTzWKCH62Vg8wNGNbbCal&#10;SbXe3giCu3m876y3rSnFk2pXWFYwHkUgiFOrC84U3K6H4QKE88gaS8uk4E0OtptuZ42xti++0DPx&#10;mQgh7GJUkHtfxVK6NCeDbmQr4sDdbW3QB1hnUtf4CuGmlJMomkmDBYeGHCva55Q+ksYoWDand1LI&#10;+/SKftAcyS4TzLRS/V67W4Hw1Pq/+Oc+6zB/PoP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YcJTvAAAANwAAAAPAAAAAAAAAAAAAAAAAJgCAABkcnMvZG93bnJldi54&#10;bWxQSwUGAAAAAAQABAD1AAAAgQMAAAAA&#10;" fillcolor="#4f81bd [3204]" strokecolor="#243f60 [1604]" strokeweight="2pt">
                  <v:textbox>
                    <w:txbxContent>
                      <w:p w:rsidR="00BF033E" w:rsidRPr="00B8310E" w:rsidRDefault="00BF033E" w:rsidP="00263966">
                        <w:pPr>
                          <w:rPr>
                            <w:sz w:val="18"/>
                          </w:rPr>
                        </w:pPr>
                        <w:r w:rsidRPr="00B8310E">
                          <w:rPr>
                            <w:sz w:val="18"/>
                          </w:rPr>
                          <w:t>Actively Managed scheme</w:t>
                        </w:r>
                        <w:r>
                          <w:rPr>
                            <w:noProof/>
                            <w:sz w:val="18"/>
                          </w:rPr>
                          <w:drawing>
                            <wp:inline distT="0" distB="0" distL="0" distR="0" wp14:anchorId="4BCF93B5" wp14:editId="75627259">
                              <wp:extent cx="888365" cy="226522"/>
                              <wp:effectExtent l="0" t="0" r="698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r>
                          <w:rPr>
                            <w:noProof/>
                            <w:sz w:val="18"/>
                          </w:rPr>
                          <w:drawing>
                            <wp:inline distT="0" distB="0" distL="0" distR="0" wp14:anchorId="5CC9BA3D" wp14:editId="41FAA461">
                              <wp:extent cx="888365" cy="226522"/>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r>
                          <w:rPr>
                            <w:noProof/>
                            <w:sz w:val="18"/>
                          </w:rPr>
                          <w:drawing>
                            <wp:inline distT="0" distB="0" distL="0" distR="0" wp14:anchorId="4780FE7F" wp14:editId="3AB01F23">
                              <wp:extent cx="888365" cy="226522"/>
                              <wp:effectExtent l="0" t="0" r="6985"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88365" cy="226522"/>
                                      </a:xfrm>
                                      <a:prstGeom prst="rect">
                                        <a:avLst/>
                                      </a:prstGeom>
                                      <a:noFill/>
                                      <a:ln>
                                        <a:noFill/>
                                      </a:ln>
                                    </pic:spPr>
                                  </pic:pic>
                                </a:graphicData>
                              </a:graphic>
                            </wp:inline>
                          </w:drawing>
                        </w:r>
                      </w:p>
                      <w:p w:rsidR="00BF033E" w:rsidRPr="00B8310E" w:rsidRDefault="00BF033E" w:rsidP="00263966">
                        <w:pPr>
                          <w:rPr>
                            <w:sz w:val="20"/>
                          </w:rPr>
                        </w:pPr>
                      </w:p>
                    </w:txbxContent>
                  </v:textbox>
                </v:roundrect>
                <v:shape id="Straight Arrow Connector 170" o:spid="_x0000_s1051" type="#_x0000_t32" style="position:absolute;left:17627;top:40658;width:1575;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MsFcMAAADcAAAADwAAAGRycy9kb3ducmV2LnhtbESPTWvCQBCG74L/YRmhN91YqJXoKiIU&#10;iie/UI9Ddkyi2dmY3Zr47zuHQm8zzPvxzHzZuUo9qQmlZwPjUQKKOPO25NzA8fA1nIIKEdli5ZkM&#10;vCjActHvzTG1vuUdPfcxVxLCIUUDRYx1qnXICnIYRr4mltvVNw6jrE2ubYOthLtKvyfJRDssWRoK&#10;rGldUHbf/zjprU7n2+V1+MBbshkTuXby2GyNeRt0qxmoSF38F/+5v63gfwq+PCMT6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DLBXDAAAA3AAAAA8AAAAAAAAAAAAA&#10;AAAAoQIAAGRycy9kb3ducmV2LnhtbFBLBQYAAAAABAAEAPkAAACRAwAAAAA=&#10;" strokecolor="#4579b8 [3044]" strokeweight="2.25pt">
                  <v:stroke endarrow="open"/>
                </v:shape>
                <v:shape id="Straight Arrow Connector 171" o:spid="_x0000_s1052" type="#_x0000_t32" style="position:absolute;left:17539;top:36801;width:1575;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JjsUAAADcAAAADwAAAGRycy9kb3ducmV2LnhtbESPT2vCQBDF7wW/wzJCb80mQtOSuooI&#10;guRUtbQ9DtkxiWZnY3abP9/eLRR6m+G9eb83y/VoGtFT52rLCpIoBkFcWF1zqeDjtHt6BeE8ssbG&#10;MimYyMF6NXtYYqbtwAfqj74UIYRdhgoq79tMSldUZNBFtiUO2tl2Bn1Yu1LqDocQbhq5iONUGqw5&#10;ECpsaVtRcT3+mMBtPr8u39PpGS9xnhCZIb3l70o9zsfNGwhPo/83/13vdaj/ksDvM2EC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JjsUAAADcAAAADwAAAAAAAAAA&#10;AAAAAAChAgAAZHJzL2Rvd25yZXYueG1sUEsFBgAAAAAEAAQA+QAAAJMDAAAAAA==&#10;" strokecolor="#4579b8 [3044]" strokeweight="2.25pt">
                  <v:stroke endarrow="open"/>
                </v:shape>
                <v:shape id="Straight Arrow Connector 172" o:spid="_x0000_s1053" type="#_x0000_t32" style="position:absolute;left:17622;top:31755;width:1575;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0X+cMAAADcAAAADwAAAGRycy9kb3ducmV2LnhtbESPS6vCMBCF94L/IYxwd5oq+KAaRYQL&#10;F1fXB+pyaMa22kxqE23990YQ3M1wzpzvzGzRmEI8qHK5ZQX9XgSCOLE651TBfvfbnYBwHlljYZkU&#10;PMnBYt5uzTDWtuYNPbY+FSGEXYwKMu/LWEqXZGTQ9WxJHLSzrQz6sFap1BXWIdwUchBFI2kw50DI&#10;sKRVRsl1ezeBWxyOl9NzN8RLtO4TmXp0W/8r9dNpllMQnhr/NX+u/3SoPx7A+5kwgZ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odF/nDAAAA3AAAAA8AAAAAAAAAAAAA&#10;AAAAoQIAAGRycy9kb3ducmV2LnhtbFBLBQYAAAAABAAEAPkAAACRAwAAAAA=&#10;" strokecolor="#4579b8 [3044]" strokeweight="2.25pt">
                  <v:stroke endarrow="open"/>
                </v:shape>
                <v:shape id="Straight Arrow Connector 173" o:spid="_x0000_s1054" type="#_x0000_t32" style="position:absolute;left:17622;top:26018;width:1575;height:8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GyYsUAAADcAAAADwAAAGRycy9kb3ducmV2LnhtbESPT2vCQBDF7wW/wzKCt2ajpVbSrCKC&#10;UHJqtbQeh+w0f8zOxuyaxG/fLRS8zfDevN+bdDOaRvTUucqygnkUgyDOra64UPB53D+uQDiPrLGx&#10;TApu5GCznjykmGg78Af1B1+IEMIuQQWl920ipctLMugi2xIH7cd2Bn1Yu0LqDocQbhq5iOOlNFhx&#10;IJTY0q6k/Hy4msBtvr7r0+34jHWczYnMsLxk70rNpuP2FYSn0d/N/9dvOtR/eYK/Z8IE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VGyYsUAAADcAAAADwAAAAAAAAAA&#10;AAAAAAChAgAAZHJzL2Rvd25yZXYueG1sUEsFBgAAAAAEAAQA+QAAAJMDAAAAAA==&#10;" strokecolor="#4579b8 [3044]" strokeweight="2.25pt">
                  <v:stroke endarrow="open"/>
                </v:shape>
                <v:shape id="Straight Arrow Connector 174" o:spid="_x0000_s1055" type="#_x0000_t32" style="position:absolute;left:17539;top:21779;width:1575;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gqFsUAAADcAAAADwAAAGRycy9kb3ducmV2LnhtbESPT2vCQBDF7wW/wzKCt2ajtFbSrCKC&#10;UHJqtbQeh+w0f8zOxuyaxG/fLRS8zfDevN+bdDOaRvTUucqygnkUgyDOra64UPB53D+uQDiPrLGx&#10;TApu5GCznjykmGg78Af1B1+IEMIuQQWl920ipctLMugi2xIH7cd2Bn1Yu0LqDocQbhq5iOOlNFhx&#10;IJTY0q6k/Hy4msBtvr7r0+34jHWczYnMsLxk70rNpuP2FYSn0d/N/9dvOtR/eYK/Z8IEcv0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rgqFsUAAADcAAAADwAAAAAAAAAA&#10;AAAAAAChAgAAZHJzL2Rvd25yZXYueG1sUEsFBgAAAAAEAAQA+QAAAJMDAAAAAA==&#10;" strokecolor="#4579b8 [3044]" strokeweight="2.25pt">
                  <v:stroke endarrow="open"/>
                </v:shape>
                <v:shape id="Straight Arrow Connector 175" o:spid="_x0000_s1056" type="#_x0000_t32" style="position:absolute;left:17622;top:17041;width:1575;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SPjcQAAADcAAAADwAAAGRycy9kb3ducmV2LnhtbESPQWvCQBCF7wX/wzJCb3WTQqxE1yBC&#10;QXJqVdTjkB2TaHY2ZlcT/323UOhthvfmfW8W2WAa8aDO1ZYVxJMIBHFhdc2lgv3u820GwnlkjY1l&#10;UvAkB9ly9LLAVNuev+mx9aUIIexSVFB536ZSuqIig25iW+KgnW1n0Ie1K6XusA/hppHvUTSVBmsO&#10;hApbWldUXLd3E7jN4Xg5PXcJXqI8JjL99JZ/KfU6HlZzEJ4G/2/+u97oUP8jgd9nwgR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9I+NxAAAANwAAAAPAAAAAAAAAAAA&#10;AAAAAKECAABkcnMvZG93bnJldi54bWxQSwUGAAAAAAQABAD5AAAAkgMAAAAA&#10;" strokecolor="#4579b8 [3044]" strokeweight="2.25pt">
                  <v:stroke endarrow="open"/>
                </v:shape>
                <v:roundrect id="Rounded Rectangle 163" o:spid="_x0000_s1057" style="position:absolute;left:19119;top:15544;width:10553;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3FrwA&#10;AADcAAAADwAAAGRycy9kb3ducmV2LnhtbERPSwrCMBDdC94hjOBGNFVBtBpFBD9bWw8wNGNbbCal&#10;SbXe3giCu3m872x2nanEkxpXWlYwnUQgiDOrS84V3NLjeAnCeWSNlWVS8CYHu22/t8FY2xdf6Zn4&#10;XIQQdjEqKLyvYyldVpBBN7E1ceDutjHoA2xyqRt8hXBTyVkULaTBkkNDgTUdCsoeSWsUrNrzOynl&#10;fZ6iH7UnsqsEc63UcNDt1yA8df4v/rkvOsxfzOH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rz/cW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Large-cap</w:t>
                        </w:r>
                        <w:r>
                          <w:rPr>
                            <w:noProof/>
                            <w:sz w:val="18"/>
                          </w:rPr>
                          <w:drawing>
                            <wp:inline distT="0" distB="0" distL="0" distR="0" wp14:anchorId="48574242" wp14:editId="5695B87D">
                              <wp:extent cx="1041400" cy="265544"/>
                              <wp:effectExtent l="0" t="0" r="635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48D37D6F" wp14:editId="747FE5FC">
                              <wp:extent cx="1041400" cy="265544"/>
                              <wp:effectExtent l="0" t="0" r="635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65" o:spid="_x0000_s1058" style="position:absolute;left:19202;top:24605;width:10471;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rK+bwA&#10;AADcAAAADwAAAGRycy9kb3ducmV2LnhtbERPSwrCMBDdC94hjOBGNFVRtBpFBD9bqwcYmrEtNpPS&#10;pFpvbwTB3Tzed9bb1pTiSbUrLCsYjyIQxKnVBWcKbtfDcAHCeWSNpWVS8CYH2023s8ZY2xdf6Jn4&#10;TIQQdjEqyL2vYildmpNBN7IVceDutjboA6wzqWt8hXBTykkUzaXBgkNDjhXtc0ofSWMULJvTOynk&#10;fXpFP2iOZJcJZlqpfq/drUB4av1f/HOfdZg/n8H3mXCB3Hw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Lasr5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Small-cap</w:t>
                        </w:r>
                      </w:p>
                      <w:p w:rsidR="00BF033E" w:rsidRPr="00B8310E" w:rsidRDefault="00BF033E" w:rsidP="00263966">
                        <w:pPr>
                          <w:rPr>
                            <w:sz w:val="20"/>
                          </w:rPr>
                        </w:pPr>
                      </w:p>
                    </w:txbxContent>
                  </v:textbox>
                </v:roundrect>
                <v:roundrect id="Rounded Rectangle 168" o:spid="_x0000_s1059" style="position:absolute;left:19202;top:29507;width:10328;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tlZ8IA&#10;AADcAAAADwAAAGRycy9kb3ducmV2LnhtbESPQWvCQBCF7wX/wzJCL0U3tSAmuooItb028QcM2TEJ&#10;ZmdDdmOSf985FHqb4b1575vDaXKtelIfGs8G3tcJKOLS24YrA7fic7UDFSKyxdYzGZgpwOm4eDlg&#10;Zv3IP/TMY6UkhEOGBuoYu0zrUNbkMKx9Ryza3fcOo6x9pW2Po4S7Vm+SZKsdNiwNNXZ0qal85IMz&#10;kA5fc97o+0eB8W24kk9zrKwxr8vpvAcVaYr/5r/rbyv4W6GVZ2QCf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2VnwgAAANwAAAAPAAAAAAAAAAAAAAAAAJgCAABkcnMvZG93&#10;bnJldi54bWxQSwUGAAAAAAQABAD1AAAAhwMAAAAA&#10;" fillcolor="#4f81bd [3204]" strokecolor="#243f60 [1604]" strokeweight="2pt">
                  <v:textbox>
                    <w:txbxContent>
                      <w:p w:rsidR="00BF033E" w:rsidRPr="00C47A59" w:rsidRDefault="00BF033E" w:rsidP="00263966">
                        <w:pPr>
                          <w:rPr>
                            <w:sz w:val="18"/>
                          </w:rPr>
                        </w:pPr>
                        <w:r>
                          <w:rPr>
                            <w:sz w:val="18"/>
                          </w:rPr>
                          <w:t>Large &amp; Mid-cap</w:t>
                        </w:r>
                      </w:p>
                      <w:p w:rsidR="00BF033E" w:rsidRPr="00B8310E" w:rsidRDefault="00BF033E" w:rsidP="00263966">
                        <w:pPr>
                          <w:rPr>
                            <w:sz w:val="20"/>
                          </w:rPr>
                        </w:pPr>
                      </w:p>
                    </w:txbxContent>
                  </v:textbox>
                </v:roundrect>
                <v:roundrect id="Rounded Rectangle 166" o:spid="_x0000_s1060" style="position:absolute;left:19059;top:35691;width:10471;height:30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hUjrwA&#10;AADcAAAADwAAAGRycy9kb3ducmV2LnhtbERPSwrCMBDdC94hjOBGNFWhaDWKCH62Vg8wNGNbbCal&#10;SbXe3giCu3m876y3nanEkxpXWlYwnUQgiDOrS84V3K6H8QKE88gaK8uk4E0Otpt+b42Jti++0DP1&#10;uQgh7BJUUHhfJ1K6rCCDbmJr4sDdbWPQB9jkUjf4CuGmkrMoiqXBkkNDgTXtC8oeaWsULNvTOy3l&#10;fX5FP2qPZJcp5lqp4aDbrUB46vxf/HOfdZgfx/B9JlwgN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uFSO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Multi-cap</w:t>
                        </w:r>
                      </w:p>
                      <w:p w:rsidR="00BF033E" w:rsidRPr="00B8310E" w:rsidRDefault="00BF033E" w:rsidP="00263966">
                        <w:pPr>
                          <w:rPr>
                            <w:sz w:val="20"/>
                          </w:rPr>
                        </w:pPr>
                      </w:p>
                    </w:txbxContent>
                  </v:textbox>
                </v:roundrect>
                <v:roundrect id="Rounded Rectangle 167" o:spid="_x0000_s1061" style="position:absolute;left:19114;top:39915;width:10471;height:30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TxFbwA&#10;AADcAAAADwAAAGRycy9kb3ducmV2LnhtbERPSwrCMBDdC94hjOBGNFXBTzWKCH62Vg8wNGNbbCal&#10;SbXe3giCu3m876y3rSnFk2pXWFYwHkUgiFOrC84U3K6H4QKE88gaS8uk4E0OtptuZ42xti++0DPx&#10;mQgh7GJUkHtfxVK6NCeDbmQr4sDdbW3QB1hnUtf4CuGmlJMomkmDBYeGHCva55Q+ksYoWDand1LI&#10;+/SKftAcyS4TzLRS/V67W4Hw1Pq/+Oc+6zB/Nof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U9PEV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Flexi-cap</w:t>
                        </w:r>
                      </w:p>
                      <w:p w:rsidR="00BF033E" w:rsidRPr="00B8310E" w:rsidRDefault="00BF033E" w:rsidP="00263966">
                        <w:pPr>
                          <w:rPr>
                            <w:sz w:val="20"/>
                          </w:rPr>
                        </w:pPr>
                      </w:p>
                    </w:txbxContent>
                  </v:textbox>
                </v:roundrect>
                <v:roundrect id="Rounded Rectangle 164" o:spid="_x0000_s1062" style="position:absolute;left:19202;top:20199;width:10471;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ZvYrwA&#10;AADcAAAADwAAAGRycy9kb3ducmV2LnhtbERPSwrCMBDdC94hjOBGNPWDaDWKCH62Vg8wNGNbbCal&#10;SbXe3giCu3m876y3rSnFk2pXWFYwHkUgiFOrC84U3K6H4QKE88gaS8uk4E0OtptuZ42xti++0DPx&#10;mQgh7GJUkHtfxVK6NCeDbmQr4sDdbW3QB1hnUtf4CuGmlJMomkuDBYeGHCva55Q+ksYoWDand1LI&#10;+/SKftAcyS4TzLRS/V67W4Hw1Pq/+Oc+6zB/PoP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kJm9i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Mid-cap</w:t>
                        </w:r>
                        <w:r>
                          <w:rPr>
                            <w:noProof/>
                            <w:sz w:val="18"/>
                          </w:rPr>
                          <w:drawing>
                            <wp:inline distT="0" distB="0" distL="0" distR="0" wp14:anchorId="19A7352B" wp14:editId="3EAF7635">
                              <wp:extent cx="1041400" cy="265544"/>
                              <wp:effectExtent l="0" t="0" r="635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6C56A2F2" wp14:editId="52B619FF">
                              <wp:extent cx="1041400" cy="265544"/>
                              <wp:effectExtent l="0" t="0" r="635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61" o:spid="_x0000_s1063" style="position:absolute;left:37906;top:32170;width:10306;height:30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HM+rwA&#10;AADcAAAADwAAAGRycy9kb3ducmV2LnhtbERPSwrCMBDdC94hjOBGNFVBtBpFBD9bWw8wNGNbbCal&#10;SbXe3giCu3m872x2nanEkxpXWlYwnUQgiDOrS84V3NLjeAnCeWSNlWVS8CYHu22/t8FY2xdf6Zn4&#10;XIQQdjEqKLyvYyldVpBBN7E1ceDutjHoA2xyqRt8hXBTyVkULaTBkkNDgTUdCsoeSWsUrNrzOynl&#10;fZ6iH7UnsqsEc63UcNDt1yA8df4v/rkvOsxfTOH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0Ucz6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Focused funds</w:t>
                        </w:r>
                        <w:r>
                          <w:rPr>
                            <w:noProof/>
                            <w:sz w:val="18"/>
                          </w:rPr>
                          <w:drawing>
                            <wp:inline distT="0" distB="0" distL="0" distR="0" wp14:anchorId="2352B1E6" wp14:editId="367F7EED">
                              <wp:extent cx="1041400" cy="265544"/>
                              <wp:effectExtent l="0" t="0" r="635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543510AE" wp14:editId="12CDC119">
                              <wp:extent cx="1041400" cy="265544"/>
                              <wp:effectExtent l="0" t="0" r="635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62" o:spid="_x0000_s1064" style="position:absolute;left:37906;top:24439;width:10307;height:30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NSjbwA&#10;AADcAAAADwAAAGRycy9kb3ducmV2LnhtbERPSwrCMBDdC94hjOBGNFVBtBpFBD9bWw8wNGNbbCal&#10;SbXe3giCu3m872x2nanEkxpXWlYwnUQgiDOrS84V3NLjeAnCeWSNlWVS8CYHu22/t8FY2xdf6Zn4&#10;XIQQdjEqKLyvYyldVpBBN7E1ceDutjHoA2xyqRt8hXBTyVkULaTBkkNDgTUdCsoeSWsUrNrzOynl&#10;fZ6iH7UnsqsEc63UcNDt1yA8df4v/rkvOsxfzOD7TLhAbj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Eg1KN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Thematic Funds</w:t>
                        </w:r>
                        <w:r>
                          <w:rPr>
                            <w:noProof/>
                            <w:sz w:val="18"/>
                          </w:rPr>
                          <w:drawing>
                            <wp:inline distT="0" distB="0" distL="0" distR="0" wp14:anchorId="076C2F1C" wp14:editId="5C580CE0">
                              <wp:extent cx="1041400" cy="265544"/>
                              <wp:effectExtent l="0" t="0" r="635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38F2E70F" wp14:editId="599703B0">
                              <wp:extent cx="1041400" cy="265544"/>
                              <wp:effectExtent l="0" t="0" r="6350" b="127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59" o:spid="_x0000_s1065" style="position:absolute;left:37906;top:17539;width:10306;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sKQb4A&#10;AADcAAAADwAAAGRycy9kb3ducmV2LnhtbERPzYrCMBC+C75DGMGLaKqLYmtTEcFdr1t9gKEZ22Iz&#10;KU2q9e03C4K3+fh+J90PphEP6lxtWcFyEYEgLqyuuVRwvZzmWxDOI2tsLJOCFznYZ+NRiom2T/6l&#10;R+5LEULYJaig8r5NpHRFRQbdwrbEgbvZzqAPsCul7vAZwk0jV1G0kQZrDg0VtnSsqLjnvVEQ9z+v&#10;vJa3rwv6Wf9NNs6x1EpNJ8NhB8LT4D/it/usw/x1DP/PhAtk9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LCkG+AAAA3AAAAA8AAAAAAAAAAAAAAAAAmAIAAGRycy9kb3ducmV2&#10;LnhtbFBLBQYAAAAABAAEAPUAAACDAwAAAAA=&#10;" fillcolor="#4f81bd [3204]" strokecolor="#243f60 [1604]" strokeweight="2pt">
                  <v:textbox>
                    <w:txbxContent>
                      <w:p w:rsidR="00BF033E" w:rsidRPr="00C47A59" w:rsidRDefault="00BF033E" w:rsidP="00C062D7">
                        <w:pPr>
                          <w:jc w:val="center"/>
                          <w:rPr>
                            <w:sz w:val="18"/>
                          </w:rPr>
                        </w:pPr>
                        <w:r>
                          <w:rPr>
                            <w:sz w:val="18"/>
                          </w:rPr>
                          <w:t>Sectoral funds</w:t>
                        </w:r>
                        <w:r>
                          <w:rPr>
                            <w:noProof/>
                            <w:sz w:val="18"/>
                          </w:rPr>
                          <w:drawing>
                            <wp:inline distT="0" distB="0" distL="0" distR="0" wp14:anchorId="7091DA28" wp14:editId="266B2E56">
                              <wp:extent cx="215900" cy="1327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8DD722E" wp14:editId="62723FDA">
                              <wp:extent cx="215900" cy="1327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540872AC" wp14:editId="63242093">
                              <wp:extent cx="215900" cy="1327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C029D69" wp14:editId="0B5DC893">
                              <wp:extent cx="1041400" cy="265544"/>
                              <wp:effectExtent l="0" t="0" r="635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27E45372" wp14:editId="7D61FE0C">
                              <wp:extent cx="1041400" cy="265544"/>
                              <wp:effectExtent l="0" t="0" r="635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shape id="Straight Arrow Connector 149" o:spid="_x0000_s1066" type="#_x0000_t32" style="position:absolute;left:36576;top:34165;width:1320;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j86sEAAADcAAAADwAAAGRycy9kb3ducmV2LnhtbERPyWrDMBC9F/IPYgK9NXKNCY0TxZRA&#10;oL0lbg45DtbUNrVGtiVvf18FCr3N461zyGbTiJF6V1tW8LqJQBAXVtdcKrh9nV/eQDiPrLGxTAoW&#10;cpAdV08HTLWd+Epj7ksRQtilqKDyvk2ldEVFBt3GtsSB+7a9QR9gX0rd4xTCTSPjKNpKgzWHhgpb&#10;OlVU/OSDUVCfCm7a7nNJ7jq+nMeEOp8PSj2v5/c9CE+z/xf/uT90mJ/s4PFMuEAe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0yPzqwQAAANwAAAAPAAAAAAAAAAAAAAAA&#10;AKECAABkcnMvZG93bnJldi54bWxQSwUGAAAAAAQABAD5AAAAjwMAAAAA&#10;" strokecolor="#4579b8 [3044]" strokeweight="2.25pt">
                  <v:stroke endarrow="open"/>
                </v:shape>
                <v:shape id="Straight Arrow Connector 154" o:spid="_x0000_s1067" type="#_x0000_t32" style="position:absolute;left:36576;top:26018;width:1574;height: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12dsUAAADcAAAADwAAAGRycy9kb3ducmV2LnhtbESPS2vDMBCE74H+B7GF3mI5pQ7BsRJK&#10;oVB8you0x8Xa2E6tlWupfvz7qhDIbZeZnW82246mET11rrasYBHFIIgLq2suFZyO7/MVCOeRNTaW&#10;ScFEDrabh1mGqbYD76k/+FKEEHYpKqi8b1MpXVGRQRfZljhoF9sZ9GHtSqk7HEK4aeRzHC+lwZoD&#10;ocKW3ioqvg+/JnCb8+f1azomeI3zBZEZlj/5Tqmnx/F1DcLT6O/m2/WHDvWTF/h/Jkw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Q12dsUAAADcAAAADwAAAAAAAAAA&#10;AAAAAAChAgAAZHJzL2Rvd25yZXYueG1sUEsFBgAAAAAEAAQA+QAAAJMDAAAAAA==&#10;" strokecolor="#4579b8 [3044]" strokeweight="2.25pt">
                  <v:stroke endarrow="open"/>
                </v:shape>
                <v:shape id="Straight Arrow Connector 155" o:spid="_x0000_s1068" type="#_x0000_t32" style="position:absolute;left:36492;top:19036;width:1575;height: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HT7cUAAADcAAAADwAAAGRycy9kb3ducmV2LnhtbESPQWuDQBCF74X+h2UKuTWrAaXYbKQU&#10;AsFTE0vb4+BO1MSdNe426r/PBgq9zfDevO/NOp9MJ640uNaygngZgSCurG65VvBZbp9fQDiPrLGz&#10;TApmcpBvHh/WmGk78p6uB1+LEMIuQwWN930mpasaMuiWticO2tEOBn1Yh1rqAccQbjq5iqJUGmw5&#10;EBrs6b2h6nz4NYHbfX2ffuYywVNUxERmTC/Fh1KLp+ntFYSnyf+b/653OtRPErg/EyaQm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kHT7cUAAADcAAAADwAAAAAAAAAA&#10;AAAAAAChAgAAZHJzL2Rvd25yZXYueG1sUEsFBgAAAAAEAAQA+QAAAJMDAAAAAA==&#10;" strokecolor="#4579b8 [3044]" strokeweight="2.25pt">
                  <v:stroke endarrow="open"/>
                </v:shape>
                <v:roundrect id="Rounded Rectangle 138" o:spid="_x0000_s1069" style="position:absolute;left:54365;top:31837;width:10306;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hKesIA&#10;AADcAAAADwAAAGRycy9kb3ducmV2LnhtbESPQWvCQBCF7wX/wzJCL0U3VSgmuooItb028QcM2TEJ&#10;ZmdDdmOSf985FHqb4b1575vDaXKtelIfGs8G3tcJKOLS24YrA7fic7UDFSKyxdYzGZgpwOm4eDlg&#10;Zv3IP/TMY6UkhEOGBuoYu0zrUNbkMKx9Ryza3fcOo6x9pW2Po4S7Vm+S5EM7bFgaauzoUlP5yAdn&#10;IB2+5rzR922B8W24kk9zrKwxr8vpvAcVaYr/5r/rbyv4W6GVZ2QCf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2Ep6wgAAANwAAAAPAAAAAAAAAAAAAAAAAJgCAABkcnMvZG93&#10;bnJldi54bWxQSwUGAAAAAAQABAD1AAAAhwMAAAAA&#10;" fillcolor="#4f81bd [3204]" strokecolor="#243f60 [1604]" strokeweight="2pt">
                  <v:textbox>
                    <w:txbxContent>
                      <w:p w:rsidR="00BF033E" w:rsidRPr="00C47A59" w:rsidRDefault="00BF033E" w:rsidP="00263966">
                        <w:pPr>
                          <w:rPr>
                            <w:sz w:val="18"/>
                          </w:rPr>
                        </w:pPr>
                        <w:r>
                          <w:rPr>
                            <w:sz w:val="18"/>
                          </w:rPr>
                          <w:t>Value Funds</w:t>
                        </w:r>
                        <w:r>
                          <w:rPr>
                            <w:noProof/>
                            <w:sz w:val="18"/>
                          </w:rPr>
                          <w:drawing>
                            <wp:inline distT="0" distB="0" distL="0" distR="0" wp14:anchorId="06534E79" wp14:editId="44F6309A">
                              <wp:extent cx="215900" cy="13271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33B36A13" wp14:editId="04F9247C">
                              <wp:extent cx="215900" cy="1327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4F96AC2" wp14:editId="4F8179C7">
                              <wp:extent cx="1041400" cy="265544"/>
                              <wp:effectExtent l="0" t="0" r="6350" b="127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3529B750" wp14:editId="1C6A40BF">
                              <wp:extent cx="1041400" cy="265544"/>
                              <wp:effectExtent l="0" t="0" r="6350" b="127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40" o:spid="_x0000_s1070" style="position:absolute;left:54448;top:25606;width:10306;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g1AcIA&#10;AADcAAAADwAAAGRycy9kb3ducmV2LnhtbESPy2rDQAxF94H+w6BCNyEZpy2hdjIJJdDHtnY/QHjk&#10;B/VojGf8yN9Xi0B2Evfq3qPjeXGdmmgIrWcDu20Cirj0tuXawG/xsXkDFSKyxc4zGbhSgPPpYXXE&#10;zPqZf2jKY60khEOGBpoY+0zrUDbkMGx9Tyxa5QeHUdah1nbAWcJdp5+TZK8dtiwNDfZ0aaj8y0dn&#10;IB2/rnmrq5cC43r8JJ/mWFtjnh6X9wOoSEu8m2/X31bwXwVfnpEJ9O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qDUBwgAAANwAAAAPAAAAAAAAAAAAAAAAAJgCAABkcnMvZG93&#10;bnJldi54bWxQSwUGAAAAAAQABAD1AAAAhwMAAAAA&#10;" fillcolor="#4f81bd [3204]" strokecolor="#243f60 [1604]" strokeweight="2pt">
                  <v:textbox>
                    <w:txbxContent>
                      <w:p w:rsidR="00BF033E" w:rsidRPr="00C47A59" w:rsidRDefault="00BF033E" w:rsidP="00263966">
                        <w:pPr>
                          <w:rPr>
                            <w:sz w:val="18"/>
                          </w:rPr>
                        </w:pPr>
                        <w:r>
                          <w:rPr>
                            <w:sz w:val="18"/>
                          </w:rPr>
                          <w:t>Contra Funds</w:t>
                        </w:r>
                        <w:r>
                          <w:rPr>
                            <w:noProof/>
                            <w:sz w:val="18"/>
                          </w:rPr>
                          <w:drawing>
                            <wp:inline distT="0" distB="0" distL="0" distR="0" wp14:anchorId="049475CB" wp14:editId="4E779249">
                              <wp:extent cx="215900" cy="1327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5C33D46F" wp14:editId="4B697EF7">
                              <wp:extent cx="215900" cy="132715"/>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29389F00" wp14:editId="7C389199">
                              <wp:extent cx="215900" cy="13271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2136892E" wp14:editId="44396115">
                              <wp:extent cx="1041400" cy="265544"/>
                              <wp:effectExtent l="0" t="0" r="635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684E4562" wp14:editId="1DC8A9E1">
                              <wp:extent cx="1041400" cy="265544"/>
                              <wp:effectExtent l="0" t="0" r="6350" b="12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60" o:spid="_x0000_s1071" style="position:absolute;left:54697;top:19405;width:10306;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1pYcIA&#10;AADcAAAADwAAAGRycy9kb3ducmV2LnhtbESPQWvCQBCF7wX/wzJCL0U3tSAmuooItb028QcM2TEJ&#10;ZmdDdmOSf985FHqb4b1575vDaXKtelIfGs8G3tcJKOLS24YrA7fic7UDFSKyxdYzGZgpwOm4eDlg&#10;Zv3IP/TMY6UkhEOGBuoYu0zrUNbkMKx9Ryza3fcOo6x9pW2Po4S7Vm+SZKsdNiwNNXZ0qal85IMz&#10;kA5fc97o+0eB8W24kk9zrKwxr8vpvAcVaYr/5r/rbyv4W8GXZ2QCf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HWlhwgAAANwAAAAPAAAAAAAAAAAAAAAAAJgCAABkcnMvZG93&#10;bnJldi54bWxQSwUGAAAAAAQABAD1AAAAhwMAAAAA&#10;" fillcolor="#4f81bd [3204]" strokecolor="#243f60 [1604]" strokeweight="2pt">
                  <v:textbox>
                    <w:txbxContent>
                      <w:p w:rsidR="00BF033E" w:rsidRPr="00C47A59" w:rsidRDefault="00BF033E" w:rsidP="00263966">
                        <w:pPr>
                          <w:rPr>
                            <w:sz w:val="18"/>
                          </w:rPr>
                        </w:pPr>
                        <w:r>
                          <w:rPr>
                            <w:sz w:val="18"/>
                          </w:rPr>
                          <w:t>Dividend Yield</w:t>
                        </w:r>
                        <w:r>
                          <w:rPr>
                            <w:noProof/>
                            <w:sz w:val="18"/>
                          </w:rPr>
                          <w:drawing>
                            <wp:inline distT="0" distB="0" distL="0" distR="0" wp14:anchorId="1B4B29F8" wp14:editId="2D95C259">
                              <wp:extent cx="215900" cy="132715"/>
                              <wp:effectExtent l="0" t="0" r="0" b="63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54D8D19" wp14:editId="6B2ADDD5">
                              <wp:extent cx="215900" cy="13271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68D27D7" wp14:editId="503E5FDC">
                              <wp:extent cx="215900" cy="132715"/>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03F06553" wp14:editId="386BD1EE">
                              <wp:extent cx="1041400" cy="265544"/>
                              <wp:effectExtent l="0" t="0" r="635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1B617AD2" wp14:editId="05B17839">
                              <wp:extent cx="1041400" cy="265544"/>
                              <wp:effectExtent l="0" t="0" r="6350" b="127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43" o:spid="_x0000_s1072" style="position:absolute;left:72237;top:23940;width:10306;height:307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qrdrwA&#10;AADcAAAADwAAAGRycy9kb3ducmV2LnhtbERPSwrCMBDdC94hjOBGNPWDaDWKCH62Vg8wNGNbbCal&#10;SbXe3giCu3m876y3rSnFk2pXWFYwHkUgiFOrC84U3K6H4QKE88gaS8uk4E0OtptuZ42xti++0DPx&#10;mQgh7GJUkHtfxVK6NCeDbmQr4sDdbW3QB1hnUtf4CuGmlJMomkuDBYeGHCva55Q+ksYoWDand1LI&#10;+/SKftAcyS4TzLRS/V67W4Hw1Pq/+Oc+6zB/NoXvM+ECufk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geqt2vAAAANwAAAAPAAAAAAAAAAAAAAAAAJgCAABkcnMvZG93bnJldi54&#10;bWxQSwUGAAAAAAQABAD1AAAAgQMAAAAA&#10;" fillcolor="#4f81bd [3204]" strokecolor="#243f60 [1604]" strokeweight="2pt">
                  <v:textbox>
                    <w:txbxContent>
                      <w:p w:rsidR="00BF033E" w:rsidRPr="00C47A59" w:rsidRDefault="00BF033E" w:rsidP="00263966">
                        <w:pPr>
                          <w:rPr>
                            <w:sz w:val="18"/>
                          </w:rPr>
                        </w:pPr>
                        <w:r>
                          <w:rPr>
                            <w:sz w:val="18"/>
                          </w:rPr>
                          <w:t>RGEES</w:t>
                        </w:r>
                        <w:r>
                          <w:rPr>
                            <w:noProof/>
                            <w:sz w:val="18"/>
                          </w:rPr>
                          <w:drawing>
                            <wp:inline distT="0" distB="0" distL="0" distR="0" wp14:anchorId="3FD79668" wp14:editId="4CB1FC62">
                              <wp:extent cx="215900" cy="132715"/>
                              <wp:effectExtent l="0" t="0" r="0" b="63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632C106B" wp14:editId="2C7ECA64">
                              <wp:extent cx="215900" cy="13271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172718ED" wp14:editId="51F3F139">
                              <wp:extent cx="1041400" cy="265544"/>
                              <wp:effectExtent l="0" t="0" r="6350" b="127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1679E93B" wp14:editId="5DF547E3">
                              <wp:extent cx="1041400" cy="265544"/>
                              <wp:effectExtent l="0" t="0" r="6350" b="127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roundrect id="Rounded Rectangle 145" o:spid="_x0000_s1073" style="position:absolute;left:71905;top:17041;width:10306;height:307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Wmb4A&#10;AADcAAAADwAAAGRycy9kb3ducmV2LnhtbERPy6rCMBDdC/5DGMGNaOoTrUYR4apbWz9gaMa22ExK&#10;k2r9+5sLF9zN4Txnd+hMJV7UuNKygukkAkGcWV1yruCe/ozXIJxH1lhZJgUfcnDY93s7jLV9841e&#10;ic9FCGEXo4LC+zqW0mUFGXQTWxMH7mEbgz7AJpe6wXcIN5WcRdFKGiw5NBRY06mg7Jm0RsGmvXyS&#10;Uj7mKfpReya7STDXSg0H3XELwlPnv+J/91WH+Ysl/D0TLpD7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flpm+AAAA3AAAAA8AAAAAAAAAAAAAAAAAmAIAAGRycy9kb3ducmV2&#10;LnhtbFBLBQYAAAAABAAEAPUAAACDAwAAAAA=&#10;" fillcolor="#4f81bd [3204]" strokecolor="#243f60 [1604]" strokeweight="2pt">
                  <v:textbox>
                    <w:txbxContent>
                      <w:p w:rsidR="00BF033E" w:rsidRPr="00C47A59" w:rsidRDefault="00BF033E" w:rsidP="00263966">
                        <w:pPr>
                          <w:rPr>
                            <w:sz w:val="18"/>
                          </w:rPr>
                        </w:pPr>
                        <w:r>
                          <w:rPr>
                            <w:sz w:val="18"/>
                          </w:rPr>
                          <w:t>ELSS</w:t>
                        </w:r>
                        <w:r>
                          <w:rPr>
                            <w:noProof/>
                            <w:sz w:val="18"/>
                          </w:rPr>
                          <w:drawing>
                            <wp:inline distT="0" distB="0" distL="0" distR="0" wp14:anchorId="0E746101" wp14:editId="21BA0DC6">
                              <wp:extent cx="215900" cy="132715"/>
                              <wp:effectExtent l="0" t="0" r="0" b="63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79AF376C" wp14:editId="51EE29E9">
                              <wp:extent cx="215900" cy="1327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5900" cy="132715"/>
                                      </a:xfrm>
                                      <a:prstGeom prst="rect">
                                        <a:avLst/>
                                      </a:prstGeom>
                                      <a:noFill/>
                                      <a:ln>
                                        <a:noFill/>
                                      </a:ln>
                                    </pic:spPr>
                                  </pic:pic>
                                </a:graphicData>
                              </a:graphic>
                            </wp:inline>
                          </w:drawing>
                        </w:r>
                        <w:r>
                          <w:rPr>
                            <w:noProof/>
                            <w:sz w:val="18"/>
                          </w:rPr>
                          <w:drawing>
                            <wp:inline distT="0" distB="0" distL="0" distR="0" wp14:anchorId="38CABD44" wp14:editId="54CBA993">
                              <wp:extent cx="1041400" cy="265544"/>
                              <wp:effectExtent l="0" t="0" r="6350" b="127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r>
                          <w:rPr>
                            <w:noProof/>
                            <w:sz w:val="18"/>
                          </w:rPr>
                          <w:drawing>
                            <wp:inline distT="0" distB="0" distL="0" distR="0" wp14:anchorId="24355E5F" wp14:editId="2E72208E">
                              <wp:extent cx="1041400" cy="265544"/>
                              <wp:effectExtent l="0" t="0" r="6350" b="127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41400" cy="265544"/>
                                      </a:xfrm>
                                      <a:prstGeom prst="rect">
                                        <a:avLst/>
                                      </a:prstGeom>
                                      <a:noFill/>
                                      <a:ln>
                                        <a:noFill/>
                                      </a:ln>
                                    </pic:spPr>
                                  </pic:pic>
                                </a:graphicData>
                              </a:graphic>
                            </wp:inline>
                          </w:drawing>
                        </w:r>
                        <w:proofErr w:type="spellStart"/>
                        <w:r>
                          <w:rPr>
                            <w:sz w:val="18"/>
                          </w:rPr>
                          <w:t>arket</w:t>
                        </w:r>
                        <w:proofErr w:type="spellEnd"/>
                        <w:r>
                          <w:rPr>
                            <w:sz w:val="18"/>
                          </w:rPr>
                          <w:t xml:space="preserve"> Capitalization</w:t>
                        </w:r>
                      </w:p>
                      <w:p w:rsidR="00BF033E" w:rsidRPr="00B8310E" w:rsidRDefault="00BF033E" w:rsidP="00263966">
                        <w:pPr>
                          <w:rPr>
                            <w:sz w:val="20"/>
                          </w:rPr>
                        </w:pPr>
                      </w:p>
                    </w:txbxContent>
                  </v:textbox>
                </v:roundrect>
                <v:shape id="Straight Arrow Connector 139" o:spid="_x0000_s1074" type="#_x0000_t32" style="position:absolute;left:53462;top:33306;width:132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6Pl8AAAADcAAAADwAAAGRycy9kb3ducmV2LnhtbERPTYvCMBC9C/sfwizszabbFXGrsYgg&#10;6E2rhz0OzdiWbSa1ibX+eyMI3ubxPmeRDaYRPXWutqzgO4pBEBdW11wqOB034xkI55E1NpZJwZ0c&#10;ZMuP0QJTbW98oD73pQgh7FJUUHnfplK6oiKDLrItceDOtjPoA+xKqTu8hXDTyCSOp9JgzaGhwpbW&#10;FRX/+dUoqNcFN+1ld5/86WS/6Sd08flVqa/PYTUH4Wnwb/HLvdVh/s8vPJ8JF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Oj5fAAAAA3AAAAA8AAAAAAAAAAAAAAAAA&#10;oQIAAGRycy9kb3ducmV2LnhtbFBLBQYAAAAABAAEAPkAAACOAwAAAAA=&#10;" strokecolor="#4579b8 [3044]" strokeweight="2.25pt">
                  <v:stroke endarrow="open"/>
                </v:shape>
                <v:shape id="Straight Arrow Connector 141" o:spid="_x0000_s1075" type="#_x0000_t32" style="position:absolute;left:53661;top:27014;width:132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7w7L0AAADcAAAADwAAAGRycy9kb3ducmV2LnhtbERPvQrCMBDeBd8hnOCmqVJEqlFEEHTT&#10;6uB4NGdbbC61ibW+vREEt/v4fm+57kwlWmpcaVnBZByBIM6sLjlXcDnvRnMQziNrrCyTgjc5WK/6&#10;vSUm2r74RG3qcxFC2CWooPC+TqR0WUEG3djWxIG72cagD7DJpW7wFcJNJadRNJMGSw4NBda0LSi7&#10;p0+joNxmXNWPwzu+6ulx18b08OlTqeGg2yxAeOr8X/xz73WYH0/g+0y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q+8Oy9AAAA3AAAAA8AAAAAAAAAAAAAAAAAoQIA&#10;AGRycy9kb3ducmV2LnhtbFBLBQYAAAAABAAEAPkAAACLAwAAAAA=&#10;" strokecolor="#4579b8 [3044]" strokeweight="2.25pt">
                  <v:stroke endarrow="open"/>
                </v:shape>
                <v:shape id="Straight Arrow Connector 142" o:spid="_x0000_s1076" type="#_x0000_t32" style="position:absolute;left:53661;top:21025;width:1321;height: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xum8AAAADcAAAADwAAAGRycy9kb3ducmV2LnhtbERPTYvCMBC9C/6HMIK3bWopy1KNRQTB&#10;va3dPXgcmrEtNpO2ibX+eyMseJvH+5xNPplWjDS4xrKCVRSDIC6tbrhS8Pd7+PgC4TyyxtYyKXiQ&#10;g3w7n20w0/bOJxoLX4kQwi5DBbX3XSalK2sy6CLbEQfuYgeDPsChknrAewg3rUzi+FMabDg01NjR&#10;vqbyWtyMgmZfctv134/0rJOfw5hS74ubUsvFtFuD8DT5t/jffdRhfprA65lwgd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psbpvAAAAA3AAAAA8AAAAAAAAAAAAAAAAA&#10;oQIAAGRycy9kb3ducmV2LnhtbFBLBQYAAAAABAAEAPkAAACOAwAAAAA=&#10;" strokecolor="#4579b8 [3044]" strokeweight="2.25pt">
                  <v:stroke endarrow="open"/>
                </v:shape>
                <v:shape id="Straight Arrow Connector 144" o:spid="_x0000_s1077" type="#_x0000_t32" style="position:absolute;left:70824;top:25603;width:1321;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lTdL0AAADcAAAADwAAAGRycy9kb3ducmV2LnhtbERPvQrCMBDeBd8hnOCmqVJEqlFEEHTT&#10;6uB4NGdbbC61ibW+vREEt/v4fm+57kwlWmpcaVnBZByBIM6sLjlXcDnvRnMQziNrrCyTgjc5WK/6&#10;vSUm2r74RG3qcxFC2CWooPC+TqR0WUEG3djWxIG72cagD7DJpW7wFcJNJadRNJMGSw4NBda0LSi7&#10;p0+joNxmXNWPwzu+6ulx18b08OlTqeGg2yxAeOr8X/xz73WYH8fwfSZ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rJU3S9AAAA3AAAAA8AAAAAAAAAAAAAAAAAoQIA&#10;AGRycy9kb3ducmV2LnhtbFBLBQYAAAAABAAEAPkAAACLAwAAAAA=&#10;" strokecolor="#4579b8 [3044]" strokeweight="2.25pt">
                  <v:stroke endarrow="open"/>
                </v:shape>
                <v:shape id="Straight Arrow Connector 146" o:spid="_x0000_s1078" type="#_x0000_t32" style="position:absolute;left:70658;top:18703;width:1320;height: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domL0AAADcAAAADwAAAGRycy9kb3ducmV2LnhtbERPvQrCMBDeBd8hnOCmqVJEqlFEEHTT&#10;6uB4NGdbbC61ibW+vREEt/v4fm+57kwlWmpcaVnBZByBIM6sLjlXcDnvRnMQziNrrCyTgjc5WK/6&#10;vSUm2r74RG3qcxFC2CWooPC+TqR0WUEG3djWxIG72cagD7DJpW7wFcJNJadRNJMGSw4NBda0LSi7&#10;p0+joNxmXNWPwzu+6ulx18b08OlTqeGg2yxAeOr8X/xz73WYH8/g+0y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VXaJi9AAAA3AAAAA8AAAAAAAAAAAAAAAAAoQIA&#10;AGRycy9kb3ducmV2LnhtbFBLBQYAAAAABAAEAPkAAACLAwAAAAA=&#10;" strokecolor="#4579b8 [3044]" strokeweight="2.25pt">
                  <v:stroke endarrow="open"/>
                </v:shape>
              </v:group>
            </w:pict>
          </mc:Fallback>
        </mc:AlternateContent>
      </w: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C062D7" w:rsidRDefault="00C062D7" w:rsidP="00263966">
      <w:pPr>
        <w:pStyle w:val="ListParagraph"/>
        <w:jc w:val="both"/>
        <w:rPr>
          <w:rFonts w:ascii="Times New Roman" w:hAnsi="Times New Roman" w:cs="Times New Roman"/>
          <w:sz w:val="24"/>
        </w:rPr>
      </w:pPr>
    </w:p>
    <w:p w:rsidR="00C062D7" w:rsidRDefault="00C062D7" w:rsidP="00263966">
      <w:pPr>
        <w:pStyle w:val="ListParagraph"/>
        <w:jc w:val="both"/>
        <w:rPr>
          <w:rFonts w:ascii="Times New Roman" w:hAnsi="Times New Roman" w:cs="Times New Roman"/>
          <w:sz w:val="24"/>
        </w:rPr>
      </w:pPr>
    </w:p>
    <w:p w:rsidR="00263966" w:rsidRDefault="00263966" w:rsidP="00263966">
      <w:pPr>
        <w:pStyle w:val="ListParagraph"/>
        <w:jc w:val="both"/>
        <w:rPr>
          <w:rFonts w:ascii="Times New Roman" w:hAnsi="Times New Roman" w:cs="Times New Roman"/>
          <w:sz w:val="24"/>
        </w:rPr>
      </w:pPr>
    </w:p>
    <w:p w:rsidR="00263966" w:rsidRDefault="00263966" w:rsidP="00BF033E">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b/>
          <w:sz w:val="24"/>
        </w:rPr>
        <w:t>Debt mutual funds-</w:t>
      </w:r>
      <w:r>
        <w:rPr>
          <w:rFonts w:ascii="Times New Roman" w:hAnsi="Times New Roman" w:cs="Times New Roman"/>
          <w:sz w:val="24"/>
        </w:rPr>
        <w:t xml:space="preserve"> </w:t>
      </w:r>
      <w:r w:rsidRPr="00263966">
        <w:rPr>
          <w:rFonts w:ascii="Times New Roman" w:hAnsi="Times New Roman" w:cs="Times New Roman"/>
          <w:sz w:val="24"/>
        </w:rPr>
        <w:t xml:space="preserve">A significant portion of debt funds corpus—roughly 65%—is invested in fixed income assets including bonds, government securities, corporate debentures, and money market instruments. Debt mutual funds, also known as fixed income funds. These investments provide the investor with a low-risk, regular </w:t>
      </w:r>
      <w:r>
        <w:rPr>
          <w:rFonts w:ascii="Times New Roman" w:hAnsi="Times New Roman" w:cs="Times New Roman"/>
          <w:sz w:val="24"/>
        </w:rPr>
        <w:t>but low income compared to equity funds.</w:t>
      </w:r>
    </w:p>
    <w:p w:rsidR="00263966" w:rsidRPr="00BF033E" w:rsidRDefault="00263966" w:rsidP="00BF033E">
      <w:pPr>
        <w:pStyle w:val="ListParagraph"/>
        <w:numPr>
          <w:ilvl w:val="1"/>
          <w:numId w:val="1"/>
        </w:numPr>
        <w:spacing w:before="240" w:line="360" w:lineRule="auto"/>
        <w:jc w:val="both"/>
        <w:rPr>
          <w:rFonts w:ascii="Times New Roman" w:hAnsi="Times New Roman" w:cs="Times New Roman"/>
          <w:sz w:val="24"/>
        </w:rPr>
      </w:pPr>
      <w:r w:rsidRPr="00BF033E">
        <w:rPr>
          <w:rFonts w:ascii="Times New Roman" w:hAnsi="Times New Roman" w:cs="Times New Roman"/>
          <w:b/>
          <w:sz w:val="24"/>
        </w:rPr>
        <w:t>Hybrid mutual funds</w:t>
      </w:r>
      <w:r w:rsidRPr="00BF033E">
        <w:rPr>
          <w:rFonts w:ascii="Times New Roman" w:hAnsi="Times New Roman" w:cs="Times New Roman"/>
          <w:sz w:val="24"/>
        </w:rPr>
        <w:t>- Hybrid mutual funds are a particular kind of mutual fund strategy that makes investments in both debt and equity securities. These funds balance the risk and rewards of both equities and debt funds through asset class diversification.</w:t>
      </w:r>
    </w:p>
    <w:p w:rsidR="00F07F46" w:rsidRPr="002849D6" w:rsidRDefault="00F07F46" w:rsidP="002849D6">
      <w:pPr>
        <w:spacing w:before="240" w:line="360" w:lineRule="auto"/>
        <w:jc w:val="both"/>
        <w:rPr>
          <w:rFonts w:ascii="Times New Roman" w:hAnsi="Times New Roman" w:cs="Times New Roman"/>
          <w:b/>
          <w:sz w:val="24"/>
        </w:rPr>
      </w:pPr>
      <w:r w:rsidRPr="002849D6">
        <w:rPr>
          <w:rFonts w:ascii="Times New Roman" w:hAnsi="Times New Roman" w:cs="Times New Roman"/>
          <w:b/>
          <w:sz w:val="24"/>
        </w:rPr>
        <w:lastRenderedPageBreak/>
        <w:t>Review of Literature</w:t>
      </w:r>
    </w:p>
    <w:p w:rsidR="00BF033E" w:rsidRPr="002849D6" w:rsidRDefault="001B6DE0" w:rsidP="002849D6">
      <w:pPr>
        <w:pStyle w:val="ListParagraph"/>
        <w:numPr>
          <w:ilvl w:val="1"/>
          <w:numId w:val="1"/>
        </w:numPr>
        <w:spacing w:line="360" w:lineRule="auto"/>
        <w:jc w:val="both"/>
        <w:rPr>
          <w:rFonts w:ascii="Times New Roman" w:hAnsi="Times New Roman" w:cs="Times New Roman"/>
          <w:sz w:val="24"/>
        </w:rPr>
      </w:pPr>
      <w:r w:rsidRPr="001B6DE0">
        <w:rPr>
          <w:rFonts w:ascii="Times New Roman" w:hAnsi="Times New Roman"/>
          <w:bCs/>
          <w:sz w:val="24"/>
          <w:szCs w:val="32"/>
        </w:rPr>
        <w:t>Research Studies based on Equity Mutual Fund Schemes</w:t>
      </w:r>
      <w:r w:rsidRPr="001B6DE0">
        <w:rPr>
          <w:rFonts w:ascii="Times New Roman" w:hAnsi="Times New Roman" w:cs="Times New Roman"/>
          <w:sz w:val="20"/>
        </w:rPr>
        <w:t xml:space="preserve"> </w:t>
      </w:r>
    </w:p>
    <w:p w:rsidR="001B6DE0" w:rsidRDefault="001B6DE0" w:rsidP="00BF033E">
      <w:pPr>
        <w:pStyle w:val="ListParagraph"/>
        <w:spacing w:line="360" w:lineRule="auto"/>
        <w:ind w:left="360"/>
        <w:jc w:val="both"/>
        <w:rPr>
          <w:rFonts w:ascii="Times New Roman" w:hAnsi="Times New Roman" w:cs="Times New Roman"/>
          <w:sz w:val="24"/>
        </w:rPr>
      </w:pPr>
      <w:proofErr w:type="spellStart"/>
      <w:r w:rsidRPr="001B6DE0">
        <w:rPr>
          <w:rFonts w:ascii="Times New Roman" w:hAnsi="Times New Roman" w:cs="Times New Roman"/>
          <w:sz w:val="24"/>
        </w:rPr>
        <w:t>Raju</w:t>
      </w:r>
      <w:proofErr w:type="spellEnd"/>
      <w:r>
        <w:rPr>
          <w:rFonts w:ascii="Times New Roman" w:hAnsi="Times New Roman" w:cs="Times New Roman"/>
          <w:sz w:val="24"/>
        </w:rPr>
        <w:t xml:space="preserve">, </w:t>
      </w:r>
      <w:proofErr w:type="spellStart"/>
      <w:r>
        <w:rPr>
          <w:rFonts w:ascii="Times New Roman" w:hAnsi="Times New Roman" w:cs="Times New Roman"/>
          <w:sz w:val="24"/>
        </w:rPr>
        <w:t>Manjunath</w:t>
      </w:r>
      <w:proofErr w:type="spellEnd"/>
      <w:r>
        <w:rPr>
          <w:rFonts w:ascii="Times New Roman" w:hAnsi="Times New Roman" w:cs="Times New Roman"/>
          <w:sz w:val="24"/>
        </w:rPr>
        <w:t xml:space="preserve">, and </w:t>
      </w:r>
      <w:proofErr w:type="spellStart"/>
      <w:r>
        <w:rPr>
          <w:rFonts w:ascii="Times New Roman" w:hAnsi="Times New Roman" w:cs="Times New Roman"/>
          <w:sz w:val="24"/>
        </w:rPr>
        <w:t>Nithya</w:t>
      </w:r>
      <w:proofErr w:type="spellEnd"/>
      <w:r>
        <w:rPr>
          <w:rFonts w:ascii="Times New Roman" w:hAnsi="Times New Roman" w:cs="Times New Roman"/>
          <w:sz w:val="24"/>
        </w:rPr>
        <w:t xml:space="preserve"> (2018) examined t</w:t>
      </w:r>
      <w:r w:rsidRPr="001B6DE0">
        <w:rPr>
          <w:rFonts w:ascii="Times New Roman" w:hAnsi="Times New Roman" w:cs="Times New Roman"/>
          <w:sz w:val="24"/>
        </w:rPr>
        <w:t xml:space="preserve">he top 10 Indian large-cap equity mutual funds, selected based on CRISIL performance, The five-year time span for the study was chosen, spanning January 2013 to December 2017. The analysis included a variety of statistical and financial methods, including Treynor's, beta, alpha, correlation, </w:t>
      </w:r>
      <w:r w:rsidR="00D6587C">
        <w:rPr>
          <w:rFonts w:ascii="Times New Roman" w:hAnsi="Times New Roman" w:cs="Times New Roman"/>
          <w:sz w:val="24"/>
        </w:rPr>
        <w:t>S</w:t>
      </w:r>
      <w:r w:rsidRPr="001B6DE0">
        <w:rPr>
          <w:rFonts w:ascii="Times New Roman" w:hAnsi="Times New Roman" w:cs="Times New Roman"/>
          <w:sz w:val="24"/>
        </w:rPr>
        <w:t>harpe and standard deviation. It was found that a risk and return framework was used to evaluate their core performance. Investors interested in low risk chose a higher rank in Treynor's criteria, and the SBI blue-chip fund had performed well based on the performance of these funds. If an investor was looking to diversify their portfolio and increase rate of return, Invesco India dynamic equity fund was ranked number 10. If an investor bases their investment choices on both the fund manager's and the fund's performance, DSP Blackrock focuses on the 25 funds that are ranked better.</w:t>
      </w:r>
    </w:p>
    <w:p w:rsidR="00904F7F" w:rsidRDefault="00D6587C" w:rsidP="00BF033E">
      <w:pPr>
        <w:pStyle w:val="ListParagraph"/>
        <w:spacing w:line="360" w:lineRule="auto"/>
        <w:ind w:left="360"/>
        <w:jc w:val="both"/>
        <w:rPr>
          <w:rFonts w:ascii="Times New Roman" w:hAnsi="Times New Roman" w:cs="Times New Roman"/>
          <w:sz w:val="24"/>
        </w:rPr>
      </w:pPr>
      <w:r>
        <w:rPr>
          <w:rFonts w:ascii="Times New Roman" w:hAnsi="Times New Roman" w:cs="Times New Roman"/>
          <w:sz w:val="24"/>
        </w:rPr>
        <w:t xml:space="preserve">Sharma and </w:t>
      </w:r>
      <w:proofErr w:type="spellStart"/>
      <w:r>
        <w:rPr>
          <w:rFonts w:ascii="Times New Roman" w:hAnsi="Times New Roman" w:cs="Times New Roman"/>
          <w:sz w:val="24"/>
        </w:rPr>
        <w:t>Adhana</w:t>
      </w:r>
      <w:proofErr w:type="spellEnd"/>
      <w:r>
        <w:rPr>
          <w:rFonts w:ascii="Times New Roman" w:hAnsi="Times New Roman" w:cs="Times New Roman"/>
          <w:sz w:val="24"/>
        </w:rPr>
        <w:t xml:space="preserve"> (</w:t>
      </w:r>
      <w:r w:rsidRPr="00904F7F">
        <w:rPr>
          <w:rFonts w:ascii="Times New Roman" w:hAnsi="Times New Roman" w:cs="Times New Roman"/>
          <w:sz w:val="24"/>
        </w:rPr>
        <w:t>2020</w:t>
      </w:r>
      <w:r>
        <w:rPr>
          <w:rFonts w:ascii="Times New Roman" w:hAnsi="Times New Roman" w:cs="Times New Roman"/>
          <w:sz w:val="24"/>
        </w:rPr>
        <w:t>) analyzed t</w:t>
      </w:r>
      <w:r w:rsidR="00904F7F" w:rsidRPr="00904F7F">
        <w:rPr>
          <w:rFonts w:ascii="Times New Roman" w:hAnsi="Times New Roman" w:cs="Times New Roman"/>
          <w:sz w:val="24"/>
        </w:rPr>
        <w:t>he risk and return of equity shares as well as the risk and return o</w:t>
      </w:r>
      <w:r>
        <w:rPr>
          <w:rFonts w:ascii="Times New Roman" w:hAnsi="Times New Roman" w:cs="Times New Roman"/>
          <w:sz w:val="24"/>
        </w:rPr>
        <w:t>f mutual fund schemes.</w:t>
      </w:r>
      <w:r w:rsidR="00904F7F" w:rsidRPr="00904F7F">
        <w:rPr>
          <w:rFonts w:ascii="Times New Roman" w:hAnsi="Times New Roman" w:cs="Times New Roman"/>
          <w:sz w:val="24"/>
        </w:rPr>
        <w:t> 10 companies were selected from among those with BSE 500 listings in five cases, and from mutual fund companies with BSE 500 listings in the other five cases. Different statistical techniques were used to compare the beta, rate of return, standard deviation, Sharpe, ANOVA, and alpha of chosen schemes. These two equity shares, however riskier, had greater returns.</w:t>
      </w:r>
      <w:r w:rsidR="00904F7F" w:rsidRPr="00BF033E">
        <w:rPr>
          <w:rFonts w:ascii="Times New Roman" w:hAnsi="Times New Roman" w:cs="Times New Roman"/>
          <w:sz w:val="24"/>
        </w:rPr>
        <w:t xml:space="preserve"> </w:t>
      </w:r>
      <w:r w:rsidR="00904F7F" w:rsidRPr="00904F7F">
        <w:rPr>
          <w:rFonts w:ascii="Times New Roman" w:hAnsi="Times New Roman" w:cs="Times New Roman"/>
          <w:sz w:val="24"/>
        </w:rPr>
        <w:t>Throughout the designated time period, the mutual fund schemes offered good returns while taking on less risk.  This implied that the variables impacting the risk and return of equities and mutual funds weren't very different from one another.</w:t>
      </w:r>
    </w:p>
    <w:p w:rsidR="00BF033E" w:rsidRPr="002849D6" w:rsidRDefault="00904F7F" w:rsidP="002849D6">
      <w:pPr>
        <w:pStyle w:val="ListParagraph"/>
        <w:numPr>
          <w:ilvl w:val="1"/>
          <w:numId w:val="1"/>
        </w:numPr>
        <w:spacing w:line="360" w:lineRule="auto"/>
        <w:jc w:val="both"/>
        <w:rPr>
          <w:rFonts w:ascii="Times New Roman" w:hAnsi="Times New Roman"/>
          <w:bCs/>
          <w:sz w:val="24"/>
          <w:szCs w:val="32"/>
        </w:rPr>
      </w:pPr>
      <w:r w:rsidRPr="00904F7F">
        <w:rPr>
          <w:rFonts w:ascii="Times New Roman" w:hAnsi="Times New Roman"/>
          <w:bCs/>
          <w:sz w:val="24"/>
          <w:szCs w:val="32"/>
        </w:rPr>
        <w:t>Research Studies based on risk return measures of equity mutual fund schemes</w:t>
      </w:r>
    </w:p>
    <w:p w:rsidR="00904F7F" w:rsidRPr="00BF033E" w:rsidRDefault="00D6587C" w:rsidP="00BF033E">
      <w:pPr>
        <w:pStyle w:val="ListParagraph"/>
        <w:spacing w:line="360" w:lineRule="auto"/>
        <w:ind w:left="360"/>
        <w:jc w:val="both"/>
        <w:rPr>
          <w:rFonts w:ascii="Times New Roman" w:hAnsi="Times New Roman" w:cs="Times New Roman"/>
          <w:sz w:val="24"/>
        </w:rPr>
      </w:pPr>
      <w:proofErr w:type="spellStart"/>
      <w:r>
        <w:rPr>
          <w:rFonts w:ascii="Times New Roman" w:hAnsi="Times New Roman" w:cs="Times New Roman"/>
          <w:sz w:val="24"/>
        </w:rPr>
        <w:t>Shruthi</w:t>
      </w:r>
      <w:proofErr w:type="spellEnd"/>
      <w:r>
        <w:rPr>
          <w:rFonts w:ascii="Times New Roman" w:hAnsi="Times New Roman" w:cs="Times New Roman"/>
          <w:sz w:val="24"/>
        </w:rPr>
        <w:t xml:space="preserve"> and </w:t>
      </w:r>
      <w:proofErr w:type="spellStart"/>
      <w:r>
        <w:rPr>
          <w:rFonts w:ascii="Times New Roman" w:hAnsi="Times New Roman" w:cs="Times New Roman"/>
          <w:sz w:val="24"/>
        </w:rPr>
        <w:t>Manjunatha</w:t>
      </w:r>
      <w:proofErr w:type="spellEnd"/>
      <w:r>
        <w:rPr>
          <w:rFonts w:ascii="Times New Roman" w:hAnsi="Times New Roman" w:cs="Times New Roman"/>
          <w:sz w:val="24"/>
        </w:rPr>
        <w:t xml:space="preserve"> (2019) compared</w:t>
      </w:r>
      <w:r w:rsidR="00904F7F" w:rsidRPr="00BF033E">
        <w:rPr>
          <w:rFonts w:ascii="Times New Roman" w:hAnsi="Times New Roman" w:cs="Times New Roman"/>
          <w:sz w:val="24"/>
        </w:rPr>
        <w:t xml:space="preserve"> eight equity mutual fund schemes </w:t>
      </w:r>
      <w:r>
        <w:rPr>
          <w:rFonts w:ascii="Times New Roman" w:hAnsi="Times New Roman" w:cs="Times New Roman"/>
          <w:sz w:val="24"/>
        </w:rPr>
        <w:t>f</w:t>
      </w:r>
      <w:r w:rsidRPr="00BF033E">
        <w:rPr>
          <w:rFonts w:ascii="Times New Roman" w:hAnsi="Times New Roman" w:cs="Times New Roman"/>
          <w:sz w:val="24"/>
        </w:rPr>
        <w:t>rom January 2014 to December 2018</w:t>
      </w:r>
      <w:r w:rsidR="00904F7F" w:rsidRPr="00BF033E">
        <w:rPr>
          <w:rFonts w:ascii="Times New Roman" w:hAnsi="Times New Roman" w:cs="Times New Roman"/>
          <w:sz w:val="24"/>
        </w:rPr>
        <w:t xml:space="preserve"> by </w:t>
      </w:r>
      <w:r>
        <w:rPr>
          <w:rFonts w:ascii="Times New Roman" w:hAnsi="Times New Roman" w:cs="Times New Roman"/>
          <w:sz w:val="24"/>
        </w:rPr>
        <w:t>t</w:t>
      </w:r>
      <w:r w:rsidR="00904F7F" w:rsidRPr="00BF033E">
        <w:rPr>
          <w:rFonts w:ascii="Times New Roman" w:hAnsi="Times New Roman" w:cs="Times New Roman"/>
          <w:sz w:val="24"/>
        </w:rPr>
        <w:t>hree measures were used to compare eight equity mutual fund schemes are Jensen, Sharpe, and Treynor's. The investigation revealed that benchmark of schemes produced better outcomes. During that period, the Jensen, Sharpe, and Treynor's measures performed well, with a 13 percent positive outcome for each.</w:t>
      </w:r>
    </w:p>
    <w:p w:rsidR="00152289" w:rsidRPr="00BF033E" w:rsidRDefault="00152289" w:rsidP="00BF033E">
      <w:pPr>
        <w:pStyle w:val="ListParagraph"/>
        <w:spacing w:line="360" w:lineRule="auto"/>
        <w:ind w:left="360"/>
        <w:jc w:val="both"/>
        <w:rPr>
          <w:rFonts w:ascii="Times New Roman" w:hAnsi="Times New Roman" w:cs="Times New Roman"/>
          <w:sz w:val="24"/>
        </w:rPr>
      </w:pPr>
      <w:proofErr w:type="spellStart"/>
      <w:r w:rsidRPr="00BF033E">
        <w:rPr>
          <w:rFonts w:ascii="Times New Roman" w:hAnsi="Times New Roman" w:cs="Times New Roman"/>
          <w:sz w:val="24"/>
        </w:rPr>
        <w:t>Gautam</w:t>
      </w:r>
      <w:proofErr w:type="spellEnd"/>
      <w:r w:rsidRPr="00BF033E">
        <w:rPr>
          <w:rFonts w:ascii="Times New Roman" w:hAnsi="Times New Roman" w:cs="Times New Roman"/>
          <w:sz w:val="24"/>
        </w:rPr>
        <w:t xml:space="preserve"> (2020) evaluated the performance of </w:t>
      </w:r>
      <w:r w:rsidR="00D6587C">
        <w:rPr>
          <w:rFonts w:ascii="Times New Roman" w:hAnsi="Times New Roman" w:cs="Times New Roman"/>
          <w:sz w:val="24"/>
        </w:rPr>
        <w:t>ELSS funds to benchmark indices</w:t>
      </w:r>
      <w:r w:rsidR="00D6587C" w:rsidRPr="00D6587C">
        <w:rPr>
          <w:rFonts w:ascii="Times New Roman" w:hAnsi="Times New Roman" w:cs="Times New Roman"/>
          <w:sz w:val="24"/>
        </w:rPr>
        <w:t xml:space="preserve"> </w:t>
      </w:r>
      <w:r w:rsidR="00D6587C">
        <w:rPr>
          <w:rFonts w:ascii="Times New Roman" w:hAnsi="Times New Roman" w:cs="Times New Roman"/>
          <w:sz w:val="24"/>
        </w:rPr>
        <w:t>o</w:t>
      </w:r>
      <w:r w:rsidR="00D6587C" w:rsidRPr="00BF033E">
        <w:rPr>
          <w:rFonts w:ascii="Times New Roman" w:hAnsi="Times New Roman" w:cs="Times New Roman"/>
          <w:sz w:val="24"/>
        </w:rPr>
        <w:t>ver the course of five economic cycles</w:t>
      </w:r>
      <w:r w:rsidR="00D6587C">
        <w:rPr>
          <w:rFonts w:ascii="Times New Roman" w:hAnsi="Times New Roman" w:cs="Times New Roman"/>
          <w:sz w:val="24"/>
        </w:rPr>
        <w:t>.</w:t>
      </w:r>
      <w:r w:rsidRPr="00BF033E">
        <w:rPr>
          <w:rFonts w:ascii="Times New Roman" w:hAnsi="Times New Roman" w:cs="Times New Roman"/>
          <w:sz w:val="24"/>
        </w:rPr>
        <w:t xml:space="preserve"> The study's findings revealed that, with the exception of sample scheme A5, the beta coefficient was higher than 1, suggesting an aggressive </w:t>
      </w:r>
      <w:r w:rsidRPr="00BF033E">
        <w:rPr>
          <w:rFonts w:ascii="Times New Roman" w:hAnsi="Times New Roman" w:cs="Times New Roman"/>
          <w:sz w:val="24"/>
        </w:rPr>
        <w:lastRenderedPageBreak/>
        <w:t xml:space="preserve">investment approach. Benchmark indexes and mutual funds were shown to be strongly correlated. The results showed that the majority of the sample mutual fund schemes exceeded market benchmark indices in terms of Treynor's and Sharpe ratios based on historical annual returns. The performance of a few prominent Indian mutual funds was examined by </w:t>
      </w:r>
      <w:proofErr w:type="spellStart"/>
      <w:r w:rsidRPr="00BF033E">
        <w:rPr>
          <w:rFonts w:ascii="Times New Roman" w:hAnsi="Times New Roman" w:cs="Times New Roman"/>
          <w:sz w:val="24"/>
        </w:rPr>
        <w:t>Choksi</w:t>
      </w:r>
      <w:proofErr w:type="spellEnd"/>
      <w:r w:rsidRPr="00BF033E">
        <w:rPr>
          <w:rFonts w:ascii="Times New Roman" w:hAnsi="Times New Roman" w:cs="Times New Roman"/>
          <w:sz w:val="24"/>
        </w:rPr>
        <w:t xml:space="preserve"> and Bhatt in 2021. For this research, 15 large cap equity mutual funds from the 2015–2019 timeframe were considered.  The DSP Top 100 Equity Fund, ICICI Prudential Blue Chip Fund, and LIC Large Cap Mutual Fund were found to have produced the best and highest returns during the study period based on a variety of metrics and techniques, including the Sharpe ratio, average return, beta, standard deviation, Jensen ratio, and Treynor's ratio.</w:t>
      </w:r>
    </w:p>
    <w:p w:rsidR="00F07F46" w:rsidRPr="002849D6" w:rsidRDefault="001E6E12" w:rsidP="002849D6">
      <w:pPr>
        <w:jc w:val="both"/>
        <w:rPr>
          <w:rFonts w:ascii="Times New Roman" w:hAnsi="Times New Roman" w:cs="Times New Roman"/>
          <w:b/>
          <w:sz w:val="28"/>
        </w:rPr>
      </w:pPr>
      <w:r w:rsidRPr="002849D6">
        <w:rPr>
          <w:rFonts w:ascii="Times New Roman" w:hAnsi="Times New Roman" w:cs="Times New Roman"/>
          <w:b/>
          <w:sz w:val="28"/>
        </w:rPr>
        <w:t>Research</w:t>
      </w:r>
      <w:r w:rsidR="00F07F46" w:rsidRPr="002849D6">
        <w:rPr>
          <w:rFonts w:ascii="Times New Roman" w:hAnsi="Times New Roman" w:cs="Times New Roman"/>
          <w:b/>
          <w:sz w:val="28"/>
        </w:rPr>
        <w:t xml:space="preserve"> gap</w:t>
      </w:r>
    </w:p>
    <w:p w:rsidR="00152289" w:rsidRPr="00F07F46" w:rsidRDefault="00152289" w:rsidP="002849D6">
      <w:pPr>
        <w:pStyle w:val="ListParagraph"/>
        <w:spacing w:line="360" w:lineRule="auto"/>
        <w:ind w:left="360"/>
        <w:jc w:val="both"/>
        <w:rPr>
          <w:rFonts w:ascii="Times New Roman" w:hAnsi="Times New Roman" w:cs="Times New Roman"/>
          <w:sz w:val="24"/>
        </w:rPr>
      </w:pPr>
      <w:r w:rsidRPr="00152289">
        <w:rPr>
          <w:rFonts w:ascii="Times New Roman" w:hAnsi="Times New Roman" w:cs="Times New Roman"/>
          <w:sz w:val="24"/>
        </w:rPr>
        <w:t>The review of the literature makes clear that several researchers have compared and analyzed the performance of numerous random mutual fund schemes using various risk-return metrics. Randomly selecting mutual fund schemes runs the risk of failing to deliver a respectable return on investment and losing the invested cash. As a result, the performance measures of the portfolio and the performance of mutual funds in comparison to their benchmark index constitute the basis for this study. Few researchers have compared equities mutual fund schemes and identified potential investing possibilities while concentrating on risk-return aspects. The purpose of this research is to bridge the gap between selecting various investment strategies based on various building procedures for an equity mutual fund portfolio.</w:t>
      </w:r>
    </w:p>
    <w:p w:rsidR="00622602" w:rsidRPr="002849D6" w:rsidRDefault="00622602" w:rsidP="002849D6">
      <w:pPr>
        <w:jc w:val="both"/>
        <w:rPr>
          <w:rFonts w:ascii="Times New Roman" w:hAnsi="Times New Roman" w:cs="Times New Roman"/>
          <w:b/>
          <w:sz w:val="28"/>
        </w:rPr>
      </w:pPr>
      <w:r w:rsidRPr="002849D6">
        <w:rPr>
          <w:rFonts w:ascii="Times New Roman" w:hAnsi="Times New Roman" w:cs="Times New Roman"/>
          <w:b/>
          <w:sz w:val="28"/>
        </w:rPr>
        <w:t>Scope of the Study</w:t>
      </w:r>
    </w:p>
    <w:p w:rsidR="00622602" w:rsidRDefault="00622602" w:rsidP="002849D6">
      <w:pPr>
        <w:pStyle w:val="ListParagraph"/>
        <w:spacing w:line="360" w:lineRule="auto"/>
        <w:ind w:left="360"/>
        <w:jc w:val="both"/>
        <w:rPr>
          <w:rFonts w:ascii="Times New Roman" w:hAnsi="Times New Roman" w:cs="Times New Roman"/>
          <w:sz w:val="24"/>
        </w:rPr>
      </w:pPr>
      <w:r w:rsidRPr="00622602">
        <w:rPr>
          <w:rFonts w:ascii="Times New Roman" w:hAnsi="Times New Roman" w:cs="Times New Roman"/>
          <w:sz w:val="24"/>
        </w:rPr>
        <w:t xml:space="preserve">The economy of India is one of the largest developing in the world. The mutual fund market is actively populated by a significant number of people and institutional investors, including local and international investors. All economic participants are investing in mutual funds in the hopes of receiving a respectable return. Every investor faces a dilemma when choosing the percentage of investment in any security. The study could assist investors in identifying the best portfolio for their requirements. Investors might use the study as a reference or to help them design their own optimal portfolio. The study examines 22 different types of </w:t>
      </w:r>
      <w:r w:rsidRPr="00622602">
        <w:rPr>
          <w:rFonts w:ascii="Times New Roman" w:hAnsi="Times New Roman" w:cs="Times New Roman"/>
          <w:sz w:val="24"/>
        </w:rPr>
        <w:lastRenderedPageBreak/>
        <w:t xml:space="preserve">equity mutual fund schemes that </w:t>
      </w:r>
      <w:r w:rsidR="00F07F46">
        <w:rPr>
          <w:rFonts w:ascii="Times New Roman" w:hAnsi="Times New Roman" w:cs="Times New Roman"/>
          <w:sz w:val="24"/>
        </w:rPr>
        <w:t>are selected</w:t>
      </w:r>
      <w:r w:rsidRPr="00622602">
        <w:rPr>
          <w:rFonts w:ascii="Times New Roman" w:hAnsi="Times New Roman" w:cs="Times New Roman"/>
          <w:sz w:val="24"/>
        </w:rPr>
        <w:t xml:space="preserve"> based on annualized</w:t>
      </w:r>
      <w:r>
        <w:rPr>
          <w:rFonts w:ascii="Times New Roman" w:hAnsi="Times New Roman" w:cs="Times New Roman"/>
          <w:sz w:val="24"/>
        </w:rPr>
        <w:t xml:space="preserve"> returns </w:t>
      </w:r>
      <w:r w:rsidR="005755DE" w:rsidRPr="005755DE">
        <w:rPr>
          <w:rFonts w:ascii="Times New Roman" w:hAnsi="Times New Roman" w:cs="Times New Roman"/>
          <w:sz w:val="24"/>
        </w:rPr>
        <w:t>over the last five years</w:t>
      </w:r>
      <w:r w:rsidR="005755DE">
        <w:rPr>
          <w:rFonts w:ascii="Times New Roman" w:hAnsi="Times New Roman" w:cs="Times New Roman"/>
          <w:sz w:val="24"/>
        </w:rPr>
        <w:t xml:space="preserve">. </w:t>
      </w:r>
    </w:p>
    <w:p w:rsidR="00F07F46" w:rsidRPr="002849D6" w:rsidRDefault="00F07F46" w:rsidP="002849D6">
      <w:pPr>
        <w:jc w:val="both"/>
        <w:rPr>
          <w:rFonts w:ascii="Times New Roman" w:hAnsi="Times New Roman" w:cs="Times New Roman"/>
          <w:b/>
          <w:sz w:val="28"/>
        </w:rPr>
      </w:pPr>
      <w:r w:rsidRPr="002849D6">
        <w:rPr>
          <w:rFonts w:ascii="Times New Roman" w:hAnsi="Times New Roman" w:cs="Times New Roman"/>
          <w:b/>
          <w:sz w:val="28"/>
        </w:rPr>
        <w:t>Objectives of the Study</w:t>
      </w:r>
    </w:p>
    <w:p w:rsidR="00F07F46" w:rsidRPr="00B33936" w:rsidRDefault="00F07F46" w:rsidP="002849D6">
      <w:pPr>
        <w:pStyle w:val="ListParagraph"/>
        <w:numPr>
          <w:ilvl w:val="0"/>
          <w:numId w:val="17"/>
        </w:numPr>
        <w:spacing w:line="360" w:lineRule="auto"/>
        <w:jc w:val="both"/>
        <w:rPr>
          <w:rFonts w:ascii="Times New Roman" w:hAnsi="Times New Roman" w:cs="Times New Roman"/>
          <w:sz w:val="24"/>
        </w:rPr>
      </w:pPr>
      <w:r w:rsidRPr="00B33936">
        <w:rPr>
          <w:rFonts w:ascii="Times New Roman" w:hAnsi="Times New Roman" w:cs="Times New Roman"/>
          <w:sz w:val="24"/>
        </w:rPr>
        <w:t>To evaluate the performance of selected equity mutual funds and compare their performance with their benchmark return.</w:t>
      </w:r>
    </w:p>
    <w:p w:rsidR="00F07F46" w:rsidRPr="00B33936" w:rsidRDefault="00F07F46" w:rsidP="002849D6">
      <w:pPr>
        <w:pStyle w:val="ListParagraph"/>
        <w:numPr>
          <w:ilvl w:val="0"/>
          <w:numId w:val="17"/>
        </w:numPr>
        <w:spacing w:line="360" w:lineRule="auto"/>
        <w:jc w:val="both"/>
        <w:rPr>
          <w:rFonts w:ascii="Times New Roman" w:hAnsi="Times New Roman" w:cs="Times New Roman"/>
          <w:sz w:val="24"/>
        </w:rPr>
      </w:pPr>
      <w:r w:rsidRPr="00B33936">
        <w:rPr>
          <w:rFonts w:ascii="Times New Roman" w:hAnsi="Times New Roman" w:cs="Times New Roman"/>
          <w:sz w:val="24"/>
        </w:rPr>
        <w:t>To analyze the risk associated with schemes and measuring performance of funds using tools like Annualized Return, Sharpe Ratio, Standard Deviation, alpha and Beta.</w:t>
      </w:r>
    </w:p>
    <w:p w:rsidR="007C7B52" w:rsidRPr="00B33936" w:rsidRDefault="007C7B52" w:rsidP="002849D6">
      <w:pPr>
        <w:pStyle w:val="ListParagraph"/>
        <w:numPr>
          <w:ilvl w:val="0"/>
          <w:numId w:val="17"/>
        </w:numPr>
        <w:spacing w:line="360" w:lineRule="auto"/>
        <w:jc w:val="both"/>
        <w:rPr>
          <w:rFonts w:ascii="Times New Roman" w:hAnsi="Times New Roman" w:cs="Times New Roman"/>
          <w:sz w:val="24"/>
        </w:rPr>
      </w:pPr>
      <w:r w:rsidRPr="00B33936">
        <w:rPr>
          <w:rFonts w:ascii="Times New Roman" w:hAnsi="Times New Roman" w:cs="Times New Roman"/>
          <w:sz w:val="24"/>
        </w:rPr>
        <w:t>To construct an optimal portfolio with selected equity mutual fund schemes.</w:t>
      </w:r>
    </w:p>
    <w:p w:rsidR="007C7B52" w:rsidRDefault="007C7B52" w:rsidP="007C7B52">
      <w:pPr>
        <w:pStyle w:val="ListParagraph"/>
        <w:jc w:val="both"/>
      </w:pPr>
    </w:p>
    <w:p w:rsidR="00F07F46" w:rsidRPr="002849D6" w:rsidRDefault="00F07F46" w:rsidP="002849D6">
      <w:pPr>
        <w:jc w:val="both"/>
        <w:rPr>
          <w:rFonts w:ascii="Times New Roman" w:hAnsi="Times New Roman" w:cs="Times New Roman"/>
          <w:b/>
          <w:sz w:val="28"/>
        </w:rPr>
      </w:pPr>
      <w:r w:rsidRPr="002849D6">
        <w:rPr>
          <w:rFonts w:ascii="Times New Roman" w:hAnsi="Times New Roman" w:cs="Times New Roman"/>
          <w:b/>
          <w:sz w:val="28"/>
        </w:rPr>
        <w:t>Research Methodology</w:t>
      </w:r>
    </w:p>
    <w:p w:rsidR="00F07F46" w:rsidRPr="002849D6" w:rsidRDefault="00F07F46" w:rsidP="002849D6">
      <w:pPr>
        <w:pStyle w:val="ListParagraph"/>
        <w:numPr>
          <w:ilvl w:val="0"/>
          <w:numId w:val="15"/>
        </w:numPr>
        <w:spacing w:line="360" w:lineRule="auto"/>
        <w:jc w:val="both"/>
        <w:rPr>
          <w:rFonts w:ascii="Times New Roman" w:hAnsi="Times New Roman" w:cs="Times New Roman"/>
          <w:sz w:val="24"/>
        </w:rPr>
      </w:pPr>
      <w:r w:rsidRPr="002849D6">
        <w:rPr>
          <w:rFonts w:ascii="Times New Roman" w:hAnsi="Times New Roman" w:cs="Times New Roman"/>
          <w:sz w:val="24"/>
        </w:rPr>
        <w:t>Nature of research- The present research is comprehensive, exploratory and quantitative type of research.</w:t>
      </w:r>
    </w:p>
    <w:p w:rsidR="0005114B" w:rsidRPr="002849D6" w:rsidRDefault="0005114B" w:rsidP="002849D6">
      <w:pPr>
        <w:pStyle w:val="ListParagraph"/>
        <w:numPr>
          <w:ilvl w:val="0"/>
          <w:numId w:val="15"/>
        </w:numPr>
        <w:spacing w:line="360" w:lineRule="auto"/>
        <w:jc w:val="both"/>
        <w:rPr>
          <w:rFonts w:ascii="Times New Roman" w:hAnsi="Times New Roman" w:cs="Times New Roman"/>
          <w:sz w:val="24"/>
        </w:rPr>
      </w:pPr>
      <w:r w:rsidRPr="002849D6">
        <w:rPr>
          <w:rFonts w:ascii="Times New Roman" w:hAnsi="Times New Roman" w:cs="Times New Roman"/>
          <w:sz w:val="24"/>
        </w:rPr>
        <w:t xml:space="preserve">Data Source: </w:t>
      </w:r>
      <w:r w:rsidR="00F07F46" w:rsidRPr="002849D6">
        <w:rPr>
          <w:rFonts w:ascii="Times New Roman" w:hAnsi="Times New Roman" w:cs="Times New Roman"/>
          <w:sz w:val="24"/>
        </w:rPr>
        <w:t>This study is based on secondary data that is available in publications and factsheets on the relevant websites. These schemes are designed to la</w:t>
      </w:r>
      <w:r w:rsidRPr="002849D6">
        <w:rPr>
          <w:rFonts w:ascii="Times New Roman" w:hAnsi="Times New Roman" w:cs="Times New Roman"/>
          <w:sz w:val="24"/>
        </w:rPr>
        <w:t>st for five years, from April D</w:t>
      </w:r>
      <w:r w:rsidR="00695A2B">
        <w:rPr>
          <w:rFonts w:ascii="Times New Roman" w:hAnsi="Times New Roman" w:cs="Times New Roman"/>
          <w:sz w:val="24"/>
        </w:rPr>
        <w:t>ecember 2017 to December 2022</w:t>
      </w:r>
      <w:r w:rsidR="00F07F46" w:rsidRPr="002849D6">
        <w:rPr>
          <w:rFonts w:ascii="Times New Roman" w:hAnsi="Times New Roman" w:cs="Times New Roman"/>
          <w:sz w:val="24"/>
        </w:rPr>
        <w:t>. Websites for the NSE (www.nseindia.com) and BSE (www.bseindia.com) exchanges have been used for benchmark data. Numerous research articles from the International Journal of Scientific &amp; Research Publishing and the NMIMS Journal of Economics are taken into consideration.</w:t>
      </w:r>
    </w:p>
    <w:p w:rsidR="002849D6" w:rsidRPr="002849D6" w:rsidRDefault="002849D6" w:rsidP="002849D6">
      <w:pPr>
        <w:pStyle w:val="ListParagraph"/>
        <w:numPr>
          <w:ilvl w:val="0"/>
          <w:numId w:val="15"/>
        </w:numPr>
        <w:spacing w:line="360" w:lineRule="auto"/>
        <w:jc w:val="both"/>
        <w:rPr>
          <w:rFonts w:ascii="Times New Roman" w:hAnsi="Times New Roman" w:cs="Times New Roman"/>
          <w:sz w:val="24"/>
        </w:rPr>
      </w:pPr>
      <w:r w:rsidRPr="002849D6">
        <w:rPr>
          <w:rFonts w:ascii="Times New Roman" w:hAnsi="Times New Roman" w:cs="Times New Roman"/>
          <w:sz w:val="24"/>
        </w:rPr>
        <w:t>Justification for choosing the mutual fund schemes: For this research, 30 schemes were chosen because they represent the most significant and ef</w:t>
      </w:r>
      <w:r w:rsidR="00695A2B">
        <w:rPr>
          <w:rFonts w:ascii="Times New Roman" w:hAnsi="Times New Roman" w:cs="Times New Roman"/>
          <w:sz w:val="24"/>
        </w:rPr>
        <w:t>ficient equity schemes from 2017 to 2022</w:t>
      </w:r>
      <w:bookmarkStart w:id="0" w:name="_GoBack"/>
      <w:bookmarkEnd w:id="0"/>
      <w:r w:rsidRPr="002849D6">
        <w:rPr>
          <w:rFonts w:ascii="Times New Roman" w:hAnsi="Times New Roman" w:cs="Times New Roman"/>
          <w:sz w:val="24"/>
        </w:rPr>
        <w:t xml:space="preserve"> in terms of returns. Therefore, these plans have been picked for the comparative research.</w:t>
      </w:r>
    </w:p>
    <w:p w:rsidR="0005114B" w:rsidRPr="002849D6" w:rsidRDefault="0005114B" w:rsidP="002849D6">
      <w:pPr>
        <w:pStyle w:val="ListParagraph"/>
        <w:numPr>
          <w:ilvl w:val="0"/>
          <w:numId w:val="15"/>
        </w:numPr>
        <w:spacing w:line="360" w:lineRule="auto"/>
        <w:jc w:val="both"/>
        <w:rPr>
          <w:rFonts w:ascii="Times New Roman" w:hAnsi="Times New Roman" w:cs="Times New Roman"/>
          <w:sz w:val="24"/>
        </w:rPr>
      </w:pPr>
      <w:r w:rsidRPr="002849D6">
        <w:rPr>
          <w:rFonts w:ascii="Times New Roman" w:hAnsi="Times New Roman" w:cs="Times New Roman"/>
          <w:sz w:val="24"/>
        </w:rPr>
        <w:t>Tools for analyzing data-   Various statistical approaches have been employed to evaluate the effectiveness and risk of the schemes. Sharpe ratio and annualized return have both been used to gauge how well these equity plans have performed. Standard deviation and beta are utilized to analyze the scheme's risk.</w:t>
      </w:r>
    </w:p>
    <w:p w:rsidR="0005114B" w:rsidRDefault="0005114B" w:rsidP="002849D6">
      <w:pPr>
        <w:pStyle w:val="ListParagraph"/>
        <w:numPr>
          <w:ilvl w:val="0"/>
          <w:numId w:val="18"/>
        </w:numPr>
        <w:jc w:val="both"/>
      </w:pPr>
      <w:r w:rsidRPr="002849D6">
        <w:rPr>
          <w:rFonts w:ascii="Times New Roman" w:hAnsi="Times New Roman" w:cs="Times New Roman"/>
          <w:sz w:val="24"/>
        </w:rPr>
        <w:t xml:space="preserve">Annualized rate of return: - It is the procedure for calculating the scheme's yearly returns. The scheme's annual performance varies from year to year. The premium </w:t>
      </w:r>
      <w:r w:rsidRPr="002849D6">
        <w:rPr>
          <w:rFonts w:ascii="Times New Roman" w:hAnsi="Times New Roman" w:cs="Times New Roman"/>
          <w:sz w:val="24"/>
        </w:rPr>
        <w:lastRenderedPageBreak/>
        <w:t>investment amount and the profits or losses in that year are used to calculate the annualized rate of return. The equation for this is</w:t>
      </w:r>
      <w:r w:rsidRPr="0005114B">
        <w:t>:</w:t>
      </w:r>
    </w:p>
    <w:p w:rsidR="001E6E12" w:rsidRDefault="001E6E12" w:rsidP="001E6E12">
      <w:pPr>
        <w:pStyle w:val="ListParagraph"/>
        <w:jc w:val="center"/>
      </w:pPr>
      <w:r>
        <w:rPr>
          <w:rFonts w:ascii="Cambria Math" w:hAnsi="Cambria Math" w:cs="Cambria Math"/>
        </w:rPr>
        <w:t>𝐀𝐧𝐧𝐮𝐚𝐥𝐢𝐳𝐞𝐝</w:t>
      </w:r>
      <w:r>
        <w:t xml:space="preserve"> </w:t>
      </w:r>
      <w:r>
        <w:rPr>
          <w:rFonts w:ascii="Cambria Math" w:hAnsi="Cambria Math" w:cs="Cambria Math"/>
        </w:rPr>
        <w:t>𝐫𝐚𝐭𝐞</w:t>
      </w:r>
      <w:r>
        <w:t xml:space="preserve"> </w:t>
      </w:r>
      <w:r>
        <w:rPr>
          <w:rFonts w:ascii="Cambria Math" w:hAnsi="Cambria Math" w:cs="Cambria Math"/>
        </w:rPr>
        <w:t>𝐨𝐟</w:t>
      </w:r>
      <w:r>
        <w:t xml:space="preserve"> </w:t>
      </w:r>
      <w:r>
        <w:rPr>
          <w:rFonts w:ascii="Cambria Math" w:hAnsi="Cambria Math" w:cs="Cambria Math"/>
        </w:rPr>
        <w:t>𝐫𝐞𝐭𝐮𝐫𝐧</w:t>
      </w:r>
      <w:r>
        <w:t xml:space="preserve"> = {(</w:t>
      </w:r>
      <w:r>
        <w:rPr>
          <w:rFonts w:ascii="Cambria Math" w:hAnsi="Cambria Math" w:cs="Cambria Math"/>
        </w:rPr>
        <w:t>𝑷</w:t>
      </w:r>
      <w:r>
        <w:t xml:space="preserve"> + </w:t>
      </w:r>
      <w:r>
        <w:rPr>
          <w:rFonts w:ascii="Cambria Math" w:hAnsi="Cambria Math" w:cs="Cambria Math"/>
        </w:rPr>
        <w:t>𝑮</w:t>
      </w:r>
      <w:r>
        <w:t>)/</w:t>
      </w:r>
      <w:r>
        <w:rPr>
          <w:rFonts w:ascii="Cambria Math" w:hAnsi="Cambria Math" w:cs="Cambria Math"/>
        </w:rPr>
        <w:t>𝑷</w:t>
      </w:r>
      <w:r>
        <w:t xml:space="preserve">} </w:t>
      </w:r>
      <w:r>
        <w:rPr>
          <w:rFonts w:ascii="Cambria Math" w:hAnsi="Cambria Math" w:cs="Cambria Math"/>
        </w:rPr>
        <w:t>𝟏</w:t>
      </w:r>
      <w:r>
        <w:t>/</w:t>
      </w:r>
      <w:r>
        <w:rPr>
          <w:rFonts w:ascii="Cambria Math" w:hAnsi="Cambria Math" w:cs="Cambria Math"/>
        </w:rPr>
        <w:t>𝒏</w:t>
      </w:r>
      <w:r>
        <w:t xml:space="preserve"> − </w:t>
      </w:r>
      <w:r>
        <w:rPr>
          <w:rFonts w:ascii="Cambria Math" w:hAnsi="Cambria Math" w:cs="Cambria Math"/>
        </w:rPr>
        <w:t>𝟏</w:t>
      </w:r>
    </w:p>
    <w:p w:rsidR="001E6E12" w:rsidRDefault="001E6E12" w:rsidP="001E6E12">
      <w:pPr>
        <w:pStyle w:val="ListParagraph"/>
        <w:jc w:val="both"/>
      </w:pPr>
    </w:p>
    <w:p w:rsidR="001E6E12" w:rsidRDefault="001E6E12" w:rsidP="001E6E12">
      <w:pPr>
        <w:pStyle w:val="ListParagraph"/>
        <w:jc w:val="both"/>
      </w:pPr>
      <w:r>
        <w:t xml:space="preserve">P= Principal value, </w:t>
      </w:r>
    </w:p>
    <w:p w:rsidR="001E6E12" w:rsidRDefault="001E6E12" w:rsidP="001E6E12">
      <w:pPr>
        <w:pStyle w:val="ListParagraph"/>
        <w:jc w:val="both"/>
      </w:pPr>
      <w:r>
        <w:t>G= Gains or Losses,</w:t>
      </w:r>
    </w:p>
    <w:p w:rsidR="001E6E12" w:rsidRDefault="001E6E12" w:rsidP="001E6E12">
      <w:pPr>
        <w:pStyle w:val="ListParagraph"/>
        <w:jc w:val="both"/>
      </w:pPr>
      <w:r>
        <w:t>n= holding time period</w:t>
      </w:r>
    </w:p>
    <w:p w:rsidR="001E6E12" w:rsidRPr="002849D6" w:rsidRDefault="001E6E12" w:rsidP="002849D6">
      <w:pPr>
        <w:pStyle w:val="ListParagraph"/>
        <w:numPr>
          <w:ilvl w:val="0"/>
          <w:numId w:val="18"/>
        </w:numPr>
        <w:jc w:val="both"/>
        <w:rPr>
          <w:rFonts w:ascii="Times New Roman" w:hAnsi="Times New Roman" w:cs="Times New Roman"/>
          <w:sz w:val="24"/>
        </w:rPr>
      </w:pPr>
      <w:r w:rsidRPr="002849D6">
        <w:rPr>
          <w:rFonts w:ascii="Times New Roman" w:hAnsi="Times New Roman" w:cs="Times New Roman"/>
          <w:sz w:val="24"/>
        </w:rPr>
        <w:t>Sharpe Ratio: - The reward to variability ratio is another name for the Sharpe ratio. The return on investment over the risk-free rate of return is represented by this ratio. This indicates that a greater Sharpe ratio value results in superior risk-adjusted return. The Sharpe ratio is used to determine previous performance and anticipated portfolio performance in the future.</w:t>
      </w:r>
    </w:p>
    <w:p w:rsidR="001E6E12" w:rsidRPr="001E6E12" w:rsidRDefault="001E6E12" w:rsidP="001E6E12">
      <w:pPr>
        <w:pStyle w:val="ListParagraph"/>
        <w:spacing w:after="0"/>
        <w:ind w:left="360"/>
        <w:jc w:val="center"/>
        <w:rPr>
          <w:rFonts w:ascii="Tahoma" w:hAnsi="Tahoma" w:cs="Tahoma"/>
          <w:sz w:val="28"/>
          <w:szCs w:val="28"/>
          <w:vertAlign w:val="subscript"/>
        </w:rPr>
      </w:pPr>
      <w:r w:rsidRPr="002849D6">
        <w:rPr>
          <w:sz w:val="28"/>
          <w:szCs w:val="28"/>
        </w:rPr>
        <w:t>Sharpe</w:t>
      </w:r>
      <w:r w:rsidRPr="001E6E12">
        <w:rPr>
          <w:sz w:val="28"/>
          <w:szCs w:val="28"/>
        </w:rPr>
        <w:t xml:space="preserve"> ratio = (</w:t>
      </w:r>
      <w:r w:rsidRPr="001E6E12">
        <w:rPr>
          <w:rFonts w:ascii="Cambria Math" w:hAnsi="Cambria Math" w:cs="Cambria Math"/>
          <w:sz w:val="28"/>
          <w:szCs w:val="28"/>
        </w:rPr>
        <w:t>𝑹𝒑</w:t>
      </w:r>
      <w:r w:rsidRPr="001E6E12">
        <w:rPr>
          <w:sz w:val="28"/>
          <w:szCs w:val="28"/>
        </w:rPr>
        <w:t>−</w:t>
      </w:r>
      <w:r w:rsidRPr="001E6E12">
        <w:rPr>
          <w:rFonts w:ascii="Cambria Math" w:hAnsi="Cambria Math" w:cs="Cambria Math"/>
          <w:sz w:val="28"/>
          <w:szCs w:val="28"/>
        </w:rPr>
        <w:t>𝑹𝒇)/𝝈</w:t>
      </w:r>
      <w:r w:rsidRPr="001E6E12">
        <w:rPr>
          <w:rFonts w:ascii="Tahoma" w:hAnsi="Tahoma" w:cs="Tahoma"/>
          <w:sz w:val="28"/>
          <w:szCs w:val="28"/>
          <w:vertAlign w:val="subscript"/>
        </w:rPr>
        <w:t>p</w:t>
      </w:r>
    </w:p>
    <w:p w:rsidR="001E6E12" w:rsidRPr="001E6E12" w:rsidRDefault="001E6E12" w:rsidP="001E6E12">
      <w:pPr>
        <w:pStyle w:val="ListParagraph"/>
        <w:spacing w:after="0"/>
        <w:ind w:left="360"/>
        <w:rPr>
          <w:i/>
        </w:rPr>
      </w:pPr>
      <w:proofErr w:type="spellStart"/>
      <w:r w:rsidRPr="001E6E12">
        <w:rPr>
          <w:i/>
        </w:rPr>
        <w:t>Rp</w:t>
      </w:r>
      <w:proofErr w:type="spellEnd"/>
      <w:r w:rsidRPr="001E6E12">
        <w:rPr>
          <w:i/>
        </w:rPr>
        <w:t xml:space="preserve">=Returns of the portfolio, </w:t>
      </w:r>
    </w:p>
    <w:p w:rsidR="001E6E12" w:rsidRPr="001E6E12" w:rsidRDefault="001E6E12" w:rsidP="001E6E12">
      <w:pPr>
        <w:pStyle w:val="ListParagraph"/>
        <w:spacing w:after="0"/>
        <w:ind w:left="360"/>
        <w:rPr>
          <w:i/>
        </w:rPr>
      </w:pPr>
      <w:proofErr w:type="spellStart"/>
      <w:proofErr w:type="gramStart"/>
      <w:r w:rsidRPr="001E6E12">
        <w:rPr>
          <w:i/>
        </w:rPr>
        <w:t>Rf</w:t>
      </w:r>
      <w:proofErr w:type="spellEnd"/>
      <w:proofErr w:type="gramEnd"/>
      <w:r w:rsidRPr="001E6E12">
        <w:rPr>
          <w:i/>
        </w:rPr>
        <w:t>= Risk free rate of Return and</w:t>
      </w:r>
    </w:p>
    <w:p w:rsidR="001E6E12" w:rsidRDefault="001E6E12" w:rsidP="001E6E12">
      <w:pPr>
        <w:pStyle w:val="ListParagraph"/>
        <w:spacing w:after="0"/>
        <w:ind w:left="360"/>
        <w:rPr>
          <w:rFonts w:cstheme="minorHAnsi"/>
          <w:i/>
        </w:rPr>
      </w:pPr>
      <w:proofErr w:type="spellStart"/>
      <w:proofErr w:type="gramStart"/>
      <w:r w:rsidRPr="001E6E12">
        <w:rPr>
          <w:rFonts w:cstheme="minorHAnsi"/>
          <w:i/>
          <w:sz w:val="28"/>
        </w:rPr>
        <w:t>σ</w:t>
      </w:r>
      <w:r w:rsidRPr="001E6E12">
        <w:rPr>
          <w:rFonts w:cstheme="minorHAnsi"/>
          <w:i/>
        </w:rPr>
        <w:t>p</w:t>
      </w:r>
      <w:proofErr w:type="spellEnd"/>
      <w:proofErr w:type="gramEnd"/>
      <w:r w:rsidRPr="001E6E12">
        <w:rPr>
          <w:rFonts w:cstheme="minorHAnsi"/>
          <w:i/>
        </w:rPr>
        <w:t>= Standard deviation of the portfolio returns.</w:t>
      </w:r>
    </w:p>
    <w:p w:rsidR="001E6E12" w:rsidRDefault="001E6E12" w:rsidP="001E6E12">
      <w:pPr>
        <w:spacing w:after="0"/>
        <w:rPr>
          <w:rFonts w:cstheme="minorHAnsi"/>
          <w:i/>
        </w:rPr>
      </w:pPr>
      <w:r>
        <w:rPr>
          <w:rFonts w:cstheme="minorHAnsi"/>
          <w:i/>
        </w:rPr>
        <w:t>Sharpe ratio as risk adjusted returns can be calculated as-</w:t>
      </w:r>
    </w:p>
    <w:p w:rsidR="001E6E12" w:rsidRDefault="001E6E12" w:rsidP="001E6E12">
      <w:pPr>
        <w:pStyle w:val="ListParagraph"/>
        <w:numPr>
          <w:ilvl w:val="0"/>
          <w:numId w:val="6"/>
        </w:numPr>
        <w:jc w:val="both"/>
        <w:rPr>
          <w:i/>
        </w:rPr>
      </w:pPr>
      <w:r>
        <w:rPr>
          <w:i/>
        </w:rPr>
        <w:t>By subtracting the risk-free return from return of the investment or portfolio.</w:t>
      </w:r>
    </w:p>
    <w:p w:rsidR="001E6E12" w:rsidRPr="001E6E12" w:rsidRDefault="001E6E12" w:rsidP="001E6E12">
      <w:pPr>
        <w:pStyle w:val="ListParagraph"/>
        <w:numPr>
          <w:ilvl w:val="0"/>
          <w:numId w:val="6"/>
        </w:numPr>
        <w:spacing w:line="360" w:lineRule="auto"/>
        <w:jc w:val="both"/>
        <w:rPr>
          <w:i/>
        </w:rPr>
      </w:pPr>
      <w:r>
        <w:rPr>
          <w:i/>
        </w:rPr>
        <w:t>Dividing the subtracted return by standard deviation of portfolio return.</w:t>
      </w:r>
    </w:p>
    <w:p w:rsidR="001E6E12" w:rsidRPr="002849D6" w:rsidRDefault="001E6E12" w:rsidP="002849D6">
      <w:pPr>
        <w:pStyle w:val="ListParagraph"/>
        <w:numPr>
          <w:ilvl w:val="0"/>
          <w:numId w:val="18"/>
        </w:numPr>
        <w:jc w:val="both"/>
        <w:rPr>
          <w:rFonts w:ascii="Times New Roman" w:hAnsi="Times New Roman" w:cs="Times New Roman"/>
          <w:sz w:val="24"/>
        </w:rPr>
      </w:pPr>
      <w:r w:rsidRPr="002849D6">
        <w:rPr>
          <w:rFonts w:ascii="Times New Roman" w:hAnsi="Times New Roman" w:cs="Times New Roman"/>
          <w:sz w:val="24"/>
        </w:rPr>
        <w:t>Standard deviation: The standard deviation calculates the performance range of a fund. It is a technique for calculating the rate of return's deviation from the expected return over time. High volatility corresponds to a high standard deviation.</w:t>
      </w:r>
    </w:p>
    <w:p w:rsidR="001E6E12" w:rsidRPr="001E6E12" w:rsidRDefault="001E6E12" w:rsidP="00F57093">
      <w:pPr>
        <w:pStyle w:val="ListParagraph"/>
        <w:spacing w:before="240"/>
        <w:ind w:left="360"/>
        <w:jc w:val="center"/>
        <w:rPr>
          <w:sz w:val="28"/>
          <w:szCs w:val="28"/>
        </w:rPr>
      </w:pPr>
      <w:r w:rsidRPr="001E6E12">
        <w:rPr>
          <w:rFonts w:ascii="Cambria Math" w:hAnsi="Cambria Math" w:cs="Cambria Math"/>
          <w:sz w:val="28"/>
          <w:szCs w:val="28"/>
        </w:rPr>
        <w:t>𝝈</w:t>
      </w:r>
      <w:r w:rsidRPr="001E6E12">
        <w:rPr>
          <w:sz w:val="28"/>
          <w:szCs w:val="28"/>
        </w:rPr>
        <w:t>=√ {</w:t>
      </w:r>
      <w:r w:rsidRPr="001E6E12">
        <w:rPr>
          <w:rFonts w:ascii="Cambria Math" w:hAnsi="Cambria Math" w:cs="Cambria Math"/>
          <w:sz w:val="28"/>
          <w:szCs w:val="28"/>
        </w:rPr>
        <w:t>𝟏</w:t>
      </w:r>
      <w:r w:rsidRPr="001E6E12">
        <w:rPr>
          <w:sz w:val="28"/>
          <w:szCs w:val="28"/>
        </w:rPr>
        <w:t xml:space="preserve"> /</w:t>
      </w:r>
      <w:r w:rsidRPr="001E6E12">
        <w:rPr>
          <w:rFonts w:ascii="Cambria Math" w:hAnsi="Cambria Math" w:cs="Cambria Math"/>
          <w:sz w:val="28"/>
          <w:szCs w:val="28"/>
        </w:rPr>
        <w:t>𝒏</w:t>
      </w:r>
      <w:r w:rsidRPr="001E6E12">
        <w:rPr>
          <w:sz w:val="28"/>
          <w:szCs w:val="28"/>
        </w:rPr>
        <w:t>−</w:t>
      </w:r>
      <w:r w:rsidRPr="001E6E12">
        <w:rPr>
          <w:rFonts w:ascii="Cambria Math" w:hAnsi="Cambria Math" w:cs="Cambria Math"/>
          <w:sz w:val="28"/>
          <w:szCs w:val="28"/>
        </w:rPr>
        <w:t>𝟏</w:t>
      </w:r>
      <w:r w:rsidR="00F57093" w:rsidRPr="001E6E12">
        <w:rPr>
          <w:sz w:val="28"/>
          <w:szCs w:val="28"/>
        </w:rPr>
        <w:t xml:space="preserve"> (</w:t>
      </w:r>
      <w:r w:rsidRPr="001E6E12">
        <w:rPr>
          <w:sz w:val="28"/>
          <w:szCs w:val="28"/>
        </w:rPr>
        <w:t>∑ (</w:t>
      </w:r>
      <w:r w:rsidRPr="001E6E12">
        <w:rPr>
          <w:rFonts w:ascii="Cambria Math" w:hAnsi="Cambria Math" w:cs="Cambria Math"/>
          <w:sz w:val="28"/>
          <w:szCs w:val="28"/>
        </w:rPr>
        <w:t>𝑹</w:t>
      </w:r>
      <w:r w:rsidRPr="001E6E12">
        <w:rPr>
          <w:sz w:val="28"/>
          <w:szCs w:val="28"/>
        </w:rPr>
        <w:t xml:space="preserve">i − </w:t>
      </w:r>
      <w:r w:rsidRPr="001E6E12">
        <w:rPr>
          <w:rFonts w:ascii="Cambria Math" w:hAnsi="Cambria Math" w:cs="Cambria Math"/>
          <w:sz w:val="28"/>
          <w:szCs w:val="28"/>
        </w:rPr>
        <w:t>𝑹</w:t>
      </w:r>
      <w:r w:rsidRPr="001E6E12">
        <w:rPr>
          <w:rFonts w:ascii="Calibri" w:hAnsi="Calibri" w:cs="Calibri"/>
          <w:sz w:val="28"/>
          <w:szCs w:val="28"/>
        </w:rPr>
        <w:t>̅</w:t>
      </w:r>
      <w:r w:rsidRPr="001E6E12">
        <w:rPr>
          <w:sz w:val="28"/>
          <w:szCs w:val="28"/>
        </w:rPr>
        <w:t>) 2)}</w:t>
      </w:r>
    </w:p>
    <w:p w:rsidR="001E6E12" w:rsidRDefault="001E6E12" w:rsidP="00F57093">
      <w:pPr>
        <w:pStyle w:val="ListParagraph"/>
        <w:spacing w:after="0"/>
        <w:ind w:left="360"/>
        <w:jc w:val="both"/>
      </w:pPr>
      <w:r w:rsidRPr="00630F01">
        <w:t xml:space="preserve">Here, </w:t>
      </w:r>
      <m:oMath>
        <m:r>
          <w:rPr>
            <w:rFonts w:ascii="Cambria Math" w:hAnsi="Cambria Math"/>
          </w:rPr>
          <m:t>σ</m:t>
        </m:r>
      </m:oMath>
      <w:r w:rsidRPr="00630F01">
        <w:t>= standard deviation of a fund</w:t>
      </w:r>
      <w:r>
        <w:t>,</w:t>
      </w:r>
    </w:p>
    <w:p w:rsidR="001E6E12" w:rsidRDefault="001E6E12" w:rsidP="00F57093">
      <w:pPr>
        <w:pStyle w:val="ListParagraph"/>
        <w:spacing w:after="0"/>
        <w:ind w:left="360"/>
        <w:jc w:val="both"/>
      </w:pPr>
      <w:r>
        <w:t>n= number of periods,</w:t>
      </w:r>
    </w:p>
    <w:p w:rsidR="001E6E12" w:rsidRPr="001E6E12" w:rsidRDefault="001E6E12" w:rsidP="00F57093">
      <w:pPr>
        <w:pStyle w:val="ListParagraph"/>
        <w:spacing w:after="0"/>
        <w:ind w:left="360"/>
        <w:jc w:val="both"/>
        <w:rPr>
          <w:rFonts w:eastAsiaTheme="minorEastAsia"/>
        </w:rPr>
      </w:pPr>
      <w:proofErr w:type="spellStart"/>
      <w:proofErr w:type="gramStart"/>
      <w:r w:rsidRPr="001E6E12">
        <w:rPr>
          <w:rFonts w:eastAsiaTheme="minorEastAsia"/>
        </w:rPr>
        <w:t>R</w:t>
      </w:r>
      <w:r w:rsidRPr="001E6E12">
        <w:rPr>
          <w:rFonts w:eastAsiaTheme="minorEastAsia"/>
          <w:vertAlign w:val="subscript"/>
        </w:rPr>
        <w:t>i</w:t>
      </w:r>
      <w:proofErr w:type="spellEnd"/>
      <w:proofErr w:type="gramEnd"/>
      <w:r w:rsidRPr="001E6E12">
        <w:rPr>
          <w:rFonts w:eastAsiaTheme="minorEastAsia"/>
          <w:vertAlign w:val="subscript"/>
        </w:rPr>
        <w:t xml:space="preserve"> </w:t>
      </w:r>
      <w:r w:rsidRPr="001E6E12">
        <w:rPr>
          <w:rFonts w:eastAsiaTheme="minorEastAsia"/>
        </w:rPr>
        <w:t>= return of investment of</w:t>
      </w:r>
      <w:r w:rsidR="00F57093">
        <w:rPr>
          <w:rFonts w:eastAsiaTheme="minorEastAsia"/>
        </w:rPr>
        <w:t xml:space="preserve"> i period</w:t>
      </w:r>
    </w:p>
    <w:p w:rsidR="001E6E12" w:rsidRPr="00630F01" w:rsidRDefault="00695A2B" w:rsidP="00F57093">
      <w:pPr>
        <w:pStyle w:val="ListParagraph"/>
        <w:spacing w:line="360" w:lineRule="auto"/>
        <w:ind w:left="360"/>
        <w:jc w:val="both"/>
      </w:pPr>
      <m:oMath>
        <m:acc>
          <m:accPr>
            <m:chr m:val="̅"/>
            <m:ctrlPr>
              <w:rPr>
                <w:rFonts w:ascii="Cambria Math" w:eastAsiaTheme="minorEastAsia" w:hAnsi="Cambria Math"/>
                <w:i/>
              </w:rPr>
            </m:ctrlPr>
          </m:accPr>
          <m:e>
            <m:r>
              <w:rPr>
                <w:rFonts w:ascii="Cambria Math" w:eastAsiaTheme="minorEastAsia" w:hAnsi="Cambria Math"/>
              </w:rPr>
              <m:t>R</m:t>
            </m:r>
          </m:e>
        </m:acc>
      </m:oMath>
      <w:r w:rsidR="001E6E12" w:rsidRPr="001E6E12">
        <w:rPr>
          <w:rFonts w:eastAsiaTheme="minorEastAsia"/>
        </w:rPr>
        <w:t>= average total return</w:t>
      </w:r>
    </w:p>
    <w:p w:rsidR="001E6E12" w:rsidRPr="002849D6" w:rsidRDefault="00F57093" w:rsidP="002849D6">
      <w:pPr>
        <w:pStyle w:val="ListParagraph"/>
        <w:numPr>
          <w:ilvl w:val="0"/>
          <w:numId w:val="18"/>
        </w:numPr>
        <w:jc w:val="both"/>
        <w:rPr>
          <w:rFonts w:ascii="Times New Roman" w:hAnsi="Times New Roman" w:cs="Times New Roman"/>
          <w:sz w:val="24"/>
        </w:rPr>
      </w:pPr>
      <w:r w:rsidRPr="002849D6">
        <w:rPr>
          <w:rFonts w:ascii="Times New Roman" w:hAnsi="Times New Roman" w:cs="Times New Roman"/>
          <w:sz w:val="24"/>
        </w:rPr>
        <w:t>Beta: - Market volatility involves some level of risk. The systematic risk of a fund relative to its index is measured by beta. Each benchmark's beta value is 1, therefore if the scheme's beta value is 1; it will duplicate the benchmarks' performance. The strategy is more volatile and risky if the beta value exceeds 1. Similar to this, a scheme is less volatile and risky if its beta value is smaller than 1. Beta is expressed as –</w:t>
      </w:r>
    </w:p>
    <w:p w:rsidR="00F57093" w:rsidRPr="00F57093" w:rsidRDefault="00F57093" w:rsidP="00F57093">
      <w:pPr>
        <w:pStyle w:val="ListParagraph"/>
        <w:spacing w:before="240"/>
        <w:ind w:left="360"/>
        <w:jc w:val="center"/>
        <w:rPr>
          <w:b/>
          <w:bCs/>
          <w:sz w:val="24"/>
          <w:szCs w:val="24"/>
        </w:rPr>
      </w:pPr>
      <w:r w:rsidRPr="00F57093">
        <w:rPr>
          <w:rFonts w:cstheme="minorHAnsi"/>
          <w:b/>
          <w:bCs/>
          <w:sz w:val="24"/>
          <w:szCs w:val="24"/>
        </w:rPr>
        <w:t>β</w:t>
      </w:r>
      <w:r w:rsidRPr="00F57093">
        <w:rPr>
          <w:b/>
          <w:bCs/>
          <w:sz w:val="24"/>
          <w:szCs w:val="24"/>
        </w:rPr>
        <w:t>= Covariance (X, Y)/Variance(Y)</w:t>
      </w:r>
    </w:p>
    <w:p w:rsidR="00F57093" w:rsidRPr="00F57093" w:rsidRDefault="00F57093" w:rsidP="00F57093">
      <w:pPr>
        <w:pStyle w:val="ListParagraph"/>
        <w:spacing w:before="240"/>
        <w:ind w:left="360"/>
        <w:jc w:val="center"/>
        <w:rPr>
          <w:rFonts w:eastAsiaTheme="minorEastAsia"/>
          <w:b/>
          <w:bCs/>
          <w:sz w:val="36"/>
          <w:szCs w:val="36"/>
        </w:rPr>
      </w:pPr>
      <w:r w:rsidRPr="00F57093">
        <w:rPr>
          <w:b/>
          <w:bCs/>
          <w:sz w:val="24"/>
          <w:szCs w:val="24"/>
        </w:rPr>
        <w:t>Where,</w:t>
      </w:r>
      <w:r w:rsidRPr="00F57093">
        <w:rPr>
          <w:rFonts w:eastAsiaTheme="minorEastAsia"/>
          <w:b/>
          <w:bCs/>
          <w:sz w:val="36"/>
          <w:szCs w:val="36"/>
        </w:rPr>
        <w:tab/>
      </w:r>
      <w:proofErr w:type="spellStart"/>
      <w:r w:rsidRPr="00F57093">
        <w:rPr>
          <w:sz w:val="28"/>
          <w:szCs w:val="28"/>
        </w:rPr>
        <w:t>Cov</w:t>
      </w:r>
      <w:proofErr w:type="spellEnd"/>
      <w:r w:rsidRPr="00F57093">
        <w:rPr>
          <w:sz w:val="28"/>
          <w:szCs w:val="28"/>
        </w:rPr>
        <w:t>(</w:t>
      </w:r>
      <w:proofErr w:type="spellStart"/>
      <w:r w:rsidRPr="00F57093">
        <w:rPr>
          <w:sz w:val="28"/>
          <w:szCs w:val="28"/>
        </w:rPr>
        <w:t>x</w:t>
      </w:r>
      <w:proofErr w:type="gramStart"/>
      <w:r w:rsidRPr="00F57093">
        <w:rPr>
          <w:sz w:val="28"/>
          <w:szCs w:val="28"/>
        </w:rPr>
        <w:t>,y</w:t>
      </w:r>
      <w:proofErr w:type="spellEnd"/>
      <w:proofErr w:type="gramEnd"/>
      <w:r w:rsidRPr="00F57093">
        <w:rPr>
          <w:sz w:val="28"/>
          <w:szCs w:val="28"/>
        </w:rPr>
        <w:t>)= ∑{(</w:t>
      </w:r>
      <w:r w:rsidRPr="00F57093">
        <w:rPr>
          <w:rFonts w:ascii="Cambria Math" w:hAnsi="Cambria Math" w:cs="Cambria Math"/>
          <w:sz w:val="28"/>
          <w:szCs w:val="28"/>
        </w:rPr>
        <w:t>𝒙𝒊</w:t>
      </w:r>
      <w:r w:rsidRPr="00F57093">
        <w:rPr>
          <w:sz w:val="28"/>
          <w:szCs w:val="28"/>
        </w:rPr>
        <w:t>−</w:t>
      </w:r>
      <w:r w:rsidRPr="00F57093">
        <w:rPr>
          <w:rFonts w:ascii="Cambria Math" w:hAnsi="Cambria Math" w:cs="Cambria Math"/>
          <w:sz w:val="28"/>
          <w:szCs w:val="28"/>
        </w:rPr>
        <w:t>𝒙</w:t>
      </w:r>
      <w:r w:rsidRPr="00F57093">
        <w:rPr>
          <w:rFonts w:ascii="Calibri" w:hAnsi="Calibri" w:cs="Calibri"/>
          <w:sz w:val="28"/>
          <w:szCs w:val="28"/>
        </w:rPr>
        <w:t>̅</w:t>
      </w:r>
      <w:r w:rsidRPr="00F57093">
        <w:rPr>
          <w:sz w:val="28"/>
          <w:szCs w:val="28"/>
        </w:rPr>
        <w:t>)(</w:t>
      </w:r>
      <w:r w:rsidRPr="00F57093">
        <w:rPr>
          <w:rFonts w:ascii="Cambria Math" w:hAnsi="Cambria Math" w:cs="Cambria Math"/>
          <w:sz w:val="28"/>
          <w:szCs w:val="28"/>
        </w:rPr>
        <w:t>𝒚𝒊</w:t>
      </w:r>
      <w:r w:rsidRPr="00F57093">
        <w:rPr>
          <w:sz w:val="28"/>
          <w:szCs w:val="28"/>
        </w:rPr>
        <w:t>−</w:t>
      </w:r>
      <w:r w:rsidRPr="00F57093">
        <w:rPr>
          <w:rFonts w:ascii="Cambria Math" w:hAnsi="Cambria Math" w:cs="Cambria Math"/>
          <w:sz w:val="28"/>
          <w:szCs w:val="28"/>
        </w:rPr>
        <w:t>𝒚</w:t>
      </w:r>
      <w:r w:rsidRPr="00F57093">
        <w:rPr>
          <w:rFonts w:ascii="Calibri" w:hAnsi="Calibri" w:cs="Calibri"/>
          <w:sz w:val="28"/>
          <w:szCs w:val="28"/>
        </w:rPr>
        <w:t>̅</w:t>
      </w:r>
      <w:r w:rsidRPr="00F57093">
        <w:rPr>
          <w:sz w:val="28"/>
          <w:szCs w:val="28"/>
        </w:rPr>
        <w:t>)}/</w:t>
      </w:r>
      <w:r w:rsidRPr="00F57093">
        <w:rPr>
          <w:rFonts w:ascii="Cambria Math" w:hAnsi="Cambria Math" w:cs="Cambria Math"/>
          <w:sz w:val="28"/>
          <w:szCs w:val="28"/>
        </w:rPr>
        <w:t>𝒏</w:t>
      </w:r>
      <w:r w:rsidRPr="00F57093">
        <w:rPr>
          <w:sz w:val="28"/>
          <w:szCs w:val="28"/>
        </w:rPr>
        <w:t>−</w:t>
      </w:r>
      <w:r w:rsidRPr="00F57093">
        <w:rPr>
          <w:rFonts w:ascii="Cambria Math" w:hAnsi="Cambria Math" w:cs="Cambria Math"/>
          <w:sz w:val="28"/>
          <w:szCs w:val="28"/>
        </w:rPr>
        <w:t>𝟏</w:t>
      </w:r>
    </w:p>
    <w:p w:rsidR="00F57093" w:rsidRPr="00F57093" w:rsidRDefault="00F57093" w:rsidP="00F57093">
      <w:pPr>
        <w:pStyle w:val="ListParagraph"/>
        <w:spacing w:after="0"/>
        <w:ind w:left="360"/>
        <w:rPr>
          <w:rFonts w:eastAsiaTheme="minorEastAsia"/>
        </w:rPr>
      </w:pPr>
      <w:r w:rsidRPr="00F57093">
        <w:rPr>
          <w:rFonts w:eastAsiaTheme="minorEastAsia"/>
        </w:rPr>
        <w:t>Here, X</w:t>
      </w:r>
      <w:r w:rsidRPr="00F57093">
        <w:rPr>
          <w:rFonts w:eastAsiaTheme="minorEastAsia"/>
          <w:vertAlign w:val="subscript"/>
        </w:rPr>
        <w:t>i</w:t>
      </w:r>
      <w:r w:rsidRPr="00F57093">
        <w:rPr>
          <w:rFonts w:eastAsiaTheme="minorEastAsia"/>
        </w:rPr>
        <w:t>= return of fund for the period,</w:t>
      </w:r>
    </w:p>
    <w:p w:rsidR="00F57093" w:rsidRPr="00F57093" w:rsidRDefault="00695A2B" w:rsidP="00F57093">
      <w:pPr>
        <w:pStyle w:val="ListParagraph"/>
        <w:spacing w:after="0"/>
        <w:ind w:left="360"/>
        <w:rPr>
          <w:rFonts w:eastAsiaTheme="minorEastAsia"/>
        </w:rPr>
      </w:pPr>
      <m:oMath>
        <m:acc>
          <m:accPr>
            <m:chr m:val="̅"/>
            <m:ctrlPr>
              <w:rPr>
                <w:rFonts w:ascii="Cambria Math" w:eastAsiaTheme="minorEastAsia" w:hAnsi="Cambria Math"/>
                <w:i/>
                <w:vertAlign w:val="superscript"/>
              </w:rPr>
            </m:ctrlPr>
          </m:accPr>
          <m:e>
            <m:r>
              <w:rPr>
                <w:rFonts w:ascii="Cambria Math" w:eastAsiaTheme="minorEastAsia" w:hAnsi="Cambria Math"/>
                <w:vertAlign w:val="superscript"/>
              </w:rPr>
              <m:t>x</m:t>
            </m:r>
          </m:e>
        </m:acc>
      </m:oMath>
      <w:r w:rsidR="00F57093" w:rsidRPr="00F57093">
        <w:rPr>
          <w:rFonts w:eastAsiaTheme="minorEastAsia"/>
        </w:rPr>
        <w:t>= average return</w:t>
      </w:r>
    </w:p>
    <w:p w:rsidR="00F57093" w:rsidRPr="00F57093" w:rsidRDefault="00F57093" w:rsidP="00F57093">
      <w:pPr>
        <w:pStyle w:val="ListParagraph"/>
        <w:spacing w:after="0"/>
        <w:ind w:left="360"/>
        <w:rPr>
          <w:rFonts w:eastAsiaTheme="minorEastAsia"/>
        </w:rPr>
      </w:pPr>
      <w:r w:rsidRPr="00F57093">
        <w:rPr>
          <w:rFonts w:eastAsiaTheme="minorEastAsia"/>
        </w:rPr>
        <w:t>Y</w:t>
      </w:r>
      <w:r w:rsidRPr="00F57093">
        <w:rPr>
          <w:rFonts w:eastAsiaTheme="minorEastAsia"/>
          <w:vertAlign w:val="subscript"/>
        </w:rPr>
        <w:t>i</w:t>
      </w:r>
      <w:r w:rsidRPr="00F57093">
        <w:rPr>
          <w:rFonts w:eastAsiaTheme="minorEastAsia"/>
        </w:rPr>
        <w:t>= return of benchmark index</w:t>
      </w:r>
    </w:p>
    <w:p w:rsidR="00F57093" w:rsidRDefault="00695A2B" w:rsidP="00F57093">
      <w:pPr>
        <w:pStyle w:val="ListParagraph"/>
        <w:ind w:left="360"/>
        <w:rPr>
          <w:rFonts w:eastAsiaTheme="minorEastAsia"/>
        </w:rPr>
      </w:pPr>
      <m:oMath>
        <m:acc>
          <m:accPr>
            <m:chr m:val="̅"/>
            <m:ctrlPr>
              <w:rPr>
                <w:rFonts w:ascii="Cambria Math" w:eastAsiaTheme="minorEastAsia" w:hAnsi="Cambria Math"/>
                <w:i/>
                <w:vertAlign w:val="superscript"/>
              </w:rPr>
            </m:ctrlPr>
          </m:accPr>
          <m:e>
            <m:r>
              <w:rPr>
                <w:rFonts w:ascii="Cambria Math" w:eastAsiaTheme="minorEastAsia" w:hAnsi="Cambria Math"/>
                <w:vertAlign w:val="superscript"/>
              </w:rPr>
              <m:t>y</m:t>
            </m:r>
          </m:e>
        </m:acc>
      </m:oMath>
      <w:r w:rsidR="00F57093" w:rsidRPr="00F57093">
        <w:rPr>
          <w:rFonts w:eastAsiaTheme="minorEastAsia"/>
        </w:rPr>
        <w:t>= average return</w:t>
      </w:r>
    </w:p>
    <w:p w:rsidR="009D7552" w:rsidRPr="002849D6" w:rsidRDefault="00F57093" w:rsidP="002849D6">
      <w:pPr>
        <w:pStyle w:val="ListParagraph"/>
        <w:numPr>
          <w:ilvl w:val="0"/>
          <w:numId w:val="18"/>
        </w:numPr>
        <w:jc w:val="both"/>
        <w:rPr>
          <w:rFonts w:ascii="Times New Roman" w:hAnsi="Times New Roman" w:cs="Times New Roman"/>
          <w:sz w:val="24"/>
        </w:rPr>
      </w:pPr>
      <w:r w:rsidRPr="002849D6">
        <w:rPr>
          <w:rFonts w:ascii="Times New Roman" w:hAnsi="Times New Roman" w:cs="Times New Roman"/>
          <w:sz w:val="24"/>
        </w:rPr>
        <w:lastRenderedPageBreak/>
        <w:t xml:space="preserve">Alpha: - </w:t>
      </w:r>
      <w:r w:rsidR="009D7552" w:rsidRPr="002849D6">
        <w:rPr>
          <w:rFonts w:ascii="Times New Roman" w:hAnsi="Times New Roman" w:cs="Times New Roman"/>
          <w:sz w:val="24"/>
        </w:rPr>
        <w:t>The excess return of a fund over its benchmark index is known as alpha. A positive alpha of 15% indicates that a fund has outperformed its benchmark during a certain time period by 15%. In a similar vein, if a fund's negative alpha is 10%, it indicates a 10% underperformance. Alpha simply refers to a fund manager's performance.</w:t>
      </w:r>
    </w:p>
    <w:p w:rsidR="009D7552" w:rsidRPr="009D7552" w:rsidRDefault="009D7552" w:rsidP="009D7552">
      <w:pPr>
        <w:widowControl w:val="0"/>
        <w:autoSpaceDE w:val="0"/>
        <w:autoSpaceDN w:val="0"/>
        <w:adjustRightInd w:val="0"/>
        <w:spacing w:after="0" w:line="360" w:lineRule="auto"/>
        <w:ind w:left="720"/>
        <w:jc w:val="center"/>
        <w:rPr>
          <w:rStyle w:val="Strong"/>
          <w:rFonts w:ascii="Arial" w:hAnsi="Arial" w:cs="Arial"/>
          <w:b w:val="0"/>
          <w:color w:val="47494C"/>
          <w:sz w:val="27"/>
          <w:szCs w:val="27"/>
          <w:bdr w:val="single" w:sz="2" w:space="0" w:color="E2E8F0" w:frame="1"/>
        </w:rPr>
      </w:pPr>
      <w:r w:rsidRPr="009D7552">
        <w:rPr>
          <w:b/>
          <w:sz w:val="24"/>
          <w:szCs w:val="24"/>
        </w:rPr>
        <w:t>Alpha = (End Price – Start Price + DPS) / Start Price</w:t>
      </w:r>
    </w:p>
    <w:p w:rsidR="009D7552" w:rsidRPr="009D7552" w:rsidRDefault="009D7552" w:rsidP="009D7552">
      <w:pPr>
        <w:widowControl w:val="0"/>
        <w:autoSpaceDE w:val="0"/>
        <w:autoSpaceDN w:val="0"/>
        <w:adjustRightInd w:val="0"/>
        <w:spacing w:after="0" w:line="360" w:lineRule="auto"/>
        <w:ind w:left="720"/>
        <w:jc w:val="both"/>
        <w:rPr>
          <w:rFonts w:ascii="Times New Roman" w:hAnsi="Times New Roman"/>
          <w:b/>
          <w:bCs/>
          <w:sz w:val="20"/>
          <w:szCs w:val="24"/>
        </w:rPr>
      </w:pPr>
      <w:r w:rsidRPr="009D7552">
        <w:rPr>
          <w:rFonts w:ascii="Arial" w:hAnsi="Arial" w:cs="Arial"/>
          <w:color w:val="47494C"/>
          <w:szCs w:val="27"/>
        </w:rPr>
        <w:t>(</w:t>
      </w:r>
      <w:r w:rsidRPr="009D7552">
        <w:rPr>
          <w:rFonts w:ascii="Times New Roman" w:hAnsi="Times New Roman"/>
          <w:sz w:val="24"/>
          <w:szCs w:val="24"/>
        </w:rPr>
        <w:t>DPS = Distribution per Share)</w:t>
      </w:r>
    </w:p>
    <w:p w:rsidR="00EE5143" w:rsidRPr="002849D6" w:rsidRDefault="009D7552" w:rsidP="002849D6">
      <w:pPr>
        <w:rPr>
          <w:rFonts w:eastAsiaTheme="minorEastAsia"/>
        </w:rPr>
      </w:pPr>
      <w:r w:rsidRPr="002849D6">
        <w:rPr>
          <w:rFonts w:ascii="Times New Roman" w:hAnsi="Times New Roman" w:cs="Times New Roman"/>
          <w:b/>
          <w:sz w:val="28"/>
        </w:rPr>
        <w:t>Analysis of Data:</w:t>
      </w:r>
      <w:r w:rsidRPr="002849D6">
        <w:rPr>
          <w:rFonts w:eastAsiaTheme="minorEastAsia"/>
        </w:rPr>
        <w:t xml:space="preserve"> - The performance of each scheme has been evaluated on the basis of </w:t>
      </w:r>
      <w:r w:rsidR="00EE5143" w:rsidRPr="002849D6">
        <w:rPr>
          <w:rFonts w:eastAsiaTheme="minorEastAsia"/>
        </w:rPr>
        <w:t xml:space="preserve">two factors that are risk and return. </w:t>
      </w:r>
    </w:p>
    <w:p w:rsidR="0028476A" w:rsidRPr="00E02069" w:rsidRDefault="00EE5143" w:rsidP="00E02069">
      <w:pPr>
        <w:rPr>
          <w:rFonts w:eastAsiaTheme="minorEastAsia"/>
        </w:rPr>
      </w:pPr>
      <w:r w:rsidRPr="002849D6">
        <w:rPr>
          <w:rFonts w:eastAsiaTheme="minorEastAsia"/>
          <w:b/>
        </w:rPr>
        <w:t>Analysis based on return performance</w:t>
      </w:r>
      <w:r w:rsidRPr="002849D6">
        <w:rPr>
          <w:rFonts w:eastAsiaTheme="minorEastAsia"/>
        </w:rPr>
        <w:t>- W</w:t>
      </w:r>
      <w:r w:rsidR="009D7552" w:rsidRPr="002849D6">
        <w:rPr>
          <w:rFonts w:eastAsiaTheme="minorEastAsia"/>
        </w:rPr>
        <w:t>ith the data of each scheme being assessed based on their annualized performance in comparison with benchmark indexes. The data on the annualized rate of return over a five-year period for the various research schem</w:t>
      </w:r>
      <w:r w:rsidRPr="002849D6">
        <w:rPr>
          <w:rFonts w:eastAsiaTheme="minorEastAsia"/>
        </w:rPr>
        <w:t xml:space="preserve">es is provided in Table 1 </w:t>
      </w:r>
      <w:r w:rsidR="009D7552" w:rsidRPr="002849D6">
        <w:rPr>
          <w:rFonts w:eastAsiaTheme="minorEastAsia"/>
        </w:rPr>
        <w:t>below.</w:t>
      </w:r>
    </w:p>
    <w:tbl>
      <w:tblPr>
        <w:tblStyle w:val="TableGrid"/>
        <w:tblW w:w="0" w:type="auto"/>
        <w:tblLook w:val="04A0" w:firstRow="1" w:lastRow="0" w:firstColumn="1" w:lastColumn="0" w:noHBand="0" w:noVBand="1"/>
      </w:tblPr>
      <w:tblGrid>
        <w:gridCol w:w="1104"/>
        <w:gridCol w:w="4563"/>
        <w:gridCol w:w="1380"/>
        <w:gridCol w:w="1284"/>
        <w:gridCol w:w="1245"/>
      </w:tblGrid>
      <w:tr w:rsidR="000D2B5A" w:rsidRPr="008B5FA5" w:rsidTr="000D2B5A">
        <w:tc>
          <w:tcPr>
            <w:tcW w:w="1104" w:type="dxa"/>
          </w:tcPr>
          <w:p w:rsidR="000D2B5A" w:rsidRPr="008B5FA5" w:rsidRDefault="000D2B5A" w:rsidP="008D3348">
            <w:pPr>
              <w:jc w:val="center"/>
            </w:pPr>
            <w:r>
              <w:t>S.no</w:t>
            </w:r>
          </w:p>
        </w:tc>
        <w:tc>
          <w:tcPr>
            <w:tcW w:w="4563" w:type="dxa"/>
          </w:tcPr>
          <w:p w:rsidR="000D2B5A" w:rsidRPr="008B5FA5" w:rsidRDefault="000D2B5A" w:rsidP="008D3348">
            <w:pPr>
              <w:jc w:val="center"/>
            </w:pPr>
            <w:r w:rsidRPr="008B5FA5">
              <w:t>Name of scheme</w:t>
            </w:r>
          </w:p>
        </w:tc>
        <w:tc>
          <w:tcPr>
            <w:tcW w:w="3909" w:type="dxa"/>
            <w:gridSpan w:val="3"/>
          </w:tcPr>
          <w:p w:rsidR="000D2B5A" w:rsidRPr="008B5FA5" w:rsidRDefault="000D2B5A" w:rsidP="008D3348">
            <w:pPr>
              <w:jc w:val="center"/>
            </w:pPr>
            <w:r w:rsidRPr="008B5FA5">
              <w:t>Annualized returns</w:t>
            </w:r>
          </w:p>
        </w:tc>
      </w:tr>
      <w:tr w:rsidR="000D2B5A" w:rsidRPr="008B5FA5" w:rsidTr="000D2B5A">
        <w:trPr>
          <w:trHeight w:val="332"/>
        </w:trPr>
        <w:tc>
          <w:tcPr>
            <w:tcW w:w="1104" w:type="dxa"/>
          </w:tcPr>
          <w:p w:rsidR="000D2B5A" w:rsidRDefault="00281C68" w:rsidP="008D3348">
            <w:pPr>
              <w:jc w:val="center"/>
            </w:pPr>
            <w:r>
              <w:t xml:space="preserve"> </w:t>
            </w:r>
          </w:p>
        </w:tc>
        <w:tc>
          <w:tcPr>
            <w:tcW w:w="4563" w:type="dxa"/>
          </w:tcPr>
          <w:p w:rsidR="000D2B5A" w:rsidRPr="008B5FA5" w:rsidRDefault="000D2B5A" w:rsidP="008D3348">
            <w:pPr>
              <w:jc w:val="center"/>
            </w:pPr>
            <w:r>
              <w:t>Large cap mutual fund</w:t>
            </w:r>
          </w:p>
        </w:tc>
        <w:tc>
          <w:tcPr>
            <w:tcW w:w="1380" w:type="dxa"/>
          </w:tcPr>
          <w:p w:rsidR="000D2B5A" w:rsidRPr="008B5FA5" w:rsidRDefault="000D2B5A" w:rsidP="008D3348">
            <w:pPr>
              <w:jc w:val="center"/>
            </w:pPr>
            <w:r w:rsidRPr="008B5FA5">
              <w:t>1 year</w:t>
            </w:r>
          </w:p>
        </w:tc>
        <w:tc>
          <w:tcPr>
            <w:tcW w:w="1284" w:type="dxa"/>
          </w:tcPr>
          <w:p w:rsidR="000D2B5A" w:rsidRPr="008B5FA5" w:rsidRDefault="000D2B5A" w:rsidP="008D3348">
            <w:pPr>
              <w:jc w:val="center"/>
            </w:pPr>
            <w:r w:rsidRPr="008B5FA5">
              <w:t>3 years</w:t>
            </w:r>
          </w:p>
        </w:tc>
        <w:tc>
          <w:tcPr>
            <w:tcW w:w="1245" w:type="dxa"/>
          </w:tcPr>
          <w:p w:rsidR="000D2B5A" w:rsidRPr="008B5FA5" w:rsidRDefault="000D2B5A" w:rsidP="008D3348">
            <w:pPr>
              <w:jc w:val="center"/>
            </w:pPr>
            <w:r w:rsidRPr="008B5FA5">
              <w:t>5 years</w:t>
            </w:r>
          </w:p>
        </w:tc>
      </w:tr>
      <w:tr w:rsidR="00281C68" w:rsidRPr="008B5FA5" w:rsidTr="008D3348">
        <w:tc>
          <w:tcPr>
            <w:tcW w:w="1104" w:type="dxa"/>
          </w:tcPr>
          <w:p w:rsidR="00281C68" w:rsidRPr="008B5FA5" w:rsidRDefault="0028476A" w:rsidP="0028476A">
            <w:pPr>
              <w:jc w:val="center"/>
            </w:pPr>
            <w:r>
              <w:t>1.</w:t>
            </w:r>
          </w:p>
        </w:tc>
        <w:tc>
          <w:tcPr>
            <w:tcW w:w="4563" w:type="dxa"/>
            <w:shd w:val="clear" w:color="auto" w:fill="auto"/>
          </w:tcPr>
          <w:p w:rsidR="00281C68" w:rsidRPr="00AD4EF5" w:rsidRDefault="00281C68" w:rsidP="000D2B5A">
            <w:r w:rsidRPr="00AD4EF5">
              <w:rPr>
                <w:rFonts w:ascii="Calibri" w:hAnsi="Calibri" w:cs="Calibri"/>
                <w:color w:val="000000"/>
              </w:rPr>
              <w:t>Invesco India Large cap Fund</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40.09</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19.21</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17.36</w:t>
            </w:r>
          </w:p>
        </w:tc>
      </w:tr>
      <w:tr w:rsidR="00281C68" w:rsidRPr="008B5FA5" w:rsidTr="008D3348">
        <w:tc>
          <w:tcPr>
            <w:tcW w:w="1104" w:type="dxa"/>
          </w:tcPr>
          <w:p w:rsidR="00281C68" w:rsidRPr="008B5FA5" w:rsidRDefault="00281C68" w:rsidP="0028476A">
            <w:pPr>
              <w:jc w:val="center"/>
            </w:pPr>
          </w:p>
        </w:tc>
        <w:tc>
          <w:tcPr>
            <w:tcW w:w="4563" w:type="dxa"/>
            <w:shd w:val="clear" w:color="auto" w:fill="auto"/>
          </w:tcPr>
          <w:p w:rsidR="00281C68" w:rsidRPr="00AD4EF5" w:rsidRDefault="00281C68" w:rsidP="00281C68">
            <w:r w:rsidRPr="00AD4EF5">
              <w:rPr>
                <w:rFonts w:ascii="Calibri" w:hAnsi="Calibri" w:cs="Calibri"/>
                <w:color w:val="000000"/>
              </w:rPr>
              <w:t>Benchmark Nifty 50 TRI</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32.19</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17.38</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17.04</w:t>
            </w:r>
          </w:p>
        </w:tc>
      </w:tr>
      <w:tr w:rsidR="00281C68" w:rsidRPr="008B5FA5" w:rsidTr="008D3348">
        <w:tc>
          <w:tcPr>
            <w:tcW w:w="1104" w:type="dxa"/>
          </w:tcPr>
          <w:p w:rsidR="00281C68" w:rsidRDefault="0028476A" w:rsidP="0028476A">
            <w:pPr>
              <w:jc w:val="center"/>
            </w:pPr>
            <w:r>
              <w:t>2.</w:t>
            </w:r>
          </w:p>
        </w:tc>
        <w:tc>
          <w:tcPr>
            <w:tcW w:w="4563" w:type="dxa"/>
            <w:shd w:val="clear" w:color="auto" w:fill="auto"/>
          </w:tcPr>
          <w:p w:rsidR="00281C68" w:rsidRPr="00AD4EF5" w:rsidRDefault="00281C68" w:rsidP="000D2B5A">
            <w:r w:rsidRPr="00AD4EF5">
              <w:rPr>
                <w:rFonts w:ascii="Calibri" w:hAnsi="Calibri" w:cs="Calibri"/>
                <w:color w:val="000000"/>
              </w:rPr>
              <w:t>Nippon India Large Cap Fund</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41.49</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13.99</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14.76</w:t>
            </w:r>
          </w:p>
        </w:tc>
      </w:tr>
      <w:tr w:rsidR="00281C68" w:rsidRPr="008B5FA5" w:rsidTr="008D3348">
        <w:tc>
          <w:tcPr>
            <w:tcW w:w="1104" w:type="dxa"/>
          </w:tcPr>
          <w:p w:rsidR="00281C68" w:rsidRDefault="00281C68" w:rsidP="0028476A">
            <w:pPr>
              <w:jc w:val="center"/>
            </w:pPr>
          </w:p>
        </w:tc>
        <w:tc>
          <w:tcPr>
            <w:tcW w:w="4563" w:type="dxa"/>
            <w:shd w:val="clear" w:color="auto" w:fill="auto"/>
          </w:tcPr>
          <w:p w:rsidR="00281C68" w:rsidRPr="00AD4EF5" w:rsidRDefault="00281C68" w:rsidP="00281C68">
            <w:r w:rsidRPr="00AD4EF5">
              <w:rPr>
                <w:rFonts w:ascii="Calibri" w:hAnsi="Calibri" w:cs="Calibri"/>
                <w:color w:val="000000"/>
              </w:rPr>
              <w:t>Benchmark S&amp;P BSE 100 TRI</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33.95</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17.36</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16.84</w:t>
            </w:r>
          </w:p>
        </w:tc>
      </w:tr>
      <w:tr w:rsidR="00281C68" w:rsidRPr="008B5FA5" w:rsidTr="008D3348">
        <w:tc>
          <w:tcPr>
            <w:tcW w:w="1104" w:type="dxa"/>
          </w:tcPr>
          <w:p w:rsidR="00281C68" w:rsidRPr="008B5FA5" w:rsidRDefault="0028476A" w:rsidP="0028476A">
            <w:pPr>
              <w:jc w:val="center"/>
            </w:pPr>
            <w:r>
              <w:t>3.</w:t>
            </w:r>
          </w:p>
        </w:tc>
        <w:tc>
          <w:tcPr>
            <w:tcW w:w="4563" w:type="dxa"/>
            <w:shd w:val="clear" w:color="auto" w:fill="auto"/>
          </w:tcPr>
          <w:p w:rsidR="00281C68" w:rsidRPr="00AD4EF5" w:rsidRDefault="00281C68" w:rsidP="00281C68">
            <w:r w:rsidRPr="00AD4EF5">
              <w:rPr>
                <w:rFonts w:ascii="Calibri" w:hAnsi="Calibri" w:cs="Calibri"/>
                <w:color w:val="000000"/>
              </w:rPr>
              <w:t>Quant Focused Fund</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48.76</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19.31</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16.01</w:t>
            </w:r>
          </w:p>
        </w:tc>
      </w:tr>
      <w:tr w:rsidR="00281C68" w:rsidRPr="008B5FA5" w:rsidTr="008D3348">
        <w:tc>
          <w:tcPr>
            <w:tcW w:w="1104" w:type="dxa"/>
          </w:tcPr>
          <w:p w:rsidR="00281C68" w:rsidRPr="008B5FA5" w:rsidRDefault="00281C68" w:rsidP="0028476A">
            <w:pPr>
              <w:jc w:val="center"/>
            </w:pPr>
          </w:p>
        </w:tc>
        <w:tc>
          <w:tcPr>
            <w:tcW w:w="4563" w:type="dxa"/>
            <w:shd w:val="clear" w:color="auto" w:fill="auto"/>
            <w:vAlign w:val="center"/>
          </w:tcPr>
          <w:p w:rsidR="00281C68" w:rsidRPr="00AD4EF5" w:rsidRDefault="00281C68" w:rsidP="008D3348">
            <w:pPr>
              <w:rPr>
                <w:rFonts w:ascii="Calibri" w:hAnsi="Calibri" w:cs="Calibri"/>
                <w:color w:val="000000"/>
              </w:rPr>
            </w:pPr>
            <w:r w:rsidRPr="00AD4EF5">
              <w:rPr>
                <w:rFonts w:ascii="Calibri" w:hAnsi="Calibri" w:cs="Calibri"/>
                <w:color w:val="000000"/>
              </w:rPr>
              <w:t>Benchmark Nifty 100 TRI</w:t>
            </w:r>
          </w:p>
        </w:tc>
        <w:tc>
          <w:tcPr>
            <w:tcW w:w="1380"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33.15</w:t>
            </w:r>
          </w:p>
        </w:tc>
        <w:tc>
          <w:tcPr>
            <w:tcW w:w="1284"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17.22</w:t>
            </w:r>
          </w:p>
        </w:tc>
        <w:tc>
          <w:tcPr>
            <w:tcW w:w="1245" w:type="dxa"/>
            <w:vAlign w:val="center"/>
          </w:tcPr>
          <w:p w:rsidR="00281C68" w:rsidRPr="00AD4EF5" w:rsidRDefault="00281C68" w:rsidP="008D3348">
            <w:pPr>
              <w:jc w:val="right"/>
              <w:rPr>
                <w:rFonts w:ascii="Calibri" w:hAnsi="Calibri" w:cs="Calibri"/>
                <w:color w:val="000000"/>
              </w:rPr>
            </w:pPr>
            <w:r w:rsidRPr="00AD4EF5">
              <w:rPr>
                <w:rFonts w:ascii="Calibri" w:hAnsi="Calibri" w:cs="Calibri"/>
                <w:color w:val="000000"/>
              </w:rPr>
              <w:t>17.08</w:t>
            </w:r>
          </w:p>
        </w:tc>
      </w:tr>
      <w:tr w:rsidR="00281C68" w:rsidRPr="008B5FA5" w:rsidTr="008D3348">
        <w:tc>
          <w:tcPr>
            <w:tcW w:w="1104" w:type="dxa"/>
          </w:tcPr>
          <w:p w:rsidR="00281C68" w:rsidRDefault="00281C68" w:rsidP="0028476A">
            <w:pPr>
              <w:jc w:val="center"/>
            </w:pPr>
          </w:p>
        </w:tc>
        <w:tc>
          <w:tcPr>
            <w:tcW w:w="4563" w:type="dxa"/>
            <w:shd w:val="clear" w:color="auto" w:fill="auto"/>
          </w:tcPr>
          <w:p w:rsidR="00281C68" w:rsidRPr="00AD4EF5" w:rsidRDefault="00281C68" w:rsidP="00281C68">
            <w:pPr>
              <w:jc w:val="center"/>
              <w:rPr>
                <w:rFonts w:ascii="Calibri" w:hAnsi="Calibri" w:cs="Calibri"/>
                <w:color w:val="000000"/>
              </w:rPr>
            </w:pPr>
            <w:r w:rsidRPr="00AD4EF5">
              <w:rPr>
                <w:rFonts w:ascii="Calibri" w:hAnsi="Calibri" w:cs="Calibri"/>
                <w:color w:val="000000"/>
              </w:rPr>
              <w:t>Mid-cap mutual fund</w:t>
            </w:r>
          </w:p>
        </w:tc>
        <w:tc>
          <w:tcPr>
            <w:tcW w:w="1380" w:type="dxa"/>
          </w:tcPr>
          <w:p w:rsidR="00281C68" w:rsidRPr="00AD4EF5" w:rsidRDefault="00281C68" w:rsidP="008D3348">
            <w:pPr>
              <w:jc w:val="center"/>
            </w:pPr>
          </w:p>
        </w:tc>
        <w:tc>
          <w:tcPr>
            <w:tcW w:w="1284" w:type="dxa"/>
          </w:tcPr>
          <w:p w:rsidR="00281C68" w:rsidRPr="00AD4EF5" w:rsidRDefault="00281C68" w:rsidP="008D3348">
            <w:pPr>
              <w:jc w:val="center"/>
            </w:pPr>
          </w:p>
        </w:tc>
        <w:tc>
          <w:tcPr>
            <w:tcW w:w="1245" w:type="dxa"/>
          </w:tcPr>
          <w:p w:rsidR="00281C68" w:rsidRPr="00AD4EF5" w:rsidRDefault="00281C68" w:rsidP="008D3348">
            <w:pPr>
              <w:jc w:val="center"/>
            </w:pPr>
          </w:p>
        </w:tc>
      </w:tr>
      <w:tr w:rsidR="00281C68" w:rsidRPr="008B5FA5" w:rsidTr="008D3348">
        <w:tc>
          <w:tcPr>
            <w:tcW w:w="1104" w:type="dxa"/>
          </w:tcPr>
          <w:p w:rsidR="00281C68" w:rsidRPr="008B5FA5" w:rsidRDefault="0028476A" w:rsidP="0028476A">
            <w:pPr>
              <w:jc w:val="center"/>
            </w:pPr>
            <w:r>
              <w:t>4.</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PGIM India Mid-cap Opportunities Fund</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68.88</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36.20</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23.62</w:t>
            </w:r>
          </w:p>
        </w:tc>
      </w:tr>
      <w:tr w:rsidR="00281C68" w:rsidRPr="008B5FA5" w:rsidTr="008D3348">
        <w:tc>
          <w:tcPr>
            <w:tcW w:w="1104" w:type="dxa"/>
          </w:tcPr>
          <w:p w:rsidR="00281C68" w:rsidRPr="008B5FA5" w:rsidRDefault="00281C68" w:rsidP="0028476A">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Benchmark Nifty mid-cap 100 TRI</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51.90</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20.36</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15.95</w:t>
            </w:r>
          </w:p>
        </w:tc>
      </w:tr>
      <w:tr w:rsidR="00281C68" w:rsidRPr="008B5FA5" w:rsidTr="008D3348">
        <w:tc>
          <w:tcPr>
            <w:tcW w:w="1104" w:type="dxa"/>
          </w:tcPr>
          <w:p w:rsidR="00281C68" w:rsidRPr="008B5FA5" w:rsidRDefault="0028476A" w:rsidP="0028476A">
            <w:pPr>
              <w:jc w:val="center"/>
            </w:pPr>
            <w:r>
              <w:t>5.</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Quant Mid-cap Fund</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66.21</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27.09</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21.18</w:t>
            </w:r>
          </w:p>
        </w:tc>
      </w:tr>
      <w:tr w:rsidR="00281C68" w:rsidRPr="008B5FA5" w:rsidTr="008D3348">
        <w:tc>
          <w:tcPr>
            <w:tcW w:w="1104" w:type="dxa"/>
          </w:tcPr>
          <w:p w:rsidR="00281C68" w:rsidRPr="008B5FA5" w:rsidRDefault="00281C68" w:rsidP="0028476A">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Benchmark mid-cap 150 TRI</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51.95</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23.03</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19.15</w:t>
            </w:r>
          </w:p>
        </w:tc>
      </w:tr>
      <w:tr w:rsidR="00281C68" w:rsidRPr="008B5FA5" w:rsidTr="008D3348">
        <w:tc>
          <w:tcPr>
            <w:tcW w:w="1104" w:type="dxa"/>
          </w:tcPr>
          <w:p w:rsidR="00281C68" w:rsidRPr="008B5FA5" w:rsidRDefault="0028476A" w:rsidP="0028476A">
            <w:pPr>
              <w:jc w:val="center"/>
            </w:pPr>
            <w:r>
              <w:t>6.</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SBI Magnum Mid-cap Fund</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60.87</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26.72</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16.62</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color w:val="000000"/>
              </w:rPr>
              <w:t>Benchmark mid-cap 150 TRI</w:t>
            </w:r>
          </w:p>
        </w:tc>
        <w:tc>
          <w:tcPr>
            <w:tcW w:w="1380"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51.95</w:t>
            </w:r>
          </w:p>
        </w:tc>
        <w:tc>
          <w:tcPr>
            <w:tcW w:w="1284"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23.03</w:t>
            </w:r>
          </w:p>
        </w:tc>
        <w:tc>
          <w:tcPr>
            <w:tcW w:w="1245" w:type="dxa"/>
            <w:vAlign w:val="bottom"/>
          </w:tcPr>
          <w:p w:rsidR="00281C68" w:rsidRPr="00AD4EF5" w:rsidRDefault="00281C68" w:rsidP="008D3348">
            <w:pPr>
              <w:jc w:val="right"/>
              <w:rPr>
                <w:rFonts w:ascii="Calibri" w:hAnsi="Calibri" w:cs="Calibri"/>
                <w:color w:val="000000"/>
              </w:rPr>
            </w:pPr>
            <w:r w:rsidRPr="00AD4EF5">
              <w:rPr>
                <w:rFonts w:ascii="Calibri" w:hAnsi="Calibri" w:cs="Calibri"/>
                <w:color w:val="000000"/>
              </w:rPr>
              <w:t>19.15</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281C68" w:rsidP="00281C68">
            <w:pPr>
              <w:jc w:val="center"/>
              <w:rPr>
                <w:rFonts w:ascii="Calibri" w:hAnsi="Calibri" w:cs="Calibri"/>
                <w:color w:val="000000"/>
              </w:rPr>
            </w:pPr>
            <w:r w:rsidRPr="00AD4EF5">
              <w:rPr>
                <w:rFonts w:ascii="Calibri" w:hAnsi="Calibri" w:cs="Calibri"/>
                <w:color w:val="000000"/>
              </w:rPr>
              <w:t>Small-cap mutual fund</w:t>
            </w:r>
          </w:p>
        </w:tc>
        <w:tc>
          <w:tcPr>
            <w:tcW w:w="1380" w:type="dxa"/>
          </w:tcPr>
          <w:p w:rsidR="00281C68" w:rsidRPr="00AD4EF5" w:rsidRDefault="00281C68" w:rsidP="008D3348">
            <w:pPr>
              <w:jc w:val="center"/>
            </w:pPr>
          </w:p>
        </w:tc>
        <w:tc>
          <w:tcPr>
            <w:tcW w:w="1284" w:type="dxa"/>
          </w:tcPr>
          <w:p w:rsidR="00281C68" w:rsidRPr="00AD4EF5" w:rsidRDefault="00281C68" w:rsidP="008D3348">
            <w:pPr>
              <w:jc w:val="center"/>
            </w:pPr>
          </w:p>
        </w:tc>
        <w:tc>
          <w:tcPr>
            <w:tcW w:w="1245" w:type="dxa"/>
          </w:tcPr>
          <w:p w:rsidR="00281C68" w:rsidRPr="00AD4EF5" w:rsidRDefault="00281C68" w:rsidP="008D3348">
            <w:pPr>
              <w:jc w:val="center"/>
            </w:pPr>
          </w:p>
        </w:tc>
      </w:tr>
      <w:tr w:rsidR="00281C68" w:rsidRPr="008B5FA5" w:rsidTr="008D3348">
        <w:tc>
          <w:tcPr>
            <w:tcW w:w="1104" w:type="dxa"/>
          </w:tcPr>
          <w:p w:rsidR="00281C68" w:rsidRPr="008B5FA5" w:rsidRDefault="0028476A" w:rsidP="0028476A">
            <w:pPr>
              <w:jc w:val="center"/>
            </w:pPr>
            <w:r>
              <w:t>7.</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Kotak Small Cap Fund</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77.49</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34.24</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22.12</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Benchmark Nifty Small cap 100 TRI</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62.98</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20.90</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13.90</w:t>
            </w:r>
          </w:p>
        </w:tc>
      </w:tr>
      <w:tr w:rsidR="00281C68" w:rsidRPr="008B5FA5" w:rsidTr="008D3348">
        <w:tc>
          <w:tcPr>
            <w:tcW w:w="1104" w:type="dxa"/>
          </w:tcPr>
          <w:p w:rsidR="00281C68" w:rsidRPr="008B5FA5" w:rsidRDefault="0028476A" w:rsidP="008D3348">
            <w:pPr>
              <w:jc w:val="center"/>
            </w:pPr>
            <w:r>
              <w:t>8.</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L&amp;T Emerging Businesses Fund</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77.67</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22.96</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20.93</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Benchmark S&amp;P BSE Small cap TRI</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66.21</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25.83</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18.81</w:t>
            </w:r>
          </w:p>
        </w:tc>
      </w:tr>
      <w:tr w:rsidR="00281C68" w:rsidRPr="008B5FA5" w:rsidTr="008D3348">
        <w:tc>
          <w:tcPr>
            <w:tcW w:w="1104" w:type="dxa"/>
          </w:tcPr>
          <w:p w:rsidR="00281C68" w:rsidRPr="008B5FA5" w:rsidRDefault="0028476A" w:rsidP="008D3348">
            <w:pPr>
              <w:jc w:val="center"/>
            </w:pPr>
            <w:r>
              <w:t>9.</w:t>
            </w: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Quant Small Cap Fund</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94.16</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34.96</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20.94</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281C68" w:rsidP="008D3348">
            <w:pPr>
              <w:rPr>
                <w:rFonts w:ascii="Calibri" w:hAnsi="Calibri" w:cs="Calibri"/>
                <w:color w:val="000000"/>
              </w:rPr>
            </w:pPr>
            <w:r w:rsidRPr="00AD4EF5">
              <w:rPr>
                <w:rFonts w:ascii="Calibri" w:hAnsi="Calibri" w:cs="Calibri"/>
              </w:rPr>
              <w:t>Benchmark Nifty small cap 250 TRI</w:t>
            </w:r>
          </w:p>
        </w:tc>
        <w:tc>
          <w:tcPr>
            <w:tcW w:w="1380" w:type="dxa"/>
            <w:vAlign w:val="bottom"/>
          </w:tcPr>
          <w:p w:rsidR="00281C68" w:rsidRPr="00AD4EF5" w:rsidRDefault="00281C68" w:rsidP="008D3348">
            <w:pPr>
              <w:jc w:val="right"/>
              <w:rPr>
                <w:rFonts w:ascii="Calibri" w:hAnsi="Calibri" w:cs="Calibri"/>
              </w:rPr>
            </w:pPr>
            <w:r w:rsidRPr="00AD4EF5">
              <w:rPr>
                <w:rFonts w:ascii="Calibri" w:hAnsi="Calibri" w:cs="Calibri"/>
              </w:rPr>
              <w:t>68.03</w:t>
            </w:r>
          </w:p>
        </w:tc>
        <w:tc>
          <w:tcPr>
            <w:tcW w:w="1284" w:type="dxa"/>
            <w:vAlign w:val="bottom"/>
          </w:tcPr>
          <w:p w:rsidR="00281C68" w:rsidRPr="00AD4EF5" w:rsidRDefault="00281C68" w:rsidP="008D3348">
            <w:pPr>
              <w:jc w:val="right"/>
              <w:rPr>
                <w:rFonts w:ascii="Calibri" w:hAnsi="Calibri" w:cs="Calibri"/>
              </w:rPr>
            </w:pPr>
            <w:r w:rsidRPr="00AD4EF5">
              <w:rPr>
                <w:rFonts w:ascii="Calibri" w:hAnsi="Calibri" w:cs="Calibri"/>
              </w:rPr>
              <w:t>23.37</w:t>
            </w:r>
          </w:p>
        </w:tc>
        <w:tc>
          <w:tcPr>
            <w:tcW w:w="1245" w:type="dxa"/>
            <w:vAlign w:val="bottom"/>
          </w:tcPr>
          <w:p w:rsidR="00281C68" w:rsidRPr="00AD4EF5" w:rsidRDefault="00281C68" w:rsidP="008D3348">
            <w:pPr>
              <w:jc w:val="right"/>
              <w:rPr>
                <w:rFonts w:ascii="Calibri" w:hAnsi="Calibri" w:cs="Calibri"/>
              </w:rPr>
            </w:pPr>
            <w:r w:rsidRPr="00AD4EF5">
              <w:rPr>
                <w:rFonts w:ascii="Calibri" w:hAnsi="Calibri" w:cs="Calibri"/>
              </w:rPr>
              <w:t>15.72</w:t>
            </w:r>
          </w:p>
        </w:tc>
      </w:tr>
      <w:tr w:rsidR="00281C68" w:rsidRPr="008B5FA5" w:rsidTr="008D3348">
        <w:tc>
          <w:tcPr>
            <w:tcW w:w="1104" w:type="dxa"/>
          </w:tcPr>
          <w:p w:rsidR="00281C68" w:rsidRPr="008B5FA5" w:rsidRDefault="00281C68" w:rsidP="008D3348">
            <w:pPr>
              <w:jc w:val="center"/>
            </w:pPr>
          </w:p>
        </w:tc>
        <w:tc>
          <w:tcPr>
            <w:tcW w:w="4563" w:type="dxa"/>
            <w:shd w:val="clear" w:color="auto" w:fill="auto"/>
          </w:tcPr>
          <w:p w:rsidR="00281C68" w:rsidRPr="00AD4EF5" w:rsidRDefault="001812F3" w:rsidP="001812F3">
            <w:pPr>
              <w:jc w:val="center"/>
              <w:rPr>
                <w:rFonts w:ascii="Calibri" w:hAnsi="Calibri" w:cs="Calibri"/>
                <w:color w:val="000000"/>
              </w:rPr>
            </w:pPr>
            <w:r w:rsidRPr="00AD4EF5">
              <w:rPr>
                <w:rFonts w:ascii="Calibri" w:hAnsi="Calibri" w:cs="Calibri"/>
                <w:color w:val="000000"/>
              </w:rPr>
              <w:t>Large and Mid-cap mutual fund</w:t>
            </w:r>
          </w:p>
        </w:tc>
        <w:tc>
          <w:tcPr>
            <w:tcW w:w="1380" w:type="dxa"/>
          </w:tcPr>
          <w:p w:rsidR="00281C68" w:rsidRPr="00AD4EF5" w:rsidRDefault="00281C68" w:rsidP="008D3348">
            <w:pPr>
              <w:jc w:val="center"/>
            </w:pPr>
          </w:p>
        </w:tc>
        <w:tc>
          <w:tcPr>
            <w:tcW w:w="1284" w:type="dxa"/>
          </w:tcPr>
          <w:p w:rsidR="00281C68" w:rsidRPr="00AD4EF5" w:rsidRDefault="00281C68" w:rsidP="008D3348">
            <w:pPr>
              <w:jc w:val="center"/>
            </w:pPr>
          </w:p>
        </w:tc>
        <w:tc>
          <w:tcPr>
            <w:tcW w:w="1245" w:type="dxa"/>
          </w:tcPr>
          <w:p w:rsidR="00281C68" w:rsidRPr="00AD4EF5" w:rsidRDefault="00281C68" w:rsidP="008D3348">
            <w:pPr>
              <w:jc w:val="center"/>
            </w:pPr>
          </w:p>
        </w:tc>
      </w:tr>
      <w:tr w:rsidR="007C7B52" w:rsidRPr="008B5FA5" w:rsidTr="008D3348">
        <w:tc>
          <w:tcPr>
            <w:tcW w:w="1104" w:type="dxa"/>
          </w:tcPr>
          <w:p w:rsidR="007C7B52" w:rsidRPr="008B5FA5" w:rsidRDefault="0028476A" w:rsidP="008D3348">
            <w:pPr>
              <w:jc w:val="center"/>
            </w:pPr>
            <w:r>
              <w:t>10</w:t>
            </w:r>
            <w:r w:rsidR="007C7B52">
              <w:t>.</w:t>
            </w:r>
          </w:p>
        </w:tc>
        <w:tc>
          <w:tcPr>
            <w:tcW w:w="4563" w:type="dxa"/>
            <w:shd w:val="clear" w:color="auto" w:fill="auto"/>
          </w:tcPr>
          <w:p w:rsidR="007C7B52" w:rsidRPr="00AD4EF5" w:rsidRDefault="007C7B52" w:rsidP="008D3348">
            <w:pPr>
              <w:rPr>
                <w:rFonts w:ascii="Calibri" w:hAnsi="Calibri" w:cs="Calibri"/>
                <w:color w:val="000000"/>
              </w:rPr>
            </w:pPr>
            <w:r w:rsidRPr="00AD4EF5">
              <w:rPr>
                <w:rFonts w:ascii="Calibri" w:eastAsia="Times New Roman" w:hAnsi="Calibri" w:cs="Calibri"/>
                <w:color w:val="000000"/>
              </w:rPr>
              <w:t>HDFC Large and Mid-Cap Fund</w:t>
            </w:r>
          </w:p>
        </w:tc>
        <w:tc>
          <w:tcPr>
            <w:tcW w:w="1380"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51.85</w:t>
            </w:r>
          </w:p>
        </w:tc>
        <w:tc>
          <w:tcPr>
            <w:tcW w:w="1284"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20.14</w:t>
            </w:r>
          </w:p>
        </w:tc>
        <w:tc>
          <w:tcPr>
            <w:tcW w:w="1245"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16.17</w:t>
            </w:r>
          </w:p>
        </w:tc>
      </w:tr>
      <w:tr w:rsidR="007C7B52" w:rsidRPr="008B5FA5" w:rsidTr="008D3348">
        <w:tc>
          <w:tcPr>
            <w:tcW w:w="1104" w:type="dxa"/>
          </w:tcPr>
          <w:p w:rsidR="007C7B52" w:rsidRPr="008B5FA5" w:rsidRDefault="007C7B52" w:rsidP="008D3348">
            <w:pPr>
              <w:jc w:val="center"/>
            </w:pPr>
          </w:p>
        </w:tc>
        <w:tc>
          <w:tcPr>
            <w:tcW w:w="4563" w:type="dxa"/>
            <w:shd w:val="clear" w:color="auto" w:fill="auto"/>
          </w:tcPr>
          <w:p w:rsidR="007C7B52" w:rsidRPr="00AD4EF5" w:rsidRDefault="007C7B52" w:rsidP="008D3348">
            <w:pPr>
              <w:rPr>
                <w:rFonts w:ascii="Calibri" w:hAnsi="Calibri" w:cs="Calibri"/>
                <w:color w:val="000000"/>
              </w:rPr>
            </w:pPr>
            <w:r w:rsidRPr="00AD4EF5">
              <w:rPr>
                <w:rFonts w:ascii="Calibri" w:eastAsia="Times New Roman" w:hAnsi="Calibri" w:cs="Calibri"/>
                <w:color w:val="000000"/>
              </w:rPr>
              <w:t>Benchmark Nifty large &amp;Mid-cap 250 TRI</w:t>
            </w:r>
          </w:p>
        </w:tc>
        <w:tc>
          <w:tcPr>
            <w:tcW w:w="1380"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42.16</w:t>
            </w:r>
          </w:p>
        </w:tc>
        <w:tc>
          <w:tcPr>
            <w:tcW w:w="1284"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20.16</w:t>
            </w:r>
          </w:p>
        </w:tc>
        <w:tc>
          <w:tcPr>
            <w:tcW w:w="1245"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18.06</w:t>
            </w:r>
          </w:p>
        </w:tc>
      </w:tr>
      <w:tr w:rsidR="007C7B52" w:rsidRPr="008B5FA5" w:rsidTr="008D3348">
        <w:tc>
          <w:tcPr>
            <w:tcW w:w="1104" w:type="dxa"/>
          </w:tcPr>
          <w:p w:rsidR="007C7B52" w:rsidRPr="008B5FA5" w:rsidRDefault="0028476A" w:rsidP="008D3348">
            <w:pPr>
              <w:jc w:val="center"/>
            </w:pPr>
            <w:r>
              <w:t>11</w:t>
            </w:r>
            <w:r w:rsidR="007C7B52">
              <w:t>.</w:t>
            </w:r>
          </w:p>
        </w:tc>
        <w:tc>
          <w:tcPr>
            <w:tcW w:w="4563" w:type="dxa"/>
            <w:shd w:val="clear" w:color="auto" w:fill="auto"/>
          </w:tcPr>
          <w:p w:rsidR="007C7B52" w:rsidRPr="00AD4EF5" w:rsidRDefault="007C7B52" w:rsidP="008D3348">
            <w:pPr>
              <w:rPr>
                <w:rFonts w:ascii="Calibri" w:hAnsi="Calibri" w:cs="Calibri"/>
                <w:color w:val="000000"/>
              </w:rPr>
            </w:pPr>
            <w:r w:rsidRPr="00AD4EF5">
              <w:rPr>
                <w:rFonts w:ascii="Calibri" w:eastAsia="Times New Roman" w:hAnsi="Calibri" w:cs="Calibri"/>
                <w:color w:val="000000"/>
              </w:rPr>
              <w:t>ICICI Prudential Large &amp;Mid-cap fund</w:t>
            </w:r>
          </w:p>
        </w:tc>
        <w:tc>
          <w:tcPr>
            <w:tcW w:w="1380"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49.71</w:t>
            </w:r>
          </w:p>
        </w:tc>
        <w:tc>
          <w:tcPr>
            <w:tcW w:w="1284"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18.90</w:t>
            </w:r>
          </w:p>
        </w:tc>
        <w:tc>
          <w:tcPr>
            <w:tcW w:w="1245" w:type="dxa"/>
            <w:vAlign w:val="bottom"/>
          </w:tcPr>
          <w:p w:rsidR="007C7B52" w:rsidRPr="00AD4EF5" w:rsidRDefault="007C7B52" w:rsidP="008D3348">
            <w:pPr>
              <w:jc w:val="right"/>
              <w:rPr>
                <w:rFonts w:ascii="Calibri" w:eastAsia="Times New Roman" w:hAnsi="Calibri" w:cs="Calibri"/>
                <w:color w:val="000000"/>
              </w:rPr>
            </w:pPr>
            <w:r w:rsidRPr="00AD4EF5">
              <w:rPr>
                <w:rFonts w:ascii="Calibri" w:eastAsia="Times New Roman" w:hAnsi="Calibri" w:cs="Calibri"/>
                <w:color w:val="000000"/>
              </w:rPr>
              <w:t>14.62</w:t>
            </w:r>
          </w:p>
        </w:tc>
      </w:tr>
      <w:tr w:rsidR="007C7B52" w:rsidRPr="008B5FA5" w:rsidTr="008D3348">
        <w:tc>
          <w:tcPr>
            <w:tcW w:w="1104" w:type="dxa"/>
          </w:tcPr>
          <w:p w:rsidR="007C7B52" w:rsidRPr="008B5FA5" w:rsidRDefault="007C7B52" w:rsidP="008D3348">
            <w:pPr>
              <w:jc w:val="center"/>
            </w:pPr>
          </w:p>
        </w:tc>
        <w:tc>
          <w:tcPr>
            <w:tcW w:w="4563" w:type="dxa"/>
            <w:shd w:val="clear" w:color="auto" w:fill="auto"/>
          </w:tcPr>
          <w:p w:rsidR="007C7B52" w:rsidRPr="00281C68" w:rsidRDefault="007C7B52" w:rsidP="008D3348">
            <w:pPr>
              <w:rPr>
                <w:rFonts w:ascii="Calibri" w:hAnsi="Calibri" w:cs="Calibri"/>
                <w:color w:val="000000"/>
              </w:rPr>
            </w:pPr>
            <w:r w:rsidRPr="002D2712">
              <w:rPr>
                <w:rFonts w:ascii="Calibri" w:eastAsia="Times New Roman" w:hAnsi="Calibri" w:cs="Calibri"/>
                <w:color w:val="000000"/>
              </w:rPr>
              <w:t>Benchmark Nifty large &amp;Mid-cap 250 TRI</w:t>
            </w:r>
          </w:p>
        </w:tc>
        <w:tc>
          <w:tcPr>
            <w:tcW w:w="1380"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42.16</w:t>
            </w:r>
          </w:p>
        </w:tc>
        <w:tc>
          <w:tcPr>
            <w:tcW w:w="1284"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20.16</w:t>
            </w:r>
          </w:p>
        </w:tc>
        <w:tc>
          <w:tcPr>
            <w:tcW w:w="1245"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18.06</w:t>
            </w:r>
          </w:p>
        </w:tc>
      </w:tr>
      <w:tr w:rsidR="007C7B52" w:rsidRPr="008B5FA5" w:rsidTr="008D3348">
        <w:tc>
          <w:tcPr>
            <w:tcW w:w="1104" w:type="dxa"/>
          </w:tcPr>
          <w:p w:rsidR="007C7B52" w:rsidRPr="008B5FA5" w:rsidRDefault="0028476A" w:rsidP="008D3348">
            <w:pPr>
              <w:jc w:val="center"/>
            </w:pPr>
            <w:r>
              <w:t>12</w:t>
            </w:r>
            <w:r w:rsidR="007C7B52">
              <w:t>.</w:t>
            </w:r>
          </w:p>
        </w:tc>
        <w:tc>
          <w:tcPr>
            <w:tcW w:w="4563" w:type="dxa"/>
            <w:shd w:val="clear" w:color="auto" w:fill="auto"/>
          </w:tcPr>
          <w:p w:rsidR="007C7B52" w:rsidRPr="00281C68" w:rsidRDefault="007C7B52" w:rsidP="008D3348">
            <w:pPr>
              <w:rPr>
                <w:rFonts w:ascii="Calibri" w:hAnsi="Calibri" w:cs="Calibri"/>
                <w:color w:val="000000"/>
              </w:rPr>
            </w:pPr>
            <w:r w:rsidRPr="002D2712">
              <w:rPr>
                <w:rFonts w:ascii="Calibri" w:eastAsia="Times New Roman" w:hAnsi="Calibri" w:cs="Calibri"/>
                <w:color w:val="000000"/>
              </w:rPr>
              <w:t>Quant Large and Mid-Cap Fund</w:t>
            </w:r>
          </w:p>
        </w:tc>
        <w:tc>
          <w:tcPr>
            <w:tcW w:w="1380"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50.88</w:t>
            </w:r>
          </w:p>
        </w:tc>
        <w:tc>
          <w:tcPr>
            <w:tcW w:w="1284"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21.69</w:t>
            </w:r>
          </w:p>
        </w:tc>
        <w:tc>
          <w:tcPr>
            <w:tcW w:w="1245"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16.57</w:t>
            </w:r>
          </w:p>
        </w:tc>
      </w:tr>
      <w:tr w:rsidR="007C7B52" w:rsidRPr="008B5FA5" w:rsidTr="008D3348">
        <w:tc>
          <w:tcPr>
            <w:tcW w:w="1104" w:type="dxa"/>
          </w:tcPr>
          <w:p w:rsidR="007C7B52" w:rsidRDefault="007C7B52" w:rsidP="008D3348">
            <w:pPr>
              <w:jc w:val="center"/>
            </w:pPr>
          </w:p>
        </w:tc>
        <w:tc>
          <w:tcPr>
            <w:tcW w:w="4563" w:type="dxa"/>
            <w:shd w:val="clear" w:color="auto" w:fill="auto"/>
          </w:tcPr>
          <w:p w:rsidR="007C7B52" w:rsidRPr="00281C68" w:rsidRDefault="007C7B52" w:rsidP="008D3348">
            <w:pPr>
              <w:rPr>
                <w:rFonts w:ascii="Calibri" w:hAnsi="Calibri" w:cs="Calibri"/>
                <w:color w:val="000000"/>
              </w:rPr>
            </w:pPr>
            <w:r w:rsidRPr="002D2712">
              <w:rPr>
                <w:rFonts w:ascii="Calibri" w:eastAsia="Times New Roman" w:hAnsi="Calibri" w:cs="Calibri"/>
                <w:color w:val="000000"/>
              </w:rPr>
              <w:t>Benchmark Nifty large &amp;Mid-cap 250 TRI</w:t>
            </w:r>
          </w:p>
        </w:tc>
        <w:tc>
          <w:tcPr>
            <w:tcW w:w="1380"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42.16</w:t>
            </w:r>
          </w:p>
        </w:tc>
        <w:tc>
          <w:tcPr>
            <w:tcW w:w="1284"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20.16</w:t>
            </w:r>
          </w:p>
        </w:tc>
        <w:tc>
          <w:tcPr>
            <w:tcW w:w="1245" w:type="dxa"/>
            <w:vAlign w:val="bottom"/>
          </w:tcPr>
          <w:p w:rsidR="007C7B52" w:rsidRPr="002D2712" w:rsidRDefault="007C7B52" w:rsidP="008D3348">
            <w:pPr>
              <w:jc w:val="right"/>
              <w:rPr>
                <w:rFonts w:ascii="Calibri" w:eastAsia="Times New Roman" w:hAnsi="Calibri" w:cs="Calibri"/>
                <w:color w:val="000000"/>
              </w:rPr>
            </w:pPr>
            <w:r w:rsidRPr="002D2712">
              <w:rPr>
                <w:rFonts w:ascii="Calibri" w:eastAsia="Times New Roman" w:hAnsi="Calibri" w:cs="Calibri"/>
                <w:color w:val="000000"/>
              </w:rPr>
              <w:t>18.06</w:t>
            </w:r>
          </w:p>
        </w:tc>
      </w:tr>
      <w:tr w:rsidR="001812F3" w:rsidRPr="008B5FA5" w:rsidTr="008D3348">
        <w:tc>
          <w:tcPr>
            <w:tcW w:w="1104" w:type="dxa"/>
          </w:tcPr>
          <w:p w:rsidR="001812F3" w:rsidRDefault="001812F3" w:rsidP="008D3348">
            <w:pPr>
              <w:jc w:val="center"/>
            </w:pPr>
          </w:p>
        </w:tc>
        <w:tc>
          <w:tcPr>
            <w:tcW w:w="4563" w:type="dxa"/>
            <w:shd w:val="clear" w:color="auto" w:fill="auto"/>
          </w:tcPr>
          <w:p w:rsidR="001812F3" w:rsidRPr="00281C68" w:rsidRDefault="007C7B52" w:rsidP="007C7B52">
            <w:pPr>
              <w:jc w:val="center"/>
              <w:rPr>
                <w:rFonts w:ascii="Calibri" w:hAnsi="Calibri" w:cs="Calibri"/>
                <w:color w:val="000000"/>
              </w:rPr>
            </w:pPr>
            <w:r>
              <w:rPr>
                <w:rFonts w:ascii="Calibri" w:hAnsi="Calibri" w:cs="Calibri"/>
                <w:color w:val="000000"/>
              </w:rPr>
              <w:t>Multi-cap mutual fund</w:t>
            </w:r>
          </w:p>
        </w:tc>
        <w:tc>
          <w:tcPr>
            <w:tcW w:w="1380" w:type="dxa"/>
          </w:tcPr>
          <w:p w:rsidR="001812F3" w:rsidRDefault="001812F3" w:rsidP="008D3348">
            <w:pPr>
              <w:jc w:val="center"/>
            </w:pPr>
          </w:p>
        </w:tc>
        <w:tc>
          <w:tcPr>
            <w:tcW w:w="1284" w:type="dxa"/>
          </w:tcPr>
          <w:p w:rsidR="001812F3" w:rsidRDefault="001812F3" w:rsidP="008D3348">
            <w:pPr>
              <w:jc w:val="center"/>
            </w:pPr>
          </w:p>
        </w:tc>
        <w:tc>
          <w:tcPr>
            <w:tcW w:w="1245" w:type="dxa"/>
          </w:tcPr>
          <w:p w:rsidR="001812F3" w:rsidRDefault="001812F3" w:rsidP="008D3348">
            <w:pPr>
              <w:jc w:val="center"/>
            </w:pPr>
          </w:p>
        </w:tc>
      </w:tr>
      <w:tr w:rsidR="007C7B52" w:rsidRPr="008B5FA5" w:rsidTr="008D3348">
        <w:tc>
          <w:tcPr>
            <w:tcW w:w="1104" w:type="dxa"/>
          </w:tcPr>
          <w:p w:rsidR="007C7B52" w:rsidRDefault="0028476A" w:rsidP="007C7B52">
            <w:pPr>
              <w:jc w:val="center"/>
            </w:pPr>
            <w:r>
              <w:t>13</w:t>
            </w:r>
            <w:r w:rsidR="007C7B52">
              <w:t>.</w:t>
            </w:r>
          </w:p>
        </w:tc>
        <w:tc>
          <w:tcPr>
            <w:tcW w:w="4563" w:type="dxa"/>
            <w:shd w:val="clear" w:color="auto" w:fill="auto"/>
            <w:vAlign w:val="bottom"/>
          </w:tcPr>
          <w:p w:rsidR="007C7B52" w:rsidRPr="008D3348" w:rsidRDefault="007C7B52" w:rsidP="008D3348">
            <w:pPr>
              <w:rPr>
                <w:rFonts w:ascii="Calibri" w:hAnsi="Calibri" w:cs="Calibri"/>
                <w:color w:val="000000"/>
              </w:rPr>
            </w:pPr>
            <w:r w:rsidRPr="008D3348">
              <w:rPr>
                <w:rFonts w:ascii="Calibri" w:hAnsi="Calibri" w:cs="Calibri"/>
                <w:color w:val="000000"/>
              </w:rPr>
              <w:t>Baroda Multi Cap Fund</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55.32</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22.62</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16.37</w:t>
            </w:r>
          </w:p>
        </w:tc>
      </w:tr>
      <w:tr w:rsidR="007C7B52" w:rsidRPr="008B5FA5" w:rsidTr="008D3348">
        <w:tc>
          <w:tcPr>
            <w:tcW w:w="1104" w:type="dxa"/>
          </w:tcPr>
          <w:p w:rsidR="007C7B52" w:rsidRDefault="007C7B52" w:rsidP="007C7B52">
            <w:pPr>
              <w:jc w:val="center"/>
            </w:pPr>
          </w:p>
        </w:tc>
        <w:tc>
          <w:tcPr>
            <w:tcW w:w="4563" w:type="dxa"/>
            <w:shd w:val="clear" w:color="auto" w:fill="auto"/>
            <w:vAlign w:val="bottom"/>
          </w:tcPr>
          <w:p w:rsidR="007C7B52" w:rsidRPr="002D2712" w:rsidRDefault="007C7B52" w:rsidP="007C7B52">
            <w:pPr>
              <w:rPr>
                <w:rFonts w:ascii="Calibri" w:hAnsi="Calibri" w:cs="Calibri"/>
                <w:color w:val="000000"/>
              </w:rPr>
            </w:pPr>
            <w:r w:rsidRPr="002D2712">
              <w:rPr>
                <w:rFonts w:ascii="Calibri" w:hAnsi="Calibri" w:cs="Calibri"/>
                <w:color w:val="000000"/>
              </w:rPr>
              <w:t>Benchmark Nifty 500 Multi cap</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45.94</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20.38</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17.30</w:t>
            </w:r>
          </w:p>
        </w:tc>
      </w:tr>
      <w:tr w:rsidR="007C7B52" w:rsidRPr="008B5FA5" w:rsidTr="008D3348">
        <w:tc>
          <w:tcPr>
            <w:tcW w:w="1104" w:type="dxa"/>
          </w:tcPr>
          <w:p w:rsidR="007C7B52" w:rsidRDefault="0028476A" w:rsidP="007C7B52">
            <w:pPr>
              <w:jc w:val="center"/>
            </w:pPr>
            <w:r>
              <w:t>14</w:t>
            </w:r>
            <w:r w:rsidR="007C7B52">
              <w:t>.</w:t>
            </w:r>
          </w:p>
        </w:tc>
        <w:tc>
          <w:tcPr>
            <w:tcW w:w="4563" w:type="dxa"/>
            <w:shd w:val="clear" w:color="auto" w:fill="auto"/>
            <w:vAlign w:val="bottom"/>
          </w:tcPr>
          <w:p w:rsidR="007C7B52" w:rsidRPr="008D3348" w:rsidRDefault="007C7B52" w:rsidP="008D3348">
            <w:pPr>
              <w:rPr>
                <w:rFonts w:ascii="Calibri" w:hAnsi="Calibri" w:cs="Calibri"/>
                <w:color w:val="000000"/>
              </w:rPr>
            </w:pPr>
            <w:r w:rsidRPr="008D3348">
              <w:rPr>
                <w:rFonts w:ascii="Calibri" w:hAnsi="Calibri" w:cs="Calibri"/>
                <w:color w:val="000000"/>
              </w:rPr>
              <w:t>Nippon India Multi Cap Fund</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56.77</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15.27</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14.97</w:t>
            </w:r>
          </w:p>
        </w:tc>
      </w:tr>
      <w:tr w:rsidR="007C7B52" w:rsidRPr="008B5FA5" w:rsidTr="008D3348">
        <w:tc>
          <w:tcPr>
            <w:tcW w:w="1104" w:type="dxa"/>
          </w:tcPr>
          <w:p w:rsidR="007C7B52" w:rsidRDefault="007C7B52" w:rsidP="007C7B52">
            <w:pPr>
              <w:jc w:val="center"/>
            </w:pPr>
          </w:p>
        </w:tc>
        <w:tc>
          <w:tcPr>
            <w:tcW w:w="4563" w:type="dxa"/>
            <w:shd w:val="clear" w:color="auto" w:fill="auto"/>
            <w:vAlign w:val="bottom"/>
          </w:tcPr>
          <w:p w:rsidR="007C7B52" w:rsidRPr="002D2712" w:rsidRDefault="007C7B52" w:rsidP="007C7B52">
            <w:pPr>
              <w:rPr>
                <w:rFonts w:ascii="Calibri" w:hAnsi="Calibri" w:cs="Calibri"/>
                <w:color w:val="000000"/>
              </w:rPr>
            </w:pPr>
            <w:r w:rsidRPr="002D2712">
              <w:rPr>
                <w:rFonts w:ascii="Calibri" w:hAnsi="Calibri" w:cs="Calibri"/>
                <w:color w:val="000000"/>
              </w:rPr>
              <w:t>Benchmark Nifty 500 Multi cap</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45.94</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20.38</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17.30</w:t>
            </w:r>
          </w:p>
        </w:tc>
      </w:tr>
      <w:tr w:rsidR="007C7B52" w:rsidRPr="008B5FA5" w:rsidTr="008D3348">
        <w:tc>
          <w:tcPr>
            <w:tcW w:w="1104" w:type="dxa"/>
          </w:tcPr>
          <w:p w:rsidR="007C7B52" w:rsidRDefault="007C7B52" w:rsidP="0028476A">
            <w:pPr>
              <w:jc w:val="center"/>
            </w:pPr>
            <w:r>
              <w:t>1</w:t>
            </w:r>
            <w:r w:rsidR="0028476A">
              <w:t>5</w:t>
            </w:r>
            <w:r>
              <w:t>.</w:t>
            </w:r>
          </w:p>
        </w:tc>
        <w:tc>
          <w:tcPr>
            <w:tcW w:w="4563" w:type="dxa"/>
            <w:shd w:val="clear" w:color="auto" w:fill="auto"/>
            <w:vAlign w:val="bottom"/>
          </w:tcPr>
          <w:p w:rsidR="007C7B52" w:rsidRPr="008D3348" w:rsidRDefault="007C7B52" w:rsidP="008D3348">
            <w:pPr>
              <w:rPr>
                <w:rFonts w:ascii="Calibri" w:hAnsi="Calibri" w:cs="Calibri"/>
                <w:color w:val="000000"/>
              </w:rPr>
            </w:pPr>
            <w:r w:rsidRPr="008D3348">
              <w:rPr>
                <w:rFonts w:ascii="Calibri" w:hAnsi="Calibri" w:cs="Calibri"/>
                <w:color w:val="000000"/>
              </w:rPr>
              <w:t>Quant Active Fund</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70.29</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31.81</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25.18</w:t>
            </w:r>
          </w:p>
        </w:tc>
      </w:tr>
      <w:tr w:rsidR="007C7B52" w:rsidRPr="008B5FA5" w:rsidTr="008D3348">
        <w:tc>
          <w:tcPr>
            <w:tcW w:w="1104" w:type="dxa"/>
          </w:tcPr>
          <w:p w:rsidR="007C7B52" w:rsidRDefault="007C7B52" w:rsidP="007C7B52">
            <w:pPr>
              <w:jc w:val="center"/>
            </w:pPr>
          </w:p>
        </w:tc>
        <w:tc>
          <w:tcPr>
            <w:tcW w:w="4563" w:type="dxa"/>
            <w:shd w:val="clear" w:color="auto" w:fill="auto"/>
            <w:vAlign w:val="bottom"/>
          </w:tcPr>
          <w:p w:rsidR="007C7B52" w:rsidRPr="002D2712" w:rsidRDefault="007C7B52" w:rsidP="007C7B52">
            <w:pPr>
              <w:rPr>
                <w:rFonts w:ascii="Calibri" w:hAnsi="Calibri" w:cs="Calibri"/>
                <w:color w:val="000000"/>
              </w:rPr>
            </w:pPr>
            <w:r w:rsidRPr="002D2712">
              <w:rPr>
                <w:rFonts w:ascii="Calibri" w:hAnsi="Calibri" w:cs="Calibri"/>
                <w:color w:val="000000"/>
              </w:rPr>
              <w:t>Benchmark Nifty 500 Multi cap</w:t>
            </w:r>
          </w:p>
        </w:tc>
        <w:tc>
          <w:tcPr>
            <w:tcW w:w="1380"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45.94</w:t>
            </w:r>
          </w:p>
        </w:tc>
        <w:tc>
          <w:tcPr>
            <w:tcW w:w="1284"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20.38</w:t>
            </w:r>
          </w:p>
        </w:tc>
        <w:tc>
          <w:tcPr>
            <w:tcW w:w="1245" w:type="dxa"/>
            <w:vAlign w:val="bottom"/>
          </w:tcPr>
          <w:p w:rsidR="007C7B52" w:rsidRPr="002D2712" w:rsidRDefault="007C7B52" w:rsidP="007C7B52">
            <w:pPr>
              <w:jc w:val="right"/>
              <w:rPr>
                <w:rFonts w:ascii="Calibri" w:hAnsi="Calibri" w:cs="Calibri"/>
                <w:color w:val="000000"/>
              </w:rPr>
            </w:pPr>
            <w:r w:rsidRPr="002D2712">
              <w:rPr>
                <w:rFonts w:ascii="Calibri" w:hAnsi="Calibri" w:cs="Calibri"/>
                <w:color w:val="000000"/>
              </w:rPr>
              <w:t>17.30</w:t>
            </w:r>
          </w:p>
        </w:tc>
      </w:tr>
      <w:tr w:rsidR="001812F3" w:rsidRPr="008B5FA5" w:rsidTr="008D3348">
        <w:tc>
          <w:tcPr>
            <w:tcW w:w="1104" w:type="dxa"/>
          </w:tcPr>
          <w:p w:rsidR="001812F3" w:rsidRDefault="001812F3" w:rsidP="008D3348">
            <w:pPr>
              <w:jc w:val="center"/>
            </w:pPr>
          </w:p>
        </w:tc>
        <w:tc>
          <w:tcPr>
            <w:tcW w:w="4563" w:type="dxa"/>
            <w:shd w:val="clear" w:color="auto" w:fill="auto"/>
          </w:tcPr>
          <w:p w:rsidR="001812F3" w:rsidRPr="00281C68" w:rsidRDefault="007C7B52" w:rsidP="008D3348">
            <w:pPr>
              <w:jc w:val="center"/>
              <w:rPr>
                <w:rFonts w:ascii="Calibri" w:hAnsi="Calibri" w:cs="Calibri"/>
                <w:color w:val="000000"/>
              </w:rPr>
            </w:pPr>
            <w:r>
              <w:rPr>
                <w:rFonts w:ascii="Calibri" w:hAnsi="Calibri" w:cs="Calibri"/>
                <w:color w:val="000000"/>
              </w:rPr>
              <w:t>Flexi –cap mutual fund</w:t>
            </w:r>
          </w:p>
        </w:tc>
        <w:tc>
          <w:tcPr>
            <w:tcW w:w="1380" w:type="dxa"/>
          </w:tcPr>
          <w:p w:rsidR="001812F3" w:rsidRDefault="001812F3" w:rsidP="008D3348">
            <w:pPr>
              <w:jc w:val="center"/>
            </w:pPr>
          </w:p>
        </w:tc>
        <w:tc>
          <w:tcPr>
            <w:tcW w:w="1284" w:type="dxa"/>
          </w:tcPr>
          <w:p w:rsidR="001812F3" w:rsidRDefault="001812F3" w:rsidP="008D3348">
            <w:pPr>
              <w:jc w:val="center"/>
            </w:pPr>
          </w:p>
        </w:tc>
        <w:tc>
          <w:tcPr>
            <w:tcW w:w="1245" w:type="dxa"/>
          </w:tcPr>
          <w:p w:rsidR="001812F3" w:rsidRDefault="001812F3" w:rsidP="008D3348">
            <w:pPr>
              <w:jc w:val="center"/>
            </w:pPr>
          </w:p>
        </w:tc>
      </w:tr>
      <w:tr w:rsidR="008D3348" w:rsidRPr="008B5FA5" w:rsidTr="008D3348">
        <w:tc>
          <w:tcPr>
            <w:tcW w:w="1104" w:type="dxa"/>
          </w:tcPr>
          <w:p w:rsidR="008D3348" w:rsidRDefault="0028476A" w:rsidP="008D3348">
            <w:pPr>
              <w:jc w:val="center"/>
            </w:pPr>
            <w:r>
              <w:t>16</w:t>
            </w:r>
            <w:r w:rsidR="008D3348">
              <w:t>.</w:t>
            </w:r>
          </w:p>
        </w:tc>
        <w:tc>
          <w:tcPr>
            <w:tcW w:w="4563" w:type="dxa"/>
            <w:shd w:val="clear" w:color="auto" w:fill="auto"/>
            <w:vAlign w:val="bottom"/>
          </w:tcPr>
          <w:p w:rsidR="008D3348" w:rsidRPr="00994929" w:rsidRDefault="008D3348" w:rsidP="008D3348">
            <w:pPr>
              <w:rPr>
                <w:rFonts w:ascii="Calibri" w:hAnsi="Calibri" w:cs="Calibri"/>
                <w:color w:val="000000" w:themeColor="text1"/>
              </w:rPr>
            </w:pPr>
            <w:r w:rsidRPr="00994929">
              <w:rPr>
                <w:rFonts w:ascii="Calibri" w:hAnsi="Calibri" w:cs="Calibri"/>
                <w:color w:val="000000" w:themeColor="text1"/>
              </w:rPr>
              <w:t>Parag Parikh Flexi Cap Fund</w:t>
            </w:r>
          </w:p>
        </w:tc>
        <w:tc>
          <w:tcPr>
            <w:tcW w:w="1380"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48.07</w:t>
            </w:r>
          </w:p>
        </w:tc>
        <w:tc>
          <w:tcPr>
            <w:tcW w:w="1284"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28.89</w:t>
            </w:r>
          </w:p>
        </w:tc>
        <w:tc>
          <w:tcPr>
            <w:tcW w:w="1245"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22.55</w:t>
            </w:r>
          </w:p>
        </w:tc>
      </w:tr>
      <w:tr w:rsidR="008D3348" w:rsidRPr="008B5FA5" w:rsidTr="008D3348">
        <w:tc>
          <w:tcPr>
            <w:tcW w:w="1104" w:type="dxa"/>
          </w:tcPr>
          <w:p w:rsidR="008D3348" w:rsidRDefault="008D3348" w:rsidP="008D3348">
            <w:pPr>
              <w:jc w:val="center"/>
            </w:pPr>
          </w:p>
        </w:tc>
        <w:tc>
          <w:tcPr>
            <w:tcW w:w="4563" w:type="dxa"/>
            <w:shd w:val="clear" w:color="auto" w:fill="auto"/>
            <w:vAlign w:val="bottom"/>
          </w:tcPr>
          <w:p w:rsidR="008D3348" w:rsidRPr="00994929" w:rsidRDefault="008D3348" w:rsidP="008D3348">
            <w:pPr>
              <w:rPr>
                <w:rFonts w:ascii="Calibri" w:hAnsi="Calibri" w:cs="Calibri"/>
                <w:color w:val="000000" w:themeColor="text1"/>
              </w:rPr>
            </w:pPr>
            <w:r w:rsidRPr="00994929">
              <w:rPr>
                <w:rFonts w:ascii="Calibri" w:hAnsi="Calibri" w:cs="Calibri"/>
                <w:color w:val="000000" w:themeColor="text1"/>
              </w:rPr>
              <w:t>Benchmark Nifty 500 TRI</w:t>
            </w:r>
          </w:p>
        </w:tc>
        <w:tc>
          <w:tcPr>
            <w:tcW w:w="1380"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37.73</w:t>
            </w:r>
          </w:p>
        </w:tc>
        <w:tc>
          <w:tcPr>
            <w:tcW w:w="1284"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18.44</w:t>
            </w:r>
          </w:p>
        </w:tc>
        <w:tc>
          <w:tcPr>
            <w:tcW w:w="1245"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17</w:t>
            </w:r>
          </w:p>
        </w:tc>
      </w:tr>
      <w:tr w:rsidR="008D3348" w:rsidRPr="008B5FA5" w:rsidTr="008D3348">
        <w:tc>
          <w:tcPr>
            <w:tcW w:w="1104" w:type="dxa"/>
          </w:tcPr>
          <w:p w:rsidR="008D3348" w:rsidRDefault="0028476A" w:rsidP="008D3348">
            <w:pPr>
              <w:jc w:val="center"/>
            </w:pPr>
            <w:r>
              <w:t>17</w:t>
            </w:r>
            <w:r w:rsidR="008D3348">
              <w:t>.</w:t>
            </w:r>
          </w:p>
        </w:tc>
        <w:tc>
          <w:tcPr>
            <w:tcW w:w="4563" w:type="dxa"/>
            <w:shd w:val="clear" w:color="auto" w:fill="auto"/>
            <w:vAlign w:val="bottom"/>
          </w:tcPr>
          <w:p w:rsidR="008D3348" w:rsidRPr="00994929" w:rsidRDefault="008D3348" w:rsidP="008D3348">
            <w:pPr>
              <w:rPr>
                <w:rFonts w:ascii="Calibri" w:hAnsi="Calibri" w:cs="Calibri"/>
                <w:color w:val="000000" w:themeColor="text1"/>
              </w:rPr>
            </w:pPr>
            <w:r w:rsidRPr="00994929">
              <w:rPr>
                <w:rFonts w:ascii="Calibri" w:hAnsi="Calibri" w:cs="Calibri"/>
                <w:color w:val="000000" w:themeColor="text1"/>
              </w:rPr>
              <w:t>PGIM India Flexi Cap Fund</w:t>
            </w:r>
          </w:p>
        </w:tc>
        <w:tc>
          <w:tcPr>
            <w:tcW w:w="1380"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51.68</w:t>
            </w:r>
          </w:p>
        </w:tc>
        <w:tc>
          <w:tcPr>
            <w:tcW w:w="1284"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29.83</w:t>
            </w:r>
          </w:p>
        </w:tc>
        <w:tc>
          <w:tcPr>
            <w:tcW w:w="1245"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22.69</w:t>
            </w:r>
          </w:p>
        </w:tc>
      </w:tr>
      <w:tr w:rsidR="008D3348" w:rsidRPr="008B5FA5" w:rsidTr="008D3348">
        <w:tc>
          <w:tcPr>
            <w:tcW w:w="1104" w:type="dxa"/>
          </w:tcPr>
          <w:p w:rsidR="008D3348" w:rsidRDefault="008D3348" w:rsidP="008D3348">
            <w:pPr>
              <w:jc w:val="center"/>
            </w:pPr>
          </w:p>
        </w:tc>
        <w:tc>
          <w:tcPr>
            <w:tcW w:w="4563" w:type="dxa"/>
            <w:shd w:val="clear" w:color="auto" w:fill="auto"/>
            <w:vAlign w:val="bottom"/>
          </w:tcPr>
          <w:p w:rsidR="008D3348" w:rsidRPr="00994929" w:rsidRDefault="008D3348" w:rsidP="008D3348">
            <w:pPr>
              <w:rPr>
                <w:rFonts w:ascii="Calibri" w:hAnsi="Calibri" w:cs="Calibri"/>
                <w:color w:val="000000" w:themeColor="text1"/>
              </w:rPr>
            </w:pPr>
            <w:r w:rsidRPr="00994929">
              <w:rPr>
                <w:rFonts w:ascii="Calibri" w:hAnsi="Calibri" w:cs="Calibri"/>
                <w:color w:val="000000" w:themeColor="text1"/>
              </w:rPr>
              <w:t>Benchmark Nifty 500 TRI</w:t>
            </w:r>
          </w:p>
        </w:tc>
        <w:tc>
          <w:tcPr>
            <w:tcW w:w="1380"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37.73</w:t>
            </w:r>
          </w:p>
        </w:tc>
        <w:tc>
          <w:tcPr>
            <w:tcW w:w="1284"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18.44</w:t>
            </w:r>
          </w:p>
        </w:tc>
        <w:tc>
          <w:tcPr>
            <w:tcW w:w="1245"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17</w:t>
            </w:r>
          </w:p>
        </w:tc>
      </w:tr>
      <w:tr w:rsidR="008D3348" w:rsidRPr="008B5FA5" w:rsidTr="008D3348">
        <w:tc>
          <w:tcPr>
            <w:tcW w:w="1104" w:type="dxa"/>
          </w:tcPr>
          <w:p w:rsidR="008D3348" w:rsidRDefault="0028476A" w:rsidP="008D3348">
            <w:pPr>
              <w:jc w:val="center"/>
            </w:pPr>
            <w:r>
              <w:t>18</w:t>
            </w:r>
            <w:r w:rsidR="008D3348">
              <w:t>.</w:t>
            </w:r>
          </w:p>
        </w:tc>
        <w:tc>
          <w:tcPr>
            <w:tcW w:w="4563" w:type="dxa"/>
            <w:shd w:val="clear" w:color="auto" w:fill="auto"/>
            <w:vAlign w:val="bottom"/>
          </w:tcPr>
          <w:p w:rsidR="008D3348" w:rsidRPr="00994929" w:rsidRDefault="008D3348" w:rsidP="008D3348">
            <w:pPr>
              <w:rPr>
                <w:rFonts w:ascii="Calibri" w:hAnsi="Calibri" w:cs="Calibri"/>
              </w:rPr>
            </w:pPr>
            <w:r w:rsidRPr="00994929">
              <w:rPr>
                <w:rFonts w:ascii="Calibri" w:hAnsi="Calibri" w:cs="Calibri"/>
              </w:rPr>
              <w:t>UTI Flexi Cap Fund</w:t>
            </w:r>
          </w:p>
        </w:tc>
        <w:tc>
          <w:tcPr>
            <w:tcW w:w="1380" w:type="dxa"/>
            <w:vAlign w:val="bottom"/>
          </w:tcPr>
          <w:p w:rsidR="008D3348" w:rsidRPr="00994929" w:rsidRDefault="008D3348" w:rsidP="008D3348">
            <w:pPr>
              <w:jc w:val="right"/>
              <w:rPr>
                <w:rFonts w:ascii="Calibri" w:hAnsi="Calibri" w:cs="Calibri"/>
              </w:rPr>
            </w:pPr>
            <w:r w:rsidRPr="00994929">
              <w:rPr>
                <w:rFonts w:ascii="Calibri" w:hAnsi="Calibri" w:cs="Calibri"/>
              </w:rPr>
              <w:t>43.42</w:t>
            </w:r>
          </w:p>
        </w:tc>
        <w:tc>
          <w:tcPr>
            <w:tcW w:w="1284" w:type="dxa"/>
            <w:vAlign w:val="bottom"/>
          </w:tcPr>
          <w:p w:rsidR="008D3348" w:rsidRPr="00994929" w:rsidRDefault="008D3348" w:rsidP="008D3348">
            <w:pPr>
              <w:jc w:val="right"/>
              <w:rPr>
                <w:rFonts w:ascii="Calibri" w:hAnsi="Calibri" w:cs="Calibri"/>
              </w:rPr>
            </w:pPr>
            <w:r w:rsidRPr="00994929">
              <w:rPr>
                <w:rFonts w:ascii="Calibri" w:hAnsi="Calibri" w:cs="Calibri"/>
              </w:rPr>
              <w:t>25.34</w:t>
            </w:r>
          </w:p>
        </w:tc>
        <w:tc>
          <w:tcPr>
            <w:tcW w:w="1245" w:type="dxa"/>
            <w:vAlign w:val="bottom"/>
          </w:tcPr>
          <w:p w:rsidR="008D3348" w:rsidRPr="00994929" w:rsidRDefault="008D3348" w:rsidP="008D3348">
            <w:pPr>
              <w:jc w:val="right"/>
              <w:rPr>
                <w:rFonts w:ascii="Calibri" w:hAnsi="Calibri" w:cs="Calibri"/>
              </w:rPr>
            </w:pPr>
            <w:r w:rsidRPr="00994929">
              <w:rPr>
                <w:rFonts w:ascii="Calibri" w:hAnsi="Calibri" w:cs="Calibri"/>
              </w:rPr>
              <w:t>20.53</w:t>
            </w:r>
          </w:p>
        </w:tc>
      </w:tr>
      <w:tr w:rsidR="008D3348" w:rsidRPr="008B5FA5" w:rsidTr="008D3348">
        <w:tc>
          <w:tcPr>
            <w:tcW w:w="1104" w:type="dxa"/>
          </w:tcPr>
          <w:p w:rsidR="008D3348" w:rsidRDefault="008D3348" w:rsidP="008D3348">
            <w:pPr>
              <w:jc w:val="center"/>
            </w:pPr>
          </w:p>
        </w:tc>
        <w:tc>
          <w:tcPr>
            <w:tcW w:w="4563" w:type="dxa"/>
            <w:shd w:val="clear" w:color="auto" w:fill="auto"/>
            <w:vAlign w:val="bottom"/>
          </w:tcPr>
          <w:p w:rsidR="008D3348" w:rsidRPr="00994929" w:rsidRDefault="008D3348" w:rsidP="008D3348">
            <w:pPr>
              <w:rPr>
                <w:rFonts w:ascii="Calibri" w:hAnsi="Calibri" w:cs="Calibri"/>
                <w:color w:val="000000" w:themeColor="text1"/>
              </w:rPr>
            </w:pPr>
            <w:r w:rsidRPr="00994929">
              <w:rPr>
                <w:rFonts w:ascii="Calibri" w:hAnsi="Calibri" w:cs="Calibri"/>
                <w:color w:val="000000" w:themeColor="text1"/>
              </w:rPr>
              <w:t>Benchmark Nifty 500 TRI</w:t>
            </w:r>
          </w:p>
        </w:tc>
        <w:tc>
          <w:tcPr>
            <w:tcW w:w="1380"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37.73</w:t>
            </w:r>
          </w:p>
        </w:tc>
        <w:tc>
          <w:tcPr>
            <w:tcW w:w="1284"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18.44</w:t>
            </w:r>
          </w:p>
        </w:tc>
        <w:tc>
          <w:tcPr>
            <w:tcW w:w="1245" w:type="dxa"/>
            <w:vAlign w:val="bottom"/>
          </w:tcPr>
          <w:p w:rsidR="008D3348" w:rsidRPr="00994929" w:rsidRDefault="008D3348" w:rsidP="008D3348">
            <w:pPr>
              <w:jc w:val="right"/>
              <w:rPr>
                <w:rFonts w:ascii="Calibri" w:hAnsi="Calibri" w:cs="Calibri"/>
                <w:color w:val="000000" w:themeColor="text1"/>
              </w:rPr>
            </w:pPr>
            <w:r w:rsidRPr="00994929">
              <w:rPr>
                <w:rFonts w:ascii="Calibri" w:hAnsi="Calibri" w:cs="Calibri"/>
                <w:color w:val="000000" w:themeColor="text1"/>
              </w:rPr>
              <w:t>17</w:t>
            </w:r>
          </w:p>
        </w:tc>
      </w:tr>
      <w:tr w:rsidR="008D3348" w:rsidRPr="008B5FA5" w:rsidTr="008D3348">
        <w:tc>
          <w:tcPr>
            <w:tcW w:w="1104" w:type="dxa"/>
          </w:tcPr>
          <w:p w:rsidR="008D3348" w:rsidRDefault="008D3348" w:rsidP="008D3348">
            <w:pPr>
              <w:jc w:val="center"/>
            </w:pPr>
          </w:p>
        </w:tc>
        <w:tc>
          <w:tcPr>
            <w:tcW w:w="4563" w:type="dxa"/>
            <w:shd w:val="clear" w:color="auto" w:fill="auto"/>
            <w:vAlign w:val="bottom"/>
          </w:tcPr>
          <w:p w:rsidR="008D3348" w:rsidRPr="00994929" w:rsidRDefault="008D3348" w:rsidP="008D3348">
            <w:pPr>
              <w:jc w:val="center"/>
              <w:rPr>
                <w:rFonts w:ascii="Calibri" w:hAnsi="Calibri" w:cs="Calibri"/>
                <w:color w:val="000000" w:themeColor="text1"/>
              </w:rPr>
            </w:pPr>
            <w:r>
              <w:rPr>
                <w:rFonts w:ascii="Calibri" w:hAnsi="Calibri" w:cs="Calibri"/>
                <w:color w:val="000000" w:themeColor="text1"/>
              </w:rPr>
              <w:t>Focused fund</w:t>
            </w:r>
          </w:p>
        </w:tc>
        <w:tc>
          <w:tcPr>
            <w:tcW w:w="1380" w:type="dxa"/>
            <w:vAlign w:val="bottom"/>
          </w:tcPr>
          <w:p w:rsidR="008D3348" w:rsidRPr="00994929" w:rsidRDefault="008D3348" w:rsidP="008D3348">
            <w:pPr>
              <w:jc w:val="right"/>
              <w:rPr>
                <w:rFonts w:ascii="Calibri" w:hAnsi="Calibri" w:cs="Calibri"/>
                <w:color w:val="000000" w:themeColor="text1"/>
              </w:rPr>
            </w:pPr>
          </w:p>
        </w:tc>
        <w:tc>
          <w:tcPr>
            <w:tcW w:w="1284" w:type="dxa"/>
            <w:vAlign w:val="bottom"/>
          </w:tcPr>
          <w:p w:rsidR="008D3348" w:rsidRPr="00994929" w:rsidRDefault="008D3348" w:rsidP="008D3348">
            <w:pPr>
              <w:jc w:val="right"/>
              <w:rPr>
                <w:rFonts w:ascii="Calibri" w:hAnsi="Calibri" w:cs="Calibri"/>
                <w:color w:val="000000" w:themeColor="text1"/>
              </w:rPr>
            </w:pPr>
          </w:p>
        </w:tc>
        <w:tc>
          <w:tcPr>
            <w:tcW w:w="1245" w:type="dxa"/>
            <w:vAlign w:val="bottom"/>
          </w:tcPr>
          <w:p w:rsidR="008D3348" w:rsidRPr="00994929" w:rsidRDefault="008D3348" w:rsidP="008D3348">
            <w:pPr>
              <w:jc w:val="right"/>
              <w:rPr>
                <w:rFonts w:ascii="Calibri" w:hAnsi="Calibri" w:cs="Calibri"/>
                <w:color w:val="000000" w:themeColor="text1"/>
              </w:rPr>
            </w:pPr>
          </w:p>
        </w:tc>
      </w:tr>
      <w:tr w:rsidR="0028476A" w:rsidRPr="008B5FA5" w:rsidTr="00155117">
        <w:tc>
          <w:tcPr>
            <w:tcW w:w="1104" w:type="dxa"/>
          </w:tcPr>
          <w:p w:rsidR="0028476A" w:rsidRDefault="0028476A" w:rsidP="008D3348">
            <w:pPr>
              <w:jc w:val="center"/>
            </w:pPr>
            <w:r>
              <w:t>19.</w:t>
            </w:r>
          </w:p>
        </w:tc>
        <w:tc>
          <w:tcPr>
            <w:tcW w:w="4563" w:type="dxa"/>
            <w:shd w:val="clear" w:color="auto" w:fill="auto"/>
            <w:vAlign w:val="center"/>
          </w:tcPr>
          <w:p w:rsidR="0028476A" w:rsidRPr="00994929" w:rsidRDefault="0028476A" w:rsidP="00155117">
            <w:pPr>
              <w:rPr>
                <w:rFonts w:ascii="Calibri" w:hAnsi="Calibri" w:cs="Calibri"/>
              </w:rPr>
            </w:pPr>
            <w:r w:rsidRPr="00994929">
              <w:rPr>
                <w:rFonts w:ascii="Calibri" w:hAnsi="Calibri" w:cs="Calibri"/>
              </w:rPr>
              <w:t>Franklin India Focused Equity Fund</w:t>
            </w:r>
          </w:p>
        </w:tc>
        <w:tc>
          <w:tcPr>
            <w:tcW w:w="1380" w:type="dxa"/>
            <w:vAlign w:val="center"/>
          </w:tcPr>
          <w:p w:rsidR="0028476A" w:rsidRPr="00994929" w:rsidRDefault="0028476A" w:rsidP="00155117">
            <w:pPr>
              <w:jc w:val="right"/>
              <w:rPr>
                <w:rFonts w:ascii="Calibri" w:hAnsi="Calibri" w:cs="Calibri"/>
              </w:rPr>
            </w:pPr>
            <w:r w:rsidRPr="00994929">
              <w:rPr>
                <w:rFonts w:ascii="Calibri" w:hAnsi="Calibri" w:cs="Calibri"/>
              </w:rPr>
              <w:t>49.55</w:t>
            </w:r>
          </w:p>
        </w:tc>
        <w:tc>
          <w:tcPr>
            <w:tcW w:w="1284" w:type="dxa"/>
            <w:vAlign w:val="center"/>
          </w:tcPr>
          <w:p w:rsidR="0028476A" w:rsidRPr="00994929" w:rsidRDefault="0028476A" w:rsidP="00155117">
            <w:pPr>
              <w:jc w:val="right"/>
              <w:rPr>
                <w:rFonts w:ascii="Calibri" w:hAnsi="Calibri" w:cs="Calibri"/>
              </w:rPr>
            </w:pPr>
            <w:r w:rsidRPr="00994929">
              <w:rPr>
                <w:rFonts w:ascii="Calibri" w:hAnsi="Calibri" w:cs="Calibri"/>
              </w:rPr>
              <w:t>20.12</w:t>
            </w:r>
          </w:p>
        </w:tc>
        <w:tc>
          <w:tcPr>
            <w:tcW w:w="1245" w:type="dxa"/>
            <w:vAlign w:val="center"/>
          </w:tcPr>
          <w:p w:rsidR="0028476A" w:rsidRPr="00994929" w:rsidRDefault="0028476A" w:rsidP="00155117">
            <w:pPr>
              <w:jc w:val="right"/>
              <w:rPr>
                <w:rFonts w:ascii="Calibri" w:hAnsi="Calibri" w:cs="Calibri"/>
              </w:rPr>
            </w:pPr>
            <w:r w:rsidRPr="00994929">
              <w:rPr>
                <w:rFonts w:ascii="Calibri" w:hAnsi="Calibri" w:cs="Calibri"/>
              </w:rPr>
              <w:t>15.55</w:t>
            </w:r>
          </w:p>
        </w:tc>
      </w:tr>
      <w:tr w:rsidR="0028476A" w:rsidRPr="008B5FA5" w:rsidTr="00155117">
        <w:tc>
          <w:tcPr>
            <w:tcW w:w="1104" w:type="dxa"/>
          </w:tcPr>
          <w:p w:rsidR="0028476A" w:rsidRDefault="0028476A" w:rsidP="008D3348">
            <w:pPr>
              <w:jc w:val="center"/>
            </w:pPr>
          </w:p>
        </w:tc>
        <w:tc>
          <w:tcPr>
            <w:tcW w:w="4563" w:type="dxa"/>
            <w:shd w:val="clear" w:color="auto" w:fill="auto"/>
            <w:vAlign w:val="bottom"/>
          </w:tcPr>
          <w:p w:rsidR="0028476A" w:rsidRPr="00994929" w:rsidRDefault="0028476A" w:rsidP="00155117">
            <w:pPr>
              <w:rPr>
                <w:rFonts w:ascii="Calibri" w:hAnsi="Calibri" w:cs="Calibri"/>
                <w:color w:val="000000" w:themeColor="text1"/>
              </w:rPr>
            </w:pPr>
            <w:r w:rsidRPr="00994929">
              <w:rPr>
                <w:rFonts w:ascii="Calibri" w:hAnsi="Calibri" w:cs="Calibri"/>
                <w:color w:val="000000" w:themeColor="text1"/>
              </w:rPr>
              <w:t>Benchmark Nifty 500 TRI</w:t>
            </w:r>
          </w:p>
        </w:tc>
        <w:tc>
          <w:tcPr>
            <w:tcW w:w="1380" w:type="dxa"/>
            <w:vAlign w:val="bottom"/>
          </w:tcPr>
          <w:p w:rsidR="0028476A" w:rsidRPr="00994929" w:rsidRDefault="0028476A" w:rsidP="00155117">
            <w:pPr>
              <w:jc w:val="right"/>
              <w:rPr>
                <w:rFonts w:ascii="Calibri" w:hAnsi="Calibri" w:cs="Calibri"/>
                <w:color w:val="000000" w:themeColor="text1"/>
              </w:rPr>
            </w:pPr>
            <w:r w:rsidRPr="00994929">
              <w:rPr>
                <w:rFonts w:ascii="Calibri" w:hAnsi="Calibri" w:cs="Calibri"/>
                <w:color w:val="000000" w:themeColor="text1"/>
              </w:rPr>
              <w:t>37.73</w:t>
            </w:r>
          </w:p>
        </w:tc>
        <w:tc>
          <w:tcPr>
            <w:tcW w:w="1284" w:type="dxa"/>
            <w:vAlign w:val="bottom"/>
          </w:tcPr>
          <w:p w:rsidR="0028476A" w:rsidRPr="00994929" w:rsidRDefault="0028476A" w:rsidP="00155117">
            <w:pPr>
              <w:jc w:val="right"/>
              <w:rPr>
                <w:rFonts w:ascii="Calibri" w:hAnsi="Calibri" w:cs="Calibri"/>
                <w:color w:val="000000" w:themeColor="text1"/>
              </w:rPr>
            </w:pPr>
            <w:r w:rsidRPr="00994929">
              <w:rPr>
                <w:rFonts w:ascii="Calibri" w:hAnsi="Calibri" w:cs="Calibri"/>
                <w:color w:val="000000" w:themeColor="text1"/>
              </w:rPr>
              <w:t>18.44</w:t>
            </w:r>
          </w:p>
        </w:tc>
        <w:tc>
          <w:tcPr>
            <w:tcW w:w="1245" w:type="dxa"/>
            <w:vAlign w:val="bottom"/>
          </w:tcPr>
          <w:p w:rsidR="0028476A" w:rsidRPr="00994929" w:rsidRDefault="0028476A" w:rsidP="00155117">
            <w:pPr>
              <w:jc w:val="right"/>
              <w:rPr>
                <w:rFonts w:ascii="Calibri" w:hAnsi="Calibri" w:cs="Calibri"/>
                <w:color w:val="000000" w:themeColor="text1"/>
              </w:rPr>
            </w:pPr>
            <w:r w:rsidRPr="00994929">
              <w:rPr>
                <w:rFonts w:ascii="Calibri" w:hAnsi="Calibri" w:cs="Calibri"/>
                <w:color w:val="000000" w:themeColor="text1"/>
              </w:rPr>
              <w:t>17</w:t>
            </w:r>
          </w:p>
        </w:tc>
      </w:tr>
      <w:tr w:rsidR="0028476A" w:rsidRPr="008B5FA5" w:rsidTr="00155117">
        <w:tc>
          <w:tcPr>
            <w:tcW w:w="1104" w:type="dxa"/>
          </w:tcPr>
          <w:p w:rsidR="0028476A" w:rsidRDefault="0028476A" w:rsidP="0028476A">
            <w:pPr>
              <w:jc w:val="center"/>
            </w:pPr>
            <w:r>
              <w:t>20.</w:t>
            </w:r>
          </w:p>
        </w:tc>
        <w:tc>
          <w:tcPr>
            <w:tcW w:w="4563" w:type="dxa"/>
            <w:shd w:val="clear" w:color="auto" w:fill="auto"/>
            <w:vAlign w:val="center"/>
          </w:tcPr>
          <w:p w:rsidR="0028476A" w:rsidRPr="00994929" w:rsidRDefault="0028476A" w:rsidP="00155117">
            <w:pPr>
              <w:rPr>
                <w:rFonts w:ascii="Calibri" w:hAnsi="Calibri" w:cs="Calibri"/>
              </w:rPr>
            </w:pPr>
            <w:r w:rsidRPr="00994929">
              <w:rPr>
                <w:rFonts w:ascii="Calibri" w:hAnsi="Calibri" w:cs="Calibri"/>
              </w:rPr>
              <w:t>IIFL Focused Equity Fund</w:t>
            </w:r>
          </w:p>
        </w:tc>
        <w:tc>
          <w:tcPr>
            <w:tcW w:w="1380" w:type="dxa"/>
            <w:vAlign w:val="center"/>
          </w:tcPr>
          <w:p w:rsidR="0028476A" w:rsidRPr="00994929" w:rsidRDefault="0028476A" w:rsidP="00155117">
            <w:pPr>
              <w:jc w:val="right"/>
              <w:rPr>
                <w:rFonts w:ascii="Calibri" w:hAnsi="Calibri" w:cs="Calibri"/>
              </w:rPr>
            </w:pPr>
            <w:r w:rsidRPr="00994929">
              <w:rPr>
                <w:rFonts w:ascii="Calibri" w:hAnsi="Calibri" w:cs="Calibri"/>
              </w:rPr>
              <w:t>42.05</w:t>
            </w:r>
          </w:p>
        </w:tc>
        <w:tc>
          <w:tcPr>
            <w:tcW w:w="1284" w:type="dxa"/>
            <w:vAlign w:val="center"/>
          </w:tcPr>
          <w:p w:rsidR="0028476A" w:rsidRPr="00994929" w:rsidRDefault="0028476A" w:rsidP="00155117">
            <w:pPr>
              <w:jc w:val="right"/>
              <w:rPr>
                <w:rFonts w:ascii="Calibri" w:hAnsi="Calibri" w:cs="Calibri"/>
              </w:rPr>
            </w:pPr>
            <w:r w:rsidRPr="00994929">
              <w:rPr>
                <w:rFonts w:ascii="Calibri" w:hAnsi="Calibri" w:cs="Calibri"/>
              </w:rPr>
              <w:t>30.23</w:t>
            </w:r>
          </w:p>
        </w:tc>
        <w:tc>
          <w:tcPr>
            <w:tcW w:w="1245" w:type="dxa"/>
            <w:vAlign w:val="center"/>
          </w:tcPr>
          <w:p w:rsidR="0028476A" w:rsidRPr="00994929" w:rsidRDefault="0028476A" w:rsidP="00155117">
            <w:pPr>
              <w:jc w:val="right"/>
              <w:rPr>
                <w:rFonts w:ascii="Calibri" w:hAnsi="Calibri" w:cs="Calibri"/>
              </w:rPr>
            </w:pPr>
            <w:r w:rsidRPr="00994929">
              <w:rPr>
                <w:rFonts w:ascii="Calibri" w:hAnsi="Calibri" w:cs="Calibri"/>
              </w:rPr>
              <w:t>21.27</w:t>
            </w:r>
          </w:p>
        </w:tc>
      </w:tr>
      <w:tr w:rsidR="0028476A" w:rsidRPr="008B5FA5" w:rsidTr="00155117">
        <w:tc>
          <w:tcPr>
            <w:tcW w:w="1104" w:type="dxa"/>
          </w:tcPr>
          <w:p w:rsidR="0028476A" w:rsidRDefault="0028476A" w:rsidP="008D3348">
            <w:pPr>
              <w:jc w:val="center"/>
            </w:pPr>
          </w:p>
        </w:tc>
        <w:tc>
          <w:tcPr>
            <w:tcW w:w="4563" w:type="dxa"/>
            <w:shd w:val="clear" w:color="auto" w:fill="auto"/>
            <w:vAlign w:val="center"/>
          </w:tcPr>
          <w:p w:rsidR="0028476A" w:rsidRPr="00994929" w:rsidRDefault="0028476A" w:rsidP="00155117">
            <w:pPr>
              <w:rPr>
                <w:rFonts w:ascii="Calibri" w:hAnsi="Calibri" w:cs="Calibri"/>
              </w:rPr>
            </w:pPr>
            <w:r w:rsidRPr="00994929">
              <w:rPr>
                <w:rFonts w:ascii="Calibri" w:hAnsi="Calibri" w:cs="Calibri"/>
              </w:rPr>
              <w:t>Benchmark S&amp;P BSE 500 TRI</w:t>
            </w:r>
          </w:p>
        </w:tc>
        <w:tc>
          <w:tcPr>
            <w:tcW w:w="1380" w:type="dxa"/>
            <w:vAlign w:val="center"/>
          </w:tcPr>
          <w:p w:rsidR="0028476A" w:rsidRPr="00994929" w:rsidRDefault="0028476A" w:rsidP="00155117">
            <w:pPr>
              <w:jc w:val="right"/>
              <w:rPr>
                <w:rFonts w:ascii="Calibri" w:hAnsi="Calibri" w:cs="Calibri"/>
              </w:rPr>
            </w:pPr>
            <w:r w:rsidRPr="00994929">
              <w:rPr>
                <w:rFonts w:ascii="Calibri" w:hAnsi="Calibri" w:cs="Calibri"/>
              </w:rPr>
              <w:t>38.13</w:t>
            </w:r>
          </w:p>
        </w:tc>
        <w:tc>
          <w:tcPr>
            <w:tcW w:w="1284" w:type="dxa"/>
            <w:vAlign w:val="center"/>
          </w:tcPr>
          <w:p w:rsidR="0028476A" w:rsidRPr="00994929" w:rsidRDefault="0028476A" w:rsidP="00155117">
            <w:pPr>
              <w:jc w:val="right"/>
              <w:rPr>
                <w:rFonts w:ascii="Calibri" w:hAnsi="Calibri" w:cs="Calibri"/>
              </w:rPr>
            </w:pPr>
            <w:r w:rsidRPr="00994929">
              <w:rPr>
                <w:rFonts w:ascii="Calibri" w:hAnsi="Calibri" w:cs="Calibri"/>
              </w:rPr>
              <w:t>18.70</w:t>
            </w:r>
          </w:p>
        </w:tc>
        <w:tc>
          <w:tcPr>
            <w:tcW w:w="1245" w:type="dxa"/>
            <w:vAlign w:val="center"/>
          </w:tcPr>
          <w:p w:rsidR="0028476A" w:rsidRPr="00994929" w:rsidRDefault="0028476A" w:rsidP="00155117">
            <w:pPr>
              <w:jc w:val="right"/>
              <w:rPr>
                <w:rFonts w:ascii="Calibri" w:hAnsi="Calibri" w:cs="Calibri"/>
              </w:rPr>
            </w:pPr>
            <w:r w:rsidRPr="00994929">
              <w:rPr>
                <w:rFonts w:ascii="Calibri" w:hAnsi="Calibri" w:cs="Calibri"/>
              </w:rPr>
              <w:t>17.18</w:t>
            </w:r>
          </w:p>
        </w:tc>
      </w:tr>
      <w:tr w:rsidR="0028476A" w:rsidRPr="008B5FA5" w:rsidTr="00155117">
        <w:tc>
          <w:tcPr>
            <w:tcW w:w="1104" w:type="dxa"/>
          </w:tcPr>
          <w:p w:rsidR="0028476A" w:rsidRDefault="0028476A" w:rsidP="008D3348">
            <w:pPr>
              <w:jc w:val="center"/>
            </w:pPr>
            <w:r>
              <w:t>21.</w:t>
            </w:r>
          </w:p>
        </w:tc>
        <w:tc>
          <w:tcPr>
            <w:tcW w:w="4563" w:type="dxa"/>
            <w:shd w:val="clear" w:color="auto" w:fill="auto"/>
            <w:vAlign w:val="center"/>
          </w:tcPr>
          <w:p w:rsidR="0028476A" w:rsidRPr="00994929" w:rsidRDefault="0028476A" w:rsidP="00155117">
            <w:pPr>
              <w:rPr>
                <w:rFonts w:ascii="Calibri" w:hAnsi="Calibri" w:cs="Calibri"/>
              </w:rPr>
            </w:pPr>
            <w:r w:rsidRPr="00994929">
              <w:rPr>
                <w:rFonts w:ascii="Calibri" w:hAnsi="Calibri" w:cs="Calibri"/>
              </w:rPr>
              <w:t>SBI Focused Equity Fund</w:t>
            </w:r>
          </w:p>
        </w:tc>
        <w:tc>
          <w:tcPr>
            <w:tcW w:w="1380" w:type="dxa"/>
            <w:vAlign w:val="center"/>
          </w:tcPr>
          <w:p w:rsidR="0028476A" w:rsidRPr="00994929" w:rsidRDefault="0028476A" w:rsidP="00155117">
            <w:pPr>
              <w:jc w:val="right"/>
              <w:rPr>
                <w:rFonts w:ascii="Calibri" w:hAnsi="Calibri" w:cs="Calibri"/>
              </w:rPr>
            </w:pPr>
            <w:r w:rsidRPr="00994929">
              <w:rPr>
                <w:rFonts w:ascii="Calibri" w:hAnsi="Calibri" w:cs="Calibri"/>
              </w:rPr>
              <w:t>53.44</w:t>
            </w:r>
          </w:p>
        </w:tc>
        <w:tc>
          <w:tcPr>
            <w:tcW w:w="1284" w:type="dxa"/>
            <w:vAlign w:val="center"/>
          </w:tcPr>
          <w:p w:rsidR="0028476A" w:rsidRPr="00994929" w:rsidRDefault="0028476A" w:rsidP="00155117">
            <w:pPr>
              <w:jc w:val="right"/>
              <w:rPr>
                <w:rFonts w:ascii="Calibri" w:hAnsi="Calibri" w:cs="Calibri"/>
              </w:rPr>
            </w:pPr>
            <w:r w:rsidRPr="00994929">
              <w:rPr>
                <w:rFonts w:ascii="Calibri" w:hAnsi="Calibri" w:cs="Calibri"/>
              </w:rPr>
              <w:t>26.70</w:t>
            </w:r>
          </w:p>
        </w:tc>
        <w:tc>
          <w:tcPr>
            <w:tcW w:w="1245" w:type="dxa"/>
            <w:vAlign w:val="center"/>
          </w:tcPr>
          <w:p w:rsidR="0028476A" w:rsidRPr="00994929" w:rsidRDefault="0028476A" w:rsidP="00155117">
            <w:pPr>
              <w:jc w:val="right"/>
              <w:rPr>
                <w:rFonts w:ascii="Calibri" w:hAnsi="Calibri" w:cs="Calibri"/>
              </w:rPr>
            </w:pPr>
            <w:r w:rsidRPr="00994929">
              <w:rPr>
                <w:rFonts w:ascii="Calibri" w:hAnsi="Calibri" w:cs="Calibri"/>
              </w:rPr>
              <w:t>21.65</w:t>
            </w:r>
          </w:p>
        </w:tc>
      </w:tr>
      <w:tr w:rsidR="0028476A" w:rsidRPr="008B5FA5" w:rsidTr="00155117">
        <w:tc>
          <w:tcPr>
            <w:tcW w:w="1104" w:type="dxa"/>
          </w:tcPr>
          <w:p w:rsidR="0028476A" w:rsidRDefault="0028476A" w:rsidP="008D3348">
            <w:pPr>
              <w:jc w:val="center"/>
            </w:pPr>
          </w:p>
        </w:tc>
        <w:tc>
          <w:tcPr>
            <w:tcW w:w="4563" w:type="dxa"/>
            <w:shd w:val="clear" w:color="auto" w:fill="auto"/>
            <w:vAlign w:val="center"/>
          </w:tcPr>
          <w:p w:rsidR="0028476A" w:rsidRPr="00994929" w:rsidRDefault="0028476A" w:rsidP="00155117">
            <w:pPr>
              <w:rPr>
                <w:rFonts w:ascii="Calibri" w:hAnsi="Calibri" w:cs="Calibri"/>
              </w:rPr>
            </w:pPr>
            <w:r w:rsidRPr="00994929">
              <w:rPr>
                <w:rFonts w:ascii="Calibri" w:hAnsi="Calibri" w:cs="Calibri"/>
              </w:rPr>
              <w:t>Benchmark S&amp;P BSE 200</w:t>
            </w:r>
          </w:p>
        </w:tc>
        <w:tc>
          <w:tcPr>
            <w:tcW w:w="1380" w:type="dxa"/>
            <w:vAlign w:val="center"/>
          </w:tcPr>
          <w:p w:rsidR="0028476A" w:rsidRPr="00994929" w:rsidRDefault="0028476A" w:rsidP="00155117">
            <w:pPr>
              <w:jc w:val="right"/>
              <w:rPr>
                <w:rFonts w:ascii="Calibri" w:hAnsi="Calibri" w:cs="Calibri"/>
              </w:rPr>
            </w:pPr>
            <w:r w:rsidRPr="00994929">
              <w:rPr>
                <w:rFonts w:ascii="Calibri" w:hAnsi="Calibri" w:cs="Calibri"/>
              </w:rPr>
              <w:t>35.95</w:t>
            </w:r>
          </w:p>
        </w:tc>
        <w:tc>
          <w:tcPr>
            <w:tcW w:w="1284" w:type="dxa"/>
            <w:vAlign w:val="center"/>
          </w:tcPr>
          <w:p w:rsidR="0028476A" w:rsidRPr="00994929" w:rsidRDefault="0028476A" w:rsidP="00155117">
            <w:pPr>
              <w:jc w:val="right"/>
              <w:rPr>
                <w:rFonts w:ascii="Calibri" w:hAnsi="Calibri" w:cs="Calibri"/>
              </w:rPr>
            </w:pPr>
            <w:r w:rsidRPr="00994929">
              <w:rPr>
                <w:rFonts w:ascii="Calibri" w:hAnsi="Calibri" w:cs="Calibri"/>
              </w:rPr>
              <w:t>18.29</w:t>
            </w:r>
          </w:p>
        </w:tc>
        <w:tc>
          <w:tcPr>
            <w:tcW w:w="1245" w:type="dxa"/>
            <w:vAlign w:val="center"/>
          </w:tcPr>
          <w:p w:rsidR="0028476A" w:rsidRPr="00994929" w:rsidRDefault="0028476A" w:rsidP="00155117">
            <w:pPr>
              <w:jc w:val="right"/>
              <w:rPr>
                <w:rFonts w:ascii="Calibri" w:hAnsi="Calibri" w:cs="Calibri"/>
              </w:rPr>
            </w:pPr>
            <w:r w:rsidRPr="00994929">
              <w:rPr>
                <w:rFonts w:ascii="Calibri" w:hAnsi="Calibri" w:cs="Calibri"/>
              </w:rPr>
              <w:t>17.17</w:t>
            </w:r>
          </w:p>
        </w:tc>
      </w:tr>
      <w:tr w:rsidR="0028476A" w:rsidRPr="008B5FA5" w:rsidTr="008D3348">
        <w:tc>
          <w:tcPr>
            <w:tcW w:w="1104" w:type="dxa"/>
          </w:tcPr>
          <w:p w:rsidR="0028476A" w:rsidRDefault="0028476A" w:rsidP="008D3348">
            <w:pPr>
              <w:jc w:val="center"/>
            </w:pPr>
          </w:p>
        </w:tc>
        <w:tc>
          <w:tcPr>
            <w:tcW w:w="4563" w:type="dxa"/>
            <w:shd w:val="clear" w:color="auto" w:fill="auto"/>
          </w:tcPr>
          <w:p w:rsidR="0028476A" w:rsidRPr="00281C68" w:rsidRDefault="0028476A" w:rsidP="0028476A">
            <w:pPr>
              <w:jc w:val="center"/>
              <w:rPr>
                <w:rFonts w:ascii="Calibri" w:hAnsi="Calibri" w:cs="Calibri"/>
                <w:color w:val="000000"/>
              </w:rPr>
            </w:pPr>
            <w:r>
              <w:rPr>
                <w:rFonts w:ascii="Calibri" w:hAnsi="Calibri" w:cs="Calibri"/>
                <w:color w:val="000000"/>
              </w:rPr>
              <w:t>Dividend yield fund</w:t>
            </w:r>
          </w:p>
        </w:tc>
        <w:tc>
          <w:tcPr>
            <w:tcW w:w="1380" w:type="dxa"/>
          </w:tcPr>
          <w:p w:rsidR="0028476A" w:rsidRDefault="0028476A" w:rsidP="008D3348">
            <w:pPr>
              <w:jc w:val="center"/>
            </w:pPr>
          </w:p>
        </w:tc>
        <w:tc>
          <w:tcPr>
            <w:tcW w:w="1284" w:type="dxa"/>
          </w:tcPr>
          <w:p w:rsidR="0028476A" w:rsidRDefault="0028476A" w:rsidP="008D3348">
            <w:pPr>
              <w:jc w:val="center"/>
            </w:pPr>
          </w:p>
        </w:tc>
        <w:tc>
          <w:tcPr>
            <w:tcW w:w="1245" w:type="dxa"/>
          </w:tcPr>
          <w:p w:rsidR="0028476A" w:rsidRDefault="0028476A" w:rsidP="008D3348">
            <w:pPr>
              <w:jc w:val="center"/>
            </w:pPr>
          </w:p>
        </w:tc>
      </w:tr>
      <w:tr w:rsidR="0028476A" w:rsidRPr="008B5FA5" w:rsidTr="00155117">
        <w:tc>
          <w:tcPr>
            <w:tcW w:w="1104" w:type="dxa"/>
          </w:tcPr>
          <w:p w:rsidR="0028476A" w:rsidRDefault="0028476A" w:rsidP="008D3348">
            <w:pPr>
              <w:jc w:val="center"/>
            </w:pPr>
            <w:r>
              <w:t>22.</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ICICI Prudential Dividend Yield Equity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54.20</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16.96</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13.70</w:t>
            </w:r>
          </w:p>
        </w:tc>
      </w:tr>
      <w:tr w:rsidR="0028476A" w:rsidRPr="008B5FA5" w:rsidTr="00155117">
        <w:tc>
          <w:tcPr>
            <w:tcW w:w="1104" w:type="dxa"/>
          </w:tcPr>
          <w:p w:rsidR="0028476A" w:rsidRDefault="0028476A" w:rsidP="008D3348">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Nifty Dividend Yield opportunities 50</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38.52</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15.46</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14.29</w:t>
            </w:r>
          </w:p>
        </w:tc>
      </w:tr>
      <w:tr w:rsidR="0028476A" w:rsidRPr="008B5FA5" w:rsidTr="00155117">
        <w:tc>
          <w:tcPr>
            <w:tcW w:w="1104" w:type="dxa"/>
          </w:tcPr>
          <w:p w:rsidR="0028476A" w:rsidRDefault="0028476A" w:rsidP="008D3348">
            <w:pPr>
              <w:jc w:val="center"/>
            </w:pPr>
            <w:r>
              <w:t>23.</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Templeton India Equity Income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53.12</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21.98</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16.93</w:t>
            </w:r>
          </w:p>
        </w:tc>
      </w:tr>
      <w:tr w:rsidR="0028476A" w:rsidRPr="008B5FA5" w:rsidTr="00155117">
        <w:tc>
          <w:tcPr>
            <w:tcW w:w="1104" w:type="dxa"/>
          </w:tcPr>
          <w:p w:rsidR="0028476A" w:rsidRDefault="0028476A" w:rsidP="008D3348">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Nifty Dividend Yield opportunities 50</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38.52</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15.46</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14.29</w:t>
            </w:r>
          </w:p>
        </w:tc>
      </w:tr>
      <w:tr w:rsidR="0028476A" w:rsidRPr="008B5FA5" w:rsidTr="00155117">
        <w:tc>
          <w:tcPr>
            <w:tcW w:w="1104" w:type="dxa"/>
          </w:tcPr>
          <w:p w:rsidR="0028476A" w:rsidRDefault="0028476A" w:rsidP="008D3348">
            <w:pPr>
              <w:jc w:val="center"/>
            </w:pPr>
            <w:r>
              <w:t>24.</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UTI Dividend Yield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43.83</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18.65</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15.90</w:t>
            </w:r>
          </w:p>
        </w:tc>
      </w:tr>
      <w:tr w:rsidR="0028476A" w:rsidRPr="008B5FA5" w:rsidTr="00155117">
        <w:tc>
          <w:tcPr>
            <w:tcW w:w="1104" w:type="dxa"/>
          </w:tcPr>
          <w:p w:rsidR="0028476A" w:rsidRDefault="0028476A" w:rsidP="008D3348">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Nifty Dividend Yield opportunities 50</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38.52</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15.46</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14.29</w:t>
            </w:r>
          </w:p>
        </w:tc>
      </w:tr>
      <w:tr w:rsidR="0028476A" w:rsidRPr="008B5FA5" w:rsidTr="00281C68">
        <w:tc>
          <w:tcPr>
            <w:tcW w:w="1104" w:type="dxa"/>
          </w:tcPr>
          <w:p w:rsidR="0028476A" w:rsidRDefault="0028476A" w:rsidP="008D3348">
            <w:pPr>
              <w:jc w:val="center"/>
            </w:pPr>
          </w:p>
        </w:tc>
        <w:tc>
          <w:tcPr>
            <w:tcW w:w="4563" w:type="dxa"/>
            <w:shd w:val="clear" w:color="auto" w:fill="auto"/>
          </w:tcPr>
          <w:p w:rsidR="0028476A" w:rsidRPr="00281C68" w:rsidRDefault="0028476A" w:rsidP="0028476A">
            <w:pPr>
              <w:jc w:val="center"/>
              <w:rPr>
                <w:rFonts w:ascii="Calibri" w:hAnsi="Calibri" w:cs="Calibri"/>
                <w:color w:val="000000"/>
              </w:rPr>
            </w:pPr>
            <w:r>
              <w:rPr>
                <w:rFonts w:ascii="Calibri" w:hAnsi="Calibri" w:cs="Calibri"/>
                <w:color w:val="000000"/>
              </w:rPr>
              <w:t>Value/Contra fund</w:t>
            </w:r>
          </w:p>
        </w:tc>
        <w:tc>
          <w:tcPr>
            <w:tcW w:w="1380" w:type="dxa"/>
          </w:tcPr>
          <w:p w:rsidR="0028476A" w:rsidRDefault="0028476A" w:rsidP="008D3348">
            <w:pPr>
              <w:jc w:val="center"/>
            </w:pPr>
          </w:p>
        </w:tc>
        <w:tc>
          <w:tcPr>
            <w:tcW w:w="1284" w:type="dxa"/>
          </w:tcPr>
          <w:p w:rsidR="0028476A" w:rsidRDefault="0028476A" w:rsidP="008D3348">
            <w:pPr>
              <w:jc w:val="center"/>
            </w:pPr>
          </w:p>
        </w:tc>
        <w:tc>
          <w:tcPr>
            <w:tcW w:w="1245" w:type="dxa"/>
          </w:tcPr>
          <w:p w:rsidR="0028476A" w:rsidRDefault="0028476A" w:rsidP="008D3348">
            <w:pPr>
              <w:jc w:val="center"/>
            </w:pPr>
          </w:p>
        </w:tc>
      </w:tr>
      <w:tr w:rsidR="0028476A" w:rsidRPr="008B5FA5" w:rsidTr="00155117">
        <w:tc>
          <w:tcPr>
            <w:tcW w:w="1104" w:type="dxa"/>
          </w:tcPr>
          <w:p w:rsidR="0028476A" w:rsidRDefault="0028476A" w:rsidP="00155117">
            <w:pPr>
              <w:jc w:val="center"/>
            </w:pPr>
            <w:r>
              <w:t>25.</w:t>
            </w:r>
          </w:p>
        </w:tc>
        <w:tc>
          <w:tcPr>
            <w:tcW w:w="4563" w:type="dxa"/>
            <w:shd w:val="clear" w:color="auto" w:fill="auto"/>
            <w:vAlign w:val="center"/>
          </w:tcPr>
          <w:p w:rsidR="0028476A" w:rsidRPr="00994929" w:rsidRDefault="0028476A" w:rsidP="00155117">
            <w:pPr>
              <w:rPr>
                <w:rFonts w:ascii="Calibri" w:hAnsi="Calibri" w:cs="Calibri"/>
                <w:bCs/>
                <w:color w:val="000000"/>
              </w:rPr>
            </w:pPr>
            <w:r w:rsidRPr="00994929">
              <w:rPr>
                <w:rFonts w:ascii="Calibri" w:hAnsi="Calibri" w:cs="Calibri"/>
                <w:bCs/>
                <w:color w:val="000000"/>
              </w:rPr>
              <w:t>SBI Contra Fund</w:t>
            </w:r>
          </w:p>
        </w:tc>
        <w:tc>
          <w:tcPr>
            <w:tcW w:w="1380"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63.39</w:t>
            </w:r>
          </w:p>
        </w:tc>
        <w:tc>
          <w:tcPr>
            <w:tcW w:w="1284"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24.82</w:t>
            </w:r>
          </w:p>
        </w:tc>
        <w:tc>
          <w:tcPr>
            <w:tcW w:w="1245"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17.38</w:t>
            </w:r>
          </w:p>
        </w:tc>
      </w:tr>
      <w:tr w:rsidR="0028476A" w:rsidRPr="008B5FA5" w:rsidTr="00155117">
        <w:tc>
          <w:tcPr>
            <w:tcW w:w="1104" w:type="dxa"/>
          </w:tcPr>
          <w:p w:rsidR="0028476A" w:rsidRDefault="0028476A" w:rsidP="00155117">
            <w:pPr>
              <w:jc w:val="center"/>
            </w:pPr>
          </w:p>
        </w:tc>
        <w:tc>
          <w:tcPr>
            <w:tcW w:w="4563" w:type="dxa"/>
            <w:shd w:val="clear" w:color="auto" w:fill="auto"/>
            <w:vAlign w:val="center"/>
          </w:tcPr>
          <w:p w:rsidR="0028476A" w:rsidRPr="00994929" w:rsidRDefault="0028476A" w:rsidP="00155117">
            <w:pPr>
              <w:rPr>
                <w:rFonts w:ascii="Calibri" w:hAnsi="Calibri" w:cs="Calibri"/>
                <w:bCs/>
                <w:color w:val="000000"/>
              </w:rPr>
            </w:pPr>
            <w:r w:rsidRPr="00994929">
              <w:rPr>
                <w:rFonts w:ascii="Calibri" w:hAnsi="Calibri" w:cs="Calibri"/>
                <w:bCs/>
                <w:color w:val="000000"/>
              </w:rPr>
              <w:t>Benchmark S&amp;P BSE 500 TRI</w:t>
            </w:r>
          </w:p>
        </w:tc>
        <w:tc>
          <w:tcPr>
            <w:tcW w:w="1380"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38.13</w:t>
            </w:r>
          </w:p>
        </w:tc>
        <w:tc>
          <w:tcPr>
            <w:tcW w:w="1284"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18.70</w:t>
            </w:r>
          </w:p>
        </w:tc>
        <w:tc>
          <w:tcPr>
            <w:tcW w:w="1245" w:type="dxa"/>
            <w:vAlign w:val="center"/>
          </w:tcPr>
          <w:p w:rsidR="0028476A" w:rsidRPr="00994929" w:rsidRDefault="0028476A" w:rsidP="00155117">
            <w:pPr>
              <w:jc w:val="right"/>
              <w:rPr>
                <w:rFonts w:ascii="Calibri" w:hAnsi="Calibri" w:cs="Calibri"/>
                <w:bCs/>
                <w:color w:val="000000"/>
              </w:rPr>
            </w:pPr>
            <w:r w:rsidRPr="00994929">
              <w:rPr>
                <w:rFonts w:ascii="Calibri" w:hAnsi="Calibri" w:cs="Calibri"/>
                <w:bCs/>
                <w:color w:val="000000"/>
              </w:rPr>
              <w:t>17.18</w:t>
            </w:r>
          </w:p>
        </w:tc>
      </w:tr>
      <w:tr w:rsidR="0028476A" w:rsidRPr="008B5FA5" w:rsidTr="00155117">
        <w:tc>
          <w:tcPr>
            <w:tcW w:w="1104" w:type="dxa"/>
          </w:tcPr>
          <w:p w:rsidR="0028476A" w:rsidRDefault="0028476A" w:rsidP="00155117">
            <w:pPr>
              <w:jc w:val="center"/>
            </w:pPr>
            <w:r>
              <w:t>26.</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IDFC Sterling Value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62.89</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18.93</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17.44</w:t>
            </w:r>
          </w:p>
        </w:tc>
      </w:tr>
      <w:tr w:rsidR="0028476A" w:rsidRPr="008B5FA5" w:rsidTr="00155117">
        <w:tc>
          <w:tcPr>
            <w:tcW w:w="1104" w:type="dxa"/>
          </w:tcPr>
          <w:p w:rsidR="0028476A" w:rsidRDefault="0028476A" w:rsidP="00155117">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Benchmark S&amp;P BSE 400 Mid &amp; small cap</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55.77</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23.34</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17.86</w:t>
            </w:r>
          </w:p>
        </w:tc>
      </w:tr>
      <w:tr w:rsidR="0028476A" w:rsidRPr="008B5FA5" w:rsidTr="00155117">
        <w:tc>
          <w:tcPr>
            <w:tcW w:w="1104" w:type="dxa"/>
          </w:tcPr>
          <w:p w:rsidR="0028476A" w:rsidRDefault="0028476A" w:rsidP="00155117">
            <w:pPr>
              <w:jc w:val="center"/>
            </w:pPr>
            <w:r>
              <w:t>27.</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Templeton India Value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53.75</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17.38</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13.0</w:t>
            </w:r>
          </w:p>
        </w:tc>
      </w:tr>
      <w:tr w:rsidR="0028476A" w:rsidRPr="008B5FA5" w:rsidTr="00155117">
        <w:tc>
          <w:tcPr>
            <w:tcW w:w="1104" w:type="dxa"/>
          </w:tcPr>
          <w:p w:rsidR="0028476A" w:rsidRDefault="0028476A" w:rsidP="00155117">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Benchmark S&amp;P BSE 500 TRI</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38.13</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20.09</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18.31</w:t>
            </w:r>
          </w:p>
        </w:tc>
      </w:tr>
      <w:tr w:rsidR="0028476A" w:rsidRPr="008B5FA5" w:rsidTr="00155117">
        <w:tc>
          <w:tcPr>
            <w:tcW w:w="1104" w:type="dxa"/>
          </w:tcPr>
          <w:p w:rsidR="0028476A" w:rsidRDefault="0028476A" w:rsidP="00155117">
            <w:pPr>
              <w:jc w:val="center"/>
            </w:pPr>
          </w:p>
        </w:tc>
        <w:tc>
          <w:tcPr>
            <w:tcW w:w="4563" w:type="dxa"/>
            <w:shd w:val="clear" w:color="auto" w:fill="auto"/>
          </w:tcPr>
          <w:p w:rsidR="0028476A" w:rsidRPr="00281C68" w:rsidRDefault="0028476A" w:rsidP="0028476A">
            <w:pPr>
              <w:jc w:val="center"/>
              <w:rPr>
                <w:rFonts w:ascii="Calibri" w:hAnsi="Calibri" w:cs="Calibri"/>
                <w:color w:val="000000"/>
              </w:rPr>
            </w:pPr>
            <w:r>
              <w:rPr>
                <w:rFonts w:ascii="Calibri" w:hAnsi="Calibri" w:cs="Calibri"/>
                <w:color w:val="000000"/>
              </w:rPr>
              <w:t>ELSS mutual fund</w:t>
            </w:r>
          </w:p>
        </w:tc>
        <w:tc>
          <w:tcPr>
            <w:tcW w:w="1380" w:type="dxa"/>
          </w:tcPr>
          <w:p w:rsidR="0028476A" w:rsidRDefault="0028476A" w:rsidP="00155117">
            <w:pPr>
              <w:jc w:val="center"/>
            </w:pPr>
          </w:p>
        </w:tc>
        <w:tc>
          <w:tcPr>
            <w:tcW w:w="1284" w:type="dxa"/>
          </w:tcPr>
          <w:p w:rsidR="0028476A" w:rsidRDefault="0028476A" w:rsidP="00155117">
            <w:pPr>
              <w:jc w:val="center"/>
            </w:pPr>
          </w:p>
        </w:tc>
        <w:tc>
          <w:tcPr>
            <w:tcW w:w="1245" w:type="dxa"/>
          </w:tcPr>
          <w:p w:rsidR="0028476A" w:rsidRDefault="0028476A" w:rsidP="00155117">
            <w:pPr>
              <w:jc w:val="center"/>
            </w:pPr>
          </w:p>
        </w:tc>
      </w:tr>
      <w:tr w:rsidR="0028476A" w:rsidRPr="008B5FA5" w:rsidTr="00155117">
        <w:tc>
          <w:tcPr>
            <w:tcW w:w="1104" w:type="dxa"/>
          </w:tcPr>
          <w:p w:rsidR="0028476A" w:rsidRDefault="0028476A" w:rsidP="00155117">
            <w:pPr>
              <w:jc w:val="center"/>
            </w:pPr>
            <w:r>
              <w:t>28.</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IDFC Tax Advantage (ELSS)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52.64</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20.06</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18.44</w:t>
            </w:r>
          </w:p>
        </w:tc>
      </w:tr>
      <w:tr w:rsidR="0028476A" w:rsidRPr="008B5FA5" w:rsidTr="00155117">
        <w:tc>
          <w:tcPr>
            <w:tcW w:w="1104" w:type="dxa"/>
          </w:tcPr>
          <w:p w:rsidR="0028476A" w:rsidRDefault="0028476A" w:rsidP="00155117">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 xml:space="preserve">Benchmark S&amp;P BSE 200 TRI </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35.95</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18.29</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17.17</w:t>
            </w:r>
          </w:p>
        </w:tc>
      </w:tr>
      <w:tr w:rsidR="0028476A" w:rsidRPr="008B5FA5" w:rsidTr="00155117">
        <w:tc>
          <w:tcPr>
            <w:tcW w:w="1104" w:type="dxa"/>
          </w:tcPr>
          <w:p w:rsidR="0028476A" w:rsidRDefault="0028476A" w:rsidP="00155117">
            <w:pPr>
              <w:jc w:val="center"/>
            </w:pPr>
            <w:r>
              <w:t>29.</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PGIM India Long Term Equity Fund</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46.67</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20.71</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18.39</w:t>
            </w:r>
          </w:p>
        </w:tc>
      </w:tr>
      <w:tr w:rsidR="0028476A" w:rsidRPr="008B5FA5" w:rsidTr="00155117">
        <w:tc>
          <w:tcPr>
            <w:tcW w:w="1104" w:type="dxa"/>
          </w:tcPr>
          <w:p w:rsidR="0028476A" w:rsidRDefault="0028476A" w:rsidP="00155117">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 xml:space="preserve">Benchmark S&amp;P BSE 200 TRI </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35.95</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18.29</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17.17</w:t>
            </w:r>
          </w:p>
        </w:tc>
      </w:tr>
      <w:tr w:rsidR="0028476A" w:rsidRPr="008B5FA5" w:rsidTr="00155117">
        <w:tc>
          <w:tcPr>
            <w:tcW w:w="1104" w:type="dxa"/>
          </w:tcPr>
          <w:p w:rsidR="0028476A" w:rsidRDefault="0028476A" w:rsidP="00155117">
            <w:pPr>
              <w:jc w:val="center"/>
            </w:pPr>
            <w:r>
              <w:t>30.</w:t>
            </w: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Quant Tax Plan</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74.87</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33.27</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24.77</w:t>
            </w:r>
          </w:p>
        </w:tc>
      </w:tr>
      <w:tr w:rsidR="0028476A" w:rsidRPr="008B5FA5" w:rsidTr="00155117">
        <w:tc>
          <w:tcPr>
            <w:tcW w:w="1104" w:type="dxa"/>
          </w:tcPr>
          <w:p w:rsidR="0028476A" w:rsidRDefault="0028476A" w:rsidP="00155117">
            <w:pPr>
              <w:jc w:val="center"/>
            </w:pPr>
          </w:p>
        </w:tc>
        <w:tc>
          <w:tcPr>
            <w:tcW w:w="4563" w:type="dxa"/>
            <w:shd w:val="clear" w:color="auto" w:fill="auto"/>
            <w:vAlign w:val="bottom"/>
          </w:tcPr>
          <w:p w:rsidR="0028476A" w:rsidRPr="00994929" w:rsidRDefault="0028476A" w:rsidP="00155117">
            <w:pPr>
              <w:rPr>
                <w:rFonts w:ascii="Calibri" w:hAnsi="Calibri" w:cs="Calibri"/>
                <w:color w:val="000000"/>
              </w:rPr>
            </w:pPr>
            <w:r w:rsidRPr="00994929">
              <w:rPr>
                <w:rFonts w:ascii="Calibri" w:hAnsi="Calibri" w:cs="Calibri"/>
                <w:color w:val="000000"/>
              </w:rPr>
              <w:t>Add. Benchmark Nifty 50 TRI</w:t>
            </w:r>
          </w:p>
        </w:tc>
        <w:tc>
          <w:tcPr>
            <w:tcW w:w="1380"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32.19</w:t>
            </w:r>
          </w:p>
        </w:tc>
        <w:tc>
          <w:tcPr>
            <w:tcW w:w="1284"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17.38</w:t>
            </w:r>
          </w:p>
        </w:tc>
        <w:tc>
          <w:tcPr>
            <w:tcW w:w="1245" w:type="dxa"/>
            <w:vAlign w:val="bottom"/>
          </w:tcPr>
          <w:p w:rsidR="0028476A" w:rsidRPr="00994929" w:rsidRDefault="0028476A" w:rsidP="00155117">
            <w:pPr>
              <w:jc w:val="right"/>
              <w:rPr>
                <w:rFonts w:ascii="Calibri" w:hAnsi="Calibri" w:cs="Calibri"/>
                <w:color w:val="000000"/>
              </w:rPr>
            </w:pPr>
            <w:r w:rsidRPr="00994929">
              <w:rPr>
                <w:rFonts w:ascii="Calibri" w:hAnsi="Calibri" w:cs="Calibri"/>
                <w:color w:val="000000"/>
              </w:rPr>
              <w:t>17.04</w:t>
            </w:r>
          </w:p>
        </w:tc>
      </w:tr>
    </w:tbl>
    <w:p w:rsidR="009D7552" w:rsidRDefault="00E02069" w:rsidP="001812F3">
      <w:pPr>
        <w:pStyle w:val="ListParagraph"/>
        <w:tabs>
          <w:tab w:val="left" w:pos="3180"/>
        </w:tabs>
        <w:ind w:left="360"/>
        <w:rPr>
          <w:rFonts w:eastAsiaTheme="minorEastAsia"/>
        </w:rPr>
      </w:pPr>
      <w:r w:rsidRPr="0028476A">
        <w:rPr>
          <w:rFonts w:eastAsiaTheme="minorEastAsia"/>
          <w:sz w:val="20"/>
        </w:rPr>
        <w:t>Table no. 1 Selected schemes from various categories of mutual fund and their annualized return performance</w:t>
      </w:r>
    </w:p>
    <w:p w:rsidR="002849D6" w:rsidRPr="00E02069" w:rsidRDefault="00E02069" w:rsidP="00E02069">
      <w:pPr>
        <w:pStyle w:val="ListParagraph"/>
        <w:tabs>
          <w:tab w:val="left" w:pos="3180"/>
        </w:tabs>
        <w:ind w:left="360"/>
        <w:jc w:val="center"/>
        <w:rPr>
          <w:rFonts w:eastAsiaTheme="minorEastAsia"/>
          <w:sz w:val="20"/>
        </w:rPr>
      </w:pPr>
      <w:r w:rsidRPr="00E02069">
        <w:rPr>
          <w:rFonts w:eastAsiaTheme="minorEastAsia"/>
          <w:sz w:val="20"/>
        </w:rPr>
        <w:t>Source: From their relative factsheets</w:t>
      </w:r>
    </w:p>
    <w:p w:rsidR="0028476A" w:rsidRPr="002849D6" w:rsidRDefault="000A2E65" w:rsidP="002849D6">
      <w:pPr>
        <w:widowControl w:val="0"/>
        <w:autoSpaceDE w:val="0"/>
        <w:autoSpaceDN w:val="0"/>
        <w:adjustRightInd w:val="0"/>
        <w:spacing w:line="360" w:lineRule="auto"/>
        <w:jc w:val="both"/>
        <w:rPr>
          <w:rFonts w:ascii="Times New Roman" w:hAnsi="Times New Roman"/>
          <w:sz w:val="24"/>
          <w:szCs w:val="24"/>
        </w:rPr>
      </w:pPr>
      <w:r w:rsidRPr="002849D6">
        <w:rPr>
          <w:rFonts w:ascii="Times New Roman" w:hAnsi="Times New Roman"/>
          <w:b/>
          <w:sz w:val="24"/>
          <w:szCs w:val="24"/>
        </w:rPr>
        <w:t>Conclusion of return based performance:</w:t>
      </w:r>
      <w:r w:rsidRPr="002849D6">
        <w:rPr>
          <w:rFonts w:ascii="Times New Roman" w:hAnsi="Times New Roman"/>
          <w:sz w:val="24"/>
          <w:szCs w:val="24"/>
        </w:rPr>
        <w:t xml:space="preserve"> - </w:t>
      </w:r>
      <w:r w:rsidR="0028476A" w:rsidRPr="002849D6">
        <w:rPr>
          <w:rFonts w:ascii="Times New Roman" w:hAnsi="Times New Roman"/>
          <w:sz w:val="24"/>
          <w:szCs w:val="24"/>
        </w:rPr>
        <w:t xml:space="preserve">Aforementioned table no 1 had shown return of 30 </w:t>
      </w:r>
      <w:r w:rsidR="0028476A" w:rsidRPr="002849D6">
        <w:rPr>
          <w:rFonts w:ascii="Times New Roman" w:hAnsi="Times New Roman"/>
          <w:sz w:val="24"/>
          <w:szCs w:val="24"/>
        </w:rPr>
        <w:lastRenderedPageBreak/>
        <w:t>equity mutual fund schemes. These schemes are selected based on the top three return based performing schemes during last one, three and five year. Out of these selected schemes only those scheme will be considered which had outperformed their benchmark return.</w:t>
      </w:r>
      <w:r w:rsidR="00155117" w:rsidRPr="002849D6">
        <w:rPr>
          <w:rFonts w:ascii="Times New Roman" w:hAnsi="Times New Roman"/>
          <w:sz w:val="24"/>
          <w:szCs w:val="24"/>
        </w:rPr>
        <w:t xml:space="preserve"> The benchmark details of each selected schemes is mentioned in above table no 1. Out of the above mentioned schemes here is the list of selected schemes which had outperformed their benchmark return. From the category of large cap only Invesco India large cap mutual fund had outperformed during last one, three and five year of time frame. From mid-cap </w:t>
      </w:r>
      <w:r w:rsidR="00EE5143" w:rsidRPr="002849D6">
        <w:rPr>
          <w:rFonts w:ascii="Times New Roman" w:hAnsi="Times New Roman"/>
          <w:sz w:val="24"/>
          <w:szCs w:val="24"/>
        </w:rPr>
        <w:t xml:space="preserve">category of mutual fund </w:t>
      </w:r>
      <w:r w:rsidR="00155117" w:rsidRPr="002849D6">
        <w:rPr>
          <w:rFonts w:ascii="Times New Roman" w:hAnsi="Times New Roman"/>
          <w:sz w:val="24"/>
          <w:szCs w:val="24"/>
        </w:rPr>
        <w:t>PGIM India mid-cap opportunity fund and Quant mid-cap fund</w:t>
      </w:r>
      <w:r w:rsidR="00EE5143" w:rsidRPr="002849D6">
        <w:rPr>
          <w:rFonts w:ascii="Times New Roman" w:hAnsi="Times New Roman"/>
          <w:sz w:val="24"/>
          <w:szCs w:val="24"/>
        </w:rPr>
        <w:t xml:space="preserve"> are selected</w:t>
      </w:r>
      <w:r w:rsidR="00155117" w:rsidRPr="002849D6">
        <w:rPr>
          <w:rFonts w:ascii="Times New Roman" w:hAnsi="Times New Roman"/>
          <w:sz w:val="24"/>
          <w:szCs w:val="24"/>
        </w:rPr>
        <w:t xml:space="preserve">. From Small-cap category kotak small-cap, quant small-cap fund outperformed their benchmark index return. </w:t>
      </w:r>
      <w:r w:rsidR="00EE5143" w:rsidRPr="002849D6">
        <w:rPr>
          <w:rFonts w:ascii="Times New Roman" w:hAnsi="Times New Roman"/>
          <w:sz w:val="24"/>
          <w:szCs w:val="24"/>
        </w:rPr>
        <w:t>Quant Active fund from multi-cap fund, Parag Parikh flexi-cap, PGIM India flexi cap and UTI flexi-cap fund from Flexi cap fund category, IIFL Focused equity fund and SBI focused equity fund from Focused fund category, Templeton India equity income fund and UTI Dividend yield from Dividend yield fund category, SBI contra fund from value/contra fund and IDFC tax advantage ELSS fund, PGIM India long term equity fund and Quant tax fund from ELSS fund category outperformed their benchmark index.</w:t>
      </w:r>
    </w:p>
    <w:p w:rsidR="00EE5143" w:rsidRPr="002849D6" w:rsidRDefault="00EE5143" w:rsidP="002849D6">
      <w:pPr>
        <w:tabs>
          <w:tab w:val="left" w:pos="3180"/>
        </w:tabs>
        <w:jc w:val="both"/>
        <w:rPr>
          <w:rFonts w:ascii="Times New Roman" w:hAnsi="Times New Roman"/>
          <w:sz w:val="24"/>
          <w:szCs w:val="24"/>
        </w:rPr>
      </w:pPr>
      <w:r w:rsidRPr="002849D6">
        <w:rPr>
          <w:rFonts w:ascii="Times New Roman" w:hAnsi="Times New Roman"/>
          <w:b/>
          <w:sz w:val="24"/>
          <w:szCs w:val="24"/>
        </w:rPr>
        <w:t>Analysis based on risk ratios</w:t>
      </w:r>
      <w:r w:rsidRPr="002849D6">
        <w:rPr>
          <w:rFonts w:ascii="Times New Roman" w:hAnsi="Times New Roman"/>
          <w:sz w:val="24"/>
          <w:szCs w:val="24"/>
        </w:rPr>
        <w:t xml:space="preserve">- </w:t>
      </w:r>
      <w:r w:rsidR="00E33EEC" w:rsidRPr="002849D6">
        <w:rPr>
          <w:rFonts w:ascii="Times New Roman" w:hAnsi="Times New Roman"/>
          <w:sz w:val="24"/>
          <w:szCs w:val="24"/>
        </w:rPr>
        <w:t>Another factor on the basis of which performance of mutual fund can be measured is risk ratios. Various risk ratios are being used in this study are standard deviation, alpha, beta, Sharpe ratio. Table no 2 represents risk ratios of selected mutual fund schemes.</w:t>
      </w:r>
    </w:p>
    <w:p w:rsidR="00E33EEC" w:rsidRDefault="00E33EEC" w:rsidP="00E33EEC">
      <w:pPr>
        <w:tabs>
          <w:tab w:val="left" w:pos="3180"/>
        </w:tabs>
        <w:spacing w:after="0"/>
        <w:jc w:val="center"/>
        <w:rPr>
          <w:rFonts w:eastAsiaTheme="minorEastAsia"/>
          <w:sz w:val="18"/>
        </w:rPr>
      </w:pPr>
    </w:p>
    <w:tbl>
      <w:tblPr>
        <w:tblStyle w:val="TableGrid"/>
        <w:tblW w:w="0" w:type="auto"/>
        <w:tblLook w:val="04A0" w:firstRow="1" w:lastRow="0" w:firstColumn="1" w:lastColumn="0" w:noHBand="0" w:noVBand="1"/>
      </w:tblPr>
      <w:tblGrid>
        <w:gridCol w:w="889"/>
        <w:gridCol w:w="3222"/>
        <w:gridCol w:w="2027"/>
        <w:gridCol w:w="1620"/>
        <w:gridCol w:w="801"/>
        <w:gridCol w:w="1017"/>
      </w:tblGrid>
      <w:tr w:rsidR="00E33EEC" w:rsidRPr="008B5FA5" w:rsidTr="00B906D8">
        <w:tc>
          <w:tcPr>
            <w:tcW w:w="889" w:type="dxa"/>
          </w:tcPr>
          <w:p w:rsidR="00E33EEC" w:rsidRPr="008B5FA5" w:rsidRDefault="00E33EEC" w:rsidP="00155117">
            <w:pPr>
              <w:jc w:val="center"/>
            </w:pPr>
            <w:r>
              <w:t>S.no</w:t>
            </w:r>
          </w:p>
        </w:tc>
        <w:tc>
          <w:tcPr>
            <w:tcW w:w="3222" w:type="dxa"/>
          </w:tcPr>
          <w:p w:rsidR="00E33EEC" w:rsidRPr="008B5FA5" w:rsidRDefault="00E33EEC" w:rsidP="00155117">
            <w:pPr>
              <w:jc w:val="center"/>
            </w:pPr>
            <w:r w:rsidRPr="008B5FA5">
              <w:t>Name of scheme</w:t>
            </w:r>
          </w:p>
        </w:tc>
        <w:tc>
          <w:tcPr>
            <w:tcW w:w="5465" w:type="dxa"/>
            <w:gridSpan w:val="4"/>
          </w:tcPr>
          <w:p w:rsidR="00E33EEC" w:rsidRPr="008B5FA5" w:rsidRDefault="00AD4EF5" w:rsidP="00155117">
            <w:pPr>
              <w:jc w:val="center"/>
            </w:pPr>
            <w:r>
              <w:t>Risk ratios</w:t>
            </w:r>
          </w:p>
        </w:tc>
      </w:tr>
      <w:tr w:rsidR="00AD4EF5" w:rsidRPr="008B5FA5" w:rsidTr="00AD4EF5">
        <w:trPr>
          <w:trHeight w:val="332"/>
        </w:trPr>
        <w:tc>
          <w:tcPr>
            <w:tcW w:w="889" w:type="dxa"/>
          </w:tcPr>
          <w:p w:rsidR="00AD4EF5" w:rsidRDefault="00AD4EF5" w:rsidP="00155117">
            <w:pPr>
              <w:jc w:val="center"/>
            </w:pPr>
            <w:r>
              <w:t xml:space="preserve"> </w:t>
            </w:r>
          </w:p>
        </w:tc>
        <w:tc>
          <w:tcPr>
            <w:tcW w:w="3222" w:type="dxa"/>
          </w:tcPr>
          <w:p w:rsidR="00AD4EF5" w:rsidRPr="00155117" w:rsidRDefault="00AD4EF5" w:rsidP="00155117">
            <w:pPr>
              <w:jc w:val="center"/>
              <w:rPr>
                <w:b/>
              </w:rPr>
            </w:pPr>
            <w:r w:rsidRPr="00155117">
              <w:rPr>
                <w:b/>
              </w:rPr>
              <w:t>Large cap mutual fund</w:t>
            </w:r>
          </w:p>
        </w:tc>
        <w:tc>
          <w:tcPr>
            <w:tcW w:w="2027" w:type="dxa"/>
            <w:vAlign w:val="bottom"/>
          </w:tcPr>
          <w:p w:rsidR="00AD4EF5" w:rsidRPr="002D2712" w:rsidRDefault="00AD4EF5" w:rsidP="00B906D8">
            <w:pPr>
              <w:rPr>
                <w:rFonts w:ascii="Calibri" w:hAnsi="Calibri" w:cs="Calibri"/>
                <w:b/>
                <w:bCs/>
                <w:color w:val="000000"/>
              </w:rPr>
            </w:pPr>
            <w:r w:rsidRPr="002D2712">
              <w:rPr>
                <w:rFonts w:ascii="Calibri" w:hAnsi="Calibri" w:cs="Calibri"/>
                <w:b/>
                <w:bCs/>
                <w:color w:val="000000"/>
              </w:rPr>
              <w:t>Standard Deviation</w:t>
            </w:r>
          </w:p>
        </w:tc>
        <w:tc>
          <w:tcPr>
            <w:tcW w:w="1620" w:type="dxa"/>
            <w:vAlign w:val="bottom"/>
          </w:tcPr>
          <w:p w:rsidR="00AD4EF5" w:rsidRPr="002D2712" w:rsidRDefault="00AD4EF5" w:rsidP="00B906D8">
            <w:pPr>
              <w:rPr>
                <w:rFonts w:ascii="Calibri" w:hAnsi="Calibri" w:cs="Calibri"/>
                <w:b/>
                <w:bCs/>
                <w:color w:val="000000"/>
              </w:rPr>
            </w:pPr>
            <w:r w:rsidRPr="002D2712">
              <w:rPr>
                <w:rFonts w:ascii="Calibri" w:hAnsi="Calibri" w:cs="Calibri"/>
                <w:b/>
                <w:bCs/>
                <w:color w:val="000000"/>
              </w:rPr>
              <w:t>Sharpe Ratio</w:t>
            </w:r>
          </w:p>
        </w:tc>
        <w:tc>
          <w:tcPr>
            <w:tcW w:w="801" w:type="dxa"/>
            <w:vAlign w:val="bottom"/>
          </w:tcPr>
          <w:p w:rsidR="00AD4EF5" w:rsidRPr="002D2712" w:rsidRDefault="00AD4EF5" w:rsidP="00B906D8">
            <w:pPr>
              <w:rPr>
                <w:rFonts w:ascii="Calibri" w:hAnsi="Calibri" w:cs="Calibri"/>
                <w:b/>
                <w:bCs/>
                <w:color w:val="000000"/>
              </w:rPr>
            </w:pPr>
            <w:r w:rsidRPr="002D2712">
              <w:rPr>
                <w:rFonts w:ascii="Calibri" w:hAnsi="Calibri" w:cs="Calibri"/>
                <w:b/>
                <w:bCs/>
                <w:color w:val="000000"/>
              </w:rPr>
              <w:t>Beta</w:t>
            </w:r>
          </w:p>
        </w:tc>
        <w:tc>
          <w:tcPr>
            <w:tcW w:w="1017" w:type="dxa"/>
            <w:vAlign w:val="bottom"/>
          </w:tcPr>
          <w:p w:rsidR="00AD4EF5" w:rsidRPr="002D2712" w:rsidRDefault="00AD4EF5" w:rsidP="00B906D8">
            <w:pPr>
              <w:rPr>
                <w:rFonts w:ascii="Calibri" w:hAnsi="Calibri" w:cs="Calibri"/>
                <w:b/>
                <w:bCs/>
                <w:color w:val="000000"/>
              </w:rPr>
            </w:pPr>
            <w:r w:rsidRPr="002D2712">
              <w:rPr>
                <w:rFonts w:ascii="Calibri" w:hAnsi="Calibri" w:cs="Calibri"/>
                <w:b/>
                <w:bCs/>
                <w:color w:val="000000"/>
              </w:rPr>
              <w:t>Alpha</w:t>
            </w:r>
          </w:p>
        </w:tc>
      </w:tr>
      <w:tr w:rsidR="00AD4EF5" w:rsidRPr="008B5FA5" w:rsidTr="00B906D8">
        <w:tc>
          <w:tcPr>
            <w:tcW w:w="889" w:type="dxa"/>
          </w:tcPr>
          <w:p w:rsidR="00AD4EF5" w:rsidRPr="008B5FA5" w:rsidRDefault="00AD4EF5" w:rsidP="00155117">
            <w:pPr>
              <w:jc w:val="center"/>
            </w:pPr>
            <w:r>
              <w:t>1.</w:t>
            </w:r>
          </w:p>
        </w:tc>
        <w:tc>
          <w:tcPr>
            <w:tcW w:w="3222" w:type="dxa"/>
            <w:shd w:val="clear" w:color="auto" w:fill="auto"/>
          </w:tcPr>
          <w:p w:rsidR="00AD4EF5" w:rsidRPr="00155117" w:rsidRDefault="00AD4EF5" w:rsidP="00155117">
            <w:pPr>
              <w:rPr>
                <w:rFonts w:ascii="Calibri" w:eastAsia="Times New Roman" w:hAnsi="Calibri" w:cs="Calibri"/>
                <w:color w:val="000000"/>
              </w:rPr>
            </w:pPr>
            <w:r w:rsidRPr="00155117">
              <w:rPr>
                <w:rFonts w:ascii="Calibri" w:eastAsia="Times New Roman" w:hAnsi="Calibri" w:cs="Calibri"/>
                <w:color w:val="000000"/>
              </w:rPr>
              <w:t>Invesco India Large cap Fund</w:t>
            </w:r>
          </w:p>
        </w:tc>
        <w:tc>
          <w:tcPr>
            <w:tcW w:w="2027" w:type="dxa"/>
            <w:vAlign w:val="center"/>
          </w:tcPr>
          <w:p w:rsidR="00AD4EF5" w:rsidRPr="002D2712" w:rsidRDefault="00AD4EF5" w:rsidP="00B906D8">
            <w:pPr>
              <w:jc w:val="right"/>
              <w:rPr>
                <w:rFonts w:ascii="Calibri" w:hAnsi="Calibri" w:cs="Calibri"/>
              </w:rPr>
            </w:pPr>
            <w:r w:rsidRPr="002D2712">
              <w:rPr>
                <w:rFonts w:ascii="Calibri" w:hAnsi="Calibri" w:cs="Calibri"/>
              </w:rPr>
              <w:t>20.31</w:t>
            </w:r>
          </w:p>
        </w:tc>
        <w:tc>
          <w:tcPr>
            <w:tcW w:w="1620" w:type="dxa"/>
            <w:vAlign w:val="center"/>
          </w:tcPr>
          <w:p w:rsidR="00AD4EF5" w:rsidRPr="002D2712" w:rsidRDefault="00AD4EF5" w:rsidP="00B906D8">
            <w:pPr>
              <w:jc w:val="right"/>
              <w:rPr>
                <w:rFonts w:ascii="Calibri" w:hAnsi="Calibri" w:cs="Calibri"/>
              </w:rPr>
            </w:pPr>
            <w:r w:rsidRPr="002D2712">
              <w:rPr>
                <w:rFonts w:ascii="Calibri" w:hAnsi="Calibri" w:cs="Calibri"/>
              </w:rPr>
              <w:t>0.76</w:t>
            </w:r>
          </w:p>
        </w:tc>
        <w:tc>
          <w:tcPr>
            <w:tcW w:w="801" w:type="dxa"/>
            <w:vAlign w:val="center"/>
          </w:tcPr>
          <w:p w:rsidR="00AD4EF5" w:rsidRPr="002D2712" w:rsidRDefault="00AD4EF5" w:rsidP="00B906D8">
            <w:pPr>
              <w:jc w:val="right"/>
              <w:rPr>
                <w:rFonts w:ascii="Calibri" w:hAnsi="Calibri" w:cs="Calibri"/>
              </w:rPr>
            </w:pPr>
            <w:r w:rsidRPr="002D2712">
              <w:rPr>
                <w:rFonts w:ascii="Calibri" w:hAnsi="Calibri" w:cs="Calibri"/>
              </w:rPr>
              <w:t>0.92</w:t>
            </w:r>
          </w:p>
        </w:tc>
        <w:tc>
          <w:tcPr>
            <w:tcW w:w="1017" w:type="dxa"/>
            <w:vAlign w:val="center"/>
          </w:tcPr>
          <w:p w:rsidR="00AD4EF5" w:rsidRPr="002D2712" w:rsidRDefault="00AD4EF5" w:rsidP="00B906D8">
            <w:pPr>
              <w:jc w:val="right"/>
              <w:rPr>
                <w:rFonts w:ascii="Calibri" w:hAnsi="Calibri" w:cs="Calibri"/>
              </w:rPr>
            </w:pPr>
            <w:r w:rsidRPr="002D2712">
              <w:rPr>
                <w:rFonts w:ascii="Calibri" w:hAnsi="Calibri" w:cs="Calibri"/>
              </w:rPr>
              <w:t>1.34</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155117" w:rsidRDefault="00E33EEC" w:rsidP="00155117">
            <w:pPr>
              <w:jc w:val="center"/>
              <w:rPr>
                <w:rFonts w:ascii="Calibri" w:eastAsia="Times New Roman" w:hAnsi="Calibri" w:cs="Calibri"/>
                <w:color w:val="000000"/>
              </w:rPr>
            </w:pPr>
            <w:r w:rsidRPr="00155117">
              <w:rPr>
                <w:b/>
              </w:rPr>
              <w:t>Mid-cap mutual fund</w:t>
            </w:r>
          </w:p>
        </w:tc>
        <w:tc>
          <w:tcPr>
            <w:tcW w:w="2027" w:type="dxa"/>
          </w:tcPr>
          <w:p w:rsidR="00E33EEC" w:rsidRPr="00155117" w:rsidRDefault="00E33EEC" w:rsidP="00155117">
            <w:pPr>
              <w:rPr>
                <w:rFonts w:ascii="Calibri" w:eastAsia="Times New Roman" w:hAnsi="Calibri" w:cs="Calibri"/>
                <w:color w:val="000000"/>
              </w:rPr>
            </w:pPr>
          </w:p>
        </w:tc>
        <w:tc>
          <w:tcPr>
            <w:tcW w:w="1620" w:type="dxa"/>
          </w:tcPr>
          <w:p w:rsidR="00E33EEC" w:rsidRPr="00155117" w:rsidRDefault="00E33EEC" w:rsidP="00155117">
            <w:pPr>
              <w:rPr>
                <w:rFonts w:ascii="Calibri" w:eastAsia="Times New Roman" w:hAnsi="Calibri" w:cs="Calibri"/>
                <w:color w:val="000000"/>
              </w:rPr>
            </w:pPr>
          </w:p>
        </w:tc>
        <w:tc>
          <w:tcPr>
            <w:tcW w:w="801" w:type="dxa"/>
          </w:tcPr>
          <w:p w:rsidR="00E33EEC" w:rsidRPr="00155117" w:rsidRDefault="00E33EEC" w:rsidP="00155117">
            <w:pPr>
              <w:rPr>
                <w:rFonts w:ascii="Calibri" w:eastAsia="Times New Roman" w:hAnsi="Calibri" w:cs="Calibri"/>
                <w:color w:val="000000"/>
              </w:rPr>
            </w:pPr>
          </w:p>
        </w:tc>
        <w:tc>
          <w:tcPr>
            <w:tcW w:w="1017" w:type="dxa"/>
          </w:tcPr>
          <w:p w:rsidR="00E33EEC" w:rsidRPr="00155117" w:rsidRDefault="00E33EEC" w:rsidP="00155117">
            <w:pPr>
              <w:rPr>
                <w:rFonts w:ascii="Calibri" w:eastAsia="Times New Roman" w:hAnsi="Calibri" w:cs="Calibri"/>
                <w:color w:val="000000"/>
              </w:rPr>
            </w:pPr>
          </w:p>
        </w:tc>
      </w:tr>
      <w:tr w:rsidR="00AD4EF5" w:rsidRPr="008B5FA5" w:rsidTr="00B906D8">
        <w:tc>
          <w:tcPr>
            <w:tcW w:w="889" w:type="dxa"/>
          </w:tcPr>
          <w:p w:rsidR="00AD4EF5" w:rsidRPr="008B5FA5" w:rsidRDefault="00AD4EF5" w:rsidP="00155117">
            <w:pPr>
              <w:jc w:val="center"/>
            </w:pPr>
            <w:r>
              <w:t>2.</w:t>
            </w:r>
          </w:p>
        </w:tc>
        <w:tc>
          <w:tcPr>
            <w:tcW w:w="3222" w:type="dxa"/>
            <w:shd w:val="clear" w:color="auto" w:fill="auto"/>
          </w:tcPr>
          <w:p w:rsidR="00AD4EF5" w:rsidRPr="00155117" w:rsidRDefault="00AD4EF5" w:rsidP="00155117">
            <w:pPr>
              <w:rPr>
                <w:rFonts w:ascii="Calibri" w:eastAsia="Times New Roman" w:hAnsi="Calibri" w:cs="Calibri"/>
                <w:color w:val="000000"/>
              </w:rPr>
            </w:pPr>
            <w:r w:rsidRPr="00155117">
              <w:rPr>
                <w:rFonts w:ascii="Calibri" w:eastAsia="Times New Roman" w:hAnsi="Calibri" w:cs="Calibri"/>
                <w:color w:val="000000"/>
              </w:rPr>
              <w:t>PGIM India Mid-cap Opportunities Fund</w:t>
            </w:r>
          </w:p>
        </w:tc>
        <w:tc>
          <w:tcPr>
            <w:tcW w:w="2027"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18.11</w:t>
            </w:r>
          </w:p>
        </w:tc>
        <w:tc>
          <w:tcPr>
            <w:tcW w:w="1620"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0.69</w:t>
            </w:r>
          </w:p>
        </w:tc>
        <w:tc>
          <w:tcPr>
            <w:tcW w:w="801"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0.87</w:t>
            </w:r>
          </w:p>
        </w:tc>
        <w:tc>
          <w:tcPr>
            <w:tcW w:w="1017"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10.48</w:t>
            </w:r>
          </w:p>
        </w:tc>
      </w:tr>
      <w:tr w:rsidR="00AD4EF5" w:rsidRPr="008B5FA5" w:rsidTr="00B906D8">
        <w:tc>
          <w:tcPr>
            <w:tcW w:w="889" w:type="dxa"/>
          </w:tcPr>
          <w:p w:rsidR="00AD4EF5" w:rsidRPr="008B5FA5" w:rsidRDefault="00AD4EF5" w:rsidP="00155117">
            <w:pPr>
              <w:jc w:val="center"/>
            </w:pPr>
            <w:r>
              <w:t>3.</w:t>
            </w:r>
          </w:p>
        </w:tc>
        <w:tc>
          <w:tcPr>
            <w:tcW w:w="3222" w:type="dxa"/>
            <w:shd w:val="clear" w:color="auto" w:fill="auto"/>
          </w:tcPr>
          <w:p w:rsidR="00AD4EF5" w:rsidRPr="00155117" w:rsidRDefault="00AD4EF5" w:rsidP="00155117">
            <w:pPr>
              <w:rPr>
                <w:rFonts w:ascii="Calibri" w:eastAsia="Times New Roman" w:hAnsi="Calibri" w:cs="Calibri"/>
                <w:color w:val="000000"/>
              </w:rPr>
            </w:pPr>
            <w:r w:rsidRPr="00155117">
              <w:rPr>
                <w:rFonts w:ascii="Calibri" w:eastAsia="Times New Roman" w:hAnsi="Calibri" w:cs="Calibri"/>
                <w:color w:val="000000"/>
              </w:rPr>
              <w:t>Quant Mid-cap Fund</w:t>
            </w:r>
          </w:p>
        </w:tc>
        <w:tc>
          <w:tcPr>
            <w:tcW w:w="2027"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22.97</w:t>
            </w:r>
          </w:p>
        </w:tc>
        <w:tc>
          <w:tcPr>
            <w:tcW w:w="1620"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1.00</w:t>
            </w:r>
          </w:p>
        </w:tc>
        <w:tc>
          <w:tcPr>
            <w:tcW w:w="801"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0.99</w:t>
            </w:r>
          </w:p>
        </w:tc>
        <w:tc>
          <w:tcPr>
            <w:tcW w:w="1017" w:type="dxa"/>
            <w:vAlign w:val="center"/>
          </w:tcPr>
          <w:p w:rsidR="00AD4EF5" w:rsidRPr="002D2712" w:rsidRDefault="00AD4EF5" w:rsidP="00B906D8">
            <w:pPr>
              <w:jc w:val="right"/>
              <w:rPr>
                <w:rFonts w:ascii="Calibri" w:hAnsi="Calibri" w:cs="Calibri"/>
                <w:color w:val="000000" w:themeColor="text1"/>
              </w:rPr>
            </w:pPr>
            <w:r w:rsidRPr="002D2712">
              <w:rPr>
                <w:rFonts w:ascii="Calibri" w:hAnsi="Calibri" w:cs="Calibri"/>
                <w:color w:val="000000" w:themeColor="text1"/>
              </w:rPr>
              <w:t>6.4</w:t>
            </w:r>
          </w:p>
        </w:tc>
      </w:tr>
      <w:tr w:rsidR="00E33EEC" w:rsidRPr="008B5FA5" w:rsidTr="00AD4EF5">
        <w:tc>
          <w:tcPr>
            <w:tcW w:w="889" w:type="dxa"/>
          </w:tcPr>
          <w:p w:rsidR="00E33EEC" w:rsidRPr="008B5FA5" w:rsidRDefault="00E33EEC" w:rsidP="00155117">
            <w:pPr>
              <w:jc w:val="center"/>
            </w:pPr>
          </w:p>
        </w:tc>
        <w:tc>
          <w:tcPr>
            <w:tcW w:w="3222" w:type="dxa"/>
            <w:shd w:val="clear" w:color="auto" w:fill="auto"/>
          </w:tcPr>
          <w:p w:rsidR="00E33EEC" w:rsidRPr="00155117" w:rsidRDefault="00E33EEC" w:rsidP="00155117">
            <w:pPr>
              <w:jc w:val="center"/>
              <w:rPr>
                <w:rFonts w:ascii="Calibri" w:eastAsia="Times New Roman" w:hAnsi="Calibri" w:cs="Calibri"/>
                <w:color w:val="000000"/>
              </w:rPr>
            </w:pPr>
            <w:r w:rsidRPr="00155117">
              <w:rPr>
                <w:b/>
              </w:rPr>
              <w:t>Small-cap mutual fund</w:t>
            </w:r>
          </w:p>
        </w:tc>
        <w:tc>
          <w:tcPr>
            <w:tcW w:w="2027" w:type="dxa"/>
          </w:tcPr>
          <w:p w:rsidR="00E33EEC" w:rsidRPr="00155117" w:rsidRDefault="00E33EEC" w:rsidP="00155117">
            <w:pPr>
              <w:rPr>
                <w:rFonts w:ascii="Calibri" w:eastAsia="Times New Roman" w:hAnsi="Calibri" w:cs="Calibri"/>
                <w:color w:val="000000"/>
              </w:rPr>
            </w:pPr>
          </w:p>
        </w:tc>
        <w:tc>
          <w:tcPr>
            <w:tcW w:w="1620" w:type="dxa"/>
          </w:tcPr>
          <w:p w:rsidR="00E33EEC" w:rsidRPr="00155117" w:rsidRDefault="00E33EEC" w:rsidP="00155117">
            <w:pPr>
              <w:rPr>
                <w:rFonts w:ascii="Calibri" w:eastAsia="Times New Roman" w:hAnsi="Calibri" w:cs="Calibri"/>
                <w:color w:val="000000"/>
              </w:rPr>
            </w:pPr>
          </w:p>
        </w:tc>
        <w:tc>
          <w:tcPr>
            <w:tcW w:w="801" w:type="dxa"/>
          </w:tcPr>
          <w:p w:rsidR="00E33EEC" w:rsidRPr="00155117" w:rsidRDefault="00E33EEC" w:rsidP="00155117">
            <w:pPr>
              <w:rPr>
                <w:rFonts w:ascii="Calibri" w:eastAsia="Times New Roman" w:hAnsi="Calibri" w:cs="Calibri"/>
                <w:color w:val="000000"/>
              </w:rPr>
            </w:pPr>
          </w:p>
        </w:tc>
        <w:tc>
          <w:tcPr>
            <w:tcW w:w="1017" w:type="dxa"/>
          </w:tcPr>
          <w:p w:rsidR="00E33EEC" w:rsidRPr="00155117" w:rsidRDefault="00E33EEC" w:rsidP="00155117">
            <w:pPr>
              <w:rPr>
                <w:rFonts w:ascii="Calibri" w:eastAsia="Times New Roman" w:hAnsi="Calibri" w:cs="Calibri"/>
                <w:color w:val="000000"/>
              </w:rPr>
            </w:pPr>
          </w:p>
        </w:tc>
      </w:tr>
      <w:tr w:rsidR="00AD4EF5" w:rsidRPr="008B5FA5" w:rsidTr="00B906D8">
        <w:tc>
          <w:tcPr>
            <w:tcW w:w="889" w:type="dxa"/>
          </w:tcPr>
          <w:p w:rsidR="00AD4EF5" w:rsidRPr="008B5FA5" w:rsidRDefault="00AD4EF5" w:rsidP="00E33EEC">
            <w:pPr>
              <w:jc w:val="center"/>
            </w:pPr>
            <w:r>
              <w:t>4.</w:t>
            </w:r>
          </w:p>
        </w:tc>
        <w:tc>
          <w:tcPr>
            <w:tcW w:w="3222" w:type="dxa"/>
            <w:shd w:val="clear" w:color="auto" w:fill="auto"/>
          </w:tcPr>
          <w:p w:rsidR="00AD4EF5" w:rsidRPr="00155117" w:rsidRDefault="00AD4EF5" w:rsidP="00155117">
            <w:pPr>
              <w:rPr>
                <w:rFonts w:ascii="Calibri" w:eastAsia="Times New Roman" w:hAnsi="Calibri" w:cs="Calibri"/>
                <w:color w:val="000000"/>
              </w:rPr>
            </w:pPr>
            <w:r w:rsidRPr="00155117">
              <w:rPr>
                <w:rFonts w:ascii="Calibri" w:eastAsia="Times New Roman" w:hAnsi="Calibri" w:cs="Calibri"/>
                <w:color w:val="000000"/>
              </w:rPr>
              <w:t>Kotak Small Cap Fund</w:t>
            </w:r>
          </w:p>
        </w:tc>
        <w:tc>
          <w:tcPr>
            <w:tcW w:w="2027"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27.42</w:t>
            </w:r>
          </w:p>
        </w:tc>
        <w:tc>
          <w:tcPr>
            <w:tcW w:w="1620"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1.11</w:t>
            </w:r>
          </w:p>
        </w:tc>
        <w:tc>
          <w:tcPr>
            <w:tcW w:w="801"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0.84</w:t>
            </w:r>
          </w:p>
        </w:tc>
        <w:tc>
          <w:tcPr>
            <w:tcW w:w="1017"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11.79</w:t>
            </w:r>
          </w:p>
        </w:tc>
      </w:tr>
      <w:tr w:rsidR="00AD4EF5" w:rsidRPr="008B5FA5" w:rsidTr="00B906D8">
        <w:tc>
          <w:tcPr>
            <w:tcW w:w="889" w:type="dxa"/>
          </w:tcPr>
          <w:p w:rsidR="00AD4EF5" w:rsidRPr="008B5FA5" w:rsidRDefault="00AD4EF5" w:rsidP="00155117">
            <w:pPr>
              <w:jc w:val="center"/>
            </w:pPr>
            <w:r>
              <w:t>9.</w:t>
            </w:r>
          </w:p>
        </w:tc>
        <w:tc>
          <w:tcPr>
            <w:tcW w:w="3222" w:type="dxa"/>
            <w:shd w:val="clear" w:color="auto" w:fill="auto"/>
          </w:tcPr>
          <w:p w:rsidR="00AD4EF5" w:rsidRPr="00155117" w:rsidRDefault="00AD4EF5" w:rsidP="00155117">
            <w:pPr>
              <w:rPr>
                <w:rFonts w:ascii="Calibri" w:eastAsia="Times New Roman" w:hAnsi="Calibri" w:cs="Calibri"/>
                <w:color w:val="000000"/>
              </w:rPr>
            </w:pPr>
            <w:r w:rsidRPr="00155117">
              <w:rPr>
                <w:rFonts w:ascii="Calibri" w:eastAsia="Times New Roman" w:hAnsi="Calibri" w:cs="Calibri"/>
                <w:color w:val="000000"/>
              </w:rPr>
              <w:t>Quant Small Cap Fund</w:t>
            </w:r>
          </w:p>
        </w:tc>
        <w:tc>
          <w:tcPr>
            <w:tcW w:w="2027"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31.97</w:t>
            </w:r>
          </w:p>
        </w:tc>
        <w:tc>
          <w:tcPr>
            <w:tcW w:w="1620"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0.96</w:t>
            </w:r>
          </w:p>
        </w:tc>
        <w:tc>
          <w:tcPr>
            <w:tcW w:w="801"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1.18</w:t>
            </w:r>
          </w:p>
        </w:tc>
        <w:tc>
          <w:tcPr>
            <w:tcW w:w="1017" w:type="dxa"/>
            <w:vAlign w:val="bottom"/>
          </w:tcPr>
          <w:p w:rsidR="00AD4EF5" w:rsidRPr="002D2712" w:rsidRDefault="00AD4EF5" w:rsidP="00B906D8">
            <w:pPr>
              <w:jc w:val="right"/>
              <w:rPr>
                <w:rFonts w:ascii="Calibri" w:hAnsi="Calibri" w:cs="Calibri"/>
                <w:color w:val="000000"/>
              </w:rPr>
            </w:pPr>
            <w:r w:rsidRPr="002D2712">
              <w:rPr>
                <w:rFonts w:ascii="Calibri" w:hAnsi="Calibri" w:cs="Calibri"/>
                <w:color w:val="000000"/>
              </w:rPr>
              <w:t>12.39</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281C68" w:rsidRDefault="00E33EEC" w:rsidP="00155117">
            <w:pPr>
              <w:jc w:val="center"/>
              <w:rPr>
                <w:rFonts w:ascii="Calibri" w:hAnsi="Calibri" w:cs="Calibri"/>
                <w:color w:val="000000"/>
              </w:rPr>
            </w:pPr>
            <w:r w:rsidRPr="00155117">
              <w:rPr>
                <w:b/>
              </w:rPr>
              <w:t>Multi-cap mutual fund</w:t>
            </w:r>
          </w:p>
        </w:tc>
        <w:tc>
          <w:tcPr>
            <w:tcW w:w="2027" w:type="dxa"/>
          </w:tcPr>
          <w:p w:rsidR="00E33EEC" w:rsidRDefault="00E33EEC" w:rsidP="00155117">
            <w:pPr>
              <w:jc w:val="center"/>
            </w:pPr>
          </w:p>
        </w:tc>
        <w:tc>
          <w:tcPr>
            <w:tcW w:w="1620" w:type="dxa"/>
          </w:tcPr>
          <w:p w:rsidR="00E33EEC" w:rsidRDefault="00E33EEC" w:rsidP="00155117">
            <w:pPr>
              <w:jc w:val="center"/>
            </w:pPr>
          </w:p>
        </w:tc>
        <w:tc>
          <w:tcPr>
            <w:tcW w:w="801" w:type="dxa"/>
          </w:tcPr>
          <w:p w:rsidR="00E33EEC" w:rsidRDefault="00E33EEC" w:rsidP="00155117">
            <w:pPr>
              <w:jc w:val="center"/>
            </w:pPr>
          </w:p>
        </w:tc>
        <w:tc>
          <w:tcPr>
            <w:tcW w:w="1017" w:type="dxa"/>
          </w:tcPr>
          <w:p w:rsidR="00E33EEC" w:rsidRDefault="00E33EEC" w:rsidP="00155117">
            <w:pPr>
              <w:jc w:val="center"/>
            </w:pPr>
          </w:p>
        </w:tc>
      </w:tr>
      <w:tr w:rsidR="00AD4EF5" w:rsidRPr="008B5FA5" w:rsidTr="00B906D8">
        <w:tc>
          <w:tcPr>
            <w:tcW w:w="889" w:type="dxa"/>
          </w:tcPr>
          <w:p w:rsidR="00AD4EF5" w:rsidRDefault="00AD4EF5" w:rsidP="00155117">
            <w:pPr>
              <w:jc w:val="center"/>
            </w:pPr>
            <w:r>
              <w:t>15.</w:t>
            </w:r>
          </w:p>
        </w:tc>
        <w:tc>
          <w:tcPr>
            <w:tcW w:w="3222" w:type="dxa"/>
            <w:shd w:val="clear" w:color="auto" w:fill="auto"/>
            <w:vAlign w:val="bottom"/>
          </w:tcPr>
          <w:p w:rsidR="00AD4EF5" w:rsidRPr="008D3348" w:rsidRDefault="00AD4EF5" w:rsidP="00155117">
            <w:pPr>
              <w:rPr>
                <w:rFonts w:ascii="Calibri" w:hAnsi="Calibri" w:cs="Calibri"/>
                <w:color w:val="000000"/>
              </w:rPr>
            </w:pPr>
            <w:r w:rsidRPr="008D3348">
              <w:rPr>
                <w:rFonts w:ascii="Calibri" w:hAnsi="Calibri" w:cs="Calibri"/>
                <w:color w:val="000000"/>
              </w:rPr>
              <w:t>Quant Active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23.47</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1.18</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1.11</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11.41</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281C68" w:rsidRDefault="00E33EEC" w:rsidP="00155117">
            <w:pPr>
              <w:jc w:val="center"/>
              <w:rPr>
                <w:rFonts w:ascii="Calibri" w:hAnsi="Calibri" w:cs="Calibri"/>
                <w:color w:val="000000"/>
              </w:rPr>
            </w:pPr>
            <w:r w:rsidRPr="00155117">
              <w:rPr>
                <w:b/>
              </w:rPr>
              <w:t>Flexi –cap mutual fund</w:t>
            </w:r>
          </w:p>
        </w:tc>
        <w:tc>
          <w:tcPr>
            <w:tcW w:w="2027" w:type="dxa"/>
          </w:tcPr>
          <w:p w:rsidR="00E33EEC" w:rsidRDefault="00E33EEC" w:rsidP="00155117">
            <w:pPr>
              <w:jc w:val="center"/>
            </w:pPr>
          </w:p>
        </w:tc>
        <w:tc>
          <w:tcPr>
            <w:tcW w:w="1620" w:type="dxa"/>
          </w:tcPr>
          <w:p w:rsidR="00E33EEC" w:rsidRDefault="00E33EEC" w:rsidP="00155117">
            <w:pPr>
              <w:jc w:val="center"/>
            </w:pPr>
          </w:p>
        </w:tc>
        <w:tc>
          <w:tcPr>
            <w:tcW w:w="801" w:type="dxa"/>
          </w:tcPr>
          <w:p w:rsidR="00E33EEC" w:rsidRDefault="00E33EEC" w:rsidP="00155117">
            <w:pPr>
              <w:jc w:val="center"/>
            </w:pPr>
          </w:p>
        </w:tc>
        <w:tc>
          <w:tcPr>
            <w:tcW w:w="1017" w:type="dxa"/>
          </w:tcPr>
          <w:p w:rsidR="00E33EEC" w:rsidRDefault="00E33EEC" w:rsidP="00155117">
            <w:pPr>
              <w:jc w:val="center"/>
            </w:pPr>
          </w:p>
        </w:tc>
      </w:tr>
      <w:tr w:rsidR="00AD4EF5" w:rsidRPr="008B5FA5" w:rsidTr="00B906D8">
        <w:tc>
          <w:tcPr>
            <w:tcW w:w="889" w:type="dxa"/>
          </w:tcPr>
          <w:p w:rsidR="00AD4EF5" w:rsidRDefault="00AD4EF5" w:rsidP="00155117">
            <w:pPr>
              <w:jc w:val="center"/>
            </w:pPr>
            <w:r>
              <w:t>16.</w:t>
            </w:r>
          </w:p>
        </w:tc>
        <w:tc>
          <w:tcPr>
            <w:tcW w:w="3222" w:type="dxa"/>
            <w:shd w:val="clear" w:color="auto" w:fill="auto"/>
            <w:vAlign w:val="bottom"/>
          </w:tcPr>
          <w:p w:rsidR="00AD4EF5" w:rsidRPr="00994929" w:rsidRDefault="00AD4EF5" w:rsidP="00155117">
            <w:pPr>
              <w:rPr>
                <w:rFonts w:ascii="Calibri" w:hAnsi="Calibri" w:cs="Calibri"/>
                <w:color w:val="000000" w:themeColor="text1"/>
              </w:rPr>
            </w:pPr>
            <w:r w:rsidRPr="00994929">
              <w:rPr>
                <w:rFonts w:ascii="Calibri" w:hAnsi="Calibri" w:cs="Calibri"/>
                <w:color w:val="000000" w:themeColor="text1"/>
              </w:rPr>
              <w:t>Parag Parikh Flexi Cap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17.75</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1.35</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0.72</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11.84</w:t>
            </w:r>
          </w:p>
        </w:tc>
      </w:tr>
      <w:tr w:rsidR="00AD4EF5" w:rsidRPr="008B5FA5" w:rsidTr="00B906D8">
        <w:tc>
          <w:tcPr>
            <w:tcW w:w="889" w:type="dxa"/>
          </w:tcPr>
          <w:p w:rsidR="00AD4EF5" w:rsidRDefault="00AD4EF5" w:rsidP="00155117">
            <w:pPr>
              <w:jc w:val="center"/>
            </w:pPr>
            <w:r>
              <w:t>17.</w:t>
            </w:r>
          </w:p>
        </w:tc>
        <w:tc>
          <w:tcPr>
            <w:tcW w:w="3222" w:type="dxa"/>
            <w:shd w:val="clear" w:color="auto" w:fill="auto"/>
            <w:vAlign w:val="bottom"/>
          </w:tcPr>
          <w:p w:rsidR="00AD4EF5" w:rsidRPr="00994929" w:rsidRDefault="00AD4EF5" w:rsidP="00155117">
            <w:pPr>
              <w:rPr>
                <w:rFonts w:ascii="Calibri" w:hAnsi="Calibri" w:cs="Calibri"/>
                <w:color w:val="000000" w:themeColor="text1"/>
              </w:rPr>
            </w:pPr>
            <w:r w:rsidRPr="00994929">
              <w:rPr>
                <w:rFonts w:ascii="Calibri" w:hAnsi="Calibri" w:cs="Calibri"/>
                <w:color w:val="000000" w:themeColor="text1"/>
              </w:rPr>
              <w:t>PGIM India Flexi Cap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17.25</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0.67</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0.95</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9.08</w:t>
            </w:r>
          </w:p>
        </w:tc>
      </w:tr>
      <w:tr w:rsidR="00AD4EF5" w:rsidRPr="008B5FA5" w:rsidTr="00B906D8">
        <w:tc>
          <w:tcPr>
            <w:tcW w:w="889" w:type="dxa"/>
          </w:tcPr>
          <w:p w:rsidR="00AD4EF5" w:rsidRDefault="00AD4EF5" w:rsidP="00155117">
            <w:pPr>
              <w:jc w:val="center"/>
            </w:pPr>
            <w:r>
              <w:t>18.</w:t>
            </w:r>
          </w:p>
        </w:tc>
        <w:tc>
          <w:tcPr>
            <w:tcW w:w="3222" w:type="dxa"/>
            <w:shd w:val="clear" w:color="auto" w:fill="auto"/>
            <w:vAlign w:val="bottom"/>
          </w:tcPr>
          <w:p w:rsidR="00AD4EF5" w:rsidRPr="00994929" w:rsidRDefault="00AD4EF5" w:rsidP="00155117">
            <w:pPr>
              <w:rPr>
                <w:rFonts w:ascii="Calibri" w:hAnsi="Calibri" w:cs="Calibri"/>
              </w:rPr>
            </w:pPr>
            <w:r w:rsidRPr="00994929">
              <w:rPr>
                <w:rFonts w:ascii="Calibri" w:hAnsi="Calibri" w:cs="Calibri"/>
              </w:rPr>
              <w:t>UTI Flexi Cap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18.71</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1.27</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0.87</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6.24</w:t>
            </w:r>
          </w:p>
        </w:tc>
      </w:tr>
      <w:tr w:rsidR="00E33EEC" w:rsidRPr="008B5FA5" w:rsidTr="00AD4EF5">
        <w:tc>
          <w:tcPr>
            <w:tcW w:w="889" w:type="dxa"/>
          </w:tcPr>
          <w:p w:rsidR="00E33EEC" w:rsidRDefault="00E33EEC" w:rsidP="00155117">
            <w:pPr>
              <w:jc w:val="center"/>
            </w:pPr>
          </w:p>
        </w:tc>
        <w:tc>
          <w:tcPr>
            <w:tcW w:w="3222" w:type="dxa"/>
            <w:shd w:val="clear" w:color="auto" w:fill="auto"/>
            <w:vAlign w:val="bottom"/>
          </w:tcPr>
          <w:p w:rsidR="00E33EEC" w:rsidRPr="00994929" w:rsidRDefault="00E33EEC" w:rsidP="00155117">
            <w:pPr>
              <w:jc w:val="center"/>
              <w:rPr>
                <w:rFonts w:ascii="Calibri" w:hAnsi="Calibri" w:cs="Calibri"/>
                <w:color w:val="000000" w:themeColor="text1"/>
              </w:rPr>
            </w:pPr>
            <w:r w:rsidRPr="00155117">
              <w:rPr>
                <w:b/>
              </w:rPr>
              <w:t>Focused fund</w:t>
            </w:r>
          </w:p>
        </w:tc>
        <w:tc>
          <w:tcPr>
            <w:tcW w:w="2027" w:type="dxa"/>
          </w:tcPr>
          <w:p w:rsidR="00E33EEC" w:rsidRPr="00994929" w:rsidRDefault="00E33EEC" w:rsidP="00155117">
            <w:pPr>
              <w:jc w:val="right"/>
              <w:rPr>
                <w:rFonts w:ascii="Calibri" w:hAnsi="Calibri" w:cs="Calibri"/>
                <w:color w:val="000000" w:themeColor="text1"/>
              </w:rPr>
            </w:pPr>
          </w:p>
        </w:tc>
        <w:tc>
          <w:tcPr>
            <w:tcW w:w="1620" w:type="dxa"/>
            <w:vAlign w:val="bottom"/>
          </w:tcPr>
          <w:p w:rsidR="00E33EEC" w:rsidRPr="00994929" w:rsidRDefault="00E33EEC" w:rsidP="00155117">
            <w:pPr>
              <w:jc w:val="right"/>
              <w:rPr>
                <w:rFonts w:ascii="Calibri" w:hAnsi="Calibri" w:cs="Calibri"/>
                <w:color w:val="000000" w:themeColor="text1"/>
              </w:rPr>
            </w:pPr>
          </w:p>
        </w:tc>
        <w:tc>
          <w:tcPr>
            <w:tcW w:w="801" w:type="dxa"/>
            <w:vAlign w:val="bottom"/>
          </w:tcPr>
          <w:p w:rsidR="00E33EEC" w:rsidRPr="00994929" w:rsidRDefault="00E33EEC" w:rsidP="00155117">
            <w:pPr>
              <w:jc w:val="right"/>
              <w:rPr>
                <w:rFonts w:ascii="Calibri" w:hAnsi="Calibri" w:cs="Calibri"/>
                <w:color w:val="000000" w:themeColor="text1"/>
              </w:rPr>
            </w:pPr>
          </w:p>
        </w:tc>
        <w:tc>
          <w:tcPr>
            <w:tcW w:w="1017" w:type="dxa"/>
            <w:vAlign w:val="bottom"/>
          </w:tcPr>
          <w:p w:rsidR="00E33EEC" w:rsidRPr="00994929" w:rsidRDefault="00E33EEC" w:rsidP="00155117">
            <w:pPr>
              <w:jc w:val="right"/>
              <w:rPr>
                <w:rFonts w:ascii="Calibri" w:hAnsi="Calibri" w:cs="Calibri"/>
                <w:color w:val="000000" w:themeColor="text1"/>
              </w:rPr>
            </w:pPr>
          </w:p>
        </w:tc>
      </w:tr>
      <w:tr w:rsidR="00AD4EF5" w:rsidRPr="008B5FA5" w:rsidTr="00B906D8">
        <w:tc>
          <w:tcPr>
            <w:tcW w:w="889" w:type="dxa"/>
          </w:tcPr>
          <w:p w:rsidR="00AD4EF5" w:rsidRDefault="00AD4EF5" w:rsidP="00155117">
            <w:pPr>
              <w:jc w:val="center"/>
            </w:pPr>
            <w:r>
              <w:lastRenderedPageBreak/>
              <w:t>20.</w:t>
            </w:r>
          </w:p>
        </w:tc>
        <w:tc>
          <w:tcPr>
            <w:tcW w:w="3222" w:type="dxa"/>
            <w:shd w:val="clear" w:color="auto" w:fill="auto"/>
            <w:vAlign w:val="center"/>
          </w:tcPr>
          <w:p w:rsidR="00AD4EF5" w:rsidRPr="00994929" w:rsidRDefault="00AD4EF5" w:rsidP="00155117">
            <w:pPr>
              <w:rPr>
                <w:rFonts w:ascii="Calibri" w:hAnsi="Calibri" w:cs="Calibri"/>
              </w:rPr>
            </w:pPr>
            <w:r w:rsidRPr="00994929">
              <w:rPr>
                <w:rFonts w:ascii="Calibri" w:hAnsi="Calibri" w:cs="Calibri"/>
              </w:rPr>
              <w:t>IIFL Focused Equity Fund</w:t>
            </w:r>
          </w:p>
        </w:tc>
        <w:tc>
          <w:tcPr>
            <w:tcW w:w="202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14.37</w:t>
            </w:r>
          </w:p>
        </w:tc>
        <w:tc>
          <w:tcPr>
            <w:tcW w:w="1620"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0.58</w:t>
            </w:r>
          </w:p>
        </w:tc>
        <w:tc>
          <w:tcPr>
            <w:tcW w:w="801"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0.94</w:t>
            </w:r>
          </w:p>
        </w:tc>
        <w:tc>
          <w:tcPr>
            <w:tcW w:w="101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10.00</w:t>
            </w:r>
          </w:p>
        </w:tc>
      </w:tr>
      <w:tr w:rsidR="00AD4EF5" w:rsidRPr="008B5FA5" w:rsidTr="00B906D8">
        <w:tc>
          <w:tcPr>
            <w:tcW w:w="889" w:type="dxa"/>
          </w:tcPr>
          <w:p w:rsidR="00AD4EF5" w:rsidRDefault="00AD4EF5" w:rsidP="00155117">
            <w:pPr>
              <w:jc w:val="center"/>
            </w:pPr>
            <w:r>
              <w:t>21.</w:t>
            </w:r>
          </w:p>
        </w:tc>
        <w:tc>
          <w:tcPr>
            <w:tcW w:w="3222" w:type="dxa"/>
            <w:shd w:val="clear" w:color="auto" w:fill="auto"/>
            <w:vAlign w:val="center"/>
          </w:tcPr>
          <w:p w:rsidR="00AD4EF5" w:rsidRPr="00994929" w:rsidRDefault="00AD4EF5" w:rsidP="00155117">
            <w:pPr>
              <w:rPr>
                <w:rFonts w:ascii="Calibri" w:hAnsi="Calibri" w:cs="Calibri"/>
              </w:rPr>
            </w:pPr>
            <w:r w:rsidRPr="00994929">
              <w:rPr>
                <w:rFonts w:ascii="Calibri" w:hAnsi="Calibri" w:cs="Calibri"/>
              </w:rPr>
              <w:t>SBI Focused Equity Fund</w:t>
            </w:r>
          </w:p>
        </w:tc>
        <w:tc>
          <w:tcPr>
            <w:tcW w:w="202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20.47</w:t>
            </w:r>
          </w:p>
        </w:tc>
        <w:tc>
          <w:tcPr>
            <w:tcW w:w="1620"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1.06</w:t>
            </w:r>
          </w:p>
        </w:tc>
        <w:tc>
          <w:tcPr>
            <w:tcW w:w="801"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0.87</w:t>
            </w:r>
          </w:p>
        </w:tc>
        <w:tc>
          <w:tcPr>
            <w:tcW w:w="101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6.73</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281C68" w:rsidRDefault="00E33EEC" w:rsidP="00155117">
            <w:pPr>
              <w:jc w:val="center"/>
              <w:rPr>
                <w:rFonts w:ascii="Calibri" w:hAnsi="Calibri" w:cs="Calibri"/>
                <w:color w:val="000000"/>
              </w:rPr>
            </w:pPr>
            <w:r w:rsidRPr="00155117">
              <w:rPr>
                <w:b/>
              </w:rPr>
              <w:t>Dividend yield fund</w:t>
            </w:r>
          </w:p>
        </w:tc>
        <w:tc>
          <w:tcPr>
            <w:tcW w:w="2027" w:type="dxa"/>
          </w:tcPr>
          <w:p w:rsidR="00E33EEC" w:rsidRDefault="00E33EEC" w:rsidP="00155117">
            <w:pPr>
              <w:jc w:val="center"/>
            </w:pPr>
          </w:p>
        </w:tc>
        <w:tc>
          <w:tcPr>
            <w:tcW w:w="1620" w:type="dxa"/>
          </w:tcPr>
          <w:p w:rsidR="00E33EEC" w:rsidRDefault="00E33EEC" w:rsidP="00155117">
            <w:pPr>
              <w:jc w:val="center"/>
            </w:pPr>
          </w:p>
        </w:tc>
        <w:tc>
          <w:tcPr>
            <w:tcW w:w="801" w:type="dxa"/>
          </w:tcPr>
          <w:p w:rsidR="00E33EEC" w:rsidRDefault="00E33EEC" w:rsidP="00155117">
            <w:pPr>
              <w:jc w:val="center"/>
            </w:pPr>
          </w:p>
        </w:tc>
        <w:tc>
          <w:tcPr>
            <w:tcW w:w="1017" w:type="dxa"/>
          </w:tcPr>
          <w:p w:rsidR="00E33EEC" w:rsidRDefault="00E33EEC" w:rsidP="00155117">
            <w:pPr>
              <w:jc w:val="center"/>
            </w:pPr>
          </w:p>
        </w:tc>
      </w:tr>
      <w:tr w:rsidR="00AD4EF5" w:rsidRPr="008B5FA5" w:rsidTr="00B906D8">
        <w:tc>
          <w:tcPr>
            <w:tcW w:w="889" w:type="dxa"/>
          </w:tcPr>
          <w:p w:rsidR="00AD4EF5" w:rsidRDefault="00AD4EF5" w:rsidP="00155117">
            <w:pPr>
              <w:jc w:val="center"/>
            </w:pPr>
            <w:r>
              <w:t>23.</w:t>
            </w:r>
          </w:p>
        </w:tc>
        <w:tc>
          <w:tcPr>
            <w:tcW w:w="3222" w:type="dxa"/>
            <w:shd w:val="clear" w:color="auto" w:fill="auto"/>
            <w:vAlign w:val="bottom"/>
          </w:tcPr>
          <w:p w:rsidR="00AD4EF5" w:rsidRPr="00994929" w:rsidRDefault="00AD4EF5" w:rsidP="00155117">
            <w:pPr>
              <w:rPr>
                <w:rFonts w:ascii="Calibri" w:hAnsi="Calibri" w:cs="Calibri"/>
                <w:color w:val="000000"/>
              </w:rPr>
            </w:pPr>
            <w:r w:rsidRPr="00994929">
              <w:rPr>
                <w:rFonts w:ascii="Calibri" w:hAnsi="Calibri" w:cs="Calibri"/>
                <w:color w:val="000000"/>
              </w:rPr>
              <w:t>Templeton India Equity Income Fund</w:t>
            </w:r>
          </w:p>
        </w:tc>
        <w:tc>
          <w:tcPr>
            <w:tcW w:w="202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19.54</w:t>
            </w:r>
          </w:p>
        </w:tc>
        <w:tc>
          <w:tcPr>
            <w:tcW w:w="1620"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1.01</w:t>
            </w:r>
          </w:p>
        </w:tc>
        <w:tc>
          <w:tcPr>
            <w:tcW w:w="801"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0.85</w:t>
            </w:r>
          </w:p>
        </w:tc>
        <w:tc>
          <w:tcPr>
            <w:tcW w:w="101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5.79</w:t>
            </w:r>
          </w:p>
        </w:tc>
      </w:tr>
      <w:tr w:rsidR="00AD4EF5" w:rsidRPr="008B5FA5" w:rsidTr="00B906D8">
        <w:tc>
          <w:tcPr>
            <w:tcW w:w="889" w:type="dxa"/>
          </w:tcPr>
          <w:p w:rsidR="00AD4EF5" w:rsidRDefault="00AD4EF5" w:rsidP="00155117">
            <w:pPr>
              <w:jc w:val="center"/>
            </w:pPr>
            <w:r>
              <w:t>24.</w:t>
            </w:r>
          </w:p>
        </w:tc>
        <w:tc>
          <w:tcPr>
            <w:tcW w:w="3222" w:type="dxa"/>
            <w:shd w:val="clear" w:color="auto" w:fill="auto"/>
            <w:vAlign w:val="bottom"/>
          </w:tcPr>
          <w:p w:rsidR="00AD4EF5" w:rsidRPr="00994929" w:rsidRDefault="00AD4EF5" w:rsidP="00155117">
            <w:pPr>
              <w:rPr>
                <w:rFonts w:ascii="Calibri" w:hAnsi="Calibri" w:cs="Calibri"/>
                <w:color w:val="000000"/>
              </w:rPr>
            </w:pPr>
            <w:r w:rsidRPr="00994929">
              <w:rPr>
                <w:rFonts w:ascii="Calibri" w:hAnsi="Calibri" w:cs="Calibri"/>
                <w:color w:val="000000"/>
              </w:rPr>
              <w:t>UTI Dividend Yield Fund</w:t>
            </w:r>
          </w:p>
        </w:tc>
        <w:tc>
          <w:tcPr>
            <w:tcW w:w="202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17.93</w:t>
            </w:r>
          </w:p>
        </w:tc>
        <w:tc>
          <w:tcPr>
            <w:tcW w:w="1620"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0.85</w:t>
            </w:r>
          </w:p>
        </w:tc>
        <w:tc>
          <w:tcPr>
            <w:tcW w:w="801"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0.93</w:t>
            </w:r>
          </w:p>
        </w:tc>
        <w:tc>
          <w:tcPr>
            <w:tcW w:w="101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3.45</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281C68" w:rsidRDefault="00E33EEC" w:rsidP="00155117">
            <w:pPr>
              <w:jc w:val="center"/>
              <w:rPr>
                <w:rFonts w:ascii="Calibri" w:hAnsi="Calibri" w:cs="Calibri"/>
                <w:color w:val="000000"/>
              </w:rPr>
            </w:pPr>
            <w:r w:rsidRPr="00155117">
              <w:rPr>
                <w:b/>
              </w:rPr>
              <w:t>Value/Contra fund</w:t>
            </w:r>
          </w:p>
        </w:tc>
        <w:tc>
          <w:tcPr>
            <w:tcW w:w="2027" w:type="dxa"/>
          </w:tcPr>
          <w:p w:rsidR="00E33EEC" w:rsidRDefault="00E33EEC" w:rsidP="00155117">
            <w:pPr>
              <w:jc w:val="center"/>
            </w:pPr>
          </w:p>
        </w:tc>
        <w:tc>
          <w:tcPr>
            <w:tcW w:w="1620" w:type="dxa"/>
          </w:tcPr>
          <w:p w:rsidR="00E33EEC" w:rsidRDefault="00E33EEC" w:rsidP="00155117">
            <w:pPr>
              <w:jc w:val="center"/>
            </w:pPr>
          </w:p>
        </w:tc>
        <w:tc>
          <w:tcPr>
            <w:tcW w:w="801" w:type="dxa"/>
          </w:tcPr>
          <w:p w:rsidR="00E33EEC" w:rsidRDefault="00E33EEC" w:rsidP="00155117">
            <w:pPr>
              <w:jc w:val="center"/>
            </w:pPr>
          </w:p>
        </w:tc>
        <w:tc>
          <w:tcPr>
            <w:tcW w:w="1017" w:type="dxa"/>
          </w:tcPr>
          <w:p w:rsidR="00E33EEC" w:rsidRDefault="00E33EEC" w:rsidP="00155117">
            <w:pPr>
              <w:jc w:val="center"/>
            </w:pPr>
          </w:p>
        </w:tc>
      </w:tr>
      <w:tr w:rsidR="00AD4EF5" w:rsidRPr="008B5FA5" w:rsidTr="00B906D8">
        <w:tc>
          <w:tcPr>
            <w:tcW w:w="889" w:type="dxa"/>
          </w:tcPr>
          <w:p w:rsidR="00AD4EF5" w:rsidRDefault="00AD4EF5" w:rsidP="00155117">
            <w:pPr>
              <w:jc w:val="center"/>
            </w:pPr>
            <w:r>
              <w:t>25.</w:t>
            </w:r>
          </w:p>
        </w:tc>
        <w:tc>
          <w:tcPr>
            <w:tcW w:w="3222" w:type="dxa"/>
            <w:shd w:val="clear" w:color="auto" w:fill="auto"/>
            <w:vAlign w:val="center"/>
          </w:tcPr>
          <w:p w:rsidR="00AD4EF5" w:rsidRPr="00994929" w:rsidRDefault="00AD4EF5" w:rsidP="00155117">
            <w:pPr>
              <w:rPr>
                <w:rFonts w:ascii="Calibri" w:hAnsi="Calibri" w:cs="Calibri"/>
                <w:bCs/>
                <w:color w:val="000000"/>
              </w:rPr>
            </w:pPr>
            <w:r w:rsidRPr="00994929">
              <w:rPr>
                <w:rFonts w:ascii="Calibri" w:hAnsi="Calibri" w:cs="Calibri"/>
                <w:bCs/>
                <w:color w:val="000000"/>
              </w:rPr>
              <w:t>SBI Contra Fund</w:t>
            </w:r>
          </w:p>
        </w:tc>
        <w:tc>
          <w:tcPr>
            <w:tcW w:w="202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23.46</w:t>
            </w:r>
          </w:p>
        </w:tc>
        <w:tc>
          <w:tcPr>
            <w:tcW w:w="1620"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0.90</w:t>
            </w:r>
          </w:p>
        </w:tc>
        <w:tc>
          <w:tcPr>
            <w:tcW w:w="801"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1.02</w:t>
            </w:r>
          </w:p>
        </w:tc>
        <w:tc>
          <w:tcPr>
            <w:tcW w:w="1017" w:type="dxa"/>
            <w:vAlign w:val="bottom"/>
          </w:tcPr>
          <w:p w:rsidR="00AD4EF5" w:rsidRPr="00994929" w:rsidRDefault="00AD4EF5" w:rsidP="00B906D8">
            <w:pPr>
              <w:jc w:val="right"/>
              <w:rPr>
                <w:rFonts w:ascii="Calibri" w:eastAsia="Times New Roman" w:hAnsi="Calibri" w:cs="Calibri"/>
                <w:color w:val="000000"/>
              </w:rPr>
            </w:pPr>
            <w:r w:rsidRPr="00994929">
              <w:rPr>
                <w:rFonts w:ascii="Calibri" w:eastAsia="Times New Roman" w:hAnsi="Calibri" w:cs="Calibri"/>
                <w:color w:val="000000"/>
              </w:rPr>
              <w:t>6.34</w:t>
            </w:r>
          </w:p>
        </w:tc>
      </w:tr>
      <w:tr w:rsidR="00E33EEC" w:rsidRPr="008B5FA5" w:rsidTr="00AD4EF5">
        <w:tc>
          <w:tcPr>
            <w:tcW w:w="889" w:type="dxa"/>
          </w:tcPr>
          <w:p w:rsidR="00E33EEC" w:rsidRDefault="00E33EEC" w:rsidP="00155117">
            <w:pPr>
              <w:jc w:val="center"/>
            </w:pPr>
          </w:p>
        </w:tc>
        <w:tc>
          <w:tcPr>
            <w:tcW w:w="3222" w:type="dxa"/>
            <w:shd w:val="clear" w:color="auto" w:fill="auto"/>
          </w:tcPr>
          <w:p w:rsidR="00E33EEC" w:rsidRPr="00281C68" w:rsidRDefault="00E33EEC" w:rsidP="00155117">
            <w:pPr>
              <w:jc w:val="center"/>
              <w:rPr>
                <w:rFonts w:ascii="Calibri" w:hAnsi="Calibri" w:cs="Calibri"/>
                <w:color w:val="000000"/>
              </w:rPr>
            </w:pPr>
            <w:r w:rsidRPr="00155117">
              <w:rPr>
                <w:b/>
              </w:rPr>
              <w:t>ELSS mutual fund</w:t>
            </w:r>
          </w:p>
        </w:tc>
        <w:tc>
          <w:tcPr>
            <w:tcW w:w="2027" w:type="dxa"/>
          </w:tcPr>
          <w:p w:rsidR="00E33EEC" w:rsidRDefault="00E33EEC" w:rsidP="00155117">
            <w:pPr>
              <w:jc w:val="center"/>
            </w:pPr>
          </w:p>
        </w:tc>
        <w:tc>
          <w:tcPr>
            <w:tcW w:w="1620" w:type="dxa"/>
          </w:tcPr>
          <w:p w:rsidR="00E33EEC" w:rsidRDefault="00E33EEC" w:rsidP="00155117">
            <w:pPr>
              <w:jc w:val="center"/>
            </w:pPr>
          </w:p>
        </w:tc>
        <w:tc>
          <w:tcPr>
            <w:tcW w:w="801" w:type="dxa"/>
          </w:tcPr>
          <w:p w:rsidR="00E33EEC" w:rsidRDefault="00E33EEC" w:rsidP="00155117">
            <w:pPr>
              <w:jc w:val="center"/>
            </w:pPr>
          </w:p>
        </w:tc>
        <w:tc>
          <w:tcPr>
            <w:tcW w:w="1017" w:type="dxa"/>
          </w:tcPr>
          <w:p w:rsidR="00E33EEC" w:rsidRDefault="00E33EEC" w:rsidP="00155117">
            <w:pPr>
              <w:jc w:val="center"/>
            </w:pPr>
          </w:p>
        </w:tc>
      </w:tr>
      <w:tr w:rsidR="00AD4EF5" w:rsidRPr="008B5FA5" w:rsidTr="00B906D8">
        <w:tc>
          <w:tcPr>
            <w:tcW w:w="889" w:type="dxa"/>
          </w:tcPr>
          <w:p w:rsidR="00AD4EF5" w:rsidRDefault="00AD4EF5" w:rsidP="00155117">
            <w:pPr>
              <w:jc w:val="center"/>
            </w:pPr>
            <w:r>
              <w:t>28.</w:t>
            </w:r>
          </w:p>
        </w:tc>
        <w:tc>
          <w:tcPr>
            <w:tcW w:w="3222" w:type="dxa"/>
            <w:shd w:val="clear" w:color="auto" w:fill="auto"/>
            <w:vAlign w:val="bottom"/>
          </w:tcPr>
          <w:p w:rsidR="00AD4EF5" w:rsidRPr="00994929" w:rsidRDefault="00AD4EF5" w:rsidP="00155117">
            <w:pPr>
              <w:rPr>
                <w:rFonts w:ascii="Calibri" w:hAnsi="Calibri" w:cs="Calibri"/>
                <w:color w:val="000000"/>
              </w:rPr>
            </w:pPr>
            <w:r w:rsidRPr="00994929">
              <w:rPr>
                <w:rFonts w:ascii="Calibri" w:hAnsi="Calibri" w:cs="Calibri"/>
                <w:color w:val="000000"/>
              </w:rPr>
              <w:t>IDFC Tax Advantage (ELSS)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26.09</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0.64</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1.16</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0.94</w:t>
            </w:r>
          </w:p>
        </w:tc>
      </w:tr>
      <w:tr w:rsidR="00AD4EF5" w:rsidRPr="008B5FA5" w:rsidTr="00B906D8">
        <w:tc>
          <w:tcPr>
            <w:tcW w:w="889" w:type="dxa"/>
          </w:tcPr>
          <w:p w:rsidR="00AD4EF5" w:rsidRDefault="00AD4EF5" w:rsidP="00155117">
            <w:pPr>
              <w:jc w:val="center"/>
            </w:pPr>
            <w:r>
              <w:t>29.</w:t>
            </w:r>
          </w:p>
        </w:tc>
        <w:tc>
          <w:tcPr>
            <w:tcW w:w="3222" w:type="dxa"/>
            <w:shd w:val="clear" w:color="auto" w:fill="auto"/>
            <w:vAlign w:val="bottom"/>
          </w:tcPr>
          <w:p w:rsidR="00AD4EF5" w:rsidRPr="00994929" w:rsidRDefault="00AD4EF5" w:rsidP="00155117">
            <w:pPr>
              <w:rPr>
                <w:rFonts w:ascii="Calibri" w:hAnsi="Calibri" w:cs="Calibri"/>
                <w:color w:val="000000"/>
              </w:rPr>
            </w:pPr>
            <w:r w:rsidRPr="00994929">
              <w:rPr>
                <w:rFonts w:ascii="Calibri" w:hAnsi="Calibri" w:cs="Calibri"/>
                <w:color w:val="000000"/>
              </w:rPr>
              <w:t>PGIM India Long Term Equity Fund</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16.65</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0.69</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0.91</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2.19</w:t>
            </w:r>
          </w:p>
        </w:tc>
      </w:tr>
      <w:tr w:rsidR="00AD4EF5" w:rsidRPr="008B5FA5" w:rsidTr="00B906D8">
        <w:tc>
          <w:tcPr>
            <w:tcW w:w="889" w:type="dxa"/>
          </w:tcPr>
          <w:p w:rsidR="00AD4EF5" w:rsidRDefault="00AD4EF5" w:rsidP="00155117">
            <w:pPr>
              <w:jc w:val="center"/>
            </w:pPr>
            <w:r>
              <w:t>30.</w:t>
            </w:r>
          </w:p>
        </w:tc>
        <w:tc>
          <w:tcPr>
            <w:tcW w:w="3222" w:type="dxa"/>
            <w:shd w:val="clear" w:color="auto" w:fill="auto"/>
            <w:vAlign w:val="bottom"/>
          </w:tcPr>
          <w:p w:rsidR="00AD4EF5" w:rsidRPr="00994929" w:rsidRDefault="00AD4EF5" w:rsidP="00155117">
            <w:pPr>
              <w:rPr>
                <w:rFonts w:ascii="Calibri" w:hAnsi="Calibri" w:cs="Calibri"/>
                <w:color w:val="000000"/>
              </w:rPr>
            </w:pPr>
            <w:r w:rsidRPr="00994929">
              <w:rPr>
                <w:rFonts w:ascii="Calibri" w:hAnsi="Calibri" w:cs="Calibri"/>
                <w:color w:val="000000"/>
              </w:rPr>
              <w:t>Quant Tax Plan</w:t>
            </w:r>
          </w:p>
        </w:tc>
        <w:tc>
          <w:tcPr>
            <w:tcW w:w="202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23.91</w:t>
            </w:r>
          </w:p>
        </w:tc>
        <w:tc>
          <w:tcPr>
            <w:tcW w:w="1620"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1.21</w:t>
            </w:r>
          </w:p>
        </w:tc>
        <w:tc>
          <w:tcPr>
            <w:tcW w:w="801"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1.15</w:t>
            </w:r>
          </w:p>
        </w:tc>
        <w:tc>
          <w:tcPr>
            <w:tcW w:w="1017" w:type="dxa"/>
            <w:vAlign w:val="bottom"/>
          </w:tcPr>
          <w:p w:rsidR="00AD4EF5" w:rsidRPr="00994929" w:rsidRDefault="00AD4EF5" w:rsidP="00B906D8">
            <w:pPr>
              <w:jc w:val="right"/>
              <w:rPr>
                <w:rFonts w:ascii="Calibri" w:hAnsi="Calibri" w:cs="Calibri"/>
                <w:color w:val="000000"/>
              </w:rPr>
            </w:pPr>
            <w:r w:rsidRPr="00994929">
              <w:rPr>
                <w:rFonts w:ascii="Calibri" w:hAnsi="Calibri" w:cs="Calibri"/>
                <w:color w:val="000000"/>
              </w:rPr>
              <w:t>14.46</w:t>
            </w:r>
          </w:p>
        </w:tc>
      </w:tr>
    </w:tbl>
    <w:p w:rsidR="00E02069" w:rsidRDefault="00E02069" w:rsidP="00E02069">
      <w:pPr>
        <w:shd w:val="clear" w:color="auto" w:fill="FFFFFF"/>
        <w:spacing w:after="0"/>
        <w:jc w:val="center"/>
        <w:rPr>
          <w:rFonts w:eastAsiaTheme="minorEastAsia"/>
          <w:sz w:val="18"/>
        </w:rPr>
      </w:pPr>
      <w:r w:rsidRPr="00E33EEC">
        <w:rPr>
          <w:rFonts w:eastAsiaTheme="minorEastAsia"/>
          <w:sz w:val="18"/>
        </w:rPr>
        <w:t>Table no 2: risk ratio analysis of selected schemes</w:t>
      </w:r>
    </w:p>
    <w:p w:rsidR="00E02069" w:rsidRDefault="00E02069" w:rsidP="00E02069">
      <w:pPr>
        <w:shd w:val="clear" w:color="auto" w:fill="FFFFFF"/>
        <w:spacing w:after="0" w:line="360" w:lineRule="auto"/>
        <w:jc w:val="center"/>
        <w:rPr>
          <w:rFonts w:ascii="Times New Roman" w:hAnsi="Times New Roman" w:cs="Times New Roman"/>
          <w:b/>
          <w:sz w:val="24"/>
        </w:rPr>
      </w:pPr>
      <w:r>
        <w:rPr>
          <w:rFonts w:eastAsiaTheme="minorEastAsia"/>
          <w:sz w:val="18"/>
        </w:rPr>
        <w:t>Source: From their Relative Factsheets</w:t>
      </w:r>
    </w:p>
    <w:p w:rsidR="00622602" w:rsidRDefault="00AD4EF5" w:rsidP="00E02069">
      <w:pPr>
        <w:shd w:val="clear" w:color="auto" w:fill="FFFFFF"/>
        <w:spacing w:before="240" w:line="360" w:lineRule="auto"/>
        <w:jc w:val="both"/>
        <w:rPr>
          <w:rFonts w:ascii="Times New Roman" w:hAnsi="Times New Roman" w:cs="Times New Roman"/>
          <w:sz w:val="24"/>
        </w:rPr>
      </w:pPr>
      <w:r w:rsidRPr="002849D6">
        <w:rPr>
          <w:rFonts w:ascii="Times New Roman" w:hAnsi="Times New Roman" w:cs="Times New Roman"/>
          <w:b/>
          <w:sz w:val="24"/>
        </w:rPr>
        <w:t>Conclusion</w:t>
      </w:r>
      <w:r w:rsidR="000A2E65" w:rsidRPr="002849D6">
        <w:rPr>
          <w:rFonts w:ascii="Times New Roman" w:hAnsi="Times New Roman" w:cs="Times New Roman"/>
          <w:b/>
          <w:sz w:val="24"/>
        </w:rPr>
        <w:t xml:space="preserve"> of risk ratio analysis</w:t>
      </w:r>
      <w:r w:rsidR="000A2E65">
        <w:rPr>
          <w:rFonts w:ascii="Times New Roman" w:hAnsi="Times New Roman" w:cs="Times New Roman"/>
          <w:sz w:val="24"/>
        </w:rPr>
        <w:t>: - based</w:t>
      </w:r>
      <w:r>
        <w:rPr>
          <w:rFonts w:ascii="Times New Roman" w:hAnsi="Times New Roman" w:cs="Times New Roman"/>
          <w:sz w:val="24"/>
        </w:rPr>
        <w:t xml:space="preserve"> </w:t>
      </w:r>
      <w:r w:rsidR="000A2E65">
        <w:rPr>
          <w:rFonts w:ascii="Times New Roman" w:hAnsi="Times New Roman" w:cs="Times New Roman"/>
          <w:sz w:val="24"/>
        </w:rPr>
        <w:t>on aforementioned table no 2 the risk ratio analysis of the selected schemes will be concluded.</w:t>
      </w:r>
      <w:r w:rsidR="000A2E65" w:rsidRPr="000A2E65">
        <w:rPr>
          <w:rFonts w:ascii="Times New Roman" w:hAnsi="Times New Roman"/>
          <w:sz w:val="24"/>
          <w:szCs w:val="24"/>
        </w:rPr>
        <w:t xml:space="preserve"> </w:t>
      </w:r>
      <w:r w:rsidR="000A2E65" w:rsidRPr="00F01FC3">
        <w:rPr>
          <w:rFonts w:ascii="Times New Roman" w:hAnsi="Times New Roman" w:cs="Times New Roman"/>
          <w:b/>
          <w:sz w:val="24"/>
          <w:szCs w:val="24"/>
        </w:rPr>
        <w:t>Invesco India Large-Cap Fund</w:t>
      </w:r>
      <w:r w:rsidR="000A2E65">
        <w:rPr>
          <w:rFonts w:ascii="Times New Roman" w:hAnsi="Times New Roman"/>
          <w:sz w:val="24"/>
          <w:szCs w:val="24"/>
        </w:rPr>
        <w:t xml:space="preserve"> is less volatile when compared to other large-cap funds.</w:t>
      </w:r>
      <w:r w:rsidR="000A2E65" w:rsidRPr="000A2E65">
        <w:rPr>
          <w:rFonts w:ascii="Times New Roman" w:hAnsi="Times New Roman"/>
          <w:sz w:val="24"/>
          <w:szCs w:val="24"/>
        </w:rPr>
        <w:t xml:space="preserve"> </w:t>
      </w:r>
      <w:r w:rsidR="000A2E65" w:rsidRPr="00F01FC3">
        <w:rPr>
          <w:rFonts w:ascii="Times New Roman" w:hAnsi="Times New Roman" w:cs="Times New Roman"/>
          <w:b/>
          <w:sz w:val="24"/>
          <w:szCs w:val="24"/>
        </w:rPr>
        <w:t>PGIM India Mid-cap Opportunities plan</w:t>
      </w:r>
      <w:r w:rsidR="000A2E65" w:rsidRPr="00337C82">
        <w:rPr>
          <w:rFonts w:ascii="Times New Roman" w:hAnsi="Times New Roman"/>
          <w:sz w:val="24"/>
          <w:szCs w:val="24"/>
        </w:rPr>
        <w:t xml:space="preserve"> has shown strong returns for one, three, and five years, beating their benchmark return over the chosen time. </w:t>
      </w:r>
      <w:r w:rsidR="000A2E65" w:rsidRPr="00F01FC3">
        <w:rPr>
          <w:rFonts w:ascii="Times New Roman" w:hAnsi="Times New Roman" w:cs="Times New Roman"/>
          <w:b/>
          <w:sz w:val="24"/>
          <w:szCs w:val="24"/>
        </w:rPr>
        <w:t>Kotak Small Cap Fund</w:t>
      </w:r>
      <w:r w:rsidR="000A2E65" w:rsidRPr="005169C5">
        <w:rPr>
          <w:rFonts w:ascii="Times New Roman" w:hAnsi="Times New Roman" w:cs="Times New Roman"/>
          <w:sz w:val="24"/>
          <w:szCs w:val="24"/>
        </w:rPr>
        <w:t xml:space="preserve"> had provided a comparably higher return with less risk incurred when compared to other small-cap funds</w:t>
      </w:r>
      <w:r w:rsidR="000A2E65" w:rsidRPr="00F01FC3">
        <w:rPr>
          <w:rFonts w:ascii="Times New Roman" w:hAnsi="Times New Roman" w:cs="Times New Roman"/>
          <w:b/>
          <w:sz w:val="24"/>
          <w:szCs w:val="24"/>
        </w:rPr>
        <w:t>. Quant active fund</w:t>
      </w:r>
      <w:r w:rsidR="000A2E65" w:rsidRPr="00F00C84">
        <w:rPr>
          <w:rFonts w:ascii="Times New Roman" w:hAnsi="Times New Roman" w:cs="Times New Roman"/>
          <w:sz w:val="24"/>
          <w:szCs w:val="24"/>
        </w:rPr>
        <w:t xml:space="preserve"> is a significant investment in the multi-cap fund category.</w:t>
      </w:r>
      <w:r w:rsidR="000A2E65">
        <w:rPr>
          <w:rFonts w:ascii="Times New Roman" w:hAnsi="Times New Roman" w:cs="Times New Roman"/>
          <w:sz w:val="24"/>
        </w:rPr>
        <w:t xml:space="preserve"> </w:t>
      </w:r>
      <w:r w:rsidR="000A2E65" w:rsidRPr="005F7F8E">
        <w:rPr>
          <w:rFonts w:ascii="Times New Roman" w:hAnsi="Times New Roman" w:cs="Times New Roman"/>
          <w:sz w:val="24"/>
          <w:szCs w:val="24"/>
        </w:rPr>
        <w:t>The Parag Parikh Flexi cap fund had a greater Sharpe ratio and higher alpha.</w:t>
      </w:r>
      <w:r w:rsidR="000A2E65">
        <w:rPr>
          <w:rFonts w:ascii="Times New Roman" w:hAnsi="Times New Roman" w:cs="Times New Roman"/>
          <w:sz w:val="24"/>
          <w:szCs w:val="24"/>
        </w:rPr>
        <w:t xml:space="preserve"> </w:t>
      </w:r>
      <w:r w:rsidR="000A2E65" w:rsidRPr="002D4987">
        <w:t xml:space="preserve">The </w:t>
      </w:r>
      <w:r w:rsidR="000A2E65" w:rsidRPr="00F01FC3">
        <w:rPr>
          <w:rFonts w:ascii="Times New Roman" w:hAnsi="Times New Roman" w:cs="Times New Roman"/>
          <w:b/>
          <w:sz w:val="24"/>
          <w:szCs w:val="24"/>
        </w:rPr>
        <w:t>IIFL-focused fund</w:t>
      </w:r>
      <w:r w:rsidR="000A2E65" w:rsidRPr="002D4987">
        <w:t xml:space="preserve"> was less volatile and offered a greater additional return than the SBI-focused fund.</w:t>
      </w:r>
      <w:r w:rsidR="000A2E65">
        <w:t xml:space="preserve"> </w:t>
      </w:r>
      <w:r w:rsidR="000A2E65" w:rsidRPr="00F01FC3">
        <w:rPr>
          <w:rFonts w:ascii="Times New Roman" w:hAnsi="Times New Roman" w:cs="Times New Roman"/>
          <w:b/>
          <w:sz w:val="24"/>
          <w:szCs w:val="24"/>
        </w:rPr>
        <w:t>Templeton India Equity Income Fund</w:t>
      </w:r>
      <w:r w:rsidR="000A2E65" w:rsidRPr="00D40D35">
        <w:rPr>
          <w:rFonts w:ascii="Times New Roman" w:hAnsi="Times New Roman" w:cs="Times New Roman"/>
          <w:sz w:val="24"/>
        </w:rPr>
        <w:t xml:space="preserve"> had the lowest volatility and provided the highest excess return.</w:t>
      </w:r>
      <w:r w:rsidR="000A2E65">
        <w:rPr>
          <w:rFonts w:ascii="Times New Roman" w:hAnsi="Times New Roman"/>
          <w:b/>
          <w:sz w:val="24"/>
          <w:szCs w:val="24"/>
        </w:rPr>
        <w:t xml:space="preserve"> </w:t>
      </w:r>
      <w:r w:rsidR="000A2E65" w:rsidRPr="00F01FC3">
        <w:rPr>
          <w:rFonts w:ascii="Times New Roman" w:hAnsi="Times New Roman" w:cs="Times New Roman"/>
          <w:b/>
          <w:sz w:val="24"/>
          <w:szCs w:val="24"/>
        </w:rPr>
        <w:t>The SBI contra fund</w:t>
      </w:r>
      <w:r w:rsidR="000A2E65" w:rsidRPr="00B17F8D">
        <w:rPr>
          <w:rFonts w:ascii="Times New Roman" w:hAnsi="Times New Roman" w:cs="Times New Roman"/>
          <w:sz w:val="24"/>
          <w:szCs w:val="24"/>
        </w:rPr>
        <w:t xml:space="preserve"> has the lowest standard deviation and beta, which indicates reduced volatility, according to table. With the risk taken, this fund has provided a fair additional return.</w:t>
      </w:r>
      <w:r w:rsidR="000A2E65">
        <w:rPr>
          <w:rFonts w:ascii="Times New Roman" w:hAnsi="Times New Roman" w:cs="Times New Roman"/>
          <w:sz w:val="24"/>
          <w:szCs w:val="24"/>
        </w:rPr>
        <w:t xml:space="preserve"> </w:t>
      </w:r>
      <w:r w:rsidR="000A2E65" w:rsidRPr="00284973">
        <w:rPr>
          <w:rFonts w:ascii="Times New Roman" w:hAnsi="Times New Roman" w:cs="Times New Roman"/>
          <w:sz w:val="24"/>
        </w:rPr>
        <w:t xml:space="preserve">The preceding table makes it evident that </w:t>
      </w:r>
      <w:r w:rsidR="000A2E65" w:rsidRPr="00F01FC3">
        <w:rPr>
          <w:rFonts w:ascii="Times New Roman" w:hAnsi="Times New Roman" w:cs="Times New Roman"/>
          <w:b/>
          <w:sz w:val="24"/>
          <w:szCs w:val="24"/>
        </w:rPr>
        <w:t>PGIM India's long-term equity fund</w:t>
      </w:r>
      <w:r w:rsidR="000A2E65" w:rsidRPr="00284973">
        <w:rPr>
          <w:rFonts w:ascii="Times New Roman" w:hAnsi="Times New Roman" w:cs="Times New Roman"/>
          <w:sz w:val="24"/>
        </w:rPr>
        <w:t xml:space="preserve"> offers additional return with reduced risk when risk analysis is taken into account.</w:t>
      </w:r>
    </w:p>
    <w:p w:rsidR="00E02069" w:rsidRDefault="007300FE" w:rsidP="00E02069">
      <w:pPr>
        <w:widowControl w:val="0"/>
        <w:autoSpaceDE w:val="0"/>
        <w:autoSpaceDN w:val="0"/>
        <w:adjustRightInd w:val="0"/>
        <w:jc w:val="both"/>
      </w:pPr>
      <w:r w:rsidRPr="00E02069">
        <w:rPr>
          <w:rFonts w:ascii="Times New Roman" w:hAnsi="Times New Roman" w:cs="Times New Roman"/>
          <w:b/>
          <w:sz w:val="28"/>
        </w:rPr>
        <w:t>Process to construct an optimal portfolio-</w:t>
      </w:r>
      <w:r>
        <w:t xml:space="preserve"> </w:t>
      </w:r>
    </w:p>
    <w:p w:rsidR="007300FE" w:rsidRPr="002849D6" w:rsidRDefault="007300FE" w:rsidP="002849D6">
      <w:pPr>
        <w:widowControl w:val="0"/>
        <w:autoSpaceDE w:val="0"/>
        <w:autoSpaceDN w:val="0"/>
        <w:adjustRightInd w:val="0"/>
        <w:spacing w:line="360" w:lineRule="auto"/>
        <w:jc w:val="both"/>
        <w:rPr>
          <w:rFonts w:ascii="Times New Roman" w:hAnsi="Times New Roman"/>
          <w:sz w:val="24"/>
          <w:szCs w:val="24"/>
        </w:rPr>
      </w:pPr>
      <w:r w:rsidRPr="002849D6">
        <w:rPr>
          <w:rFonts w:ascii="Times New Roman" w:hAnsi="Times New Roman"/>
          <w:sz w:val="24"/>
          <w:szCs w:val="24"/>
        </w:rPr>
        <w:t>To build an optimal portfolio, there are a number of processes that can help us choose investment strategies that offer the best returns at the lowest risk. The investor can attain a greater return with the minimum amount of risk by performing the following procedures while taking into account their risk-taking preferences and investment goals. Out of variety of so many equity mutual fund schemes, it is nearly hard to choose 3-5 equity schemes for investing. However, it is simpler to choose schemes with the support of a procedure. These steps are-</w:t>
      </w:r>
    </w:p>
    <w:p w:rsidR="007300FE" w:rsidRDefault="007300FE" w:rsidP="007300FE">
      <w:pPr>
        <w:pStyle w:val="ListParagraph"/>
        <w:widowControl w:val="0"/>
        <w:autoSpaceDE w:val="0"/>
        <w:autoSpaceDN w:val="0"/>
        <w:adjustRightInd w:val="0"/>
        <w:spacing w:line="360" w:lineRule="auto"/>
        <w:ind w:left="360"/>
        <w:jc w:val="both"/>
        <w:rPr>
          <w:rFonts w:ascii="Times New Roman" w:hAnsi="Times New Roman"/>
          <w:sz w:val="24"/>
          <w:szCs w:val="24"/>
        </w:rPr>
      </w:pPr>
      <w:r w:rsidRPr="00B06074">
        <w:rPr>
          <w:rFonts w:ascii="Times New Roman" w:hAnsi="Times New Roman"/>
          <w:noProof/>
          <w:color w:val="FF0000"/>
          <w:sz w:val="24"/>
          <w:szCs w:val="24"/>
        </w:rPr>
        <w:lastRenderedPageBreak/>
        <w:drawing>
          <wp:inline distT="0" distB="0" distL="0" distR="0" wp14:anchorId="506B5C28" wp14:editId="41BB4B90">
            <wp:extent cx="5495026" cy="4347713"/>
            <wp:effectExtent l="38100" t="57150" r="10795" b="72390"/>
            <wp:docPr id="39" name="Diagram 3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E02069" w:rsidRDefault="007300FE" w:rsidP="00E02069">
      <w:pPr>
        <w:pStyle w:val="ListParagraph"/>
        <w:widowControl w:val="0"/>
        <w:numPr>
          <w:ilvl w:val="0"/>
          <w:numId w:val="19"/>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bCs/>
          <w:sz w:val="24"/>
          <w:szCs w:val="24"/>
        </w:rPr>
        <w:t xml:space="preserve">Setting up Financial Goal/ Purpose of Investing- </w:t>
      </w:r>
      <w:r w:rsidRPr="00E02069">
        <w:rPr>
          <w:rFonts w:ascii="Times New Roman" w:hAnsi="Times New Roman"/>
          <w:sz w:val="24"/>
          <w:szCs w:val="24"/>
        </w:rPr>
        <w:t>Whether you are a guy looking to purchase a house, a teenager looking for a bike, or an eight-year-old desiring a video game. Setting up a financial objective entails continuously balancing a portfolio's risk and return for higher returns. This entails either maintaining the same level of return while lowering the risk or obtaining a higher return without increasing the risk.</w:t>
      </w:r>
    </w:p>
    <w:p w:rsidR="00E02069" w:rsidRPr="00E02069" w:rsidRDefault="00B906D8" w:rsidP="00E02069">
      <w:pPr>
        <w:pStyle w:val="ListParagraph"/>
        <w:widowControl w:val="0"/>
        <w:numPr>
          <w:ilvl w:val="0"/>
          <w:numId w:val="19"/>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bCs/>
          <w:sz w:val="24"/>
          <w:szCs w:val="24"/>
        </w:rPr>
        <w:t>Risk acceptance/ risk tolerance-</w:t>
      </w:r>
      <w:r w:rsidRPr="00E02069">
        <w:rPr>
          <w:rFonts w:ascii="Times New Roman" w:hAnsi="Times New Roman"/>
          <w:bCs/>
          <w:sz w:val="24"/>
          <w:szCs w:val="24"/>
        </w:rPr>
        <w:t xml:space="preserve"> A mutual fund makes investments in a range of financial products, including debt, bonds, and equities. The fluctuation in prices of these instruments depends upon market movements. The risk associated with investing in mutual funds is the discrepancy between the projected return and the potential for returns as determined by the market. Risk is characterized by this return volatility. Risk tolerance is determined by how much loss an investor is willing to accept. When an investor accepts risk, they may look forward to comparable returns. The risk tolerance of the investor will determine their portfolio strategy.</w:t>
      </w:r>
      <w:r w:rsidR="00F37798" w:rsidRPr="00E02069">
        <w:rPr>
          <w:rFonts w:ascii="Times New Roman" w:hAnsi="Times New Roman"/>
          <w:bCs/>
          <w:sz w:val="24"/>
          <w:szCs w:val="24"/>
        </w:rPr>
        <w:t xml:space="preserve"> Risk tolerance of investor depends upon risk levels. </w:t>
      </w:r>
      <w:r w:rsidRPr="00E02069">
        <w:rPr>
          <w:rFonts w:ascii="Times New Roman" w:hAnsi="Times New Roman"/>
          <w:bCs/>
          <w:sz w:val="24"/>
          <w:szCs w:val="24"/>
        </w:rPr>
        <w:t xml:space="preserve">Risk levels can be categorized into </w:t>
      </w:r>
      <w:r w:rsidRPr="00E02069">
        <w:rPr>
          <w:rFonts w:ascii="Times New Roman" w:hAnsi="Times New Roman"/>
          <w:bCs/>
          <w:sz w:val="24"/>
          <w:szCs w:val="24"/>
        </w:rPr>
        <w:lastRenderedPageBreak/>
        <w:t>three types as high risk, moderate risk and low risk.</w:t>
      </w:r>
      <w:r w:rsidR="00F37798" w:rsidRPr="00E02069">
        <w:rPr>
          <w:rFonts w:ascii="Times New Roman" w:hAnsi="Times New Roman"/>
          <w:bCs/>
          <w:sz w:val="24"/>
          <w:szCs w:val="24"/>
        </w:rPr>
        <w:t xml:space="preserve"> For example, Investor with high risk tolerance prefers high risk level.</w:t>
      </w:r>
    </w:p>
    <w:p w:rsidR="00E02069" w:rsidRDefault="00F37798" w:rsidP="00E02069">
      <w:pPr>
        <w:pStyle w:val="ListParagraph"/>
        <w:widowControl w:val="0"/>
        <w:numPr>
          <w:ilvl w:val="0"/>
          <w:numId w:val="19"/>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sz w:val="24"/>
          <w:szCs w:val="24"/>
        </w:rPr>
        <w:t>Selecting the fund house-</w:t>
      </w:r>
      <w:r w:rsidRPr="00E02069">
        <w:rPr>
          <w:rFonts w:ascii="Times New Roman" w:hAnsi="Times New Roman"/>
          <w:sz w:val="24"/>
          <w:szCs w:val="24"/>
        </w:rPr>
        <w:t xml:space="preserve"> Selecting the fund house based on performance and the fund house's strategy or investing methods should preferably align with your personal investment theories. If not, it could lead to ongoing arguments that force you to prematurely abandon your assets.</w:t>
      </w:r>
    </w:p>
    <w:p w:rsidR="00E02069" w:rsidRDefault="00F37798" w:rsidP="00E02069">
      <w:pPr>
        <w:pStyle w:val="ListParagraph"/>
        <w:widowControl w:val="0"/>
        <w:numPr>
          <w:ilvl w:val="0"/>
          <w:numId w:val="19"/>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sz w:val="24"/>
          <w:szCs w:val="24"/>
        </w:rPr>
        <w:t>Fund Manager’s Performance-</w:t>
      </w:r>
      <w:r w:rsidRPr="00E02069">
        <w:rPr>
          <w:rFonts w:ascii="Times New Roman" w:hAnsi="Times New Roman"/>
          <w:sz w:val="24"/>
          <w:szCs w:val="24"/>
        </w:rPr>
        <w:t xml:space="preserve"> Selecting the fund house completely depends on </w:t>
      </w:r>
      <w:r w:rsidR="00750BA3" w:rsidRPr="00E02069">
        <w:rPr>
          <w:rFonts w:ascii="Times New Roman" w:hAnsi="Times New Roman"/>
          <w:sz w:val="24"/>
          <w:szCs w:val="24"/>
        </w:rPr>
        <w:t xml:space="preserve">the performance of fund manager’s. </w:t>
      </w:r>
      <w:proofErr w:type="gramStart"/>
      <w:r w:rsidR="00750BA3" w:rsidRPr="00E02069">
        <w:rPr>
          <w:rFonts w:ascii="Times New Roman" w:hAnsi="Times New Roman"/>
          <w:sz w:val="24"/>
          <w:szCs w:val="24"/>
        </w:rPr>
        <w:t>if</w:t>
      </w:r>
      <w:proofErr w:type="gramEnd"/>
      <w:r w:rsidR="00750BA3" w:rsidRPr="00E02069">
        <w:rPr>
          <w:rFonts w:ascii="Times New Roman" w:hAnsi="Times New Roman"/>
          <w:sz w:val="24"/>
          <w:szCs w:val="24"/>
        </w:rPr>
        <w:t xml:space="preserve"> the fund managers was not performing good, it will automatically lower down the performance of the fund house.</w:t>
      </w:r>
    </w:p>
    <w:p w:rsidR="00750BA3" w:rsidRPr="00E02069" w:rsidRDefault="00750BA3" w:rsidP="00E02069">
      <w:pPr>
        <w:pStyle w:val="ListParagraph"/>
        <w:widowControl w:val="0"/>
        <w:numPr>
          <w:ilvl w:val="0"/>
          <w:numId w:val="19"/>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sz w:val="24"/>
          <w:szCs w:val="24"/>
        </w:rPr>
        <w:t>Asset allocation-</w:t>
      </w:r>
      <w:r w:rsidRPr="00E02069">
        <w:rPr>
          <w:rFonts w:ascii="Times New Roman" w:hAnsi="Times New Roman"/>
          <w:sz w:val="24"/>
          <w:szCs w:val="24"/>
        </w:rPr>
        <w:t xml:space="preserve"> Asset allocation is the execution of an investment strategy that seeks to balance risk and return by altering the assets in an investment portfolio in accordance with the purpose of the investment, risk tolerance, and time horizon. Asset allocation based on risk tolerance comprises the following 5 labels:</w:t>
      </w:r>
    </w:p>
    <w:p w:rsidR="00750BA3" w:rsidRDefault="00750BA3" w:rsidP="00E02069">
      <w:pPr>
        <w:pStyle w:val="ListParagraph"/>
        <w:widowControl w:val="0"/>
        <w:numPr>
          <w:ilvl w:val="1"/>
          <w:numId w:val="15"/>
        </w:num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Aggressive asset allocation- In </w:t>
      </w:r>
      <w:r w:rsidRPr="00DB2E4E">
        <w:rPr>
          <w:rFonts w:ascii="Times New Roman" w:hAnsi="Times New Roman"/>
          <w:sz w:val="24"/>
          <w:szCs w:val="24"/>
        </w:rPr>
        <w:t>Aggressive</w:t>
      </w:r>
      <w:r>
        <w:rPr>
          <w:rFonts w:ascii="Times New Roman" w:hAnsi="Times New Roman"/>
          <w:sz w:val="24"/>
          <w:szCs w:val="24"/>
        </w:rPr>
        <w:t xml:space="preserve"> asset allocation</w:t>
      </w:r>
      <w:r w:rsidRPr="00DB2E4E">
        <w:rPr>
          <w:rFonts w:ascii="Times New Roman" w:hAnsi="Times New Roman"/>
          <w:sz w:val="24"/>
          <w:szCs w:val="24"/>
        </w:rPr>
        <w:t xml:space="preserve"> investors prioritize returns over other factors; therefore they select short-term investing strategies like sectoral and small-cap funds.</w:t>
      </w:r>
    </w:p>
    <w:p w:rsidR="00750BA3" w:rsidRDefault="00750BA3" w:rsidP="00E02069">
      <w:pPr>
        <w:widowControl w:val="0"/>
        <w:numPr>
          <w:ilvl w:val="1"/>
          <w:numId w:val="15"/>
        </w:numPr>
        <w:autoSpaceDE w:val="0"/>
        <w:autoSpaceDN w:val="0"/>
        <w:adjustRightInd w:val="0"/>
        <w:spacing w:after="0" w:line="360" w:lineRule="auto"/>
        <w:jc w:val="both"/>
        <w:rPr>
          <w:rFonts w:ascii="Times New Roman" w:hAnsi="Times New Roman"/>
          <w:b/>
          <w:bCs/>
          <w:sz w:val="24"/>
          <w:szCs w:val="24"/>
        </w:rPr>
      </w:pPr>
      <w:r w:rsidRPr="00750BA3">
        <w:rPr>
          <w:rFonts w:ascii="Times New Roman" w:hAnsi="Times New Roman"/>
          <w:sz w:val="24"/>
          <w:szCs w:val="24"/>
        </w:rPr>
        <w:t>Growth asset allocation-</w:t>
      </w:r>
      <w:r>
        <w:rPr>
          <w:rFonts w:ascii="Times New Roman" w:hAnsi="Times New Roman"/>
          <w:b/>
          <w:bCs/>
          <w:sz w:val="24"/>
          <w:szCs w:val="24"/>
        </w:rPr>
        <w:t xml:space="preserve"> </w:t>
      </w:r>
      <w:r w:rsidRPr="00DB2E4E">
        <w:rPr>
          <w:rFonts w:ascii="Times New Roman" w:hAnsi="Times New Roman"/>
          <w:sz w:val="24"/>
          <w:szCs w:val="24"/>
        </w:rPr>
        <w:t>Growth-oriented asset allocation prioritizes growth, which includes returns and medium-to-high risk. This investor puts money into focused funds as well as large and mid-cap funds.</w:t>
      </w:r>
    </w:p>
    <w:p w:rsidR="00750BA3" w:rsidRDefault="00750BA3" w:rsidP="00E02069">
      <w:pPr>
        <w:widowControl w:val="0"/>
        <w:numPr>
          <w:ilvl w:val="1"/>
          <w:numId w:val="15"/>
        </w:numPr>
        <w:autoSpaceDE w:val="0"/>
        <w:autoSpaceDN w:val="0"/>
        <w:adjustRightInd w:val="0"/>
        <w:spacing w:after="0" w:line="360" w:lineRule="auto"/>
        <w:jc w:val="both"/>
        <w:rPr>
          <w:rFonts w:ascii="Times New Roman" w:hAnsi="Times New Roman"/>
          <w:b/>
          <w:bCs/>
          <w:sz w:val="24"/>
          <w:szCs w:val="24"/>
        </w:rPr>
      </w:pPr>
      <w:r w:rsidRPr="00750BA3">
        <w:rPr>
          <w:rFonts w:ascii="Times New Roman" w:hAnsi="Times New Roman"/>
          <w:sz w:val="24"/>
          <w:szCs w:val="24"/>
        </w:rPr>
        <w:t>Balanced asset allocation-</w:t>
      </w:r>
      <w:r>
        <w:rPr>
          <w:rFonts w:ascii="Times New Roman" w:hAnsi="Times New Roman"/>
          <w:b/>
          <w:bCs/>
          <w:sz w:val="24"/>
          <w:szCs w:val="24"/>
        </w:rPr>
        <w:t xml:space="preserve"> </w:t>
      </w:r>
      <w:r w:rsidRPr="00DB2E4E">
        <w:rPr>
          <w:rFonts w:ascii="Times New Roman" w:hAnsi="Times New Roman"/>
          <w:sz w:val="24"/>
          <w:szCs w:val="24"/>
        </w:rPr>
        <w:t>Balance funds maintain the balance between risk and return. An investor invests in Flexi-cap, multi-cap, and mid-cap for balanced asset allocation of funds.</w:t>
      </w:r>
    </w:p>
    <w:p w:rsidR="00750BA3" w:rsidRDefault="00750BA3" w:rsidP="00E02069">
      <w:pPr>
        <w:widowControl w:val="0"/>
        <w:numPr>
          <w:ilvl w:val="1"/>
          <w:numId w:val="15"/>
        </w:numPr>
        <w:autoSpaceDE w:val="0"/>
        <w:autoSpaceDN w:val="0"/>
        <w:adjustRightInd w:val="0"/>
        <w:spacing w:after="0" w:line="360" w:lineRule="auto"/>
        <w:jc w:val="both"/>
        <w:rPr>
          <w:rFonts w:ascii="Times New Roman" w:hAnsi="Times New Roman"/>
          <w:b/>
          <w:bCs/>
          <w:sz w:val="24"/>
          <w:szCs w:val="24"/>
        </w:rPr>
      </w:pPr>
      <w:r w:rsidRPr="00750BA3">
        <w:rPr>
          <w:rFonts w:ascii="Times New Roman" w:hAnsi="Times New Roman"/>
          <w:sz w:val="24"/>
          <w:szCs w:val="24"/>
        </w:rPr>
        <w:t>Income asset allocation-</w:t>
      </w:r>
      <w:r>
        <w:rPr>
          <w:rFonts w:ascii="Times New Roman" w:hAnsi="Times New Roman"/>
          <w:b/>
          <w:bCs/>
          <w:sz w:val="24"/>
          <w:szCs w:val="24"/>
        </w:rPr>
        <w:t xml:space="preserve"> </w:t>
      </w:r>
      <w:r w:rsidRPr="00DB2E4E">
        <w:rPr>
          <w:rFonts w:ascii="Times New Roman" w:hAnsi="Times New Roman"/>
          <w:sz w:val="24"/>
          <w:szCs w:val="24"/>
        </w:rPr>
        <w:t>Generating consistent income for investors with a moderate to low risk tolerance is a part of asset allocation for income. Value/contra funds, growth equity funds, and ETFs (exchange-traded funds) are popular investment options.</w:t>
      </w:r>
    </w:p>
    <w:p w:rsidR="00750BA3" w:rsidRDefault="00750BA3" w:rsidP="00E02069">
      <w:pPr>
        <w:pStyle w:val="ListParagraph"/>
        <w:widowControl w:val="0"/>
        <w:numPr>
          <w:ilvl w:val="1"/>
          <w:numId w:val="15"/>
        </w:numPr>
        <w:autoSpaceDE w:val="0"/>
        <w:autoSpaceDN w:val="0"/>
        <w:adjustRightInd w:val="0"/>
        <w:spacing w:line="360" w:lineRule="auto"/>
        <w:jc w:val="both"/>
        <w:rPr>
          <w:rFonts w:ascii="Times New Roman" w:hAnsi="Times New Roman"/>
          <w:sz w:val="24"/>
          <w:szCs w:val="24"/>
        </w:rPr>
      </w:pPr>
      <w:r w:rsidRPr="00750BA3">
        <w:rPr>
          <w:rFonts w:ascii="Times New Roman" w:hAnsi="Times New Roman"/>
          <w:sz w:val="24"/>
          <w:szCs w:val="24"/>
        </w:rPr>
        <w:t>Conservative asset allocation-</w:t>
      </w:r>
      <w:r>
        <w:rPr>
          <w:rFonts w:ascii="Times New Roman" w:hAnsi="Times New Roman"/>
          <w:b/>
          <w:bCs/>
          <w:sz w:val="24"/>
          <w:szCs w:val="24"/>
        </w:rPr>
        <w:t xml:space="preserve"> </w:t>
      </w:r>
      <w:r w:rsidRPr="00E8666C">
        <w:rPr>
          <w:rFonts w:ascii="Times New Roman" w:hAnsi="Times New Roman"/>
          <w:sz w:val="24"/>
          <w:szCs w:val="24"/>
        </w:rPr>
        <w:t>It takes into account investors' preferences for stable return performance and low-risk investment profiles.</w:t>
      </w:r>
      <w:r>
        <w:rPr>
          <w:rFonts w:ascii="Times New Roman" w:hAnsi="Times New Roman"/>
          <w:sz w:val="24"/>
          <w:szCs w:val="24"/>
        </w:rPr>
        <w:t xml:space="preserve"> This type of asset allocation includes large-cap funds, ELSS finds.</w:t>
      </w:r>
    </w:p>
    <w:p w:rsidR="00E02069" w:rsidRDefault="00750BA3" w:rsidP="00E02069">
      <w:pPr>
        <w:pStyle w:val="ListParagraph"/>
        <w:widowControl w:val="0"/>
        <w:numPr>
          <w:ilvl w:val="0"/>
          <w:numId w:val="20"/>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sz w:val="24"/>
          <w:szCs w:val="24"/>
        </w:rPr>
        <w:t>Considering other factors-</w:t>
      </w:r>
      <w:r w:rsidRPr="00E02069">
        <w:rPr>
          <w:rFonts w:ascii="Times New Roman" w:hAnsi="Times New Roman"/>
          <w:sz w:val="24"/>
          <w:szCs w:val="24"/>
        </w:rPr>
        <w:t xml:space="preserve"> while investing money in mu</w:t>
      </w:r>
      <w:r w:rsidR="001A22E0" w:rsidRPr="00E02069">
        <w:rPr>
          <w:rFonts w:ascii="Times New Roman" w:hAnsi="Times New Roman"/>
          <w:sz w:val="24"/>
          <w:szCs w:val="24"/>
        </w:rPr>
        <w:t xml:space="preserve">tual fund an investor should be </w:t>
      </w:r>
      <w:r w:rsidRPr="00E02069">
        <w:rPr>
          <w:rFonts w:ascii="Times New Roman" w:hAnsi="Times New Roman"/>
          <w:sz w:val="24"/>
          <w:szCs w:val="24"/>
        </w:rPr>
        <w:t xml:space="preserve">very careful. Investor should consider other factors which may influence </w:t>
      </w:r>
      <w:r w:rsidR="001A22E0" w:rsidRPr="00E02069">
        <w:rPr>
          <w:rFonts w:ascii="Times New Roman" w:hAnsi="Times New Roman"/>
          <w:sz w:val="24"/>
          <w:szCs w:val="24"/>
        </w:rPr>
        <w:t xml:space="preserve">return. For </w:t>
      </w:r>
      <w:r w:rsidR="001A22E0" w:rsidRPr="00E02069">
        <w:rPr>
          <w:rFonts w:ascii="Times New Roman" w:hAnsi="Times New Roman"/>
          <w:sz w:val="24"/>
          <w:szCs w:val="24"/>
        </w:rPr>
        <w:lastRenderedPageBreak/>
        <w:t>example, market movements, economic condition of market, expense ratio, tax implications and so on.</w:t>
      </w:r>
    </w:p>
    <w:p w:rsidR="008C3437" w:rsidRPr="00E02069" w:rsidRDefault="008C3437" w:rsidP="00E02069">
      <w:pPr>
        <w:pStyle w:val="ListParagraph"/>
        <w:widowControl w:val="0"/>
        <w:numPr>
          <w:ilvl w:val="0"/>
          <w:numId w:val="20"/>
        </w:numPr>
        <w:autoSpaceDE w:val="0"/>
        <w:autoSpaceDN w:val="0"/>
        <w:adjustRightInd w:val="0"/>
        <w:spacing w:line="360" w:lineRule="auto"/>
        <w:jc w:val="both"/>
        <w:rPr>
          <w:rFonts w:ascii="Times New Roman" w:hAnsi="Times New Roman"/>
          <w:sz w:val="24"/>
          <w:szCs w:val="24"/>
        </w:rPr>
      </w:pPr>
      <w:r w:rsidRPr="00E02069">
        <w:rPr>
          <w:rFonts w:ascii="Times New Roman" w:hAnsi="Times New Roman"/>
          <w:b/>
          <w:bCs/>
          <w:sz w:val="24"/>
          <w:szCs w:val="24"/>
        </w:rPr>
        <w:t xml:space="preserve">Monitoring selected schemes- </w:t>
      </w:r>
      <w:r w:rsidRPr="00E02069">
        <w:rPr>
          <w:rFonts w:ascii="Times New Roman" w:hAnsi="Times New Roman"/>
          <w:sz w:val="24"/>
          <w:szCs w:val="24"/>
        </w:rPr>
        <w:t>Keeping track of the investment by keeping an eye on your investments. You may feel confident about your investment with regular updates.</w:t>
      </w:r>
    </w:p>
    <w:p w:rsidR="00AB3053" w:rsidRPr="00E02069" w:rsidRDefault="008C3437" w:rsidP="00E02069">
      <w:pPr>
        <w:widowControl w:val="0"/>
        <w:autoSpaceDE w:val="0"/>
        <w:autoSpaceDN w:val="0"/>
        <w:adjustRightInd w:val="0"/>
        <w:spacing w:line="360" w:lineRule="auto"/>
        <w:jc w:val="both"/>
        <w:rPr>
          <w:rFonts w:ascii="Times New Roman" w:hAnsi="Times New Roman"/>
          <w:b/>
          <w:bCs/>
          <w:sz w:val="24"/>
          <w:szCs w:val="24"/>
        </w:rPr>
      </w:pPr>
      <w:r w:rsidRPr="00E02069">
        <w:rPr>
          <w:rFonts w:ascii="Times New Roman" w:hAnsi="Times New Roman" w:cs="Times New Roman"/>
          <w:b/>
          <w:sz w:val="28"/>
        </w:rPr>
        <w:t>Interpretation and empirical Findings-</w:t>
      </w:r>
      <w:r w:rsidRPr="00E02069">
        <w:rPr>
          <w:rFonts w:ascii="Times New Roman" w:hAnsi="Times New Roman"/>
          <w:b/>
          <w:bCs/>
          <w:sz w:val="24"/>
          <w:szCs w:val="24"/>
        </w:rPr>
        <w:t xml:space="preserve"> </w:t>
      </w:r>
      <w:r w:rsidRPr="00E02069">
        <w:rPr>
          <w:rFonts w:ascii="Times New Roman" w:hAnsi="Times New Roman"/>
          <w:bCs/>
          <w:sz w:val="24"/>
          <w:szCs w:val="24"/>
        </w:rPr>
        <w:t>Below are empirical results for each type of equity mutual fund scheme for the selected period of time based on average yearly return, risk-return analysis, and assessment models.</w:t>
      </w:r>
    </w:p>
    <w:p w:rsidR="00AB3053" w:rsidRPr="00E02069" w:rsidRDefault="008C3437" w:rsidP="00E02069">
      <w:pPr>
        <w:pStyle w:val="ListParagraph"/>
        <w:widowControl w:val="0"/>
        <w:numPr>
          <w:ilvl w:val="0"/>
          <w:numId w:val="21"/>
        </w:numPr>
        <w:autoSpaceDE w:val="0"/>
        <w:autoSpaceDN w:val="0"/>
        <w:adjustRightInd w:val="0"/>
        <w:spacing w:line="360" w:lineRule="auto"/>
        <w:jc w:val="both"/>
        <w:rPr>
          <w:rFonts w:ascii="Times New Roman" w:hAnsi="Times New Roman"/>
          <w:b/>
          <w:bCs/>
          <w:sz w:val="24"/>
          <w:szCs w:val="24"/>
        </w:rPr>
      </w:pPr>
      <w:r w:rsidRPr="00E02069">
        <w:rPr>
          <w:rFonts w:ascii="Times New Roman" w:hAnsi="Times New Roman" w:cs="Times New Roman"/>
          <w:bCs/>
          <w:sz w:val="24"/>
          <w:szCs w:val="24"/>
        </w:rPr>
        <w:t xml:space="preserve">According to the first objective of this study </w:t>
      </w:r>
      <w:r w:rsidR="00AB3053" w:rsidRPr="00E02069">
        <w:rPr>
          <w:rFonts w:ascii="Times New Roman" w:hAnsi="Times New Roman" w:cs="Times New Roman"/>
          <w:bCs/>
          <w:sz w:val="24"/>
          <w:szCs w:val="24"/>
        </w:rPr>
        <w:t>that is t</w:t>
      </w:r>
      <w:r w:rsidRPr="00E02069">
        <w:rPr>
          <w:rFonts w:ascii="Times New Roman" w:hAnsi="Times New Roman" w:cs="Times New Roman"/>
          <w:bCs/>
          <w:sz w:val="24"/>
          <w:szCs w:val="24"/>
        </w:rPr>
        <w:t>o evaluate the performance of selected equity mutual funds and compare their performa</w:t>
      </w:r>
      <w:r w:rsidR="00AB3053" w:rsidRPr="00E02069">
        <w:rPr>
          <w:rFonts w:ascii="Times New Roman" w:hAnsi="Times New Roman" w:cs="Times New Roman"/>
          <w:bCs/>
          <w:sz w:val="24"/>
          <w:szCs w:val="24"/>
        </w:rPr>
        <w:t xml:space="preserve">nce with their benchmark return, it is clear </w:t>
      </w:r>
      <w:r w:rsidR="00C56E70" w:rsidRPr="00E02069">
        <w:rPr>
          <w:rFonts w:ascii="Times New Roman" w:hAnsi="Times New Roman" w:cs="Times New Roman"/>
          <w:bCs/>
          <w:sz w:val="24"/>
          <w:szCs w:val="24"/>
        </w:rPr>
        <w:t xml:space="preserve">from table no 1 </w:t>
      </w:r>
      <w:r w:rsidR="00AB3053" w:rsidRPr="00E02069">
        <w:rPr>
          <w:rFonts w:ascii="Times New Roman" w:hAnsi="Times New Roman" w:cs="Times New Roman"/>
          <w:bCs/>
          <w:sz w:val="24"/>
          <w:szCs w:val="24"/>
        </w:rPr>
        <w:t xml:space="preserve">that Invesco India Large cap Fund from large cap fund, </w:t>
      </w:r>
      <w:r w:rsidR="00AB3053" w:rsidRPr="00E02069">
        <w:rPr>
          <w:rFonts w:ascii="Times New Roman" w:hAnsi="Times New Roman" w:cs="Times New Roman"/>
          <w:color w:val="000000"/>
          <w:sz w:val="24"/>
          <w:szCs w:val="24"/>
        </w:rPr>
        <w:t xml:space="preserve">PGIM India Mid-cap Opportunities Fund and Quant Mid-cap Fund from mi cap fund, </w:t>
      </w:r>
      <w:r w:rsidR="00AB3053" w:rsidRPr="00E02069">
        <w:rPr>
          <w:rFonts w:ascii="Times New Roman" w:hAnsi="Times New Roman" w:cs="Times New Roman"/>
          <w:sz w:val="24"/>
          <w:szCs w:val="24"/>
        </w:rPr>
        <w:t xml:space="preserve">Kotak Small Cap Fund and Quant Small Cap Fund from small cap funds, </w:t>
      </w:r>
      <w:r w:rsidR="00AB3053" w:rsidRPr="00E02069">
        <w:rPr>
          <w:rFonts w:ascii="Times New Roman" w:hAnsi="Times New Roman" w:cs="Times New Roman"/>
          <w:color w:val="000000"/>
          <w:sz w:val="24"/>
          <w:szCs w:val="24"/>
        </w:rPr>
        <w:t xml:space="preserve">Quant Active Fund from multi-cap funds, </w:t>
      </w:r>
      <w:r w:rsidR="00AB3053" w:rsidRPr="00E02069">
        <w:rPr>
          <w:rFonts w:ascii="Times New Roman" w:hAnsi="Times New Roman" w:cs="Times New Roman"/>
          <w:color w:val="000000" w:themeColor="text1"/>
          <w:sz w:val="24"/>
          <w:szCs w:val="24"/>
        </w:rPr>
        <w:t xml:space="preserve">Parag Parikh Flexi Cap Fund, PGIM India Flexi Cap Fund and </w:t>
      </w:r>
      <w:r w:rsidR="00AB3053" w:rsidRPr="00E02069">
        <w:rPr>
          <w:rFonts w:ascii="Times New Roman" w:hAnsi="Times New Roman" w:cs="Times New Roman"/>
          <w:sz w:val="24"/>
          <w:szCs w:val="24"/>
        </w:rPr>
        <w:t xml:space="preserve">UTI Flexi Cap Fund from flexi-cap funds, IIFL Focused Equity Fund and SBI Focused Equity Fund from focused fund, </w:t>
      </w:r>
      <w:r w:rsidR="00AB3053" w:rsidRPr="00E02069">
        <w:rPr>
          <w:rFonts w:ascii="Times New Roman" w:hAnsi="Times New Roman" w:cs="Times New Roman"/>
          <w:color w:val="000000"/>
          <w:sz w:val="24"/>
          <w:szCs w:val="24"/>
        </w:rPr>
        <w:t xml:space="preserve">Templeton India Equity Income Fund and UTI Dividend Yield Fund from dividend yield fund, </w:t>
      </w:r>
      <w:r w:rsidR="00AB3053" w:rsidRPr="00E02069">
        <w:rPr>
          <w:rFonts w:ascii="Times New Roman" w:hAnsi="Times New Roman" w:cs="Times New Roman"/>
          <w:bCs/>
          <w:color w:val="000000"/>
          <w:sz w:val="24"/>
          <w:szCs w:val="24"/>
        </w:rPr>
        <w:t xml:space="preserve">SBI Contra Fund from value/contra fund, </w:t>
      </w:r>
      <w:r w:rsidR="00AB3053" w:rsidRPr="00E02069">
        <w:rPr>
          <w:rFonts w:ascii="Times New Roman" w:hAnsi="Times New Roman" w:cs="Times New Roman"/>
          <w:color w:val="000000"/>
          <w:sz w:val="24"/>
          <w:szCs w:val="24"/>
        </w:rPr>
        <w:t>IDFC Tax Advantage (ELSS) Fund, PGIM India Long Term Equity Fund and Quant Tax Plan fro</w:t>
      </w:r>
      <w:r w:rsidR="00C56E70" w:rsidRPr="00E02069">
        <w:rPr>
          <w:rFonts w:ascii="Times New Roman" w:hAnsi="Times New Roman" w:cs="Times New Roman"/>
          <w:color w:val="000000"/>
          <w:sz w:val="24"/>
          <w:szCs w:val="24"/>
        </w:rPr>
        <w:t>m ELSS mutual funds category has</w:t>
      </w:r>
      <w:r w:rsidR="00AB3053" w:rsidRPr="00E02069">
        <w:rPr>
          <w:rFonts w:ascii="Times New Roman" w:hAnsi="Times New Roman" w:cs="Times New Roman"/>
          <w:color w:val="000000"/>
          <w:sz w:val="24"/>
          <w:szCs w:val="24"/>
        </w:rPr>
        <w:t xml:space="preserve"> been selected after comparing return performance of fun</w:t>
      </w:r>
      <w:r w:rsidR="00C56E70" w:rsidRPr="00E02069">
        <w:rPr>
          <w:rFonts w:ascii="Times New Roman" w:hAnsi="Times New Roman" w:cs="Times New Roman"/>
          <w:color w:val="000000"/>
          <w:sz w:val="24"/>
          <w:szCs w:val="24"/>
        </w:rPr>
        <w:t>ds with their benchmark returns during last one, three and five year of time frame.</w:t>
      </w:r>
    </w:p>
    <w:p w:rsidR="00E02069" w:rsidRDefault="00AB3053" w:rsidP="00E02069">
      <w:pPr>
        <w:pStyle w:val="ListParagraph"/>
        <w:widowControl w:val="0"/>
        <w:numPr>
          <w:ilvl w:val="0"/>
          <w:numId w:val="21"/>
        </w:numPr>
        <w:autoSpaceDE w:val="0"/>
        <w:autoSpaceDN w:val="0"/>
        <w:adjustRightInd w:val="0"/>
        <w:spacing w:line="360" w:lineRule="auto"/>
        <w:jc w:val="both"/>
        <w:rPr>
          <w:rFonts w:ascii="Times New Roman" w:hAnsi="Times New Roman" w:cs="Times New Roman"/>
          <w:color w:val="000000"/>
          <w:sz w:val="24"/>
          <w:szCs w:val="24"/>
        </w:rPr>
      </w:pPr>
      <w:r w:rsidRPr="00E02069">
        <w:rPr>
          <w:rFonts w:ascii="Times New Roman" w:hAnsi="Times New Roman" w:cs="Times New Roman"/>
          <w:color w:val="000000"/>
          <w:sz w:val="24"/>
          <w:szCs w:val="24"/>
        </w:rPr>
        <w:t xml:space="preserve">According to the second objective of the study that is </w:t>
      </w:r>
      <w:r w:rsidR="00C56E70" w:rsidRPr="00E02069">
        <w:rPr>
          <w:rFonts w:ascii="Times New Roman" w:hAnsi="Times New Roman" w:cs="Times New Roman"/>
          <w:color w:val="000000"/>
          <w:sz w:val="24"/>
          <w:szCs w:val="24"/>
        </w:rPr>
        <w:t>t</w:t>
      </w:r>
      <w:r w:rsidR="008C3437" w:rsidRPr="00E02069">
        <w:rPr>
          <w:rFonts w:ascii="Times New Roman" w:hAnsi="Times New Roman" w:cs="Times New Roman"/>
          <w:color w:val="000000"/>
          <w:sz w:val="24"/>
          <w:szCs w:val="24"/>
        </w:rPr>
        <w:t>o analyze the risk associated with schemes and measuring performance of funds using tools like Annualized Return, Sharpe Ratio, Sta</w:t>
      </w:r>
      <w:r w:rsidR="00C56E70" w:rsidRPr="00E02069">
        <w:rPr>
          <w:rFonts w:ascii="Times New Roman" w:hAnsi="Times New Roman" w:cs="Times New Roman"/>
          <w:color w:val="000000"/>
          <w:sz w:val="24"/>
          <w:szCs w:val="24"/>
        </w:rPr>
        <w:t>ndard Deviation, alpha and Beta. It is clear from table no 2 that Invesco India Large cap Fund from large cap category, PGIM India Mid-cap Opportunities plan from mid-cap category, Kotak Small Cap Fund from small-cap category, Quant active fund from multi-cap fund, IIFL-focused fund from focused fund, Templeton India Equity Income Fund from dividend yield fund, SBI contra fund from value/contra funds and PGIM India's long-term equity fund from ELSS mutual fund category had performed very well in terms of risk analysis during the last one, three and five year of time frame.</w:t>
      </w:r>
    </w:p>
    <w:p w:rsidR="00C062D7" w:rsidRPr="00E02069" w:rsidRDefault="00C062D7" w:rsidP="00E02069">
      <w:pPr>
        <w:pStyle w:val="ListParagraph"/>
        <w:widowControl w:val="0"/>
        <w:numPr>
          <w:ilvl w:val="0"/>
          <w:numId w:val="21"/>
        </w:numPr>
        <w:autoSpaceDE w:val="0"/>
        <w:autoSpaceDN w:val="0"/>
        <w:adjustRightInd w:val="0"/>
        <w:spacing w:line="360" w:lineRule="auto"/>
        <w:jc w:val="both"/>
        <w:rPr>
          <w:rFonts w:ascii="Times New Roman" w:hAnsi="Times New Roman" w:cs="Times New Roman"/>
          <w:color w:val="000000"/>
          <w:sz w:val="24"/>
          <w:szCs w:val="24"/>
        </w:rPr>
      </w:pPr>
      <w:r w:rsidRPr="00E02069">
        <w:rPr>
          <w:rFonts w:ascii="Times New Roman" w:hAnsi="Times New Roman"/>
          <w:sz w:val="24"/>
          <w:szCs w:val="24"/>
        </w:rPr>
        <w:t xml:space="preserve">The third and final </w:t>
      </w:r>
      <w:r w:rsidR="00E02069" w:rsidRPr="00E02069">
        <w:rPr>
          <w:rFonts w:ascii="Times New Roman" w:hAnsi="Times New Roman"/>
          <w:sz w:val="24"/>
          <w:szCs w:val="24"/>
        </w:rPr>
        <w:t>objective</w:t>
      </w:r>
      <w:r w:rsidRPr="00E02069">
        <w:rPr>
          <w:rFonts w:ascii="Times New Roman" w:hAnsi="Times New Roman"/>
          <w:sz w:val="24"/>
          <w:szCs w:val="24"/>
        </w:rPr>
        <w:t xml:space="preserve"> of this research is to evaluate the effectiveness of particular mutual fund schemes using the portfolio performance measures of alpha, beta, standard </w:t>
      </w:r>
      <w:r w:rsidRPr="00E02069">
        <w:rPr>
          <w:rFonts w:ascii="Times New Roman" w:hAnsi="Times New Roman"/>
          <w:sz w:val="24"/>
          <w:szCs w:val="24"/>
        </w:rPr>
        <w:lastRenderedPageBreak/>
        <w:t>deviation, and Sharpe ratio. Out of these 30 selected equity funds, Invesco India Large-Cap Fund, PGIM India Mid-cap Opportunities Fund, Kotak Small Cap Fund, Quant Active Fund, Parag Parikh Flexi Cap Fund, IIFL Focused Fund, Templeton India Equity Income Fund, SBI Contra Fund, and PGIM India Long Term Equity Fund were chosen for future investments that will provide the best return. For the investor, this portfolio of chosen schemes will be ideal. Depending on their risk appetite and portfolio asset allocation, investors can choose from a variety of schemes.</w:t>
      </w:r>
    </w:p>
    <w:p w:rsidR="00D6587C" w:rsidRPr="00D6587C" w:rsidRDefault="00D6587C" w:rsidP="00D6587C">
      <w:pPr>
        <w:widowControl w:val="0"/>
        <w:autoSpaceDE w:val="0"/>
        <w:autoSpaceDN w:val="0"/>
        <w:adjustRightInd w:val="0"/>
        <w:spacing w:line="360" w:lineRule="auto"/>
        <w:ind w:left="360"/>
        <w:jc w:val="both"/>
        <w:rPr>
          <w:rFonts w:ascii="Times New Roman" w:hAnsi="Times New Roman"/>
          <w:sz w:val="24"/>
          <w:szCs w:val="24"/>
        </w:rPr>
      </w:pPr>
      <w:r w:rsidRPr="00D6587C">
        <w:rPr>
          <w:rFonts w:ascii="Times New Roman" w:hAnsi="Times New Roman"/>
          <w:b/>
          <w:bCs/>
          <w:sz w:val="24"/>
          <w:szCs w:val="24"/>
        </w:rPr>
        <w:t>Bibliography</w:t>
      </w:r>
    </w:p>
    <w:p w:rsidR="00D6587C" w:rsidRPr="00D6587C" w:rsidRDefault="00D6587C" w:rsidP="00D6587C">
      <w:pPr>
        <w:widowControl w:val="0"/>
        <w:numPr>
          <w:ilvl w:val="0"/>
          <w:numId w:val="22"/>
        </w:numPr>
        <w:autoSpaceDE w:val="0"/>
        <w:autoSpaceDN w:val="0"/>
        <w:adjustRightInd w:val="0"/>
        <w:spacing w:after="0" w:line="360" w:lineRule="auto"/>
        <w:jc w:val="both"/>
        <w:rPr>
          <w:rStyle w:val="markedcontent"/>
        </w:rPr>
      </w:pPr>
      <w:proofErr w:type="spellStart"/>
      <w:r w:rsidRPr="005C61AC">
        <w:rPr>
          <w:rFonts w:ascii="Times New Roman" w:hAnsi="Times New Roman"/>
          <w:b/>
          <w:bCs/>
          <w:sz w:val="24"/>
          <w:szCs w:val="24"/>
        </w:rPr>
        <w:t>Raju</w:t>
      </w:r>
      <w:proofErr w:type="spellEnd"/>
      <w:r w:rsidRPr="005C61AC">
        <w:rPr>
          <w:rFonts w:ascii="Times New Roman" w:hAnsi="Times New Roman"/>
          <w:b/>
          <w:bCs/>
          <w:sz w:val="24"/>
          <w:szCs w:val="24"/>
        </w:rPr>
        <w:t xml:space="preserve">, </w:t>
      </w:r>
      <w:proofErr w:type="spellStart"/>
      <w:r w:rsidRPr="005C61AC">
        <w:rPr>
          <w:rFonts w:ascii="Times New Roman" w:hAnsi="Times New Roman"/>
          <w:b/>
          <w:bCs/>
          <w:sz w:val="24"/>
          <w:szCs w:val="24"/>
        </w:rPr>
        <w:t>Manjunath</w:t>
      </w:r>
      <w:proofErr w:type="spellEnd"/>
      <w:r w:rsidRPr="005C61AC">
        <w:rPr>
          <w:rFonts w:ascii="Times New Roman" w:hAnsi="Times New Roman"/>
          <w:b/>
          <w:bCs/>
          <w:sz w:val="24"/>
          <w:szCs w:val="24"/>
        </w:rPr>
        <w:t xml:space="preserve"> and </w:t>
      </w:r>
      <w:proofErr w:type="spellStart"/>
      <w:r w:rsidRPr="005C61AC">
        <w:rPr>
          <w:rFonts w:ascii="Times New Roman" w:hAnsi="Times New Roman"/>
          <w:b/>
          <w:bCs/>
          <w:sz w:val="24"/>
          <w:szCs w:val="24"/>
        </w:rPr>
        <w:t>Nithya</w:t>
      </w:r>
      <w:proofErr w:type="spellEnd"/>
      <w:r w:rsidRPr="005C61AC">
        <w:rPr>
          <w:rFonts w:ascii="Times New Roman" w:hAnsi="Times New Roman"/>
          <w:b/>
          <w:bCs/>
          <w:sz w:val="24"/>
          <w:szCs w:val="24"/>
        </w:rPr>
        <w:t xml:space="preserve"> (2018</w:t>
      </w:r>
      <w:r>
        <w:rPr>
          <w:rFonts w:ascii="Times New Roman" w:hAnsi="Times New Roman"/>
          <w:b/>
          <w:bCs/>
          <w:sz w:val="24"/>
          <w:szCs w:val="24"/>
        </w:rPr>
        <w:t xml:space="preserve">) </w:t>
      </w:r>
      <w:r w:rsidRPr="004603D4">
        <w:rPr>
          <w:rFonts w:ascii="Times New Roman" w:hAnsi="Times New Roman"/>
        </w:rPr>
        <w:t>A study on performance evaluation of selected Indian equity mutual funds, www.ijct.org</w:t>
      </w:r>
      <w:r w:rsidRPr="004603D4">
        <w:rPr>
          <w:rFonts w:ascii="Times New Roman" w:hAnsi="Times New Roman"/>
          <w:szCs w:val="24"/>
        </w:rPr>
        <w:t xml:space="preserve"> © 2018 IJCRT</w:t>
      </w:r>
      <w:r w:rsidRPr="004603D4">
        <w:rPr>
          <w:rFonts w:ascii="Times New Roman" w:hAnsi="Times New Roman"/>
          <w:sz w:val="24"/>
          <w:szCs w:val="24"/>
        </w:rPr>
        <w:t xml:space="preserve">| </w:t>
      </w:r>
      <w:r w:rsidRPr="004603D4">
        <w:rPr>
          <w:rFonts w:ascii="Times New Roman" w:hAnsi="Times New Roman"/>
          <w:szCs w:val="24"/>
        </w:rPr>
        <w:t>Volume 6, Issue 1 January 2018 | ISSN: 2320-2882</w:t>
      </w:r>
    </w:p>
    <w:p w:rsidR="00D6587C" w:rsidRDefault="00D6587C" w:rsidP="00D6587C">
      <w:pPr>
        <w:widowControl w:val="0"/>
        <w:numPr>
          <w:ilvl w:val="0"/>
          <w:numId w:val="22"/>
        </w:numPr>
        <w:autoSpaceDE w:val="0"/>
        <w:autoSpaceDN w:val="0"/>
        <w:adjustRightInd w:val="0"/>
        <w:spacing w:after="0" w:line="360" w:lineRule="auto"/>
        <w:jc w:val="both"/>
      </w:pPr>
      <w:r w:rsidRPr="00D6587C">
        <w:rPr>
          <w:rFonts w:ascii="Times New Roman" w:hAnsi="Times New Roman"/>
          <w:b/>
          <w:bCs/>
          <w:sz w:val="24"/>
          <w:szCs w:val="24"/>
        </w:rPr>
        <w:t xml:space="preserve">Sharma and </w:t>
      </w:r>
      <w:proofErr w:type="spellStart"/>
      <w:r w:rsidRPr="00D6587C">
        <w:rPr>
          <w:rFonts w:ascii="Times New Roman" w:hAnsi="Times New Roman"/>
          <w:b/>
          <w:bCs/>
          <w:sz w:val="24"/>
          <w:szCs w:val="24"/>
        </w:rPr>
        <w:t>Adhana</w:t>
      </w:r>
      <w:proofErr w:type="spellEnd"/>
      <w:r w:rsidRPr="00D6587C">
        <w:rPr>
          <w:rFonts w:ascii="Times New Roman" w:hAnsi="Times New Roman"/>
          <w:b/>
          <w:bCs/>
          <w:sz w:val="24"/>
          <w:szCs w:val="24"/>
        </w:rPr>
        <w:t xml:space="preserve"> (2020)</w:t>
      </w:r>
      <w:r w:rsidRPr="004603D4">
        <w:rPr>
          <w:rFonts w:ascii="Times New Roman" w:hAnsi="Times New Roman"/>
          <w:sz w:val="24"/>
          <w:szCs w:val="24"/>
        </w:rPr>
        <w:t xml:space="preserve"> </w:t>
      </w:r>
      <w:r w:rsidRPr="004603D4">
        <w:rPr>
          <w:rFonts w:ascii="Times New Roman" w:hAnsi="Times New Roman"/>
        </w:rPr>
        <w:t>A study on performance evaluation of equity share and mutual funds, NOVYI MIR Research Journal Volume 5, Issue 9, 2020 ISSN No : 0130-7673</w:t>
      </w:r>
    </w:p>
    <w:p w:rsidR="004603D4" w:rsidRPr="00106ABB" w:rsidRDefault="004603D4" w:rsidP="004603D4">
      <w:pPr>
        <w:widowControl w:val="0"/>
        <w:numPr>
          <w:ilvl w:val="0"/>
          <w:numId w:val="22"/>
        </w:numPr>
        <w:autoSpaceDE w:val="0"/>
        <w:autoSpaceDN w:val="0"/>
        <w:adjustRightInd w:val="0"/>
        <w:spacing w:after="0" w:line="360" w:lineRule="auto"/>
        <w:jc w:val="both"/>
        <w:rPr>
          <w:rFonts w:ascii="Times New Roman" w:hAnsi="Times New Roman"/>
          <w:sz w:val="24"/>
          <w:szCs w:val="24"/>
        </w:rPr>
      </w:pPr>
      <w:proofErr w:type="spellStart"/>
      <w:r w:rsidRPr="004603D4">
        <w:rPr>
          <w:rFonts w:ascii="Times New Roman" w:hAnsi="Times New Roman"/>
          <w:b/>
          <w:sz w:val="24"/>
          <w:szCs w:val="24"/>
        </w:rPr>
        <w:t>Gautam</w:t>
      </w:r>
      <w:proofErr w:type="spellEnd"/>
      <w:r w:rsidRPr="004603D4">
        <w:rPr>
          <w:rFonts w:ascii="Times New Roman" w:hAnsi="Times New Roman"/>
          <w:b/>
          <w:sz w:val="24"/>
          <w:szCs w:val="24"/>
        </w:rPr>
        <w:t xml:space="preserve"> A.K (2020</w:t>
      </w:r>
      <w:r>
        <w:rPr>
          <w:rFonts w:ascii="Times New Roman" w:hAnsi="Times New Roman"/>
          <w:sz w:val="24"/>
          <w:szCs w:val="24"/>
        </w:rPr>
        <w:t>) P</w:t>
      </w:r>
      <w:r w:rsidRPr="00106ABB">
        <w:rPr>
          <w:rFonts w:ascii="Times New Roman" w:hAnsi="Times New Roman"/>
          <w:sz w:val="24"/>
          <w:szCs w:val="24"/>
        </w:rPr>
        <w:t>erformance evaluation of equity linked savings scheme (ELSS) of Indian mutual funds, UGC Care Journal ISSN: 2394-3114 Vol-40-Issue-56-March -2020</w:t>
      </w:r>
    </w:p>
    <w:p w:rsidR="004603D4" w:rsidRPr="00857E86" w:rsidRDefault="00695A2B" w:rsidP="004603D4">
      <w:pPr>
        <w:widowControl w:val="0"/>
        <w:numPr>
          <w:ilvl w:val="0"/>
          <w:numId w:val="22"/>
        </w:numPr>
        <w:autoSpaceDE w:val="0"/>
        <w:autoSpaceDN w:val="0"/>
        <w:adjustRightInd w:val="0"/>
        <w:spacing w:after="0" w:line="360" w:lineRule="auto"/>
        <w:jc w:val="both"/>
        <w:rPr>
          <w:rFonts w:ascii="Times New Roman" w:hAnsi="Times New Roman"/>
          <w:sz w:val="24"/>
          <w:szCs w:val="24"/>
        </w:rPr>
      </w:pPr>
      <w:hyperlink r:id="rId30" w:history="1">
        <w:proofErr w:type="spellStart"/>
        <w:r w:rsidR="004603D4" w:rsidRPr="00F76F36">
          <w:rPr>
            <w:rFonts w:ascii="Times New Roman" w:hAnsi="Times New Roman"/>
            <w:b/>
            <w:bCs/>
            <w:sz w:val="24"/>
            <w:szCs w:val="24"/>
          </w:rPr>
          <w:t>Ruchi</w:t>
        </w:r>
        <w:proofErr w:type="spellEnd"/>
        <w:r w:rsidR="004603D4" w:rsidRPr="00F76F36">
          <w:rPr>
            <w:rFonts w:ascii="Times New Roman" w:hAnsi="Times New Roman"/>
            <w:b/>
            <w:bCs/>
            <w:sz w:val="24"/>
            <w:szCs w:val="24"/>
          </w:rPr>
          <w:t xml:space="preserve"> A</w:t>
        </w:r>
      </w:hyperlink>
      <w:r w:rsidR="004603D4" w:rsidRPr="00F76F36">
        <w:rPr>
          <w:rFonts w:ascii="Times New Roman" w:hAnsi="Times New Roman"/>
          <w:b/>
          <w:bCs/>
          <w:sz w:val="24"/>
          <w:szCs w:val="24"/>
        </w:rPr>
        <w:t xml:space="preserve">, </w:t>
      </w:r>
      <w:hyperlink r:id="rId31" w:history="1">
        <w:r w:rsidR="004603D4" w:rsidRPr="00F76F36">
          <w:rPr>
            <w:rFonts w:ascii="Times New Roman" w:hAnsi="Times New Roman"/>
            <w:b/>
            <w:bCs/>
            <w:sz w:val="24"/>
            <w:szCs w:val="24"/>
          </w:rPr>
          <w:t>Raman</w:t>
        </w:r>
      </w:hyperlink>
      <w:r w:rsidR="004603D4" w:rsidRPr="00F76F36">
        <w:rPr>
          <w:rFonts w:ascii="Times New Roman" w:hAnsi="Times New Roman"/>
          <w:b/>
          <w:bCs/>
          <w:sz w:val="24"/>
          <w:szCs w:val="24"/>
        </w:rPr>
        <w:t xml:space="preserve"> T V (2020)</w:t>
      </w:r>
      <w:r w:rsidR="004603D4" w:rsidRPr="00DC03BB">
        <w:rPr>
          <w:rFonts w:ascii="Times New Roman" w:hAnsi="Times New Roman"/>
          <w:sz w:val="24"/>
          <w:szCs w:val="24"/>
        </w:rPr>
        <w:t xml:space="preserve"> in her study “A study on performance evaluation of equity mutual funds schemes in India</w:t>
      </w:r>
      <w:r w:rsidR="004603D4">
        <w:rPr>
          <w:rFonts w:ascii="Times New Roman" w:hAnsi="Times New Roman"/>
          <w:sz w:val="24"/>
          <w:szCs w:val="24"/>
        </w:rPr>
        <w:t xml:space="preserve">”. </w:t>
      </w:r>
      <w:r w:rsidR="004603D4">
        <w:t>International Journal of Financial Engineering Vol. 7, No. 2 (2020) 2050017 (15 pages) © World Scientific Publishing Company DOI: 10.1142/S2424786320500176.</w:t>
      </w:r>
    </w:p>
    <w:p w:rsidR="004603D4" w:rsidRDefault="004603D4" w:rsidP="004603D4">
      <w:pPr>
        <w:widowControl w:val="0"/>
        <w:numPr>
          <w:ilvl w:val="0"/>
          <w:numId w:val="22"/>
        </w:numPr>
        <w:autoSpaceDE w:val="0"/>
        <w:autoSpaceDN w:val="0"/>
        <w:adjustRightInd w:val="0"/>
        <w:spacing w:after="0" w:line="360" w:lineRule="auto"/>
        <w:jc w:val="both"/>
      </w:pPr>
      <w:proofErr w:type="spellStart"/>
      <w:r w:rsidRPr="00F76F36">
        <w:rPr>
          <w:rFonts w:ascii="Times New Roman" w:hAnsi="Times New Roman"/>
          <w:b/>
          <w:bCs/>
          <w:sz w:val="24"/>
          <w:szCs w:val="24"/>
        </w:rPr>
        <w:t>Baliyan</w:t>
      </w:r>
      <w:proofErr w:type="spellEnd"/>
      <w:r w:rsidRPr="00F76F36">
        <w:rPr>
          <w:rFonts w:ascii="Times New Roman" w:hAnsi="Times New Roman"/>
          <w:b/>
          <w:bCs/>
          <w:sz w:val="24"/>
          <w:szCs w:val="24"/>
        </w:rPr>
        <w:t xml:space="preserve"> M, </w:t>
      </w:r>
      <w:proofErr w:type="spellStart"/>
      <w:r w:rsidRPr="00F76F36">
        <w:rPr>
          <w:rFonts w:ascii="Times New Roman" w:hAnsi="Times New Roman"/>
          <w:b/>
          <w:bCs/>
          <w:sz w:val="24"/>
          <w:szCs w:val="24"/>
        </w:rPr>
        <w:t>Rathi</w:t>
      </w:r>
      <w:proofErr w:type="spellEnd"/>
      <w:r w:rsidRPr="00F76F36">
        <w:rPr>
          <w:rFonts w:ascii="Times New Roman" w:hAnsi="Times New Roman"/>
          <w:b/>
          <w:bCs/>
          <w:sz w:val="24"/>
          <w:szCs w:val="24"/>
        </w:rPr>
        <w:t xml:space="preserve"> P and </w:t>
      </w:r>
      <w:proofErr w:type="spellStart"/>
      <w:r w:rsidRPr="00F76F36">
        <w:rPr>
          <w:rFonts w:ascii="Times New Roman" w:hAnsi="Times New Roman"/>
          <w:b/>
          <w:bCs/>
          <w:sz w:val="24"/>
          <w:szCs w:val="24"/>
        </w:rPr>
        <w:t>Tyagi</w:t>
      </w:r>
      <w:proofErr w:type="spellEnd"/>
      <w:r w:rsidRPr="00F76F36">
        <w:rPr>
          <w:rFonts w:ascii="Times New Roman" w:hAnsi="Times New Roman"/>
          <w:b/>
          <w:bCs/>
          <w:sz w:val="24"/>
          <w:szCs w:val="24"/>
        </w:rPr>
        <w:t xml:space="preserve"> R (2020)</w:t>
      </w:r>
      <w:r>
        <w:t xml:space="preserve"> Performance evaluation of selected Mutual Funds, International journal for research in engineering application &amp; management (IJREAM), ISSN: 2454-9150, Volume 6, issue 3, year – June 2020.</w:t>
      </w:r>
    </w:p>
    <w:p w:rsidR="004603D4" w:rsidRPr="004603D4" w:rsidRDefault="004603D4" w:rsidP="004603D4">
      <w:pPr>
        <w:widowControl w:val="0"/>
        <w:autoSpaceDE w:val="0"/>
        <w:autoSpaceDN w:val="0"/>
        <w:adjustRightInd w:val="0"/>
        <w:spacing w:before="240" w:after="0" w:line="360" w:lineRule="auto"/>
        <w:ind w:left="720"/>
        <w:jc w:val="both"/>
        <w:rPr>
          <w:rFonts w:ascii="Times New Roman" w:hAnsi="Times New Roman"/>
          <w:sz w:val="24"/>
          <w:szCs w:val="24"/>
        </w:rPr>
      </w:pPr>
      <w:r w:rsidRPr="004603D4">
        <w:rPr>
          <w:rFonts w:ascii="Times New Roman" w:hAnsi="Times New Roman"/>
          <w:b/>
          <w:bCs/>
          <w:sz w:val="24"/>
          <w:szCs w:val="24"/>
        </w:rPr>
        <w:t>Websites</w:t>
      </w:r>
    </w:p>
    <w:p w:rsidR="004603D4" w:rsidRPr="004603D4" w:rsidRDefault="00695A2B" w:rsidP="004603D4">
      <w:pPr>
        <w:pStyle w:val="ListParagraph"/>
        <w:widowControl w:val="0"/>
        <w:numPr>
          <w:ilvl w:val="0"/>
          <w:numId w:val="23"/>
        </w:numPr>
        <w:autoSpaceDE w:val="0"/>
        <w:autoSpaceDN w:val="0"/>
        <w:adjustRightInd w:val="0"/>
        <w:spacing w:line="360" w:lineRule="auto"/>
        <w:jc w:val="both"/>
        <w:rPr>
          <w:rFonts w:ascii="Times New Roman" w:hAnsi="Times New Roman"/>
          <w:sz w:val="24"/>
          <w:szCs w:val="24"/>
        </w:rPr>
      </w:pPr>
      <w:hyperlink r:id="rId32" w:history="1">
        <w:r w:rsidR="004603D4" w:rsidRPr="004603D4">
          <w:rPr>
            <w:rStyle w:val="Hyperlink"/>
            <w:rFonts w:ascii="Times New Roman" w:hAnsi="Times New Roman" w:cstheme="minorBidi"/>
            <w:sz w:val="24"/>
            <w:szCs w:val="24"/>
          </w:rPr>
          <w:t>www.bseindia.com</w:t>
        </w:r>
      </w:hyperlink>
    </w:p>
    <w:p w:rsidR="004603D4" w:rsidRDefault="00695A2B" w:rsidP="004603D4">
      <w:pPr>
        <w:pStyle w:val="ListParagraph"/>
        <w:widowControl w:val="0"/>
        <w:numPr>
          <w:ilvl w:val="0"/>
          <w:numId w:val="23"/>
        </w:numPr>
        <w:autoSpaceDE w:val="0"/>
        <w:autoSpaceDN w:val="0"/>
        <w:adjustRightInd w:val="0"/>
        <w:spacing w:line="360" w:lineRule="auto"/>
        <w:jc w:val="both"/>
        <w:rPr>
          <w:rFonts w:ascii="Times New Roman" w:hAnsi="Times New Roman"/>
          <w:sz w:val="24"/>
          <w:szCs w:val="24"/>
        </w:rPr>
      </w:pPr>
      <w:hyperlink r:id="rId33" w:history="1">
        <w:r w:rsidR="004603D4" w:rsidRPr="004603D4">
          <w:rPr>
            <w:rStyle w:val="Hyperlink"/>
            <w:rFonts w:ascii="Times New Roman" w:hAnsi="Times New Roman" w:cstheme="minorBidi"/>
            <w:sz w:val="24"/>
            <w:szCs w:val="24"/>
          </w:rPr>
          <w:t>www.nseindia.com</w:t>
        </w:r>
      </w:hyperlink>
    </w:p>
    <w:p w:rsidR="004603D4" w:rsidRDefault="00695A2B" w:rsidP="004603D4">
      <w:pPr>
        <w:pStyle w:val="ListParagraph"/>
        <w:widowControl w:val="0"/>
        <w:numPr>
          <w:ilvl w:val="0"/>
          <w:numId w:val="23"/>
        </w:numPr>
        <w:autoSpaceDE w:val="0"/>
        <w:autoSpaceDN w:val="0"/>
        <w:adjustRightInd w:val="0"/>
        <w:spacing w:line="360" w:lineRule="auto"/>
        <w:jc w:val="both"/>
        <w:rPr>
          <w:rFonts w:ascii="Times New Roman" w:hAnsi="Times New Roman"/>
          <w:sz w:val="24"/>
          <w:szCs w:val="24"/>
        </w:rPr>
      </w:pPr>
      <w:hyperlink r:id="rId34" w:history="1">
        <w:r w:rsidR="004603D4" w:rsidRPr="000948D8">
          <w:rPr>
            <w:rStyle w:val="Hyperlink"/>
            <w:rFonts w:ascii="Times New Roman" w:hAnsi="Times New Roman" w:cstheme="minorBidi"/>
            <w:sz w:val="24"/>
            <w:szCs w:val="24"/>
          </w:rPr>
          <w:t>www.amfiindia.com</w:t>
        </w:r>
      </w:hyperlink>
    </w:p>
    <w:p w:rsidR="004603D4" w:rsidRDefault="00695A2B" w:rsidP="004603D4">
      <w:pPr>
        <w:pStyle w:val="ListParagraph"/>
        <w:widowControl w:val="0"/>
        <w:numPr>
          <w:ilvl w:val="0"/>
          <w:numId w:val="23"/>
        </w:numPr>
        <w:autoSpaceDE w:val="0"/>
        <w:autoSpaceDN w:val="0"/>
        <w:adjustRightInd w:val="0"/>
        <w:spacing w:line="360" w:lineRule="auto"/>
        <w:jc w:val="both"/>
        <w:rPr>
          <w:rFonts w:ascii="Times New Roman" w:hAnsi="Times New Roman"/>
          <w:sz w:val="24"/>
          <w:szCs w:val="24"/>
        </w:rPr>
      </w:pPr>
      <w:hyperlink r:id="rId35" w:history="1">
        <w:r w:rsidR="004603D4" w:rsidRPr="000948D8">
          <w:rPr>
            <w:rStyle w:val="Hyperlink"/>
            <w:rFonts w:ascii="Times New Roman" w:hAnsi="Times New Roman" w:cstheme="minorBidi"/>
            <w:sz w:val="24"/>
            <w:szCs w:val="24"/>
          </w:rPr>
          <w:t>www.mutualfundindia.com</w:t>
        </w:r>
      </w:hyperlink>
    </w:p>
    <w:p w:rsidR="004603D4" w:rsidRPr="004603D4" w:rsidRDefault="004603D4" w:rsidP="004603D4">
      <w:pPr>
        <w:widowControl w:val="0"/>
        <w:autoSpaceDE w:val="0"/>
        <w:autoSpaceDN w:val="0"/>
        <w:adjustRightInd w:val="0"/>
        <w:spacing w:line="360" w:lineRule="auto"/>
        <w:ind w:left="720"/>
        <w:jc w:val="both"/>
        <w:rPr>
          <w:rFonts w:ascii="Times New Roman" w:hAnsi="Times New Roman"/>
          <w:sz w:val="24"/>
          <w:szCs w:val="24"/>
        </w:rPr>
      </w:pPr>
    </w:p>
    <w:p w:rsidR="00D6587C" w:rsidRDefault="00D6587C" w:rsidP="004603D4">
      <w:pPr>
        <w:widowControl w:val="0"/>
        <w:autoSpaceDE w:val="0"/>
        <w:autoSpaceDN w:val="0"/>
        <w:adjustRightInd w:val="0"/>
        <w:spacing w:after="0" w:line="360" w:lineRule="auto"/>
        <w:jc w:val="both"/>
        <w:rPr>
          <w:rStyle w:val="markedcontent"/>
        </w:rPr>
      </w:pPr>
    </w:p>
    <w:p w:rsidR="008C3437" w:rsidRPr="008C3437" w:rsidRDefault="008C3437" w:rsidP="00C062D7">
      <w:pPr>
        <w:pStyle w:val="ListParagraph"/>
        <w:widowControl w:val="0"/>
        <w:autoSpaceDE w:val="0"/>
        <w:autoSpaceDN w:val="0"/>
        <w:adjustRightInd w:val="0"/>
        <w:spacing w:line="360" w:lineRule="auto"/>
        <w:ind w:left="360"/>
        <w:jc w:val="both"/>
        <w:rPr>
          <w:rFonts w:ascii="Times New Roman" w:hAnsi="Times New Roman"/>
          <w:sz w:val="24"/>
          <w:szCs w:val="24"/>
        </w:rPr>
      </w:pPr>
    </w:p>
    <w:sectPr w:rsidR="008C3437" w:rsidRPr="008C3437" w:rsidSect="00C062D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64200"/>
    <w:multiLevelType w:val="hybridMultilevel"/>
    <w:tmpl w:val="30C2D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D115F"/>
    <w:multiLevelType w:val="hybridMultilevel"/>
    <w:tmpl w:val="419C7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75DC3"/>
    <w:multiLevelType w:val="hybridMultilevel"/>
    <w:tmpl w:val="7E062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121B91"/>
    <w:multiLevelType w:val="hybridMultilevel"/>
    <w:tmpl w:val="9CE0E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C8522AE"/>
    <w:multiLevelType w:val="hybridMultilevel"/>
    <w:tmpl w:val="57C8F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B13CF2"/>
    <w:multiLevelType w:val="hybridMultilevel"/>
    <w:tmpl w:val="A030D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E4C4D21"/>
    <w:multiLevelType w:val="multilevel"/>
    <w:tmpl w:val="E3689F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EA76DBF"/>
    <w:multiLevelType w:val="hybridMultilevel"/>
    <w:tmpl w:val="F99A275E"/>
    <w:lvl w:ilvl="0" w:tplc="4009000F">
      <w:start w:val="1"/>
      <w:numFmt w:val="decimal"/>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tentative="1">
      <w:start w:val="1"/>
      <w:numFmt w:val="lowerRoman"/>
      <w:lvlText w:val="%3."/>
      <w:lvlJc w:val="right"/>
      <w:pPr>
        <w:ind w:left="2520" w:hanging="180"/>
      </w:pPr>
      <w:rPr>
        <w:rFonts w:cs="Times New Roman"/>
      </w:rPr>
    </w:lvl>
    <w:lvl w:ilvl="3" w:tplc="4009000F" w:tentative="1">
      <w:start w:val="1"/>
      <w:numFmt w:val="decimal"/>
      <w:lvlText w:val="%4."/>
      <w:lvlJc w:val="left"/>
      <w:pPr>
        <w:ind w:left="3240" w:hanging="360"/>
      </w:pPr>
      <w:rPr>
        <w:rFonts w:cs="Times New Roman"/>
      </w:rPr>
    </w:lvl>
    <w:lvl w:ilvl="4" w:tplc="40090019" w:tentative="1">
      <w:start w:val="1"/>
      <w:numFmt w:val="lowerLetter"/>
      <w:lvlText w:val="%5."/>
      <w:lvlJc w:val="left"/>
      <w:pPr>
        <w:ind w:left="3960" w:hanging="360"/>
      </w:pPr>
      <w:rPr>
        <w:rFonts w:cs="Times New Roman"/>
      </w:rPr>
    </w:lvl>
    <w:lvl w:ilvl="5" w:tplc="4009001B" w:tentative="1">
      <w:start w:val="1"/>
      <w:numFmt w:val="lowerRoman"/>
      <w:lvlText w:val="%6."/>
      <w:lvlJc w:val="right"/>
      <w:pPr>
        <w:ind w:left="4680" w:hanging="180"/>
      </w:pPr>
      <w:rPr>
        <w:rFonts w:cs="Times New Roman"/>
      </w:rPr>
    </w:lvl>
    <w:lvl w:ilvl="6" w:tplc="4009000F" w:tentative="1">
      <w:start w:val="1"/>
      <w:numFmt w:val="decimal"/>
      <w:lvlText w:val="%7."/>
      <w:lvlJc w:val="left"/>
      <w:pPr>
        <w:ind w:left="5400" w:hanging="360"/>
      </w:pPr>
      <w:rPr>
        <w:rFonts w:cs="Times New Roman"/>
      </w:rPr>
    </w:lvl>
    <w:lvl w:ilvl="7" w:tplc="40090019" w:tentative="1">
      <w:start w:val="1"/>
      <w:numFmt w:val="lowerLetter"/>
      <w:lvlText w:val="%8."/>
      <w:lvlJc w:val="left"/>
      <w:pPr>
        <w:ind w:left="6120" w:hanging="360"/>
      </w:pPr>
      <w:rPr>
        <w:rFonts w:cs="Times New Roman"/>
      </w:rPr>
    </w:lvl>
    <w:lvl w:ilvl="8" w:tplc="4009001B" w:tentative="1">
      <w:start w:val="1"/>
      <w:numFmt w:val="lowerRoman"/>
      <w:lvlText w:val="%9."/>
      <w:lvlJc w:val="right"/>
      <w:pPr>
        <w:ind w:left="6840" w:hanging="180"/>
      </w:pPr>
      <w:rPr>
        <w:rFonts w:cs="Times New Roman"/>
      </w:rPr>
    </w:lvl>
  </w:abstractNum>
  <w:abstractNum w:abstractNumId="8">
    <w:nsid w:val="3C4D23A9"/>
    <w:multiLevelType w:val="hybridMultilevel"/>
    <w:tmpl w:val="ECFAC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16366A"/>
    <w:multiLevelType w:val="hybridMultilevel"/>
    <w:tmpl w:val="D036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D10950"/>
    <w:multiLevelType w:val="hybridMultilevel"/>
    <w:tmpl w:val="00BC8B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4503A3"/>
    <w:multiLevelType w:val="hybridMultilevel"/>
    <w:tmpl w:val="43B83C2C"/>
    <w:lvl w:ilvl="0" w:tplc="B07AE83E">
      <w:start w:val="1"/>
      <w:numFmt w:val="bullet"/>
      <w:lvlText w:val="•"/>
      <w:lvlJc w:val="left"/>
      <w:pPr>
        <w:tabs>
          <w:tab w:val="num" w:pos="720"/>
        </w:tabs>
        <w:ind w:left="720" w:hanging="360"/>
      </w:pPr>
      <w:rPr>
        <w:rFonts w:ascii="Times New Roman" w:hAnsi="Times New Roman" w:hint="default"/>
      </w:rPr>
    </w:lvl>
    <w:lvl w:ilvl="1" w:tplc="2BF6C086" w:tentative="1">
      <w:start w:val="1"/>
      <w:numFmt w:val="bullet"/>
      <w:lvlText w:val="•"/>
      <w:lvlJc w:val="left"/>
      <w:pPr>
        <w:tabs>
          <w:tab w:val="num" w:pos="1440"/>
        </w:tabs>
        <w:ind w:left="1440" w:hanging="360"/>
      </w:pPr>
      <w:rPr>
        <w:rFonts w:ascii="Times New Roman" w:hAnsi="Times New Roman" w:hint="default"/>
      </w:rPr>
    </w:lvl>
    <w:lvl w:ilvl="2" w:tplc="625492F2" w:tentative="1">
      <w:start w:val="1"/>
      <w:numFmt w:val="bullet"/>
      <w:lvlText w:val="•"/>
      <w:lvlJc w:val="left"/>
      <w:pPr>
        <w:tabs>
          <w:tab w:val="num" w:pos="2160"/>
        </w:tabs>
        <w:ind w:left="2160" w:hanging="360"/>
      </w:pPr>
      <w:rPr>
        <w:rFonts w:ascii="Times New Roman" w:hAnsi="Times New Roman" w:hint="default"/>
      </w:rPr>
    </w:lvl>
    <w:lvl w:ilvl="3" w:tplc="BC905346" w:tentative="1">
      <w:start w:val="1"/>
      <w:numFmt w:val="bullet"/>
      <w:lvlText w:val="•"/>
      <w:lvlJc w:val="left"/>
      <w:pPr>
        <w:tabs>
          <w:tab w:val="num" w:pos="2880"/>
        </w:tabs>
        <w:ind w:left="2880" w:hanging="360"/>
      </w:pPr>
      <w:rPr>
        <w:rFonts w:ascii="Times New Roman" w:hAnsi="Times New Roman" w:hint="default"/>
      </w:rPr>
    </w:lvl>
    <w:lvl w:ilvl="4" w:tplc="1CDEAFBA" w:tentative="1">
      <w:start w:val="1"/>
      <w:numFmt w:val="bullet"/>
      <w:lvlText w:val="•"/>
      <w:lvlJc w:val="left"/>
      <w:pPr>
        <w:tabs>
          <w:tab w:val="num" w:pos="3600"/>
        </w:tabs>
        <w:ind w:left="3600" w:hanging="360"/>
      </w:pPr>
      <w:rPr>
        <w:rFonts w:ascii="Times New Roman" w:hAnsi="Times New Roman" w:hint="default"/>
      </w:rPr>
    </w:lvl>
    <w:lvl w:ilvl="5" w:tplc="FDCAECFC" w:tentative="1">
      <w:start w:val="1"/>
      <w:numFmt w:val="bullet"/>
      <w:lvlText w:val="•"/>
      <w:lvlJc w:val="left"/>
      <w:pPr>
        <w:tabs>
          <w:tab w:val="num" w:pos="4320"/>
        </w:tabs>
        <w:ind w:left="4320" w:hanging="360"/>
      </w:pPr>
      <w:rPr>
        <w:rFonts w:ascii="Times New Roman" w:hAnsi="Times New Roman" w:hint="default"/>
      </w:rPr>
    </w:lvl>
    <w:lvl w:ilvl="6" w:tplc="37ECE2A2" w:tentative="1">
      <w:start w:val="1"/>
      <w:numFmt w:val="bullet"/>
      <w:lvlText w:val="•"/>
      <w:lvlJc w:val="left"/>
      <w:pPr>
        <w:tabs>
          <w:tab w:val="num" w:pos="5040"/>
        </w:tabs>
        <w:ind w:left="5040" w:hanging="360"/>
      </w:pPr>
      <w:rPr>
        <w:rFonts w:ascii="Times New Roman" w:hAnsi="Times New Roman" w:hint="default"/>
      </w:rPr>
    </w:lvl>
    <w:lvl w:ilvl="7" w:tplc="F7505B0E" w:tentative="1">
      <w:start w:val="1"/>
      <w:numFmt w:val="bullet"/>
      <w:lvlText w:val="•"/>
      <w:lvlJc w:val="left"/>
      <w:pPr>
        <w:tabs>
          <w:tab w:val="num" w:pos="5760"/>
        </w:tabs>
        <w:ind w:left="5760" w:hanging="360"/>
      </w:pPr>
      <w:rPr>
        <w:rFonts w:ascii="Times New Roman" w:hAnsi="Times New Roman" w:hint="default"/>
      </w:rPr>
    </w:lvl>
    <w:lvl w:ilvl="8" w:tplc="79F6470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7530BF7"/>
    <w:multiLevelType w:val="hybridMultilevel"/>
    <w:tmpl w:val="D6B8C9B6"/>
    <w:lvl w:ilvl="0" w:tplc="BE58E5E2">
      <w:start w:val="1"/>
      <w:numFmt w:val="decimal"/>
      <w:lvlText w:val="%1."/>
      <w:lvlJc w:val="left"/>
      <w:pPr>
        <w:ind w:left="1080" w:hanging="360"/>
      </w:pPr>
      <w:rPr>
        <w:rFonts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6643C0"/>
    <w:multiLevelType w:val="multilevel"/>
    <w:tmpl w:val="400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
    <w:nsid w:val="52A00285"/>
    <w:multiLevelType w:val="hybridMultilevel"/>
    <w:tmpl w:val="517431BC"/>
    <w:lvl w:ilvl="0" w:tplc="67C69416">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6246D9"/>
    <w:multiLevelType w:val="hybridMultilevel"/>
    <w:tmpl w:val="82F2205C"/>
    <w:lvl w:ilvl="0" w:tplc="4009000F">
      <w:start w:val="1"/>
      <w:numFmt w:val="decimal"/>
      <w:lvlText w:val="%1."/>
      <w:lvlJc w:val="left"/>
      <w:pPr>
        <w:ind w:left="108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F35413"/>
    <w:multiLevelType w:val="hybridMultilevel"/>
    <w:tmpl w:val="913C32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984363"/>
    <w:multiLevelType w:val="hybridMultilevel"/>
    <w:tmpl w:val="77322D78"/>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AD70C47"/>
    <w:multiLevelType w:val="hybridMultilevel"/>
    <w:tmpl w:val="635298C0"/>
    <w:lvl w:ilvl="0" w:tplc="722EC7B4">
      <w:start w:val="1"/>
      <w:numFmt w:val="bullet"/>
      <w:lvlText w:val="•"/>
      <w:lvlJc w:val="left"/>
      <w:pPr>
        <w:tabs>
          <w:tab w:val="num" w:pos="720"/>
        </w:tabs>
        <w:ind w:left="720" w:hanging="360"/>
      </w:pPr>
      <w:rPr>
        <w:rFonts w:ascii="Times New Roman" w:hAnsi="Times New Roman" w:hint="default"/>
      </w:rPr>
    </w:lvl>
    <w:lvl w:ilvl="1" w:tplc="E3640220" w:tentative="1">
      <w:start w:val="1"/>
      <w:numFmt w:val="bullet"/>
      <w:lvlText w:val="•"/>
      <w:lvlJc w:val="left"/>
      <w:pPr>
        <w:tabs>
          <w:tab w:val="num" w:pos="1440"/>
        </w:tabs>
        <w:ind w:left="1440" w:hanging="360"/>
      </w:pPr>
      <w:rPr>
        <w:rFonts w:ascii="Times New Roman" w:hAnsi="Times New Roman" w:hint="default"/>
      </w:rPr>
    </w:lvl>
    <w:lvl w:ilvl="2" w:tplc="EFC4F5A2" w:tentative="1">
      <w:start w:val="1"/>
      <w:numFmt w:val="bullet"/>
      <w:lvlText w:val="•"/>
      <w:lvlJc w:val="left"/>
      <w:pPr>
        <w:tabs>
          <w:tab w:val="num" w:pos="2160"/>
        </w:tabs>
        <w:ind w:left="2160" w:hanging="360"/>
      </w:pPr>
      <w:rPr>
        <w:rFonts w:ascii="Times New Roman" w:hAnsi="Times New Roman" w:hint="default"/>
      </w:rPr>
    </w:lvl>
    <w:lvl w:ilvl="3" w:tplc="E3E2FD18" w:tentative="1">
      <w:start w:val="1"/>
      <w:numFmt w:val="bullet"/>
      <w:lvlText w:val="•"/>
      <w:lvlJc w:val="left"/>
      <w:pPr>
        <w:tabs>
          <w:tab w:val="num" w:pos="2880"/>
        </w:tabs>
        <w:ind w:left="2880" w:hanging="360"/>
      </w:pPr>
      <w:rPr>
        <w:rFonts w:ascii="Times New Roman" w:hAnsi="Times New Roman" w:hint="default"/>
      </w:rPr>
    </w:lvl>
    <w:lvl w:ilvl="4" w:tplc="16F64458" w:tentative="1">
      <w:start w:val="1"/>
      <w:numFmt w:val="bullet"/>
      <w:lvlText w:val="•"/>
      <w:lvlJc w:val="left"/>
      <w:pPr>
        <w:tabs>
          <w:tab w:val="num" w:pos="3600"/>
        </w:tabs>
        <w:ind w:left="3600" w:hanging="360"/>
      </w:pPr>
      <w:rPr>
        <w:rFonts w:ascii="Times New Roman" w:hAnsi="Times New Roman" w:hint="default"/>
      </w:rPr>
    </w:lvl>
    <w:lvl w:ilvl="5" w:tplc="44166E90" w:tentative="1">
      <w:start w:val="1"/>
      <w:numFmt w:val="bullet"/>
      <w:lvlText w:val="•"/>
      <w:lvlJc w:val="left"/>
      <w:pPr>
        <w:tabs>
          <w:tab w:val="num" w:pos="4320"/>
        </w:tabs>
        <w:ind w:left="4320" w:hanging="360"/>
      </w:pPr>
      <w:rPr>
        <w:rFonts w:ascii="Times New Roman" w:hAnsi="Times New Roman" w:hint="default"/>
      </w:rPr>
    </w:lvl>
    <w:lvl w:ilvl="6" w:tplc="25463F5E" w:tentative="1">
      <w:start w:val="1"/>
      <w:numFmt w:val="bullet"/>
      <w:lvlText w:val="•"/>
      <w:lvlJc w:val="left"/>
      <w:pPr>
        <w:tabs>
          <w:tab w:val="num" w:pos="5040"/>
        </w:tabs>
        <w:ind w:left="5040" w:hanging="360"/>
      </w:pPr>
      <w:rPr>
        <w:rFonts w:ascii="Times New Roman" w:hAnsi="Times New Roman" w:hint="default"/>
      </w:rPr>
    </w:lvl>
    <w:lvl w:ilvl="7" w:tplc="58426A06" w:tentative="1">
      <w:start w:val="1"/>
      <w:numFmt w:val="bullet"/>
      <w:lvlText w:val="•"/>
      <w:lvlJc w:val="left"/>
      <w:pPr>
        <w:tabs>
          <w:tab w:val="num" w:pos="5760"/>
        </w:tabs>
        <w:ind w:left="5760" w:hanging="360"/>
      </w:pPr>
      <w:rPr>
        <w:rFonts w:ascii="Times New Roman" w:hAnsi="Times New Roman" w:hint="default"/>
      </w:rPr>
    </w:lvl>
    <w:lvl w:ilvl="8" w:tplc="D89463D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C136630"/>
    <w:multiLevelType w:val="singleLevel"/>
    <w:tmpl w:val="F7C49E52"/>
    <w:lvl w:ilvl="0">
      <w:start w:val="1"/>
      <w:numFmt w:val="lowerLetter"/>
      <w:lvlText w:val="%1."/>
      <w:legacy w:legacy="1" w:legacySpace="0" w:legacyIndent="0"/>
      <w:lvlJc w:val="left"/>
      <w:rPr>
        <w:rFonts w:ascii="Calibri" w:hAnsi="Calibri" w:cs="Calibri" w:hint="default"/>
      </w:rPr>
    </w:lvl>
  </w:abstractNum>
  <w:abstractNum w:abstractNumId="20">
    <w:nsid w:val="769622B9"/>
    <w:multiLevelType w:val="hybridMultilevel"/>
    <w:tmpl w:val="B910541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10401F"/>
    <w:multiLevelType w:val="multilevel"/>
    <w:tmpl w:val="60B2ED5C"/>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nsid w:val="7F7C7D51"/>
    <w:multiLevelType w:val="hybridMultilevel"/>
    <w:tmpl w:val="B9B851A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0"/>
  </w:num>
  <w:num w:numId="3">
    <w:abstractNumId w:val="10"/>
  </w:num>
  <w:num w:numId="4">
    <w:abstractNumId w:val="16"/>
  </w:num>
  <w:num w:numId="5">
    <w:abstractNumId w:val="6"/>
  </w:num>
  <w:num w:numId="6">
    <w:abstractNumId w:val="3"/>
  </w:num>
  <w:num w:numId="7">
    <w:abstractNumId w:val="19"/>
  </w:num>
  <w:num w:numId="8">
    <w:abstractNumId w:val="22"/>
  </w:num>
  <w:num w:numId="9">
    <w:abstractNumId w:val="2"/>
  </w:num>
  <w:num w:numId="10">
    <w:abstractNumId w:val="8"/>
  </w:num>
  <w:num w:numId="11">
    <w:abstractNumId w:val="18"/>
  </w:num>
  <w:num w:numId="12">
    <w:abstractNumId w:val="12"/>
  </w:num>
  <w:num w:numId="13">
    <w:abstractNumId w:val="13"/>
  </w:num>
  <w:num w:numId="14">
    <w:abstractNumId w:val="11"/>
  </w:num>
  <w:num w:numId="15">
    <w:abstractNumId w:val="14"/>
  </w:num>
  <w:num w:numId="16">
    <w:abstractNumId w:val="20"/>
  </w:num>
  <w:num w:numId="17">
    <w:abstractNumId w:val="4"/>
  </w:num>
  <w:num w:numId="18">
    <w:abstractNumId w:val="17"/>
  </w:num>
  <w:num w:numId="19">
    <w:abstractNumId w:val="5"/>
  </w:num>
  <w:num w:numId="20">
    <w:abstractNumId w:val="1"/>
  </w:num>
  <w:num w:numId="21">
    <w:abstractNumId w:val="9"/>
  </w:num>
  <w:num w:numId="22">
    <w:abstractNumId w:val="7"/>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D2"/>
    <w:rsid w:val="0005114B"/>
    <w:rsid w:val="00084DE5"/>
    <w:rsid w:val="000A2E65"/>
    <w:rsid w:val="000D2B5A"/>
    <w:rsid w:val="00152289"/>
    <w:rsid w:val="00155117"/>
    <w:rsid w:val="001812F3"/>
    <w:rsid w:val="001A22E0"/>
    <w:rsid w:val="001B6DE0"/>
    <w:rsid w:val="001E6E12"/>
    <w:rsid w:val="00244B2E"/>
    <w:rsid w:val="00263966"/>
    <w:rsid w:val="00281C68"/>
    <w:rsid w:val="0028476A"/>
    <w:rsid w:val="002849D6"/>
    <w:rsid w:val="002A2F8C"/>
    <w:rsid w:val="00430D6F"/>
    <w:rsid w:val="004603D4"/>
    <w:rsid w:val="00563E92"/>
    <w:rsid w:val="005755DE"/>
    <w:rsid w:val="00622602"/>
    <w:rsid w:val="0062363D"/>
    <w:rsid w:val="00695A2B"/>
    <w:rsid w:val="007300FE"/>
    <w:rsid w:val="00750BA3"/>
    <w:rsid w:val="0077739F"/>
    <w:rsid w:val="007B2E15"/>
    <w:rsid w:val="007C7B52"/>
    <w:rsid w:val="00875F49"/>
    <w:rsid w:val="00886896"/>
    <w:rsid w:val="008A4E73"/>
    <w:rsid w:val="008C3437"/>
    <w:rsid w:val="008D3348"/>
    <w:rsid w:val="008E2F5A"/>
    <w:rsid w:val="00904F7F"/>
    <w:rsid w:val="00907235"/>
    <w:rsid w:val="00945043"/>
    <w:rsid w:val="009D7552"/>
    <w:rsid w:val="00A03C15"/>
    <w:rsid w:val="00A27501"/>
    <w:rsid w:val="00AB3053"/>
    <w:rsid w:val="00AD4EF5"/>
    <w:rsid w:val="00B03CD2"/>
    <w:rsid w:val="00B33936"/>
    <w:rsid w:val="00B34381"/>
    <w:rsid w:val="00B906D8"/>
    <w:rsid w:val="00BF033E"/>
    <w:rsid w:val="00C062D7"/>
    <w:rsid w:val="00C56E70"/>
    <w:rsid w:val="00D6587C"/>
    <w:rsid w:val="00D763B8"/>
    <w:rsid w:val="00DE3F2B"/>
    <w:rsid w:val="00E02069"/>
    <w:rsid w:val="00E33EEC"/>
    <w:rsid w:val="00EE5143"/>
    <w:rsid w:val="00EE53B2"/>
    <w:rsid w:val="00F01FC3"/>
    <w:rsid w:val="00F07F46"/>
    <w:rsid w:val="00F1411B"/>
    <w:rsid w:val="00F37798"/>
    <w:rsid w:val="00F57093"/>
    <w:rsid w:val="00F76F36"/>
    <w:rsid w:val="00FC73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BA3"/>
    <w:pPr>
      <w:spacing w:before="100" w:beforeAutospacing="1" w:after="100" w:afterAutospacing="1" w:line="240" w:lineRule="auto"/>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6F"/>
    <w:pPr>
      <w:ind w:left="720"/>
      <w:contextualSpacing/>
    </w:pPr>
  </w:style>
  <w:style w:type="character" w:customStyle="1" w:styleId="muitypography-root">
    <w:name w:val="muitypography-root"/>
    <w:basedOn w:val="DefaultParagraphFont"/>
    <w:rsid w:val="00F07F46"/>
  </w:style>
  <w:style w:type="paragraph" w:styleId="BalloonText">
    <w:name w:val="Balloon Text"/>
    <w:basedOn w:val="Normal"/>
    <w:link w:val="BalloonTextChar"/>
    <w:uiPriority w:val="99"/>
    <w:semiHidden/>
    <w:unhideWhenUsed/>
    <w:rsid w:val="001E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12"/>
    <w:rPr>
      <w:rFonts w:ascii="Tahoma" w:hAnsi="Tahoma" w:cs="Tahoma"/>
      <w:sz w:val="16"/>
      <w:szCs w:val="16"/>
    </w:rPr>
  </w:style>
  <w:style w:type="character" w:styleId="Strong">
    <w:name w:val="Strong"/>
    <w:basedOn w:val="DefaultParagraphFont"/>
    <w:uiPriority w:val="22"/>
    <w:qFormat/>
    <w:rsid w:val="009D7552"/>
    <w:rPr>
      <w:b/>
      <w:bCs/>
    </w:rPr>
  </w:style>
  <w:style w:type="table" w:styleId="TableGrid">
    <w:name w:val="Table Grid"/>
    <w:basedOn w:val="TableNormal"/>
    <w:uiPriority w:val="59"/>
    <w:rsid w:val="009D7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0BA3"/>
    <w:rPr>
      <w:rFonts w:ascii="Times New Roman" w:eastAsiaTheme="minorEastAsia" w:hAnsi="Times New Roman"/>
      <w:b/>
      <w:bCs/>
      <w:kern w:val="36"/>
      <w:sz w:val="48"/>
      <w:szCs w:val="48"/>
    </w:rPr>
  </w:style>
  <w:style w:type="character" w:customStyle="1" w:styleId="markedcontent">
    <w:name w:val="markedcontent"/>
    <w:basedOn w:val="DefaultParagraphFont"/>
    <w:rsid w:val="00D6587C"/>
  </w:style>
  <w:style w:type="character" w:styleId="Hyperlink">
    <w:name w:val="Hyperlink"/>
    <w:basedOn w:val="DefaultParagraphFont"/>
    <w:uiPriority w:val="99"/>
    <w:rsid w:val="004603D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50BA3"/>
    <w:pPr>
      <w:spacing w:before="100" w:beforeAutospacing="1" w:after="100" w:afterAutospacing="1" w:line="240" w:lineRule="auto"/>
      <w:outlineLvl w:val="0"/>
    </w:pPr>
    <w:rPr>
      <w:rFonts w:ascii="Times New Roman" w:eastAsiaTheme="minorEastAsia"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D6F"/>
    <w:pPr>
      <w:ind w:left="720"/>
      <w:contextualSpacing/>
    </w:pPr>
  </w:style>
  <w:style w:type="character" w:customStyle="1" w:styleId="muitypography-root">
    <w:name w:val="muitypography-root"/>
    <w:basedOn w:val="DefaultParagraphFont"/>
    <w:rsid w:val="00F07F46"/>
  </w:style>
  <w:style w:type="paragraph" w:styleId="BalloonText">
    <w:name w:val="Balloon Text"/>
    <w:basedOn w:val="Normal"/>
    <w:link w:val="BalloonTextChar"/>
    <w:uiPriority w:val="99"/>
    <w:semiHidden/>
    <w:unhideWhenUsed/>
    <w:rsid w:val="001E6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6E12"/>
    <w:rPr>
      <w:rFonts w:ascii="Tahoma" w:hAnsi="Tahoma" w:cs="Tahoma"/>
      <w:sz w:val="16"/>
      <w:szCs w:val="16"/>
    </w:rPr>
  </w:style>
  <w:style w:type="character" w:styleId="Strong">
    <w:name w:val="Strong"/>
    <w:basedOn w:val="DefaultParagraphFont"/>
    <w:uiPriority w:val="22"/>
    <w:qFormat/>
    <w:rsid w:val="009D7552"/>
    <w:rPr>
      <w:b/>
      <w:bCs/>
    </w:rPr>
  </w:style>
  <w:style w:type="table" w:styleId="TableGrid">
    <w:name w:val="Table Grid"/>
    <w:basedOn w:val="TableNormal"/>
    <w:uiPriority w:val="59"/>
    <w:rsid w:val="009D7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0BA3"/>
    <w:rPr>
      <w:rFonts w:ascii="Times New Roman" w:eastAsiaTheme="minorEastAsia" w:hAnsi="Times New Roman"/>
      <w:b/>
      <w:bCs/>
      <w:kern w:val="36"/>
      <w:sz w:val="48"/>
      <w:szCs w:val="48"/>
    </w:rPr>
  </w:style>
  <w:style w:type="character" w:customStyle="1" w:styleId="markedcontent">
    <w:name w:val="markedcontent"/>
    <w:basedOn w:val="DefaultParagraphFont"/>
    <w:rsid w:val="00D6587C"/>
  </w:style>
  <w:style w:type="character" w:styleId="Hyperlink">
    <w:name w:val="Hyperlink"/>
    <w:basedOn w:val="DefaultParagraphFont"/>
    <w:uiPriority w:val="99"/>
    <w:rsid w:val="004603D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7060">
      <w:bodyDiv w:val="1"/>
      <w:marLeft w:val="0"/>
      <w:marRight w:val="0"/>
      <w:marTop w:val="0"/>
      <w:marBottom w:val="0"/>
      <w:divBdr>
        <w:top w:val="none" w:sz="0" w:space="0" w:color="auto"/>
        <w:left w:val="none" w:sz="0" w:space="0" w:color="auto"/>
        <w:bottom w:val="none" w:sz="0" w:space="0" w:color="auto"/>
        <w:right w:val="none" w:sz="0" w:space="0" w:color="auto"/>
      </w:divBdr>
      <w:divsChild>
        <w:div w:id="698237957">
          <w:marLeft w:val="547"/>
          <w:marRight w:val="0"/>
          <w:marTop w:val="0"/>
          <w:marBottom w:val="0"/>
          <w:divBdr>
            <w:top w:val="none" w:sz="0" w:space="0" w:color="auto"/>
            <w:left w:val="none" w:sz="0" w:space="0" w:color="auto"/>
            <w:bottom w:val="none" w:sz="0" w:space="0" w:color="auto"/>
            <w:right w:val="none" w:sz="0" w:space="0" w:color="auto"/>
          </w:divBdr>
        </w:div>
      </w:divsChild>
    </w:div>
    <w:div w:id="113255247">
      <w:bodyDiv w:val="1"/>
      <w:marLeft w:val="0"/>
      <w:marRight w:val="0"/>
      <w:marTop w:val="0"/>
      <w:marBottom w:val="0"/>
      <w:divBdr>
        <w:top w:val="none" w:sz="0" w:space="0" w:color="auto"/>
        <w:left w:val="none" w:sz="0" w:space="0" w:color="auto"/>
        <w:bottom w:val="none" w:sz="0" w:space="0" w:color="auto"/>
        <w:right w:val="none" w:sz="0" w:space="0" w:color="auto"/>
      </w:divBdr>
      <w:divsChild>
        <w:div w:id="85180374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emf"/><Relationship Id="rId18" Type="http://schemas.openxmlformats.org/officeDocument/2006/relationships/image" Target="media/image10.emf"/><Relationship Id="rId26" Type="http://schemas.openxmlformats.org/officeDocument/2006/relationships/diagramLayout" Target="diagrams/layout2.xml"/><Relationship Id="rId3" Type="http://schemas.microsoft.com/office/2007/relationships/stylesWithEffects" Target="stylesWithEffects.xml"/><Relationship Id="rId21" Type="http://schemas.openxmlformats.org/officeDocument/2006/relationships/image" Target="media/image40.emf"/><Relationship Id="rId34" Type="http://schemas.openxmlformats.org/officeDocument/2006/relationships/hyperlink" Target="http://www.amfiindia.com" TargetMode="External"/><Relationship Id="rId7" Type="http://schemas.openxmlformats.org/officeDocument/2006/relationships/diagramLayout" Target="diagrams/layout1.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diagramData" Target="diagrams/data2.xml"/><Relationship Id="rId33" Type="http://schemas.openxmlformats.org/officeDocument/2006/relationships/hyperlink" Target="http://www.nseindia.com" TargetMode="Externa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30.emf"/><Relationship Id="rId29" Type="http://schemas.microsoft.com/office/2007/relationships/diagramDrawing" Target="diagrams/drawing2.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emf"/><Relationship Id="rId24" Type="http://schemas.openxmlformats.org/officeDocument/2006/relationships/image" Target="media/image70.emf"/><Relationship Id="rId32" Type="http://schemas.openxmlformats.org/officeDocument/2006/relationships/hyperlink" Target="http://www.bseindia.com"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60.emf"/><Relationship Id="rId28" Type="http://schemas.openxmlformats.org/officeDocument/2006/relationships/diagramColors" Target="diagrams/colors2.xml"/><Relationship Id="rId36" Type="http://schemas.openxmlformats.org/officeDocument/2006/relationships/fontTable" Target="fontTable.xml"/><Relationship Id="rId10" Type="http://schemas.microsoft.com/office/2007/relationships/diagramDrawing" Target="diagrams/drawing1.xml"/><Relationship Id="rId19" Type="http://schemas.openxmlformats.org/officeDocument/2006/relationships/image" Target="media/image20.emf"/><Relationship Id="rId31" Type="http://schemas.openxmlformats.org/officeDocument/2006/relationships/hyperlink" Target="https://www.researchgate.net/scientific-contributions/T-V-Raman-2203528431"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emf"/><Relationship Id="rId22" Type="http://schemas.openxmlformats.org/officeDocument/2006/relationships/image" Target="media/image50.emf"/><Relationship Id="rId27" Type="http://schemas.openxmlformats.org/officeDocument/2006/relationships/diagramQuickStyle" Target="diagrams/quickStyle2.xml"/><Relationship Id="rId30" Type="http://schemas.openxmlformats.org/officeDocument/2006/relationships/hyperlink" Target="https://www.researchgate.net/scientific-contributions/Ruchi-Arora-2177959449" TargetMode="External"/><Relationship Id="rId35" Type="http://schemas.openxmlformats.org/officeDocument/2006/relationships/hyperlink" Target="http://www.mutualfundindia.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DC84C7-EACC-43DC-80EF-B0E9378CF809}"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US"/>
        </a:p>
      </dgm:t>
    </dgm:pt>
    <dgm:pt modelId="{7E5E255B-8C59-480D-A8AB-432E58481FFC}">
      <dgm:prSet phldrT="[Text]" custT="1"/>
      <dgm:spPr/>
      <dgm:t>
        <a:bodyPr/>
        <a:lstStyle/>
        <a:p>
          <a:r>
            <a:rPr lang="en-US" sz="1400"/>
            <a:t>Mutual Funds</a:t>
          </a:r>
        </a:p>
      </dgm:t>
    </dgm:pt>
    <dgm:pt modelId="{78E583C6-01F0-4BB1-BFB4-56D65A341C55}" type="parTrans" cxnId="{D8BD01C6-C9CA-417B-A36E-859BD4B5EE2C}">
      <dgm:prSet/>
      <dgm:spPr/>
      <dgm:t>
        <a:bodyPr/>
        <a:lstStyle/>
        <a:p>
          <a:endParaRPr lang="en-US"/>
        </a:p>
      </dgm:t>
    </dgm:pt>
    <dgm:pt modelId="{615472DD-4147-4E19-AFF9-DC744CE60A4F}" type="sibTrans" cxnId="{D8BD01C6-C9CA-417B-A36E-859BD4B5EE2C}">
      <dgm:prSet/>
      <dgm:spPr/>
      <dgm:t>
        <a:bodyPr/>
        <a:lstStyle/>
        <a:p>
          <a:endParaRPr lang="en-US"/>
        </a:p>
      </dgm:t>
    </dgm:pt>
    <dgm:pt modelId="{F29D27C3-7218-4246-86B6-9EDAEBAA8EA8}">
      <dgm:prSet phldrT="[Text]" custT="1"/>
      <dgm:spPr/>
      <dgm:t>
        <a:bodyPr/>
        <a:lstStyle/>
        <a:p>
          <a:r>
            <a:rPr lang="en-US" sz="1200" b="0"/>
            <a:t>Debt Funds</a:t>
          </a:r>
        </a:p>
      </dgm:t>
    </dgm:pt>
    <dgm:pt modelId="{1B8D716C-22BD-46D7-AD98-D43D93A279EB}" type="parTrans" cxnId="{CCDF1489-DC64-46A3-9AAF-31F1CF2EAFFE}">
      <dgm:prSet/>
      <dgm:spPr/>
      <dgm:t>
        <a:bodyPr/>
        <a:lstStyle/>
        <a:p>
          <a:endParaRPr lang="en-US"/>
        </a:p>
      </dgm:t>
    </dgm:pt>
    <dgm:pt modelId="{D0A4151A-641C-45EA-B216-1579C1C4FCF8}" type="sibTrans" cxnId="{CCDF1489-DC64-46A3-9AAF-31F1CF2EAFFE}">
      <dgm:prSet/>
      <dgm:spPr/>
      <dgm:t>
        <a:bodyPr/>
        <a:lstStyle/>
        <a:p>
          <a:endParaRPr lang="en-US"/>
        </a:p>
      </dgm:t>
    </dgm:pt>
    <dgm:pt modelId="{8B041C27-4CB6-4FE9-991A-0B3E14FFB0E2}">
      <dgm:prSet phldrT="[Text]" custT="1"/>
      <dgm:spPr/>
      <dgm:t>
        <a:bodyPr/>
        <a:lstStyle/>
        <a:p>
          <a:r>
            <a:rPr lang="en-US" sz="1050" b="0"/>
            <a:t>Balanced Funds</a:t>
          </a:r>
        </a:p>
      </dgm:t>
    </dgm:pt>
    <dgm:pt modelId="{E30A4D1B-4614-4707-9898-787401DFDBEB}" type="parTrans" cxnId="{BCD15297-8046-46BE-91BE-71DD6361F0D7}">
      <dgm:prSet/>
      <dgm:spPr/>
      <dgm:t>
        <a:bodyPr/>
        <a:lstStyle/>
        <a:p>
          <a:endParaRPr lang="en-US"/>
        </a:p>
      </dgm:t>
    </dgm:pt>
    <dgm:pt modelId="{DC8ED4D7-A24E-4962-A1EF-42EAE547FC79}" type="sibTrans" cxnId="{BCD15297-8046-46BE-91BE-71DD6361F0D7}">
      <dgm:prSet/>
      <dgm:spPr/>
      <dgm:t>
        <a:bodyPr/>
        <a:lstStyle/>
        <a:p>
          <a:endParaRPr lang="en-US"/>
        </a:p>
      </dgm:t>
    </dgm:pt>
    <dgm:pt modelId="{859EC500-EE69-4703-BB61-B0B26C6B06A3}">
      <dgm:prSet phldrT="[Text]" custT="1"/>
      <dgm:spPr/>
      <dgm:t>
        <a:bodyPr/>
        <a:lstStyle/>
        <a:p>
          <a:r>
            <a:rPr lang="en-US" sz="1100" b="0"/>
            <a:t>Equity Funds</a:t>
          </a:r>
        </a:p>
      </dgm:t>
    </dgm:pt>
    <dgm:pt modelId="{71C387C8-F99C-418B-9196-A2BB2D62D66E}" type="sibTrans" cxnId="{E0376653-7D7A-4092-83E7-D80B24E8D3BD}">
      <dgm:prSet/>
      <dgm:spPr/>
      <dgm:t>
        <a:bodyPr/>
        <a:lstStyle/>
        <a:p>
          <a:endParaRPr lang="en-US"/>
        </a:p>
      </dgm:t>
    </dgm:pt>
    <dgm:pt modelId="{9DDA7D10-7589-4B88-90BA-E103140E3152}" type="parTrans" cxnId="{E0376653-7D7A-4092-83E7-D80B24E8D3BD}">
      <dgm:prSet/>
      <dgm:spPr/>
      <dgm:t>
        <a:bodyPr/>
        <a:lstStyle/>
        <a:p>
          <a:endParaRPr lang="en-US"/>
        </a:p>
      </dgm:t>
    </dgm:pt>
    <dgm:pt modelId="{756E19F4-EEC3-4A30-8DD7-B1057E10FB89}">
      <dgm:prSet phldrT="[Text]" custT="1"/>
      <dgm:spPr/>
      <dgm:t>
        <a:bodyPr/>
        <a:lstStyle/>
        <a:p>
          <a:r>
            <a:rPr lang="en-US" sz="1100"/>
            <a:t>solution oriented</a:t>
          </a:r>
        </a:p>
      </dgm:t>
    </dgm:pt>
    <dgm:pt modelId="{6B965E3B-B933-42F9-9359-BE7D3377D181}" type="parTrans" cxnId="{93362180-E418-4ACA-9E75-5FD0E08A28DE}">
      <dgm:prSet/>
      <dgm:spPr/>
      <dgm:t>
        <a:bodyPr/>
        <a:lstStyle/>
        <a:p>
          <a:endParaRPr lang="en-US"/>
        </a:p>
      </dgm:t>
    </dgm:pt>
    <dgm:pt modelId="{0BC9439B-4A2E-42FF-8AF2-66E23BEE945E}" type="sibTrans" cxnId="{93362180-E418-4ACA-9E75-5FD0E08A28DE}">
      <dgm:prSet/>
      <dgm:spPr/>
      <dgm:t>
        <a:bodyPr/>
        <a:lstStyle/>
        <a:p>
          <a:endParaRPr lang="en-US"/>
        </a:p>
      </dgm:t>
    </dgm:pt>
    <dgm:pt modelId="{BA5FFC32-F53D-477A-90DE-E836F7AAB594}">
      <dgm:prSet phldrT="[Text]" custT="1"/>
      <dgm:spPr/>
      <dgm:t>
        <a:bodyPr/>
        <a:lstStyle/>
        <a:p>
          <a:r>
            <a:rPr lang="en-US" sz="1000"/>
            <a:t>others</a:t>
          </a:r>
        </a:p>
      </dgm:t>
    </dgm:pt>
    <dgm:pt modelId="{D57840C2-88D6-4C30-9725-CB6C455D9041}" type="parTrans" cxnId="{1A90AEF2-5D28-494C-8923-7F0BADF0ABE4}">
      <dgm:prSet/>
      <dgm:spPr/>
      <dgm:t>
        <a:bodyPr/>
        <a:lstStyle/>
        <a:p>
          <a:endParaRPr lang="en-US"/>
        </a:p>
      </dgm:t>
    </dgm:pt>
    <dgm:pt modelId="{9CF96DA5-6245-4FF0-8DC1-38E9279DAC34}" type="sibTrans" cxnId="{1A90AEF2-5D28-494C-8923-7F0BADF0ABE4}">
      <dgm:prSet/>
      <dgm:spPr/>
      <dgm:t>
        <a:bodyPr/>
        <a:lstStyle/>
        <a:p>
          <a:endParaRPr lang="en-US"/>
        </a:p>
      </dgm:t>
    </dgm:pt>
    <dgm:pt modelId="{E0E584EC-CB97-4A2D-A71C-E4BC94E78037}" type="pres">
      <dgm:prSet presAssocID="{CDDC84C7-EACC-43DC-80EF-B0E9378CF809}" presName="hierChild1" presStyleCnt="0">
        <dgm:presLayoutVars>
          <dgm:orgChart val="1"/>
          <dgm:chPref val="1"/>
          <dgm:dir/>
          <dgm:animOne val="branch"/>
          <dgm:animLvl val="lvl"/>
          <dgm:resizeHandles/>
        </dgm:presLayoutVars>
      </dgm:prSet>
      <dgm:spPr/>
      <dgm:t>
        <a:bodyPr/>
        <a:lstStyle/>
        <a:p>
          <a:endParaRPr lang="en-US"/>
        </a:p>
      </dgm:t>
    </dgm:pt>
    <dgm:pt modelId="{589ED2B8-DAB4-48F1-B32A-C6A233B130A8}" type="pres">
      <dgm:prSet presAssocID="{7E5E255B-8C59-480D-A8AB-432E58481FFC}" presName="hierRoot1" presStyleCnt="0">
        <dgm:presLayoutVars>
          <dgm:hierBranch val="init"/>
        </dgm:presLayoutVars>
      </dgm:prSet>
      <dgm:spPr/>
      <dgm:t>
        <a:bodyPr/>
        <a:lstStyle/>
        <a:p>
          <a:endParaRPr lang="en-US"/>
        </a:p>
      </dgm:t>
    </dgm:pt>
    <dgm:pt modelId="{86F97BE7-7BF0-4F5D-8705-37BB66F28656}" type="pres">
      <dgm:prSet presAssocID="{7E5E255B-8C59-480D-A8AB-432E58481FFC}" presName="rootComposite1" presStyleCnt="0"/>
      <dgm:spPr/>
      <dgm:t>
        <a:bodyPr/>
        <a:lstStyle/>
        <a:p>
          <a:endParaRPr lang="en-US"/>
        </a:p>
      </dgm:t>
    </dgm:pt>
    <dgm:pt modelId="{8221FFF7-9EE2-49E7-8DEC-C99165C9AB5E}" type="pres">
      <dgm:prSet presAssocID="{7E5E255B-8C59-480D-A8AB-432E58481FFC}" presName="rootText1" presStyleLbl="node0" presStyleIdx="0" presStyleCnt="1" custScaleX="164278" custScaleY="160190" custLinFactY="-84559" custLinFactNeighborX="-1014" custLinFactNeighborY="-100000">
        <dgm:presLayoutVars>
          <dgm:chPref val="3"/>
        </dgm:presLayoutVars>
      </dgm:prSet>
      <dgm:spPr/>
      <dgm:t>
        <a:bodyPr/>
        <a:lstStyle/>
        <a:p>
          <a:endParaRPr lang="en-US"/>
        </a:p>
      </dgm:t>
    </dgm:pt>
    <dgm:pt modelId="{CDC38420-2C30-48C6-A096-A4E561A1DE8D}" type="pres">
      <dgm:prSet presAssocID="{7E5E255B-8C59-480D-A8AB-432E58481FFC}" presName="rootConnector1" presStyleLbl="node1" presStyleIdx="0" presStyleCnt="0"/>
      <dgm:spPr/>
      <dgm:t>
        <a:bodyPr/>
        <a:lstStyle/>
        <a:p>
          <a:endParaRPr lang="en-US"/>
        </a:p>
      </dgm:t>
    </dgm:pt>
    <dgm:pt modelId="{EB1A94EA-5238-4F6C-AFA3-559006080A62}" type="pres">
      <dgm:prSet presAssocID="{7E5E255B-8C59-480D-A8AB-432E58481FFC}" presName="hierChild2" presStyleCnt="0"/>
      <dgm:spPr/>
      <dgm:t>
        <a:bodyPr/>
        <a:lstStyle/>
        <a:p>
          <a:endParaRPr lang="en-US"/>
        </a:p>
      </dgm:t>
    </dgm:pt>
    <dgm:pt modelId="{A95270E5-26D1-49E0-9258-F822689309BF}" type="pres">
      <dgm:prSet presAssocID="{1B8D716C-22BD-46D7-AD98-D43D93A279EB}" presName="Name37" presStyleLbl="parChTrans1D2" presStyleIdx="0" presStyleCnt="5"/>
      <dgm:spPr/>
      <dgm:t>
        <a:bodyPr/>
        <a:lstStyle/>
        <a:p>
          <a:endParaRPr lang="en-US"/>
        </a:p>
      </dgm:t>
    </dgm:pt>
    <dgm:pt modelId="{26F77107-FCFD-44BE-86C8-0E1E7F4BA4D7}" type="pres">
      <dgm:prSet presAssocID="{F29D27C3-7218-4246-86B6-9EDAEBAA8EA8}" presName="hierRoot2" presStyleCnt="0">
        <dgm:presLayoutVars>
          <dgm:hierBranch val="init"/>
        </dgm:presLayoutVars>
      </dgm:prSet>
      <dgm:spPr/>
      <dgm:t>
        <a:bodyPr/>
        <a:lstStyle/>
        <a:p>
          <a:endParaRPr lang="en-US"/>
        </a:p>
      </dgm:t>
    </dgm:pt>
    <dgm:pt modelId="{32AD6DE0-5A0F-40DE-AEEB-58649C761109}" type="pres">
      <dgm:prSet presAssocID="{F29D27C3-7218-4246-86B6-9EDAEBAA8EA8}" presName="rootComposite" presStyleCnt="0"/>
      <dgm:spPr/>
      <dgm:t>
        <a:bodyPr/>
        <a:lstStyle/>
        <a:p>
          <a:endParaRPr lang="en-US"/>
        </a:p>
      </dgm:t>
    </dgm:pt>
    <dgm:pt modelId="{75118B29-0016-4ACC-AE6F-CD3412E7AF13}" type="pres">
      <dgm:prSet presAssocID="{F29D27C3-7218-4246-86B6-9EDAEBAA8EA8}" presName="rootText" presStyleLbl="node2" presStyleIdx="0" presStyleCnt="5">
        <dgm:presLayoutVars>
          <dgm:chPref val="3"/>
        </dgm:presLayoutVars>
      </dgm:prSet>
      <dgm:spPr/>
      <dgm:t>
        <a:bodyPr/>
        <a:lstStyle/>
        <a:p>
          <a:endParaRPr lang="en-US"/>
        </a:p>
      </dgm:t>
    </dgm:pt>
    <dgm:pt modelId="{F1DA55EB-D1D7-4775-9DB1-A314D5A4FA8F}" type="pres">
      <dgm:prSet presAssocID="{F29D27C3-7218-4246-86B6-9EDAEBAA8EA8}" presName="rootConnector" presStyleLbl="node2" presStyleIdx="0" presStyleCnt="5"/>
      <dgm:spPr/>
      <dgm:t>
        <a:bodyPr/>
        <a:lstStyle/>
        <a:p>
          <a:endParaRPr lang="en-US"/>
        </a:p>
      </dgm:t>
    </dgm:pt>
    <dgm:pt modelId="{124764F2-1338-4E41-9BD6-CCF547E6F358}" type="pres">
      <dgm:prSet presAssocID="{F29D27C3-7218-4246-86B6-9EDAEBAA8EA8}" presName="hierChild4" presStyleCnt="0"/>
      <dgm:spPr/>
      <dgm:t>
        <a:bodyPr/>
        <a:lstStyle/>
        <a:p>
          <a:endParaRPr lang="en-US"/>
        </a:p>
      </dgm:t>
    </dgm:pt>
    <dgm:pt modelId="{69EC7DCF-526D-4A12-8577-756F5CAD28AE}" type="pres">
      <dgm:prSet presAssocID="{F29D27C3-7218-4246-86B6-9EDAEBAA8EA8}" presName="hierChild5" presStyleCnt="0"/>
      <dgm:spPr/>
      <dgm:t>
        <a:bodyPr/>
        <a:lstStyle/>
        <a:p>
          <a:endParaRPr lang="en-US"/>
        </a:p>
      </dgm:t>
    </dgm:pt>
    <dgm:pt modelId="{BF661608-0521-47F0-A8F8-6AA7F4E6F3C1}" type="pres">
      <dgm:prSet presAssocID="{E30A4D1B-4614-4707-9898-787401DFDBEB}" presName="Name37" presStyleLbl="parChTrans1D2" presStyleIdx="1" presStyleCnt="5"/>
      <dgm:spPr/>
      <dgm:t>
        <a:bodyPr/>
        <a:lstStyle/>
        <a:p>
          <a:endParaRPr lang="en-US"/>
        </a:p>
      </dgm:t>
    </dgm:pt>
    <dgm:pt modelId="{35E2D6E6-099C-4B0C-A021-3BADAA951980}" type="pres">
      <dgm:prSet presAssocID="{8B041C27-4CB6-4FE9-991A-0B3E14FFB0E2}" presName="hierRoot2" presStyleCnt="0">
        <dgm:presLayoutVars>
          <dgm:hierBranch val="init"/>
        </dgm:presLayoutVars>
      </dgm:prSet>
      <dgm:spPr/>
      <dgm:t>
        <a:bodyPr/>
        <a:lstStyle/>
        <a:p>
          <a:endParaRPr lang="en-US"/>
        </a:p>
      </dgm:t>
    </dgm:pt>
    <dgm:pt modelId="{8C946399-317F-40E2-B967-08455748076A}" type="pres">
      <dgm:prSet presAssocID="{8B041C27-4CB6-4FE9-991A-0B3E14FFB0E2}" presName="rootComposite" presStyleCnt="0"/>
      <dgm:spPr/>
      <dgm:t>
        <a:bodyPr/>
        <a:lstStyle/>
        <a:p>
          <a:endParaRPr lang="en-US"/>
        </a:p>
      </dgm:t>
    </dgm:pt>
    <dgm:pt modelId="{491844D8-EA6D-48CC-B2E3-6DBE80778FBA}" type="pres">
      <dgm:prSet presAssocID="{8B041C27-4CB6-4FE9-991A-0B3E14FFB0E2}" presName="rootText" presStyleLbl="node2" presStyleIdx="1" presStyleCnt="5">
        <dgm:presLayoutVars>
          <dgm:chPref val="3"/>
        </dgm:presLayoutVars>
      </dgm:prSet>
      <dgm:spPr/>
      <dgm:t>
        <a:bodyPr/>
        <a:lstStyle/>
        <a:p>
          <a:endParaRPr lang="en-US"/>
        </a:p>
      </dgm:t>
    </dgm:pt>
    <dgm:pt modelId="{0B039231-BBDA-47C4-924C-8400BEC583E9}" type="pres">
      <dgm:prSet presAssocID="{8B041C27-4CB6-4FE9-991A-0B3E14FFB0E2}" presName="rootConnector" presStyleLbl="node2" presStyleIdx="1" presStyleCnt="5"/>
      <dgm:spPr/>
      <dgm:t>
        <a:bodyPr/>
        <a:lstStyle/>
        <a:p>
          <a:endParaRPr lang="en-US"/>
        </a:p>
      </dgm:t>
    </dgm:pt>
    <dgm:pt modelId="{A9F54383-9691-4EEB-AE80-009822117CCE}" type="pres">
      <dgm:prSet presAssocID="{8B041C27-4CB6-4FE9-991A-0B3E14FFB0E2}" presName="hierChild4" presStyleCnt="0"/>
      <dgm:spPr/>
      <dgm:t>
        <a:bodyPr/>
        <a:lstStyle/>
        <a:p>
          <a:endParaRPr lang="en-US"/>
        </a:p>
      </dgm:t>
    </dgm:pt>
    <dgm:pt modelId="{AD3BE3E7-4C32-454E-942F-4E8614AB6514}" type="pres">
      <dgm:prSet presAssocID="{8B041C27-4CB6-4FE9-991A-0B3E14FFB0E2}" presName="hierChild5" presStyleCnt="0"/>
      <dgm:spPr/>
      <dgm:t>
        <a:bodyPr/>
        <a:lstStyle/>
        <a:p>
          <a:endParaRPr lang="en-US"/>
        </a:p>
      </dgm:t>
    </dgm:pt>
    <dgm:pt modelId="{0D035AC0-7694-4D9F-A80A-1FDFE0D1CC6F}" type="pres">
      <dgm:prSet presAssocID="{9DDA7D10-7589-4B88-90BA-E103140E3152}" presName="Name37" presStyleLbl="parChTrans1D2" presStyleIdx="2" presStyleCnt="5"/>
      <dgm:spPr/>
      <dgm:t>
        <a:bodyPr/>
        <a:lstStyle/>
        <a:p>
          <a:endParaRPr lang="en-US"/>
        </a:p>
      </dgm:t>
    </dgm:pt>
    <dgm:pt modelId="{08775908-D38F-4C9D-9FB6-567B827F0FE4}" type="pres">
      <dgm:prSet presAssocID="{859EC500-EE69-4703-BB61-B0B26C6B06A3}" presName="hierRoot2" presStyleCnt="0">
        <dgm:presLayoutVars>
          <dgm:hierBranch val="init"/>
        </dgm:presLayoutVars>
      </dgm:prSet>
      <dgm:spPr/>
      <dgm:t>
        <a:bodyPr/>
        <a:lstStyle/>
        <a:p>
          <a:endParaRPr lang="en-US"/>
        </a:p>
      </dgm:t>
    </dgm:pt>
    <dgm:pt modelId="{72F91954-2BA6-4D8E-AB90-3065779DC9D8}" type="pres">
      <dgm:prSet presAssocID="{859EC500-EE69-4703-BB61-B0B26C6B06A3}" presName="rootComposite" presStyleCnt="0"/>
      <dgm:spPr/>
      <dgm:t>
        <a:bodyPr/>
        <a:lstStyle/>
        <a:p>
          <a:endParaRPr lang="en-US"/>
        </a:p>
      </dgm:t>
    </dgm:pt>
    <dgm:pt modelId="{0A902056-C17F-4125-81DB-513D7D80367D}" type="pres">
      <dgm:prSet presAssocID="{859EC500-EE69-4703-BB61-B0B26C6B06A3}" presName="rootText" presStyleLbl="node2" presStyleIdx="2" presStyleCnt="5">
        <dgm:presLayoutVars>
          <dgm:chPref val="3"/>
        </dgm:presLayoutVars>
      </dgm:prSet>
      <dgm:spPr/>
      <dgm:t>
        <a:bodyPr/>
        <a:lstStyle/>
        <a:p>
          <a:endParaRPr lang="en-US"/>
        </a:p>
      </dgm:t>
    </dgm:pt>
    <dgm:pt modelId="{A167FFC9-1B37-4021-89F0-9B7C640838A2}" type="pres">
      <dgm:prSet presAssocID="{859EC500-EE69-4703-BB61-B0B26C6B06A3}" presName="rootConnector" presStyleLbl="node2" presStyleIdx="2" presStyleCnt="5"/>
      <dgm:spPr/>
      <dgm:t>
        <a:bodyPr/>
        <a:lstStyle/>
        <a:p>
          <a:endParaRPr lang="en-US"/>
        </a:p>
      </dgm:t>
    </dgm:pt>
    <dgm:pt modelId="{5D4031A9-29AE-4D4B-892E-10F2E48661AC}" type="pres">
      <dgm:prSet presAssocID="{859EC500-EE69-4703-BB61-B0B26C6B06A3}" presName="hierChild4" presStyleCnt="0"/>
      <dgm:spPr/>
      <dgm:t>
        <a:bodyPr/>
        <a:lstStyle/>
        <a:p>
          <a:endParaRPr lang="en-US"/>
        </a:p>
      </dgm:t>
    </dgm:pt>
    <dgm:pt modelId="{C8807B4C-7947-4E8E-B2A7-904ACD1C8EB6}" type="pres">
      <dgm:prSet presAssocID="{859EC500-EE69-4703-BB61-B0B26C6B06A3}" presName="hierChild5" presStyleCnt="0"/>
      <dgm:spPr/>
      <dgm:t>
        <a:bodyPr/>
        <a:lstStyle/>
        <a:p>
          <a:endParaRPr lang="en-US"/>
        </a:p>
      </dgm:t>
    </dgm:pt>
    <dgm:pt modelId="{9BE7FE36-479F-446F-8DDF-98BA99B5A0A9}" type="pres">
      <dgm:prSet presAssocID="{6B965E3B-B933-42F9-9359-BE7D3377D181}" presName="Name37" presStyleLbl="parChTrans1D2" presStyleIdx="3" presStyleCnt="5"/>
      <dgm:spPr/>
      <dgm:t>
        <a:bodyPr/>
        <a:lstStyle/>
        <a:p>
          <a:endParaRPr lang="en-US"/>
        </a:p>
      </dgm:t>
    </dgm:pt>
    <dgm:pt modelId="{FE9D2C06-3C45-446D-BBFC-78876B75E48B}" type="pres">
      <dgm:prSet presAssocID="{756E19F4-EEC3-4A30-8DD7-B1057E10FB89}" presName="hierRoot2" presStyleCnt="0">
        <dgm:presLayoutVars>
          <dgm:hierBranch val="init"/>
        </dgm:presLayoutVars>
      </dgm:prSet>
      <dgm:spPr/>
      <dgm:t>
        <a:bodyPr/>
        <a:lstStyle/>
        <a:p>
          <a:endParaRPr lang="en-US"/>
        </a:p>
      </dgm:t>
    </dgm:pt>
    <dgm:pt modelId="{3F51E38A-EDBE-4BCD-9DD4-36B93C3EDBCE}" type="pres">
      <dgm:prSet presAssocID="{756E19F4-EEC3-4A30-8DD7-B1057E10FB89}" presName="rootComposite" presStyleCnt="0"/>
      <dgm:spPr/>
      <dgm:t>
        <a:bodyPr/>
        <a:lstStyle/>
        <a:p>
          <a:endParaRPr lang="en-US"/>
        </a:p>
      </dgm:t>
    </dgm:pt>
    <dgm:pt modelId="{178FAD33-1478-4F19-88D4-30B09D7654E9}" type="pres">
      <dgm:prSet presAssocID="{756E19F4-EEC3-4A30-8DD7-B1057E10FB89}" presName="rootText" presStyleLbl="node2" presStyleIdx="3" presStyleCnt="5">
        <dgm:presLayoutVars>
          <dgm:chPref val="3"/>
        </dgm:presLayoutVars>
      </dgm:prSet>
      <dgm:spPr/>
      <dgm:t>
        <a:bodyPr/>
        <a:lstStyle/>
        <a:p>
          <a:endParaRPr lang="en-US"/>
        </a:p>
      </dgm:t>
    </dgm:pt>
    <dgm:pt modelId="{81E8A776-07B1-49DD-8B7F-D307E53C9956}" type="pres">
      <dgm:prSet presAssocID="{756E19F4-EEC3-4A30-8DD7-B1057E10FB89}" presName="rootConnector" presStyleLbl="node2" presStyleIdx="3" presStyleCnt="5"/>
      <dgm:spPr/>
      <dgm:t>
        <a:bodyPr/>
        <a:lstStyle/>
        <a:p>
          <a:endParaRPr lang="en-US"/>
        </a:p>
      </dgm:t>
    </dgm:pt>
    <dgm:pt modelId="{E30F02F5-EE69-4B92-AD9E-F577B3E86180}" type="pres">
      <dgm:prSet presAssocID="{756E19F4-EEC3-4A30-8DD7-B1057E10FB89}" presName="hierChild4" presStyleCnt="0"/>
      <dgm:spPr/>
      <dgm:t>
        <a:bodyPr/>
        <a:lstStyle/>
        <a:p>
          <a:endParaRPr lang="en-US"/>
        </a:p>
      </dgm:t>
    </dgm:pt>
    <dgm:pt modelId="{0A2E7485-7D26-419D-9AB3-03F86BFEE726}" type="pres">
      <dgm:prSet presAssocID="{756E19F4-EEC3-4A30-8DD7-B1057E10FB89}" presName="hierChild5" presStyleCnt="0"/>
      <dgm:spPr/>
      <dgm:t>
        <a:bodyPr/>
        <a:lstStyle/>
        <a:p>
          <a:endParaRPr lang="en-US"/>
        </a:p>
      </dgm:t>
    </dgm:pt>
    <dgm:pt modelId="{99963D19-9DC4-4CB8-A836-FA9F842251D1}" type="pres">
      <dgm:prSet presAssocID="{D57840C2-88D6-4C30-9725-CB6C455D9041}" presName="Name37" presStyleLbl="parChTrans1D2" presStyleIdx="4" presStyleCnt="5"/>
      <dgm:spPr/>
      <dgm:t>
        <a:bodyPr/>
        <a:lstStyle/>
        <a:p>
          <a:endParaRPr lang="en-US"/>
        </a:p>
      </dgm:t>
    </dgm:pt>
    <dgm:pt modelId="{023D2237-4172-43AD-A87F-1937DB2BCDD7}" type="pres">
      <dgm:prSet presAssocID="{BA5FFC32-F53D-477A-90DE-E836F7AAB594}" presName="hierRoot2" presStyleCnt="0">
        <dgm:presLayoutVars>
          <dgm:hierBranch val="init"/>
        </dgm:presLayoutVars>
      </dgm:prSet>
      <dgm:spPr/>
      <dgm:t>
        <a:bodyPr/>
        <a:lstStyle/>
        <a:p>
          <a:endParaRPr lang="en-US"/>
        </a:p>
      </dgm:t>
    </dgm:pt>
    <dgm:pt modelId="{ED137614-F919-452D-9064-74DA73FED5F8}" type="pres">
      <dgm:prSet presAssocID="{BA5FFC32-F53D-477A-90DE-E836F7AAB594}" presName="rootComposite" presStyleCnt="0"/>
      <dgm:spPr/>
      <dgm:t>
        <a:bodyPr/>
        <a:lstStyle/>
        <a:p>
          <a:endParaRPr lang="en-US"/>
        </a:p>
      </dgm:t>
    </dgm:pt>
    <dgm:pt modelId="{07CDB040-D082-4713-8B52-4273FA01D232}" type="pres">
      <dgm:prSet presAssocID="{BA5FFC32-F53D-477A-90DE-E836F7AAB594}" presName="rootText" presStyleLbl="node2" presStyleIdx="4" presStyleCnt="5">
        <dgm:presLayoutVars>
          <dgm:chPref val="3"/>
        </dgm:presLayoutVars>
      </dgm:prSet>
      <dgm:spPr/>
      <dgm:t>
        <a:bodyPr/>
        <a:lstStyle/>
        <a:p>
          <a:endParaRPr lang="en-US"/>
        </a:p>
      </dgm:t>
    </dgm:pt>
    <dgm:pt modelId="{F9FF96BE-C52E-4CD3-B4DE-A31A254B1E62}" type="pres">
      <dgm:prSet presAssocID="{BA5FFC32-F53D-477A-90DE-E836F7AAB594}" presName="rootConnector" presStyleLbl="node2" presStyleIdx="4" presStyleCnt="5"/>
      <dgm:spPr/>
      <dgm:t>
        <a:bodyPr/>
        <a:lstStyle/>
        <a:p>
          <a:endParaRPr lang="en-US"/>
        </a:p>
      </dgm:t>
    </dgm:pt>
    <dgm:pt modelId="{141A7AE6-4C4A-453B-A8B8-712D740FC897}" type="pres">
      <dgm:prSet presAssocID="{BA5FFC32-F53D-477A-90DE-E836F7AAB594}" presName="hierChild4" presStyleCnt="0"/>
      <dgm:spPr/>
      <dgm:t>
        <a:bodyPr/>
        <a:lstStyle/>
        <a:p>
          <a:endParaRPr lang="en-US"/>
        </a:p>
      </dgm:t>
    </dgm:pt>
    <dgm:pt modelId="{1594CDEA-D2A0-4DBA-87E9-FE4C8A59BA89}" type="pres">
      <dgm:prSet presAssocID="{BA5FFC32-F53D-477A-90DE-E836F7AAB594}" presName="hierChild5" presStyleCnt="0"/>
      <dgm:spPr/>
      <dgm:t>
        <a:bodyPr/>
        <a:lstStyle/>
        <a:p>
          <a:endParaRPr lang="en-US"/>
        </a:p>
      </dgm:t>
    </dgm:pt>
    <dgm:pt modelId="{7B6846FF-F88A-4714-BDF0-4EB941FF76B1}" type="pres">
      <dgm:prSet presAssocID="{7E5E255B-8C59-480D-A8AB-432E58481FFC}" presName="hierChild3" presStyleCnt="0"/>
      <dgm:spPr/>
      <dgm:t>
        <a:bodyPr/>
        <a:lstStyle/>
        <a:p>
          <a:endParaRPr lang="en-US"/>
        </a:p>
      </dgm:t>
    </dgm:pt>
  </dgm:ptLst>
  <dgm:cxnLst>
    <dgm:cxn modelId="{FA89B5A8-AF03-44DA-A10D-CC6C592276FB}" type="presOf" srcId="{859EC500-EE69-4703-BB61-B0B26C6B06A3}" destId="{A167FFC9-1B37-4021-89F0-9B7C640838A2}" srcOrd="1" destOrd="0" presId="urn:microsoft.com/office/officeart/2005/8/layout/orgChart1"/>
    <dgm:cxn modelId="{514437DD-CB91-43A7-AA56-5C16017F2454}" type="presOf" srcId="{8B041C27-4CB6-4FE9-991A-0B3E14FFB0E2}" destId="{491844D8-EA6D-48CC-B2E3-6DBE80778FBA}" srcOrd="0" destOrd="0" presId="urn:microsoft.com/office/officeart/2005/8/layout/orgChart1"/>
    <dgm:cxn modelId="{B2FFC836-91A6-4EC4-9865-07CA4EF0B48F}" type="presOf" srcId="{8B041C27-4CB6-4FE9-991A-0B3E14FFB0E2}" destId="{0B039231-BBDA-47C4-924C-8400BEC583E9}" srcOrd="1" destOrd="0" presId="urn:microsoft.com/office/officeart/2005/8/layout/orgChart1"/>
    <dgm:cxn modelId="{1A90AEF2-5D28-494C-8923-7F0BADF0ABE4}" srcId="{7E5E255B-8C59-480D-A8AB-432E58481FFC}" destId="{BA5FFC32-F53D-477A-90DE-E836F7AAB594}" srcOrd="4" destOrd="0" parTransId="{D57840C2-88D6-4C30-9725-CB6C455D9041}" sibTransId="{9CF96DA5-6245-4FF0-8DC1-38E9279DAC34}"/>
    <dgm:cxn modelId="{E5D25BF9-5234-4EA7-B126-3FC1A5035BC3}" type="presOf" srcId="{D57840C2-88D6-4C30-9725-CB6C455D9041}" destId="{99963D19-9DC4-4CB8-A836-FA9F842251D1}" srcOrd="0" destOrd="0" presId="urn:microsoft.com/office/officeart/2005/8/layout/orgChart1"/>
    <dgm:cxn modelId="{AC737B97-B8FF-4EE0-A1EE-B3943CB9AC9D}" type="presOf" srcId="{E30A4D1B-4614-4707-9898-787401DFDBEB}" destId="{BF661608-0521-47F0-A8F8-6AA7F4E6F3C1}" srcOrd="0" destOrd="0" presId="urn:microsoft.com/office/officeart/2005/8/layout/orgChart1"/>
    <dgm:cxn modelId="{CCDF1489-DC64-46A3-9AAF-31F1CF2EAFFE}" srcId="{7E5E255B-8C59-480D-A8AB-432E58481FFC}" destId="{F29D27C3-7218-4246-86B6-9EDAEBAA8EA8}" srcOrd="0" destOrd="0" parTransId="{1B8D716C-22BD-46D7-AD98-D43D93A279EB}" sibTransId="{D0A4151A-641C-45EA-B216-1579C1C4FCF8}"/>
    <dgm:cxn modelId="{BCD15297-8046-46BE-91BE-71DD6361F0D7}" srcId="{7E5E255B-8C59-480D-A8AB-432E58481FFC}" destId="{8B041C27-4CB6-4FE9-991A-0B3E14FFB0E2}" srcOrd="1" destOrd="0" parTransId="{E30A4D1B-4614-4707-9898-787401DFDBEB}" sibTransId="{DC8ED4D7-A24E-4962-A1EF-42EAE547FC79}"/>
    <dgm:cxn modelId="{5621D108-DABF-446C-A3B2-69E7352BBA99}" type="presOf" srcId="{CDDC84C7-EACC-43DC-80EF-B0E9378CF809}" destId="{E0E584EC-CB97-4A2D-A71C-E4BC94E78037}" srcOrd="0" destOrd="0" presId="urn:microsoft.com/office/officeart/2005/8/layout/orgChart1"/>
    <dgm:cxn modelId="{583F3563-F309-4DB7-82CA-E8296B16F48B}" type="presOf" srcId="{BA5FFC32-F53D-477A-90DE-E836F7AAB594}" destId="{F9FF96BE-C52E-4CD3-B4DE-A31A254B1E62}" srcOrd="1" destOrd="0" presId="urn:microsoft.com/office/officeart/2005/8/layout/orgChart1"/>
    <dgm:cxn modelId="{FA3EAFCD-5A3D-48FE-AC3F-0EE1E3B912EC}" type="presOf" srcId="{1B8D716C-22BD-46D7-AD98-D43D93A279EB}" destId="{A95270E5-26D1-49E0-9258-F822689309BF}" srcOrd="0" destOrd="0" presId="urn:microsoft.com/office/officeart/2005/8/layout/orgChart1"/>
    <dgm:cxn modelId="{21D47FE5-EF1D-43C2-B2E2-9E09CC4388B9}" type="presOf" srcId="{7E5E255B-8C59-480D-A8AB-432E58481FFC}" destId="{8221FFF7-9EE2-49E7-8DEC-C99165C9AB5E}" srcOrd="0" destOrd="0" presId="urn:microsoft.com/office/officeart/2005/8/layout/orgChart1"/>
    <dgm:cxn modelId="{D7F22CF9-9AD7-4DE3-AEE0-C02A016A104F}" type="presOf" srcId="{6B965E3B-B933-42F9-9359-BE7D3377D181}" destId="{9BE7FE36-479F-446F-8DDF-98BA99B5A0A9}" srcOrd="0" destOrd="0" presId="urn:microsoft.com/office/officeart/2005/8/layout/orgChart1"/>
    <dgm:cxn modelId="{C848157B-6B48-4A80-8A98-D733EDD0673D}" type="presOf" srcId="{756E19F4-EEC3-4A30-8DD7-B1057E10FB89}" destId="{178FAD33-1478-4F19-88D4-30B09D7654E9}" srcOrd="0" destOrd="0" presId="urn:microsoft.com/office/officeart/2005/8/layout/orgChart1"/>
    <dgm:cxn modelId="{E0376653-7D7A-4092-83E7-D80B24E8D3BD}" srcId="{7E5E255B-8C59-480D-A8AB-432E58481FFC}" destId="{859EC500-EE69-4703-BB61-B0B26C6B06A3}" srcOrd="2" destOrd="0" parTransId="{9DDA7D10-7589-4B88-90BA-E103140E3152}" sibTransId="{71C387C8-F99C-418B-9196-A2BB2D62D66E}"/>
    <dgm:cxn modelId="{8FA8E743-489F-4BBC-B4FF-4847BFD2ACFF}" type="presOf" srcId="{F29D27C3-7218-4246-86B6-9EDAEBAA8EA8}" destId="{F1DA55EB-D1D7-4775-9DB1-A314D5A4FA8F}" srcOrd="1" destOrd="0" presId="urn:microsoft.com/office/officeart/2005/8/layout/orgChart1"/>
    <dgm:cxn modelId="{444BFA1A-AE0A-4362-8F12-7D08FCF65AB3}" type="presOf" srcId="{9DDA7D10-7589-4B88-90BA-E103140E3152}" destId="{0D035AC0-7694-4D9F-A80A-1FDFE0D1CC6F}" srcOrd="0" destOrd="0" presId="urn:microsoft.com/office/officeart/2005/8/layout/orgChart1"/>
    <dgm:cxn modelId="{2DF3A59B-0FD7-4A85-9581-DFFA3FA4435C}" type="presOf" srcId="{756E19F4-EEC3-4A30-8DD7-B1057E10FB89}" destId="{81E8A776-07B1-49DD-8B7F-D307E53C9956}" srcOrd="1" destOrd="0" presId="urn:microsoft.com/office/officeart/2005/8/layout/orgChart1"/>
    <dgm:cxn modelId="{0C1FFC61-694A-40DE-B644-B506715A27CD}" type="presOf" srcId="{7E5E255B-8C59-480D-A8AB-432E58481FFC}" destId="{CDC38420-2C30-48C6-A096-A4E561A1DE8D}" srcOrd="1" destOrd="0" presId="urn:microsoft.com/office/officeart/2005/8/layout/orgChart1"/>
    <dgm:cxn modelId="{336B5030-C459-4219-B94B-5086428327C2}" type="presOf" srcId="{BA5FFC32-F53D-477A-90DE-E836F7AAB594}" destId="{07CDB040-D082-4713-8B52-4273FA01D232}" srcOrd="0" destOrd="0" presId="urn:microsoft.com/office/officeart/2005/8/layout/orgChart1"/>
    <dgm:cxn modelId="{93362180-E418-4ACA-9E75-5FD0E08A28DE}" srcId="{7E5E255B-8C59-480D-A8AB-432E58481FFC}" destId="{756E19F4-EEC3-4A30-8DD7-B1057E10FB89}" srcOrd="3" destOrd="0" parTransId="{6B965E3B-B933-42F9-9359-BE7D3377D181}" sibTransId="{0BC9439B-4A2E-42FF-8AF2-66E23BEE945E}"/>
    <dgm:cxn modelId="{5CE7F6EF-28AE-4C0C-B549-B1C73F1B0193}" type="presOf" srcId="{F29D27C3-7218-4246-86B6-9EDAEBAA8EA8}" destId="{75118B29-0016-4ACC-AE6F-CD3412E7AF13}" srcOrd="0" destOrd="0" presId="urn:microsoft.com/office/officeart/2005/8/layout/orgChart1"/>
    <dgm:cxn modelId="{D8BD01C6-C9CA-417B-A36E-859BD4B5EE2C}" srcId="{CDDC84C7-EACC-43DC-80EF-B0E9378CF809}" destId="{7E5E255B-8C59-480D-A8AB-432E58481FFC}" srcOrd="0" destOrd="0" parTransId="{78E583C6-01F0-4BB1-BFB4-56D65A341C55}" sibTransId="{615472DD-4147-4E19-AFF9-DC744CE60A4F}"/>
    <dgm:cxn modelId="{F31CE38A-1A99-4DF6-B862-37876FE36086}" type="presOf" srcId="{859EC500-EE69-4703-BB61-B0B26C6B06A3}" destId="{0A902056-C17F-4125-81DB-513D7D80367D}" srcOrd="0" destOrd="0" presId="urn:microsoft.com/office/officeart/2005/8/layout/orgChart1"/>
    <dgm:cxn modelId="{0751D200-6317-4E08-9E5D-FC2B30E7D984}" type="presParOf" srcId="{E0E584EC-CB97-4A2D-A71C-E4BC94E78037}" destId="{589ED2B8-DAB4-48F1-B32A-C6A233B130A8}" srcOrd="0" destOrd="0" presId="urn:microsoft.com/office/officeart/2005/8/layout/orgChart1"/>
    <dgm:cxn modelId="{877C0BFD-F3CA-4FDF-B14A-AB3E4EA9B644}" type="presParOf" srcId="{589ED2B8-DAB4-48F1-B32A-C6A233B130A8}" destId="{86F97BE7-7BF0-4F5D-8705-37BB66F28656}" srcOrd="0" destOrd="0" presId="urn:microsoft.com/office/officeart/2005/8/layout/orgChart1"/>
    <dgm:cxn modelId="{C4750BC6-7897-4FB8-85E1-6424B095D1A4}" type="presParOf" srcId="{86F97BE7-7BF0-4F5D-8705-37BB66F28656}" destId="{8221FFF7-9EE2-49E7-8DEC-C99165C9AB5E}" srcOrd="0" destOrd="0" presId="urn:microsoft.com/office/officeart/2005/8/layout/orgChart1"/>
    <dgm:cxn modelId="{9B3FE9F9-CF07-4E26-8EAD-A6F5C34E4B6B}" type="presParOf" srcId="{86F97BE7-7BF0-4F5D-8705-37BB66F28656}" destId="{CDC38420-2C30-48C6-A096-A4E561A1DE8D}" srcOrd="1" destOrd="0" presId="urn:microsoft.com/office/officeart/2005/8/layout/orgChart1"/>
    <dgm:cxn modelId="{58088F13-404E-4978-B349-20A17269ED16}" type="presParOf" srcId="{589ED2B8-DAB4-48F1-B32A-C6A233B130A8}" destId="{EB1A94EA-5238-4F6C-AFA3-559006080A62}" srcOrd="1" destOrd="0" presId="urn:microsoft.com/office/officeart/2005/8/layout/orgChart1"/>
    <dgm:cxn modelId="{83314967-E70E-4D0D-B529-84A622DD5F36}" type="presParOf" srcId="{EB1A94EA-5238-4F6C-AFA3-559006080A62}" destId="{A95270E5-26D1-49E0-9258-F822689309BF}" srcOrd="0" destOrd="0" presId="urn:microsoft.com/office/officeart/2005/8/layout/orgChart1"/>
    <dgm:cxn modelId="{B3775675-89D2-4005-8CC8-FC350D7DC012}" type="presParOf" srcId="{EB1A94EA-5238-4F6C-AFA3-559006080A62}" destId="{26F77107-FCFD-44BE-86C8-0E1E7F4BA4D7}" srcOrd="1" destOrd="0" presId="urn:microsoft.com/office/officeart/2005/8/layout/orgChart1"/>
    <dgm:cxn modelId="{8C1E120F-3CFD-40DC-B7FE-F4505FB04EC6}" type="presParOf" srcId="{26F77107-FCFD-44BE-86C8-0E1E7F4BA4D7}" destId="{32AD6DE0-5A0F-40DE-AEEB-58649C761109}" srcOrd="0" destOrd="0" presId="urn:microsoft.com/office/officeart/2005/8/layout/orgChart1"/>
    <dgm:cxn modelId="{897A7581-FB5A-4A27-9AB9-C74C15733613}" type="presParOf" srcId="{32AD6DE0-5A0F-40DE-AEEB-58649C761109}" destId="{75118B29-0016-4ACC-AE6F-CD3412E7AF13}" srcOrd="0" destOrd="0" presId="urn:microsoft.com/office/officeart/2005/8/layout/orgChart1"/>
    <dgm:cxn modelId="{A74B6BB1-29DC-46BC-962F-5E9E65010149}" type="presParOf" srcId="{32AD6DE0-5A0F-40DE-AEEB-58649C761109}" destId="{F1DA55EB-D1D7-4775-9DB1-A314D5A4FA8F}" srcOrd="1" destOrd="0" presId="urn:microsoft.com/office/officeart/2005/8/layout/orgChart1"/>
    <dgm:cxn modelId="{3C9E80F1-5D81-420A-86D1-1E2617268B7C}" type="presParOf" srcId="{26F77107-FCFD-44BE-86C8-0E1E7F4BA4D7}" destId="{124764F2-1338-4E41-9BD6-CCF547E6F358}" srcOrd="1" destOrd="0" presId="urn:microsoft.com/office/officeart/2005/8/layout/orgChart1"/>
    <dgm:cxn modelId="{9093DC75-C746-400D-9C41-A0609E471C4B}" type="presParOf" srcId="{26F77107-FCFD-44BE-86C8-0E1E7F4BA4D7}" destId="{69EC7DCF-526D-4A12-8577-756F5CAD28AE}" srcOrd="2" destOrd="0" presId="urn:microsoft.com/office/officeart/2005/8/layout/orgChart1"/>
    <dgm:cxn modelId="{9ED7F438-95AB-424C-8012-7AF34A006330}" type="presParOf" srcId="{EB1A94EA-5238-4F6C-AFA3-559006080A62}" destId="{BF661608-0521-47F0-A8F8-6AA7F4E6F3C1}" srcOrd="2" destOrd="0" presId="urn:microsoft.com/office/officeart/2005/8/layout/orgChart1"/>
    <dgm:cxn modelId="{BACF7948-8E3E-4CF3-8039-FBD648A9BCF9}" type="presParOf" srcId="{EB1A94EA-5238-4F6C-AFA3-559006080A62}" destId="{35E2D6E6-099C-4B0C-A021-3BADAA951980}" srcOrd="3" destOrd="0" presId="urn:microsoft.com/office/officeart/2005/8/layout/orgChart1"/>
    <dgm:cxn modelId="{950A9527-A7D7-4F4D-8EBA-2B42FEFA5FB2}" type="presParOf" srcId="{35E2D6E6-099C-4B0C-A021-3BADAA951980}" destId="{8C946399-317F-40E2-B967-08455748076A}" srcOrd="0" destOrd="0" presId="urn:microsoft.com/office/officeart/2005/8/layout/orgChart1"/>
    <dgm:cxn modelId="{BBF24786-9065-4978-8009-F37E9777170F}" type="presParOf" srcId="{8C946399-317F-40E2-B967-08455748076A}" destId="{491844D8-EA6D-48CC-B2E3-6DBE80778FBA}" srcOrd="0" destOrd="0" presId="urn:microsoft.com/office/officeart/2005/8/layout/orgChart1"/>
    <dgm:cxn modelId="{5A71A233-D292-40C0-9247-5C939B7EAFC1}" type="presParOf" srcId="{8C946399-317F-40E2-B967-08455748076A}" destId="{0B039231-BBDA-47C4-924C-8400BEC583E9}" srcOrd="1" destOrd="0" presId="urn:microsoft.com/office/officeart/2005/8/layout/orgChart1"/>
    <dgm:cxn modelId="{32BECA9B-2B5D-4830-A713-A03F14D006F7}" type="presParOf" srcId="{35E2D6E6-099C-4B0C-A021-3BADAA951980}" destId="{A9F54383-9691-4EEB-AE80-009822117CCE}" srcOrd="1" destOrd="0" presId="urn:microsoft.com/office/officeart/2005/8/layout/orgChart1"/>
    <dgm:cxn modelId="{257165B2-6805-4A5F-8BE4-67E50DE28439}" type="presParOf" srcId="{35E2D6E6-099C-4B0C-A021-3BADAA951980}" destId="{AD3BE3E7-4C32-454E-942F-4E8614AB6514}" srcOrd="2" destOrd="0" presId="urn:microsoft.com/office/officeart/2005/8/layout/orgChart1"/>
    <dgm:cxn modelId="{9D63E399-53A3-4132-B084-A0D76CFED3B3}" type="presParOf" srcId="{EB1A94EA-5238-4F6C-AFA3-559006080A62}" destId="{0D035AC0-7694-4D9F-A80A-1FDFE0D1CC6F}" srcOrd="4" destOrd="0" presId="urn:microsoft.com/office/officeart/2005/8/layout/orgChart1"/>
    <dgm:cxn modelId="{C8074A69-90FD-420F-A309-B7B0F218ED93}" type="presParOf" srcId="{EB1A94EA-5238-4F6C-AFA3-559006080A62}" destId="{08775908-D38F-4C9D-9FB6-567B827F0FE4}" srcOrd="5" destOrd="0" presId="urn:microsoft.com/office/officeart/2005/8/layout/orgChart1"/>
    <dgm:cxn modelId="{8A78E178-E394-4A73-B128-3846409AD8F1}" type="presParOf" srcId="{08775908-D38F-4C9D-9FB6-567B827F0FE4}" destId="{72F91954-2BA6-4D8E-AB90-3065779DC9D8}" srcOrd="0" destOrd="0" presId="urn:microsoft.com/office/officeart/2005/8/layout/orgChart1"/>
    <dgm:cxn modelId="{C5BA7ADE-AD25-4CE3-946C-825CFB313B22}" type="presParOf" srcId="{72F91954-2BA6-4D8E-AB90-3065779DC9D8}" destId="{0A902056-C17F-4125-81DB-513D7D80367D}" srcOrd="0" destOrd="0" presId="urn:microsoft.com/office/officeart/2005/8/layout/orgChart1"/>
    <dgm:cxn modelId="{BB42DE52-6E7C-4B51-91A8-7E7831AF277C}" type="presParOf" srcId="{72F91954-2BA6-4D8E-AB90-3065779DC9D8}" destId="{A167FFC9-1B37-4021-89F0-9B7C640838A2}" srcOrd="1" destOrd="0" presId="urn:microsoft.com/office/officeart/2005/8/layout/orgChart1"/>
    <dgm:cxn modelId="{34A3B807-066F-4184-BC33-3EBF6F9D71CC}" type="presParOf" srcId="{08775908-D38F-4C9D-9FB6-567B827F0FE4}" destId="{5D4031A9-29AE-4D4B-892E-10F2E48661AC}" srcOrd="1" destOrd="0" presId="urn:microsoft.com/office/officeart/2005/8/layout/orgChart1"/>
    <dgm:cxn modelId="{D9ACB7EF-9112-43D8-8426-0A398E4FEE38}" type="presParOf" srcId="{08775908-D38F-4C9D-9FB6-567B827F0FE4}" destId="{C8807B4C-7947-4E8E-B2A7-904ACD1C8EB6}" srcOrd="2" destOrd="0" presId="urn:microsoft.com/office/officeart/2005/8/layout/orgChart1"/>
    <dgm:cxn modelId="{340051A6-6D5B-48A2-8A4B-B53BF1CBCE96}" type="presParOf" srcId="{EB1A94EA-5238-4F6C-AFA3-559006080A62}" destId="{9BE7FE36-479F-446F-8DDF-98BA99B5A0A9}" srcOrd="6" destOrd="0" presId="urn:microsoft.com/office/officeart/2005/8/layout/orgChart1"/>
    <dgm:cxn modelId="{DA71AF39-518E-4C5B-8427-9AEE625D59F0}" type="presParOf" srcId="{EB1A94EA-5238-4F6C-AFA3-559006080A62}" destId="{FE9D2C06-3C45-446D-BBFC-78876B75E48B}" srcOrd="7" destOrd="0" presId="urn:microsoft.com/office/officeart/2005/8/layout/orgChart1"/>
    <dgm:cxn modelId="{AEBA75DE-DBF9-4702-BE7B-1185C37D6981}" type="presParOf" srcId="{FE9D2C06-3C45-446D-BBFC-78876B75E48B}" destId="{3F51E38A-EDBE-4BCD-9DD4-36B93C3EDBCE}" srcOrd="0" destOrd="0" presId="urn:microsoft.com/office/officeart/2005/8/layout/orgChart1"/>
    <dgm:cxn modelId="{D9C23C35-B2BF-4FB8-8C41-5C1A1194FFF9}" type="presParOf" srcId="{3F51E38A-EDBE-4BCD-9DD4-36B93C3EDBCE}" destId="{178FAD33-1478-4F19-88D4-30B09D7654E9}" srcOrd="0" destOrd="0" presId="urn:microsoft.com/office/officeart/2005/8/layout/orgChart1"/>
    <dgm:cxn modelId="{CCFEC03D-E3EE-46CA-8ABE-1633C893CCEE}" type="presParOf" srcId="{3F51E38A-EDBE-4BCD-9DD4-36B93C3EDBCE}" destId="{81E8A776-07B1-49DD-8B7F-D307E53C9956}" srcOrd="1" destOrd="0" presId="urn:microsoft.com/office/officeart/2005/8/layout/orgChart1"/>
    <dgm:cxn modelId="{48CBDB02-D0B5-4CF0-A18A-7DCCCF32EA00}" type="presParOf" srcId="{FE9D2C06-3C45-446D-BBFC-78876B75E48B}" destId="{E30F02F5-EE69-4B92-AD9E-F577B3E86180}" srcOrd="1" destOrd="0" presId="urn:microsoft.com/office/officeart/2005/8/layout/orgChart1"/>
    <dgm:cxn modelId="{0105039C-C081-46B4-A7D2-37590C702E14}" type="presParOf" srcId="{FE9D2C06-3C45-446D-BBFC-78876B75E48B}" destId="{0A2E7485-7D26-419D-9AB3-03F86BFEE726}" srcOrd="2" destOrd="0" presId="urn:microsoft.com/office/officeart/2005/8/layout/orgChart1"/>
    <dgm:cxn modelId="{774E6334-68AD-4693-8E3D-6399FB5271EE}" type="presParOf" srcId="{EB1A94EA-5238-4F6C-AFA3-559006080A62}" destId="{99963D19-9DC4-4CB8-A836-FA9F842251D1}" srcOrd="8" destOrd="0" presId="urn:microsoft.com/office/officeart/2005/8/layout/orgChart1"/>
    <dgm:cxn modelId="{25D12EC6-3D38-45C3-B919-86DF0137B053}" type="presParOf" srcId="{EB1A94EA-5238-4F6C-AFA3-559006080A62}" destId="{023D2237-4172-43AD-A87F-1937DB2BCDD7}" srcOrd="9" destOrd="0" presId="urn:microsoft.com/office/officeart/2005/8/layout/orgChart1"/>
    <dgm:cxn modelId="{6AB72A20-1EB1-4BCE-821F-A8896686ADD9}" type="presParOf" srcId="{023D2237-4172-43AD-A87F-1937DB2BCDD7}" destId="{ED137614-F919-452D-9064-74DA73FED5F8}" srcOrd="0" destOrd="0" presId="urn:microsoft.com/office/officeart/2005/8/layout/orgChart1"/>
    <dgm:cxn modelId="{CF415C64-E083-4058-A13E-2FC42C625D04}" type="presParOf" srcId="{ED137614-F919-452D-9064-74DA73FED5F8}" destId="{07CDB040-D082-4713-8B52-4273FA01D232}" srcOrd="0" destOrd="0" presId="urn:microsoft.com/office/officeart/2005/8/layout/orgChart1"/>
    <dgm:cxn modelId="{8425A07F-3D30-4875-AD84-4CE1B4AFD865}" type="presParOf" srcId="{ED137614-F919-452D-9064-74DA73FED5F8}" destId="{F9FF96BE-C52E-4CD3-B4DE-A31A254B1E62}" srcOrd="1" destOrd="0" presId="urn:microsoft.com/office/officeart/2005/8/layout/orgChart1"/>
    <dgm:cxn modelId="{F7D49AC0-469A-47F8-8319-42526623924B}" type="presParOf" srcId="{023D2237-4172-43AD-A87F-1937DB2BCDD7}" destId="{141A7AE6-4C4A-453B-A8B8-712D740FC897}" srcOrd="1" destOrd="0" presId="urn:microsoft.com/office/officeart/2005/8/layout/orgChart1"/>
    <dgm:cxn modelId="{72CC924E-B0FE-42A7-9B19-5C47C0C62361}" type="presParOf" srcId="{023D2237-4172-43AD-A87F-1937DB2BCDD7}" destId="{1594CDEA-D2A0-4DBA-87E9-FE4C8A59BA89}" srcOrd="2" destOrd="0" presId="urn:microsoft.com/office/officeart/2005/8/layout/orgChart1"/>
    <dgm:cxn modelId="{E8906440-F09E-409D-BFB7-F5183773980E}" type="presParOf" srcId="{589ED2B8-DAB4-48F1-B32A-C6A233B130A8}" destId="{7B6846FF-F88A-4714-BDF0-4EB941FF76B1}"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0F7325A-FF81-49D4-AD6D-2E58408263F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en-US"/>
        </a:p>
      </dgm:t>
    </dgm:pt>
    <dgm:pt modelId="{B878992C-4D3F-4A6F-B390-65FB39597E16}">
      <dgm:prSet phldrT="[Text]" custT="1"/>
      <dgm:spPr/>
      <dgm:t>
        <a:bodyPr/>
        <a:lstStyle/>
        <a:p>
          <a:r>
            <a:rPr lang="en-US" sz="2800" b="1">
              <a:solidFill>
                <a:sysClr val="windowText" lastClr="000000"/>
              </a:solidFill>
            </a:rPr>
            <a:t>P</a:t>
          </a:r>
        </a:p>
      </dgm:t>
    </dgm:pt>
    <dgm:pt modelId="{D33AC9D9-9D36-446E-9B82-C49143A761B6}" type="parTrans" cxnId="{9BF2D200-E652-472C-B0F0-EC3DE9721609}">
      <dgm:prSet/>
      <dgm:spPr/>
      <dgm:t>
        <a:bodyPr/>
        <a:lstStyle/>
        <a:p>
          <a:endParaRPr lang="en-US"/>
        </a:p>
      </dgm:t>
    </dgm:pt>
    <dgm:pt modelId="{D6466FEF-D4B5-443F-9C3A-844A743B881C}" type="sibTrans" cxnId="{9BF2D200-E652-472C-B0F0-EC3DE9721609}">
      <dgm:prSet/>
      <dgm:spPr/>
      <dgm:t>
        <a:bodyPr/>
        <a:lstStyle/>
        <a:p>
          <a:endParaRPr lang="en-US"/>
        </a:p>
      </dgm:t>
    </dgm:pt>
    <dgm:pt modelId="{BBA05361-303F-493C-AEB4-F357A53C37BB}">
      <dgm:prSet phldrT="[Text]" custT="1"/>
      <dgm:spPr/>
      <dgm:t>
        <a:bodyPr/>
        <a:lstStyle/>
        <a:p>
          <a:r>
            <a:rPr lang="en-US" sz="1600" b="1"/>
            <a:t>Setting up Financial Goal/ Purpose of Investing</a:t>
          </a:r>
        </a:p>
      </dgm:t>
    </dgm:pt>
    <dgm:pt modelId="{69484C06-C532-4324-A456-3B165F93BDD2}" type="parTrans" cxnId="{010D4F6D-B155-454A-8024-6AA3B0D17EF3}">
      <dgm:prSet/>
      <dgm:spPr/>
      <dgm:t>
        <a:bodyPr/>
        <a:lstStyle/>
        <a:p>
          <a:endParaRPr lang="en-US"/>
        </a:p>
      </dgm:t>
    </dgm:pt>
    <dgm:pt modelId="{14636CB1-3EF0-4552-865B-870A9C8DD9DE}" type="sibTrans" cxnId="{010D4F6D-B155-454A-8024-6AA3B0D17EF3}">
      <dgm:prSet/>
      <dgm:spPr/>
      <dgm:t>
        <a:bodyPr/>
        <a:lstStyle/>
        <a:p>
          <a:endParaRPr lang="en-US"/>
        </a:p>
      </dgm:t>
    </dgm:pt>
    <dgm:pt modelId="{09BAC221-E0F9-422B-83A7-0219A29519D7}">
      <dgm:prSet phldrT="[Text]" custT="1"/>
      <dgm:spPr/>
      <dgm:t>
        <a:bodyPr/>
        <a:lstStyle/>
        <a:p>
          <a:r>
            <a:rPr lang="en-US" sz="2400" b="1">
              <a:solidFill>
                <a:sysClr val="windowText" lastClr="000000"/>
              </a:solidFill>
            </a:rPr>
            <a:t>O</a:t>
          </a:r>
        </a:p>
      </dgm:t>
    </dgm:pt>
    <dgm:pt modelId="{FFFB9B82-A7FD-4AFD-AF15-6B4CC71F36A2}" type="parTrans" cxnId="{43F131E3-EB3E-4CB6-8313-5894F89B2DF7}">
      <dgm:prSet/>
      <dgm:spPr/>
      <dgm:t>
        <a:bodyPr/>
        <a:lstStyle/>
        <a:p>
          <a:endParaRPr lang="en-US"/>
        </a:p>
      </dgm:t>
    </dgm:pt>
    <dgm:pt modelId="{7D6B09CE-2BCF-4014-9528-3FBA6DB5342D}" type="sibTrans" cxnId="{43F131E3-EB3E-4CB6-8313-5894F89B2DF7}">
      <dgm:prSet/>
      <dgm:spPr/>
      <dgm:t>
        <a:bodyPr/>
        <a:lstStyle/>
        <a:p>
          <a:endParaRPr lang="en-US"/>
        </a:p>
      </dgm:t>
    </dgm:pt>
    <dgm:pt modelId="{3575E0B4-F93A-4DCA-AE22-2A359F817791}">
      <dgm:prSet phldrT="[Text]" custT="1"/>
      <dgm:spPr/>
      <dgm:t>
        <a:bodyPr/>
        <a:lstStyle/>
        <a:p>
          <a:r>
            <a:rPr lang="en-US" sz="1600" b="1"/>
            <a:t>Risk Acceptance/ Risk Tolrance</a:t>
          </a:r>
        </a:p>
      </dgm:t>
    </dgm:pt>
    <dgm:pt modelId="{B28C2174-527D-419B-982C-9165816D142F}" type="parTrans" cxnId="{1C982001-A528-4036-8DAD-09388A29AFD4}">
      <dgm:prSet/>
      <dgm:spPr/>
      <dgm:t>
        <a:bodyPr/>
        <a:lstStyle/>
        <a:p>
          <a:endParaRPr lang="en-US"/>
        </a:p>
      </dgm:t>
    </dgm:pt>
    <dgm:pt modelId="{4CFEA8D4-BDB7-416A-AB1A-220DFBAFB03B}" type="sibTrans" cxnId="{1C982001-A528-4036-8DAD-09388A29AFD4}">
      <dgm:prSet/>
      <dgm:spPr/>
      <dgm:t>
        <a:bodyPr/>
        <a:lstStyle/>
        <a:p>
          <a:endParaRPr lang="en-US"/>
        </a:p>
      </dgm:t>
    </dgm:pt>
    <dgm:pt modelId="{E5463156-57F5-4DDD-904C-396B05298A7A}">
      <dgm:prSet phldrT="[Text]" custT="1"/>
      <dgm:spPr/>
      <dgm:t>
        <a:bodyPr/>
        <a:lstStyle/>
        <a:p>
          <a:r>
            <a:rPr lang="en-US" sz="2400" b="1">
              <a:solidFill>
                <a:sysClr val="windowText" lastClr="000000"/>
              </a:solidFill>
            </a:rPr>
            <a:t>R</a:t>
          </a:r>
          <a:endParaRPr lang="en-US" sz="600" b="1">
            <a:solidFill>
              <a:sysClr val="windowText" lastClr="000000"/>
            </a:solidFill>
          </a:endParaRPr>
        </a:p>
      </dgm:t>
    </dgm:pt>
    <dgm:pt modelId="{716B14C1-346D-4133-B487-8E8264269B72}" type="parTrans" cxnId="{3E640677-1708-4456-9702-67EC9F5AC70C}">
      <dgm:prSet/>
      <dgm:spPr/>
      <dgm:t>
        <a:bodyPr/>
        <a:lstStyle/>
        <a:p>
          <a:endParaRPr lang="en-US"/>
        </a:p>
      </dgm:t>
    </dgm:pt>
    <dgm:pt modelId="{0C41F76D-F5E2-400A-9E8B-D72B8FFBFFB1}" type="sibTrans" cxnId="{3E640677-1708-4456-9702-67EC9F5AC70C}">
      <dgm:prSet/>
      <dgm:spPr/>
      <dgm:t>
        <a:bodyPr/>
        <a:lstStyle/>
        <a:p>
          <a:endParaRPr lang="en-US"/>
        </a:p>
      </dgm:t>
    </dgm:pt>
    <dgm:pt modelId="{68E52BAA-160A-4BDF-91FC-2CC014760563}">
      <dgm:prSet phldrT="[Text]" custT="1"/>
      <dgm:spPr/>
      <dgm:t>
        <a:bodyPr/>
        <a:lstStyle/>
        <a:p>
          <a:r>
            <a:rPr lang="en-US" sz="1600" b="1"/>
            <a:t>Selecting The Fund House</a:t>
          </a:r>
        </a:p>
      </dgm:t>
    </dgm:pt>
    <dgm:pt modelId="{6E9F84A0-AFE5-460F-B92B-D24611B859E6}" type="parTrans" cxnId="{8DFD4C6A-CF5A-4A1E-B2FB-FAA58789C8BC}">
      <dgm:prSet/>
      <dgm:spPr/>
      <dgm:t>
        <a:bodyPr/>
        <a:lstStyle/>
        <a:p>
          <a:endParaRPr lang="en-US"/>
        </a:p>
      </dgm:t>
    </dgm:pt>
    <dgm:pt modelId="{12A10C72-D4A7-4770-A3FF-8F7802380923}" type="sibTrans" cxnId="{8DFD4C6A-CF5A-4A1E-B2FB-FAA58789C8BC}">
      <dgm:prSet/>
      <dgm:spPr/>
      <dgm:t>
        <a:bodyPr/>
        <a:lstStyle/>
        <a:p>
          <a:endParaRPr lang="en-US"/>
        </a:p>
      </dgm:t>
    </dgm:pt>
    <dgm:pt modelId="{E5BFCE46-2651-4196-BEB0-A02BD4C6B950}">
      <dgm:prSet phldrT="[Text]" custT="1"/>
      <dgm:spPr/>
      <dgm:t>
        <a:bodyPr/>
        <a:lstStyle/>
        <a:p>
          <a:r>
            <a:rPr lang="en-US" sz="2800" b="1">
              <a:solidFill>
                <a:sysClr val="windowText" lastClr="000000"/>
              </a:solidFill>
            </a:rPr>
            <a:t>T</a:t>
          </a:r>
        </a:p>
      </dgm:t>
    </dgm:pt>
    <dgm:pt modelId="{DEEB8072-8BEF-49CD-A717-1D969B698608}" type="parTrans" cxnId="{8FD2B199-233C-4DEC-9FCB-C618BCA1903D}">
      <dgm:prSet/>
      <dgm:spPr/>
      <dgm:t>
        <a:bodyPr/>
        <a:lstStyle/>
        <a:p>
          <a:endParaRPr lang="en-US"/>
        </a:p>
      </dgm:t>
    </dgm:pt>
    <dgm:pt modelId="{81F9BC50-E36C-4B8F-8FCD-C202D6B66581}" type="sibTrans" cxnId="{8FD2B199-233C-4DEC-9FCB-C618BCA1903D}">
      <dgm:prSet/>
      <dgm:spPr/>
      <dgm:t>
        <a:bodyPr/>
        <a:lstStyle/>
        <a:p>
          <a:endParaRPr lang="en-US"/>
        </a:p>
      </dgm:t>
    </dgm:pt>
    <dgm:pt modelId="{3FB708AC-0F21-4D38-AFD0-F25E7020F3A6}">
      <dgm:prSet phldrT="[Text]" custT="1"/>
      <dgm:spPr/>
      <dgm:t>
        <a:bodyPr/>
        <a:lstStyle/>
        <a:p>
          <a:r>
            <a:rPr lang="en-US" sz="2800" b="1">
              <a:solidFill>
                <a:sysClr val="windowText" lastClr="000000"/>
              </a:solidFill>
            </a:rPr>
            <a:t>F</a:t>
          </a:r>
          <a:endParaRPr lang="en-US" sz="600" b="1">
            <a:solidFill>
              <a:sysClr val="windowText" lastClr="000000"/>
            </a:solidFill>
          </a:endParaRPr>
        </a:p>
      </dgm:t>
    </dgm:pt>
    <dgm:pt modelId="{033F56C5-5712-4533-86CC-E325B1E01552}" type="parTrans" cxnId="{1BC46917-1BAC-44AA-A517-E44644083B3E}">
      <dgm:prSet/>
      <dgm:spPr/>
      <dgm:t>
        <a:bodyPr/>
        <a:lstStyle/>
        <a:p>
          <a:endParaRPr lang="en-US"/>
        </a:p>
      </dgm:t>
    </dgm:pt>
    <dgm:pt modelId="{C1C947F5-5120-4894-B534-DEFD5849B99D}" type="sibTrans" cxnId="{1BC46917-1BAC-44AA-A517-E44644083B3E}">
      <dgm:prSet/>
      <dgm:spPr/>
      <dgm:t>
        <a:bodyPr/>
        <a:lstStyle/>
        <a:p>
          <a:endParaRPr lang="en-US"/>
        </a:p>
      </dgm:t>
    </dgm:pt>
    <dgm:pt modelId="{BDDDE468-BD46-4733-8AA7-F2CA517300EF}">
      <dgm:prSet custT="1"/>
      <dgm:spPr/>
      <dgm:t>
        <a:bodyPr/>
        <a:lstStyle/>
        <a:p>
          <a:r>
            <a:rPr lang="en-US" sz="1600" b="1"/>
            <a:t>Fund Manager Performance</a:t>
          </a:r>
        </a:p>
      </dgm:t>
    </dgm:pt>
    <dgm:pt modelId="{DA662DE0-552F-47D5-9DC3-F1A53E8FB094}" type="parTrans" cxnId="{1B603E72-C400-4AE9-95B8-BF6BB9D9A3AA}">
      <dgm:prSet/>
      <dgm:spPr/>
      <dgm:t>
        <a:bodyPr/>
        <a:lstStyle/>
        <a:p>
          <a:endParaRPr lang="en-US"/>
        </a:p>
      </dgm:t>
    </dgm:pt>
    <dgm:pt modelId="{63A63A93-C85A-49E3-A4A2-08E898AD54C4}" type="sibTrans" cxnId="{1B603E72-C400-4AE9-95B8-BF6BB9D9A3AA}">
      <dgm:prSet/>
      <dgm:spPr/>
      <dgm:t>
        <a:bodyPr/>
        <a:lstStyle/>
        <a:p>
          <a:endParaRPr lang="en-US"/>
        </a:p>
      </dgm:t>
    </dgm:pt>
    <dgm:pt modelId="{C083F249-45E0-493D-A578-4B4744398670}">
      <dgm:prSet custT="1"/>
      <dgm:spPr/>
      <dgm:t>
        <a:bodyPr/>
        <a:lstStyle/>
        <a:p>
          <a:r>
            <a:rPr lang="en-US" sz="1600" b="1"/>
            <a:t>Asset Allocation</a:t>
          </a:r>
        </a:p>
      </dgm:t>
    </dgm:pt>
    <dgm:pt modelId="{0001032C-2C5A-471C-9E99-E54C72EAFADE}" type="parTrans" cxnId="{61FA4C2E-521B-4392-82D4-69E484251893}">
      <dgm:prSet/>
      <dgm:spPr/>
      <dgm:t>
        <a:bodyPr/>
        <a:lstStyle/>
        <a:p>
          <a:endParaRPr lang="en-US"/>
        </a:p>
      </dgm:t>
    </dgm:pt>
    <dgm:pt modelId="{E029953F-23D1-4D36-8577-B66D1D99D2BF}" type="sibTrans" cxnId="{61FA4C2E-521B-4392-82D4-69E484251893}">
      <dgm:prSet/>
      <dgm:spPr/>
      <dgm:t>
        <a:bodyPr/>
        <a:lstStyle/>
        <a:p>
          <a:endParaRPr lang="en-US"/>
        </a:p>
      </dgm:t>
    </dgm:pt>
    <dgm:pt modelId="{28228913-A96A-4C20-946C-EA5914DC8B9B}">
      <dgm:prSet custT="1"/>
      <dgm:spPr/>
      <dgm:t>
        <a:bodyPr/>
        <a:lstStyle/>
        <a:p>
          <a:r>
            <a:rPr lang="en-US" sz="2800" b="1">
              <a:solidFill>
                <a:sysClr val="windowText" lastClr="000000"/>
              </a:solidFill>
            </a:rPr>
            <a:t>O</a:t>
          </a:r>
          <a:endParaRPr lang="en-US" sz="1200" b="1">
            <a:solidFill>
              <a:sysClr val="windowText" lastClr="000000"/>
            </a:solidFill>
          </a:endParaRPr>
        </a:p>
      </dgm:t>
    </dgm:pt>
    <dgm:pt modelId="{908A0C14-4AA7-487E-B8E1-C450C6BB745B}" type="parTrans" cxnId="{3705DD1B-F19A-42C5-A9F9-7844A0346EE5}">
      <dgm:prSet/>
      <dgm:spPr/>
      <dgm:t>
        <a:bodyPr/>
        <a:lstStyle/>
        <a:p>
          <a:endParaRPr lang="en-US"/>
        </a:p>
      </dgm:t>
    </dgm:pt>
    <dgm:pt modelId="{D61E36B6-2770-434F-9BBA-0AD0CEC385AA}" type="sibTrans" cxnId="{3705DD1B-F19A-42C5-A9F9-7844A0346EE5}">
      <dgm:prSet/>
      <dgm:spPr/>
      <dgm:t>
        <a:bodyPr/>
        <a:lstStyle/>
        <a:p>
          <a:endParaRPr lang="en-US"/>
        </a:p>
      </dgm:t>
    </dgm:pt>
    <dgm:pt modelId="{724A0003-BCE7-4F4F-B87A-BBF49BFABEC1}">
      <dgm:prSet custT="1"/>
      <dgm:spPr/>
      <dgm:t>
        <a:bodyPr/>
        <a:lstStyle/>
        <a:p>
          <a:r>
            <a:rPr lang="en-US" sz="1600" b="1"/>
            <a:t>Considering Other Factors</a:t>
          </a:r>
          <a:endParaRPr lang="en-US" sz="1600" b="1" i="0"/>
        </a:p>
      </dgm:t>
    </dgm:pt>
    <dgm:pt modelId="{25A53CA0-0F02-48B6-8D2D-098BBFDDB2A3}" type="parTrans" cxnId="{C2434354-57D4-436D-93BE-1559F3EB5B75}">
      <dgm:prSet/>
      <dgm:spPr/>
      <dgm:t>
        <a:bodyPr/>
        <a:lstStyle/>
        <a:p>
          <a:endParaRPr lang="en-US"/>
        </a:p>
      </dgm:t>
    </dgm:pt>
    <dgm:pt modelId="{8D006B95-9F55-4445-875A-30F99CC343E9}" type="sibTrans" cxnId="{C2434354-57D4-436D-93BE-1559F3EB5B75}">
      <dgm:prSet/>
      <dgm:spPr/>
      <dgm:t>
        <a:bodyPr/>
        <a:lstStyle/>
        <a:p>
          <a:endParaRPr lang="en-US"/>
        </a:p>
      </dgm:t>
    </dgm:pt>
    <dgm:pt modelId="{B4A0B469-0A8D-4926-9552-55810F3A26B8}">
      <dgm:prSet custT="1"/>
      <dgm:spPr/>
      <dgm:t>
        <a:bodyPr/>
        <a:lstStyle/>
        <a:p>
          <a:r>
            <a:rPr lang="en-US" sz="2800" b="1" i="0">
              <a:solidFill>
                <a:sysClr val="windowText" lastClr="000000"/>
              </a:solidFill>
            </a:rPr>
            <a:t>L</a:t>
          </a:r>
          <a:endParaRPr lang="en-US" sz="1100" b="1" i="0">
            <a:solidFill>
              <a:sysClr val="windowText" lastClr="000000"/>
            </a:solidFill>
          </a:endParaRPr>
        </a:p>
      </dgm:t>
    </dgm:pt>
    <dgm:pt modelId="{CC6FC473-5689-4380-87E5-9218BA02F609}" type="parTrans" cxnId="{44DC5890-1DF3-44C9-984E-BCECB9543338}">
      <dgm:prSet/>
      <dgm:spPr/>
      <dgm:t>
        <a:bodyPr/>
        <a:lstStyle/>
        <a:p>
          <a:endParaRPr lang="en-US"/>
        </a:p>
      </dgm:t>
    </dgm:pt>
    <dgm:pt modelId="{CCE4456A-9B4C-4DAB-9A20-8E11EBB79823}" type="sibTrans" cxnId="{44DC5890-1DF3-44C9-984E-BCECB9543338}">
      <dgm:prSet/>
      <dgm:spPr/>
      <dgm:t>
        <a:bodyPr/>
        <a:lstStyle/>
        <a:p>
          <a:endParaRPr lang="en-US"/>
        </a:p>
      </dgm:t>
    </dgm:pt>
    <dgm:pt modelId="{8083EF80-6120-4FB5-8A43-0A5A1A288D9F}">
      <dgm:prSet custT="1"/>
      <dgm:spPr/>
      <dgm:t>
        <a:bodyPr/>
        <a:lstStyle/>
        <a:p>
          <a:r>
            <a:rPr lang="en-US" sz="2800" b="1">
              <a:solidFill>
                <a:sysClr val="windowText" lastClr="000000"/>
              </a:solidFill>
            </a:rPr>
            <a:t>I</a:t>
          </a:r>
          <a:endParaRPr lang="en-US" sz="1100" b="1">
            <a:solidFill>
              <a:sysClr val="windowText" lastClr="000000"/>
            </a:solidFill>
          </a:endParaRPr>
        </a:p>
      </dgm:t>
    </dgm:pt>
    <dgm:pt modelId="{FFAB342D-F8E3-4F8E-B628-5AFCD9EC098C}" type="parTrans" cxnId="{C64744AA-48E5-4704-92E5-29125D534E9C}">
      <dgm:prSet/>
      <dgm:spPr/>
      <dgm:t>
        <a:bodyPr/>
        <a:lstStyle/>
        <a:p>
          <a:endParaRPr lang="en-US"/>
        </a:p>
      </dgm:t>
    </dgm:pt>
    <dgm:pt modelId="{0F185F70-79AA-42AB-9AA4-679BD17EC116}" type="sibTrans" cxnId="{C64744AA-48E5-4704-92E5-29125D534E9C}">
      <dgm:prSet/>
      <dgm:spPr/>
      <dgm:t>
        <a:bodyPr/>
        <a:lstStyle/>
        <a:p>
          <a:endParaRPr lang="en-US"/>
        </a:p>
      </dgm:t>
    </dgm:pt>
    <dgm:pt modelId="{FD7FCA22-9E87-4E2A-A622-11F069047774}">
      <dgm:prSet custT="1"/>
      <dgm:spPr/>
      <dgm:t>
        <a:bodyPr/>
        <a:lstStyle/>
        <a:p>
          <a:r>
            <a:rPr lang="en-US" sz="1600" b="1" i="0"/>
            <a:t>Shortlisting Scheme</a:t>
          </a:r>
          <a:endParaRPr lang="en-US" sz="1200"/>
        </a:p>
      </dgm:t>
    </dgm:pt>
    <dgm:pt modelId="{9C9DD212-2787-46A2-B2F4-9CD08C3154A6}" type="parTrans" cxnId="{D4056E32-7B36-418A-A4D7-526145C85BEF}">
      <dgm:prSet/>
      <dgm:spPr/>
      <dgm:t>
        <a:bodyPr/>
        <a:lstStyle/>
        <a:p>
          <a:endParaRPr lang="en-US"/>
        </a:p>
      </dgm:t>
    </dgm:pt>
    <dgm:pt modelId="{9D4FFDFB-C7CA-4031-A2BD-3046D5AEE6B0}" type="sibTrans" cxnId="{D4056E32-7B36-418A-A4D7-526145C85BEF}">
      <dgm:prSet/>
      <dgm:spPr/>
      <dgm:t>
        <a:bodyPr/>
        <a:lstStyle/>
        <a:p>
          <a:endParaRPr lang="en-US"/>
        </a:p>
      </dgm:t>
    </dgm:pt>
    <dgm:pt modelId="{196F6426-355A-4FE8-9C3A-05A98DBA0636}">
      <dgm:prSet custT="1"/>
      <dgm:spPr/>
      <dgm:t>
        <a:bodyPr/>
        <a:lstStyle/>
        <a:p>
          <a:r>
            <a:rPr lang="en-US" sz="2800" b="1">
              <a:solidFill>
                <a:sysClr val="windowText" lastClr="000000"/>
              </a:solidFill>
            </a:rPr>
            <a:t>O</a:t>
          </a:r>
        </a:p>
      </dgm:t>
    </dgm:pt>
    <dgm:pt modelId="{F5FA17E5-A431-407E-AD82-C88E5568CE2A}" type="parTrans" cxnId="{CD791882-3946-45B7-B0FA-52B760599985}">
      <dgm:prSet/>
      <dgm:spPr/>
      <dgm:t>
        <a:bodyPr/>
        <a:lstStyle/>
        <a:p>
          <a:endParaRPr lang="en-US"/>
        </a:p>
      </dgm:t>
    </dgm:pt>
    <dgm:pt modelId="{AAA8D12F-61D9-467A-B08D-7436AB566613}" type="sibTrans" cxnId="{CD791882-3946-45B7-B0FA-52B760599985}">
      <dgm:prSet/>
      <dgm:spPr/>
      <dgm:t>
        <a:bodyPr/>
        <a:lstStyle/>
        <a:p>
          <a:endParaRPr lang="en-US"/>
        </a:p>
      </dgm:t>
    </dgm:pt>
    <dgm:pt modelId="{BE0D6BE3-2353-4BE0-BD61-90968DDF6696}">
      <dgm:prSet custT="1"/>
      <dgm:spPr/>
      <dgm:t>
        <a:bodyPr/>
        <a:lstStyle/>
        <a:p>
          <a:r>
            <a:rPr lang="en-US" sz="1600" b="1"/>
            <a:t>Monitoring selected schemes</a:t>
          </a:r>
          <a:endParaRPr lang="en-US" sz="1600"/>
        </a:p>
      </dgm:t>
    </dgm:pt>
    <dgm:pt modelId="{B0050BB8-7FA6-4A94-AAF9-FD0675F660A3}" type="parTrans" cxnId="{9802B6E8-8D98-466B-B466-12A11FA061A9}">
      <dgm:prSet/>
      <dgm:spPr/>
      <dgm:t>
        <a:bodyPr/>
        <a:lstStyle/>
        <a:p>
          <a:endParaRPr lang="en-IN"/>
        </a:p>
      </dgm:t>
    </dgm:pt>
    <dgm:pt modelId="{BB064405-9B5D-44FA-8677-EFAAA7E05F62}" type="sibTrans" cxnId="{9802B6E8-8D98-466B-B466-12A11FA061A9}">
      <dgm:prSet/>
      <dgm:spPr/>
      <dgm:t>
        <a:bodyPr/>
        <a:lstStyle/>
        <a:p>
          <a:endParaRPr lang="en-IN"/>
        </a:p>
      </dgm:t>
    </dgm:pt>
    <dgm:pt modelId="{141FE05D-1FDB-4DCE-BAFB-F7E4D0CC146F}" type="pres">
      <dgm:prSet presAssocID="{20F7325A-FF81-49D4-AD6D-2E58408263FE}" presName="linearFlow" presStyleCnt="0">
        <dgm:presLayoutVars>
          <dgm:dir/>
          <dgm:animLvl val="lvl"/>
          <dgm:resizeHandles val="exact"/>
        </dgm:presLayoutVars>
      </dgm:prSet>
      <dgm:spPr/>
      <dgm:t>
        <a:bodyPr/>
        <a:lstStyle/>
        <a:p>
          <a:endParaRPr lang="en-US"/>
        </a:p>
      </dgm:t>
    </dgm:pt>
    <dgm:pt modelId="{445884EC-D69A-46A6-89C5-B0016164167E}" type="pres">
      <dgm:prSet presAssocID="{B878992C-4D3F-4A6F-B390-65FB39597E16}" presName="composite" presStyleCnt="0"/>
      <dgm:spPr/>
    </dgm:pt>
    <dgm:pt modelId="{AD3F63E3-00BC-4ADC-8ED4-63C19BB3A089}" type="pres">
      <dgm:prSet presAssocID="{B878992C-4D3F-4A6F-B390-65FB39597E16}" presName="parentText" presStyleLbl="alignNode1" presStyleIdx="0" presStyleCnt="9">
        <dgm:presLayoutVars>
          <dgm:chMax val="1"/>
          <dgm:bulletEnabled val="1"/>
        </dgm:presLayoutVars>
      </dgm:prSet>
      <dgm:spPr/>
      <dgm:t>
        <a:bodyPr/>
        <a:lstStyle/>
        <a:p>
          <a:endParaRPr lang="en-US"/>
        </a:p>
      </dgm:t>
    </dgm:pt>
    <dgm:pt modelId="{55F5ED34-E035-47DC-88C0-04A932308DA1}" type="pres">
      <dgm:prSet presAssocID="{B878992C-4D3F-4A6F-B390-65FB39597E16}" presName="descendantText" presStyleLbl="alignAcc1" presStyleIdx="0" presStyleCnt="9" custLinFactNeighborX="0" custLinFactNeighborY="-301">
        <dgm:presLayoutVars>
          <dgm:bulletEnabled val="1"/>
        </dgm:presLayoutVars>
      </dgm:prSet>
      <dgm:spPr/>
      <dgm:t>
        <a:bodyPr/>
        <a:lstStyle/>
        <a:p>
          <a:endParaRPr lang="en-US"/>
        </a:p>
      </dgm:t>
    </dgm:pt>
    <dgm:pt modelId="{ACA99E6A-F61A-419D-8110-D9F8023A3A37}" type="pres">
      <dgm:prSet presAssocID="{D6466FEF-D4B5-443F-9C3A-844A743B881C}" presName="sp" presStyleCnt="0"/>
      <dgm:spPr/>
    </dgm:pt>
    <dgm:pt modelId="{F4B427F1-4974-41F2-BAE6-FF9B92D82D14}" type="pres">
      <dgm:prSet presAssocID="{09BAC221-E0F9-422B-83A7-0219A29519D7}" presName="composite" presStyleCnt="0"/>
      <dgm:spPr/>
    </dgm:pt>
    <dgm:pt modelId="{64D81162-0C8D-49F8-8C17-D157BEEFE7CA}" type="pres">
      <dgm:prSet presAssocID="{09BAC221-E0F9-422B-83A7-0219A29519D7}" presName="parentText" presStyleLbl="alignNode1" presStyleIdx="1" presStyleCnt="9">
        <dgm:presLayoutVars>
          <dgm:chMax val="1"/>
          <dgm:bulletEnabled val="1"/>
        </dgm:presLayoutVars>
      </dgm:prSet>
      <dgm:spPr/>
      <dgm:t>
        <a:bodyPr/>
        <a:lstStyle/>
        <a:p>
          <a:endParaRPr lang="en-US"/>
        </a:p>
      </dgm:t>
    </dgm:pt>
    <dgm:pt modelId="{698D83ED-9530-45BF-982E-78280732B9AC}" type="pres">
      <dgm:prSet presAssocID="{09BAC221-E0F9-422B-83A7-0219A29519D7}" presName="descendantText" presStyleLbl="alignAcc1" presStyleIdx="1" presStyleCnt="9" custLinFactNeighborX="124" custLinFactNeighborY="8113">
        <dgm:presLayoutVars>
          <dgm:bulletEnabled val="1"/>
        </dgm:presLayoutVars>
      </dgm:prSet>
      <dgm:spPr/>
      <dgm:t>
        <a:bodyPr/>
        <a:lstStyle/>
        <a:p>
          <a:endParaRPr lang="en-US"/>
        </a:p>
      </dgm:t>
    </dgm:pt>
    <dgm:pt modelId="{023CFDE4-752F-4915-84CA-4F6791772A6B}" type="pres">
      <dgm:prSet presAssocID="{7D6B09CE-2BCF-4014-9528-3FBA6DB5342D}" presName="sp" presStyleCnt="0"/>
      <dgm:spPr/>
    </dgm:pt>
    <dgm:pt modelId="{51C046D9-7381-4F13-9BAD-6CC8F816FA90}" type="pres">
      <dgm:prSet presAssocID="{E5463156-57F5-4DDD-904C-396B05298A7A}" presName="composite" presStyleCnt="0"/>
      <dgm:spPr/>
    </dgm:pt>
    <dgm:pt modelId="{A9198609-2C3E-47BF-9ED4-B9A138809A23}" type="pres">
      <dgm:prSet presAssocID="{E5463156-57F5-4DDD-904C-396B05298A7A}" presName="parentText" presStyleLbl="alignNode1" presStyleIdx="2" presStyleCnt="9">
        <dgm:presLayoutVars>
          <dgm:chMax val="1"/>
          <dgm:bulletEnabled val="1"/>
        </dgm:presLayoutVars>
      </dgm:prSet>
      <dgm:spPr/>
      <dgm:t>
        <a:bodyPr/>
        <a:lstStyle/>
        <a:p>
          <a:endParaRPr lang="en-US"/>
        </a:p>
      </dgm:t>
    </dgm:pt>
    <dgm:pt modelId="{8B602E88-0AF6-4BC7-8A62-F8293A6255BB}" type="pres">
      <dgm:prSet presAssocID="{E5463156-57F5-4DDD-904C-396B05298A7A}" presName="descendantText" presStyleLbl="alignAcc1" presStyleIdx="2" presStyleCnt="9" custLinFactNeighborX="124" custLinFactNeighborY="21634">
        <dgm:presLayoutVars>
          <dgm:bulletEnabled val="1"/>
        </dgm:presLayoutVars>
      </dgm:prSet>
      <dgm:spPr/>
      <dgm:t>
        <a:bodyPr/>
        <a:lstStyle/>
        <a:p>
          <a:endParaRPr lang="en-US"/>
        </a:p>
      </dgm:t>
    </dgm:pt>
    <dgm:pt modelId="{6BA46B6D-3AB5-46C7-9A34-CAF41F55E36D}" type="pres">
      <dgm:prSet presAssocID="{0C41F76D-F5E2-400A-9E8B-D72B8FFBFFB1}" presName="sp" presStyleCnt="0"/>
      <dgm:spPr/>
    </dgm:pt>
    <dgm:pt modelId="{541FBA2E-3A6C-4E42-A25A-D40251DA1258}" type="pres">
      <dgm:prSet presAssocID="{E5BFCE46-2651-4196-BEB0-A02BD4C6B950}" presName="composite" presStyleCnt="0"/>
      <dgm:spPr/>
    </dgm:pt>
    <dgm:pt modelId="{2E8FB43B-C647-4765-921C-87A33DBD93AA}" type="pres">
      <dgm:prSet presAssocID="{E5BFCE46-2651-4196-BEB0-A02BD4C6B950}" presName="parentText" presStyleLbl="alignNode1" presStyleIdx="3" presStyleCnt="9">
        <dgm:presLayoutVars>
          <dgm:chMax val="1"/>
          <dgm:bulletEnabled val="1"/>
        </dgm:presLayoutVars>
      </dgm:prSet>
      <dgm:spPr/>
      <dgm:t>
        <a:bodyPr/>
        <a:lstStyle/>
        <a:p>
          <a:endParaRPr lang="en-US"/>
        </a:p>
      </dgm:t>
    </dgm:pt>
    <dgm:pt modelId="{71A2B836-67F1-43B5-B44B-0054CCA495B2}" type="pres">
      <dgm:prSet presAssocID="{E5BFCE46-2651-4196-BEB0-A02BD4C6B950}" presName="descendantText" presStyleLbl="alignAcc1" presStyleIdx="3" presStyleCnt="9" custLinFactNeighborX="124" custLinFactNeighborY="29747">
        <dgm:presLayoutVars>
          <dgm:bulletEnabled val="1"/>
        </dgm:presLayoutVars>
      </dgm:prSet>
      <dgm:spPr/>
      <dgm:t>
        <a:bodyPr/>
        <a:lstStyle/>
        <a:p>
          <a:endParaRPr lang="en-US"/>
        </a:p>
      </dgm:t>
    </dgm:pt>
    <dgm:pt modelId="{E4BAE6F3-A433-4C5A-86EF-2D6A769CF971}" type="pres">
      <dgm:prSet presAssocID="{81F9BC50-E36C-4B8F-8FCD-C202D6B66581}" presName="sp" presStyleCnt="0"/>
      <dgm:spPr/>
    </dgm:pt>
    <dgm:pt modelId="{DA08EB5F-E14E-478A-9C76-486C97FFCEB6}" type="pres">
      <dgm:prSet presAssocID="{3FB708AC-0F21-4D38-AFD0-F25E7020F3A6}" presName="composite" presStyleCnt="0"/>
      <dgm:spPr/>
    </dgm:pt>
    <dgm:pt modelId="{8115423F-C0C3-429E-A461-676BA0B02A8F}" type="pres">
      <dgm:prSet presAssocID="{3FB708AC-0F21-4D38-AFD0-F25E7020F3A6}" presName="parentText" presStyleLbl="alignNode1" presStyleIdx="4" presStyleCnt="9">
        <dgm:presLayoutVars>
          <dgm:chMax val="1"/>
          <dgm:bulletEnabled val="1"/>
        </dgm:presLayoutVars>
      </dgm:prSet>
      <dgm:spPr/>
      <dgm:t>
        <a:bodyPr/>
        <a:lstStyle/>
        <a:p>
          <a:endParaRPr lang="en-US"/>
        </a:p>
      </dgm:t>
    </dgm:pt>
    <dgm:pt modelId="{5F557F7C-F63E-4762-94FE-0E0FC4E94928}" type="pres">
      <dgm:prSet presAssocID="{3FB708AC-0F21-4D38-AFD0-F25E7020F3A6}" presName="descendantText" presStyleLbl="alignAcc1" presStyleIdx="4" presStyleCnt="9" custLinFactNeighborX="124" custLinFactNeighborY="40564">
        <dgm:presLayoutVars>
          <dgm:bulletEnabled val="1"/>
        </dgm:presLayoutVars>
      </dgm:prSet>
      <dgm:spPr/>
      <dgm:t>
        <a:bodyPr/>
        <a:lstStyle/>
        <a:p>
          <a:endParaRPr lang="en-US"/>
        </a:p>
      </dgm:t>
    </dgm:pt>
    <dgm:pt modelId="{24F5D038-B2FA-4965-97B3-3CC00F305091}" type="pres">
      <dgm:prSet presAssocID="{C1C947F5-5120-4894-B534-DEFD5849B99D}" presName="sp" presStyleCnt="0"/>
      <dgm:spPr/>
    </dgm:pt>
    <dgm:pt modelId="{56AF0FCE-BFB8-4E30-A82F-19BE2EBDE3DC}" type="pres">
      <dgm:prSet presAssocID="{28228913-A96A-4C20-946C-EA5914DC8B9B}" presName="composite" presStyleCnt="0"/>
      <dgm:spPr/>
    </dgm:pt>
    <dgm:pt modelId="{02D02C34-215B-4A5F-B399-6779379AA442}" type="pres">
      <dgm:prSet presAssocID="{28228913-A96A-4C20-946C-EA5914DC8B9B}" presName="parentText" presStyleLbl="alignNode1" presStyleIdx="5" presStyleCnt="9">
        <dgm:presLayoutVars>
          <dgm:chMax val="1"/>
          <dgm:bulletEnabled val="1"/>
        </dgm:presLayoutVars>
      </dgm:prSet>
      <dgm:spPr/>
      <dgm:t>
        <a:bodyPr/>
        <a:lstStyle/>
        <a:p>
          <a:endParaRPr lang="en-US"/>
        </a:p>
      </dgm:t>
    </dgm:pt>
    <dgm:pt modelId="{08F296C7-C952-454D-979D-DF274C0AEFB8}" type="pres">
      <dgm:prSet presAssocID="{28228913-A96A-4C20-946C-EA5914DC8B9B}" presName="descendantText" presStyleLbl="alignAcc1" presStyleIdx="5" presStyleCnt="9" custLinFactNeighborX="124" custLinFactNeighborY="54086">
        <dgm:presLayoutVars>
          <dgm:bulletEnabled val="1"/>
        </dgm:presLayoutVars>
      </dgm:prSet>
      <dgm:spPr/>
      <dgm:t>
        <a:bodyPr/>
        <a:lstStyle/>
        <a:p>
          <a:endParaRPr lang="en-US"/>
        </a:p>
      </dgm:t>
    </dgm:pt>
    <dgm:pt modelId="{E1AF3110-A9D0-4A53-9207-76FD69D8217D}" type="pres">
      <dgm:prSet presAssocID="{D61E36B6-2770-434F-9BBA-0AD0CEC385AA}" presName="sp" presStyleCnt="0"/>
      <dgm:spPr/>
    </dgm:pt>
    <dgm:pt modelId="{2A3C420C-9467-4BE8-B49E-1E1DDE11069E}" type="pres">
      <dgm:prSet presAssocID="{B4A0B469-0A8D-4926-9552-55810F3A26B8}" presName="composite" presStyleCnt="0"/>
      <dgm:spPr/>
    </dgm:pt>
    <dgm:pt modelId="{22502202-F592-4FCB-A3B7-1803DA5D53CF}" type="pres">
      <dgm:prSet presAssocID="{B4A0B469-0A8D-4926-9552-55810F3A26B8}" presName="parentText" presStyleLbl="alignNode1" presStyleIdx="6" presStyleCnt="9" custLinFactNeighborX="0" custLinFactNeighborY="470">
        <dgm:presLayoutVars>
          <dgm:chMax val="1"/>
          <dgm:bulletEnabled val="1"/>
        </dgm:presLayoutVars>
      </dgm:prSet>
      <dgm:spPr/>
      <dgm:t>
        <a:bodyPr/>
        <a:lstStyle/>
        <a:p>
          <a:endParaRPr lang="en-US"/>
        </a:p>
      </dgm:t>
    </dgm:pt>
    <dgm:pt modelId="{11326467-BFDE-4E5A-AEF9-F7EB4781F187}" type="pres">
      <dgm:prSet presAssocID="{B4A0B469-0A8D-4926-9552-55810F3A26B8}" presName="descendantText" presStyleLbl="alignAcc1" presStyleIdx="6" presStyleCnt="9" custFlipVert="1" custFlipHor="0" custScaleX="6567" custScaleY="34023" custLinFactX="700000" custLinFactY="200000" custLinFactNeighborX="767753" custLinFactNeighborY="294886">
        <dgm:presLayoutVars>
          <dgm:bulletEnabled val="1"/>
        </dgm:presLayoutVars>
      </dgm:prSet>
      <dgm:spPr/>
      <dgm:t>
        <a:bodyPr/>
        <a:lstStyle/>
        <a:p>
          <a:endParaRPr lang="en-US"/>
        </a:p>
      </dgm:t>
    </dgm:pt>
    <dgm:pt modelId="{BEFCDBE7-7B1E-4B31-A8F9-47216F4B5118}" type="pres">
      <dgm:prSet presAssocID="{CCE4456A-9B4C-4DAB-9A20-8E11EBB79823}" presName="sp" presStyleCnt="0"/>
      <dgm:spPr/>
    </dgm:pt>
    <dgm:pt modelId="{329A64C9-CD2B-4575-8C9A-949FE2597B32}" type="pres">
      <dgm:prSet presAssocID="{8083EF80-6120-4FB5-8A43-0A5A1A288D9F}" presName="composite" presStyleCnt="0"/>
      <dgm:spPr/>
    </dgm:pt>
    <dgm:pt modelId="{2547DD31-B2E0-4BCF-AE06-79121794D802}" type="pres">
      <dgm:prSet presAssocID="{8083EF80-6120-4FB5-8A43-0A5A1A288D9F}" presName="parentText" presStyleLbl="alignNode1" presStyleIdx="7" presStyleCnt="9">
        <dgm:presLayoutVars>
          <dgm:chMax val="1"/>
          <dgm:bulletEnabled val="1"/>
        </dgm:presLayoutVars>
      </dgm:prSet>
      <dgm:spPr/>
      <dgm:t>
        <a:bodyPr/>
        <a:lstStyle/>
        <a:p>
          <a:endParaRPr lang="en-US"/>
        </a:p>
      </dgm:t>
    </dgm:pt>
    <dgm:pt modelId="{6A157531-FFB6-4D31-A0CA-6383CA7D88C3}" type="pres">
      <dgm:prSet presAssocID="{8083EF80-6120-4FB5-8A43-0A5A1A288D9F}" presName="descendantText" presStyleLbl="alignAcc1" presStyleIdx="7" presStyleCnt="9" custLinFactNeighborX="124" custLinFactNeighborY="-59494">
        <dgm:presLayoutVars>
          <dgm:bulletEnabled val="1"/>
        </dgm:presLayoutVars>
      </dgm:prSet>
      <dgm:spPr/>
      <dgm:t>
        <a:bodyPr/>
        <a:lstStyle/>
        <a:p>
          <a:endParaRPr lang="en-US"/>
        </a:p>
      </dgm:t>
    </dgm:pt>
    <dgm:pt modelId="{1996A136-4D03-4F11-BC85-A17E504EE980}" type="pres">
      <dgm:prSet presAssocID="{0F185F70-79AA-42AB-9AA4-679BD17EC116}" presName="sp" presStyleCnt="0"/>
      <dgm:spPr/>
    </dgm:pt>
    <dgm:pt modelId="{EBB5B55B-C152-4236-BA80-688DF53360CC}" type="pres">
      <dgm:prSet presAssocID="{196F6426-355A-4FE8-9C3A-05A98DBA0636}" presName="composite" presStyleCnt="0"/>
      <dgm:spPr/>
    </dgm:pt>
    <dgm:pt modelId="{BB047401-DABC-42AE-A451-4A478FDBE2C2}" type="pres">
      <dgm:prSet presAssocID="{196F6426-355A-4FE8-9C3A-05A98DBA0636}" presName="parentText" presStyleLbl="alignNode1" presStyleIdx="8" presStyleCnt="9">
        <dgm:presLayoutVars>
          <dgm:chMax val="1"/>
          <dgm:bulletEnabled val="1"/>
        </dgm:presLayoutVars>
      </dgm:prSet>
      <dgm:spPr/>
      <dgm:t>
        <a:bodyPr/>
        <a:lstStyle/>
        <a:p>
          <a:endParaRPr lang="en-US"/>
        </a:p>
      </dgm:t>
    </dgm:pt>
    <dgm:pt modelId="{1260030C-6D8F-4367-852F-D1559F198EB8}" type="pres">
      <dgm:prSet presAssocID="{196F6426-355A-4FE8-9C3A-05A98DBA0636}" presName="descendantText" presStyleLbl="alignAcc1" presStyleIdx="8" presStyleCnt="9" custLinFactNeighborX="124" custLinFactNeighborY="-40564">
        <dgm:presLayoutVars>
          <dgm:bulletEnabled val="1"/>
        </dgm:presLayoutVars>
      </dgm:prSet>
      <dgm:spPr/>
      <dgm:t>
        <a:bodyPr/>
        <a:lstStyle/>
        <a:p>
          <a:endParaRPr lang="en-US"/>
        </a:p>
      </dgm:t>
    </dgm:pt>
  </dgm:ptLst>
  <dgm:cxnLst>
    <dgm:cxn modelId="{C75EB0DC-77CF-4BC9-B7D3-9E4420DA8342}" type="presOf" srcId="{8083EF80-6120-4FB5-8A43-0A5A1A288D9F}" destId="{2547DD31-B2E0-4BCF-AE06-79121794D802}" srcOrd="0" destOrd="0" presId="urn:microsoft.com/office/officeart/2005/8/layout/chevron2"/>
    <dgm:cxn modelId="{8FD2B199-233C-4DEC-9FCB-C618BCA1903D}" srcId="{20F7325A-FF81-49D4-AD6D-2E58408263FE}" destId="{E5BFCE46-2651-4196-BEB0-A02BD4C6B950}" srcOrd="3" destOrd="0" parTransId="{DEEB8072-8BEF-49CD-A717-1D969B698608}" sibTransId="{81F9BC50-E36C-4B8F-8FCD-C202D6B66581}"/>
    <dgm:cxn modelId="{0D6E6A46-9A4B-4043-AF46-36F00D40C99A}" type="presOf" srcId="{20F7325A-FF81-49D4-AD6D-2E58408263FE}" destId="{141FE05D-1FDB-4DCE-BAFB-F7E4D0CC146F}" srcOrd="0" destOrd="0" presId="urn:microsoft.com/office/officeart/2005/8/layout/chevron2"/>
    <dgm:cxn modelId="{E8150C74-4679-421A-84AE-47DBE5884EDC}" type="presOf" srcId="{B878992C-4D3F-4A6F-B390-65FB39597E16}" destId="{AD3F63E3-00BC-4ADC-8ED4-63C19BB3A089}" srcOrd="0" destOrd="0" presId="urn:microsoft.com/office/officeart/2005/8/layout/chevron2"/>
    <dgm:cxn modelId="{C2434354-57D4-436D-93BE-1559F3EB5B75}" srcId="{28228913-A96A-4C20-946C-EA5914DC8B9B}" destId="{724A0003-BCE7-4F4F-B87A-BBF49BFABEC1}" srcOrd="0" destOrd="0" parTransId="{25A53CA0-0F02-48B6-8D2D-098BBFDDB2A3}" sibTransId="{8D006B95-9F55-4445-875A-30F99CC343E9}"/>
    <dgm:cxn modelId="{1C14F297-FFD1-482D-B945-6D61F41F5493}" type="presOf" srcId="{C083F249-45E0-493D-A578-4B4744398670}" destId="{5F557F7C-F63E-4762-94FE-0E0FC4E94928}" srcOrd="0" destOrd="0" presId="urn:microsoft.com/office/officeart/2005/8/layout/chevron2"/>
    <dgm:cxn modelId="{7F09DDBF-1CD8-4DAE-A1E6-B4C4A9961DC0}" type="presOf" srcId="{B4A0B469-0A8D-4926-9552-55810F3A26B8}" destId="{22502202-F592-4FCB-A3B7-1803DA5D53CF}" srcOrd="0" destOrd="0" presId="urn:microsoft.com/office/officeart/2005/8/layout/chevron2"/>
    <dgm:cxn modelId="{3366AEC9-1790-41E2-802B-2276FA324D89}" type="presOf" srcId="{3575E0B4-F93A-4DCA-AE22-2A359F817791}" destId="{698D83ED-9530-45BF-982E-78280732B9AC}" srcOrd="0" destOrd="0" presId="urn:microsoft.com/office/officeart/2005/8/layout/chevron2"/>
    <dgm:cxn modelId="{3E640677-1708-4456-9702-67EC9F5AC70C}" srcId="{20F7325A-FF81-49D4-AD6D-2E58408263FE}" destId="{E5463156-57F5-4DDD-904C-396B05298A7A}" srcOrd="2" destOrd="0" parTransId="{716B14C1-346D-4133-B487-8E8264269B72}" sibTransId="{0C41F76D-F5E2-400A-9E8B-D72B8FFBFFB1}"/>
    <dgm:cxn modelId="{D51BBC3A-B2D6-4B4C-8747-958D1CDA181D}" type="presOf" srcId="{E5463156-57F5-4DDD-904C-396B05298A7A}" destId="{A9198609-2C3E-47BF-9ED4-B9A138809A23}" srcOrd="0" destOrd="0" presId="urn:microsoft.com/office/officeart/2005/8/layout/chevron2"/>
    <dgm:cxn modelId="{70C19A84-A236-4D8F-BD3F-63508F2E1C89}" type="presOf" srcId="{E5BFCE46-2651-4196-BEB0-A02BD4C6B950}" destId="{2E8FB43B-C647-4765-921C-87A33DBD93AA}" srcOrd="0" destOrd="0" presId="urn:microsoft.com/office/officeart/2005/8/layout/chevron2"/>
    <dgm:cxn modelId="{3705DD1B-F19A-42C5-A9F9-7844A0346EE5}" srcId="{20F7325A-FF81-49D4-AD6D-2E58408263FE}" destId="{28228913-A96A-4C20-946C-EA5914DC8B9B}" srcOrd="5" destOrd="0" parTransId="{908A0C14-4AA7-487E-B8E1-C450C6BB745B}" sibTransId="{D61E36B6-2770-434F-9BBA-0AD0CEC385AA}"/>
    <dgm:cxn modelId="{43F131E3-EB3E-4CB6-8313-5894F89B2DF7}" srcId="{20F7325A-FF81-49D4-AD6D-2E58408263FE}" destId="{09BAC221-E0F9-422B-83A7-0219A29519D7}" srcOrd="1" destOrd="0" parTransId="{FFFB9B82-A7FD-4AFD-AF15-6B4CC71F36A2}" sibTransId="{7D6B09CE-2BCF-4014-9528-3FBA6DB5342D}"/>
    <dgm:cxn modelId="{D4056E32-7B36-418A-A4D7-526145C85BEF}" srcId="{8083EF80-6120-4FB5-8A43-0A5A1A288D9F}" destId="{FD7FCA22-9E87-4E2A-A622-11F069047774}" srcOrd="0" destOrd="0" parTransId="{9C9DD212-2787-46A2-B2F4-9CD08C3154A6}" sibTransId="{9D4FFDFB-C7CA-4031-A2BD-3046D5AEE6B0}"/>
    <dgm:cxn modelId="{BA5E5BE5-8698-4F4E-8127-709EFE8ACF57}" type="presOf" srcId="{09BAC221-E0F9-422B-83A7-0219A29519D7}" destId="{64D81162-0C8D-49F8-8C17-D157BEEFE7CA}" srcOrd="0" destOrd="0" presId="urn:microsoft.com/office/officeart/2005/8/layout/chevron2"/>
    <dgm:cxn modelId="{E6896A21-029E-4762-A87E-0A973E589C4D}" type="presOf" srcId="{28228913-A96A-4C20-946C-EA5914DC8B9B}" destId="{02D02C34-215B-4A5F-B399-6779379AA442}" srcOrd="0" destOrd="0" presId="urn:microsoft.com/office/officeart/2005/8/layout/chevron2"/>
    <dgm:cxn modelId="{1C982001-A528-4036-8DAD-09388A29AFD4}" srcId="{09BAC221-E0F9-422B-83A7-0219A29519D7}" destId="{3575E0B4-F93A-4DCA-AE22-2A359F817791}" srcOrd="0" destOrd="0" parTransId="{B28C2174-527D-419B-982C-9165816D142F}" sibTransId="{4CFEA8D4-BDB7-416A-AB1A-220DFBAFB03B}"/>
    <dgm:cxn modelId="{1B603E72-C400-4AE9-95B8-BF6BB9D9A3AA}" srcId="{E5BFCE46-2651-4196-BEB0-A02BD4C6B950}" destId="{BDDDE468-BD46-4733-8AA7-F2CA517300EF}" srcOrd="0" destOrd="0" parTransId="{DA662DE0-552F-47D5-9DC3-F1A53E8FB094}" sibTransId="{63A63A93-C85A-49E3-A4A2-08E898AD54C4}"/>
    <dgm:cxn modelId="{010D4F6D-B155-454A-8024-6AA3B0D17EF3}" srcId="{B878992C-4D3F-4A6F-B390-65FB39597E16}" destId="{BBA05361-303F-493C-AEB4-F357A53C37BB}" srcOrd="0" destOrd="0" parTransId="{69484C06-C532-4324-A456-3B165F93BDD2}" sibTransId="{14636CB1-3EF0-4552-865B-870A9C8DD9DE}"/>
    <dgm:cxn modelId="{8DFD4C6A-CF5A-4A1E-B2FB-FAA58789C8BC}" srcId="{E5463156-57F5-4DDD-904C-396B05298A7A}" destId="{68E52BAA-160A-4BDF-91FC-2CC014760563}" srcOrd="0" destOrd="0" parTransId="{6E9F84A0-AFE5-460F-B92B-D24611B859E6}" sibTransId="{12A10C72-D4A7-4770-A3FF-8F7802380923}"/>
    <dgm:cxn modelId="{1BC46917-1BAC-44AA-A517-E44644083B3E}" srcId="{20F7325A-FF81-49D4-AD6D-2E58408263FE}" destId="{3FB708AC-0F21-4D38-AFD0-F25E7020F3A6}" srcOrd="4" destOrd="0" parTransId="{033F56C5-5712-4533-86CC-E325B1E01552}" sibTransId="{C1C947F5-5120-4894-B534-DEFD5849B99D}"/>
    <dgm:cxn modelId="{41225515-4AA6-4986-B7A3-467BDF4C3669}" type="presOf" srcId="{724A0003-BCE7-4F4F-B87A-BBF49BFABEC1}" destId="{08F296C7-C952-454D-979D-DF274C0AEFB8}" srcOrd="0" destOrd="0" presId="urn:microsoft.com/office/officeart/2005/8/layout/chevron2"/>
    <dgm:cxn modelId="{CD791882-3946-45B7-B0FA-52B760599985}" srcId="{20F7325A-FF81-49D4-AD6D-2E58408263FE}" destId="{196F6426-355A-4FE8-9C3A-05A98DBA0636}" srcOrd="8" destOrd="0" parTransId="{F5FA17E5-A431-407E-AD82-C88E5568CE2A}" sibTransId="{AAA8D12F-61D9-467A-B08D-7436AB566613}"/>
    <dgm:cxn modelId="{62108E3A-80D4-45B0-A4FA-2285F5F09FEF}" type="presOf" srcId="{3FB708AC-0F21-4D38-AFD0-F25E7020F3A6}" destId="{8115423F-C0C3-429E-A461-676BA0B02A8F}" srcOrd="0" destOrd="0" presId="urn:microsoft.com/office/officeart/2005/8/layout/chevron2"/>
    <dgm:cxn modelId="{9BF2D200-E652-472C-B0F0-EC3DE9721609}" srcId="{20F7325A-FF81-49D4-AD6D-2E58408263FE}" destId="{B878992C-4D3F-4A6F-B390-65FB39597E16}" srcOrd="0" destOrd="0" parTransId="{D33AC9D9-9D36-446E-9B82-C49143A761B6}" sibTransId="{D6466FEF-D4B5-443F-9C3A-844A743B881C}"/>
    <dgm:cxn modelId="{44DC5890-1DF3-44C9-984E-BCECB9543338}" srcId="{20F7325A-FF81-49D4-AD6D-2E58408263FE}" destId="{B4A0B469-0A8D-4926-9552-55810F3A26B8}" srcOrd="6" destOrd="0" parTransId="{CC6FC473-5689-4380-87E5-9218BA02F609}" sibTransId="{CCE4456A-9B4C-4DAB-9A20-8E11EBB79823}"/>
    <dgm:cxn modelId="{61FA4C2E-521B-4392-82D4-69E484251893}" srcId="{3FB708AC-0F21-4D38-AFD0-F25E7020F3A6}" destId="{C083F249-45E0-493D-A578-4B4744398670}" srcOrd="0" destOrd="0" parTransId="{0001032C-2C5A-471C-9E99-E54C72EAFADE}" sibTransId="{E029953F-23D1-4D36-8577-B66D1D99D2BF}"/>
    <dgm:cxn modelId="{86C8553F-7E67-458A-B7A3-046D16A72732}" type="presOf" srcId="{68E52BAA-160A-4BDF-91FC-2CC014760563}" destId="{8B602E88-0AF6-4BC7-8A62-F8293A6255BB}" srcOrd="0" destOrd="0" presId="urn:microsoft.com/office/officeart/2005/8/layout/chevron2"/>
    <dgm:cxn modelId="{C64744AA-48E5-4704-92E5-29125D534E9C}" srcId="{20F7325A-FF81-49D4-AD6D-2E58408263FE}" destId="{8083EF80-6120-4FB5-8A43-0A5A1A288D9F}" srcOrd="7" destOrd="0" parTransId="{FFAB342D-F8E3-4F8E-B628-5AFCD9EC098C}" sibTransId="{0F185F70-79AA-42AB-9AA4-679BD17EC116}"/>
    <dgm:cxn modelId="{3B2CF96E-D3F2-4D43-A280-70173413814C}" type="presOf" srcId="{BE0D6BE3-2353-4BE0-BD61-90968DDF6696}" destId="{1260030C-6D8F-4367-852F-D1559F198EB8}" srcOrd="0" destOrd="0" presId="urn:microsoft.com/office/officeart/2005/8/layout/chevron2"/>
    <dgm:cxn modelId="{9802B6E8-8D98-466B-B466-12A11FA061A9}" srcId="{196F6426-355A-4FE8-9C3A-05A98DBA0636}" destId="{BE0D6BE3-2353-4BE0-BD61-90968DDF6696}" srcOrd="0" destOrd="0" parTransId="{B0050BB8-7FA6-4A94-AAF9-FD0675F660A3}" sibTransId="{BB064405-9B5D-44FA-8677-EFAAA7E05F62}"/>
    <dgm:cxn modelId="{4F1436F6-FE1F-4655-96DA-5A27A21EAB2E}" type="presOf" srcId="{BDDDE468-BD46-4733-8AA7-F2CA517300EF}" destId="{71A2B836-67F1-43B5-B44B-0054CCA495B2}" srcOrd="0" destOrd="0" presId="urn:microsoft.com/office/officeart/2005/8/layout/chevron2"/>
    <dgm:cxn modelId="{3A23B784-D4A8-4598-B1B5-FD40DCE4ECEB}" type="presOf" srcId="{196F6426-355A-4FE8-9C3A-05A98DBA0636}" destId="{BB047401-DABC-42AE-A451-4A478FDBE2C2}" srcOrd="0" destOrd="0" presId="urn:microsoft.com/office/officeart/2005/8/layout/chevron2"/>
    <dgm:cxn modelId="{22BCF62B-AFD2-4AEB-B445-DEDDF5126285}" type="presOf" srcId="{FD7FCA22-9E87-4E2A-A622-11F069047774}" destId="{6A157531-FFB6-4D31-A0CA-6383CA7D88C3}" srcOrd="0" destOrd="0" presId="urn:microsoft.com/office/officeart/2005/8/layout/chevron2"/>
    <dgm:cxn modelId="{43324706-C74E-41E7-B1D0-2EF98A4C300A}" type="presOf" srcId="{BBA05361-303F-493C-AEB4-F357A53C37BB}" destId="{55F5ED34-E035-47DC-88C0-04A932308DA1}" srcOrd="0" destOrd="0" presId="urn:microsoft.com/office/officeart/2005/8/layout/chevron2"/>
    <dgm:cxn modelId="{EF942DE9-B188-4F8D-BCCD-A04B19192823}" type="presParOf" srcId="{141FE05D-1FDB-4DCE-BAFB-F7E4D0CC146F}" destId="{445884EC-D69A-46A6-89C5-B0016164167E}" srcOrd="0" destOrd="0" presId="urn:microsoft.com/office/officeart/2005/8/layout/chevron2"/>
    <dgm:cxn modelId="{C4DA3ECD-CB5B-4856-8CF1-3645212054F0}" type="presParOf" srcId="{445884EC-D69A-46A6-89C5-B0016164167E}" destId="{AD3F63E3-00BC-4ADC-8ED4-63C19BB3A089}" srcOrd="0" destOrd="0" presId="urn:microsoft.com/office/officeart/2005/8/layout/chevron2"/>
    <dgm:cxn modelId="{8A9FF977-9626-4AC2-B0F5-CA405224497C}" type="presParOf" srcId="{445884EC-D69A-46A6-89C5-B0016164167E}" destId="{55F5ED34-E035-47DC-88C0-04A932308DA1}" srcOrd="1" destOrd="0" presId="urn:microsoft.com/office/officeart/2005/8/layout/chevron2"/>
    <dgm:cxn modelId="{8C7BB316-C0BD-4093-B0CA-EA0A023AC9B7}" type="presParOf" srcId="{141FE05D-1FDB-4DCE-BAFB-F7E4D0CC146F}" destId="{ACA99E6A-F61A-419D-8110-D9F8023A3A37}" srcOrd="1" destOrd="0" presId="urn:microsoft.com/office/officeart/2005/8/layout/chevron2"/>
    <dgm:cxn modelId="{240E174B-6317-47A5-B475-847CB9608C6D}" type="presParOf" srcId="{141FE05D-1FDB-4DCE-BAFB-F7E4D0CC146F}" destId="{F4B427F1-4974-41F2-BAE6-FF9B92D82D14}" srcOrd="2" destOrd="0" presId="urn:microsoft.com/office/officeart/2005/8/layout/chevron2"/>
    <dgm:cxn modelId="{2E560BC3-213E-4FFE-8DBA-94737D496FF8}" type="presParOf" srcId="{F4B427F1-4974-41F2-BAE6-FF9B92D82D14}" destId="{64D81162-0C8D-49F8-8C17-D157BEEFE7CA}" srcOrd="0" destOrd="0" presId="urn:microsoft.com/office/officeart/2005/8/layout/chevron2"/>
    <dgm:cxn modelId="{DB4A5472-2B61-4830-985B-8D10BC537063}" type="presParOf" srcId="{F4B427F1-4974-41F2-BAE6-FF9B92D82D14}" destId="{698D83ED-9530-45BF-982E-78280732B9AC}" srcOrd="1" destOrd="0" presId="urn:microsoft.com/office/officeart/2005/8/layout/chevron2"/>
    <dgm:cxn modelId="{23218A35-3DEE-4141-B3E2-EB72931B587A}" type="presParOf" srcId="{141FE05D-1FDB-4DCE-BAFB-F7E4D0CC146F}" destId="{023CFDE4-752F-4915-84CA-4F6791772A6B}" srcOrd="3" destOrd="0" presId="urn:microsoft.com/office/officeart/2005/8/layout/chevron2"/>
    <dgm:cxn modelId="{962BA38E-019E-4CA5-AB76-AAE94B268283}" type="presParOf" srcId="{141FE05D-1FDB-4DCE-BAFB-F7E4D0CC146F}" destId="{51C046D9-7381-4F13-9BAD-6CC8F816FA90}" srcOrd="4" destOrd="0" presId="urn:microsoft.com/office/officeart/2005/8/layout/chevron2"/>
    <dgm:cxn modelId="{EDDE4F39-904C-443E-9D48-E1863EA504BB}" type="presParOf" srcId="{51C046D9-7381-4F13-9BAD-6CC8F816FA90}" destId="{A9198609-2C3E-47BF-9ED4-B9A138809A23}" srcOrd="0" destOrd="0" presId="urn:microsoft.com/office/officeart/2005/8/layout/chevron2"/>
    <dgm:cxn modelId="{49C2075C-BE34-457A-840B-6E6BEAC2B178}" type="presParOf" srcId="{51C046D9-7381-4F13-9BAD-6CC8F816FA90}" destId="{8B602E88-0AF6-4BC7-8A62-F8293A6255BB}" srcOrd="1" destOrd="0" presId="urn:microsoft.com/office/officeart/2005/8/layout/chevron2"/>
    <dgm:cxn modelId="{0A2C03DC-3CC0-4F5B-A589-5112552D1FFD}" type="presParOf" srcId="{141FE05D-1FDB-4DCE-BAFB-F7E4D0CC146F}" destId="{6BA46B6D-3AB5-46C7-9A34-CAF41F55E36D}" srcOrd="5" destOrd="0" presId="urn:microsoft.com/office/officeart/2005/8/layout/chevron2"/>
    <dgm:cxn modelId="{2ABE8F9E-F3AA-4435-A4CA-4EDF94F49AB1}" type="presParOf" srcId="{141FE05D-1FDB-4DCE-BAFB-F7E4D0CC146F}" destId="{541FBA2E-3A6C-4E42-A25A-D40251DA1258}" srcOrd="6" destOrd="0" presId="urn:microsoft.com/office/officeart/2005/8/layout/chevron2"/>
    <dgm:cxn modelId="{0C0DC289-86F0-4131-9343-68F0C2198CA8}" type="presParOf" srcId="{541FBA2E-3A6C-4E42-A25A-D40251DA1258}" destId="{2E8FB43B-C647-4765-921C-87A33DBD93AA}" srcOrd="0" destOrd="0" presId="urn:microsoft.com/office/officeart/2005/8/layout/chevron2"/>
    <dgm:cxn modelId="{400E01E7-62BC-406F-B622-ABA8237C68FC}" type="presParOf" srcId="{541FBA2E-3A6C-4E42-A25A-D40251DA1258}" destId="{71A2B836-67F1-43B5-B44B-0054CCA495B2}" srcOrd="1" destOrd="0" presId="urn:microsoft.com/office/officeart/2005/8/layout/chevron2"/>
    <dgm:cxn modelId="{E02841C9-F92B-4B49-BC84-5A68040D2589}" type="presParOf" srcId="{141FE05D-1FDB-4DCE-BAFB-F7E4D0CC146F}" destId="{E4BAE6F3-A433-4C5A-86EF-2D6A769CF971}" srcOrd="7" destOrd="0" presId="urn:microsoft.com/office/officeart/2005/8/layout/chevron2"/>
    <dgm:cxn modelId="{5723150F-D920-4DB9-9F68-BDFAA9DD367B}" type="presParOf" srcId="{141FE05D-1FDB-4DCE-BAFB-F7E4D0CC146F}" destId="{DA08EB5F-E14E-478A-9C76-486C97FFCEB6}" srcOrd="8" destOrd="0" presId="urn:microsoft.com/office/officeart/2005/8/layout/chevron2"/>
    <dgm:cxn modelId="{03157EBA-A744-4725-8BAF-28322A4CCCA0}" type="presParOf" srcId="{DA08EB5F-E14E-478A-9C76-486C97FFCEB6}" destId="{8115423F-C0C3-429E-A461-676BA0B02A8F}" srcOrd="0" destOrd="0" presId="urn:microsoft.com/office/officeart/2005/8/layout/chevron2"/>
    <dgm:cxn modelId="{01E8FBD7-87D9-493C-84F3-D446E8D0428A}" type="presParOf" srcId="{DA08EB5F-E14E-478A-9C76-486C97FFCEB6}" destId="{5F557F7C-F63E-4762-94FE-0E0FC4E94928}" srcOrd="1" destOrd="0" presId="urn:microsoft.com/office/officeart/2005/8/layout/chevron2"/>
    <dgm:cxn modelId="{21DE4CD3-FA2B-4B2A-8F91-668F4A344EF5}" type="presParOf" srcId="{141FE05D-1FDB-4DCE-BAFB-F7E4D0CC146F}" destId="{24F5D038-B2FA-4965-97B3-3CC00F305091}" srcOrd="9" destOrd="0" presId="urn:microsoft.com/office/officeart/2005/8/layout/chevron2"/>
    <dgm:cxn modelId="{AD736DB9-113F-43B8-8B68-E4FCA3640BC4}" type="presParOf" srcId="{141FE05D-1FDB-4DCE-BAFB-F7E4D0CC146F}" destId="{56AF0FCE-BFB8-4E30-A82F-19BE2EBDE3DC}" srcOrd="10" destOrd="0" presId="urn:microsoft.com/office/officeart/2005/8/layout/chevron2"/>
    <dgm:cxn modelId="{85C34021-48A3-4346-B69E-772A8861D363}" type="presParOf" srcId="{56AF0FCE-BFB8-4E30-A82F-19BE2EBDE3DC}" destId="{02D02C34-215B-4A5F-B399-6779379AA442}" srcOrd="0" destOrd="0" presId="urn:microsoft.com/office/officeart/2005/8/layout/chevron2"/>
    <dgm:cxn modelId="{F413D3D0-AA87-4AF5-AABF-A0C9E0490AA6}" type="presParOf" srcId="{56AF0FCE-BFB8-4E30-A82F-19BE2EBDE3DC}" destId="{08F296C7-C952-454D-979D-DF274C0AEFB8}" srcOrd="1" destOrd="0" presId="urn:microsoft.com/office/officeart/2005/8/layout/chevron2"/>
    <dgm:cxn modelId="{448B987F-9706-4226-AFD6-842BEFB3D00A}" type="presParOf" srcId="{141FE05D-1FDB-4DCE-BAFB-F7E4D0CC146F}" destId="{E1AF3110-A9D0-4A53-9207-76FD69D8217D}" srcOrd="11" destOrd="0" presId="urn:microsoft.com/office/officeart/2005/8/layout/chevron2"/>
    <dgm:cxn modelId="{6878BE66-7D19-4563-B937-F8E09B44D6DD}" type="presParOf" srcId="{141FE05D-1FDB-4DCE-BAFB-F7E4D0CC146F}" destId="{2A3C420C-9467-4BE8-B49E-1E1DDE11069E}" srcOrd="12" destOrd="0" presId="urn:microsoft.com/office/officeart/2005/8/layout/chevron2"/>
    <dgm:cxn modelId="{3398FDF1-AC64-430D-829E-DEB0A25E31F1}" type="presParOf" srcId="{2A3C420C-9467-4BE8-B49E-1E1DDE11069E}" destId="{22502202-F592-4FCB-A3B7-1803DA5D53CF}" srcOrd="0" destOrd="0" presId="urn:microsoft.com/office/officeart/2005/8/layout/chevron2"/>
    <dgm:cxn modelId="{5B8FAF1C-882A-49FD-B9CD-244F4A7B3647}" type="presParOf" srcId="{2A3C420C-9467-4BE8-B49E-1E1DDE11069E}" destId="{11326467-BFDE-4E5A-AEF9-F7EB4781F187}" srcOrd="1" destOrd="0" presId="urn:microsoft.com/office/officeart/2005/8/layout/chevron2"/>
    <dgm:cxn modelId="{8C72A6EE-F976-4D77-86D5-368F56092A7E}" type="presParOf" srcId="{141FE05D-1FDB-4DCE-BAFB-F7E4D0CC146F}" destId="{BEFCDBE7-7B1E-4B31-A8F9-47216F4B5118}" srcOrd="13" destOrd="0" presId="urn:microsoft.com/office/officeart/2005/8/layout/chevron2"/>
    <dgm:cxn modelId="{9E069BAB-B740-4C33-ACCD-C1129F6F6483}" type="presParOf" srcId="{141FE05D-1FDB-4DCE-BAFB-F7E4D0CC146F}" destId="{329A64C9-CD2B-4575-8C9A-949FE2597B32}" srcOrd="14" destOrd="0" presId="urn:microsoft.com/office/officeart/2005/8/layout/chevron2"/>
    <dgm:cxn modelId="{D8ADAF41-7A6C-4589-B1AE-6D044504E741}" type="presParOf" srcId="{329A64C9-CD2B-4575-8C9A-949FE2597B32}" destId="{2547DD31-B2E0-4BCF-AE06-79121794D802}" srcOrd="0" destOrd="0" presId="urn:microsoft.com/office/officeart/2005/8/layout/chevron2"/>
    <dgm:cxn modelId="{7F37F888-457C-40D3-8730-4685936C2D76}" type="presParOf" srcId="{329A64C9-CD2B-4575-8C9A-949FE2597B32}" destId="{6A157531-FFB6-4D31-A0CA-6383CA7D88C3}" srcOrd="1" destOrd="0" presId="urn:microsoft.com/office/officeart/2005/8/layout/chevron2"/>
    <dgm:cxn modelId="{D3CC0AF8-05DE-44D8-B256-B6705232184B}" type="presParOf" srcId="{141FE05D-1FDB-4DCE-BAFB-F7E4D0CC146F}" destId="{1996A136-4D03-4F11-BC85-A17E504EE980}" srcOrd="15" destOrd="0" presId="urn:microsoft.com/office/officeart/2005/8/layout/chevron2"/>
    <dgm:cxn modelId="{67254B9B-4DB7-4805-9E3E-E53E1372F0A5}" type="presParOf" srcId="{141FE05D-1FDB-4DCE-BAFB-F7E4D0CC146F}" destId="{EBB5B55B-C152-4236-BA80-688DF53360CC}" srcOrd="16" destOrd="0" presId="urn:microsoft.com/office/officeart/2005/8/layout/chevron2"/>
    <dgm:cxn modelId="{6247687E-4F54-470C-AC6D-C86925EEB6F9}" type="presParOf" srcId="{EBB5B55B-C152-4236-BA80-688DF53360CC}" destId="{BB047401-DABC-42AE-A451-4A478FDBE2C2}" srcOrd="0" destOrd="0" presId="urn:microsoft.com/office/officeart/2005/8/layout/chevron2"/>
    <dgm:cxn modelId="{99394EE4-B760-4FB4-B280-8F5763FCA6A2}" type="presParOf" srcId="{EBB5B55B-C152-4236-BA80-688DF53360CC}" destId="{1260030C-6D8F-4367-852F-D1559F198EB8}" srcOrd="1" destOrd="0" presId="urn:microsoft.com/office/officeart/2005/8/layout/chevron2"/>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63D19-9DC4-4CB8-A836-FA9F842251D1}">
      <dsp:nvSpPr>
        <dsp:cNvPr id="0" name=""/>
        <dsp:cNvSpPr/>
      </dsp:nvSpPr>
      <dsp:spPr>
        <a:xfrm>
          <a:off x="2733675" y="752325"/>
          <a:ext cx="2282609" cy="759227"/>
        </a:xfrm>
        <a:custGeom>
          <a:avLst/>
          <a:gdLst/>
          <a:ahLst/>
          <a:cxnLst/>
          <a:rect l="0" t="0" r="0" b="0"/>
          <a:pathLst>
            <a:path>
              <a:moveTo>
                <a:pt x="0" y="0"/>
              </a:moveTo>
              <a:lnTo>
                <a:pt x="0" y="660601"/>
              </a:lnTo>
              <a:lnTo>
                <a:pt x="2282609" y="660601"/>
              </a:lnTo>
              <a:lnTo>
                <a:pt x="2282609" y="75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E7FE36-479F-446F-8DDF-98BA99B5A0A9}">
      <dsp:nvSpPr>
        <dsp:cNvPr id="0" name=""/>
        <dsp:cNvSpPr/>
      </dsp:nvSpPr>
      <dsp:spPr>
        <a:xfrm>
          <a:off x="2733675" y="752325"/>
          <a:ext cx="1146067" cy="759227"/>
        </a:xfrm>
        <a:custGeom>
          <a:avLst/>
          <a:gdLst/>
          <a:ahLst/>
          <a:cxnLst/>
          <a:rect l="0" t="0" r="0" b="0"/>
          <a:pathLst>
            <a:path>
              <a:moveTo>
                <a:pt x="0" y="0"/>
              </a:moveTo>
              <a:lnTo>
                <a:pt x="0" y="660601"/>
              </a:lnTo>
              <a:lnTo>
                <a:pt x="1146067" y="660601"/>
              </a:lnTo>
              <a:lnTo>
                <a:pt x="1146067" y="75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D035AC0-7694-4D9F-A80A-1FDFE0D1CC6F}">
      <dsp:nvSpPr>
        <dsp:cNvPr id="0" name=""/>
        <dsp:cNvSpPr/>
      </dsp:nvSpPr>
      <dsp:spPr>
        <a:xfrm>
          <a:off x="2687955" y="752325"/>
          <a:ext cx="91440" cy="759227"/>
        </a:xfrm>
        <a:custGeom>
          <a:avLst/>
          <a:gdLst/>
          <a:ahLst/>
          <a:cxnLst/>
          <a:rect l="0" t="0" r="0" b="0"/>
          <a:pathLst>
            <a:path>
              <a:moveTo>
                <a:pt x="45720" y="0"/>
              </a:moveTo>
              <a:lnTo>
                <a:pt x="45720" y="660601"/>
              </a:lnTo>
              <a:lnTo>
                <a:pt x="55244" y="660601"/>
              </a:lnTo>
              <a:lnTo>
                <a:pt x="55244" y="75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661608-0521-47F0-A8F8-6AA7F4E6F3C1}">
      <dsp:nvSpPr>
        <dsp:cNvPr id="0" name=""/>
        <dsp:cNvSpPr/>
      </dsp:nvSpPr>
      <dsp:spPr>
        <a:xfrm>
          <a:off x="1606657" y="752325"/>
          <a:ext cx="1127018" cy="759227"/>
        </a:xfrm>
        <a:custGeom>
          <a:avLst/>
          <a:gdLst/>
          <a:ahLst/>
          <a:cxnLst/>
          <a:rect l="0" t="0" r="0" b="0"/>
          <a:pathLst>
            <a:path>
              <a:moveTo>
                <a:pt x="1127018" y="0"/>
              </a:moveTo>
              <a:lnTo>
                <a:pt x="1127018" y="660601"/>
              </a:lnTo>
              <a:lnTo>
                <a:pt x="0" y="660601"/>
              </a:lnTo>
              <a:lnTo>
                <a:pt x="0" y="75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5270E5-26D1-49E0-9258-F822689309BF}">
      <dsp:nvSpPr>
        <dsp:cNvPr id="0" name=""/>
        <dsp:cNvSpPr/>
      </dsp:nvSpPr>
      <dsp:spPr>
        <a:xfrm>
          <a:off x="470114" y="752325"/>
          <a:ext cx="2263561" cy="759227"/>
        </a:xfrm>
        <a:custGeom>
          <a:avLst/>
          <a:gdLst/>
          <a:ahLst/>
          <a:cxnLst/>
          <a:rect l="0" t="0" r="0" b="0"/>
          <a:pathLst>
            <a:path>
              <a:moveTo>
                <a:pt x="2263561" y="0"/>
              </a:moveTo>
              <a:lnTo>
                <a:pt x="2263561" y="660601"/>
              </a:lnTo>
              <a:lnTo>
                <a:pt x="0" y="660601"/>
              </a:lnTo>
              <a:lnTo>
                <a:pt x="0" y="759227"/>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21FFF7-9EE2-49E7-8DEC-C99165C9AB5E}">
      <dsp:nvSpPr>
        <dsp:cNvPr id="0" name=""/>
        <dsp:cNvSpPr/>
      </dsp:nvSpPr>
      <dsp:spPr>
        <a:xfrm>
          <a:off x="1962150" y="0"/>
          <a:ext cx="1543049" cy="75232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t>Mutual Funds</a:t>
          </a:r>
        </a:p>
      </dsp:txBody>
      <dsp:txXfrm>
        <a:off x="1962150" y="0"/>
        <a:ext cx="1543049" cy="752325"/>
      </dsp:txXfrm>
    </dsp:sp>
    <dsp:sp modelId="{75118B29-0016-4ACC-AE6F-CD3412E7AF13}">
      <dsp:nvSpPr>
        <dsp:cNvPr id="0" name=""/>
        <dsp:cNvSpPr/>
      </dsp:nvSpPr>
      <dsp:spPr>
        <a:xfrm>
          <a:off x="468" y="1511552"/>
          <a:ext cx="939291" cy="4696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t>Debt Funds</a:t>
          </a:r>
        </a:p>
      </dsp:txBody>
      <dsp:txXfrm>
        <a:off x="468" y="1511552"/>
        <a:ext cx="939291" cy="469645"/>
      </dsp:txXfrm>
    </dsp:sp>
    <dsp:sp modelId="{491844D8-EA6D-48CC-B2E3-6DBE80778FBA}">
      <dsp:nvSpPr>
        <dsp:cNvPr id="0" name=""/>
        <dsp:cNvSpPr/>
      </dsp:nvSpPr>
      <dsp:spPr>
        <a:xfrm>
          <a:off x="1137011" y="1511552"/>
          <a:ext cx="939291" cy="4696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0" kern="1200"/>
            <a:t>Balanced Funds</a:t>
          </a:r>
        </a:p>
      </dsp:txBody>
      <dsp:txXfrm>
        <a:off x="1137011" y="1511552"/>
        <a:ext cx="939291" cy="469645"/>
      </dsp:txXfrm>
    </dsp:sp>
    <dsp:sp modelId="{0A902056-C17F-4125-81DB-513D7D80367D}">
      <dsp:nvSpPr>
        <dsp:cNvPr id="0" name=""/>
        <dsp:cNvSpPr/>
      </dsp:nvSpPr>
      <dsp:spPr>
        <a:xfrm>
          <a:off x="2273554" y="1511552"/>
          <a:ext cx="939291" cy="4696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0" kern="1200"/>
            <a:t>Equity Funds</a:t>
          </a:r>
        </a:p>
      </dsp:txBody>
      <dsp:txXfrm>
        <a:off x="2273554" y="1511552"/>
        <a:ext cx="939291" cy="469645"/>
      </dsp:txXfrm>
    </dsp:sp>
    <dsp:sp modelId="{178FAD33-1478-4F19-88D4-30B09D7654E9}">
      <dsp:nvSpPr>
        <dsp:cNvPr id="0" name=""/>
        <dsp:cNvSpPr/>
      </dsp:nvSpPr>
      <dsp:spPr>
        <a:xfrm>
          <a:off x="3410096" y="1511552"/>
          <a:ext cx="939291" cy="4696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t>solution oriented</a:t>
          </a:r>
        </a:p>
      </dsp:txBody>
      <dsp:txXfrm>
        <a:off x="3410096" y="1511552"/>
        <a:ext cx="939291" cy="469645"/>
      </dsp:txXfrm>
    </dsp:sp>
    <dsp:sp modelId="{07CDB040-D082-4713-8B52-4273FA01D232}">
      <dsp:nvSpPr>
        <dsp:cNvPr id="0" name=""/>
        <dsp:cNvSpPr/>
      </dsp:nvSpPr>
      <dsp:spPr>
        <a:xfrm>
          <a:off x="4546639" y="1511552"/>
          <a:ext cx="939291" cy="469645"/>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t>others</a:t>
          </a:r>
        </a:p>
      </dsp:txBody>
      <dsp:txXfrm>
        <a:off x="4546639" y="1511552"/>
        <a:ext cx="939291" cy="4696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3F63E3-00BC-4ADC-8ED4-63C19BB3A089}">
      <dsp:nvSpPr>
        <dsp:cNvPr id="0" name=""/>
        <dsp:cNvSpPr/>
      </dsp:nvSpPr>
      <dsp:spPr>
        <a:xfrm rot="5400000">
          <a:off x="-81280" y="83764"/>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P</a:t>
          </a:r>
        </a:p>
      </dsp:txBody>
      <dsp:txXfrm rot="-5400000">
        <a:off x="1" y="192140"/>
        <a:ext cx="379311" cy="162561"/>
      </dsp:txXfrm>
    </dsp:sp>
    <dsp:sp modelId="{55F5ED34-E035-47DC-88C0-04A932308DA1}">
      <dsp:nvSpPr>
        <dsp:cNvPr id="0" name=""/>
        <dsp:cNvSpPr/>
      </dsp:nvSpPr>
      <dsp:spPr>
        <a:xfrm rot="5400000">
          <a:off x="2760967" y="-2380232"/>
          <a:ext cx="352402"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Setting up Financial Goal/ Purpose of Investing</a:t>
          </a:r>
        </a:p>
      </dsp:txBody>
      <dsp:txXfrm rot="-5400000">
        <a:off x="379312" y="18626"/>
        <a:ext cx="5098511" cy="317996"/>
      </dsp:txXfrm>
    </dsp:sp>
    <dsp:sp modelId="{64D81162-0C8D-49F8-8C17-D157BEEFE7CA}">
      <dsp:nvSpPr>
        <dsp:cNvPr id="0" name=""/>
        <dsp:cNvSpPr/>
      </dsp:nvSpPr>
      <dsp:spPr>
        <a:xfrm rot="5400000">
          <a:off x="-81280" y="558873"/>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a:solidFill>
                <a:sysClr val="windowText" lastClr="000000"/>
              </a:solidFill>
            </a:rPr>
            <a:t>O</a:t>
          </a:r>
        </a:p>
      </dsp:txBody>
      <dsp:txXfrm rot="-5400000">
        <a:off x="1" y="667249"/>
        <a:ext cx="379311" cy="162561"/>
      </dsp:txXfrm>
    </dsp:sp>
    <dsp:sp modelId="{698D83ED-9530-45BF-982E-78280732B9AC}">
      <dsp:nvSpPr>
        <dsp:cNvPr id="0" name=""/>
        <dsp:cNvSpPr/>
      </dsp:nvSpPr>
      <dsp:spPr>
        <a:xfrm rot="5400000">
          <a:off x="2761059" y="-1875580"/>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Risk Acceptance/ Risk Tolrance</a:t>
          </a:r>
        </a:p>
      </dsp:txBody>
      <dsp:txXfrm rot="-5400000">
        <a:off x="379311" y="523362"/>
        <a:ext cx="5098520" cy="317829"/>
      </dsp:txXfrm>
    </dsp:sp>
    <dsp:sp modelId="{A9198609-2C3E-47BF-9ED4-B9A138809A23}">
      <dsp:nvSpPr>
        <dsp:cNvPr id="0" name=""/>
        <dsp:cNvSpPr/>
      </dsp:nvSpPr>
      <dsp:spPr>
        <a:xfrm rot="5400000">
          <a:off x="-81280" y="1033982"/>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1066800">
            <a:lnSpc>
              <a:spcPct val="90000"/>
            </a:lnSpc>
            <a:spcBef>
              <a:spcPct val="0"/>
            </a:spcBef>
            <a:spcAft>
              <a:spcPct val="35000"/>
            </a:spcAft>
          </a:pPr>
          <a:r>
            <a:rPr lang="en-US" sz="2400" b="1" kern="1200">
              <a:solidFill>
                <a:sysClr val="windowText" lastClr="000000"/>
              </a:solidFill>
            </a:rPr>
            <a:t>R</a:t>
          </a:r>
          <a:endParaRPr lang="en-US" sz="600" b="1" kern="1200">
            <a:solidFill>
              <a:sysClr val="windowText" lastClr="000000"/>
            </a:solidFill>
          </a:endParaRPr>
        </a:p>
      </dsp:txBody>
      <dsp:txXfrm rot="-5400000">
        <a:off x="1" y="1142358"/>
        <a:ext cx="379311" cy="162561"/>
      </dsp:txXfrm>
    </dsp:sp>
    <dsp:sp modelId="{8B602E88-0AF6-4BC7-8A62-F8293A6255BB}">
      <dsp:nvSpPr>
        <dsp:cNvPr id="0" name=""/>
        <dsp:cNvSpPr/>
      </dsp:nvSpPr>
      <dsp:spPr>
        <a:xfrm rot="5400000">
          <a:off x="2761059" y="-1352848"/>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Selecting The Fund House</a:t>
          </a:r>
        </a:p>
      </dsp:txBody>
      <dsp:txXfrm rot="-5400000">
        <a:off x="379311" y="1046094"/>
        <a:ext cx="5098520" cy="317829"/>
      </dsp:txXfrm>
    </dsp:sp>
    <dsp:sp modelId="{2E8FB43B-C647-4765-921C-87A33DBD93AA}">
      <dsp:nvSpPr>
        <dsp:cNvPr id="0" name=""/>
        <dsp:cNvSpPr/>
      </dsp:nvSpPr>
      <dsp:spPr>
        <a:xfrm rot="5400000">
          <a:off x="-81280" y="1509091"/>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T</a:t>
          </a:r>
        </a:p>
      </dsp:txBody>
      <dsp:txXfrm rot="-5400000">
        <a:off x="1" y="1617467"/>
        <a:ext cx="379311" cy="162561"/>
      </dsp:txXfrm>
    </dsp:sp>
    <dsp:sp modelId="{71A2B836-67F1-43B5-B44B-0054CCA495B2}">
      <dsp:nvSpPr>
        <dsp:cNvPr id="0" name=""/>
        <dsp:cNvSpPr/>
      </dsp:nvSpPr>
      <dsp:spPr>
        <a:xfrm rot="5400000">
          <a:off x="2761059" y="-849163"/>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Fund Manager Performance</a:t>
          </a:r>
        </a:p>
      </dsp:txBody>
      <dsp:txXfrm rot="-5400000">
        <a:off x="379311" y="1549779"/>
        <a:ext cx="5098520" cy="317829"/>
      </dsp:txXfrm>
    </dsp:sp>
    <dsp:sp modelId="{8115423F-C0C3-429E-A461-676BA0B02A8F}">
      <dsp:nvSpPr>
        <dsp:cNvPr id="0" name=""/>
        <dsp:cNvSpPr/>
      </dsp:nvSpPr>
      <dsp:spPr>
        <a:xfrm rot="5400000">
          <a:off x="-81280" y="1984200"/>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F</a:t>
          </a:r>
          <a:endParaRPr lang="en-US" sz="600" b="1" kern="1200">
            <a:solidFill>
              <a:sysClr val="windowText" lastClr="000000"/>
            </a:solidFill>
          </a:endParaRPr>
        </a:p>
      </dsp:txBody>
      <dsp:txXfrm rot="-5400000">
        <a:off x="1" y="2092576"/>
        <a:ext cx="379311" cy="162561"/>
      </dsp:txXfrm>
    </dsp:sp>
    <dsp:sp modelId="{5F557F7C-F63E-4762-94FE-0E0FC4E94928}">
      <dsp:nvSpPr>
        <dsp:cNvPr id="0" name=""/>
        <dsp:cNvSpPr/>
      </dsp:nvSpPr>
      <dsp:spPr>
        <a:xfrm rot="5400000">
          <a:off x="2761059" y="-335955"/>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Asset Allocation</a:t>
          </a:r>
        </a:p>
      </dsp:txBody>
      <dsp:txXfrm rot="-5400000">
        <a:off x="379311" y="2062987"/>
        <a:ext cx="5098520" cy="317829"/>
      </dsp:txXfrm>
    </dsp:sp>
    <dsp:sp modelId="{02D02C34-215B-4A5F-B399-6779379AA442}">
      <dsp:nvSpPr>
        <dsp:cNvPr id="0" name=""/>
        <dsp:cNvSpPr/>
      </dsp:nvSpPr>
      <dsp:spPr>
        <a:xfrm rot="5400000">
          <a:off x="-81280" y="2459309"/>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O</a:t>
          </a:r>
          <a:endParaRPr lang="en-US" sz="1200" b="1" kern="1200">
            <a:solidFill>
              <a:sysClr val="windowText" lastClr="000000"/>
            </a:solidFill>
          </a:endParaRPr>
        </a:p>
      </dsp:txBody>
      <dsp:txXfrm rot="-5400000">
        <a:off x="1" y="2567685"/>
        <a:ext cx="379311" cy="162561"/>
      </dsp:txXfrm>
    </dsp:sp>
    <dsp:sp modelId="{08F296C7-C952-454D-979D-DF274C0AEFB8}">
      <dsp:nvSpPr>
        <dsp:cNvPr id="0" name=""/>
        <dsp:cNvSpPr/>
      </dsp:nvSpPr>
      <dsp:spPr>
        <a:xfrm rot="5400000">
          <a:off x="2761059" y="186780"/>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Considering Other Factors</a:t>
          </a:r>
          <a:endParaRPr lang="en-US" sz="1600" b="1" i="0" kern="1200"/>
        </a:p>
      </dsp:txBody>
      <dsp:txXfrm rot="-5400000">
        <a:off x="379311" y="2585722"/>
        <a:ext cx="5098520" cy="317829"/>
      </dsp:txXfrm>
    </dsp:sp>
    <dsp:sp modelId="{22502202-F592-4FCB-A3B7-1803DA5D53CF}">
      <dsp:nvSpPr>
        <dsp:cNvPr id="0" name=""/>
        <dsp:cNvSpPr/>
      </dsp:nvSpPr>
      <dsp:spPr>
        <a:xfrm rot="5400000">
          <a:off x="-81280" y="2936965"/>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i="0" kern="1200">
              <a:solidFill>
                <a:sysClr val="windowText" lastClr="000000"/>
              </a:solidFill>
            </a:rPr>
            <a:t>L</a:t>
          </a:r>
          <a:endParaRPr lang="en-US" sz="1100" b="1" i="0" kern="1200">
            <a:solidFill>
              <a:sysClr val="windowText" lastClr="000000"/>
            </a:solidFill>
          </a:endParaRPr>
        </a:p>
      </dsp:txBody>
      <dsp:txXfrm rot="-5400000">
        <a:off x="1" y="3045341"/>
        <a:ext cx="379311" cy="162561"/>
      </dsp:txXfrm>
    </dsp:sp>
    <dsp:sp modelId="{11326467-BFDE-4E5A-AEF9-F7EB4781F187}">
      <dsp:nvSpPr>
        <dsp:cNvPr id="0" name=""/>
        <dsp:cNvSpPr/>
      </dsp:nvSpPr>
      <dsp:spPr>
        <a:xfrm rot="16200000" flipV="1">
          <a:off x="5423259" y="4275946"/>
          <a:ext cx="119834" cy="23697"/>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2547DD31-B2E0-4BCF-AE06-79121794D802}">
      <dsp:nvSpPr>
        <dsp:cNvPr id="0" name=""/>
        <dsp:cNvSpPr/>
      </dsp:nvSpPr>
      <dsp:spPr>
        <a:xfrm rot="5400000">
          <a:off x="-81280" y="3409528"/>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I</a:t>
          </a:r>
          <a:endParaRPr lang="en-US" sz="1100" b="1" kern="1200">
            <a:solidFill>
              <a:sysClr val="windowText" lastClr="000000"/>
            </a:solidFill>
          </a:endParaRPr>
        </a:p>
      </dsp:txBody>
      <dsp:txXfrm rot="-5400000">
        <a:off x="1" y="3517904"/>
        <a:ext cx="379311" cy="162561"/>
      </dsp:txXfrm>
    </dsp:sp>
    <dsp:sp modelId="{6A157531-FFB6-4D31-A0CA-6383CA7D88C3}">
      <dsp:nvSpPr>
        <dsp:cNvPr id="0" name=""/>
        <dsp:cNvSpPr/>
      </dsp:nvSpPr>
      <dsp:spPr>
        <a:xfrm rot="5400000">
          <a:off x="2761059" y="736950"/>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i="0" kern="1200"/>
            <a:t>Shortlisting Scheme</a:t>
          </a:r>
          <a:endParaRPr lang="en-US" sz="1200" kern="1200"/>
        </a:p>
      </dsp:txBody>
      <dsp:txXfrm rot="-5400000">
        <a:off x="379311" y="3135892"/>
        <a:ext cx="5098520" cy="317829"/>
      </dsp:txXfrm>
    </dsp:sp>
    <dsp:sp modelId="{BB047401-DABC-42AE-A451-4A478FDBE2C2}">
      <dsp:nvSpPr>
        <dsp:cNvPr id="0" name=""/>
        <dsp:cNvSpPr/>
      </dsp:nvSpPr>
      <dsp:spPr>
        <a:xfrm rot="5400000">
          <a:off x="-81280" y="3884637"/>
          <a:ext cx="541872" cy="3793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1244600">
            <a:lnSpc>
              <a:spcPct val="90000"/>
            </a:lnSpc>
            <a:spcBef>
              <a:spcPct val="0"/>
            </a:spcBef>
            <a:spcAft>
              <a:spcPct val="35000"/>
            </a:spcAft>
          </a:pPr>
          <a:r>
            <a:rPr lang="en-US" sz="2800" b="1" kern="1200">
              <a:solidFill>
                <a:sysClr val="windowText" lastClr="000000"/>
              </a:solidFill>
            </a:rPr>
            <a:t>O</a:t>
          </a:r>
        </a:p>
      </dsp:txBody>
      <dsp:txXfrm rot="-5400000">
        <a:off x="1" y="3993013"/>
        <a:ext cx="379311" cy="162561"/>
      </dsp:txXfrm>
    </dsp:sp>
    <dsp:sp modelId="{1260030C-6D8F-4367-852F-D1559F198EB8}">
      <dsp:nvSpPr>
        <dsp:cNvPr id="0" name=""/>
        <dsp:cNvSpPr/>
      </dsp:nvSpPr>
      <dsp:spPr>
        <a:xfrm rot="5400000">
          <a:off x="2761059" y="1278733"/>
          <a:ext cx="352217" cy="5115714"/>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b="1" kern="1200"/>
            <a:t>Monitoring selected schemes</a:t>
          </a:r>
          <a:endParaRPr lang="en-US" sz="1600" kern="1200"/>
        </a:p>
      </dsp:txBody>
      <dsp:txXfrm rot="-5400000">
        <a:off x="379311" y="3677675"/>
        <a:ext cx="5098520" cy="31782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2023-07-29T07:03:00Z</dcterms:created>
  <dcterms:modified xsi:type="dcterms:W3CDTF">2023-07-29T07:03:00Z</dcterms:modified>
</cp:coreProperties>
</file>